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C4" w:rsidRDefault="00A72DC4">
      <w:pPr>
        <w:rPr>
          <w:rFonts w:ascii="Times New Roman" w:hAnsi="Times New Roman" w:cs="Times New Roman"/>
          <w:b/>
          <w:sz w:val="24"/>
          <w:szCs w:val="24"/>
        </w:rPr>
      </w:pPr>
      <w:bookmarkStart w:id="0" w:name="_GoBack"/>
      <w:bookmarkEnd w:id="0"/>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r>
        <w:rPr>
          <w:rFonts w:ascii="Times New Roman" w:hAnsi="Times New Roman" w:cs="Times New Roman"/>
          <w:b/>
          <w:sz w:val="24"/>
          <w:szCs w:val="24"/>
        </w:rPr>
        <w:t xml:space="preserve">Методическое руководство </w:t>
      </w:r>
    </w:p>
    <w:p w:rsidR="00A72DC4" w:rsidRPr="00A72DC4" w:rsidRDefault="00A72DC4">
      <w:pPr>
        <w:rPr>
          <w:rFonts w:ascii="Times New Roman" w:hAnsi="Times New Roman" w:cs="Times New Roman"/>
          <w:b/>
          <w:sz w:val="24"/>
          <w:szCs w:val="24"/>
        </w:rPr>
      </w:pPr>
      <w:r w:rsidRPr="00A72DC4">
        <w:rPr>
          <w:rFonts w:ascii="Times New Roman" w:hAnsi="Times New Roman" w:cs="Times New Roman"/>
          <w:b/>
          <w:sz w:val="28"/>
          <w:szCs w:val="24"/>
        </w:rPr>
        <w:t xml:space="preserve">Трансплантация аутологичных </w:t>
      </w:r>
      <w:r w:rsidR="003235A7" w:rsidRPr="00A72DC4">
        <w:rPr>
          <w:rFonts w:ascii="Times New Roman" w:hAnsi="Times New Roman" w:cs="Times New Roman"/>
          <w:b/>
          <w:sz w:val="28"/>
          <w:szCs w:val="24"/>
        </w:rPr>
        <w:t xml:space="preserve">гемопоэтических </w:t>
      </w:r>
      <w:r w:rsidRPr="00A72DC4">
        <w:rPr>
          <w:rFonts w:ascii="Times New Roman" w:hAnsi="Times New Roman" w:cs="Times New Roman"/>
          <w:b/>
          <w:sz w:val="28"/>
          <w:szCs w:val="24"/>
        </w:rPr>
        <w:t>стволовых клеток при гемобластозах</w:t>
      </w:r>
      <w:r w:rsidRPr="00A72DC4">
        <w:rPr>
          <w:rFonts w:ascii="Times New Roman" w:hAnsi="Times New Roman" w:cs="Times New Roman"/>
          <w:b/>
          <w:sz w:val="24"/>
          <w:szCs w:val="24"/>
        </w:rPr>
        <w:t xml:space="preserve"> </w:t>
      </w:r>
    </w:p>
    <w:p w:rsidR="00A72DC4" w:rsidRPr="00DD6B49" w:rsidRDefault="000871CF">
      <w:pPr>
        <w:rPr>
          <w:rFonts w:ascii="Times New Roman" w:hAnsi="Times New Roman" w:cs="Times New Roman"/>
          <w:b/>
          <w:sz w:val="24"/>
          <w:szCs w:val="24"/>
        </w:rPr>
      </w:pPr>
      <w:r>
        <w:rPr>
          <w:rFonts w:ascii="Times New Roman" w:hAnsi="Times New Roman" w:cs="Times New Roman"/>
          <w:b/>
          <w:sz w:val="24"/>
          <w:szCs w:val="24"/>
        </w:rPr>
        <w:t>МКБ</w:t>
      </w:r>
      <w:r w:rsidRPr="0011163E">
        <w:rPr>
          <w:rFonts w:ascii="Times New Roman" w:hAnsi="Times New Roman" w:cs="Times New Roman"/>
          <w:b/>
          <w:sz w:val="24"/>
          <w:szCs w:val="24"/>
        </w:rPr>
        <w:t xml:space="preserve">-10: </w:t>
      </w:r>
      <w:r w:rsidR="002E4C10">
        <w:rPr>
          <w:rFonts w:ascii="Times New Roman" w:hAnsi="Times New Roman" w:cs="Times New Roman"/>
          <w:b/>
          <w:sz w:val="24"/>
          <w:szCs w:val="24"/>
          <w:lang w:val="en-US"/>
        </w:rPr>
        <w:t>C</w:t>
      </w:r>
      <w:r w:rsidR="002E4C10" w:rsidRPr="0011163E">
        <w:rPr>
          <w:rFonts w:ascii="Times New Roman" w:hAnsi="Times New Roman" w:cs="Times New Roman"/>
          <w:b/>
          <w:sz w:val="24"/>
          <w:szCs w:val="24"/>
        </w:rPr>
        <w:t xml:space="preserve">81 - </w:t>
      </w:r>
      <w:r w:rsidR="002E4C10" w:rsidRPr="007D25FA">
        <w:rPr>
          <w:rFonts w:ascii="Times New Roman" w:hAnsi="Times New Roman" w:cs="Times New Roman"/>
          <w:b/>
          <w:sz w:val="24"/>
          <w:szCs w:val="24"/>
          <w:lang w:val="en-US"/>
        </w:rPr>
        <w:t>C</w:t>
      </w:r>
      <w:r w:rsidR="002E4C10" w:rsidRPr="007D25FA">
        <w:rPr>
          <w:rFonts w:ascii="Times New Roman" w:hAnsi="Times New Roman" w:cs="Times New Roman"/>
          <w:b/>
          <w:sz w:val="24"/>
          <w:szCs w:val="24"/>
        </w:rPr>
        <w:t>96</w:t>
      </w:r>
      <w:r w:rsidR="007D25FA" w:rsidRPr="007D25FA">
        <w:rPr>
          <w:rFonts w:ascii="Times New Roman" w:hAnsi="Times New Roman" w:cs="Times New Roman"/>
          <w:b/>
          <w:sz w:val="24"/>
          <w:szCs w:val="24"/>
        </w:rPr>
        <w:t>,</w:t>
      </w:r>
      <w:r w:rsidR="007D25FA">
        <w:rPr>
          <w:rFonts w:ascii="Times New Roman" w:hAnsi="Times New Roman" w:cs="Times New Roman"/>
          <w:b/>
          <w:sz w:val="24"/>
          <w:szCs w:val="24"/>
        </w:rPr>
        <w:t xml:space="preserve"> E85.8</w:t>
      </w:r>
    </w:p>
    <w:p w:rsidR="00A72DC4" w:rsidRDefault="00A72DC4">
      <w:pPr>
        <w:rPr>
          <w:rFonts w:ascii="Times New Roman" w:hAnsi="Times New Roman" w:cs="Times New Roman"/>
          <w:b/>
          <w:sz w:val="24"/>
          <w:szCs w:val="24"/>
        </w:rPr>
      </w:pPr>
      <w:r>
        <w:rPr>
          <w:rFonts w:ascii="Times New Roman" w:hAnsi="Times New Roman" w:cs="Times New Roman"/>
          <w:b/>
          <w:sz w:val="24"/>
          <w:szCs w:val="24"/>
        </w:rPr>
        <w:t xml:space="preserve">Год утверждения: </w:t>
      </w:r>
      <w:r w:rsidR="00B02228">
        <w:rPr>
          <w:rFonts w:ascii="Times New Roman" w:hAnsi="Times New Roman" w:cs="Times New Roman"/>
          <w:b/>
          <w:sz w:val="24"/>
          <w:szCs w:val="24"/>
        </w:rPr>
        <w:t>2020</w:t>
      </w: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Pr="007D25FA" w:rsidRDefault="00A72DC4" w:rsidP="007D25FA">
      <w:pPr>
        <w:jc w:val="both"/>
        <w:rPr>
          <w:rFonts w:ascii="Times New Roman" w:hAnsi="Times New Roman" w:cs="Times New Roman"/>
          <w:sz w:val="24"/>
          <w:szCs w:val="24"/>
        </w:rPr>
      </w:pPr>
      <w:r>
        <w:rPr>
          <w:rFonts w:ascii="Times New Roman" w:hAnsi="Times New Roman" w:cs="Times New Roman"/>
          <w:b/>
          <w:sz w:val="24"/>
          <w:szCs w:val="24"/>
        </w:rPr>
        <w:t xml:space="preserve">Профессиональная ассоциация: </w:t>
      </w:r>
      <w:r w:rsidR="007D25FA" w:rsidRPr="007D25FA">
        <w:rPr>
          <w:rFonts w:ascii="Times New Roman" w:hAnsi="Times New Roman" w:cs="Times New Roman"/>
          <w:sz w:val="24"/>
          <w:szCs w:val="24"/>
        </w:rPr>
        <w:t xml:space="preserve">Некоммерческое партнерство содействия развитию гематологии </w:t>
      </w:r>
      <w:r w:rsidR="007D25FA">
        <w:rPr>
          <w:rFonts w:ascii="Times New Roman" w:hAnsi="Times New Roman" w:cs="Times New Roman"/>
          <w:sz w:val="24"/>
          <w:szCs w:val="24"/>
        </w:rPr>
        <w:t>и трансплантации костного мозга</w:t>
      </w:r>
      <w:r w:rsidR="007D25FA" w:rsidRPr="007D25FA">
        <w:rPr>
          <w:rFonts w:ascii="Times New Roman" w:hAnsi="Times New Roman" w:cs="Times New Roman"/>
          <w:sz w:val="24"/>
          <w:szCs w:val="24"/>
        </w:rPr>
        <w:t xml:space="preserve"> «Национальное Гематологическое Общество»</w:t>
      </w: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p>
    <w:p w:rsidR="00A72DC4" w:rsidRDefault="00A72DC4">
      <w:pPr>
        <w:rPr>
          <w:rFonts w:ascii="Times New Roman" w:hAnsi="Times New Roman" w:cs="Times New Roman"/>
          <w:b/>
          <w:sz w:val="24"/>
          <w:szCs w:val="24"/>
        </w:rPr>
      </w:pPr>
      <w:r>
        <w:rPr>
          <w:rFonts w:ascii="Times New Roman" w:hAnsi="Times New Roman" w:cs="Times New Roman"/>
          <w:b/>
          <w:sz w:val="24"/>
          <w:szCs w:val="24"/>
        </w:rPr>
        <w:br w:type="page"/>
      </w:r>
    </w:p>
    <w:p w:rsidR="00A72DC4" w:rsidRDefault="00A72DC4" w:rsidP="00A72DC4">
      <w:pPr>
        <w:jc w:val="center"/>
        <w:rPr>
          <w:rFonts w:ascii="Times New Roman" w:hAnsi="Times New Roman" w:cs="Times New Roman"/>
          <w:b/>
          <w:sz w:val="24"/>
          <w:szCs w:val="24"/>
        </w:rPr>
      </w:pPr>
      <w:r>
        <w:rPr>
          <w:rFonts w:ascii="Times New Roman" w:hAnsi="Times New Roman" w:cs="Times New Roman"/>
          <w:b/>
          <w:sz w:val="24"/>
          <w:szCs w:val="24"/>
        </w:rPr>
        <w:lastRenderedPageBreak/>
        <w:t>Авторский коллектив</w:t>
      </w:r>
    </w:p>
    <w:p w:rsidR="00A72DC4" w:rsidRDefault="00A72DC4" w:rsidP="00A72DC4">
      <w:pPr>
        <w:jc w:val="center"/>
        <w:rPr>
          <w:rFonts w:ascii="Times New Roman" w:hAnsi="Times New Roman" w:cs="Times New Roman"/>
          <w:b/>
          <w:sz w:val="24"/>
          <w:szCs w:val="24"/>
        </w:rPr>
      </w:pPr>
      <w:r>
        <w:rPr>
          <w:rFonts w:ascii="Times New Roman" w:hAnsi="Times New Roman" w:cs="Times New Roman"/>
          <w:b/>
          <w:sz w:val="24"/>
          <w:szCs w:val="24"/>
        </w:rPr>
        <w:t>Ответственны</w:t>
      </w:r>
      <w:r w:rsidR="008148D1">
        <w:rPr>
          <w:rFonts w:ascii="Times New Roman" w:hAnsi="Times New Roman" w:cs="Times New Roman"/>
          <w:b/>
          <w:sz w:val="24"/>
          <w:szCs w:val="24"/>
        </w:rPr>
        <w:t>й</w:t>
      </w:r>
      <w:r>
        <w:rPr>
          <w:rFonts w:ascii="Times New Roman" w:hAnsi="Times New Roman" w:cs="Times New Roman"/>
          <w:b/>
          <w:sz w:val="24"/>
          <w:szCs w:val="24"/>
        </w:rPr>
        <w:t xml:space="preserve"> редакт</w:t>
      </w:r>
      <w:r w:rsidR="008148D1">
        <w:rPr>
          <w:rFonts w:ascii="Times New Roman" w:hAnsi="Times New Roman" w:cs="Times New Roman"/>
          <w:b/>
          <w:sz w:val="24"/>
          <w:szCs w:val="24"/>
        </w:rPr>
        <w:t>ор</w:t>
      </w:r>
    </w:p>
    <w:p w:rsidR="00C025F0" w:rsidRPr="00E95704" w:rsidRDefault="005E7C6E" w:rsidP="00232B28">
      <w:pPr>
        <w:rPr>
          <w:rFonts w:ascii="Times New Roman" w:hAnsi="Times New Roman" w:cs="Times New Roman"/>
          <w:sz w:val="24"/>
          <w:szCs w:val="24"/>
        </w:rPr>
      </w:pPr>
      <w:r w:rsidRPr="00E95704">
        <w:rPr>
          <w:rFonts w:ascii="Times New Roman" w:hAnsi="Times New Roman" w:cs="Times New Roman"/>
          <w:sz w:val="24"/>
          <w:szCs w:val="24"/>
        </w:rPr>
        <w:t xml:space="preserve">Савченко В.Г. - </w:t>
      </w:r>
      <w:r w:rsidR="00543E45" w:rsidRPr="00E95704">
        <w:rPr>
          <w:rFonts w:ascii="Times New Roman" w:hAnsi="Times New Roman" w:cs="Times New Roman"/>
          <w:sz w:val="24"/>
          <w:szCs w:val="24"/>
        </w:rPr>
        <w:t>доктор медицинских наук,</w:t>
      </w:r>
      <w:r w:rsidRPr="00E95704">
        <w:rPr>
          <w:rFonts w:ascii="Times New Roman" w:hAnsi="Times New Roman" w:cs="Times New Roman"/>
          <w:sz w:val="24"/>
          <w:szCs w:val="24"/>
        </w:rPr>
        <w:t xml:space="preserve"> профессор, </w:t>
      </w:r>
      <w:r w:rsidR="00543E45" w:rsidRPr="00E95704">
        <w:rPr>
          <w:rFonts w:ascii="Times New Roman" w:hAnsi="Times New Roman" w:cs="Times New Roman"/>
          <w:sz w:val="24"/>
          <w:szCs w:val="24"/>
        </w:rPr>
        <w:t>академик РАН.</w:t>
      </w:r>
    </w:p>
    <w:p w:rsidR="00A72DC4" w:rsidRDefault="00A72DC4" w:rsidP="00A72DC4">
      <w:pPr>
        <w:jc w:val="center"/>
        <w:rPr>
          <w:rFonts w:ascii="Times New Roman" w:hAnsi="Times New Roman" w:cs="Times New Roman"/>
          <w:b/>
          <w:sz w:val="24"/>
          <w:szCs w:val="24"/>
        </w:rPr>
      </w:pPr>
      <w:r>
        <w:rPr>
          <w:rFonts w:ascii="Times New Roman" w:hAnsi="Times New Roman" w:cs="Times New Roman"/>
          <w:b/>
          <w:sz w:val="24"/>
          <w:szCs w:val="24"/>
        </w:rPr>
        <w:t>Авторы</w:t>
      </w:r>
    </w:p>
    <w:p w:rsidR="009B6CF9" w:rsidRDefault="009B6CF9" w:rsidP="00E95704">
      <w:pPr>
        <w:spacing w:after="0"/>
        <w:rPr>
          <w:rFonts w:ascii="Times New Roman" w:hAnsi="Times New Roman" w:cs="Times New Roman"/>
          <w:b/>
          <w:sz w:val="24"/>
          <w:szCs w:val="24"/>
        </w:rPr>
      </w:pPr>
      <w:r>
        <w:rPr>
          <w:rFonts w:ascii="Times New Roman" w:hAnsi="Times New Roman" w:cs="Times New Roman"/>
          <w:b/>
          <w:sz w:val="24"/>
          <w:szCs w:val="24"/>
        </w:rPr>
        <w:t xml:space="preserve">ФГБУ «НМИЦ Гематологии» Минздрава России: </w:t>
      </w:r>
    </w:p>
    <w:p w:rsidR="00543E45" w:rsidRPr="002C6DF4" w:rsidRDefault="00543E45"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Менделеева Л.П. - доктор медицинских наук, профессор.</w:t>
      </w:r>
    </w:p>
    <w:p w:rsidR="009B6CF9" w:rsidRPr="002C6DF4" w:rsidRDefault="009B6CF9"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 xml:space="preserve">Паровичникова Е.Н. - доктор медицинских наук. </w:t>
      </w:r>
    </w:p>
    <w:p w:rsidR="009B6CF9" w:rsidRPr="002C6DF4" w:rsidRDefault="009B6CF9"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Клясова Г.А. - доктор медицинских наук, профессор.</w:t>
      </w:r>
    </w:p>
    <w:p w:rsidR="00A72DC4" w:rsidRPr="002C6DF4" w:rsidRDefault="00543E45"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Соловьев М.В. - кандидат медицинских наук.</w:t>
      </w:r>
    </w:p>
    <w:p w:rsidR="00543E45" w:rsidRPr="002C6DF4" w:rsidRDefault="00543E45"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Фирсова М.В. - кандидат медицинских наук.</w:t>
      </w:r>
    </w:p>
    <w:p w:rsidR="00543E45" w:rsidRPr="002C6DF4" w:rsidRDefault="00543E45"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Гальцева И.В. - кандидат медицинских наук.</w:t>
      </w:r>
    </w:p>
    <w:p w:rsidR="00A72DC4" w:rsidRPr="002C6DF4" w:rsidRDefault="00543E45" w:rsidP="00D32047">
      <w:pPr>
        <w:pStyle w:val="a3"/>
        <w:numPr>
          <w:ilvl w:val="0"/>
          <w:numId w:val="139"/>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Гапонова Т.В. - кандидат медицинских наук.</w:t>
      </w:r>
    </w:p>
    <w:p w:rsidR="00A72DC4" w:rsidRDefault="002C6DF4" w:rsidP="00E95704">
      <w:pPr>
        <w:spacing w:after="0"/>
        <w:rPr>
          <w:rFonts w:ascii="Times New Roman" w:hAnsi="Times New Roman" w:cs="Times New Roman"/>
          <w:b/>
          <w:sz w:val="24"/>
          <w:szCs w:val="24"/>
        </w:rPr>
      </w:pPr>
      <w:r>
        <w:rPr>
          <w:rFonts w:ascii="Times New Roman" w:hAnsi="Times New Roman" w:cs="Times New Roman"/>
          <w:b/>
          <w:sz w:val="24"/>
          <w:szCs w:val="24"/>
        </w:rPr>
        <w:t>ФГБУ «НМИЦ онкологии им Н.Н. Блохина» Минздрава России:</w:t>
      </w:r>
    </w:p>
    <w:p w:rsidR="002C6DF4" w:rsidRPr="002C6DF4" w:rsidRDefault="002C6DF4" w:rsidP="00D32047">
      <w:pPr>
        <w:pStyle w:val="a3"/>
        <w:numPr>
          <w:ilvl w:val="0"/>
          <w:numId w:val="140"/>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Османов Е.А. - доктор медицинских наук, профессор.</w:t>
      </w:r>
    </w:p>
    <w:p w:rsidR="002C6DF4" w:rsidRPr="002C6DF4" w:rsidRDefault="002C6DF4" w:rsidP="00D32047">
      <w:pPr>
        <w:pStyle w:val="a3"/>
        <w:numPr>
          <w:ilvl w:val="0"/>
          <w:numId w:val="140"/>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Зейналова П.А.- доктор медицинских наук, профессор.</w:t>
      </w:r>
    </w:p>
    <w:p w:rsidR="002C6DF4" w:rsidRDefault="002C6DF4" w:rsidP="00E95704">
      <w:pPr>
        <w:spacing w:after="0"/>
        <w:rPr>
          <w:rFonts w:ascii="Times New Roman" w:hAnsi="Times New Roman" w:cs="Times New Roman"/>
          <w:b/>
          <w:sz w:val="24"/>
          <w:szCs w:val="24"/>
        </w:rPr>
      </w:pPr>
      <w:r>
        <w:rPr>
          <w:rFonts w:ascii="Times New Roman" w:hAnsi="Times New Roman" w:cs="Times New Roman"/>
          <w:b/>
          <w:sz w:val="24"/>
          <w:szCs w:val="24"/>
        </w:rPr>
        <w:t>ФГБУ «НМХЦ им. Н.И. Пирогова» Минздрава России:</w:t>
      </w:r>
    </w:p>
    <w:p w:rsidR="002C6DF4" w:rsidRPr="002C6DF4" w:rsidRDefault="002C6DF4" w:rsidP="00D32047">
      <w:pPr>
        <w:pStyle w:val="a3"/>
        <w:numPr>
          <w:ilvl w:val="0"/>
          <w:numId w:val="141"/>
        </w:numPr>
        <w:spacing w:after="0" w:line="360" w:lineRule="auto"/>
        <w:rPr>
          <w:rFonts w:ascii="Times New Roman" w:hAnsi="Times New Roman" w:cs="Times New Roman"/>
          <w:sz w:val="24"/>
          <w:szCs w:val="24"/>
        </w:rPr>
      </w:pPr>
      <w:r w:rsidRPr="002C6DF4">
        <w:rPr>
          <w:rFonts w:ascii="Times New Roman" w:hAnsi="Times New Roman" w:cs="Times New Roman"/>
          <w:sz w:val="24"/>
          <w:szCs w:val="24"/>
        </w:rPr>
        <w:t xml:space="preserve">Мельниченко </w:t>
      </w:r>
      <w:r>
        <w:rPr>
          <w:rFonts w:ascii="Times New Roman" w:hAnsi="Times New Roman" w:cs="Times New Roman"/>
          <w:sz w:val="24"/>
          <w:szCs w:val="24"/>
        </w:rPr>
        <w:t>В.Я.</w:t>
      </w:r>
      <w:r w:rsidRPr="002C6DF4">
        <w:rPr>
          <w:rFonts w:ascii="Times New Roman" w:hAnsi="Times New Roman" w:cs="Times New Roman"/>
          <w:sz w:val="24"/>
          <w:szCs w:val="24"/>
        </w:rPr>
        <w:t>- доктор медицинских наук, профессор.</w:t>
      </w:r>
    </w:p>
    <w:p w:rsidR="002C6DF4" w:rsidRDefault="009A4E89" w:rsidP="00E95704">
      <w:pPr>
        <w:spacing w:after="0"/>
        <w:rPr>
          <w:rFonts w:ascii="Times New Roman" w:hAnsi="Times New Roman" w:cs="Times New Roman"/>
          <w:b/>
          <w:sz w:val="24"/>
          <w:szCs w:val="24"/>
        </w:rPr>
      </w:pPr>
      <w:r>
        <w:rPr>
          <w:rFonts w:ascii="Times New Roman" w:hAnsi="Times New Roman" w:cs="Times New Roman"/>
          <w:b/>
          <w:sz w:val="24"/>
          <w:szCs w:val="24"/>
        </w:rPr>
        <w:t>«</w:t>
      </w:r>
      <w:r w:rsidR="00E95704">
        <w:rPr>
          <w:rFonts w:ascii="Times New Roman" w:hAnsi="Times New Roman" w:cs="Times New Roman"/>
          <w:b/>
          <w:sz w:val="24"/>
          <w:szCs w:val="24"/>
        </w:rPr>
        <w:t>НИИ детской онкологии, гематологии и трансплантологии им. Р.М. Горбачевой</w:t>
      </w:r>
      <w:r>
        <w:rPr>
          <w:rFonts w:ascii="Times New Roman" w:hAnsi="Times New Roman" w:cs="Times New Roman"/>
          <w:b/>
          <w:sz w:val="24"/>
          <w:szCs w:val="24"/>
        </w:rPr>
        <w:t>»</w:t>
      </w:r>
      <w:r w:rsidR="00E95704">
        <w:rPr>
          <w:rFonts w:ascii="Times New Roman" w:hAnsi="Times New Roman" w:cs="Times New Roman"/>
          <w:b/>
          <w:sz w:val="24"/>
          <w:szCs w:val="24"/>
        </w:rPr>
        <w:t xml:space="preserve"> СПБГМУ им. акад. И.П. Павлова</w:t>
      </w:r>
      <w:r w:rsidR="002C6DF4">
        <w:rPr>
          <w:rFonts w:ascii="Times New Roman" w:hAnsi="Times New Roman" w:cs="Times New Roman"/>
          <w:b/>
          <w:sz w:val="24"/>
          <w:szCs w:val="24"/>
        </w:rPr>
        <w:t>:</w:t>
      </w:r>
    </w:p>
    <w:p w:rsidR="002C6DF4" w:rsidRPr="000871CF" w:rsidRDefault="002C6DF4" w:rsidP="00D32047">
      <w:pPr>
        <w:pStyle w:val="a3"/>
        <w:numPr>
          <w:ilvl w:val="0"/>
          <w:numId w:val="139"/>
        </w:numPr>
        <w:spacing w:after="0" w:line="360" w:lineRule="auto"/>
        <w:rPr>
          <w:rFonts w:ascii="Times New Roman" w:hAnsi="Times New Roman" w:cs="Times New Roman"/>
          <w:sz w:val="24"/>
          <w:szCs w:val="24"/>
        </w:rPr>
      </w:pPr>
      <w:r>
        <w:rPr>
          <w:rFonts w:ascii="Times New Roman" w:hAnsi="Times New Roman" w:cs="Times New Roman"/>
          <w:sz w:val="24"/>
          <w:szCs w:val="24"/>
        </w:rPr>
        <w:t>Михайлова Н.Б.</w:t>
      </w:r>
      <w:r w:rsidRPr="002C6DF4">
        <w:rPr>
          <w:rFonts w:ascii="Times New Roman" w:hAnsi="Times New Roman" w:cs="Times New Roman"/>
          <w:sz w:val="24"/>
          <w:szCs w:val="24"/>
        </w:rPr>
        <w:t xml:space="preserve"> - </w:t>
      </w:r>
      <w:r w:rsidR="000871CF" w:rsidRPr="002C6DF4">
        <w:rPr>
          <w:rFonts w:ascii="Times New Roman" w:hAnsi="Times New Roman" w:cs="Times New Roman"/>
          <w:sz w:val="24"/>
          <w:szCs w:val="24"/>
        </w:rPr>
        <w:t>кандидат медицинских наук.</w:t>
      </w:r>
    </w:p>
    <w:p w:rsidR="002C6DF4" w:rsidRDefault="002C6DF4" w:rsidP="00E95704">
      <w:pPr>
        <w:spacing w:after="0"/>
        <w:rPr>
          <w:rFonts w:ascii="Times New Roman" w:hAnsi="Times New Roman" w:cs="Times New Roman"/>
          <w:b/>
          <w:sz w:val="24"/>
          <w:szCs w:val="24"/>
        </w:rPr>
      </w:pPr>
      <w:r>
        <w:rPr>
          <w:rFonts w:ascii="Times New Roman" w:hAnsi="Times New Roman" w:cs="Times New Roman"/>
          <w:b/>
          <w:sz w:val="24"/>
          <w:szCs w:val="24"/>
        </w:rPr>
        <w:t>ФГБУ «НМИЦ им. В</w:t>
      </w:r>
      <w:r w:rsidR="00E95704">
        <w:rPr>
          <w:rFonts w:ascii="Times New Roman" w:hAnsi="Times New Roman" w:cs="Times New Roman"/>
          <w:b/>
          <w:sz w:val="24"/>
          <w:szCs w:val="24"/>
        </w:rPr>
        <w:t>.</w:t>
      </w:r>
      <w:r>
        <w:rPr>
          <w:rFonts w:ascii="Times New Roman" w:hAnsi="Times New Roman" w:cs="Times New Roman"/>
          <w:b/>
          <w:sz w:val="24"/>
          <w:szCs w:val="24"/>
        </w:rPr>
        <w:t>А</w:t>
      </w:r>
      <w:r w:rsidR="00E95704">
        <w:rPr>
          <w:rFonts w:ascii="Times New Roman" w:hAnsi="Times New Roman" w:cs="Times New Roman"/>
          <w:b/>
          <w:sz w:val="24"/>
          <w:szCs w:val="24"/>
        </w:rPr>
        <w:t>.</w:t>
      </w:r>
      <w:r>
        <w:rPr>
          <w:rFonts w:ascii="Times New Roman" w:hAnsi="Times New Roman" w:cs="Times New Roman"/>
          <w:b/>
          <w:sz w:val="24"/>
          <w:szCs w:val="24"/>
        </w:rPr>
        <w:t xml:space="preserve"> Алмазова» Минздрава России:</w:t>
      </w:r>
    </w:p>
    <w:p w:rsidR="002C6DF4" w:rsidRPr="002C6DF4" w:rsidRDefault="002C6DF4" w:rsidP="00D32047">
      <w:pPr>
        <w:pStyle w:val="a3"/>
        <w:numPr>
          <w:ilvl w:val="0"/>
          <w:numId w:val="141"/>
        </w:numPr>
        <w:spacing w:after="0" w:line="360" w:lineRule="auto"/>
        <w:rPr>
          <w:rFonts w:ascii="Times New Roman" w:hAnsi="Times New Roman" w:cs="Times New Roman"/>
          <w:sz w:val="24"/>
          <w:szCs w:val="24"/>
        </w:rPr>
      </w:pPr>
      <w:r>
        <w:rPr>
          <w:rFonts w:ascii="Times New Roman" w:hAnsi="Times New Roman" w:cs="Times New Roman"/>
          <w:sz w:val="24"/>
          <w:szCs w:val="24"/>
        </w:rPr>
        <w:t>Моторин Д.В.</w:t>
      </w:r>
      <w:r w:rsidRPr="002C6DF4">
        <w:rPr>
          <w:rFonts w:ascii="Times New Roman" w:hAnsi="Times New Roman" w:cs="Times New Roman"/>
          <w:sz w:val="24"/>
          <w:szCs w:val="24"/>
        </w:rPr>
        <w:t xml:space="preserve"> - </w:t>
      </w:r>
      <w:r>
        <w:rPr>
          <w:rFonts w:ascii="Times New Roman" w:hAnsi="Times New Roman" w:cs="Times New Roman"/>
          <w:sz w:val="24"/>
          <w:szCs w:val="24"/>
        </w:rPr>
        <w:t>кандидат медицинских наук</w:t>
      </w:r>
      <w:r w:rsidRPr="002C6DF4">
        <w:rPr>
          <w:rFonts w:ascii="Times New Roman" w:hAnsi="Times New Roman" w:cs="Times New Roman"/>
          <w:sz w:val="24"/>
          <w:szCs w:val="24"/>
        </w:rPr>
        <w:t>.</w:t>
      </w:r>
    </w:p>
    <w:p w:rsidR="002C6DF4" w:rsidRDefault="002C6DF4" w:rsidP="00E95704">
      <w:pPr>
        <w:spacing w:after="0"/>
        <w:rPr>
          <w:rFonts w:ascii="Times New Roman" w:hAnsi="Times New Roman" w:cs="Times New Roman"/>
          <w:b/>
          <w:sz w:val="24"/>
          <w:szCs w:val="24"/>
        </w:rPr>
      </w:pPr>
      <w:r>
        <w:rPr>
          <w:rFonts w:ascii="Times New Roman" w:hAnsi="Times New Roman" w:cs="Times New Roman"/>
          <w:b/>
          <w:sz w:val="24"/>
          <w:szCs w:val="24"/>
        </w:rPr>
        <w:t>ФГБУ «</w:t>
      </w:r>
      <w:r w:rsidR="00E95704">
        <w:rPr>
          <w:rFonts w:ascii="Times New Roman" w:hAnsi="Times New Roman" w:cs="Times New Roman"/>
          <w:b/>
          <w:sz w:val="24"/>
          <w:szCs w:val="24"/>
        </w:rPr>
        <w:t>Российский</w:t>
      </w:r>
      <w:r>
        <w:rPr>
          <w:rFonts w:ascii="Times New Roman" w:hAnsi="Times New Roman" w:cs="Times New Roman"/>
          <w:b/>
          <w:sz w:val="24"/>
          <w:szCs w:val="24"/>
        </w:rPr>
        <w:t xml:space="preserve"> НИИ гематологии и трансфузиологии Федерального медико-биологического </w:t>
      </w:r>
      <w:r w:rsidR="00E95704">
        <w:rPr>
          <w:rFonts w:ascii="Times New Roman" w:hAnsi="Times New Roman" w:cs="Times New Roman"/>
          <w:b/>
          <w:sz w:val="24"/>
          <w:szCs w:val="24"/>
        </w:rPr>
        <w:t>агентства</w:t>
      </w:r>
      <w:r>
        <w:rPr>
          <w:rFonts w:ascii="Times New Roman" w:hAnsi="Times New Roman" w:cs="Times New Roman"/>
          <w:b/>
          <w:sz w:val="24"/>
          <w:szCs w:val="24"/>
        </w:rPr>
        <w:t>»</w:t>
      </w:r>
    </w:p>
    <w:p w:rsidR="002C6DF4" w:rsidRPr="002C6DF4" w:rsidRDefault="002C6DF4" w:rsidP="00D32047">
      <w:pPr>
        <w:pStyle w:val="a3"/>
        <w:numPr>
          <w:ilvl w:val="0"/>
          <w:numId w:val="141"/>
        </w:numPr>
        <w:spacing w:after="0" w:line="360" w:lineRule="auto"/>
        <w:rPr>
          <w:rFonts w:ascii="Times New Roman" w:hAnsi="Times New Roman" w:cs="Times New Roman"/>
          <w:sz w:val="24"/>
          <w:szCs w:val="24"/>
        </w:rPr>
      </w:pPr>
      <w:r>
        <w:rPr>
          <w:rFonts w:ascii="Times New Roman" w:hAnsi="Times New Roman" w:cs="Times New Roman"/>
          <w:sz w:val="24"/>
          <w:szCs w:val="24"/>
        </w:rPr>
        <w:t>Грицаев С.В.</w:t>
      </w:r>
      <w:r w:rsidRPr="002C6DF4">
        <w:rPr>
          <w:rFonts w:ascii="Times New Roman" w:hAnsi="Times New Roman" w:cs="Times New Roman"/>
          <w:sz w:val="24"/>
          <w:szCs w:val="24"/>
        </w:rPr>
        <w:t xml:space="preserve"> - доктор медицинских наук, профессор.</w:t>
      </w:r>
    </w:p>
    <w:p w:rsidR="002C6DF4" w:rsidRDefault="00E95704" w:rsidP="00E95704">
      <w:pPr>
        <w:spacing w:after="0"/>
        <w:rPr>
          <w:rFonts w:ascii="Times New Roman" w:hAnsi="Times New Roman" w:cs="Times New Roman"/>
          <w:b/>
          <w:sz w:val="24"/>
          <w:szCs w:val="24"/>
        </w:rPr>
      </w:pPr>
      <w:r>
        <w:rPr>
          <w:rFonts w:ascii="Times New Roman" w:hAnsi="Times New Roman" w:cs="Times New Roman"/>
          <w:b/>
          <w:sz w:val="24"/>
          <w:szCs w:val="24"/>
        </w:rPr>
        <w:t>ФГБ</w:t>
      </w:r>
      <w:r w:rsidR="002C6DF4">
        <w:rPr>
          <w:rFonts w:ascii="Times New Roman" w:hAnsi="Times New Roman" w:cs="Times New Roman"/>
          <w:b/>
          <w:sz w:val="24"/>
          <w:szCs w:val="24"/>
        </w:rPr>
        <w:t>Н</w:t>
      </w:r>
      <w:r>
        <w:rPr>
          <w:rFonts w:ascii="Times New Roman" w:hAnsi="Times New Roman" w:cs="Times New Roman"/>
          <w:b/>
          <w:sz w:val="24"/>
          <w:szCs w:val="24"/>
        </w:rPr>
        <w:t>У</w:t>
      </w:r>
      <w:r w:rsidR="002C6DF4">
        <w:rPr>
          <w:rFonts w:ascii="Times New Roman" w:hAnsi="Times New Roman" w:cs="Times New Roman"/>
          <w:b/>
          <w:sz w:val="24"/>
          <w:szCs w:val="24"/>
        </w:rPr>
        <w:t xml:space="preserve"> «НИИ Фундаментальной и клинической иммунологии»:</w:t>
      </w:r>
    </w:p>
    <w:p w:rsidR="002C6DF4" w:rsidRDefault="002C6DF4" w:rsidP="00D32047">
      <w:pPr>
        <w:pStyle w:val="a3"/>
        <w:numPr>
          <w:ilvl w:val="0"/>
          <w:numId w:val="141"/>
        </w:numPr>
        <w:spacing w:after="0" w:line="360" w:lineRule="auto"/>
        <w:rPr>
          <w:rFonts w:ascii="Times New Roman" w:hAnsi="Times New Roman" w:cs="Times New Roman"/>
          <w:sz w:val="24"/>
          <w:szCs w:val="24"/>
        </w:rPr>
      </w:pPr>
      <w:r>
        <w:rPr>
          <w:rFonts w:ascii="Times New Roman" w:hAnsi="Times New Roman" w:cs="Times New Roman"/>
          <w:sz w:val="24"/>
          <w:szCs w:val="24"/>
        </w:rPr>
        <w:t>Серге</w:t>
      </w:r>
      <w:r w:rsidR="00E95704">
        <w:rPr>
          <w:rFonts w:ascii="Times New Roman" w:hAnsi="Times New Roman" w:cs="Times New Roman"/>
          <w:sz w:val="24"/>
          <w:szCs w:val="24"/>
        </w:rPr>
        <w:t>е</w:t>
      </w:r>
      <w:r>
        <w:rPr>
          <w:rFonts w:ascii="Times New Roman" w:hAnsi="Times New Roman" w:cs="Times New Roman"/>
          <w:sz w:val="24"/>
          <w:szCs w:val="24"/>
        </w:rPr>
        <w:t>вичева В.В.</w:t>
      </w:r>
      <w:r w:rsidRPr="002C6DF4">
        <w:rPr>
          <w:rFonts w:ascii="Times New Roman" w:hAnsi="Times New Roman" w:cs="Times New Roman"/>
          <w:sz w:val="24"/>
          <w:szCs w:val="24"/>
        </w:rPr>
        <w:t xml:space="preserve"> - </w:t>
      </w:r>
      <w:r w:rsidR="00E95704">
        <w:rPr>
          <w:rFonts w:ascii="Times New Roman" w:hAnsi="Times New Roman" w:cs="Times New Roman"/>
          <w:sz w:val="24"/>
          <w:szCs w:val="24"/>
        </w:rPr>
        <w:t>кандидат</w:t>
      </w:r>
      <w:r>
        <w:rPr>
          <w:rFonts w:ascii="Times New Roman" w:hAnsi="Times New Roman" w:cs="Times New Roman"/>
          <w:sz w:val="24"/>
          <w:szCs w:val="24"/>
        </w:rPr>
        <w:t xml:space="preserve"> медицинских наук</w:t>
      </w:r>
      <w:r w:rsidRPr="002C6DF4">
        <w:rPr>
          <w:rFonts w:ascii="Times New Roman" w:hAnsi="Times New Roman" w:cs="Times New Roman"/>
          <w:sz w:val="24"/>
          <w:szCs w:val="24"/>
        </w:rPr>
        <w:t>.</w:t>
      </w:r>
    </w:p>
    <w:p w:rsidR="002C6DF4" w:rsidRPr="007D25FA" w:rsidRDefault="00E95704" w:rsidP="00E95704">
      <w:pPr>
        <w:spacing w:after="0"/>
        <w:rPr>
          <w:rFonts w:ascii="Times New Roman" w:hAnsi="Times New Roman" w:cs="Times New Roman"/>
          <w:b/>
          <w:sz w:val="24"/>
          <w:szCs w:val="24"/>
        </w:rPr>
      </w:pPr>
      <w:r w:rsidRPr="007D25FA">
        <w:rPr>
          <w:rFonts w:ascii="Times New Roman" w:hAnsi="Times New Roman" w:cs="Times New Roman"/>
          <w:b/>
          <w:sz w:val="24"/>
          <w:szCs w:val="24"/>
        </w:rPr>
        <w:t>ЦКБ с поликлиникой УДПРФ</w:t>
      </w:r>
      <w:r w:rsidR="002C6DF4" w:rsidRPr="007D25FA">
        <w:rPr>
          <w:rFonts w:ascii="Times New Roman" w:hAnsi="Times New Roman" w:cs="Times New Roman"/>
          <w:b/>
          <w:sz w:val="24"/>
          <w:szCs w:val="24"/>
        </w:rPr>
        <w:t>:</w:t>
      </w:r>
    </w:p>
    <w:p w:rsidR="00E95704" w:rsidRPr="007D25FA" w:rsidRDefault="00E95704" w:rsidP="00D32047">
      <w:pPr>
        <w:pStyle w:val="a3"/>
        <w:numPr>
          <w:ilvl w:val="0"/>
          <w:numId w:val="141"/>
        </w:numPr>
        <w:spacing w:after="0" w:line="360" w:lineRule="auto"/>
        <w:rPr>
          <w:rFonts w:ascii="Times New Roman" w:hAnsi="Times New Roman" w:cs="Times New Roman"/>
          <w:sz w:val="24"/>
          <w:szCs w:val="24"/>
        </w:rPr>
      </w:pPr>
      <w:r w:rsidRPr="007D25FA">
        <w:rPr>
          <w:rFonts w:ascii="Times New Roman" w:hAnsi="Times New Roman" w:cs="Times New Roman"/>
          <w:sz w:val="24"/>
          <w:szCs w:val="24"/>
        </w:rPr>
        <w:t>Шаманский С.В.</w:t>
      </w:r>
      <w:r w:rsidR="002C6DF4" w:rsidRPr="007D25FA">
        <w:rPr>
          <w:rFonts w:ascii="Times New Roman" w:hAnsi="Times New Roman" w:cs="Times New Roman"/>
          <w:sz w:val="24"/>
          <w:szCs w:val="24"/>
        </w:rPr>
        <w:t xml:space="preserve"> - </w:t>
      </w:r>
      <w:r w:rsidRPr="007D25FA">
        <w:rPr>
          <w:rFonts w:ascii="Times New Roman" w:hAnsi="Times New Roman" w:cs="Times New Roman"/>
          <w:sz w:val="24"/>
          <w:szCs w:val="24"/>
        </w:rPr>
        <w:t xml:space="preserve">кандидат </w:t>
      </w:r>
      <w:r w:rsidR="002C6DF4" w:rsidRPr="007D25FA">
        <w:rPr>
          <w:rFonts w:ascii="Times New Roman" w:hAnsi="Times New Roman" w:cs="Times New Roman"/>
          <w:sz w:val="24"/>
          <w:szCs w:val="24"/>
        </w:rPr>
        <w:t>медицинских наук.</w:t>
      </w:r>
    </w:p>
    <w:p w:rsidR="00E95704" w:rsidRPr="006D20AB" w:rsidRDefault="00E95704" w:rsidP="00E95704">
      <w:pPr>
        <w:spacing w:after="0"/>
        <w:rPr>
          <w:rFonts w:ascii="Times New Roman" w:hAnsi="Times New Roman" w:cs="Times New Roman"/>
          <w:b/>
          <w:sz w:val="24"/>
          <w:szCs w:val="24"/>
        </w:rPr>
      </w:pPr>
      <w:r w:rsidRPr="006D20AB">
        <w:rPr>
          <w:rFonts w:ascii="Times New Roman" w:hAnsi="Times New Roman" w:cs="Times New Roman"/>
          <w:b/>
          <w:sz w:val="24"/>
          <w:szCs w:val="24"/>
        </w:rPr>
        <w:t>БУ «Сургутская Окружная клиническая больница»:</w:t>
      </w:r>
    </w:p>
    <w:p w:rsidR="00E95704" w:rsidRPr="006D20AB" w:rsidRDefault="006D20AB" w:rsidP="00D32047">
      <w:pPr>
        <w:pStyle w:val="a3"/>
        <w:numPr>
          <w:ilvl w:val="0"/>
          <w:numId w:val="141"/>
        </w:numPr>
        <w:spacing w:after="0" w:line="360" w:lineRule="auto"/>
        <w:rPr>
          <w:rFonts w:ascii="Times New Roman" w:hAnsi="Times New Roman" w:cs="Times New Roman"/>
          <w:sz w:val="24"/>
          <w:szCs w:val="24"/>
        </w:rPr>
      </w:pPr>
      <w:r>
        <w:rPr>
          <w:rFonts w:ascii="Times New Roman" w:hAnsi="Times New Roman" w:cs="Times New Roman"/>
          <w:sz w:val="24"/>
          <w:szCs w:val="24"/>
        </w:rPr>
        <w:t>Зинина Е.Е. - врач - гематолог</w:t>
      </w:r>
      <w:r w:rsidR="00E95704" w:rsidRPr="006D20AB">
        <w:rPr>
          <w:rFonts w:ascii="Times New Roman" w:hAnsi="Times New Roman" w:cs="Times New Roman"/>
          <w:sz w:val="24"/>
          <w:szCs w:val="24"/>
        </w:rPr>
        <w:t>.</w:t>
      </w:r>
    </w:p>
    <w:p w:rsidR="00E95704" w:rsidRDefault="00E95704" w:rsidP="00E95704">
      <w:pPr>
        <w:spacing w:after="0" w:line="360" w:lineRule="auto"/>
        <w:rPr>
          <w:rFonts w:ascii="Times New Roman" w:hAnsi="Times New Roman" w:cs="Times New Roman"/>
          <w:b/>
          <w:sz w:val="24"/>
          <w:szCs w:val="24"/>
        </w:rPr>
      </w:pPr>
    </w:p>
    <w:p w:rsidR="00E95704" w:rsidRDefault="00E95704" w:rsidP="00E95704">
      <w:pPr>
        <w:spacing w:after="0" w:line="360" w:lineRule="auto"/>
        <w:rPr>
          <w:rFonts w:ascii="Times New Roman" w:hAnsi="Times New Roman" w:cs="Times New Roman"/>
          <w:b/>
          <w:sz w:val="24"/>
          <w:szCs w:val="24"/>
        </w:rPr>
      </w:pPr>
    </w:p>
    <w:p w:rsidR="00A72DC4" w:rsidRPr="00E95704" w:rsidRDefault="00A72DC4" w:rsidP="00E95704">
      <w:pPr>
        <w:spacing w:after="0" w:line="360" w:lineRule="auto"/>
        <w:rPr>
          <w:rFonts w:ascii="Times New Roman" w:hAnsi="Times New Roman" w:cs="Times New Roman"/>
          <w:b/>
          <w:sz w:val="24"/>
          <w:szCs w:val="24"/>
        </w:rPr>
      </w:pPr>
      <w:r w:rsidRPr="00E95704">
        <w:rPr>
          <w:rFonts w:ascii="Times New Roman" w:hAnsi="Times New Roman" w:cs="Times New Roman"/>
          <w:b/>
          <w:sz w:val="24"/>
          <w:szCs w:val="24"/>
        </w:rPr>
        <w:br w:type="page"/>
      </w:r>
    </w:p>
    <w:sdt>
      <w:sdtPr>
        <w:rPr>
          <w:rFonts w:ascii="Times New Roman" w:eastAsiaTheme="minorHAnsi" w:hAnsi="Times New Roman" w:cs="Times New Roman"/>
          <w:b w:val="0"/>
          <w:bCs w:val="0"/>
          <w:color w:val="auto"/>
          <w:sz w:val="22"/>
          <w:szCs w:val="22"/>
          <w:lang w:eastAsia="en-US"/>
        </w:rPr>
        <w:id w:val="-274094965"/>
        <w:docPartObj>
          <w:docPartGallery w:val="Table of Contents"/>
          <w:docPartUnique/>
        </w:docPartObj>
      </w:sdtPr>
      <w:sdtEndPr>
        <w:rPr>
          <w:rFonts w:asciiTheme="minorHAnsi" w:hAnsiTheme="minorHAnsi" w:cstheme="minorBidi"/>
        </w:rPr>
      </w:sdtEndPr>
      <w:sdtContent>
        <w:p w:rsidR="00232B28" w:rsidRPr="007D25FA" w:rsidRDefault="00232B28" w:rsidP="00232B28">
          <w:pPr>
            <w:pStyle w:val="a8"/>
            <w:spacing w:after="240"/>
            <w:rPr>
              <w:rFonts w:ascii="Times New Roman" w:hAnsi="Times New Roman" w:cs="Times New Roman"/>
              <w:color w:val="auto"/>
              <w:sz w:val="22"/>
              <w:szCs w:val="22"/>
            </w:rPr>
          </w:pPr>
          <w:r w:rsidRPr="007D25FA">
            <w:rPr>
              <w:rFonts w:ascii="Times New Roman" w:hAnsi="Times New Roman" w:cs="Times New Roman"/>
              <w:color w:val="auto"/>
              <w:sz w:val="22"/>
              <w:szCs w:val="22"/>
            </w:rPr>
            <w:t>Оглавление</w:t>
          </w:r>
        </w:p>
        <w:p w:rsidR="007D25FA" w:rsidRPr="007D25FA" w:rsidRDefault="00232B28">
          <w:pPr>
            <w:pStyle w:val="11"/>
            <w:tabs>
              <w:tab w:val="right" w:leader="dot" w:pos="9345"/>
            </w:tabs>
            <w:rPr>
              <w:rFonts w:ascii="Times New Roman" w:eastAsiaTheme="minorEastAsia" w:hAnsi="Times New Roman" w:cs="Times New Roman"/>
              <w:noProof/>
              <w:lang w:eastAsia="ru-RU"/>
            </w:rPr>
          </w:pPr>
          <w:r w:rsidRPr="007D25FA">
            <w:rPr>
              <w:rFonts w:ascii="Times New Roman" w:hAnsi="Times New Roman" w:cs="Times New Roman"/>
            </w:rPr>
            <w:fldChar w:fldCharType="begin"/>
          </w:r>
          <w:r w:rsidRPr="007D25FA">
            <w:rPr>
              <w:rFonts w:ascii="Times New Roman" w:hAnsi="Times New Roman" w:cs="Times New Roman"/>
            </w:rPr>
            <w:instrText xml:space="preserve"> TOC \o "1-3" \h \z \u </w:instrText>
          </w:r>
          <w:r w:rsidRPr="007D25FA">
            <w:rPr>
              <w:rFonts w:ascii="Times New Roman" w:hAnsi="Times New Roman" w:cs="Times New Roman"/>
            </w:rPr>
            <w:fldChar w:fldCharType="separate"/>
          </w:r>
          <w:hyperlink w:anchor="_Toc44926598" w:history="1">
            <w:r w:rsidR="007D25FA" w:rsidRPr="007D25FA">
              <w:rPr>
                <w:rStyle w:val="a9"/>
                <w:rFonts w:ascii="Times New Roman" w:hAnsi="Times New Roman" w:cs="Times New Roman"/>
                <w:noProof/>
              </w:rPr>
              <w:t>Список сокращений</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_Toc44926598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5</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599" w:history="1">
            <w:r w:rsidR="007D25FA" w:rsidRPr="007D25FA">
              <w:rPr>
                <w:rStyle w:val="a9"/>
                <w:rFonts w:ascii="Times New Roman" w:hAnsi="Times New Roman" w:cs="Times New Roman"/>
                <w:noProof/>
              </w:rPr>
              <w:t>Глава 1. Мобилизация и сбор гемопоэтических стволовых клеток крови</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_Toc44926599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0" w:history="1">
            <w:r w:rsidR="007D25FA" w:rsidRPr="007D25FA">
              <w:rPr>
                <w:rStyle w:val="a9"/>
                <w:rFonts w:ascii="Times New Roman" w:hAnsi="Times New Roman" w:cs="Times New Roman"/>
                <w:noProof/>
              </w:rPr>
              <w:t>1.1.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Общие сведения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_Toc44926600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1" w:history="1">
            <w:r w:rsidR="007D25FA" w:rsidRPr="007D25FA">
              <w:rPr>
                <w:rStyle w:val="a9"/>
                <w:rFonts w:ascii="Times New Roman" w:hAnsi="Times New Roman" w:cs="Times New Roman"/>
                <w:noProof/>
              </w:rPr>
              <w:t>1.2.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Алгоритм принятия решения перед мобилизацией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_Toc44926601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2" w:history="1">
            <w:r w:rsidR="007D25FA" w:rsidRPr="007D25FA">
              <w:rPr>
                <w:rStyle w:val="a9"/>
                <w:rFonts w:ascii="Times New Roman" w:hAnsi="Times New Roman" w:cs="Times New Roman"/>
                <w:noProof/>
              </w:rPr>
              <w:t>1.3.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Факторы риска неэффективной мобилизации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_Toc44926602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8</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3" w:history="1">
            <w:r w:rsidR="007D25FA" w:rsidRPr="007D25FA">
              <w:rPr>
                <w:rStyle w:val="a9"/>
                <w:rFonts w:ascii="Times New Roman" w:hAnsi="Times New Roman" w:cs="Times New Roman"/>
                <w:noProof/>
              </w:rPr>
              <w:t>1.4.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Препараты, используемые для мобилизации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_Toc44926603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9</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440"/>
              <w:tab w:val="right" w:leader="dot" w:pos="9345"/>
            </w:tabs>
            <w:rPr>
              <w:rFonts w:ascii="Times New Roman" w:eastAsiaTheme="minorEastAsia" w:hAnsi="Times New Roman" w:cs="Times New Roman"/>
              <w:noProof/>
              <w:lang w:eastAsia="ru-RU"/>
            </w:rPr>
          </w:pPr>
          <w:hyperlink w:anchor="_Toc44926604" w:history="1">
            <w:r w:rsidR="007D25FA" w:rsidRPr="007D25FA">
              <w:rPr>
                <w:rStyle w:val="a9"/>
                <w:rFonts w:ascii="Times New Roman" w:hAnsi="Times New Roman" w:cs="Times New Roman"/>
                <w:noProof/>
              </w:rPr>
              <w:t>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Режимы мобилизации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_Toc44926604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13</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5" w:history="1">
            <w:r w:rsidR="007D25FA" w:rsidRPr="007D25FA">
              <w:rPr>
                <w:rStyle w:val="a9"/>
                <w:rFonts w:ascii="Times New Roman" w:hAnsi="Times New Roman" w:cs="Times New Roman"/>
                <w:noProof/>
              </w:rPr>
              <w:t>2.1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Г-КСФ в монорежиме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_Toc44926605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13</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6" w:history="1">
            <w:r w:rsidR="007D25FA" w:rsidRPr="007D25FA">
              <w:rPr>
                <w:rStyle w:val="a9"/>
                <w:rFonts w:ascii="Times New Roman" w:hAnsi="Times New Roman" w:cs="Times New Roman"/>
                <w:noProof/>
              </w:rPr>
              <w:t>2.2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Г-КСФ после миелосупрессивной химиотерапии</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_Toc44926606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14</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7" w:history="1">
            <w:r w:rsidR="007D25FA" w:rsidRPr="007D25FA">
              <w:rPr>
                <w:rStyle w:val="a9"/>
                <w:rFonts w:ascii="Times New Roman" w:hAnsi="Times New Roman" w:cs="Times New Roman"/>
                <w:noProof/>
              </w:rPr>
              <w:t>2.3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Г-КСФ в сочетании с плериксафором</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_Toc44926607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16</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8" w:history="1">
            <w:r w:rsidR="007D25FA" w:rsidRPr="007D25FA">
              <w:rPr>
                <w:rStyle w:val="a9"/>
                <w:rFonts w:ascii="Times New Roman" w:hAnsi="Times New Roman" w:cs="Times New Roman"/>
                <w:noProof/>
              </w:rPr>
              <w:t>2.4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Сравнительная характеристика режимов мобилизации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_Toc44926608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16</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09" w:history="1">
            <w:r w:rsidR="007D25FA" w:rsidRPr="007D25FA">
              <w:rPr>
                <w:rStyle w:val="a9"/>
                <w:rFonts w:ascii="Times New Roman" w:hAnsi="Times New Roman" w:cs="Times New Roman"/>
                <w:noProof/>
              </w:rPr>
              <w:t>2.5</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Особенности сопроводительной терапии при мобилизации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_Toc44926609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18</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440"/>
              <w:tab w:val="right" w:leader="dot" w:pos="9345"/>
            </w:tabs>
            <w:rPr>
              <w:rFonts w:ascii="Times New Roman" w:eastAsiaTheme="minorEastAsia" w:hAnsi="Times New Roman" w:cs="Times New Roman"/>
              <w:noProof/>
              <w:lang w:eastAsia="ru-RU"/>
            </w:rPr>
          </w:pPr>
          <w:hyperlink w:anchor="_Toc44926610" w:history="1">
            <w:r w:rsidR="007D25FA" w:rsidRPr="007D25FA">
              <w:rPr>
                <w:rStyle w:val="a9"/>
                <w:rFonts w:ascii="Times New Roman" w:hAnsi="Times New Roman" w:cs="Times New Roman"/>
                <w:noProof/>
              </w:rPr>
              <w:t>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Лейкаферез и криоконсервирование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_Toc44926610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19</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11" w:history="1">
            <w:r w:rsidR="007D25FA" w:rsidRPr="007D25FA">
              <w:rPr>
                <w:rStyle w:val="a9"/>
                <w:rFonts w:ascii="Times New Roman" w:hAnsi="Times New Roman" w:cs="Times New Roman"/>
                <w:noProof/>
              </w:rPr>
              <w:t>3.1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Лейкоцитаферез</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_Toc44926611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19</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12" w:history="1">
            <w:r w:rsidR="007D25FA" w:rsidRPr="007D25FA">
              <w:rPr>
                <w:rStyle w:val="a9"/>
                <w:rFonts w:ascii="Times New Roman" w:hAnsi="Times New Roman" w:cs="Times New Roman"/>
                <w:noProof/>
              </w:rPr>
              <w:t>3.2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Криоконсервирование трансплантата</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_Toc44926612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20</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440"/>
              <w:tab w:val="right" w:leader="dot" w:pos="9345"/>
            </w:tabs>
            <w:rPr>
              <w:rFonts w:ascii="Times New Roman" w:eastAsiaTheme="minorEastAsia" w:hAnsi="Times New Roman" w:cs="Times New Roman"/>
              <w:noProof/>
              <w:lang w:eastAsia="ru-RU"/>
            </w:rPr>
          </w:pPr>
          <w:hyperlink w:anchor="_Toc44926613" w:history="1">
            <w:r w:rsidR="007D25FA" w:rsidRPr="007D25FA">
              <w:rPr>
                <w:rStyle w:val="a9"/>
                <w:rFonts w:ascii="Times New Roman" w:hAnsi="Times New Roman" w:cs="Times New Roman"/>
                <w:noProof/>
              </w:rPr>
              <w:t>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Обследование пациентов перед мобилизацией и сбором 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_Toc44926613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21</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14" w:history="1">
            <w:r w:rsidR="007D25FA" w:rsidRPr="007D25FA">
              <w:rPr>
                <w:rStyle w:val="a9"/>
                <w:rFonts w:ascii="Times New Roman" w:hAnsi="Times New Roman" w:cs="Times New Roman"/>
                <w:noProof/>
              </w:rPr>
              <w:t>4.1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Общие методы обследования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_Toc44926614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21</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15" w:history="1">
            <w:r w:rsidR="007D25FA" w:rsidRPr="007D25FA">
              <w:rPr>
                <w:rStyle w:val="a9"/>
                <w:rFonts w:ascii="Times New Roman" w:hAnsi="Times New Roman" w:cs="Times New Roman"/>
                <w:noProof/>
              </w:rPr>
              <w:t>4.2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Специальные методы обследования при различных вариантах гемобластозов</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_Toc44926615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22</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616" w:history="1">
            <w:r w:rsidR="007D25FA" w:rsidRPr="007D25FA">
              <w:rPr>
                <w:rStyle w:val="a9"/>
                <w:rFonts w:ascii="Times New Roman" w:hAnsi="Times New Roman" w:cs="Times New Roman"/>
                <w:noProof/>
              </w:rPr>
              <w:t>Глава 2. Трансплантация аутологичных стволовых клеток крови</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_Toc44926616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24</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17" w:history="1">
            <w:r w:rsidR="007D25FA" w:rsidRPr="007D25FA">
              <w:rPr>
                <w:rStyle w:val="a9"/>
                <w:rFonts w:ascii="Times New Roman" w:hAnsi="Times New Roman" w:cs="Times New Roman"/>
                <w:noProof/>
              </w:rPr>
              <w:t>2.1.1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Ауто-ТГСК при множественной миеломе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_Toc44926617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24</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18" w:history="1">
            <w:r w:rsidR="007D25FA" w:rsidRPr="007D25FA">
              <w:rPr>
                <w:rStyle w:val="a9"/>
                <w:rFonts w:ascii="Times New Roman" w:hAnsi="Times New Roman" w:cs="Times New Roman"/>
                <w:noProof/>
              </w:rPr>
              <w:t>2.1.2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Ауто-ТГСК при лимфпролиферативных заболеваниях</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_Toc44926618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27</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19" w:history="1">
            <w:r w:rsidR="007D25FA" w:rsidRPr="007D25FA">
              <w:rPr>
                <w:rStyle w:val="a9"/>
                <w:rFonts w:ascii="Times New Roman" w:hAnsi="Times New Roman" w:cs="Times New Roman"/>
                <w:noProof/>
              </w:rPr>
              <w:t>2.1.3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Ауто-ТГСК при ОМЛ и остром промиелоцитарном лейкозе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_Toc44926619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27</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20" w:history="1">
            <w:r w:rsidR="007D25FA" w:rsidRPr="007D25FA">
              <w:rPr>
                <w:rStyle w:val="a9"/>
                <w:rFonts w:ascii="Times New Roman" w:hAnsi="Times New Roman" w:cs="Times New Roman"/>
                <w:noProof/>
              </w:rPr>
              <w:t>2.1.4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Ауто-ТГСК при Ph-позитивном остром лимфобластном лейкозе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_Toc44926620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28</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21" w:history="1">
            <w:r w:rsidR="007D25FA" w:rsidRPr="007D25FA">
              <w:rPr>
                <w:rStyle w:val="a9"/>
                <w:rFonts w:ascii="Times New Roman" w:hAnsi="Times New Roman" w:cs="Times New Roman"/>
                <w:noProof/>
              </w:rPr>
              <w:t>2.2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Противопоказания к выполнению ауто-ТГСК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_Toc44926621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28</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622" w:history="1">
            <w:r w:rsidR="007D25FA" w:rsidRPr="007D25FA">
              <w:rPr>
                <w:rStyle w:val="a9"/>
                <w:rFonts w:ascii="Times New Roman" w:hAnsi="Times New Roman" w:cs="Times New Roman"/>
                <w:noProof/>
              </w:rPr>
              <w:t>2.2.1 Абсолютные противопоказания к выполнению ауто-ТГСК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_Toc44926622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28</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623" w:history="1">
            <w:r w:rsidR="007D25FA" w:rsidRPr="007D25FA">
              <w:rPr>
                <w:rStyle w:val="a9"/>
                <w:rFonts w:ascii="Times New Roman" w:hAnsi="Times New Roman" w:cs="Times New Roman"/>
                <w:noProof/>
              </w:rPr>
              <w:t>2.2.2. Относительные противопоказания к выполнению ауто-ТГСК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_Toc44926623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28</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24" w:history="1">
            <w:r w:rsidR="007D25FA" w:rsidRPr="007D25FA">
              <w:rPr>
                <w:rStyle w:val="a9"/>
                <w:rFonts w:ascii="Times New Roman" w:hAnsi="Times New Roman" w:cs="Times New Roman"/>
                <w:noProof/>
              </w:rPr>
              <w:t>2.3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Обследование пациентов перед ауто-ТГСК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_Toc44926624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29</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25" w:history="1">
            <w:r w:rsidR="007D25FA" w:rsidRPr="007D25FA">
              <w:rPr>
                <w:rStyle w:val="a9"/>
                <w:rFonts w:ascii="Times New Roman" w:hAnsi="Times New Roman" w:cs="Times New Roman"/>
                <w:noProof/>
              </w:rPr>
              <w:t>2.3.1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Общие методы обследования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_Toc44926625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29</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26" w:history="1">
            <w:r w:rsidR="007D25FA" w:rsidRPr="007D25FA">
              <w:rPr>
                <w:rStyle w:val="a9"/>
                <w:rFonts w:ascii="Times New Roman" w:hAnsi="Times New Roman" w:cs="Times New Roman"/>
                <w:noProof/>
              </w:rPr>
              <w:t>2.3.2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Специальные методы обследования при различных вариантах гемобластозов</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_Toc44926626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30</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27" w:history="1">
            <w:r w:rsidR="007D25FA" w:rsidRPr="007D25FA">
              <w:rPr>
                <w:rStyle w:val="a9"/>
                <w:rFonts w:ascii="Times New Roman" w:hAnsi="Times New Roman" w:cs="Times New Roman"/>
                <w:noProof/>
              </w:rPr>
              <w:t>2.4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Режимы предтрансплантационной подготовки при ауто-ТГСК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_Toc44926627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32</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28" w:history="1">
            <w:r w:rsidR="007D25FA" w:rsidRPr="007D25FA">
              <w:rPr>
                <w:rStyle w:val="a9"/>
                <w:rFonts w:ascii="Times New Roman" w:hAnsi="Times New Roman" w:cs="Times New Roman"/>
                <w:noProof/>
              </w:rPr>
              <w:t>2.4.1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Режим кондиционирования при ММ и плазмоклеточных дискразиях</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_Toc44926628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32</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29" w:history="1">
            <w:r w:rsidR="007D25FA" w:rsidRPr="007D25FA">
              <w:rPr>
                <w:rStyle w:val="a9"/>
                <w:rFonts w:ascii="Times New Roman" w:hAnsi="Times New Roman" w:cs="Times New Roman"/>
                <w:noProof/>
              </w:rPr>
              <w:t>2.4.2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Режимы кондиционирования при лимфопролиферативных заболеваниях</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_Toc44926629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33</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30" w:history="1">
            <w:r w:rsidR="007D25FA" w:rsidRPr="007D25FA">
              <w:rPr>
                <w:rStyle w:val="a9"/>
                <w:rFonts w:ascii="Times New Roman" w:hAnsi="Times New Roman" w:cs="Times New Roman"/>
                <w:noProof/>
              </w:rPr>
              <w:t>2.4.3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Режим кондиционирования при первичной лимфоме центральной нервной системы</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_Toc44926630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35</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880"/>
              <w:tab w:val="right" w:leader="dot" w:pos="9345"/>
            </w:tabs>
            <w:rPr>
              <w:rFonts w:ascii="Times New Roman" w:eastAsiaTheme="minorEastAsia" w:hAnsi="Times New Roman" w:cs="Times New Roman"/>
              <w:noProof/>
              <w:lang w:eastAsia="ru-RU"/>
            </w:rPr>
          </w:pPr>
          <w:hyperlink w:anchor="_Toc44926631" w:history="1">
            <w:r w:rsidR="007D25FA" w:rsidRPr="007D25FA">
              <w:rPr>
                <w:rStyle w:val="a9"/>
                <w:rFonts w:ascii="Times New Roman" w:hAnsi="Times New Roman" w:cs="Times New Roman"/>
                <w:noProof/>
              </w:rPr>
              <w:t>2.4.4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Режим кондиционирования при ОМЛ и остром промиелоцитарном лейкозе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_Toc44926631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36</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2" w:history="1">
            <w:r w:rsidR="007D25FA" w:rsidRPr="007D25FA">
              <w:rPr>
                <w:rStyle w:val="a9"/>
                <w:rFonts w:ascii="Times New Roman" w:hAnsi="Times New Roman" w:cs="Times New Roman"/>
                <w:noProof/>
              </w:rPr>
              <w:t>2.5</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Инфузия аутологичных гемопоэтических стволовых клеток.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_Toc44926632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37</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633" w:history="1">
            <w:r w:rsidR="007D25FA" w:rsidRPr="007D25FA">
              <w:rPr>
                <w:rStyle w:val="a9"/>
                <w:rFonts w:ascii="Times New Roman" w:hAnsi="Times New Roman" w:cs="Times New Roman"/>
                <w:noProof/>
              </w:rPr>
              <w:t>Глава 3. Сопроводительная терапия при ауто-ТГСК.</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_Toc44926633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38</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4" w:history="1">
            <w:r w:rsidR="007D25FA" w:rsidRPr="007D25FA">
              <w:rPr>
                <w:rStyle w:val="a9"/>
                <w:rFonts w:ascii="Times New Roman" w:hAnsi="Times New Roman" w:cs="Times New Roman"/>
                <w:noProof/>
              </w:rPr>
              <w:t>3.1.</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Инфузионная терапия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_Toc44926634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38</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5" w:history="1">
            <w:r w:rsidR="007D25FA" w:rsidRPr="007D25FA">
              <w:rPr>
                <w:rStyle w:val="a9"/>
                <w:rFonts w:ascii="Times New Roman" w:hAnsi="Times New Roman" w:cs="Times New Roman"/>
                <w:noProof/>
              </w:rPr>
              <w:t>3.2.</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Антиэметическая терапия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_Toc44926635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39</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6" w:history="1">
            <w:r w:rsidR="007D25FA" w:rsidRPr="007D25FA">
              <w:rPr>
                <w:rStyle w:val="a9"/>
                <w:rFonts w:ascii="Times New Roman" w:hAnsi="Times New Roman" w:cs="Times New Roman"/>
                <w:noProof/>
              </w:rPr>
              <w:t>3.3.</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Профилактика тромбозов</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_Toc44926636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46</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7" w:history="1">
            <w:r w:rsidR="007D25FA" w:rsidRPr="007D25FA">
              <w:rPr>
                <w:rStyle w:val="a9"/>
                <w:rFonts w:ascii="Times New Roman" w:hAnsi="Times New Roman" w:cs="Times New Roman"/>
                <w:noProof/>
              </w:rPr>
              <w:t>3.4.</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Антисекреторная терапия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_Toc44926637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47</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8" w:history="1">
            <w:r w:rsidR="007D25FA" w:rsidRPr="007D25FA">
              <w:rPr>
                <w:rStyle w:val="a9"/>
                <w:rFonts w:ascii="Times New Roman" w:hAnsi="Times New Roman" w:cs="Times New Roman"/>
                <w:noProof/>
              </w:rPr>
              <w:t>3.5.</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Антимикробная терапия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_Toc44926638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50</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39" w:history="1">
            <w:r w:rsidR="007D25FA" w:rsidRPr="007D25FA">
              <w:rPr>
                <w:rStyle w:val="a9"/>
                <w:rFonts w:ascii="Times New Roman" w:hAnsi="Times New Roman" w:cs="Times New Roman"/>
                <w:noProof/>
              </w:rPr>
              <w:t>3.6.</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Трансфузионная терапия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_Toc44926639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70</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40" w:history="1">
            <w:r w:rsidR="007D25FA" w:rsidRPr="007D25FA">
              <w:rPr>
                <w:rStyle w:val="a9"/>
                <w:rFonts w:ascii="Times New Roman" w:hAnsi="Times New Roman" w:cs="Times New Roman"/>
                <w:noProof/>
              </w:rPr>
              <w:t>3.7.</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Лабораторный и инструментальный мониторинг в раннем посттрансплантационном периоде</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_Toc44926640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71</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41" w:history="1">
            <w:r w:rsidR="007D25FA" w:rsidRPr="007D25FA">
              <w:rPr>
                <w:rStyle w:val="a9"/>
                <w:rFonts w:ascii="Times New Roman" w:hAnsi="Times New Roman" w:cs="Times New Roman"/>
                <w:noProof/>
              </w:rPr>
              <w:t>3.8.</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Нутритивная терапия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_Toc44926641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72</w:t>
            </w:r>
            <w:r w:rsidR="007D25FA" w:rsidRPr="007D25FA">
              <w:rPr>
                <w:rFonts w:ascii="Times New Roman" w:hAnsi="Times New Roman" w:cs="Times New Roman"/>
                <w:noProof/>
                <w:webHidden/>
              </w:rPr>
              <w:fldChar w:fldCharType="end"/>
            </w:r>
          </w:hyperlink>
        </w:p>
        <w:p w:rsidR="007D25FA" w:rsidRPr="007D25FA" w:rsidRDefault="00EC74D9">
          <w:pPr>
            <w:pStyle w:val="11"/>
            <w:tabs>
              <w:tab w:val="left" w:pos="660"/>
              <w:tab w:val="right" w:leader="dot" w:pos="9345"/>
            </w:tabs>
            <w:rPr>
              <w:rFonts w:ascii="Times New Roman" w:eastAsiaTheme="minorEastAsia" w:hAnsi="Times New Roman" w:cs="Times New Roman"/>
              <w:noProof/>
              <w:lang w:eastAsia="ru-RU"/>
            </w:rPr>
          </w:pPr>
          <w:hyperlink w:anchor="_Toc44926642" w:history="1">
            <w:r w:rsidR="007D25FA" w:rsidRPr="007D25FA">
              <w:rPr>
                <w:rStyle w:val="a9"/>
                <w:rFonts w:ascii="Times New Roman" w:hAnsi="Times New Roman" w:cs="Times New Roman"/>
                <w:noProof/>
              </w:rPr>
              <w:t>3.9.</w:t>
            </w:r>
            <w:r w:rsidR="007D25FA" w:rsidRPr="007D25FA">
              <w:rPr>
                <w:rFonts w:ascii="Times New Roman" w:eastAsiaTheme="minorEastAsia" w:hAnsi="Times New Roman" w:cs="Times New Roman"/>
                <w:noProof/>
                <w:lang w:eastAsia="ru-RU"/>
              </w:rPr>
              <w:tab/>
            </w:r>
            <w:r w:rsidR="007D25FA" w:rsidRPr="007D25FA">
              <w:rPr>
                <w:rStyle w:val="a9"/>
                <w:rFonts w:ascii="Times New Roman" w:hAnsi="Times New Roman" w:cs="Times New Roman"/>
                <w:noProof/>
              </w:rPr>
              <w:t>Обезболивание в период нейтропении</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_Toc44926642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75</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643" w:history="1">
            <w:r w:rsidR="007D25FA" w:rsidRPr="007D25FA">
              <w:rPr>
                <w:rStyle w:val="a9"/>
                <w:rFonts w:ascii="Times New Roman" w:hAnsi="Times New Roman" w:cs="Times New Roman"/>
                <w:noProof/>
              </w:rPr>
              <w:t>Приложения</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_Toc44926643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76</w:t>
            </w:r>
            <w:r w:rsidR="007D25FA" w:rsidRPr="007D25FA">
              <w:rPr>
                <w:rFonts w:ascii="Times New Roman" w:hAnsi="Times New Roman" w:cs="Times New Roman"/>
                <w:noProof/>
                <w:webHidden/>
              </w:rPr>
              <w:fldChar w:fldCharType="end"/>
            </w:r>
          </w:hyperlink>
        </w:p>
        <w:p w:rsidR="007D25FA" w:rsidRPr="007D25FA" w:rsidRDefault="00EC74D9">
          <w:pPr>
            <w:pStyle w:val="11"/>
            <w:tabs>
              <w:tab w:val="right" w:leader="dot" w:pos="9345"/>
            </w:tabs>
            <w:rPr>
              <w:rFonts w:ascii="Times New Roman" w:eastAsiaTheme="minorEastAsia" w:hAnsi="Times New Roman" w:cs="Times New Roman"/>
              <w:noProof/>
              <w:lang w:eastAsia="ru-RU"/>
            </w:rPr>
          </w:pPr>
          <w:hyperlink w:anchor="_Toc44926644" w:history="1">
            <w:r w:rsidR="007D25FA" w:rsidRPr="007D25FA">
              <w:rPr>
                <w:rStyle w:val="a9"/>
                <w:rFonts w:ascii="Times New Roman" w:hAnsi="Times New Roman" w:cs="Times New Roman"/>
                <w:noProof/>
              </w:rPr>
              <w:t>Список литературы</w:t>
            </w:r>
            <w:r w:rsidR="007D25FA" w:rsidRPr="007D25FA">
              <w:rPr>
                <w:rFonts w:ascii="Times New Roman" w:hAnsi="Times New Roman" w:cs="Times New Roman"/>
                <w:noProof/>
                <w:webHidden/>
              </w:rPr>
              <w:tab/>
            </w:r>
            <w:r w:rsidR="007D25FA" w:rsidRPr="007D25FA">
              <w:rPr>
                <w:rFonts w:ascii="Times New Roman" w:hAnsi="Times New Roman" w:cs="Times New Roman"/>
                <w:noProof/>
                <w:webHidden/>
              </w:rPr>
              <w:fldChar w:fldCharType="begin"/>
            </w:r>
            <w:r w:rsidR="007D25FA" w:rsidRPr="007D25FA">
              <w:rPr>
                <w:rFonts w:ascii="Times New Roman" w:hAnsi="Times New Roman" w:cs="Times New Roman"/>
                <w:noProof/>
                <w:webHidden/>
              </w:rPr>
              <w:instrText xml:space="preserve"> PAGEREF _Toc44926644 \h </w:instrText>
            </w:r>
            <w:r w:rsidR="007D25FA" w:rsidRPr="007D25FA">
              <w:rPr>
                <w:rFonts w:ascii="Times New Roman" w:hAnsi="Times New Roman" w:cs="Times New Roman"/>
                <w:noProof/>
                <w:webHidden/>
              </w:rPr>
            </w:r>
            <w:r w:rsidR="007D25FA" w:rsidRPr="007D25FA">
              <w:rPr>
                <w:rFonts w:ascii="Times New Roman" w:hAnsi="Times New Roman" w:cs="Times New Roman"/>
                <w:noProof/>
                <w:webHidden/>
              </w:rPr>
              <w:fldChar w:fldCharType="separate"/>
            </w:r>
            <w:r w:rsidR="007D25FA" w:rsidRPr="007D25FA">
              <w:rPr>
                <w:rFonts w:ascii="Times New Roman" w:hAnsi="Times New Roman" w:cs="Times New Roman"/>
                <w:noProof/>
                <w:webHidden/>
              </w:rPr>
              <w:t>87</w:t>
            </w:r>
            <w:r w:rsidR="007D25FA" w:rsidRPr="007D25FA">
              <w:rPr>
                <w:rFonts w:ascii="Times New Roman" w:hAnsi="Times New Roman" w:cs="Times New Roman"/>
                <w:noProof/>
                <w:webHidden/>
              </w:rPr>
              <w:fldChar w:fldCharType="end"/>
            </w:r>
          </w:hyperlink>
        </w:p>
        <w:p w:rsidR="00232B28" w:rsidRDefault="00232B28" w:rsidP="00B42784">
          <w:pPr>
            <w:jc w:val="both"/>
          </w:pPr>
          <w:r w:rsidRPr="007D25FA">
            <w:rPr>
              <w:rFonts w:ascii="Times New Roman" w:hAnsi="Times New Roman" w:cs="Times New Roman"/>
              <w:b/>
              <w:bCs/>
            </w:rPr>
            <w:fldChar w:fldCharType="end"/>
          </w:r>
        </w:p>
      </w:sdtContent>
    </w:sdt>
    <w:p w:rsidR="00A72DC4" w:rsidRDefault="00A72DC4">
      <w:pPr>
        <w:rPr>
          <w:rFonts w:ascii="Times New Roman" w:hAnsi="Times New Roman" w:cs="Times New Roman"/>
          <w:b/>
          <w:sz w:val="24"/>
          <w:szCs w:val="24"/>
        </w:rPr>
      </w:pPr>
      <w:r>
        <w:rPr>
          <w:rFonts w:ascii="Times New Roman" w:hAnsi="Times New Roman" w:cs="Times New Roman"/>
          <w:b/>
          <w:sz w:val="24"/>
          <w:szCs w:val="24"/>
        </w:rPr>
        <w:br w:type="page"/>
      </w:r>
    </w:p>
    <w:p w:rsidR="00A72DC4" w:rsidRDefault="00A72DC4" w:rsidP="00A72DC4">
      <w:pPr>
        <w:pStyle w:val="1"/>
        <w:spacing w:after="240"/>
        <w:jc w:val="center"/>
        <w:rPr>
          <w:rFonts w:ascii="Times New Roman" w:hAnsi="Times New Roman" w:cs="Times New Roman"/>
          <w:color w:val="auto"/>
        </w:rPr>
      </w:pPr>
      <w:bookmarkStart w:id="1" w:name="_Toc44926598"/>
      <w:r w:rsidRPr="00A72DC4">
        <w:rPr>
          <w:rFonts w:ascii="Times New Roman" w:hAnsi="Times New Roman" w:cs="Times New Roman"/>
          <w:color w:val="auto"/>
        </w:rPr>
        <w:lastRenderedPageBreak/>
        <w:t>Список сокращений</w:t>
      </w:r>
      <w:bookmarkEnd w:id="1"/>
    </w:p>
    <w:p w:rsidR="00896142" w:rsidRPr="00896142" w:rsidRDefault="00896142" w:rsidP="00896142">
      <w:pPr>
        <w:tabs>
          <w:tab w:val="left" w:pos="0"/>
        </w:tabs>
        <w:spacing w:after="0" w:line="360" w:lineRule="auto"/>
        <w:jc w:val="both"/>
        <w:rPr>
          <w:rFonts w:ascii="Times New Roman" w:hAnsi="Times New Roman" w:cs="Times New Roman"/>
          <w:sz w:val="24"/>
          <w:szCs w:val="24"/>
        </w:rPr>
      </w:pPr>
      <w:r w:rsidRPr="00896142">
        <w:rPr>
          <w:rFonts w:ascii="Times New Roman" w:hAnsi="Times New Roman" w:cs="Times New Roman"/>
          <w:sz w:val="24"/>
          <w:szCs w:val="24"/>
        </w:rPr>
        <w:t xml:space="preserve">ESMO – Европейское общество </w:t>
      </w:r>
      <w:r w:rsidR="00901824">
        <w:rPr>
          <w:rFonts w:ascii="Times New Roman" w:hAnsi="Times New Roman" w:cs="Times New Roman"/>
          <w:sz w:val="24"/>
          <w:szCs w:val="24"/>
        </w:rPr>
        <w:t>медицинских онкологов</w:t>
      </w:r>
    </w:p>
    <w:p w:rsidR="00896142" w:rsidRPr="00896142" w:rsidRDefault="00896142" w:rsidP="00896142">
      <w:pPr>
        <w:tabs>
          <w:tab w:val="left" w:pos="0"/>
        </w:tabs>
        <w:spacing w:after="0" w:line="360" w:lineRule="auto"/>
        <w:jc w:val="both"/>
        <w:rPr>
          <w:rFonts w:ascii="Times New Roman" w:hAnsi="Times New Roman" w:cs="Times New Roman"/>
          <w:sz w:val="24"/>
          <w:szCs w:val="24"/>
        </w:rPr>
      </w:pPr>
      <w:r w:rsidRPr="00896142">
        <w:rPr>
          <w:rFonts w:ascii="Times New Roman" w:hAnsi="Times New Roman" w:cs="Times New Roman"/>
          <w:sz w:val="24"/>
          <w:szCs w:val="24"/>
        </w:rPr>
        <w:t>ESPEN – Европейское общество парентерального и энтерального питания</w:t>
      </w:r>
    </w:p>
    <w:p w:rsidR="00896142" w:rsidRPr="00212D51" w:rsidRDefault="00896142" w:rsidP="00A43889">
      <w:pPr>
        <w:tabs>
          <w:tab w:val="left" w:pos="0"/>
        </w:tabs>
        <w:spacing w:line="360" w:lineRule="auto"/>
        <w:contextualSpacing/>
        <w:jc w:val="both"/>
        <w:rPr>
          <w:rFonts w:ascii="Times New Roman" w:hAnsi="Times New Roman" w:cs="Times New Roman"/>
          <w:sz w:val="24"/>
          <w:szCs w:val="24"/>
        </w:rPr>
      </w:pPr>
      <w:r w:rsidRPr="00212D51">
        <w:rPr>
          <w:rFonts w:ascii="Times New Roman" w:hAnsi="Times New Roman" w:cs="Times New Roman"/>
          <w:sz w:val="24"/>
          <w:szCs w:val="24"/>
        </w:rPr>
        <w:t>HT - гидрокситриптамин (серотонин)</w:t>
      </w:r>
    </w:p>
    <w:p w:rsidR="00896142" w:rsidRPr="00212D51" w:rsidRDefault="00896142" w:rsidP="00A43889">
      <w:pPr>
        <w:tabs>
          <w:tab w:val="left" w:pos="0"/>
        </w:tabs>
        <w:spacing w:line="360" w:lineRule="auto"/>
        <w:contextualSpacing/>
        <w:jc w:val="both"/>
        <w:rPr>
          <w:rFonts w:ascii="Times New Roman" w:hAnsi="Times New Roman" w:cs="Times New Roman"/>
          <w:sz w:val="24"/>
          <w:szCs w:val="24"/>
        </w:rPr>
      </w:pPr>
      <w:r w:rsidRPr="00212D51">
        <w:rPr>
          <w:rFonts w:ascii="Times New Roman" w:hAnsi="Times New Roman" w:cs="Times New Roman"/>
          <w:sz w:val="24"/>
          <w:szCs w:val="24"/>
        </w:rPr>
        <w:t xml:space="preserve">MASCC - Международная ассоциация по поддерживающему лечению в онкологии </w:t>
      </w:r>
    </w:p>
    <w:p w:rsidR="00896142" w:rsidRPr="00896142" w:rsidRDefault="00896142" w:rsidP="00A43889">
      <w:pPr>
        <w:tabs>
          <w:tab w:val="left" w:pos="0"/>
        </w:tabs>
        <w:spacing w:line="360" w:lineRule="auto"/>
        <w:contextualSpacing/>
        <w:jc w:val="both"/>
        <w:rPr>
          <w:rFonts w:ascii="Times New Roman" w:hAnsi="Times New Roman" w:cs="Times New Roman"/>
          <w:sz w:val="24"/>
          <w:szCs w:val="24"/>
          <w:lang w:val="en-US"/>
        </w:rPr>
      </w:pPr>
      <w:r w:rsidRPr="00896142">
        <w:rPr>
          <w:rFonts w:ascii="Times New Roman" w:hAnsi="Times New Roman" w:cs="Times New Roman"/>
          <w:sz w:val="24"/>
          <w:szCs w:val="24"/>
          <w:lang w:val="en-US"/>
        </w:rPr>
        <w:t xml:space="preserve">NK-1 - </w:t>
      </w:r>
      <w:r w:rsidRPr="00212D51">
        <w:rPr>
          <w:rFonts w:ascii="Times New Roman" w:hAnsi="Times New Roman" w:cs="Times New Roman"/>
          <w:sz w:val="24"/>
          <w:szCs w:val="24"/>
        </w:rPr>
        <w:t>Нейрокинин</w:t>
      </w:r>
      <w:r w:rsidRPr="00896142">
        <w:rPr>
          <w:rFonts w:ascii="Times New Roman" w:hAnsi="Times New Roman" w:cs="Times New Roman"/>
          <w:sz w:val="24"/>
          <w:szCs w:val="24"/>
          <w:lang w:val="en-US"/>
        </w:rPr>
        <w:t>-1</w:t>
      </w:r>
    </w:p>
    <w:p w:rsidR="00896142" w:rsidRPr="00896142" w:rsidRDefault="00896142" w:rsidP="00896142">
      <w:pPr>
        <w:tabs>
          <w:tab w:val="left" w:pos="0"/>
        </w:tabs>
        <w:spacing w:after="0" w:line="360" w:lineRule="auto"/>
        <w:jc w:val="both"/>
        <w:rPr>
          <w:rFonts w:ascii="Times New Roman" w:hAnsi="Times New Roman" w:cs="Times New Roman"/>
          <w:sz w:val="24"/>
          <w:szCs w:val="24"/>
          <w:lang w:val="en-US"/>
        </w:rPr>
      </w:pPr>
      <w:r w:rsidRPr="00896142">
        <w:rPr>
          <w:rFonts w:ascii="Times New Roman" w:hAnsi="Times New Roman" w:cs="Times New Roman"/>
          <w:sz w:val="24"/>
          <w:szCs w:val="24"/>
          <w:lang w:val="en-US"/>
        </w:rPr>
        <w:t>NRS - Nutritional Risk Screening</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 xml:space="preserve">SDF-1α, CXCL12 - стромальный фактор роста-1α </w:t>
      </w:r>
    </w:p>
    <w:p w:rsidR="00896142" w:rsidRDefault="00896142" w:rsidP="00A43889">
      <w:pPr>
        <w:spacing w:line="240" w:lineRule="auto"/>
        <w:jc w:val="both"/>
        <w:rPr>
          <w:rFonts w:ascii="Times New Roman" w:hAnsi="Times New Roman" w:cs="Times New Roman"/>
          <w:sz w:val="24"/>
          <w:szCs w:val="24"/>
        </w:rPr>
      </w:pPr>
      <w:r>
        <w:rPr>
          <w:rFonts w:ascii="Times New Roman" w:hAnsi="Times New Roman" w:cs="Times New Roman"/>
          <w:sz w:val="24"/>
          <w:szCs w:val="24"/>
        </w:rPr>
        <w:t>ауто-ТГСК - трансплантация аутологичных стволовых клеток крови</w:t>
      </w:r>
    </w:p>
    <w:p w:rsidR="00896142" w:rsidRPr="00DB1FCB"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 xml:space="preserve">БАЛ – бронхоальвеолярный лаваж </w:t>
      </w:r>
    </w:p>
    <w:p w:rsidR="00896142" w:rsidRPr="00212D51" w:rsidRDefault="00896142" w:rsidP="00A43889">
      <w:pPr>
        <w:tabs>
          <w:tab w:val="left" w:pos="0"/>
        </w:tabs>
        <w:spacing w:line="360" w:lineRule="auto"/>
        <w:contextualSpacing/>
        <w:jc w:val="both"/>
        <w:rPr>
          <w:rFonts w:ascii="Times New Roman" w:hAnsi="Times New Roman" w:cs="Times New Roman"/>
          <w:sz w:val="24"/>
          <w:szCs w:val="24"/>
        </w:rPr>
      </w:pPr>
      <w:r w:rsidRPr="00212D51">
        <w:rPr>
          <w:rFonts w:ascii="Times New Roman" w:hAnsi="Times New Roman" w:cs="Times New Roman"/>
          <w:sz w:val="24"/>
          <w:szCs w:val="24"/>
        </w:rPr>
        <w:t>ГКС – глюкокортикостероиды</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Г-КСФ - гранулоцитарный колониестимулирующий фактор</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ГМ-КСФ - гранулоцитарно-макрофагальный колониестимулирующий фактор</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 xml:space="preserve">ГСК - гемопоэтические стволовые клетки </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ДМСО - диметилсульфоксид</w:t>
      </w:r>
    </w:p>
    <w:p w:rsidR="00896142" w:rsidRPr="00212D51" w:rsidRDefault="00896142" w:rsidP="00A43889">
      <w:pPr>
        <w:tabs>
          <w:tab w:val="left" w:pos="0"/>
        </w:tabs>
        <w:spacing w:line="360" w:lineRule="auto"/>
        <w:contextualSpacing/>
        <w:jc w:val="both"/>
        <w:rPr>
          <w:rFonts w:ascii="Times New Roman" w:hAnsi="Times New Roman" w:cs="Times New Roman"/>
          <w:sz w:val="24"/>
          <w:szCs w:val="24"/>
        </w:rPr>
      </w:pPr>
      <w:r w:rsidRPr="00212D51">
        <w:rPr>
          <w:rFonts w:ascii="Times New Roman" w:hAnsi="Times New Roman" w:cs="Times New Roman"/>
          <w:sz w:val="24"/>
          <w:szCs w:val="24"/>
        </w:rPr>
        <w:t>ЖКТ - желудочно-кишечный тракт</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ИЛ-3 - интерлейкин-3</w:t>
      </w:r>
    </w:p>
    <w:p w:rsidR="00896142" w:rsidRPr="00212D51" w:rsidRDefault="00896142" w:rsidP="00A43889">
      <w:pPr>
        <w:tabs>
          <w:tab w:val="left" w:pos="0"/>
        </w:tabs>
        <w:spacing w:line="360" w:lineRule="auto"/>
        <w:contextualSpacing/>
        <w:jc w:val="both"/>
        <w:rPr>
          <w:rFonts w:ascii="Times New Roman" w:hAnsi="Times New Roman" w:cs="Times New Roman"/>
          <w:sz w:val="24"/>
          <w:szCs w:val="24"/>
        </w:rPr>
      </w:pPr>
      <w:r w:rsidRPr="00212D51">
        <w:rPr>
          <w:rFonts w:ascii="Times New Roman" w:hAnsi="Times New Roman" w:cs="Times New Roman"/>
          <w:sz w:val="24"/>
          <w:szCs w:val="24"/>
        </w:rPr>
        <w:t>ИПП - ингибиторы протоновой помпы</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КСФ - колониестимулирующие факторы</w:t>
      </w:r>
    </w:p>
    <w:p w:rsidR="00896142" w:rsidRPr="00DB1FCB"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КТ – компьютерная томография</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М-КСФ - макрофагальный колониестимулирующий фактор</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ММ – множественная миелома</w:t>
      </w:r>
    </w:p>
    <w:p w:rsidR="00896142" w:rsidRPr="00DB1FCB"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МРТ – магнитно-резонансная томография</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МТА – миелотоксический агранулоцитоз</w:t>
      </w:r>
    </w:p>
    <w:p w:rsidR="00896142" w:rsidRDefault="00896142" w:rsidP="00163277">
      <w:pPr>
        <w:rPr>
          <w:rFonts w:ascii="Times New Roman" w:hAnsi="Times New Roman" w:cs="Times New Roman"/>
          <w:sz w:val="24"/>
          <w:szCs w:val="24"/>
        </w:rPr>
      </w:pPr>
      <w:r>
        <w:rPr>
          <w:rFonts w:ascii="Times New Roman" w:hAnsi="Times New Roman" w:cs="Times New Roman"/>
          <w:sz w:val="24"/>
          <w:szCs w:val="24"/>
        </w:rPr>
        <w:t xml:space="preserve">НМГ - низкомолекулярные гепарины </w:t>
      </w:r>
    </w:p>
    <w:p w:rsidR="00896142" w:rsidRPr="00896142" w:rsidRDefault="00896142" w:rsidP="00896142">
      <w:pPr>
        <w:tabs>
          <w:tab w:val="left" w:pos="0"/>
        </w:tabs>
        <w:spacing w:after="0" w:line="360" w:lineRule="auto"/>
        <w:jc w:val="both"/>
        <w:rPr>
          <w:rFonts w:ascii="Times New Roman" w:hAnsi="Times New Roman" w:cs="Times New Roman"/>
          <w:sz w:val="24"/>
          <w:szCs w:val="24"/>
        </w:rPr>
      </w:pPr>
      <w:r w:rsidRPr="00896142">
        <w:rPr>
          <w:rFonts w:ascii="Times New Roman" w:hAnsi="Times New Roman" w:cs="Times New Roman"/>
          <w:sz w:val="24"/>
          <w:szCs w:val="24"/>
        </w:rPr>
        <w:t>НП – нутритивная поддержка</w:t>
      </w:r>
    </w:p>
    <w:p w:rsidR="00896142" w:rsidRDefault="00896142" w:rsidP="00163277">
      <w:pPr>
        <w:rPr>
          <w:rFonts w:ascii="Times New Roman" w:hAnsi="Times New Roman" w:cs="Times New Roman"/>
          <w:b/>
          <w:sz w:val="24"/>
          <w:szCs w:val="24"/>
        </w:rPr>
      </w:pPr>
      <w:r>
        <w:rPr>
          <w:rFonts w:ascii="Times New Roman" w:hAnsi="Times New Roman" w:cs="Times New Roman"/>
          <w:sz w:val="24"/>
          <w:szCs w:val="24"/>
        </w:rPr>
        <w:t>НПВС</w:t>
      </w:r>
      <w:r>
        <w:rPr>
          <w:rFonts w:ascii="Times New Roman" w:hAnsi="Times New Roman" w:cs="Times New Roman"/>
          <w:b/>
          <w:sz w:val="24"/>
          <w:szCs w:val="24"/>
        </w:rPr>
        <w:t xml:space="preserve"> -</w:t>
      </w:r>
      <w:r>
        <w:rPr>
          <w:rFonts w:ascii="Times New Roman" w:hAnsi="Times New Roman" w:cs="Times New Roman"/>
          <w:sz w:val="24"/>
          <w:szCs w:val="24"/>
        </w:rPr>
        <w:t xml:space="preserve"> нестороидные противовоспалительные средства</w:t>
      </w:r>
    </w:p>
    <w:p w:rsidR="0089614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НХЛ – неходжкинские лимфомы</w:t>
      </w:r>
    </w:p>
    <w:p w:rsidR="00896142" w:rsidRPr="00896142" w:rsidRDefault="00896142" w:rsidP="00896142">
      <w:pPr>
        <w:tabs>
          <w:tab w:val="left" w:pos="0"/>
        </w:tabs>
        <w:spacing w:after="0" w:line="360" w:lineRule="auto"/>
        <w:jc w:val="both"/>
        <w:rPr>
          <w:rFonts w:ascii="Times New Roman" w:hAnsi="Times New Roman" w:cs="Times New Roman"/>
          <w:sz w:val="24"/>
          <w:szCs w:val="24"/>
        </w:rPr>
      </w:pPr>
      <w:r w:rsidRPr="00896142">
        <w:rPr>
          <w:rFonts w:ascii="Times New Roman" w:hAnsi="Times New Roman" w:cs="Times New Roman"/>
          <w:sz w:val="24"/>
          <w:szCs w:val="24"/>
        </w:rPr>
        <w:t>ПП – парентеральное питание</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ПЭГ – полиэтиленгликол</w:t>
      </w:r>
    </w:p>
    <w:p w:rsidR="00896142" w:rsidRPr="00212D51" w:rsidRDefault="00896142" w:rsidP="00A43889">
      <w:pPr>
        <w:tabs>
          <w:tab w:val="left" w:pos="0"/>
        </w:tabs>
        <w:spacing w:line="360" w:lineRule="auto"/>
        <w:contextualSpacing/>
        <w:jc w:val="both"/>
        <w:rPr>
          <w:rFonts w:ascii="Times New Roman" w:hAnsi="Times New Roman" w:cs="Times New Roman"/>
          <w:bCs/>
          <w:sz w:val="24"/>
          <w:szCs w:val="24"/>
        </w:rPr>
      </w:pPr>
      <w:r w:rsidRPr="00212D51">
        <w:rPr>
          <w:rFonts w:ascii="Times New Roman" w:hAnsi="Times New Roman" w:cs="Times New Roman"/>
          <w:bCs/>
          <w:sz w:val="24"/>
          <w:szCs w:val="24"/>
        </w:rPr>
        <w:t>ПЭТ - позитронно-эмиссионная томография</w:t>
      </w:r>
    </w:p>
    <w:p w:rsidR="00896142" w:rsidRDefault="00896142" w:rsidP="00163277">
      <w:pPr>
        <w:spacing w:after="0" w:line="360" w:lineRule="auto"/>
        <w:jc w:val="both"/>
        <w:rPr>
          <w:rFonts w:ascii="Times New Roman" w:hAnsi="Times New Roman" w:cs="Times New Roman"/>
          <w:sz w:val="24"/>
        </w:rPr>
      </w:pPr>
      <w:r>
        <w:rPr>
          <w:rFonts w:ascii="Times New Roman" w:hAnsi="Times New Roman" w:cs="Times New Roman"/>
          <w:sz w:val="24"/>
          <w:szCs w:val="24"/>
        </w:rPr>
        <w:lastRenderedPageBreak/>
        <w:t>СЗП - свежезамороженная плазма</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СКФ – скорость клубочковой фильтрации</w:t>
      </w:r>
    </w:p>
    <w:p w:rsidR="00896142" w:rsidRPr="00DB1FCB"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 xml:space="preserve">СМЖ – спинномозговая жидкость </w:t>
      </w:r>
    </w:p>
    <w:p w:rsidR="00896142" w:rsidRPr="00DB1FCB"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УЗИ – ультразвуковая диагностика</w:t>
      </w:r>
    </w:p>
    <w:p w:rsidR="00896142" w:rsidRPr="00470BE2" w:rsidRDefault="00896142" w:rsidP="00A43889">
      <w:pPr>
        <w:spacing w:line="240" w:lineRule="auto"/>
        <w:jc w:val="both"/>
        <w:rPr>
          <w:rFonts w:ascii="Times New Roman" w:hAnsi="Times New Roman" w:cs="Times New Roman"/>
          <w:sz w:val="24"/>
          <w:szCs w:val="24"/>
        </w:rPr>
      </w:pPr>
      <w:r w:rsidRPr="00470BE2">
        <w:rPr>
          <w:rFonts w:ascii="Times New Roman" w:hAnsi="Times New Roman" w:cs="Times New Roman"/>
          <w:sz w:val="24"/>
          <w:szCs w:val="24"/>
        </w:rPr>
        <w:t>ХТ – химиотерапия</w:t>
      </w:r>
    </w:p>
    <w:p w:rsidR="00896142" w:rsidRPr="0095427D"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ЦВК – центральный венозный катетер</w:t>
      </w:r>
    </w:p>
    <w:p w:rsidR="00896142" w:rsidRPr="00DB1FCB"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ЦМВ – цитомегаловирус</w:t>
      </w:r>
    </w:p>
    <w:p w:rsidR="00896142" w:rsidRDefault="00896142" w:rsidP="00A43889">
      <w:pPr>
        <w:tabs>
          <w:tab w:val="left" w:pos="0"/>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ЦНС – центральная нервная система</w:t>
      </w:r>
    </w:p>
    <w:p w:rsidR="00896142" w:rsidRDefault="00896142" w:rsidP="00163277">
      <w:pPr>
        <w:rPr>
          <w:rFonts w:ascii="Times New Roman" w:hAnsi="Times New Roman" w:cs="Times New Roman"/>
          <w:sz w:val="24"/>
          <w:szCs w:val="24"/>
        </w:rPr>
      </w:pPr>
      <w:r>
        <w:rPr>
          <w:rFonts w:ascii="Times New Roman" w:hAnsi="Times New Roman" w:cs="Times New Roman"/>
          <w:sz w:val="24"/>
          <w:szCs w:val="24"/>
        </w:rPr>
        <w:t>ЦОГ - циклооксигеназа</w:t>
      </w:r>
    </w:p>
    <w:p w:rsidR="00A72DC4" w:rsidRDefault="00A72DC4">
      <w:r>
        <w:br w:type="page"/>
      </w:r>
    </w:p>
    <w:p w:rsidR="0095427D" w:rsidRPr="0095427D" w:rsidRDefault="0095427D" w:rsidP="0095427D">
      <w:pPr>
        <w:pStyle w:val="1"/>
        <w:spacing w:after="240"/>
        <w:jc w:val="center"/>
        <w:rPr>
          <w:rFonts w:ascii="Times New Roman" w:hAnsi="Times New Roman" w:cs="Times New Roman"/>
          <w:color w:val="auto"/>
        </w:rPr>
      </w:pPr>
      <w:bookmarkStart w:id="2" w:name="_Toc44926599"/>
      <w:r w:rsidRPr="0095427D">
        <w:rPr>
          <w:rFonts w:ascii="Times New Roman" w:hAnsi="Times New Roman" w:cs="Times New Roman"/>
          <w:color w:val="auto"/>
        </w:rPr>
        <w:lastRenderedPageBreak/>
        <w:t>Глава 1. Мобилизация и сбор гемопоэтических стволовых клеток крови</w:t>
      </w:r>
      <w:bookmarkEnd w:id="2"/>
    </w:p>
    <w:p w:rsidR="0095427D" w:rsidRPr="0095427D" w:rsidRDefault="0095427D" w:rsidP="00780185">
      <w:pPr>
        <w:pStyle w:val="1"/>
        <w:numPr>
          <w:ilvl w:val="1"/>
          <w:numId w:val="105"/>
        </w:numPr>
        <w:spacing w:before="0" w:line="360" w:lineRule="auto"/>
        <w:rPr>
          <w:rFonts w:ascii="Times New Roman" w:hAnsi="Times New Roman" w:cs="Times New Roman"/>
          <w:color w:val="auto"/>
          <w:sz w:val="24"/>
        </w:rPr>
      </w:pPr>
      <w:bookmarkStart w:id="3" w:name="_Toc44926600"/>
      <w:r w:rsidRPr="0095427D">
        <w:rPr>
          <w:rFonts w:ascii="Times New Roman" w:hAnsi="Times New Roman" w:cs="Times New Roman"/>
          <w:color w:val="auto"/>
          <w:sz w:val="24"/>
        </w:rPr>
        <w:t>Общие сведения</w:t>
      </w:r>
      <w:bookmarkEnd w:id="3"/>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Мобилизация </w:t>
      </w:r>
      <w:r w:rsidR="00D92A11">
        <w:rPr>
          <w:rFonts w:ascii="Times New Roman" w:hAnsi="Times New Roman" w:cs="Times New Roman"/>
          <w:sz w:val="24"/>
          <w:szCs w:val="24"/>
        </w:rPr>
        <w:t xml:space="preserve">– резкое увеличение количества </w:t>
      </w:r>
      <w:r w:rsidRPr="0095427D">
        <w:rPr>
          <w:rFonts w:ascii="Times New Roman" w:hAnsi="Times New Roman" w:cs="Times New Roman"/>
          <w:sz w:val="24"/>
          <w:szCs w:val="24"/>
        </w:rPr>
        <w:t xml:space="preserve">гемопоэтических стволовых клеток (ГСК) в периферической крови под </w:t>
      </w:r>
      <w:r w:rsidR="00D92A11">
        <w:rPr>
          <w:rFonts w:ascii="Times New Roman" w:hAnsi="Times New Roman" w:cs="Times New Roman"/>
          <w:sz w:val="24"/>
          <w:szCs w:val="24"/>
        </w:rPr>
        <w:t>воздействием ростовых факторов.</w:t>
      </w:r>
    </w:p>
    <w:p w:rsid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Исторически схемы мобилизации были основаны на применении химиотерапевтических препаратов, так как во время восстановления гемопоэза было замечено временное увеличение циркуляции стволовых клеток в крови. Однако результаты сбора ГСК были неудовлетворительными. Первые упоминания о присутствии в крови факторов, влияющих на кроветворение, относятся к началу прошлого столетия. В середине </w:t>
      </w:r>
      <w:r w:rsidRPr="0095427D">
        <w:rPr>
          <w:rFonts w:ascii="Times New Roman" w:hAnsi="Times New Roman" w:cs="Times New Roman"/>
          <w:sz w:val="24"/>
          <w:szCs w:val="24"/>
          <w:lang w:val="en-US"/>
        </w:rPr>
        <w:t>XX</w:t>
      </w:r>
      <w:r w:rsidRPr="0095427D">
        <w:rPr>
          <w:rFonts w:ascii="Times New Roman" w:hAnsi="Times New Roman" w:cs="Times New Roman"/>
          <w:sz w:val="24"/>
          <w:szCs w:val="24"/>
        </w:rPr>
        <w:t xml:space="preserve"> века две группы исследователей из США и Австралии разработали культуральную агаровую систему, в которой наблюдали рост колоний кроветворных клеток-предшественниц при добавлении определенных веществ. Эти вещества назвали колониестимулирующими факторами (КСФ). Дальнейшее их изучение позволило выделить несколько видов КСФ: гранулоцитарный (Г-КСФ), гранулоцитарно-макрофагальный (ГМ-КСФ), макрофагальный (М-КСФ), а также интерлейкин-3 (ИЛ-3)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{"citationItems":[{"id":"ITEM-1","itemData":{"DOI":"10.1073/pnas.82.5.1526","ISSN":"00278424","PMID":"3871951","abstract":"Pluripotent hematopoietic colony-stimulating factor (pluripotent CSF), a protein that is constitutively produced by the human bladder carcinoma cell line 5637, has been purified from low serum (0.2% fetal calf serum)-containing conditioned medium. The purification involved sequential ammonium sulfate precipitation, ion-exchange chromatography, gel filtration, and reversed-phase high-performance liquid chromatography. The purified protein has a molecular weight of 18,000 in NaDodSO4/polyacrylamide gel electrophoresis, both by the silver staining technique and by elution of biological activity from a corresponding gel slice, and has an isoelectric point of 5.5. Pluripotent CSF supports the growth of human mixed colonies, granulocyte-macrophage colonies, and early erythroid colonies and induces differentiation of the human promyelocytic leukemic cell line HL-60 and the murine myelomonocytic leukemic cell line WEHI-3B (D+). The specific activity of the purified pluripotent CSF in the granulocyte-macrophage colony assay is 1.5 x 108 units/mg of protein.","author":[{"dropping-particle":"","family":"Welte","given":"K.","non-dropping-particle":"","parse-names":false,"suffix":""},{"dropping-particle":"","family":"Platzer","given":"E.","non-dropping-particle":"","parse-names":false,"suffix":""},{"dropping-particle":"","family":"Lu","given":"L.","non-dropping-particle":"","parse-names":false,"suffix":""},{"dropping-particle":"","family":"Gabrilove","given":"J. L.","non-dropping-particle":"","parse-names":false,"suffix":""},{"dropping-particle":"","family":"Levi","given":"E.","non-dropping-particle":"","parse-names":false,"suffix":""},{"dropping-particle":"","family":"Mertelsmann","given":"R.","non-dropping-particle":"","parse-names":false,"suffix":""},{"dropping-particle":"","family":"Moore","given":"M. A.","non-dropping-particle":"","parse-names":false,"suffix":""}],"container-title":"Proceedings of the National Academy of Sciences of the United States of America","id":"ITEM-1","issue":"5","issued":{"date-parts":[["1985"]]},"page":"1526-1530","publisher":"Proc Natl Acad Sci U S A","title":"Purification and biochemical characterization of human pluripotent hematopoietic colony-stimulating factor","type":"article-journal","volume":"82"},"uris":["http://www.mendeley.com/documents/?uuid=5a57c90b-10d4-3d1e-84dc-5ac72b3ec78e","http://www.mendeley.com/documents/?uuid=41736d03-81c6-4c9d-9a68-05b29415ebd4","http://www.mendeley.com/documents/?uuid=8b38e00f-df77-4da9-9ba0-e5a98fa4faf8","http://www.mendeley.com/documents/?uuid=9ac7dafe-885b-40a2-b482-765fe36e21ca","http://www.mendeley.com/documents/?uuid=bc0e2586-6f76-47d1-901a-4feb252dd38c","http://www.mendeley.com/documents/?uuid=ce804cbb-1eb2-4746-a514-982ca9436e54"]}],"mendeley":{"formattedCitation":"[74]","plainTextFormattedCitation":"[74]","previouslyFormattedCitation":"[73]"},"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[74]</w:t>
      </w:r>
      <w:r w:rsidRPr="0095427D">
        <w:rPr>
          <w:rFonts w:ascii="Times New Roman" w:hAnsi="Times New Roman" w:cs="Times New Roman"/>
          <w:sz w:val="24"/>
          <w:szCs w:val="24"/>
        </w:rPr>
        <w:fldChar w:fldCharType="end"/>
      </w:r>
      <w:r w:rsidR="00486EFE">
        <w:rPr>
          <w:rFonts w:ascii="Times New Roman" w:hAnsi="Times New Roman" w:cs="Times New Roman"/>
          <w:sz w:val="24"/>
          <w:szCs w:val="24"/>
        </w:rPr>
        <w:t>.</w:t>
      </w:r>
    </w:p>
    <w:p w:rsidR="008748B2" w:rsidRDefault="0095427D" w:rsidP="008748B2">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В клинической практике рекомбинантные препараты Г-КСФ получили наиболее широкое распространение в качестве стимуляторов лейкопоэза. В настоящее время применение Г-КСФ является стандартом при мобилизации ГСК</w:t>
      </w:r>
      <w:r w:rsidR="003E7B44">
        <w:rPr>
          <w:rFonts w:ascii="Times New Roman" w:hAnsi="Times New Roman" w:cs="Times New Roman"/>
          <w:sz w:val="24"/>
          <w:szCs w:val="24"/>
        </w:rPr>
        <w:t xml:space="preserve"> </w:t>
      </w:r>
      <w:r w:rsidRPr="0095427D">
        <w:rPr>
          <w:rFonts w:ascii="Times New Roman" w:hAnsi="Times New Roman" w:cs="Times New Roman"/>
          <w:sz w:val="24"/>
          <w:szCs w:val="24"/>
        </w:rPr>
        <w:t xml:space="preserve">. </w:t>
      </w:r>
    </w:p>
    <w:p w:rsidR="0095427D" w:rsidRPr="0095427D" w:rsidRDefault="008748B2" w:rsidP="008748B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Разработано</w:t>
      </w:r>
      <w:r w:rsidR="0095427D" w:rsidRPr="0095427D">
        <w:rPr>
          <w:rFonts w:ascii="Times New Roman" w:hAnsi="Times New Roman" w:cs="Times New Roman"/>
          <w:sz w:val="24"/>
          <w:szCs w:val="24"/>
        </w:rPr>
        <w:t xml:space="preserve"> несколько схем мобилизации ГСК, используемых в онкогематологии, в каждой из </w:t>
      </w:r>
      <w:r>
        <w:rPr>
          <w:rFonts w:ascii="Times New Roman" w:hAnsi="Times New Roman" w:cs="Times New Roman"/>
          <w:sz w:val="24"/>
          <w:szCs w:val="24"/>
        </w:rPr>
        <w:t>которых</w:t>
      </w:r>
      <w:r w:rsidR="0095427D" w:rsidRPr="0095427D">
        <w:rPr>
          <w:rFonts w:ascii="Times New Roman" w:hAnsi="Times New Roman" w:cs="Times New Roman"/>
          <w:sz w:val="24"/>
          <w:szCs w:val="24"/>
        </w:rPr>
        <w:t xml:space="preserve"> применяется </w:t>
      </w:r>
      <w:r w:rsidRPr="0095427D">
        <w:rPr>
          <w:rFonts w:ascii="Times New Roman" w:hAnsi="Times New Roman" w:cs="Times New Roman"/>
          <w:sz w:val="24"/>
          <w:szCs w:val="24"/>
        </w:rPr>
        <w:t>Г-КСФ</w:t>
      </w:r>
      <w:r w:rsidR="0095427D" w:rsidRPr="0095427D">
        <w:rPr>
          <w:rFonts w:ascii="Times New Roman" w:hAnsi="Times New Roman" w:cs="Times New Roman"/>
          <w:sz w:val="24"/>
          <w:szCs w:val="24"/>
        </w:rPr>
        <w:t xml:space="preserve">. </w:t>
      </w:r>
    </w:p>
    <w:p w:rsidR="0095427D" w:rsidRPr="0095427D" w:rsidRDefault="0095427D" w:rsidP="00780185">
      <w:pPr>
        <w:pStyle w:val="1"/>
        <w:numPr>
          <w:ilvl w:val="1"/>
          <w:numId w:val="105"/>
        </w:numPr>
        <w:spacing w:before="0" w:after="240"/>
        <w:jc w:val="center"/>
        <w:rPr>
          <w:rFonts w:ascii="Times New Roman" w:hAnsi="Times New Roman" w:cs="Times New Roman"/>
          <w:color w:val="auto"/>
          <w:sz w:val="24"/>
        </w:rPr>
      </w:pPr>
      <w:bookmarkStart w:id="4" w:name="_Toc44926601"/>
      <w:r w:rsidRPr="0095427D">
        <w:rPr>
          <w:rFonts w:ascii="Times New Roman" w:hAnsi="Times New Roman" w:cs="Times New Roman"/>
          <w:color w:val="auto"/>
          <w:sz w:val="24"/>
        </w:rPr>
        <w:t>Алгоритм принятия решения перед мобилизацией ГСК</w:t>
      </w:r>
      <w:bookmarkEnd w:id="4"/>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w:t>
      </w:r>
      <w:r w:rsidRPr="0095427D">
        <w:rPr>
          <w:rFonts w:ascii="Times New Roman" w:hAnsi="Times New Roman" w:cs="Times New Roman"/>
          <w:sz w:val="24"/>
          <w:szCs w:val="24"/>
        </w:rPr>
        <w:tab/>
        <w:t xml:space="preserve"> оценка статуса больного (наличие показаний для </w:t>
      </w:r>
      <w:r w:rsidR="008748B2">
        <w:rPr>
          <w:rFonts w:ascii="Times New Roman" w:hAnsi="Times New Roman" w:cs="Times New Roman"/>
          <w:sz w:val="24"/>
          <w:szCs w:val="24"/>
        </w:rPr>
        <w:t>трансплантации аутологичных гемопоэтических стволовых клеток (</w:t>
      </w:r>
      <w:r w:rsidRPr="0095427D">
        <w:rPr>
          <w:rFonts w:ascii="Times New Roman" w:hAnsi="Times New Roman" w:cs="Times New Roman"/>
          <w:sz w:val="24"/>
          <w:szCs w:val="24"/>
        </w:rPr>
        <w:t>ауто-ТГСК</w:t>
      </w:r>
      <w:r w:rsidR="008748B2">
        <w:rPr>
          <w:rFonts w:ascii="Times New Roman" w:hAnsi="Times New Roman" w:cs="Times New Roman"/>
          <w:sz w:val="24"/>
          <w:szCs w:val="24"/>
        </w:rPr>
        <w:t>)</w:t>
      </w:r>
      <w:r w:rsidRPr="0095427D">
        <w:rPr>
          <w:rFonts w:ascii="Times New Roman" w:hAnsi="Times New Roman" w:cs="Times New Roman"/>
          <w:sz w:val="24"/>
          <w:szCs w:val="24"/>
        </w:rPr>
        <w:t>, стандартное обследование для исключения факторов, препятствующих проведению высокодозного лечения, коморбидность, согласие больного, изучение предшествующей терапии -</w:t>
      </w:r>
      <w:r w:rsidR="008748B2">
        <w:rPr>
          <w:rFonts w:ascii="Times New Roman" w:hAnsi="Times New Roman" w:cs="Times New Roman"/>
          <w:sz w:val="24"/>
          <w:szCs w:val="24"/>
        </w:rPr>
        <w:t xml:space="preserve"> </w:t>
      </w:r>
      <w:r w:rsidRPr="0095427D">
        <w:rPr>
          <w:rFonts w:ascii="Times New Roman" w:hAnsi="Times New Roman" w:cs="Times New Roman"/>
          <w:sz w:val="24"/>
          <w:szCs w:val="24"/>
        </w:rPr>
        <w:t>количество курсов и сроки окончания лечения, использование лучевой терапии)</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w:t>
      </w:r>
      <w:r w:rsidRPr="0095427D">
        <w:rPr>
          <w:rFonts w:ascii="Times New Roman" w:hAnsi="Times New Roman" w:cs="Times New Roman"/>
          <w:sz w:val="24"/>
          <w:szCs w:val="24"/>
        </w:rPr>
        <w:tab/>
        <w:t>оценка статуса болезни - глубина противоопухолевого ответа, наличие ремиссии, сроки ее достижения;</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w:t>
      </w:r>
      <w:r w:rsidRPr="0095427D">
        <w:rPr>
          <w:rFonts w:ascii="Times New Roman" w:hAnsi="Times New Roman" w:cs="Times New Roman"/>
          <w:sz w:val="24"/>
          <w:szCs w:val="24"/>
        </w:rPr>
        <w:tab/>
        <w:t xml:space="preserve"> оценка состояния кроветворения (гистологическое исследование костного мозга позволит выявить угнетение ростков кроветворения, </w:t>
      </w:r>
      <w:r w:rsidR="00DE3C04">
        <w:rPr>
          <w:rFonts w:ascii="Times New Roman" w:hAnsi="Times New Roman" w:cs="Times New Roman"/>
          <w:sz w:val="24"/>
          <w:szCs w:val="24"/>
        </w:rPr>
        <w:t>а также инфильтрацию костного мозга опухолевыми клетками</w:t>
      </w:r>
      <w:r w:rsidRPr="0095427D">
        <w:rPr>
          <w:rFonts w:ascii="Times New Roman" w:hAnsi="Times New Roman" w:cs="Times New Roman"/>
          <w:sz w:val="24"/>
          <w:szCs w:val="24"/>
        </w:rPr>
        <w:t>)</w:t>
      </w:r>
    </w:p>
    <w:p w:rsidR="008748B2"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Наиболее доступным иммунологическим маркером кроветворных предшественников является экспрессия антигена СD34. Эта молекула присутствует как на </w:t>
      </w:r>
      <w:r w:rsidRPr="0095427D">
        <w:rPr>
          <w:rFonts w:ascii="Times New Roman" w:hAnsi="Times New Roman" w:cs="Times New Roman"/>
          <w:sz w:val="24"/>
          <w:szCs w:val="24"/>
        </w:rPr>
        <w:lastRenderedPageBreak/>
        <w:t>наиболее примитивных стволовых клетках, так и на дифференцированных предшественниках, однако на зрелых гемопоэтическ</w:t>
      </w:r>
      <w:r w:rsidR="008748B2">
        <w:rPr>
          <w:rFonts w:ascii="Times New Roman" w:hAnsi="Times New Roman" w:cs="Times New Roman"/>
          <w:sz w:val="24"/>
          <w:szCs w:val="24"/>
        </w:rPr>
        <w:t>их клетках экспрессии CD34 нет.</w:t>
      </w:r>
    </w:p>
    <w:p w:rsid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Именно суммарный пул CD34+ клеток определяет сроки восстановления кроветворения после трансплантации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{"citationItems":[{"id":"ITEM-1","itemData":{"DOI":"10.1182/blood.v87.1.1.bloodjournal8711","ISSN":"00064971","PMID":"8547630","author":[{"dropping-particle":"","family":"Krause","given":"Diane S.","non-dropping-particle":"","parse-names":false,"suffix":""},{"dropping-particle":"","family":"Fackler","given":"Mary Jo","non-dropping-particle":"","parse-names":false,"suffix":""},{"dropping-particle":"","family":"Civin","given":"Curt I.","non-dropping-particle":"","parse-names":false,"suffix":""},{"dropping-particle":"","family":"May","given":"W. Stratford","non-dropping-particle":"","parse-names":false,"suffix":""}],"container-title":"Blood","id":"ITEM-1","issue":"1","issued":{"date-parts":[["1996","1"]]},"page":"1-13","publisher":"American Society of Hematology","title":"CD34: Structure, biology, and clinical utility","type":"article","volume":"87"},"uris":["http://www.mendeley.com/documents/?uuid=e4a53186-d5a2-35ce-9c02-67bfa05e0886","http://www.mendeley.com/documents/?uuid=1a71f447-44fb-4b59-ac8a-1da92d0990b3","http://www.mendeley.com/documents/?uuid=518c4307-6db7-4716-894c-8d6c14cf80db","http://www.mendeley.com/documents/?uuid=c05ac1ea-efeb-4341-9a99-2e75eb37db1e","http://www.mendeley.com/documents/?uuid=95496d3c-b097-411f-9ec4-45c1036c6a68","http://www.mendeley.com/documents/?uuid=f461ab1d-9e2e-41ce-99d7-7c0f5d907eb5"]},{"id":"ITEM-2","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Transplantation","id":"ITEM-2","issue":"3","issued":{"date-parts":[["2014","3"]]},"page":"295-308","publisher":"Elsevier","title":"Optimizing autologous stem cell mobilization strategies to improve patient outcomes: Consensus guidelines and recommendations","type":"article","volume":"20"},"uris":["http://www.mendeley.com/documents/?uuid=f0ad3abd-ce55-3df5-b4f9-e8598b8d0fa8","http://www.mendeley.com/documents/?uuid=aa3272db-ed0f-40c1-949a-b78843f4ce67","http://www.mendeley.com/documents/?uuid=cf158ac3-8f92-4973-85ea-fed641e1f9aa","http://www.mendeley.com/documents/?uuid=312e78a3-0bac-4bd4-bc5d-4ab2db1ceb87","http://www.mendeley.com/documents/?uuid=e4bbc320-ed80-4839-8759-9919ec753098","http://www.mendeley.com/documents/?uuid=43c5883b-a94a-435d-a102-5bbe11f4e704"]}],"mendeley":{"formattedCitation":"[41, 49]","plainTextFormattedCitation":"[41, 49]","previouslyFormattedCitation":"[40, 48]"},"properties":{"noteIndex":0},"schema":"https://github.com/citation-style-language/schema/raw/master/csl-citation.json"}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[41, 49]</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 Неоднократно предпринимались попытки установить количество CD34+ клеток, необходимое для быстрого и успешного восстановления гемопоэза после трансплантации</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{"citationItems":[{"id":"ITEM-1","itemData":{"DOI":"10.1016/j.bbmt.2010.11.021","ISSN":"10838791","abstract":"Autologous hematopoietic stem cell transplantation (ASCT) is an established treatment for patients with hematologic malignancies, yet the impact of transplanted CD34 + cell dose on clinical outcomes is unresolved. We conducted post hoc analyses of transplanted CD34 + cell dose and hematopoietic recovery following ASCT in 438 patients with non-Hodgkin lymphoma (NHL) or multiple myeloma (MM), using data from 2 multicenter phase 3 clinical studies that compared plerixafor plus granulocyte-colony stimulating factor (G-CSF) versus placebo plus G-CSF as stem cell mobilization regimens. Days to engraftment and the proportion of patients who reached predetermined blood count thresholds were compared across 3 CD34 + cell dose levels: 2-4 × 10 6 cells/kg, 4-6 × 10 6 cells/kg, and &gt;6 × 10 6 cells/kg, regardless of mobilization treatment. Short-term neutrophil and platelet engraftment times were similar regardless of cell dose. A significant linear trend was observed between transplanted CD34 + cell dose and the proportion of patients with platelet count &gt;150 × 10 9/L at 100 days (P &lt; .001), 6 months (P = 026), and 12 months (P = 020) in patients with NHL, and at 100 days in patients with MM (P = 004). A linear trend was also observed between transplanted cell dose and the proportion of patients with platelet count &gt;100 × 10 9/L at 100 days (P &lt; .001) and 6 months (P = 023) in patients with NHL. A higher cell dose was associated with a lower percentage of NHL patients requiring red blood cell transfusions (P = 006). Our analyses confirm previous findings that transplanted CD34 + cell dose may be associated with better long-term platelet recovery after ASCT. © 2011 American Society for Blood and Marrow Transplantation.","author":[{"dropping-particle":"","family":"Stiff","given":"Patrick J.","non-dropping-particle":"","parse-names":false,"suffix":""},{"dropping-particle":"","family":"Micallef","given":"Ivana","non-dropping-particle":"","parse-names":false,"suffix":""},{"dropping-particle":"","family":"Nademanee","given":"Auayporn P.","non-dropping-particle":"","parse-names":false,"suffix":""},{"dropping-particle":"","family":"Stadtmauer","given":"Edward A.","non-dropping-particle":"","parse-names":false,"suffix":""},{"dropping-particle":"","family":"Maziarz","given":"Richard T.","non-dropping-particle":"","parse-names":false,"suffix":""},{"dropping-particle":"","family":"Bolwell","given":"Brian J.","non-dropping-particle":"","parse-names":false,"suffix":""},{"dropping-particle":"","family":"Bridger","given":"Gary","non-dropping-particle":"","parse-names":false,"suffix":""},{"dropping-particle":"","family":"Marulkar","given":"Sachin","non-dropping-particle":"","parse-names":false,"suffix":""},{"dropping-particle":"","family":"Hsu","given":"Frank J.","non-dropping-particle":"","parse-names":false,"suffix":""},{"dropping-particle":"","family":"DiPersio","given":"John F.","non-dropping-particle":"","parse-names":false,"suffix":""}],"container-title":"Biology of Blood and Marrow Transplantation","id":"ITEM-1","issue":"8","issued":{"date-parts":[["2011","8"]]},"page":"1146-1153","publisher":"Biol Blood Marrow Transplant","title":"Transplanted CD34 + Cell Dose Is Associated with Long-Term Platelet Count Recovery following Autologous Peripheral Blood Stem Cell Transplant in Patients with Non-Hodgkin Lymphoma or Multiple Myeloma","type":"article-journal","volume":"17"},"uris":["http://www.mendeley.com/documents/?uuid=48a19164-f2f4-3c72-92ac-75035529f84f","http://www.mendeley.com/documents/?uuid=0a6d07c9-82c9-4733-a748-4fde4ac355bf","http://www.mendeley.com/documents/?uuid=bf0d8f8a-f914-4a58-91b3-f9ddad3e5687","http://www.mendeley.com/documents/?uuid=b1384089-6533-4d2c-bd79-0f7357070e64","http://www.mendeley.com/documents/?uuid=58d20dd0-b39a-406e-8082-76a20c05645c","http://www.mendeley.com/documents/?uuid=cfbf2990-7580-4b9a-af63-5c87bebbc637"]},{"id":"ITEM-2","itemData":{"DOI":"10.1200/JCO.1995.13.3.705","ISSN":"0732183X","abstract":"Purpose: (1) To study the ability of mobilized peripheral-blood progenitor cells (PBPC) collected in a single large-volume leukapheresis performed on a predetermined date to accelerate engraftment after high-dose cyclophosphamide and thiotepa; (2) to establish the minimum dose of PBPC associated with early engraftment; and (3) to identify parameters predictive of collection of large numbers of PBPC. Patients and Methods: Twenty-three patients with breast cancer received cyclophosphamide (4 g/m2) and granulocyte-macrophage colony- stimulating factor ([GM-CSF] 5 μg/kg/d x 15 days) for PBPC mobilization. A single leukapheresis was performed 15 days after cyclophosphamide administration. Then, patients received high-dose cyclophosphamide and thiotepa followed by reinfusion of PBPC and 4-hydroperoxycyclophosphamide (4HC)-purged bone marrow. PBPC concentration was measured in serial peripheral-blood samples and in the leukapheresis product. Correlation analysis between PBPC dose and engraftment and between leukapheresis yield and patient characteristics was attempted. Results: A single leukapheresis processed a median 36 L (range, 24 to 46) blood and collected 5 x 106 CD34+ cells/kg (&lt; 0.3 to 24) and 6.2 x 105 colony-forming units granulocyte- macrophage (CFU-GM)/kg (&lt; 0.001 to 29). All sixteen patients (70%) reinfused with ≥ 2.9 x 106 CD34+ cells/kg reached a level of greater than 1,000 leukocytes/μL by day 13 and greater than 50,000 platelets/μL by day 15. All of these patients had a percentage of peripheral-blood CD34+ cells ≥ 0.5%, and all but one, a level of greater than 100,000 platelets/μL, on the day of leukapheresis. The bone marrow CD34+ cell percentage at study entry predicted the number of CD34+ cells collected after PBPC mobilization (R2 = .42, P = .002). All patients with ≥ 2.5% bone marrow CD34+ cells experienced early engraftment. Conclusion: Reinfusion of PBPC collected in a single leukapheresis accelerates engraftment in the majority of patients. Pretreatment bone marrow CD34+ cell content determines PBPC mobilization capacity and may help select hematopoietic rescue strategies.","author":[{"dropping-particle":"","family":"Passos-Coelho","given":"J. L.","non-dropping-particle":"","parse-names":false,"suffix":""},{"dropping-particle":"","family":"Braine","given":"H. G.","non-dropping-particle":"","parse-names":false,"suffix":""},{"dropping-particle":"","family":"Davis","given":"J. M.","non-dropping-particle":"","parse-names":false,"suffix":""},{"dropping-particle":"","family":"Huelskamp","given":"A. M.","non-dropping-particle":"","parse-names":false,"suffix":""},{"dropping-particle":"","family":"Schepers","given":"K. G.","non-dropping-particle":"","parse-names":false,"suffix":""},{"dropping-particle":"","family":"Ohly","given":"K.","non-dropping-particle":"","parse-names":false,"suffix":""},{"dropping-particle":"","family":"Clarke","given":"B.","non-dropping-particle":"","parse-names":false,"suffix":""},{"dropping-particle":"","family":"Wright","given":"S. K.","non-dropping-particle":"","parse-names":false,"suffix":""},{"dropping-particle":"","family":"Noga","given":"S. J.","non-dropping-particle":"","parse-names":false,"suffix":""},{"dropping-particle":"","family":"Davidson","given":"N. E.","non-dropping-particle":"","parse-names":false,"suffix":""},{"dropping-particle":"","family":"Kennedy","given":"M. J.","non-dropping-particle":"","parse-names":false,"suffix":""}],"container-title":"Journal of Clinical Oncology","id":"ITEM-2","issue":"3","issued":{"date-parts":[["1995"]]},"page":"705-714","publisher":"American Society of Clinical Oncology","title":"Predictive factors for peripheral-blood progenitor-cell collections using a single large-volume leukapheresis after cyclophosphamide and granulocyte- macrophage colony-stimulating factor mobilization","type":"article-journal","volume":"13"},"uris":["http://www.mendeley.com/documents/?uuid=9f936e14-dfc0-3b69-9eaa-703ea91a9517","http://www.mendeley.com/documents/?uuid=9bed808d-d71c-46a0-b6d7-9d6ce13e9c7d","http://www.mendeley.com/documents/?uuid=3706d09b-9023-490d-be3b-1e194d3fc1e4","http://www.mendeley.com/documents/?uuid=b899bbef-369f-4f35-8bd0-80f8725dd530","http://www.mendeley.com/documents/?uuid=32153687-438a-4c6a-ac63-3b5dbfa89f35","http://www.mendeley.com/documents/?uuid=69a86837-0dbe-4f8c-a0e9-040b7ce7c64b"]},{"id":"ITEM-3","itemData":{"ISSN":"0301-472X","PMID":"7681782","abstract":"High-dose conditioning therapy followed by autografting with blood stem cells rather than bone marrow has become an increasingly used transplantation modality for patients with chemosensitive malignancies. We treated 10 patients with malignant lymphoma in sensitive relapse with recombinant human granulocyte colony-stimulating factor (rhG-CSF) following salvage therapy. rhG-CSF was given subcutaneously (5 micrograms/kg/day) starting 24 hours after chemotherapy and stem cell collection was performed by repeated leukaphereses during leukocyte recovery. The yield of myeloid progenitors varied between 0.79 and 38.36 x 10(4) CFU-GM/kg body weight (median 4.1 x 10(4). A strong correlation was found between the number of granulocyte-macrophage colony-forming cells (CFU-GM) plus blast-forming erythroid cells (BFU-E) and CD34-positive (CD34+) cells (R = 0.80; p &lt; 0.001). The majority of CD34+ cells (&gt; 95%) strongly coexpressed human lymphocyte antigen-DR (HLA-DR) and CD38, whereas CD33 varied between 20% and 94%. Costaining of CD34+ cells for CD19 above the control level could not be detected, suggesting that early B lymphoid progenitors are not expanded or released into the circulation by rhG-CSF. Following total body irradiation (TBI)/cyclophosphamide or the CBV regimen (cyclophosphamide, BCNU, VP-16), all patients achieved complete engraftment with a median of 14 days for 1.0 x 10(9)/L white blood cells (WBC), 15 days for 0.5 x 10(9)/L polymorphonuclear cells (PMN) and 22 days for 20 x 10(9)/L platelets. The quantity of CFU-GM/kg transplanted was predictive for neutrophil and platelet recovery. The strongest correlation, however, was found between the number of CD34+ cells/kg autografted and platelet recovery (R = -0.86; p &lt; 0.001). The patients transplanted with more than 5 x 10(6)/kg CD34+ cells reached an unsubstituted platelet count &gt; 20 x 10(9)/L within 8 to 12 days. Our data demonstrate that rapid and complete engraftment can be achieved following myeloablative conditioning therapy with rhG-CSF-exposed blood stem cells without the need for additional bone marrow support or growth factor administration posttransplantation.","author":[{"dropping-particle":"","family":"Hohaus","given":"S","non-dropping-particle":"","parse-names":false,"suffix":""},{"dropping-particle":"","family":"Goldschmidt","given":"H","non-dropping-particle":"","parse-names":false,"suffix":""},{"dropping-particle":"","family":"Ehrhardt","given":"R","non-dropping-particle":"","parse-names":false,"suffix":""},{"dropping-particle":"","family":"Haas","given":"R","non-dropping-particle":"","parse-names":false,"suffix":""}],"container-title":"Experimental hematology","id":"ITEM-3","issue":"4","issued":{"date-parts":[["1993","4"]]},"page":"508-14","title":"Successful autografting following myeloablative conditioning therapy with blood stem cells mobilized by chemotherapy plus rhG-CSF.","type":"article-journal","volume":"21"},"uris":["http://www.mendeley.com/documents/?uuid=93812be1-7e65-3951-a468-4e3845502bab","http://www.mendeley.com/documents/?uuid=5b122eed-6453-4084-bfc7-422828bb1ccd","http://www.mendeley.com/documents/?uuid=b7c9c36c-a1b4-443e-870d-da0340dfc5f8","http://www.mendeley.com/documents/?uuid=80050e51-5010-4c71-a36b-97f1521bf43a","http://www.mendeley.com/documents/?uuid=38148a1c-e077-4358-ba14-0dc030862937","http://www.mendeley.com/documents/?uuid=7bc7df1c-3342-4a37-b645-1fd9957bd694"]},{"id":"ITEM-4","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Transplantation","id":"ITEM-4","issue":"3","issued":{"date-parts":[["2014","3"]]},"page":"295-308","publisher":"Elsevier","title":"Optimizing autologous stem cell mobilization strategies to improve patient outcomes: Consensus guidelines and recommendations","type":"article","volume":"20"},"uris":["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[41, 44, 60, 69]","plainTextFormattedCitation":"[41, 44, 60, 69]","previouslyFormattedCitation":"[40, 43, 59, 68]"},"properties":{"noteIndex":0},"schema":"https://github.com/citation-style-language/schema/raw/master/csl-citation.json"}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[41, 44, 60, 69]</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 xml:space="preserve">. </w:t>
      </w:r>
    </w:p>
    <w:p w:rsidR="008748B2" w:rsidRDefault="0095427D" w:rsidP="008748B2">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В настоящее время принято считать, что минимальным количеством клеток, необходимым для проведения одной аутологичной трансплантации, </w:t>
      </w:r>
      <w:r w:rsidRPr="00B5291B">
        <w:rPr>
          <w:rFonts w:ascii="Times New Roman" w:hAnsi="Times New Roman" w:cs="Times New Roman"/>
          <w:sz w:val="24"/>
          <w:szCs w:val="24"/>
        </w:rPr>
        <w:t>является 2×10</w:t>
      </w:r>
      <w:r w:rsidR="00B5291B" w:rsidRPr="00B5291B">
        <w:rPr>
          <w:rFonts w:ascii="Times New Roman" w:hAnsi="Times New Roman" w:cs="Times New Roman"/>
          <w:sz w:val="24"/>
          <w:szCs w:val="24"/>
          <w:vertAlign w:val="superscript"/>
        </w:rPr>
        <w:t xml:space="preserve">6 </w:t>
      </w:r>
      <w:r w:rsidRPr="00B5291B">
        <w:rPr>
          <w:rFonts w:ascii="Times New Roman" w:hAnsi="Times New Roman" w:cs="Times New Roman"/>
          <w:sz w:val="24"/>
          <w:szCs w:val="24"/>
        </w:rPr>
        <w:t xml:space="preserve">CD34+ клеток/кг веса больного, а оптимальным количеством – значение 3 – 5 × </w:t>
      </w:r>
      <w:r w:rsidR="00B5291B" w:rsidRPr="00B5291B">
        <w:rPr>
          <w:rFonts w:ascii="Times New Roman" w:hAnsi="Times New Roman" w:cs="Times New Roman"/>
          <w:sz w:val="24"/>
          <w:szCs w:val="24"/>
        </w:rPr>
        <w:t>10</w:t>
      </w:r>
      <w:r w:rsidR="00B5291B" w:rsidRPr="00B5291B">
        <w:rPr>
          <w:rFonts w:ascii="Times New Roman" w:hAnsi="Times New Roman" w:cs="Times New Roman"/>
          <w:sz w:val="24"/>
          <w:szCs w:val="24"/>
          <w:vertAlign w:val="superscript"/>
        </w:rPr>
        <w:t xml:space="preserve">6 </w:t>
      </w:r>
      <w:r w:rsidRPr="00B5291B">
        <w:rPr>
          <w:rFonts w:ascii="Times New Roman" w:hAnsi="Times New Roman" w:cs="Times New Roman"/>
          <w:sz w:val="24"/>
          <w:szCs w:val="24"/>
        </w:rPr>
        <w:t xml:space="preserve">CD34+ клеток/кг. В некоторых работах представлено, что при использовании трансплантата, содержащего более </w:t>
      </w:r>
      <w:r w:rsidR="00B5291B" w:rsidRPr="00B5291B">
        <w:rPr>
          <w:rFonts w:ascii="Times New Roman" w:hAnsi="Times New Roman" w:cs="Times New Roman"/>
          <w:sz w:val="24"/>
          <w:szCs w:val="24"/>
        </w:rPr>
        <w:t>5х10</w:t>
      </w:r>
      <w:r w:rsidR="00B5291B" w:rsidRPr="00B5291B">
        <w:rPr>
          <w:rFonts w:ascii="Times New Roman" w:hAnsi="Times New Roman" w:cs="Times New Roman"/>
          <w:sz w:val="24"/>
          <w:szCs w:val="24"/>
          <w:vertAlign w:val="superscript"/>
        </w:rPr>
        <w:t xml:space="preserve">6 </w:t>
      </w:r>
      <w:r w:rsidRPr="00B5291B">
        <w:rPr>
          <w:rFonts w:ascii="Times New Roman" w:hAnsi="Times New Roman" w:cs="Times New Roman"/>
          <w:sz w:val="24"/>
          <w:szCs w:val="24"/>
        </w:rPr>
        <w:t>CD34+клеток/кг, отмечается меньшая длительность</w:t>
      </w:r>
      <w:r w:rsidRPr="0095427D">
        <w:rPr>
          <w:rFonts w:ascii="Times New Roman" w:hAnsi="Times New Roman" w:cs="Times New Roman"/>
          <w:sz w:val="24"/>
          <w:szCs w:val="24"/>
        </w:rPr>
        <w:t xml:space="preserve"> нейтропении и тромбоцитопении. </w:t>
      </w:r>
    </w:p>
    <w:p w:rsidR="0095427D" w:rsidRPr="0095427D" w:rsidRDefault="0095427D" w:rsidP="008748B2">
      <w:pPr>
        <w:spacing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Однако тщательно спланированных проспективных рандомизированных исследований не проводилось, поэтому определить влияние высоких доз </w:t>
      </w:r>
      <w:r w:rsidR="008748B2" w:rsidRPr="0095427D">
        <w:rPr>
          <w:rFonts w:ascii="Times New Roman" w:hAnsi="Times New Roman" w:cs="Times New Roman"/>
          <w:sz w:val="24"/>
          <w:szCs w:val="24"/>
        </w:rPr>
        <w:t>CD34+</w:t>
      </w:r>
      <w:r w:rsidR="008748B2">
        <w:rPr>
          <w:rFonts w:ascii="Times New Roman" w:hAnsi="Times New Roman" w:cs="Times New Roman"/>
          <w:sz w:val="24"/>
          <w:szCs w:val="24"/>
        </w:rPr>
        <w:t xml:space="preserve"> </w:t>
      </w:r>
      <w:r w:rsidRPr="0095427D">
        <w:rPr>
          <w:rFonts w:ascii="Times New Roman" w:hAnsi="Times New Roman" w:cs="Times New Roman"/>
          <w:sz w:val="24"/>
          <w:szCs w:val="24"/>
        </w:rPr>
        <w:t xml:space="preserve">клеток на кинетику приживления </w:t>
      </w:r>
      <w:r w:rsidR="008748B2">
        <w:rPr>
          <w:rFonts w:ascii="Times New Roman" w:hAnsi="Times New Roman" w:cs="Times New Roman"/>
          <w:sz w:val="24"/>
          <w:szCs w:val="24"/>
        </w:rPr>
        <w:t>не представляется возможным</w:t>
      </w:r>
      <w:r w:rsidRPr="0095427D">
        <w:rPr>
          <w:rFonts w:ascii="Times New Roman" w:hAnsi="Times New Roman" w:cs="Times New Roman"/>
          <w:sz w:val="24"/>
          <w:szCs w:val="24"/>
        </w:rPr>
        <w:t xml:space="preserve">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{"citationItems":[{"id":"ITEM-1","itemData":{"DOI":"10.1016/j.bbmt.2013.10.013","ISSN":"10838791","abstract":"Autologous hematopoietic stem cell transplantation (aHSCT) is a well-established treatment for malignancies such as multiple myeloma (MM) and lymphomas. Various changes in the field over the past decade, including the frequent use of tandem aHSCT in MM, the advent of novel therapies for the treatment of MM and lymphoma, and the addition of new stem cell mobilization techniques, have led to the need to reassess current stem cell mobilization strategies. Mobilization failures with traditional strategies are common and result in delays in treatment and increased cost and resource utilization. Recently, plerixafor-containing strategies have been shown to significantly reduce mobilization failure rates, but the ideal method to maximize stem cell yields and minimize costs associated with collection has not yet been determined. A panel of experts convened to discuss the currently available data on autologous hematopoietic stem cell mobilization and transplantation and to devise guidelines to optimize mobilization strategies. Herein is a summary of their discussion and consensus. © 2014 American Society for Blood and Marrow Transplantation.","author":[{"dropping-particle":"","family":"Giralt","given":"Sergio","non-dropping-particle":"","parse-names":false,"suffix":""},{"dropping-particle":"","family":"Costa","given":"Luciano","non-dropping-particle":"","parse-names":false,"suffix":""},{"dropping-particle":"","family":"Schriber","given":"Jeffrey","non-dropping-particle":"","parse-names":false,"suffix":""},{"dropping-particle":"","family":"DiPersio","given":"John","non-dropping-particle":"","parse-names":false,"suffix":""},{"dropping-particle":"","family":"Maziarz","given":"Richard","non-dropping-particle":"","parse-names":false,"suffix":""},{"dropping-particle":"","family":"McCarty","given":"John","non-dropping-particle":"","parse-names":false,"suffix":""},{"dropping-particle":"","family":"Shaughnessy","given":"Paul","non-dropping-particle":"","parse-names":false,"suffix":""},{"dropping-particle":"","family":"Snyder","given":"Edward","non-dropping-particle":"","parse-names":false,"suffix":""},{"dropping-particle":"","family":"Bensinger","given":"William","non-dropping-particle":"","parse-names":false,"suffix":""},{"dropping-particle":"","family":"Copelan","given":"Edward","non-dropping-particle":"","parse-names":false,"suffix":""},{"dropping-particle":"","family":"Hosing","given":"Chitra","non-dropping-particle":"","parse-names":false,"suffix":""},{"dropping-particle":"","family":"Negrin","given":"Robert","non-dropping-particle":"","parse-names":false,"suffix":""},{"dropping-particle":"","family":"Petersen","given":"Finn Bo","non-dropping-particle":"","parse-names":false,"suffix":""},{"dropping-particle":"","family":"Rondelli","given":"Damiano","non-dropping-particle":"","parse-names":false,"suffix":""},{"dropping-particle":"","family":"Soiffer","given":"Robert","non-dropping-particle":"","parse-names":false,"suffix":""},{"dropping-particle":"","family":"Leather","given":"Helen","non-dropping-particle":"","parse-names":false,"suffix":""},{"dropping-particle":"","family":"Pazzalia","given":"Amy","non-dropping-particle":"","parse-names":false,"suffix":""},{"dropping-particle":"","family":"Devine","given":"Steven","non-dropping-particle":"","parse-names":false,"suffix":""}],"container-title":"Biology of Blood and Marrow Transplantation","id":"ITEM-1","issue":"3","issued":{"date-parts":[["2014","3"]]},"page":"295-308","publisher":"Elsevier","title":"Optimizing autologous stem cell mobilization strategies to improve patient outcomes: Consensus guidelines and recommendations","type":"article","volume":"20"},"uris":["http://www.mendeley.com/documents/?uuid=43c5883b-a94a-435d-a102-5bbe11f4e704","http://www.mendeley.com/documents/?uuid=e4bbc320-ed80-4839-8759-9919ec753098","http://www.mendeley.com/documents/?uuid=312e78a3-0bac-4bd4-bc5d-4ab2db1ceb87","http://www.mendeley.com/documents/?uuid=cf158ac3-8f92-4973-85ea-fed641e1f9aa","http://www.mendeley.com/documents/?uuid=aa3272db-ed0f-40c1-949a-b78843f4ce67","http://www.mendeley.com/documents/?uuid=f0ad3abd-ce55-3df5-b4f9-e8598b8d0fa8"]}],"mendeley":{"formattedCitation":"[41]","plainTextFormattedCitation":"[41]","previouslyFormattedCitation":"[40]"},"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[41]</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w:t>
      </w:r>
    </w:p>
    <w:p w:rsidR="0095427D" w:rsidRPr="0095427D" w:rsidRDefault="00303DEC" w:rsidP="00780185">
      <w:pPr>
        <w:pStyle w:val="1"/>
        <w:numPr>
          <w:ilvl w:val="1"/>
          <w:numId w:val="105"/>
        </w:numPr>
        <w:spacing w:before="0" w:after="240"/>
        <w:jc w:val="center"/>
        <w:rPr>
          <w:rFonts w:ascii="Times New Roman" w:hAnsi="Times New Roman" w:cs="Times New Roman"/>
          <w:color w:val="auto"/>
          <w:sz w:val="24"/>
        </w:rPr>
      </w:pPr>
      <w:r>
        <w:rPr>
          <w:rFonts w:ascii="Times New Roman" w:hAnsi="Times New Roman" w:cs="Times New Roman"/>
          <w:color w:val="auto"/>
          <w:sz w:val="24"/>
        </w:rPr>
        <w:t xml:space="preserve"> </w:t>
      </w:r>
      <w:bookmarkStart w:id="5" w:name="_Toc44926602"/>
      <w:r w:rsidR="0095427D" w:rsidRPr="0095427D">
        <w:rPr>
          <w:rFonts w:ascii="Times New Roman" w:hAnsi="Times New Roman" w:cs="Times New Roman"/>
          <w:color w:val="auto"/>
          <w:sz w:val="24"/>
        </w:rPr>
        <w:t>Факторы риска неэффективной мобилизации ГСК</w:t>
      </w:r>
      <w:bookmarkEnd w:id="5"/>
    </w:p>
    <w:p w:rsidR="008748B2"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Несмотря на совершенствование методик и появление новых препаратов, неудача мобилизации ГСК остается проблемой для пациентов с онкогематологическими заболеваниями</w:t>
      </w:r>
      <w:r w:rsidR="003E7B44">
        <w:rPr>
          <w:rFonts w:ascii="Times New Roman" w:hAnsi="Times New Roman" w:cs="Times New Roman"/>
          <w:sz w:val="24"/>
          <w:szCs w:val="24"/>
        </w:rPr>
        <w:t xml:space="preserve"> </w:t>
      </w:r>
      <w:r w:rsidR="003E7B44">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{"citationItems":[{"id":"ITEM-1","itemData":{"author":[{"dropping-particle":"","family":"Покровская О.С., Менделеева Л.П., Гальцева И.В., Варламова Е.Ю., Капланская И.Б., Воробьев И.А., Грецов Е.М., Калинин Н.Н., Варламова С.В., Клясова Г.А., Тихонова Л.Ю.","given":"Савченко В.Г.","non-dropping-particle":"","parse-names":false,"suffix":""}],"container-title":"Проблемы гематологии и переливания","id":"ITEM-1","issued":{"date-parts":[["2003"]]},"note":"a","page":"55-56","title":"Мобилизация гемопоэтических клеток крови у больных миеломной болезнью","type":"article-journal"},"uris":["http://www.mendeley.com/documents/?uuid=ffac3994-c2e2-36fa-a30d-0feb13f9a7fd"]}],"mendeley":{"formattedCitation":"[7]","plainTextFormattedCitation":"[7]","previouslyFormattedCitation":"[7]"},"properties":{"noteIndex":0},"schema":"https://github.com/citation-style-language/schema/raw/master/csl-citation.json"}</w:instrText>
      </w:r>
      <w:r w:rsidR="003E7B44">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[7]</w:t>
      </w:r>
      <w:r w:rsidR="003E7B44">
        <w:rPr>
          <w:rFonts w:ascii="Times New Roman" w:hAnsi="Times New Roman" w:cs="Times New Roman"/>
          <w:sz w:val="24"/>
          <w:szCs w:val="24"/>
        </w:rPr>
        <w:fldChar w:fldCharType="end"/>
      </w:r>
      <w:r w:rsidRPr="0095427D">
        <w:rPr>
          <w:rFonts w:ascii="Times New Roman" w:hAnsi="Times New Roman" w:cs="Times New Roman"/>
          <w:sz w:val="24"/>
          <w:szCs w:val="24"/>
        </w:rPr>
        <w:t>. Группа итальянских исследователей GITIMO определила критерии доказанного и вероятного риска неудачи мобилизации ГСК у больных ММ и НХЛ.</w:t>
      </w:r>
    </w:p>
    <w:p w:rsidR="008748B2" w:rsidRPr="00B5291B"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К факторам доказанного риска неудачи относятся два параметра: если показатели циркулирующих в крови СD34+ не </w:t>
      </w:r>
      <w:r w:rsidRPr="00B5291B">
        <w:rPr>
          <w:rFonts w:ascii="Times New Roman" w:hAnsi="Times New Roman" w:cs="Times New Roman"/>
          <w:sz w:val="24"/>
          <w:szCs w:val="24"/>
        </w:rPr>
        <w:t xml:space="preserve">достигают 20 клеток в 1 мкл. на 4-6-й дни после старта Г–КСФ или же заготовлено менее </w:t>
      </w:r>
      <w:r w:rsidR="00B5291B" w:rsidRPr="00B5291B">
        <w:rPr>
          <w:rFonts w:ascii="Times New Roman" w:hAnsi="Times New Roman" w:cs="Times New Roman"/>
          <w:sz w:val="24"/>
          <w:szCs w:val="24"/>
        </w:rPr>
        <w:t>2х10</w:t>
      </w:r>
      <w:r w:rsidR="00B5291B" w:rsidRPr="00B5291B">
        <w:rPr>
          <w:rFonts w:ascii="Times New Roman" w:hAnsi="Times New Roman" w:cs="Times New Roman"/>
          <w:sz w:val="24"/>
          <w:szCs w:val="24"/>
          <w:vertAlign w:val="superscript"/>
        </w:rPr>
        <w:t xml:space="preserve">6 </w:t>
      </w:r>
      <w:r w:rsidRPr="00B5291B">
        <w:rPr>
          <w:rFonts w:ascii="Times New Roman" w:hAnsi="Times New Roman" w:cs="Times New Roman"/>
          <w:sz w:val="24"/>
          <w:szCs w:val="24"/>
        </w:rPr>
        <w:t>CD34</w:t>
      </w:r>
      <w:r w:rsidR="008748B2" w:rsidRPr="00B5291B">
        <w:rPr>
          <w:rFonts w:ascii="Times New Roman" w:hAnsi="Times New Roman" w:cs="Times New Roman"/>
          <w:sz w:val="24"/>
          <w:szCs w:val="24"/>
        </w:rPr>
        <w:t>+ клеток/кг за 3 лейкафереза.</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B5291B">
        <w:rPr>
          <w:rFonts w:ascii="Times New Roman" w:hAnsi="Times New Roman" w:cs="Times New Roman"/>
          <w:sz w:val="24"/>
          <w:szCs w:val="24"/>
        </w:rPr>
        <w:t>Критериями вероятного риска неудачи</w:t>
      </w:r>
      <w:r w:rsidRPr="0095427D">
        <w:rPr>
          <w:rFonts w:ascii="Times New Roman" w:hAnsi="Times New Roman" w:cs="Times New Roman"/>
          <w:sz w:val="24"/>
          <w:szCs w:val="24"/>
        </w:rPr>
        <w:t xml:space="preserve"> мобилизации ГСК является наличие предшествующей неэффективной мобилизации ГСК; длит</w:t>
      </w:r>
      <w:r w:rsidR="008748B2">
        <w:rPr>
          <w:rFonts w:ascii="Times New Roman" w:hAnsi="Times New Roman" w:cs="Times New Roman"/>
          <w:sz w:val="24"/>
          <w:szCs w:val="24"/>
        </w:rPr>
        <w:t xml:space="preserve">ельной ХТ или лучевой терапии, </w:t>
      </w:r>
      <w:r w:rsidRPr="0095427D">
        <w:rPr>
          <w:rFonts w:ascii="Times New Roman" w:hAnsi="Times New Roman" w:cs="Times New Roman"/>
          <w:sz w:val="24"/>
          <w:szCs w:val="24"/>
        </w:rPr>
        <w:t xml:space="preserve">использование флюдарабина, мелфалана, леналидомида на предыдущих этапах лечения; продвинутая фаза болезни, потребовавшая проведения как минимум двух линий ХТ. Клеточность костного мозга менее 30% на момент мобилизации и возраст старше 65 лет также являются факторами риска неэффективной мобилизации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{"citationItems":[{"id":"ITEM-1","itemData":{"DOI":"10.1038/bmt.2011.82","ISSN":"02683369","abstract":"Many lymphoma and myeloma patients fail to undergo ASCT owing to poor mobilization. Identification of poor mobilizers (PMs) would provide a tool for early intervention with new mobilization agents. The Gruppo italianoTrapianto di Midollo Osseo working group proposed a definition of PMs applicable to clinical trials and clinical practice. The analytic hierarchy process, a method for group decision making, was used in setting prioritized criteria. Lymphoma or myeloma patients were defined as 'proven PM' when: (1) after adequate mobilization (G-CSF 10 μg/kg if used alone or ≥5 μg/kg after chemotherapy) circulating CD34 + cell peak is &lt;20/μL up to 6 days after mobilization with G-CSF or up to 20 days after chemotherapy and G-CSF or (2) they yielded &lt;2.0 × 10 6 CD34 + cells per kg in ≤3 apheresis. Patients were defined as predicted PMs if: (1) they failed a previous collection attempt (not otherwise specified); (2) they previously received extensive radiotherapy or full courses of therapy affecting SC mobilization; and (3) they met two of the following criteria: advanced disease (≥2 lines of chemotherapy), refractory disease, extensive BM involvement or cellularity &lt;30% at the time of mobilization; age ≥65 years. This definition of proven and predicted PMs should be validated in clinical trials and common clinical practice. © 2012 Macmillan Publishers Limited All rights reserved.","author":[{"dropping-particle":"","family":"Olivieri","given":"A.","non-dropping-particle":"","parse-names":false,"suffix":""},{"dropping-particle":"","family":"Marchetti","given":"M.","non-dropping-particle":"","parse-names":false,"suffix":""},{"dropping-particle":"","family":"Lemoli","given":"R.","non-dropping-particle":"","parse-names":false,"suffix":""},{"dropping-particle":"","family":"Tarella","given":"C.","non-dropping-particle":"","parse-names":false,"suffix":""},{"dropping-particle":"","family":"Iacone","given":"A.","non-dropping-particle":"","parse-names":false,"suffix":""},{"dropping-particle":"","family":"Lanza","given":"F.","non-dropping-particle":"","parse-names":false,"suffix":""},{"dropping-particle":"","family":"Rambaldi","given":"A.","non-dropping-particle":"","parse-names":false,"suffix":""},{"dropping-particle":"","family":"Bosi","given":"A.","non-dropping-particle":"","parse-names":false,"suffix":""}],"container-title":"Bone Marrow Transplantation","id":"ITEM-1","issue":"3","issued":{"date-parts":[["2012","3"]]},"page":"342-351","publisher":"Bone Marrow Transplant","title":"Proposed definition of 'poor mobilizer' in lymphoma and multiple myeloma: An analytic hierarchy process by ad hoc working group Gruppo ItalianoTrapianto di Midollo Osseo","type":"article-journal","volume":"47"},"uris":["http://www.mendeley.com/documents/?uuid=ba171d2e-11ed-30e4-8419-628863ccc7d5","http://www.mendeley.com/documents/?uuid=889b327f-5a75-4546-9a08-eda1f05160e3","http://www.mendeley.com/documents/?uuid=8da75729-e2dd-4c45-a604-256ab831ad9d","http://www.mendeley.com/documents/?uuid=5f9c85d8-eabb-4b72-a615-ad332ceb6a28","http://www.mendeley.com/documents/?uuid=77a1aded-f417-40b5-92fe-c81e7ab18493","http://www.mendeley.com/documents/?uuid=8ccbbe36-8201-44c0-91bf-f8fc6344c830"]}],"mendeley":{"formattedCitation":"[58]","plainTextFormattedCitation":"[58]","previouslyFormattedCitation":"[57]"},"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[58]</w:t>
      </w:r>
      <w:r w:rsidRPr="0095427D">
        <w:rPr>
          <w:rFonts w:ascii="Times New Roman" w:hAnsi="Times New Roman" w:cs="Times New Roman"/>
          <w:sz w:val="24"/>
          <w:szCs w:val="24"/>
        </w:rPr>
        <w:fldChar w:fldCharType="end"/>
      </w:r>
      <w:r w:rsidR="008748B2">
        <w:rPr>
          <w:rFonts w:ascii="Times New Roman" w:hAnsi="Times New Roman" w:cs="Times New Roman"/>
          <w:sz w:val="24"/>
          <w:szCs w:val="24"/>
        </w:rPr>
        <w:t>.</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В случае недостаточного количества заготовленных ГСК обсуждается вопрос об эскалации дозы ростового фактора, проведении повторной мобилизации по другой схеме, эксфузии костного мозга. В настоящее время трансплант</w:t>
      </w:r>
      <w:r w:rsidR="00DF146B">
        <w:rPr>
          <w:rFonts w:ascii="Times New Roman" w:hAnsi="Times New Roman" w:cs="Times New Roman"/>
          <w:sz w:val="24"/>
          <w:szCs w:val="24"/>
        </w:rPr>
        <w:t>а</w:t>
      </w:r>
      <w:r w:rsidRPr="0095427D">
        <w:rPr>
          <w:rFonts w:ascii="Times New Roman" w:hAnsi="Times New Roman" w:cs="Times New Roman"/>
          <w:sz w:val="24"/>
          <w:szCs w:val="24"/>
        </w:rPr>
        <w:t xml:space="preserve">ция ГСК, полученных из периферической крови, вытесняет трансплантацию костного мозга. Это связанно с тем, что методы сбора клеток из периферической крови менее инвазивны, а восстановление </w:t>
      </w:r>
      <w:r w:rsidRPr="0095427D">
        <w:rPr>
          <w:rFonts w:ascii="Times New Roman" w:hAnsi="Times New Roman" w:cs="Times New Roman"/>
          <w:sz w:val="24"/>
          <w:szCs w:val="24"/>
        </w:rPr>
        <w:lastRenderedPageBreak/>
        <w:t>гемопоэза после трансплантации ГСК происходит быстрее, чем после трансплантации костного мозга.</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Цель мобилизации – заготовка адекватного количества CD34+клеток, достаточного для выполнения одной или двух трансплантаций.</w:t>
      </w:r>
    </w:p>
    <w:p w:rsidR="0095427D" w:rsidRPr="0095427D" w:rsidRDefault="0095427D" w:rsidP="008748B2">
      <w:pPr>
        <w:spacing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Далее представлена подробная характеристика препаратов, стимулирующих выброс ГСК в периферическую кровь.</w:t>
      </w:r>
    </w:p>
    <w:p w:rsidR="0095427D" w:rsidRPr="0095427D" w:rsidRDefault="0095427D" w:rsidP="00780185">
      <w:pPr>
        <w:pStyle w:val="1"/>
        <w:numPr>
          <w:ilvl w:val="1"/>
          <w:numId w:val="105"/>
        </w:numPr>
        <w:spacing w:before="0" w:after="240"/>
        <w:ind w:left="0" w:firstLine="0"/>
        <w:rPr>
          <w:rFonts w:ascii="Times New Roman" w:hAnsi="Times New Roman" w:cs="Times New Roman"/>
          <w:color w:val="auto"/>
          <w:sz w:val="24"/>
        </w:rPr>
      </w:pPr>
      <w:bookmarkStart w:id="6" w:name="_Toc44926603"/>
      <w:r w:rsidRPr="0095427D">
        <w:rPr>
          <w:rFonts w:ascii="Times New Roman" w:hAnsi="Times New Roman" w:cs="Times New Roman"/>
          <w:color w:val="auto"/>
          <w:sz w:val="24"/>
        </w:rPr>
        <w:t>Препараты, используемые для мобилизации ГСК.</w:t>
      </w:r>
      <w:bookmarkEnd w:id="6"/>
    </w:p>
    <w:p w:rsidR="0095427D" w:rsidRPr="0095427D" w:rsidRDefault="0095427D" w:rsidP="00780185">
      <w:pPr>
        <w:pStyle w:val="a3"/>
        <w:numPr>
          <w:ilvl w:val="2"/>
          <w:numId w:val="106"/>
        </w:numPr>
        <w:spacing w:line="360" w:lineRule="auto"/>
        <w:ind w:left="0" w:firstLine="0"/>
        <w:rPr>
          <w:rFonts w:ascii="Times New Roman" w:hAnsi="Times New Roman" w:cs="Times New Roman"/>
          <w:b/>
          <w:sz w:val="24"/>
          <w:szCs w:val="24"/>
        </w:rPr>
      </w:pPr>
      <w:r w:rsidRPr="0095427D">
        <w:rPr>
          <w:rFonts w:ascii="Times New Roman" w:hAnsi="Times New Roman" w:cs="Times New Roman"/>
          <w:b/>
          <w:sz w:val="24"/>
          <w:szCs w:val="24"/>
        </w:rPr>
        <w:t>Гранулоцитарный колони</w:t>
      </w:r>
      <w:r w:rsidR="008748B2">
        <w:rPr>
          <w:rFonts w:ascii="Times New Roman" w:hAnsi="Times New Roman" w:cs="Times New Roman"/>
          <w:b/>
          <w:sz w:val="24"/>
          <w:szCs w:val="24"/>
        </w:rPr>
        <w:t>е</w:t>
      </w:r>
      <w:r w:rsidRPr="0095427D">
        <w:rPr>
          <w:rFonts w:ascii="Times New Roman" w:hAnsi="Times New Roman" w:cs="Times New Roman"/>
          <w:b/>
          <w:sz w:val="24"/>
          <w:szCs w:val="24"/>
        </w:rPr>
        <w:t>стимулирующий фактор</w:t>
      </w:r>
    </w:p>
    <w:p w:rsidR="0095427D" w:rsidRPr="0095427D" w:rsidRDefault="0095427D" w:rsidP="00780185">
      <w:pPr>
        <w:pStyle w:val="a3"/>
        <w:numPr>
          <w:ilvl w:val="0"/>
          <w:numId w:val="108"/>
        </w:numPr>
        <w:spacing w:after="0" w:line="360" w:lineRule="auto"/>
        <w:ind w:left="709" w:hanging="283"/>
        <w:jc w:val="both"/>
        <w:rPr>
          <w:rFonts w:ascii="Times New Roman" w:hAnsi="Times New Roman" w:cs="Times New Roman"/>
          <w:sz w:val="24"/>
          <w:szCs w:val="24"/>
        </w:rPr>
      </w:pPr>
      <w:r w:rsidRPr="0095427D">
        <w:rPr>
          <w:rFonts w:ascii="Times New Roman" w:hAnsi="Times New Roman" w:cs="Times New Roman"/>
          <w:sz w:val="24"/>
          <w:szCs w:val="24"/>
        </w:rPr>
        <w:t xml:space="preserve">Общие сведения </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Г-КСФ – гликопротеин, ускоряющий пролиферацию гранулоцитарных клеток-предшественников нейтрофильного ростка костного мозга, дифференцировку в направлении зрелых нейтрофилов и их выход из костного мозга в периферическую кровь. Применение Г-КСФ как после курса химиотерапии (ХТ), так и независимо от нее, приводит к мобилизации в периферическую кровь клеток-предшественниц гемопоэза. </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Г-КСФ значительно увеличивает число нейтрофилов в периферической крови уже в первые 24 часа после введения. После окончания применения Г-КСФ число нейтрофилов в периферической крови снижается на 50% в течение 1-2 дней и возвращается к нормальным значениям в течение 1-7 дней. </w:t>
      </w:r>
    </w:p>
    <w:p w:rsidR="0095427D" w:rsidRPr="0095427D" w:rsidRDefault="0095427D" w:rsidP="0095427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фармакокинетики Г-КСФ </w:t>
      </w:r>
      <w:r w:rsidRPr="0095427D">
        <w:rPr>
          <w:rFonts w:ascii="Times New Roman" w:hAnsi="Times New Roman" w:cs="Times New Roman"/>
          <w:sz w:val="24"/>
          <w:szCs w:val="24"/>
        </w:rPr>
        <w:t xml:space="preserve">показало, что препарат быстро выводится из организма, что требует применения многократных инъекций. С целью пролонгации действия разработана иммобилизованная на полиэтиленгликоле (ПЭГ) форма Г-КСФ. В иммобилизованном препарате ПЭГ присоединяется ковалентной связью к N-концевому пептиду молекулы, увеличивая ее размер, что приводит к замедлению почечного клиренса. Время циркуляции в крови пэгилированной формы увеличивается с 3,5 ч. </w:t>
      </w:r>
      <w:r>
        <w:rPr>
          <w:rFonts w:ascii="Times New Roman" w:hAnsi="Times New Roman" w:cs="Times New Roman"/>
          <w:sz w:val="24"/>
          <w:szCs w:val="24"/>
        </w:rPr>
        <w:t>до 42</w:t>
      </w:r>
      <w:r w:rsidRPr="0095427D">
        <w:rPr>
          <w:rFonts w:ascii="Times New Roman" w:hAnsi="Times New Roman" w:cs="Times New Roman"/>
          <w:sz w:val="24"/>
          <w:szCs w:val="24"/>
        </w:rPr>
        <w:t xml:space="preserve">ч. После одной инъекции препарата высокий уровень нейтрофилов поддерживается в крови в течение 9 дней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{"citationItems":[{"id":"ITEM-1","itemData":{"DOI":"10.2165/11586040-000000000-00000","ISSN":"03125963","abstract":"Pegfilgrastim is a sustained-duration form of filgrastim, a recombinant methionyl form of human granulocyte colony-stimulating factor (G-CSF), to which a 20kDa polyethylene glycol molecule is covalently bound to the N-terminal methionine residue. Similar to filgrastim, pegfilgrastim increases the proliferation and differentiation of neutrophils from committed progenitor cells, induces maturation, and enhances the survival and function of mature neutrophils, resulting in dose-dependent increases in neutrophils.After subcutaneous administration, pegfilgrastim exhibits nonlinear pharmacokinetics and exposure to pegfilgrastim increases in more than a dose-proportional manner, suggesting that the clearance of pegfilgrastim decreases with increased dosing. Filgrastim is primarily eliminated by the kidney and neutrophilsneutrophil precursors; the latter presumably involves binding of the growth factor to the G-CSF receptor on the cell surface, internalization of the growth factor-receptor complexes via endocytosis, and subsequent degradation inside the cells. Pegylation of filgrastim renders renal clearance insignificant, which was demonstrated in bilaterally nephrectomized rats and confirmed in subjects with renal impairment. As a result, the neutrophil-mediated clearance is the predominant elimination pathway for pegfilgrastim.During chemotherapy-induced neutropenia, the clearance of pegfilgrastim is significantly reduced and the concentration of pegfilgrastim is sustained until onset of neutrophil recovery. Pegfilgrastim concentrations are sustained longer in patients with profound neutropenia. Evidence supports the use of a postnadir absolute neutrophil count (ANC) of ≥1×109/L as a surrogate marker threshold for the clearance of pegfilgrastim to subtherapeutic levels. After repeated administration of pegfilgrastim, the peak concentrations of pegfilgrastim decrease, likely due to increased neutrophil and neutrophil precursor mass.A pharmacokinetic-pharmacodynamic model was developed to describe the pharmacokinetic and ANC profiles of pegfilgrastim; the analysis supported that 100μgkg was an adequate weight-based dose of pegfilgrastim and predicted that 6mg would be an optimal fixed dose of pegfilgrastim to simplify treatment. Data from a pivotal study confirmed that a once-per-chemotherapy-cycle injection of pegfilgrastim at 6mg was as safe and effective as 11 daily injections of filgrastim at 5μgkg in reducing neutropenia and its complications in patients …","author":[{"dropping-particle":"","family":"Yang","given":"Bing Bing","non-dropping-particle":"","parse-names":false,"suffix":""},{"dropping-particle":"","family":"Kido","given":"Anna","non-dropping-particle":"","parse-names":false,"suffix":""}],"container-title":"Clinical Pharmacokinetics","id":"ITEM-1","issue":"5","issued":{"date-parts":[["2011"]]},"page":"295-306","publisher":"Clin Pharmacokinet","title":"Pharmacokinetics and pharmacodynamics of pegfilgrastim","type":"article","volume":"50"},"uris":["http://www.mendeley.com/documents/?uuid=445b8605-4444-3286-9533-f890634da33f","http://www.mendeley.com/documents/?uuid=8c131309-d633-4467-9e52-e36f2f6739d8","http://www.mendeley.com/documents/?uuid=d0ae95d8-455a-466d-b2b7-1cf20c6911c3","http://www.mendeley.com/documents/?uuid=350f69c3-8670-4b28-9ce6-bbf7bbe95719","http://www.mendeley.com/documents/?uuid=aed192a7-bd44-4087-8c83-7bb80ed986b5","http://www.mendeley.com/documents/?uuid=4fb6ef40-750e-4e26-80f5-5d3e68016e6f"]}],"mendeley":{"formattedCitation":"[75]","plainTextFormattedCitation":"[75]","previouslyFormattedCitation":"[74]"},"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[75]</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w:t>
      </w:r>
    </w:p>
    <w:p w:rsidR="0095427D" w:rsidRPr="0095427D" w:rsidRDefault="0095427D" w:rsidP="00780185">
      <w:pPr>
        <w:pStyle w:val="a3"/>
        <w:numPr>
          <w:ilvl w:val="0"/>
          <w:numId w:val="107"/>
        </w:numPr>
        <w:spacing w:line="360" w:lineRule="auto"/>
        <w:jc w:val="both"/>
        <w:rPr>
          <w:rFonts w:ascii="Times New Roman" w:hAnsi="Times New Roman" w:cs="Times New Roman"/>
          <w:b/>
          <w:sz w:val="24"/>
          <w:szCs w:val="24"/>
        </w:rPr>
      </w:pPr>
      <w:r w:rsidRPr="0095427D">
        <w:rPr>
          <w:rFonts w:ascii="Times New Roman" w:hAnsi="Times New Roman" w:cs="Times New Roman"/>
          <w:b/>
          <w:sz w:val="24"/>
          <w:szCs w:val="24"/>
          <w:lang w:val="en-US"/>
        </w:rPr>
        <w:t>P</w:t>
      </w:r>
      <w:r w:rsidRPr="0095427D">
        <w:rPr>
          <w:rFonts w:ascii="Times New Roman" w:hAnsi="Times New Roman" w:cs="Times New Roman"/>
          <w:b/>
          <w:sz w:val="24"/>
          <w:szCs w:val="24"/>
        </w:rPr>
        <w:t xml:space="preserve">ежим дозирования Г-КСФ для мобилизации СКК </w:t>
      </w:r>
    </w:p>
    <w:p w:rsidR="0095427D" w:rsidRPr="0095427D" w:rsidRDefault="0095427D" w:rsidP="000C13B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Г-КСФ </w:t>
      </w:r>
      <w:r w:rsidRPr="0095427D">
        <w:rPr>
          <w:rFonts w:ascii="Times New Roman" w:hAnsi="Times New Roman" w:cs="Times New Roman"/>
          <w:sz w:val="24"/>
          <w:szCs w:val="24"/>
        </w:rPr>
        <w:t xml:space="preserve">вводится в дозе 5 или 10 мкг/кг/сутки подкожно в зависимости от режима мобилизации ГСК. Пегилированный Г-КСФ вводится однократно в дозе 12 мг подкожно </w:t>
      </w:r>
      <w:r w:rsidRPr="0095427D">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{"citationItems":[{"id":"ITEM-1","itemData":{"DOI":"10.1111/j.1537-2995.2012.03579.x","ISSN":"00411132","abstract":"Background: Plerixafor enhances the ability of filgrastim (FIL) to mobilize CD34+ cells but adds cost to the mobilization. We hypothesized that replacing weight-based FIL with flat-dose pegfilgrastim (PEG) in a validated cost-based mobilization algorithm for patient-adapted use of plerixafor would add convenience without increased cost. Study design and methods: A single-center retrospective analysis compared two consecutive cohorts undergoing FIL or PEG mobilization before autologous hematopoietic stem cell transplantation for multiple myeloma or lymphoma. FIL dose was 10 Âμg/kg/day continuing until completion of collection and a 12-mg flat dose of PEG. Peripheral blood CD34+ cells (PB-CD34+) enumeration was performed on the fourth day after initiation of growth factor. Subjects surpassing a certain target-specific threshold of PB-CD34+ started apheresis immediately while subjects with lower PB-CD34+ received plerixafor with apheresis starting on the fifth day. Results: Overall 68 of 74 in the FIL group and 52 of 57 patients in the PEG group met the mobilization target. Only one patient in each cohort required remobilization. Median PB-CD34+ on Day 4 was significantly higher in patients in the PEG group (18.1 × 106 vs. 28.7 × 106 cells/L, p = 0.01). Consequently, patients in the PEG group were less likely to require administration of plerixafor (67.5% vs. 45.6%, p = 0.01). Cohorts had near identical mean number of apheresis sessions and comparable CD34+ yield. The estimated cost associated with growth factor was higher in patients in the PEG group, but it was counterbalanced by lower cost associated with use of plerixafor. Conclusion: Single administration of 12 mg of PEG is associated with better CD34+ mobilization than FIL allowing for effective, convenient mobilization with less frequent use of plerixafor. © 2012 American Association of Blood Banks.","author":[{"dropping-particle":"","family":"Costa","given":"Luciano J.","non-dropping-particle":"","parse-names":false,"suffix":""},{"dropping-particle":"","family":"Kramer","given":"Cindy","non-dropping-particle":"","parse-names":false,"suffix":""},{"dropping-particle":"","family":"Hogan","given":"Kathy R.","non-dropping-particle":"","parse-names":false,"suffix":""},{"dropping-particle":"","family":"Butcher","given":"Coleen D.","non-dropping-particle":"","parse-names":false,"suffix":""},{"dropping-particle":"","family":"Littleton","given":"Amanda L.","non-dropping-particle":"","parse-names":false,"suffix":""},{"dropping-particle":"","family":"Shoptaw","given":"Katie B.","non-dropping-particle":"","parse-names":false,"suffix":""},{"dropping-particle":"","family":"Kang","given":"Yubin","non-dropping-particle":"","parse-names":false,"suffix":""},{"dropping-particle":"","family":"Stuart","given":"Robert K.","non-dropping-particle":"","parse-names":false,"suffix":""}],"container-title":"Transfusion","id":"ITEM-1","issue":"11","issued":{"date-parts":[["2012","11"]]},"page":"2375-2381","publisher":"Transfusion","title":"Pegfilgrastim-versus filgrastim-based autologous hematopoietic stem cell mobilization in the setting of preemptive use of plerixafor: Efficacy and cost analysis","type":"article-journal","volume":"52"},"uris":["http://www.mendeley.com/documents/?uuid=c9b6d466-e5cf-3a1f-9950-47a4a1f2595f","http://www.mendeley.com/documents/?uuid=5869ab33-84d0-4d40-9e0a-c68492375302","http://www.mendeley.com/documents/?uuid=da79130c-3245-4bb6-b0b1-d1a74f3c45ce","http://www.mendeley.com/documents/?uuid=23c5daaf-4836-423a-a293-5308de4b05a8","http://www.mendeley.com/documents/?uuid=5bc9223b-2a8e-4a1d-a5ea-925322f33fc0","http://www.mendeley.com/documents/?uuid=cfca06c2-6f99-4d09-bcd1-d6e958d0398f"]}],"mendeley":{"formattedCitation":"[31]","plainTextFormattedCitation":"[31]","previouslyFormattedCitation":"[31]"},"properties":{"noteIndex":0},"schema":"https://github.com/citation-style-language/schema/raw/master/csl-citation.json"}</w:instrText>
      </w:r>
      <w:r w:rsidRPr="0095427D">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[31]</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w:t>
      </w:r>
    </w:p>
    <w:p w:rsidR="0095427D" w:rsidRPr="0095427D" w:rsidRDefault="0095427D" w:rsidP="00780185">
      <w:pPr>
        <w:pStyle w:val="a3"/>
        <w:numPr>
          <w:ilvl w:val="0"/>
          <w:numId w:val="107"/>
        </w:numPr>
        <w:spacing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 xml:space="preserve">Особые указания при применении Г-КСФ </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lastRenderedPageBreak/>
        <w:t xml:space="preserve">На фоне терапии Г-КСФ отмечается увеличение размеров селезенки. Во время клинических исследований у 31% больных с тяжелой хронической нейтропенией пальпаторно обнаруживалась спленомегалия. При рентгенографии увеличение селезенки выявлялось вскоре после назначения Г-КСФ и далее имело тенденцию к стабилизации. Установлено, что уменьшение дозы препарата останавливало спленомегалию; спленэктомия потребовалась 3% больных. Необходимо регулярно контролировать размеры селезенки при проведении мобилизации </w:t>
      </w:r>
      <w:r w:rsidR="00430A9B">
        <w:rPr>
          <w:rFonts w:ascii="Times New Roman" w:hAnsi="Times New Roman" w:cs="Times New Roman"/>
          <w:sz w:val="24"/>
          <w:szCs w:val="24"/>
        </w:rPr>
        <w:t>ГКС</w:t>
      </w:r>
      <w:r w:rsidRPr="0095427D">
        <w:rPr>
          <w:rFonts w:ascii="Times New Roman" w:hAnsi="Times New Roman" w:cs="Times New Roman"/>
          <w:sz w:val="24"/>
          <w:szCs w:val="24"/>
        </w:rPr>
        <w:t>.</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Эффективность и безопасность Г-КСФ у пациентов с тяжелыми нарушениями функции почек или печени не изучена, поэтому при использовании препарата у данной категории больных нужно соблюдать осторожность </w:t>
      </w:r>
      <w:r w:rsidRPr="0095427D">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{"citationItems":[{"id":"ITEM-1","itemData":{"DOI":"10.1007/s00520-017-3854-x","ISSN":"14337339","abstract":"Purpose: Filgrastim (NEUPOGEN®) is the originator recombinant human granulocyte colony-stimulating factor widely used for preventing neutropenia-related infections and mobilizing hematopoietic stem cells. This report presents findings of a systematic literature review and meta-analysis of efficacy and safety of originator filgrastim to update previous reports. Methods: A literature search of electronic databases, congress abstracts, and bibliographies of recent reviews was conducted to identify English-language reports of clinical trials and observational studies evaluating filgrastim in its US-approved indications up to February 2015. Two independent reviewers assessed titles/abstracts and full texts of publications, and extracted data from studies that compared originator filgrastim vs placebo or no treatment. For outcomes with sufficient homogeneous data reported across studies, meta-analysis was performed and relative risk (RR) determined. Data were summarized descriptively for all other evaluated outcomes. Results: A total of 1194 unique articles evaluating originator filgrastim were identified, with 25 meeting eligibility criteria for data extraction: 18 randomized controlled trials, 2 nonrandomized clinical trials, and 5 observational studies. In chemotherapy-induced neutropenia (CIN), filgrastim vs placebo or no treatment significantly reduced febrile neutropenia incidence (RR 0.63, 95% CI 0.53–0.75) and grade 3 or 4 neutropenia incidence (RR 0.50, 95% CI 0.37–0.68). The most commonly reported adverse event (AE) with filgrastim was bone pain (RR 2.61, 95% CI 1.29–5.27 in CIN). Additional efficacy and safety outcomes are described within indications. Conclusions: This systematic literature review and meta-analysis confirms and updates previous reports on the efficacy and safety of originator filgrastim. Bone pain was the commonly reported AE associated with filgrastim use.","author":[{"dropping-particle":"","family":"Dale","given":"David C.","non-dropping-particle":"","parse-names":false,"suffix":""},{"dropping-particle":"","family":"Crawford","given":"Jeffrey","non-dropping-particle":"","parse-names":false,"suffix":""},{"dropping-particle":"","family":"Klippel","given":"Zandra","non-dropping-particle":"","parse-names":false,"suffix":""},{"dropping-particle":"","family":"Reiner","given":"Maureen","non-dropping-particle":"","parse-names":false,"suffix":""},{"dropping-particle":"","family":"Osslund","given":"Timothy","non-dropping-particle":"","parse-names":false,"suffix":""},{"dropping-particle":"","family":"Fan","given":"Ellen","non-dropping-particle":"","parse-names":false,"suffix":""},{"dropping-particle":"","family":"Morrow","given":"Phuong Khanh","non-dropping-particle":"","parse-names":false,"suffix":""},{"dropping-particle":"","family":"Allcott","given":"Kim","non-dropping-particle":"","parse-names":false,"suffix":""},{"dropping-particle":"","family":"Lyman","given":"Gary H.","non-dropping-particle":"","parse-names":false,"suffix":""}],"container-title":"Supportive Care in Cancer","id":"ITEM-1","issue":"1","issued":{"date-parts":[["2018","1"]]},"page":"7-20","publisher":"Springer Verlag","title":"A systematic literature review of the efficacy, effectiveness, and safety of filgrastim","type":"article","volume":"26"},"uris":["http://www.mendeley.com/documents/?uuid=550ab93e-65c6-3635-bdec-ce1335957f6b","http://www.mendeley.com/documents/?uuid=81154266-ebc4-4411-a600-130a38d299b0","http://www.mendeley.com/documents/?uuid=c2be01fc-c6e8-4713-b92d-b16c6c5c4162","http://www.mendeley.com/documents/?uuid=51012d54-9729-4c59-8188-bd27dd02ced0","http://www.mendeley.com/documents/?uuid=7b228875-1c78-4dc7-aa5d-6018d173c1d5","http://www.mendeley.com/documents/?uuid=330cd959-497b-4a4c-b7a0-3a2c812989a6"]}],"mendeley":{"formattedCitation":"[32]","plainTextFormattedCitation":"[32]","previouslyFormattedCitation":"[32]"},"properties":{"noteIndex":0},"schema":"https://github.com/citation-style-language/schema/raw/master/csl-citation.json"}</w:instrText>
      </w:r>
      <w:r w:rsidRPr="0095427D">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[32]</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 xml:space="preserve">. </w:t>
      </w:r>
    </w:p>
    <w:p w:rsidR="0095427D" w:rsidRPr="0095427D" w:rsidRDefault="0095427D" w:rsidP="00780185">
      <w:pPr>
        <w:pStyle w:val="a3"/>
        <w:numPr>
          <w:ilvl w:val="0"/>
          <w:numId w:val="107"/>
        </w:numPr>
        <w:spacing w:after="0"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Побочные эффекты Г-КСФ</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Нежелательные явления после назначения встречаются в 30% </w:t>
      </w:r>
      <w:r w:rsidR="00DF146B" w:rsidRPr="0095427D">
        <w:rPr>
          <w:rFonts w:ascii="Times New Roman" w:hAnsi="Times New Roman" w:cs="Times New Roman"/>
          <w:sz w:val="24"/>
          <w:szCs w:val="24"/>
        </w:rPr>
        <w:t>случаев,</w:t>
      </w:r>
      <w:r w:rsidRPr="0095427D">
        <w:rPr>
          <w:rFonts w:ascii="Times New Roman" w:hAnsi="Times New Roman" w:cs="Times New Roman"/>
          <w:sz w:val="24"/>
          <w:szCs w:val="24"/>
        </w:rPr>
        <w:t xml:space="preserve"> как у пациентов, так и у здоровых доноров.</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Наиболее частые осложнения: боли в костях, головные боли, общая слабость. Реже встречаются миалгии, тревога, бессонница, гипергидроз, лихорадка, тошнота, кожные реакции в месте введения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{"citationItems":[{"id":"ITEM-1","itemData":{"DOI":"10.1200/JCO.2015.62.3488","ISSN":"15277755","PMID":"26169616","abstract":"Purpose To update the 2006 American Society of Clinical Oncology guideline on the use of hematopoietic colony-stimulating factors (CSFs). Methods The American Society of Clinical Oncology convened an Update Committee and conducted a systematic review of randomized clinical trials, meta-analyses, and systematic reviews from October 2005 through September 2014. Guideline recommendations were based on the review of the evidence by the Update Committee. Results Changes to previous recommendations include the addition of tbo-filgrastim and filgrastim-sndz, moderation of the recommendation regarding routine use of CSFs in older patients with diffuse aggressive lymphoma, and addition of recommendations against routine dose-dense chemotherapy in lymphoma and in favor of high- dose-intensity chemotherapy in urothelial cancer. The Update Committee did not address recommendations regarding use of CSFs in acute myeloid leukemia or myelodysplastic syndromes in adults. Recommendations Prophylactic use of CSFs to reduce the risk of febrile neutropenia is warranted when the risk of febrile neutropenia is approximately 20% or higher and no other equally effective and safe regimen that does not require CSFs is available. Primary prophylaxis is recommended for the prevention of febrile neutropenia in patients who are at high risk on the basis of age, medical history, disease characteristics, and myelotoxicity of the chemotherapy regimen. Dose-dense regimens that require CSFs should only be used within an appropriately designed clinical trial or if supported by convincing efficacy data. Current recommendations for the management of patients exposed to lethal doses of total-body radiotherapy, but not doses high enough to lead to certain death as a result of injury to other organs, include the prompt administration of CSFs.","author":[{"dropping-particle":"","family":"Smith","given":"Thomas J.","non-dropping-particle":"","parse-names":false,"suffix":""},{"dropping-particle":"","family":"Bohlke","given":"Kari","non-dropping-particle":"","parse-names":false,"suffix":""},{"dropping-particle":"","family":"Lyman","given":"Gary H.","non-dropping-particle":"","parse-names":false,"suffix":""},{"dropping-particle":"","family":"Carson","given":"Kenneth R.","non-dropping-particle":"","parse-names":false,"suffix":""},{"dropping-particle":"","family":"Crawford","given":"Jeffrey","non-dropping-particle":"","parse-names":false,"suffix":""},{"dropping-particle":"","family":"Cross","given":"Scott J.","non-dropping-particle":"","parse-names":false,"suffix":""},{"dropping-particle":"","family":"Goldberg","given":"John M.","non-dropping-particle":"","parse-names":false,"suffix":""},{"dropping-particle":"","family":"Khatcheressian","given":"James L.","non-dropping-particle":"","parse-names":false,"suffix":""},{"dropping-particle":"","family":"Leighl","given":"Natasha B.","non-dropping-particle":"","parse-names":false,"suffix":""},{"dropping-particle":"","family":"Perkins","given":"Cheryl L.","non-dropping-particle":"","parse-names":false,"suffix":""},{"dropping-particle":"","family":"Somlo","given":"George","non-dropping-particle":"","parse-names":false,"suffix":""},{"dropping-particle":"","family":"Wade","given":"James L.","non-dropping-particle":"","parse-names":false,"suffix":""},{"dropping-particle":"","family":"Wozniak","given":"Antoinette J.","non-dropping-particle":"","parse-names":false,"suffix":""},{"dropping-particle":"","family":"Armitage","given":"James O.","non-dropping-particle":"","parse-names":false,"suffix":""}],"container-title":"Journal of Clinical Oncology","id":"ITEM-1","issue":"28","issued":{"date-parts":[["2015","10"]]},"page":"3199-3212","publisher":"American Society of Clinical Oncology","title":"Recommendations for the use of WBC growth factors: American society of clinical oncology clinical practice guideline update","type":"article-journal","volume":"33"},"uris":["http://www.mendeley.com/documents/?uuid=996f59f3-1fa6-3fdf-aac4-35481ffe75e2","http://www.mendeley.com/documents/?uuid=77b4204a-c7e8-425a-b269-9b71b8f10079","http://www.mendeley.com/documents/?uuid=baf8a5c7-f217-426b-bdd6-7823d15881a5","http://www.mendeley.com/documents/?uuid=029b05a4-3aab-45bc-848d-3c17ab334b1a","http://www.mendeley.com/documents/?uuid=c4b68753-8af0-43d3-9c09-5a220cdb4e31","http://www.mendeley.com/documents/?uuid=aea3c5b8-ada6-45f7-8bc1-f029c0318fdc"]}],"mendeley":{"formattedCitation":"[68]","plainTextFormattedCitation":"[68]","previouslyFormattedCitation":"[67]"},"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[68]</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 xml:space="preserve">. </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Оссалгии связаны с изменением метаболизма костной т</w:t>
      </w:r>
      <w:r w:rsidR="00430A9B">
        <w:rPr>
          <w:rFonts w:ascii="Times New Roman" w:hAnsi="Times New Roman" w:cs="Times New Roman"/>
          <w:sz w:val="24"/>
          <w:szCs w:val="24"/>
        </w:rPr>
        <w:t xml:space="preserve">кани под действием Г-КСФ. Боли </w:t>
      </w:r>
      <w:r w:rsidRPr="0095427D">
        <w:rPr>
          <w:rFonts w:ascii="Times New Roman" w:hAnsi="Times New Roman" w:cs="Times New Roman"/>
          <w:sz w:val="24"/>
          <w:szCs w:val="24"/>
        </w:rPr>
        <w:t>могут быть интенсивными, пульсирующего характера, чаще локализованы в позвоночнике, костях таза. Выраженный болевой синдром в костях во время мобилизации ГСК требует адекватной аналгезии.</w:t>
      </w:r>
    </w:p>
    <w:p w:rsidR="0095427D" w:rsidRPr="0095427D" w:rsidRDefault="0095427D" w:rsidP="00780185">
      <w:pPr>
        <w:pStyle w:val="a3"/>
        <w:numPr>
          <w:ilvl w:val="2"/>
          <w:numId w:val="106"/>
        </w:numPr>
        <w:spacing w:line="360" w:lineRule="auto"/>
        <w:ind w:left="0" w:firstLine="0"/>
        <w:rPr>
          <w:rFonts w:ascii="Times New Roman" w:hAnsi="Times New Roman" w:cs="Times New Roman"/>
          <w:b/>
          <w:sz w:val="24"/>
          <w:szCs w:val="24"/>
        </w:rPr>
      </w:pPr>
      <w:r w:rsidRPr="0095427D">
        <w:rPr>
          <w:rFonts w:ascii="Times New Roman" w:hAnsi="Times New Roman" w:cs="Times New Roman"/>
          <w:b/>
          <w:sz w:val="24"/>
          <w:szCs w:val="24"/>
        </w:rPr>
        <w:t xml:space="preserve"> Плериксафор</w:t>
      </w:r>
    </w:p>
    <w:p w:rsidR="0095427D" w:rsidRPr="0095427D" w:rsidRDefault="0095427D" w:rsidP="00780185">
      <w:pPr>
        <w:pStyle w:val="a3"/>
        <w:numPr>
          <w:ilvl w:val="0"/>
          <w:numId w:val="107"/>
        </w:numPr>
        <w:spacing w:after="0"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Общие сведения</w:t>
      </w:r>
    </w:p>
    <w:p w:rsidR="00430A9B"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Клетки стромы костного мозга секретируют стромальный фактор роста-1α (SDF-1α, CXCL12). Рецептором SDF-1α является CXCR4, который присутствует на поверхности ГСК. Взаимодействие между SDF-1α и его рецептором CXCR4 является необходимым дл</w:t>
      </w:r>
      <w:r w:rsidR="00430A9B">
        <w:rPr>
          <w:rFonts w:ascii="Times New Roman" w:hAnsi="Times New Roman" w:cs="Times New Roman"/>
          <w:sz w:val="24"/>
          <w:szCs w:val="24"/>
        </w:rPr>
        <w:t xml:space="preserve">я «удержания» стволовой клетки </w:t>
      </w:r>
      <w:r w:rsidRPr="0095427D">
        <w:rPr>
          <w:rFonts w:ascii="Times New Roman" w:hAnsi="Times New Roman" w:cs="Times New Roman"/>
          <w:sz w:val="24"/>
          <w:szCs w:val="24"/>
        </w:rPr>
        <w:t xml:space="preserve">в костном мозге. </w:t>
      </w:r>
    </w:p>
    <w:p w:rsidR="000C13B2"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Плериксафор –селективный обратимый антагонист хемокинового рецептора CXCR4. Он блокирует CXCR4 за счет связывания с фактором SDF-1α, в результате чего ГСК «отрывается» от стромы костного мозга и выходит в периферическую кровь. </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Считается, что индуцированный плериксафором лейкоцитоз и увеличение количества циркулирующих гемопоэтических прогениторных клеток является результатом нарушения связи между CXCR4 и его лигандом, которое приводит к появлению в системном кровотоке как зрелых, так и полипотентных клеток. CD34+ клетки, мобилизованные с помощью плериксафора, являются функциональными и </w:t>
      </w:r>
      <w:r w:rsidRPr="0095427D">
        <w:rPr>
          <w:rFonts w:ascii="Times New Roman" w:hAnsi="Times New Roman" w:cs="Times New Roman"/>
          <w:sz w:val="24"/>
          <w:szCs w:val="24"/>
        </w:rPr>
        <w:lastRenderedPageBreak/>
        <w:t xml:space="preserve">способными к приживлению, с долгосрочным потенциалом восстановления популяции </w:t>
      </w:r>
      <w:r w:rsidRPr="0095427D">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{"citationItems":[{"id":"ITEM-1","itemData":{"DOI":"10.1097/MOH.0000000000000200","ISSN":"15317048","abstract":"Purpose of review Nowadays, plerixafor is approved for patients who fail to mobilize sufficient CD34+ cells for an autologous stem cell transplantation. Plerixafor is effective in the majority of these patients, who otherwise could not be treated adequately. We discussed in this review the current status of the optimal use of plerixafor in different clinical diagnoses and settings. Recent findings Plerixafor seems to be more effective in patients with multiple myeloma than in lymphoma. Even patients who had very low circulating CD34+ cells before administration of plerixafor have an important benefit. Several strategies in different clinical settings showed an effective response after administration of plerixafor, without the superiority of one strategy. Plerixafor is well tolerated with acceptable toxicity; however, it is an expensive drug. Summary Plerixafor is an effective drug in patients who fail to mobilize with conventional strategy. No strategy seems superior for the optimal use of plerixafor. More studies focusing on the kinetics and cost-effectiveness are needed.","author":[{"dropping-particle":"","family":"Bilgin","given":"Yavuz M.","non-dropping-particle":"","parse-names":false,"suffix":""},{"dropping-particle":"","family":"Greef","given":"Georgine E.","non-dropping-particle":"De","parse-names":false,"suffix":""}],"container-title":"Current Opinion in Hematology","id":"ITEM-1","issue":"1","issued":{"date-parts":[["2016"]]},"page":"67-71","publisher":"Lippincott Williams and Wilkins","title":"Plerixafor for stem cell mobilization: The current status","type":"article","volume":"23"},"uris":["http://www.mendeley.com/documents/?uuid=772496d3-3f49-3543-8e45-953927e66576","http://www.mendeley.com/documents/?uuid=0e6ef96a-3564-45dd-86c9-2dcce383b7dc","http://www.mendeley.com/documents/?uuid=80ac083b-a6cc-43ec-ac5c-5dd1106427cb","http://www.mendeley.com/documents/?uuid=d683afc4-05d3-4238-aa1a-cbd32aa0e13a","http://www.mendeley.com/documents/?uuid=b4dd41b8-108e-46be-ac3b-33a16d49ba72","http://www.mendeley.com/documents/?uuid=4631457b-a0e4-4adb-98c7-81b6f793c719"]}],"mendeley":{"formattedCitation":"[23]","plainTextFormattedCitation":"[23]","previouslyFormattedCitation":"[23]"},"properties":{"noteIndex":0},"schema":"https://github.com/citation-style-language/schema/raw/master/csl-citation.json"}</w:instrText>
      </w:r>
      <w:r w:rsidRPr="0095427D">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[23]</w:t>
      </w:r>
      <w:r w:rsidRPr="0095427D">
        <w:rPr>
          <w:rFonts w:ascii="Times New Roman" w:hAnsi="Times New Roman" w:cs="Times New Roman"/>
          <w:sz w:val="24"/>
          <w:szCs w:val="24"/>
        </w:rPr>
        <w:fldChar w:fldCharType="end"/>
      </w:r>
      <w:r w:rsidR="00430A9B">
        <w:rPr>
          <w:rFonts w:ascii="Times New Roman" w:hAnsi="Times New Roman" w:cs="Times New Roman"/>
          <w:sz w:val="24"/>
          <w:szCs w:val="24"/>
        </w:rPr>
        <w:t>.</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Плериксафор применяется для усиления мобилизации гемопоэтических стволовых клеток в периферический кровоток с целью их сбора и последующей а</w:t>
      </w:r>
      <w:r w:rsidR="00430A9B">
        <w:rPr>
          <w:rFonts w:ascii="Times New Roman" w:hAnsi="Times New Roman" w:cs="Times New Roman"/>
          <w:sz w:val="24"/>
          <w:szCs w:val="24"/>
        </w:rPr>
        <w:t>уто-ТГСК</w:t>
      </w:r>
      <w:r w:rsidRPr="0095427D">
        <w:rPr>
          <w:rFonts w:ascii="Times New Roman" w:hAnsi="Times New Roman" w:cs="Times New Roman"/>
          <w:sz w:val="24"/>
          <w:szCs w:val="24"/>
        </w:rPr>
        <w:t xml:space="preserve"> пациентам с лимфомой и множественной миеломой в сочетании с Г-КСФ.</w:t>
      </w:r>
    </w:p>
    <w:p w:rsidR="0095427D" w:rsidRPr="0095427D" w:rsidRDefault="0095427D" w:rsidP="00780185">
      <w:pPr>
        <w:pStyle w:val="a3"/>
        <w:numPr>
          <w:ilvl w:val="0"/>
          <w:numId w:val="107"/>
        </w:numPr>
        <w:spacing w:after="0"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Pежим дозирования плериксафора</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Рекомендованная</w:t>
      </w:r>
      <w:r w:rsidR="00430A9B">
        <w:rPr>
          <w:rFonts w:ascii="Times New Roman" w:hAnsi="Times New Roman" w:cs="Times New Roman"/>
          <w:sz w:val="24"/>
          <w:szCs w:val="24"/>
        </w:rPr>
        <w:t xml:space="preserve"> доза плериксафора составляет 0,</w:t>
      </w:r>
      <w:r w:rsidRPr="0095427D">
        <w:rPr>
          <w:rFonts w:ascii="Times New Roman" w:hAnsi="Times New Roman" w:cs="Times New Roman"/>
          <w:sz w:val="24"/>
          <w:szCs w:val="24"/>
        </w:rPr>
        <w:t>24 мг/кг/сут. Препарат вводят подкожно за 6-11 ч до начала афереза после предварительной 4-дневной терапии Г-КСФ. В клинических исследованиях препарат обычно использовался в течение 2-4 дней подряд (до 7 дней непрерывного применения).</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У пациентов с нарушением функции почек при скорости клубочковой фильтрации (СКФ) менее 50 мл/мин дозу плериксафор</w:t>
      </w:r>
      <w:r w:rsidR="00A171B2">
        <w:rPr>
          <w:rFonts w:ascii="Times New Roman" w:hAnsi="Times New Roman" w:cs="Times New Roman"/>
          <w:sz w:val="24"/>
          <w:szCs w:val="24"/>
        </w:rPr>
        <w:t>а следует уменьшить на 1/3 до 0,</w:t>
      </w:r>
      <w:r w:rsidRPr="0095427D">
        <w:rPr>
          <w:rFonts w:ascii="Times New Roman" w:hAnsi="Times New Roman" w:cs="Times New Roman"/>
          <w:sz w:val="24"/>
          <w:szCs w:val="24"/>
        </w:rPr>
        <w:t>16 мг/кг/сут. Клинические данные по применению скорректированной дозы препарата ограничены. Имеющийся опыт клинического применения плериксафора не позволяет дать рекомендаций по дозированию препарата при СКФ менее 20 мл/мин.</w:t>
      </w:r>
    </w:p>
    <w:p w:rsidR="0095427D" w:rsidRPr="0095427D" w:rsidRDefault="0095427D" w:rsidP="00780185">
      <w:pPr>
        <w:pStyle w:val="a3"/>
        <w:numPr>
          <w:ilvl w:val="0"/>
          <w:numId w:val="107"/>
        </w:numPr>
        <w:spacing w:after="0"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Особые указания при применении плериксафора</w:t>
      </w:r>
    </w:p>
    <w:p w:rsidR="0095427D" w:rsidRPr="0095427D" w:rsidRDefault="0095427D" w:rsidP="0095427D">
      <w:pPr>
        <w:spacing w:after="0" w:line="360" w:lineRule="auto"/>
        <w:ind w:firstLine="567"/>
        <w:jc w:val="both"/>
        <w:rPr>
          <w:rFonts w:ascii="Times New Roman" w:hAnsi="Times New Roman" w:cs="Times New Roman"/>
          <w:i/>
          <w:sz w:val="24"/>
          <w:szCs w:val="24"/>
        </w:rPr>
      </w:pPr>
      <w:r w:rsidRPr="0095427D">
        <w:rPr>
          <w:rFonts w:ascii="Times New Roman" w:hAnsi="Times New Roman" w:cs="Times New Roman"/>
          <w:i/>
          <w:sz w:val="24"/>
          <w:szCs w:val="24"/>
        </w:rPr>
        <w:t>Мобилизация опухолевых клеток у пациентов с лейкозами.</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Плериксафор и Г-КСФ назначали при остром миелоидном и плазмоцитарном лейкозах в рамках программы по применению исследуемого препарата в индивидуальном порядке. При этом в отдельных случаях наблюдалось увеличение числа циркулирующих лейкемических клеток. Поэтому плериксафор не рекомендуется применять при лейкозах для мобилизации гемопоэтических стволовых клеток и их последующего забора.</w:t>
      </w:r>
    </w:p>
    <w:p w:rsidR="0095427D" w:rsidRPr="0095427D" w:rsidRDefault="0095427D" w:rsidP="0095427D">
      <w:pPr>
        <w:spacing w:after="0" w:line="360" w:lineRule="auto"/>
        <w:ind w:firstLine="567"/>
        <w:jc w:val="both"/>
        <w:rPr>
          <w:rFonts w:ascii="Times New Roman" w:hAnsi="Times New Roman" w:cs="Times New Roman"/>
          <w:i/>
          <w:sz w:val="24"/>
          <w:szCs w:val="24"/>
        </w:rPr>
      </w:pPr>
      <w:r w:rsidRPr="0095427D">
        <w:rPr>
          <w:rFonts w:ascii="Times New Roman" w:hAnsi="Times New Roman" w:cs="Times New Roman"/>
          <w:i/>
          <w:sz w:val="24"/>
          <w:szCs w:val="24"/>
        </w:rPr>
        <w:t xml:space="preserve">Тромбоцитопения. </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 xml:space="preserve">Тромбоцитопения является известным осложнением афереза и наблюдается у пациентов, получающих как Г-КСФ, так и плериксафор. </w:t>
      </w:r>
    </w:p>
    <w:p w:rsidR="0095427D" w:rsidRPr="0095427D" w:rsidRDefault="0095427D" w:rsidP="0095427D">
      <w:pPr>
        <w:spacing w:after="0" w:line="360" w:lineRule="auto"/>
        <w:ind w:firstLine="567"/>
        <w:jc w:val="both"/>
        <w:rPr>
          <w:rFonts w:ascii="Times New Roman" w:hAnsi="Times New Roman" w:cs="Times New Roman"/>
          <w:i/>
          <w:sz w:val="24"/>
          <w:szCs w:val="24"/>
        </w:rPr>
      </w:pPr>
      <w:r w:rsidRPr="0095427D">
        <w:rPr>
          <w:rFonts w:ascii="Times New Roman" w:hAnsi="Times New Roman" w:cs="Times New Roman"/>
          <w:i/>
          <w:sz w:val="24"/>
          <w:szCs w:val="24"/>
        </w:rPr>
        <w:t>Возможность мобилизации опухолевых клеток у пациентов с лимфомой и множественной миеломой.</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Последствия потенциальной реинфузии опухолевых клеток должным образом не изучены. При применении плериксафора в сочетании с Г-КСФ для мобилизации гемопоэтических стволовых клеток при лимфоме или множественной миеломе (ММ) возможно высвобождение опухолевых клеток из костного мозга и их последующий забор при лейк</w:t>
      </w:r>
      <w:r w:rsidR="00430A9B">
        <w:rPr>
          <w:rFonts w:ascii="Times New Roman" w:hAnsi="Times New Roman" w:cs="Times New Roman"/>
          <w:sz w:val="24"/>
          <w:szCs w:val="24"/>
        </w:rPr>
        <w:t>а</w:t>
      </w:r>
      <w:r w:rsidRPr="0095427D">
        <w:rPr>
          <w:rFonts w:ascii="Times New Roman" w:hAnsi="Times New Roman" w:cs="Times New Roman"/>
          <w:sz w:val="24"/>
          <w:szCs w:val="24"/>
        </w:rPr>
        <w:t xml:space="preserve">ферезе. Клиническое значение возможного риска мобилизации опухолевых клеток определено не полностью. В клинических исследованиях с участием пациентов с </w:t>
      </w:r>
      <w:r w:rsidRPr="0095427D">
        <w:rPr>
          <w:rFonts w:ascii="Times New Roman" w:hAnsi="Times New Roman" w:cs="Times New Roman"/>
          <w:sz w:val="24"/>
          <w:szCs w:val="24"/>
        </w:rPr>
        <w:lastRenderedPageBreak/>
        <w:t>неходжкинской лимфомой и множественной миеломой не наблюдалось мобилизации клеток опухоли при применении плериксафора.</w:t>
      </w:r>
    </w:p>
    <w:p w:rsidR="0095427D" w:rsidRPr="0095427D" w:rsidRDefault="0095427D" w:rsidP="0095427D">
      <w:pPr>
        <w:spacing w:after="0" w:line="360" w:lineRule="auto"/>
        <w:ind w:firstLine="567"/>
        <w:jc w:val="both"/>
        <w:rPr>
          <w:rFonts w:ascii="Times New Roman" w:hAnsi="Times New Roman" w:cs="Times New Roman"/>
          <w:i/>
          <w:sz w:val="24"/>
          <w:szCs w:val="24"/>
        </w:rPr>
      </w:pPr>
      <w:r w:rsidRPr="0095427D">
        <w:rPr>
          <w:rFonts w:ascii="Times New Roman" w:hAnsi="Times New Roman" w:cs="Times New Roman"/>
          <w:i/>
          <w:sz w:val="24"/>
          <w:szCs w:val="24"/>
        </w:rPr>
        <w:t>Вазовагальные реакции</w:t>
      </w:r>
    </w:p>
    <w:p w:rsidR="0095427D" w:rsidRPr="0095427D" w:rsidRDefault="0095427D" w:rsidP="0095427D">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После подкожной инъекций препарата могут отмечаться вазовагальные реакции, ортостатич</w:t>
      </w:r>
      <w:r w:rsidR="00430A9B">
        <w:rPr>
          <w:rFonts w:ascii="Times New Roman" w:hAnsi="Times New Roman" w:cs="Times New Roman"/>
          <w:sz w:val="24"/>
          <w:szCs w:val="24"/>
        </w:rPr>
        <w:t>еская гипотензия и/или синкопе.</w:t>
      </w:r>
    </w:p>
    <w:p w:rsidR="0095427D" w:rsidRPr="0095427D" w:rsidRDefault="0095427D" w:rsidP="0095427D">
      <w:pPr>
        <w:spacing w:after="0" w:line="360" w:lineRule="auto"/>
        <w:ind w:firstLine="567"/>
        <w:jc w:val="both"/>
        <w:rPr>
          <w:rFonts w:ascii="Times New Roman" w:hAnsi="Times New Roman" w:cs="Times New Roman"/>
          <w:i/>
          <w:sz w:val="24"/>
          <w:szCs w:val="24"/>
        </w:rPr>
      </w:pPr>
      <w:r w:rsidRPr="0095427D">
        <w:rPr>
          <w:rFonts w:ascii="Times New Roman" w:hAnsi="Times New Roman" w:cs="Times New Roman"/>
          <w:i/>
          <w:sz w:val="24"/>
          <w:szCs w:val="24"/>
        </w:rPr>
        <w:t>Спленомегалия</w:t>
      </w:r>
    </w:p>
    <w:p w:rsidR="0095427D" w:rsidRPr="0095427D" w:rsidRDefault="0095427D" w:rsidP="00430A9B">
      <w:pPr>
        <w:spacing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В клинических исследованиях влияние плериксафора на размер селезенки специально не оценивалось. Учитывая, что использование Г-КСФ может провоцировать спленомегалию, а также сочетанное применение плериксафора и Г-КСФ, необходимо регулярно контролировать размеры селезе</w:t>
      </w:r>
      <w:r w:rsidR="00430A9B">
        <w:rPr>
          <w:rFonts w:ascii="Times New Roman" w:hAnsi="Times New Roman" w:cs="Times New Roman"/>
          <w:sz w:val="24"/>
          <w:szCs w:val="24"/>
        </w:rPr>
        <w:t>нки.</w:t>
      </w:r>
    </w:p>
    <w:p w:rsidR="0095427D" w:rsidRPr="0095427D" w:rsidRDefault="0095427D" w:rsidP="00780185">
      <w:pPr>
        <w:pStyle w:val="a3"/>
        <w:numPr>
          <w:ilvl w:val="0"/>
          <w:numId w:val="107"/>
        </w:numPr>
        <w:spacing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Побочные эффекты плериксафора</w:t>
      </w:r>
    </w:p>
    <w:p w:rsidR="0095427D" w:rsidRDefault="0095427D" w:rsidP="0095427D">
      <w:pPr>
        <w:spacing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Наиболее частые осложнения: скелетно-мышечная боль, головные боли, головокружение, бессонница, общая слабость, диарея, тошнота. Также встречаются метеоризм, запор, сухость во рту, гипергидроз, кожные реакции в месте введения</w:t>
      </w:r>
    </w:p>
    <w:p w:rsidR="00303DEC" w:rsidRDefault="00303DEC">
      <w:pPr>
        <w:rPr>
          <w:rFonts w:ascii="Times New Roman" w:hAnsi="Times New Roman" w:cs="Times New Roman"/>
          <w:sz w:val="24"/>
          <w:szCs w:val="24"/>
        </w:rPr>
      </w:pPr>
      <w:r>
        <w:rPr>
          <w:rFonts w:ascii="Times New Roman" w:hAnsi="Times New Roman" w:cs="Times New Roman"/>
          <w:sz w:val="24"/>
          <w:szCs w:val="24"/>
        </w:rPr>
        <w:br w:type="page"/>
      </w:r>
    </w:p>
    <w:p w:rsidR="0095427D" w:rsidRPr="00303DEC" w:rsidRDefault="0095427D" w:rsidP="00780185">
      <w:pPr>
        <w:pStyle w:val="1"/>
        <w:numPr>
          <w:ilvl w:val="0"/>
          <w:numId w:val="106"/>
        </w:numPr>
        <w:spacing w:before="0"/>
        <w:jc w:val="center"/>
        <w:rPr>
          <w:rFonts w:ascii="Times New Roman" w:hAnsi="Times New Roman" w:cs="Times New Roman"/>
          <w:color w:val="auto"/>
          <w:sz w:val="24"/>
        </w:rPr>
      </w:pPr>
      <w:bookmarkStart w:id="7" w:name="_Toc44926604"/>
      <w:r w:rsidRPr="00303DEC">
        <w:rPr>
          <w:rFonts w:ascii="Times New Roman" w:hAnsi="Times New Roman" w:cs="Times New Roman"/>
          <w:color w:val="auto"/>
          <w:sz w:val="24"/>
        </w:rPr>
        <w:lastRenderedPageBreak/>
        <w:t>Режимы мобилизации ГСК</w:t>
      </w:r>
      <w:bookmarkEnd w:id="7"/>
    </w:p>
    <w:p w:rsidR="0095427D" w:rsidRPr="0095427D" w:rsidRDefault="0095427D" w:rsidP="00303DEC">
      <w:pPr>
        <w:autoSpaceDE w:val="0"/>
        <w:autoSpaceDN w:val="0"/>
        <w:adjustRightInd w:val="0"/>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В настоящее время в онкогематологии широкое распространение получили следующие режимы мобилизации ГСК:</w:t>
      </w:r>
    </w:p>
    <w:p w:rsidR="0095427D" w:rsidRPr="0095427D" w:rsidRDefault="0095427D" w:rsidP="00D368AE">
      <w:pPr>
        <w:numPr>
          <w:ilvl w:val="0"/>
          <w:numId w:val="1"/>
        </w:numPr>
        <w:spacing w:line="360" w:lineRule="auto"/>
        <w:contextualSpacing/>
        <w:jc w:val="both"/>
        <w:rPr>
          <w:rFonts w:ascii="Times New Roman" w:hAnsi="Times New Roman" w:cs="Times New Roman"/>
          <w:sz w:val="24"/>
          <w:szCs w:val="24"/>
        </w:rPr>
      </w:pPr>
      <w:r w:rsidRPr="0095427D">
        <w:rPr>
          <w:rFonts w:ascii="Times New Roman" w:hAnsi="Times New Roman" w:cs="Times New Roman"/>
          <w:sz w:val="24"/>
          <w:szCs w:val="24"/>
        </w:rPr>
        <w:t>Г-КСФ в монорежиме</w:t>
      </w:r>
    </w:p>
    <w:p w:rsidR="0095427D" w:rsidRPr="0095427D" w:rsidRDefault="0095427D" w:rsidP="00D368AE">
      <w:pPr>
        <w:numPr>
          <w:ilvl w:val="0"/>
          <w:numId w:val="1"/>
        </w:numPr>
        <w:spacing w:line="360" w:lineRule="auto"/>
        <w:contextualSpacing/>
        <w:jc w:val="both"/>
        <w:rPr>
          <w:rFonts w:ascii="Times New Roman" w:hAnsi="Times New Roman" w:cs="Times New Roman"/>
          <w:sz w:val="24"/>
          <w:szCs w:val="24"/>
        </w:rPr>
      </w:pPr>
      <w:r w:rsidRPr="0095427D">
        <w:rPr>
          <w:rFonts w:ascii="Times New Roman" w:hAnsi="Times New Roman" w:cs="Times New Roman"/>
          <w:sz w:val="24"/>
          <w:szCs w:val="24"/>
        </w:rPr>
        <w:t>Г-КСФ после миелосупрессивной химиотерапии (ХТ + Г-КСФ)</w:t>
      </w:r>
    </w:p>
    <w:p w:rsidR="0095427D" w:rsidRPr="0095427D" w:rsidRDefault="0095427D" w:rsidP="00D368AE">
      <w:pPr>
        <w:numPr>
          <w:ilvl w:val="0"/>
          <w:numId w:val="1"/>
        </w:numPr>
        <w:spacing w:line="360" w:lineRule="auto"/>
        <w:contextualSpacing/>
        <w:jc w:val="both"/>
        <w:rPr>
          <w:rFonts w:ascii="Times New Roman" w:hAnsi="Times New Roman" w:cs="Times New Roman"/>
          <w:sz w:val="24"/>
          <w:szCs w:val="24"/>
        </w:rPr>
      </w:pPr>
      <w:r w:rsidRPr="0095427D">
        <w:rPr>
          <w:rFonts w:ascii="Times New Roman" w:hAnsi="Times New Roman" w:cs="Times New Roman"/>
          <w:sz w:val="24"/>
          <w:szCs w:val="24"/>
        </w:rPr>
        <w:t>Г-КСФ в сочетании с плериксафором</w:t>
      </w:r>
    </w:p>
    <w:p w:rsidR="0095427D" w:rsidRPr="00303DEC" w:rsidRDefault="0095427D" w:rsidP="00780185">
      <w:pPr>
        <w:pStyle w:val="1"/>
        <w:numPr>
          <w:ilvl w:val="1"/>
          <w:numId w:val="109"/>
        </w:numPr>
        <w:spacing w:before="0" w:after="240"/>
        <w:rPr>
          <w:rFonts w:ascii="Times New Roman" w:hAnsi="Times New Roman" w:cs="Times New Roman"/>
          <w:color w:val="auto"/>
          <w:sz w:val="24"/>
        </w:rPr>
      </w:pPr>
      <w:r w:rsidRPr="00303DEC">
        <w:rPr>
          <w:rFonts w:ascii="Times New Roman" w:hAnsi="Times New Roman" w:cs="Times New Roman"/>
          <w:color w:val="auto"/>
          <w:sz w:val="24"/>
        </w:rPr>
        <w:t xml:space="preserve"> </w:t>
      </w:r>
      <w:bookmarkStart w:id="8" w:name="_Toc44926605"/>
      <w:r w:rsidRPr="00303DEC">
        <w:rPr>
          <w:rFonts w:ascii="Times New Roman" w:hAnsi="Times New Roman" w:cs="Times New Roman"/>
          <w:color w:val="auto"/>
          <w:sz w:val="24"/>
        </w:rPr>
        <w:t>Г-КСФ в монорежиме</w:t>
      </w:r>
      <w:bookmarkEnd w:id="8"/>
    </w:p>
    <w:p w:rsidR="0095427D" w:rsidRPr="0095427D" w:rsidRDefault="0095427D" w:rsidP="00303DEC">
      <w:pPr>
        <w:spacing w:after="0" w:line="360" w:lineRule="auto"/>
        <w:ind w:firstLine="567"/>
        <w:jc w:val="both"/>
        <w:rPr>
          <w:rFonts w:ascii="Times New Roman" w:hAnsi="Times New Roman" w:cs="Times New Roman"/>
          <w:sz w:val="24"/>
          <w:szCs w:val="24"/>
        </w:rPr>
      </w:pPr>
      <w:r w:rsidRPr="0095427D">
        <w:rPr>
          <w:rFonts w:ascii="Times New Roman" w:hAnsi="Times New Roman" w:cs="Times New Roman"/>
          <w:sz w:val="24"/>
          <w:szCs w:val="24"/>
        </w:rPr>
        <w:t>Данный режим также называют «мобилизация на стабильном состоянии кроветворения», так как у пациента не развивается миелотоксический агранулоцитоз (МТА).</w:t>
      </w:r>
    </w:p>
    <w:p w:rsidR="0095427D" w:rsidRPr="0095427D" w:rsidRDefault="0095427D" w:rsidP="00303DEC">
      <w:pPr>
        <w:spacing w:line="360" w:lineRule="auto"/>
        <w:contextualSpacing/>
        <w:jc w:val="both"/>
        <w:rPr>
          <w:rFonts w:ascii="Times New Roman" w:hAnsi="Times New Roman" w:cs="Times New Roman"/>
          <w:b/>
          <w:sz w:val="24"/>
          <w:szCs w:val="24"/>
        </w:rPr>
      </w:pPr>
      <w:r w:rsidRPr="0095427D">
        <w:rPr>
          <w:rFonts w:ascii="Times New Roman" w:hAnsi="Times New Roman" w:cs="Times New Roman"/>
          <w:b/>
          <w:sz w:val="24"/>
          <w:szCs w:val="24"/>
        </w:rPr>
        <w:t xml:space="preserve">Показания </w:t>
      </w:r>
    </w:p>
    <w:p w:rsidR="0095427D" w:rsidRPr="0095427D" w:rsidRDefault="0095427D" w:rsidP="00780185">
      <w:pPr>
        <w:numPr>
          <w:ilvl w:val="0"/>
          <w:numId w:val="103"/>
        </w:numPr>
        <w:spacing w:line="360" w:lineRule="auto"/>
        <w:ind w:left="426"/>
        <w:contextualSpacing/>
        <w:jc w:val="both"/>
        <w:rPr>
          <w:rFonts w:ascii="Times New Roman" w:hAnsi="Times New Roman" w:cs="Times New Roman"/>
          <w:sz w:val="24"/>
          <w:szCs w:val="24"/>
        </w:rPr>
      </w:pPr>
      <w:r w:rsidRPr="0095427D">
        <w:rPr>
          <w:rFonts w:ascii="Times New Roman" w:hAnsi="Times New Roman" w:cs="Times New Roman"/>
          <w:sz w:val="24"/>
          <w:szCs w:val="24"/>
        </w:rPr>
        <w:t>Мобилизация ГСК у здоровых доноров;</w:t>
      </w:r>
    </w:p>
    <w:p w:rsidR="0095427D" w:rsidRPr="0095427D" w:rsidRDefault="0095427D" w:rsidP="00780185">
      <w:pPr>
        <w:numPr>
          <w:ilvl w:val="0"/>
          <w:numId w:val="103"/>
        </w:numPr>
        <w:spacing w:line="360" w:lineRule="auto"/>
        <w:ind w:left="426"/>
        <w:contextualSpacing/>
        <w:jc w:val="both"/>
        <w:rPr>
          <w:rFonts w:ascii="Times New Roman" w:hAnsi="Times New Roman" w:cs="Times New Roman"/>
          <w:sz w:val="24"/>
          <w:szCs w:val="24"/>
        </w:rPr>
      </w:pPr>
      <w:r w:rsidRPr="0095427D">
        <w:rPr>
          <w:rFonts w:ascii="Times New Roman" w:hAnsi="Times New Roman" w:cs="Times New Roman"/>
          <w:sz w:val="24"/>
          <w:szCs w:val="24"/>
        </w:rPr>
        <w:t xml:space="preserve"> Мобилизация ГСК у пациентов с онкогематологическими заболеваниями;</w:t>
      </w:r>
    </w:p>
    <w:p w:rsidR="0095427D" w:rsidRPr="0095427D" w:rsidRDefault="0095427D" w:rsidP="00780185">
      <w:pPr>
        <w:numPr>
          <w:ilvl w:val="0"/>
          <w:numId w:val="103"/>
        </w:numPr>
        <w:spacing w:line="360" w:lineRule="auto"/>
        <w:ind w:left="426"/>
        <w:contextualSpacing/>
        <w:jc w:val="both"/>
        <w:rPr>
          <w:rFonts w:ascii="Times New Roman" w:hAnsi="Times New Roman" w:cs="Times New Roman"/>
          <w:sz w:val="24"/>
          <w:szCs w:val="24"/>
        </w:rPr>
      </w:pPr>
      <w:r w:rsidRPr="0095427D">
        <w:rPr>
          <w:rFonts w:ascii="Times New Roman" w:hAnsi="Times New Roman" w:cs="Times New Roman"/>
          <w:sz w:val="24"/>
          <w:szCs w:val="24"/>
        </w:rPr>
        <w:t>Мобилизация ГСК у пациентов, проведение которым режима «ХТ+ Г-КСФ» не является безопасным (при наличии коморбидности, кардиальной патологии, диализ-зависимой почечной недостаточности);</w:t>
      </w:r>
    </w:p>
    <w:p w:rsidR="0095427D" w:rsidRPr="0095427D" w:rsidRDefault="0095427D" w:rsidP="00780185">
      <w:pPr>
        <w:numPr>
          <w:ilvl w:val="0"/>
          <w:numId w:val="103"/>
        </w:numPr>
        <w:spacing w:line="360" w:lineRule="auto"/>
        <w:ind w:left="426"/>
        <w:contextualSpacing/>
        <w:jc w:val="both"/>
        <w:rPr>
          <w:rFonts w:ascii="Times New Roman" w:hAnsi="Times New Roman" w:cs="Times New Roman"/>
          <w:sz w:val="24"/>
          <w:szCs w:val="24"/>
        </w:rPr>
      </w:pPr>
      <w:r w:rsidRPr="0095427D">
        <w:rPr>
          <w:rFonts w:ascii="Times New Roman" w:hAnsi="Times New Roman" w:cs="Times New Roman"/>
          <w:sz w:val="24"/>
          <w:szCs w:val="24"/>
        </w:rPr>
        <w:t>Повторная мобилизация после неудачи первой мобилизации ГСК схемами, включающими миелосупрессивные препараты</w:t>
      </w:r>
      <w:r w:rsidR="00D25337">
        <w:rPr>
          <w:rFonts w:ascii="Times New Roman" w:hAnsi="Times New Roman" w:cs="Times New Roman"/>
          <w:sz w:val="24"/>
          <w:szCs w:val="24"/>
        </w:rPr>
        <w:t>.</w:t>
      </w:r>
    </w:p>
    <w:p w:rsidR="0095427D" w:rsidRPr="0095427D" w:rsidRDefault="0095427D" w:rsidP="00303DEC">
      <w:pPr>
        <w:spacing w:line="360" w:lineRule="auto"/>
        <w:contextualSpacing/>
        <w:jc w:val="both"/>
        <w:rPr>
          <w:rFonts w:ascii="Times New Roman" w:hAnsi="Times New Roman" w:cs="Times New Roman"/>
          <w:b/>
          <w:sz w:val="24"/>
          <w:szCs w:val="24"/>
        </w:rPr>
      </w:pPr>
      <w:r w:rsidRPr="0095427D">
        <w:rPr>
          <w:rFonts w:ascii="Times New Roman" w:hAnsi="Times New Roman" w:cs="Times New Roman"/>
          <w:b/>
          <w:sz w:val="24"/>
          <w:szCs w:val="24"/>
        </w:rPr>
        <w:t>Схема мобилизации ГСК</w:t>
      </w:r>
    </w:p>
    <w:p w:rsidR="0095427D" w:rsidRPr="0095427D" w:rsidRDefault="0095427D" w:rsidP="00303DEC">
      <w:pPr>
        <w:spacing w:after="0" w:line="360" w:lineRule="auto"/>
        <w:ind w:firstLine="426"/>
        <w:jc w:val="both"/>
        <w:rPr>
          <w:rFonts w:ascii="Times New Roman" w:hAnsi="Times New Roman" w:cs="Times New Roman"/>
          <w:sz w:val="24"/>
          <w:szCs w:val="24"/>
        </w:rPr>
      </w:pPr>
      <w:r w:rsidRPr="0095427D">
        <w:rPr>
          <w:rFonts w:ascii="Times New Roman" w:hAnsi="Times New Roman" w:cs="Times New Roman"/>
          <w:sz w:val="24"/>
          <w:szCs w:val="24"/>
        </w:rPr>
        <w:t>Г-КСФ назначают в дозе 10 мкг/кг/сутки, вводят подкожно утром</w:t>
      </w:r>
      <w:r w:rsidR="008148D1">
        <w:rPr>
          <w:rFonts w:ascii="Times New Roman" w:hAnsi="Times New Roman" w:cs="Times New Roman"/>
          <w:sz w:val="24"/>
          <w:szCs w:val="24"/>
        </w:rPr>
        <w:t xml:space="preserve"> (или по 5 мкг 2 раза в сутки)</w:t>
      </w:r>
      <w:r w:rsidRPr="0095427D">
        <w:rPr>
          <w:rFonts w:ascii="Times New Roman" w:hAnsi="Times New Roman" w:cs="Times New Roman"/>
          <w:sz w:val="24"/>
          <w:szCs w:val="24"/>
        </w:rPr>
        <w:t xml:space="preserve">. Лейкаферез начинается на четвертый день введения Г-КСФ при наличии адекватного количества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клеток в периферической крови. При их количестве более 10</w:t>
      </w:r>
      <w:r w:rsidR="00A171B2">
        <w:rPr>
          <w:rFonts w:ascii="Times New Roman" w:hAnsi="Times New Roman" w:cs="Times New Roman"/>
          <w:sz w:val="24"/>
          <w:szCs w:val="24"/>
        </w:rPr>
        <w:t>-20</w:t>
      </w:r>
      <w:r w:rsidRPr="0095427D">
        <w:rPr>
          <w:rFonts w:ascii="Times New Roman" w:hAnsi="Times New Roman" w:cs="Times New Roman"/>
          <w:sz w:val="24"/>
          <w:szCs w:val="24"/>
        </w:rPr>
        <w:t xml:space="preserve"> клеток/мкл начинают сепарацию клеток. Если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в периферической крови менее 10 клеток/мкл, необходимо отказаться от лейкафереза и повторить подсчет клеток на следующий день. Число сеансов лейкафереза зав</w:t>
      </w:r>
      <w:r w:rsidR="00A171B2">
        <w:rPr>
          <w:rFonts w:ascii="Times New Roman" w:hAnsi="Times New Roman" w:cs="Times New Roman"/>
          <w:sz w:val="24"/>
          <w:szCs w:val="24"/>
        </w:rPr>
        <w:t xml:space="preserve">исит от результатов сбора ГСК, </w:t>
      </w:r>
      <w:r w:rsidRPr="0095427D">
        <w:rPr>
          <w:rFonts w:ascii="Times New Roman" w:hAnsi="Times New Roman" w:cs="Times New Roman"/>
          <w:sz w:val="24"/>
          <w:szCs w:val="24"/>
        </w:rPr>
        <w:t>для заготовки оптимального  количества CD34+ клеток необходимо 2 - 4 процедуры (от 1 до 5). В заключительный день проведения лейкафереза Г-КСФ не вводится (таблица 1).</w:t>
      </w:r>
    </w:p>
    <w:p w:rsidR="0095427D" w:rsidRPr="00303DEC" w:rsidRDefault="0095427D" w:rsidP="00303DEC">
      <w:pPr>
        <w:spacing w:after="0" w:line="360" w:lineRule="auto"/>
        <w:jc w:val="both"/>
        <w:rPr>
          <w:rFonts w:ascii="Times New Roman" w:hAnsi="Times New Roman" w:cs="Times New Roman"/>
          <w:b/>
          <w:sz w:val="24"/>
          <w:szCs w:val="24"/>
        </w:rPr>
      </w:pPr>
      <w:r w:rsidRPr="00303DEC">
        <w:rPr>
          <w:rFonts w:ascii="Times New Roman" w:hAnsi="Times New Roman" w:cs="Times New Roman"/>
          <w:b/>
          <w:sz w:val="24"/>
          <w:szCs w:val="24"/>
        </w:rPr>
        <w:t xml:space="preserve">Таблица 1 . Схема мобилизации ГСК «Г-КСФ в монорежиме» </w:t>
      </w:r>
    </w:p>
    <w:tbl>
      <w:tblPr>
        <w:tblStyle w:val="12"/>
        <w:tblW w:w="8930" w:type="dxa"/>
        <w:tblInd w:w="108" w:type="dxa"/>
        <w:tblLook w:val="04A0" w:firstRow="1" w:lastRow="0" w:firstColumn="1" w:lastColumn="0" w:noHBand="0" w:noVBand="1"/>
      </w:tblPr>
      <w:tblGrid>
        <w:gridCol w:w="1583"/>
        <w:gridCol w:w="1142"/>
        <w:gridCol w:w="1139"/>
        <w:gridCol w:w="1139"/>
        <w:gridCol w:w="1142"/>
        <w:gridCol w:w="1143"/>
        <w:gridCol w:w="1642"/>
      </w:tblGrid>
      <w:tr w:rsidR="0095427D" w:rsidRPr="00303DEC" w:rsidTr="00303DEC">
        <w:tc>
          <w:tcPr>
            <w:tcW w:w="1583"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Дни</w:t>
            </w:r>
          </w:p>
        </w:tc>
        <w:tc>
          <w:tcPr>
            <w:tcW w:w="1142"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1</w:t>
            </w:r>
          </w:p>
        </w:tc>
        <w:tc>
          <w:tcPr>
            <w:tcW w:w="1139"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2</w:t>
            </w:r>
          </w:p>
        </w:tc>
        <w:tc>
          <w:tcPr>
            <w:tcW w:w="1139"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3</w:t>
            </w:r>
          </w:p>
        </w:tc>
        <w:tc>
          <w:tcPr>
            <w:tcW w:w="1142"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4</w:t>
            </w:r>
          </w:p>
        </w:tc>
        <w:tc>
          <w:tcPr>
            <w:tcW w:w="1143"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5</w:t>
            </w:r>
          </w:p>
        </w:tc>
        <w:tc>
          <w:tcPr>
            <w:tcW w:w="1642"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6</w:t>
            </w:r>
          </w:p>
        </w:tc>
      </w:tr>
      <w:tr w:rsidR="0095427D" w:rsidRPr="00303DEC" w:rsidTr="00303DEC">
        <w:tc>
          <w:tcPr>
            <w:tcW w:w="1583" w:type="dxa"/>
          </w:tcPr>
          <w:p w:rsid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 xml:space="preserve">Г-КСФ, </w:t>
            </w:r>
          </w:p>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10 мкг/кг</w:t>
            </w:r>
          </w:p>
        </w:tc>
        <w:tc>
          <w:tcPr>
            <w:tcW w:w="1142"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Х</w:t>
            </w:r>
          </w:p>
        </w:tc>
        <w:tc>
          <w:tcPr>
            <w:tcW w:w="1139"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39"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42"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43"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642"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отмена</w:t>
            </w:r>
          </w:p>
        </w:tc>
      </w:tr>
      <w:tr w:rsidR="0095427D" w:rsidRPr="00303DEC" w:rsidTr="00303DEC">
        <w:tc>
          <w:tcPr>
            <w:tcW w:w="1583" w:type="dxa"/>
          </w:tcPr>
          <w:p w:rsidR="0095427D" w:rsidRPr="00303DEC" w:rsidRDefault="00303DEC" w:rsidP="0095427D">
            <w:pPr>
              <w:spacing w:line="360" w:lineRule="auto"/>
              <w:jc w:val="both"/>
              <w:rPr>
                <w:rFonts w:ascii="Times New Roman" w:hAnsi="Times New Roman" w:cs="Times New Roman"/>
              </w:rPr>
            </w:pPr>
            <w:r>
              <w:rPr>
                <w:rFonts w:ascii="Times New Roman" w:hAnsi="Times New Roman" w:cs="Times New Roman"/>
              </w:rPr>
              <w:t>Лейкаферез</w:t>
            </w:r>
          </w:p>
        </w:tc>
        <w:tc>
          <w:tcPr>
            <w:tcW w:w="1142" w:type="dxa"/>
          </w:tcPr>
          <w:p w:rsidR="0095427D" w:rsidRPr="00303DEC" w:rsidRDefault="0095427D" w:rsidP="0095427D">
            <w:pPr>
              <w:spacing w:line="360" w:lineRule="auto"/>
              <w:jc w:val="both"/>
              <w:rPr>
                <w:rFonts w:ascii="Times New Roman" w:hAnsi="Times New Roman" w:cs="Times New Roman"/>
              </w:rPr>
            </w:pPr>
          </w:p>
        </w:tc>
        <w:tc>
          <w:tcPr>
            <w:tcW w:w="1139" w:type="dxa"/>
          </w:tcPr>
          <w:p w:rsidR="0095427D" w:rsidRPr="00303DEC" w:rsidRDefault="0095427D" w:rsidP="0095427D">
            <w:pPr>
              <w:spacing w:line="360" w:lineRule="auto"/>
              <w:jc w:val="both"/>
              <w:rPr>
                <w:rFonts w:ascii="Times New Roman" w:hAnsi="Times New Roman" w:cs="Times New Roman"/>
              </w:rPr>
            </w:pPr>
          </w:p>
        </w:tc>
        <w:tc>
          <w:tcPr>
            <w:tcW w:w="1139" w:type="dxa"/>
          </w:tcPr>
          <w:p w:rsidR="0095427D" w:rsidRPr="00303DEC" w:rsidRDefault="0095427D" w:rsidP="0095427D">
            <w:pPr>
              <w:spacing w:line="360" w:lineRule="auto"/>
              <w:jc w:val="both"/>
              <w:rPr>
                <w:rFonts w:ascii="Times New Roman" w:hAnsi="Times New Roman" w:cs="Times New Roman"/>
              </w:rPr>
            </w:pPr>
          </w:p>
        </w:tc>
        <w:tc>
          <w:tcPr>
            <w:tcW w:w="1142" w:type="dxa"/>
          </w:tcPr>
          <w:p w:rsidR="0095427D" w:rsidRPr="00303DEC" w:rsidRDefault="0095427D" w:rsidP="0095427D">
            <w:pPr>
              <w:spacing w:line="360" w:lineRule="auto"/>
              <w:jc w:val="both"/>
              <w:rPr>
                <w:rFonts w:ascii="Times New Roman" w:hAnsi="Times New Roman" w:cs="Times New Roman"/>
                <w:lang w:val="en-US"/>
              </w:rPr>
            </w:pPr>
            <w:r w:rsidRPr="00303DEC">
              <w:rPr>
                <w:rFonts w:ascii="Times New Roman" w:hAnsi="Times New Roman" w:cs="Times New Roman"/>
                <w:lang w:val="en-US"/>
              </w:rPr>
              <w:t>V</w:t>
            </w:r>
          </w:p>
        </w:tc>
        <w:tc>
          <w:tcPr>
            <w:tcW w:w="1143" w:type="dxa"/>
          </w:tcPr>
          <w:p w:rsidR="0095427D" w:rsidRPr="00303DEC" w:rsidRDefault="0095427D" w:rsidP="0095427D">
            <w:pPr>
              <w:spacing w:line="360" w:lineRule="auto"/>
              <w:jc w:val="both"/>
              <w:rPr>
                <w:rFonts w:ascii="Times New Roman" w:hAnsi="Times New Roman" w:cs="Times New Roman"/>
                <w:lang w:val="en-US"/>
              </w:rPr>
            </w:pPr>
            <w:r w:rsidRPr="00303DEC">
              <w:rPr>
                <w:rFonts w:ascii="Times New Roman" w:hAnsi="Times New Roman" w:cs="Times New Roman"/>
                <w:lang w:val="en-US"/>
              </w:rPr>
              <w:t>V</w:t>
            </w:r>
          </w:p>
        </w:tc>
        <w:tc>
          <w:tcPr>
            <w:tcW w:w="1642" w:type="dxa"/>
          </w:tcPr>
          <w:p w:rsidR="0095427D" w:rsidRPr="00303DEC" w:rsidRDefault="0095427D" w:rsidP="0095427D">
            <w:pPr>
              <w:spacing w:line="360" w:lineRule="auto"/>
              <w:jc w:val="both"/>
              <w:rPr>
                <w:rFonts w:ascii="Times New Roman" w:hAnsi="Times New Roman" w:cs="Times New Roman"/>
                <w:lang w:val="en-US"/>
              </w:rPr>
            </w:pPr>
            <w:r w:rsidRPr="00303DEC">
              <w:rPr>
                <w:rFonts w:ascii="Times New Roman" w:hAnsi="Times New Roman" w:cs="Times New Roman"/>
                <w:lang w:val="en-US"/>
              </w:rPr>
              <w:t>V</w:t>
            </w:r>
          </w:p>
        </w:tc>
      </w:tr>
    </w:tbl>
    <w:p w:rsidR="0095427D" w:rsidRPr="00303DEC" w:rsidRDefault="0095427D" w:rsidP="00A171B2">
      <w:pPr>
        <w:pStyle w:val="1"/>
        <w:numPr>
          <w:ilvl w:val="1"/>
          <w:numId w:val="109"/>
        </w:numPr>
        <w:spacing w:after="240"/>
        <w:rPr>
          <w:rFonts w:ascii="Times New Roman" w:hAnsi="Times New Roman" w:cs="Times New Roman"/>
          <w:color w:val="auto"/>
          <w:sz w:val="24"/>
        </w:rPr>
      </w:pPr>
      <w:r w:rsidRPr="00303DEC">
        <w:rPr>
          <w:rFonts w:ascii="Times New Roman" w:hAnsi="Times New Roman" w:cs="Times New Roman"/>
          <w:color w:val="auto"/>
          <w:sz w:val="24"/>
        </w:rPr>
        <w:lastRenderedPageBreak/>
        <w:t xml:space="preserve"> </w:t>
      </w:r>
      <w:bookmarkStart w:id="9" w:name="_Toc44926606"/>
      <w:r w:rsidRPr="00303DEC">
        <w:rPr>
          <w:rFonts w:ascii="Times New Roman" w:hAnsi="Times New Roman" w:cs="Times New Roman"/>
          <w:color w:val="auto"/>
          <w:sz w:val="24"/>
        </w:rPr>
        <w:t>Г-КСФ после миелосупрессивной химиотерапии</w:t>
      </w:r>
      <w:bookmarkEnd w:id="9"/>
    </w:p>
    <w:p w:rsidR="0095427D" w:rsidRPr="0095427D" w:rsidRDefault="0095427D" w:rsidP="00303DEC">
      <w:pPr>
        <w:spacing w:line="360" w:lineRule="auto"/>
        <w:contextualSpacing/>
        <w:jc w:val="both"/>
        <w:rPr>
          <w:rFonts w:ascii="Times New Roman" w:hAnsi="Times New Roman" w:cs="Times New Roman"/>
          <w:b/>
          <w:sz w:val="24"/>
          <w:szCs w:val="24"/>
        </w:rPr>
      </w:pPr>
      <w:r w:rsidRPr="0095427D">
        <w:rPr>
          <w:rFonts w:ascii="Times New Roman" w:hAnsi="Times New Roman" w:cs="Times New Roman"/>
          <w:b/>
          <w:sz w:val="24"/>
          <w:szCs w:val="24"/>
        </w:rPr>
        <w:t xml:space="preserve">Показания </w:t>
      </w:r>
    </w:p>
    <w:p w:rsidR="0095427D" w:rsidRPr="0095427D" w:rsidRDefault="0095427D" w:rsidP="00780185">
      <w:pPr>
        <w:numPr>
          <w:ilvl w:val="0"/>
          <w:numId w:val="104"/>
        </w:numPr>
        <w:spacing w:line="360" w:lineRule="auto"/>
        <w:contextualSpacing/>
        <w:jc w:val="both"/>
        <w:rPr>
          <w:rFonts w:ascii="Times New Roman" w:hAnsi="Times New Roman" w:cs="Times New Roman"/>
          <w:b/>
          <w:sz w:val="24"/>
          <w:szCs w:val="24"/>
        </w:rPr>
      </w:pPr>
      <w:r w:rsidRPr="0095427D">
        <w:rPr>
          <w:rFonts w:ascii="Times New Roman" w:hAnsi="Times New Roman" w:cs="Times New Roman"/>
          <w:sz w:val="24"/>
          <w:szCs w:val="24"/>
        </w:rPr>
        <w:t>Мобилизация ГСК у пациентов с онкогематологическими заболеваниями</w:t>
      </w:r>
    </w:p>
    <w:p w:rsidR="0095427D" w:rsidRPr="0095427D" w:rsidRDefault="0095427D" w:rsidP="00303DEC">
      <w:pPr>
        <w:spacing w:line="360" w:lineRule="auto"/>
        <w:contextualSpacing/>
        <w:jc w:val="both"/>
        <w:rPr>
          <w:rFonts w:ascii="Times New Roman" w:hAnsi="Times New Roman" w:cs="Times New Roman"/>
          <w:b/>
          <w:sz w:val="24"/>
          <w:szCs w:val="24"/>
        </w:rPr>
      </w:pPr>
      <w:r w:rsidRPr="0095427D">
        <w:rPr>
          <w:rFonts w:ascii="Times New Roman" w:hAnsi="Times New Roman" w:cs="Times New Roman"/>
          <w:b/>
          <w:sz w:val="24"/>
          <w:szCs w:val="24"/>
        </w:rPr>
        <w:t>Схема мобилизации ГСК «ХТ + Г-КСФ»</w:t>
      </w:r>
    </w:p>
    <w:p w:rsidR="00303DEC" w:rsidRDefault="0095427D" w:rsidP="00303DEC">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Миелосупрессивная ХТ стимулирует пролиферацию стволовых клеток и клеток-предшественниц, что приводит к увеличению выброса ГСК из костного мозга в кровь. Принцип данного режима мобилизации ГСК: пациенту вводится химиопрепарат (или несколько препаратов) согласно соответствующему протоколу лечения, а затем, после развития МТА, начинается стимуляция лейко</w:t>
      </w:r>
      <w:r w:rsidR="00D25337">
        <w:rPr>
          <w:rFonts w:ascii="Times New Roman" w:hAnsi="Times New Roman" w:cs="Times New Roman"/>
          <w:sz w:val="24"/>
          <w:szCs w:val="24"/>
        </w:rPr>
        <w:t>поэза Г-КСФ в дозе 5 мг/кг/сут.</w:t>
      </w:r>
    </w:p>
    <w:p w:rsidR="00D25337" w:rsidRDefault="0095427D" w:rsidP="00D25337">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При условии восстановления лейкоцитов периферической крови и адекватного количества среди них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 xml:space="preserve">34+ клеток начинаются процедуры сбора ГСК (как правило, на 6-8 день введения Г-КСФ). </w:t>
      </w:r>
    </w:p>
    <w:p w:rsidR="0095427D" w:rsidRPr="0095427D" w:rsidRDefault="0095427D" w:rsidP="00D25337">
      <w:pPr>
        <w:spacing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На рисунке 1 представлен алгоритм определения показаний к проведению первого лейкафереза. Количество лейкаферезов зависит от результата сбора ГСК (от 1 до 5). В заключительный день проведения лейкафереза Г-КСФ не вводится. </w:t>
      </w:r>
    </w:p>
    <w:p w:rsidR="0095427D" w:rsidRPr="0095427D" w:rsidRDefault="0095427D" w:rsidP="00303DEC">
      <w:pPr>
        <w:spacing w:line="360" w:lineRule="auto"/>
        <w:jc w:val="center"/>
        <w:rPr>
          <w:rFonts w:ascii="Times New Roman" w:hAnsi="Times New Roman" w:cs="Times New Roman"/>
          <w:sz w:val="24"/>
          <w:szCs w:val="24"/>
        </w:rPr>
      </w:pPr>
      <w:r w:rsidRPr="0095427D">
        <w:rPr>
          <w:rFonts w:ascii="Times New Roman" w:hAnsi="Times New Roman" w:cs="Times New Roman"/>
          <w:noProof/>
          <w:sz w:val="24"/>
          <w:szCs w:val="24"/>
          <w:lang w:eastAsia="ru-RU"/>
        </w:rPr>
        <w:drawing>
          <wp:inline distT="0" distB="0" distL="0" distR="0" wp14:anchorId="1FB20A4D" wp14:editId="0C41F4CE">
            <wp:extent cx="4177990" cy="2665737"/>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6702" cy="2664915"/>
                    </a:xfrm>
                    <a:prstGeom prst="rect">
                      <a:avLst/>
                    </a:prstGeom>
                    <a:noFill/>
                    <a:ln>
                      <a:noFill/>
                    </a:ln>
                    <a:effectLst/>
                    <a:extLst/>
                  </pic:spPr>
                </pic:pic>
              </a:graphicData>
            </a:graphic>
          </wp:inline>
        </w:drawing>
      </w:r>
    </w:p>
    <w:p w:rsidR="0095427D" w:rsidRPr="00303DEC" w:rsidRDefault="0095427D" w:rsidP="00303DEC">
      <w:pPr>
        <w:spacing w:after="0" w:line="360" w:lineRule="auto"/>
        <w:jc w:val="center"/>
        <w:rPr>
          <w:rFonts w:ascii="Times New Roman" w:hAnsi="Times New Roman" w:cs="Times New Roman"/>
          <w:i/>
          <w:szCs w:val="24"/>
        </w:rPr>
      </w:pPr>
      <w:r w:rsidRPr="00303DEC">
        <w:rPr>
          <w:rFonts w:ascii="Times New Roman" w:hAnsi="Times New Roman" w:cs="Times New Roman"/>
          <w:b/>
          <w:sz w:val="24"/>
          <w:szCs w:val="24"/>
        </w:rPr>
        <w:t xml:space="preserve">Рисунок 1. Алгоритм определения показаний к проведению первого лейкафереза при мобилизации ГСК в режиме «ХТ+ Г-КСФ». </w:t>
      </w:r>
      <w:r w:rsidRPr="00303DEC">
        <w:rPr>
          <w:rFonts w:ascii="Times New Roman" w:hAnsi="Times New Roman" w:cs="Times New Roman"/>
          <w:i/>
          <w:szCs w:val="24"/>
        </w:rPr>
        <w:t>ХТ – химиотерапия, МТА – миелотоксический агранулоцитоз</w:t>
      </w:r>
    </w:p>
    <w:p w:rsidR="00D25337" w:rsidRDefault="0095427D" w:rsidP="00303DEC">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Данная схема мобилизации ГСК применяется в период индукции первой или второй ремиссии при ММ, НХЛ, лимфоме Ходжкина; при острых лейкозах в период ремиссии. Выбор химиотерапевтических препаратов зависит от конкретной </w:t>
      </w:r>
      <w:r w:rsidR="00303DEC">
        <w:rPr>
          <w:rFonts w:ascii="Times New Roman" w:hAnsi="Times New Roman" w:cs="Times New Roman"/>
          <w:sz w:val="24"/>
          <w:szCs w:val="24"/>
        </w:rPr>
        <w:t xml:space="preserve">нозологии и протокола терапии. </w:t>
      </w:r>
      <w:r w:rsidRPr="0095427D">
        <w:rPr>
          <w:rFonts w:ascii="Times New Roman" w:hAnsi="Times New Roman" w:cs="Times New Roman"/>
          <w:sz w:val="24"/>
          <w:szCs w:val="24"/>
        </w:rPr>
        <w:t xml:space="preserve">Так, при ММ чаще используется циклофосфан, также возможны схемы </w:t>
      </w:r>
      <w:r w:rsidRPr="0095427D">
        <w:rPr>
          <w:rFonts w:ascii="Times New Roman" w:hAnsi="Times New Roman" w:cs="Times New Roman"/>
          <w:sz w:val="24"/>
          <w:szCs w:val="24"/>
          <w:lang w:val="en-US"/>
        </w:rPr>
        <w:t>VD</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PACE</w:t>
      </w:r>
      <w:r w:rsidRPr="0095427D">
        <w:rPr>
          <w:rFonts w:ascii="Times New Roman" w:hAnsi="Times New Roman" w:cs="Times New Roman"/>
          <w:sz w:val="24"/>
          <w:szCs w:val="24"/>
        </w:rPr>
        <w:t xml:space="preserve">, </w:t>
      </w:r>
      <w:r w:rsidRPr="0095427D">
        <w:rPr>
          <w:rFonts w:ascii="Times New Roman" w:hAnsi="Times New Roman" w:cs="Times New Roman"/>
          <w:sz w:val="24"/>
          <w:szCs w:val="24"/>
          <w:lang w:val="en-US"/>
        </w:rPr>
        <w:t>DHAP</w:t>
      </w:r>
      <w:r w:rsidR="00A171B2">
        <w:rPr>
          <w:rFonts w:ascii="Times New Roman" w:hAnsi="Times New Roman" w:cs="Times New Roman"/>
          <w:sz w:val="24"/>
          <w:szCs w:val="24"/>
        </w:rPr>
        <w:t>, средние дозы циторабина (1,6 мг/м</w:t>
      </w:r>
      <w:r w:rsidR="00A171B2">
        <w:rPr>
          <w:rFonts w:ascii="Times New Roman" w:hAnsi="Times New Roman" w:cs="Times New Roman"/>
          <w:sz w:val="24"/>
          <w:szCs w:val="24"/>
          <w:vertAlign w:val="superscript"/>
        </w:rPr>
        <w:t>2</w:t>
      </w:r>
      <w:r w:rsidR="00A171B2">
        <w:rPr>
          <w:rFonts w:ascii="Times New Roman" w:hAnsi="Times New Roman" w:cs="Times New Roman"/>
          <w:sz w:val="24"/>
          <w:szCs w:val="24"/>
        </w:rPr>
        <w:t xml:space="preserve">) </w:t>
      </w:r>
      <w:r w:rsidR="00856BAA">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{"citationItems":[{"id":"ITEM-1","itemData":{"DOI":"http://dx.doi.org/10.18821/0234-5730-2017-62-4-180-187","author":[{"dropping-particle":"","family":"Бабенецкая Д.В., Моторин Д.В., Петров А.В., Алексеева Ю.А.","given":"Зарицкий А.Ю.","non-dropping-particle":"","parse-names":false,"suffix":""}],"container-title":"Гематология и трансфузиология.","id":"ITEM-1","issue":"62(4)","issued":{"date-parts":[["2017"]]},"note":"a","page":"180-187.","title":"Мобилизация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type":"article-journal"},"uris":["http://www.mendeley.com/documents/?uuid=ac290ab9-3704-3deb-9ee1-a77054689a23"]}],"mendeley":{"formattedCitation":"[2]","plainTextFormattedCitation":"[2]","previouslyFormattedCitation":"[2]"},"properties":{"noteIndex":0},"schema":"https://github.com/citation-style-language/schema/raw/master/csl-citation.json"}</w:instrText>
      </w:r>
      <w:r w:rsidR="00856BAA">
        <w:rPr>
          <w:rFonts w:ascii="Times New Roman" w:hAnsi="Times New Roman" w:cs="Times New Roman"/>
          <w:sz w:val="24"/>
          <w:szCs w:val="24"/>
        </w:rPr>
        <w:fldChar w:fldCharType="separate"/>
      </w:r>
      <w:r w:rsidR="00856BAA" w:rsidRPr="00856BAA">
        <w:rPr>
          <w:rFonts w:ascii="Times New Roman" w:hAnsi="Times New Roman" w:cs="Times New Roman"/>
          <w:noProof/>
          <w:sz w:val="24"/>
          <w:szCs w:val="24"/>
        </w:rPr>
        <w:t>[2]</w:t>
      </w:r>
      <w:r w:rsidR="00856BAA">
        <w:rPr>
          <w:rFonts w:ascii="Times New Roman" w:hAnsi="Times New Roman" w:cs="Times New Roman"/>
          <w:sz w:val="24"/>
          <w:szCs w:val="24"/>
        </w:rPr>
        <w:fldChar w:fldCharType="end"/>
      </w:r>
      <w:r w:rsidRPr="0095427D">
        <w:rPr>
          <w:rFonts w:ascii="Times New Roman" w:hAnsi="Times New Roman" w:cs="Times New Roman"/>
          <w:sz w:val="24"/>
          <w:szCs w:val="24"/>
        </w:rPr>
        <w:t xml:space="preserve">. При агрессивных </w:t>
      </w:r>
      <w:r w:rsidRPr="0095427D">
        <w:rPr>
          <w:rFonts w:ascii="Times New Roman" w:hAnsi="Times New Roman" w:cs="Times New Roman"/>
          <w:sz w:val="24"/>
          <w:szCs w:val="24"/>
        </w:rPr>
        <w:lastRenderedPageBreak/>
        <w:t xml:space="preserve">лимфопролиферативных заболеваниях мобилизация клеток осуществляется после блоков ЛБ-М-04, </w:t>
      </w:r>
      <w:r w:rsidRPr="0095427D">
        <w:rPr>
          <w:rFonts w:ascii="Times New Roman" w:hAnsi="Times New Roman" w:cs="Times New Roman"/>
          <w:sz w:val="24"/>
          <w:szCs w:val="24"/>
          <w:lang w:val="en-US"/>
        </w:rPr>
        <w:t>DA</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R</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EPOCH</w:t>
      </w:r>
      <w:r w:rsidRPr="0095427D">
        <w:rPr>
          <w:rFonts w:ascii="Times New Roman" w:hAnsi="Times New Roman" w:cs="Times New Roman"/>
          <w:sz w:val="24"/>
          <w:szCs w:val="24"/>
        </w:rPr>
        <w:t xml:space="preserve">, </w:t>
      </w:r>
      <w:r w:rsidRPr="0095427D">
        <w:rPr>
          <w:rFonts w:ascii="Times New Roman" w:hAnsi="Times New Roman" w:cs="Times New Roman"/>
          <w:sz w:val="24"/>
          <w:szCs w:val="24"/>
          <w:lang w:val="en-US"/>
        </w:rPr>
        <w:t>ESGAP</w:t>
      </w:r>
      <w:r w:rsidRPr="0095427D">
        <w:rPr>
          <w:rFonts w:ascii="Times New Roman" w:hAnsi="Times New Roman" w:cs="Times New Roman"/>
          <w:sz w:val="24"/>
          <w:szCs w:val="24"/>
        </w:rPr>
        <w:t xml:space="preserve">, </w:t>
      </w:r>
      <w:r w:rsidRPr="0095427D">
        <w:rPr>
          <w:rFonts w:ascii="Times New Roman" w:hAnsi="Times New Roman" w:cs="Times New Roman"/>
          <w:sz w:val="24"/>
          <w:szCs w:val="24"/>
          <w:lang w:val="en-US"/>
        </w:rPr>
        <w:t>IGEV</w:t>
      </w:r>
      <w:r w:rsidRPr="0095427D">
        <w:rPr>
          <w:rFonts w:ascii="Times New Roman" w:hAnsi="Times New Roman" w:cs="Times New Roman"/>
          <w:sz w:val="24"/>
          <w:szCs w:val="24"/>
        </w:rPr>
        <w:t xml:space="preserve">, </w:t>
      </w:r>
      <w:r w:rsidRPr="0095427D">
        <w:rPr>
          <w:rFonts w:ascii="Times New Roman" w:hAnsi="Times New Roman" w:cs="Times New Roman"/>
          <w:sz w:val="24"/>
          <w:szCs w:val="24"/>
          <w:lang w:val="en-US"/>
        </w:rPr>
        <w:t>NHL</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BFM</w:t>
      </w:r>
      <w:r w:rsidRPr="0095427D">
        <w:rPr>
          <w:rFonts w:ascii="Times New Roman" w:hAnsi="Times New Roman" w:cs="Times New Roman"/>
          <w:sz w:val="24"/>
          <w:szCs w:val="24"/>
        </w:rPr>
        <w:t xml:space="preserve">-90, </w:t>
      </w:r>
      <w:r w:rsidRPr="0095427D">
        <w:rPr>
          <w:rFonts w:ascii="Times New Roman" w:hAnsi="Times New Roman" w:cs="Times New Roman"/>
          <w:sz w:val="24"/>
          <w:szCs w:val="24"/>
          <w:lang w:val="en-US"/>
        </w:rPr>
        <w:t>SMILE</w:t>
      </w:r>
      <w:r w:rsidRPr="0095427D">
        <w:rPr>
          <w:rFonts w:ascii="Times New Roman" w:hAnsi="Times New Roman" w:cs="Times New Roman"/>
          <w:sz w:val="24"/>
          <w:szCs w:val="24"/>
        </w:rPr>
        <w:t xml:space="preserve">, </w:t>
      </w:r>
      <w:r w:rsidRPr="0095427D">
        <w:rPr>
          <w:rFonts w:ascii="Times New Roman" w:hAnsi="Times New Roman" w:cs="Times New Roman"/>
          <w:sz w:val="24"/>
          <w:szCs w:val="24"/>
          <w:lang w:val="en-US"/>
        </w:rPr>
        <w:t>TL</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REZ</w:t>
      </w:r>
      <w:r w:rsidRPr="0095427D">
        <w:rPr>
          <w:rFonts w:ascii="Times New Roman" w:hAnsi="Times New Roman" w:cs="Times New Roman"/>
          <w:sz w:val="24"/>
          <w:szCs w:val="24"/>
        </w:rPr>
        <w:t xml:space="preserve">-09, R-HМA, R-BAC, </w:t>
      </w:r>
      <w:r w:rsidRPr="0095427D">
        <w:rPr>
          <w:rFonts w:ascii="Times New Roman" w:hAnsi="Times New Roman" w:cs="Times New Roman"/>
          <w:sz w:val="24"/>
          <w:szCs w:val="24"/>
          <w:lang w:val="en-US"/>
        </w:rPr>
        <w:t>DHAP</w:t>
      </w:r>
      <w:r w:rsidR="00B02228">
        <w:rPr>
          <w:rFonts w:ascii="Times New Roman" w:hAnsi="Times New Roman" w:cs="Times New Roman"/>
          <w:sz w:val="24"/>
          <w:szCs w:val="24"/>
        </w:rPr>
        <w:t xml:space="preserve">, </w:t>
      </w:r>
      <w:r w:rsidR="00B02228">
        <w:rPr>
          <w:rFonts w:ascii="Times New Roman" w:hAnsi="Times New Roman" w:cs="Times New Roman"/>
          <w:sz w:val="24"/>
          <w:szCs w:val="24"/>
          <w:lang w:val="en-US"/>
        </w:rPr>
        <w:t>R</w:t>
      </w:r>
      <w:r w:rsidR="00B02228" w:rsidRPr="00B02228">
        <w:rPr>
          <w:rFonts w:ascii="Times New Roman" w:hAnsi="Times New Roman" w:cs="Times New Roman"/>
          <w:sz w:val="24"/>
          <w:szCs w:val="24"/>
        </w:rPr>
        <w:t>-</w:t>
      </w:r>
      <w:r w:rsidR="00B02228">
        <w:rPr>
          <w:rFonts w:ascii="Times New Roman" w:hAnsi="Times New Roman" w:cs="Times New Roman"/>
          <w:sz w:val="24"/>
          <w:szCs w:val="24"/>
          <w:lang w:val="en-US"/>
        </w:rPr>
        <w:t>ICE</w:t>
      </w:r>
      <w:r w:rsidR="00856BAA">
        <w:rPr>
          <w:rFonts w:ascii="Times New Roman" w:hAnsi="Times New Roman" w:cs="Times New Roman"/>
          <w:sz w:val="24"/>
          <w:szCs w:val="24"/>
        </w:rPr>
        <w:t xml:space="preserve"> (приложение 1).</w:t>
      </w:r>
    </w:p>
    <w:p w:rsidR="0095427D" w:rsidRPr="0095427D" w:rsidRDefault="0095427D" w:rsidP="00303DEC">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При </w:t>
      </w:r>
      <w:r w:rsidRPr="0095427D">
        <w:rPr>
          <w:rFonts w:ascii="Times New Roman" w:hAnsi="Times New Roman" w:cs="Times New Roman"/>
          <w:sz w:val="24"/>
          <w:szCs w:val="24"/>
          <w:lang w:val="en-US"/>
        </w:rPr>
        <w:t>Ph</w:t>
      </w:r>
      <w:r w:rsidRPr="0095427D">
        <w:rPr>
          <w:rFonts w:ascii="Times New Roman" w:hAnsi="Times New Roman" w:cs="Times New Roman"/>
          <w:sz w:val="24"/>
          <w:szCs w:val="24"/>
        </w:rPr>
        <w:t>-позитивных острых лимфобластных лейкозах проведение мобилизации ГСК возможно после подтверждения полной молекулярной ремиссии</w:t>
      </w:r>
      <w:r w:rsidRPr="00B5291B">
        <w:rPr>
          <w:rFonts w:ascii="Times New Roman" w:hAnsi="Times New Roman" w:cs="Times New Roman"/>
          <w:sz w:val="24"/>
          <w:szCs w:val="24"/>
        </w:rPr>
        <w:t>, при</w:t>
      </w:r>
      <w:r w:rsidRPr="0095427D">
        <w:rPr>
          <w:rFonts w:ascii="Times New Roman" w:hAnsi="Times New Roman" w:cs="Times New Roman"/>
          <w:sz w:val="24"/>
          <w:szCs w:val="24"/>
        </w:rPr>
        <w:t xml:space="preserve"> о</w:t>
      </w:r>
      <w:r w:rsidR="00D25337">
        <w:rPr>
          <w:rFonts w:ascii="Times New Roman" w:hAnsi="Times New Roman" w:cs="Times New Roman"/>
          <w:sz w:val="24"/>
          <w:szCs w:val="24"/>
        </w:rPr>
        <w:t xml:space="preserve">стром промиелоцитарном лейкозе </w:t>
      </w:r>
      <w:r w:rsidRPr="0095427D">
        <w:rPr>
          <w:rFonts w:ascii="Times New Roman" w:hAnsi="Times New Roman" w:cs="Times New Roman"/>
          <w:sz w:val="24"/>
          <w:szCs w:val="24"/>
        </w:rPr>
        <w:t>– при подтверждении второй полной молекулярной ремиссии на терапии по протоколу «Риск-адаптированная программа терапии больных ОПЛ (</w:t>
      </w:r>
      <w:r w:rsidRPr="0095427D">
        <w:rPr>
          <w:rFonts w:ascii="Times New Roman" w:hAnsi="Times New Roman" w:cs="Times New Roman"/>
          <w:sz w:val="24"/>
          <w:szCs w:val="24"/>
          <w:lang w:val="en-US"/>
        </w:rPr>
        <w:t>ATRA</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ATO</w:t>
      </w:r>
      <w:r w:rsidRPr="0095427D">
        <w:rPr>
          <w:rFonts w:ascii="Times New Roman" w:hAnsi="Times New Roman" w:cs="Times New Roman"/>
          <w:sz w:val="24"/>
          <w:szCs w:val="24"/>
        </w:rPr>
        <w:t>-</w:t>
      </w:r>
      <w:r w:rsidRPr="0095427D">
        <w:rPr>
          <w:rFonts w:ascii="Times New Roman" w:hAnsi="Times New Roman" w:cs="Times New Roman"/>
          <w:sz w:val="24"/>
          <w:szCs w:val="24"/>
          <w:lang w:val="en-US"/>
        </w:rPr>
        <w:t>CT</w:t>
      </w:r>
      <w:r w:rsidRPr="0095427D">
        <w:rPr>
          <w:rFonts w:ascii="Times New Roman" w:hAnsi="Times New Roman" w:cs="Times New Roman"/>
          <w:sz w:val="24"/>
          <w:szCs w:val="24"/>
        </w:rPr>
        <w:t>) с обязатель</w:t>
      </w:r>
      <w:r w:rsidR="00856BAA">
        <w:rPr>
          <w:rFonts w:ascii="Times New Roman" w:hAnsi="Times New Roman" w:cs="Times New Roman"/>
          <w:sz w:val="24"/>
          <w:szCs w:val="24"/>
        </w:rPr>
        <w:t xml:space="preserve">ным молекулярным мониторингом», при ОМЛ (благоприятный и промежуточный риск) в случае достижения МРБ негативной ремиссии в возрасте до 40 лет рассматривается вопрос о выполнении мобилизации с последующей ауто-ТГСК. </w:t>
      </w:r>
    </w:p>
    <w:p w:rsidR="0095427D" w:rsidRPr="0095427D" w:rsidRDefault="0095427D" w:rsidP="00303DEC">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Если период МТА осложнился тяжелым инфекционным процессом и к моменту сбора ГСК сохраняются осложнения, угрожающие жизни, от лейкафереза следует воздержаться. Если состояние стабилизировано, мобилизация и сбор ГСК продолжаются.</w:t>
      </w:r>
    </w:p>
    <w:p w:rsidR="0095427D" w:rsidRPr="0095427D" w:rsidRDefault="0095427D" w:rsidP="00303DEC">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При ММ циклофосфан применяется как в качестве противоопухолевого средства, так и для усиления эффекта мобилизации ГСК. Применяются высокие дозы циклофосфана (6-7 г/м</w:t>
      </w:r>
      <w:r w:rsidRPr="0095427D">
        <w:rPr>
          <w:rFonts w:ascii="Times New Roman" w:hAnsi="Times New Roman" w:cs="Times New Roman"/>
          <w:sz w:val="24"/>
          <w:szCs w:val="24"/>
          <w:vertAlign w:val="superscript"/>
        </w:rPr>
        <w:t>2</w:t>
      </w:r>
      <w:r w:rsidRPr="0095427D">
        <w:rPr>
          <w:rFonts w:ascii="Times New Roman" w:hAnsi="Times New Roman" w:cs="Times New Roman"/>
          <w:sz w:val="24"/>
          <w:szCs w:val="24"/>
        </w:rPr>
        <w:t>), промежуточные (3-4 г/м</w:t>
      </w:r>
      <w:r w:rsidRPr="0095427D">
        <w:rPr>
          <w:rFonts w:ascii="Times New Roman" w:hAnsi="Times New Roman" w:cs="Times New Roman"/>
          <w:sz w:val="24"/>
          <w:szCs w:val="24"/>
          <w:vertAlign w:val="superscript"/>
        </w:rPr>
        <w:t>2</w:t>
      </w:r>
      <w:r w:rsidRPr="0095427D">
        <w:rPr>
          <w:rFonts w:ascii="Times New Roman" w:hAnsi="Times New Roman" w:cs="Times New Roman"/>
          <w:sz w:val="24"/>
          <w:szCs w:val="24"/>
        </w:rPr>
        <w:t>), и низкие (1,2-2 г/м</w:t>
      </w:r>
      <w:r w:rsidRPr="0095427D">
        <w:rPr>
          <w:rFonts w:ascii="Times New Roman" w:hAnsi="Times New Roman" w:cs="Times New Roman"/>
          <w:sz w:val="24"/>
          <w:szCs w:val="24"/>
          <w:vertAlign w:val="superscript"/>
        </w:rPr>
        <w:t>2</w:t>
      </w:r>
      <w:r w:rsidRPr="0095427D">
        <w:rPr>
          <w:rFonts w:ascii="Times New Roman" w:hAnsi="Times New Roman" w:cs="Times New Roman"/>
          <w:sz w:val="24"/>
          <w:szCs w:val="24"/>
        </w:rPr>
        <w:t>). По данным ретроспективного исследования, сравнивающего эффективность и переносимость высоких и промежуточных доз циклофосфана, оказалось, что доза 4 г/м</w:t>
      </w:r>
      <w:r w:rsidRPr="0095427D">
        <w:rPr>
          <w:rFonts w:ascii="Times New Roman" w:hAnsi="Times New Roman" w:cs="Times New Roman"/>
          <w:sz w:val="24"/>
          <w:szCs w:val="24"/>
          <w:vertAlign w:val="superscript"/>
        </w:rPr>
        <w:t>2</w:t>
      </w:r>
      <w:r w:rsidRPr="0095427D">
        <w:rPr>
          <w:rFonts w:ascii="Times New Roman" w:hAnsi="Times New Roman" w:cs="Times New Roman"/>
          <w:sz w:val="24"/>
          <w:szCs w:val="24"/>
        </w:rPr>
        <w:t xml:space="preserve"> является оптимальной. При использовании данной дозы удавалось собрать необходимое для двух трансплантаций количество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клеток, при этом тромбоцитопения была кратковременной, что способствовало меньшей потребности в заместительно</w:t>
      </w:r>
      <w:r w:rsidRPr="0095427D">
        <w:rPr>
          <w:rFonts w:ascii="Times New Roman" w:hAnsi="Times New Roman" w:cs="Times New Roman"/>
          <w:sz w:val="24"/>
          <w:szCs w:val="24"/>
        </w:rPr>
        <w:tab/>
        <w:t xml:space="preserve">й трансфузионной терапии, по сравнению с применением высоких доз циклофосфана </w:t>
      </w:r>
      <w:r w:rsidRPr="0095427D">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Покровская","given":"О.С.","non-dropping-particle":"","parse-names":false,"suffix":""}],"id":"ITEM-1","issued":{"date-parts":[["2011"]]},"note":"a","number-of-pages":"29","title":"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type":"book","volume":"153"},"uris":["http://www.mendeley.com/documents/?uuid=31091715-13d1-4b36-acd3-bca783c58345","http://www.mendeley.com/documents/?uuid=a016ab64-5d26-4905-b085-fc6d0ca143d0","http://www.mendeley.com/documents/?uuid=6158326c-b49e-4b3d-9638-c661a40fa88b","http://www.mendeley.com/documents/?uuid=4a2a3881-134d-4851-9770-aa58ad4c9728","http://www.mendeley.com/documents/?uuid=179afc56-227d-482c-af90-308ef68f889a","http://www.mendeley.com/documents/?uuid=171c99f1-9907-4fc7-9260-90f70ac873fa"]}],"mendeley":{"formattedCitation":"[8]","plainTextFormattedCitation":"[8]","previouslyFormattedCitation":"[8]"},"properties":{"noteIndex":0},"schema":"https://github.com/citation-style-language/schema/raw/master/csl-citation.json"}</w:instrText>
      </w:r>
      <w:r w:rsidRPr="0095427D">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[8]</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 xml:space="preserve">. </w:t>
      </w:r>
    </w:p>
    <w:p w:rsidR="0095427D" w:rsidRPr="00303DEC" w:rsidRDefault="0095427D" w:rsidP="00303DEC">
      <w:pPr>
        <w:spacing w:after="0" w:line="360" w:lineRule="auto"/>
        <w:ind w:firstLine="709"/>
        <w:jc w:val="both"/>
        <w:rPr>
          <w:rFonts w:ascii="Times New Roman" w:hAnsi="Times New Roman" w:cs="Times New Roman"/>
          <w:sz w:val="24"/>
          <w:szCs w:val="24"/>
        </w:rPr>
      </w:pPr>
      <w:r w:rsidRPr="00303DEC">
        <w:rPr>
          <w:rFonts w:ascii="Times New Roman" w:hAnsi="Times New Roman" w:cs="Times New Roman"/>
          <w:sz w:val="24"/>
          <w:szCs w:val="24"/>
        </w:rPr>
        <w:t>Стандартная схема мобилизации ГСК при ММ,</w:t>
      </w:r>
      <w:r w:rsidR="00303DEC" w:rsidRPr="00303DEC">
        <w:rPr>
          <w:rFonts w:ascii="Times New Roman" w:hAnsi="Times New Roman" w:cs="Times New Roman"/>
          <w:sz w:val="24"/>
          <w:szCs w:val="24"/>
        </w:rPr>
        <w:t xml:space="preserve"> применяемая в настоящее время: </w:t>
      </w:r>
      <w:r w:rsidR="00D25337">
        <w:rPr>
          <w:rFonts w:ascii="Times New Roman" w:hAnsi="Times New Roman" w:cs="Times New Roman"/>
          <w:sz w:val="24"/>
          <w:szCs w:val="24"/>
        </w:rPr>
        <w:t>ц</w:t>
      </w:r>
      <w:r w:rsidRPr="00303DEC">
        <w:rPr>
          <w:rFonts w:ascii="Times New Roman" w:hAnsi="Times New Roman" w:cs="Times New Roman"/>
          <w:sz w:val="24"/>
          <w:szCs w:val="24"/>
        </w:rPr>
        <w:t>иклофосфан 4 г/м</w:t>
      </w:r>
      <w:r w:rsidRPr="00303DEC">
        <w:rPr>
          <w:rFonts w:ascii="Times New Roman" w:hAnsi="Times New Roman" w:cs="Times New Roman"/>
          <w:sz w:val="24"/>
          <w:szCs w:val="24"/>
          <w:vertAlign w:val="superscript"/>
        </w:rPr>
        <w:t>2</w:t>
      </w:r>
      <w:r w:rsidRPr="00303DEC">
        <w:rPr>
          <w:rFonts w:ascii="Times New Roman" w:hAnsi="Times New Roman" w:cs="Times New Roman"/>
          <w:sz w:val="24"/>
          <w:szCs w:val="24"/>
        </w:rPr>
        <w:t xml:space="preserve"> + Г-КСФ в дозе 5 мкг/кг/сут.</w:t>
      </w:r>
    </w:p>
    <w:p w:rsidR="0095427D" w:rsidRDefault="0095427D" w:rsidP="00856BAA">
      <w:pPr>
        <w:spacing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Ориентировочно через 7 дней после введения химиопрепарата отмечается развитие МТА, что является показанием для назначения Г-КСФ в дозе 5 мкг/кг/сут. В случае если МТА не развивается, доза Г-КСФ увеличивается до 10 мкг/кг/сут. На 6-8 день введения Г-КСФ начинаются процедуры лейкафереза. Медиана даты первого сбора ГСК – 15 день после введения циклофосфана.</w:t>
      </w:r>
    </w:p>
    <w:p w:rsidR="00856BAA" w:rsidRDefault="00856BAA">
      <w:pPr>
        <w:rPr>
          <w:rFonts w:ascii="Times New Roman" w:hAnsi="Times New Roman" w:cs="Times New Roman"/>
          <w:sz w:val="24"/>
          <w:szCs w:val="24"/>
        </w:rPr>
      </w:pPr>
      <w:r>
        <w:rPr>
          <w:rFonts w:ascii="Times New Roman" w:hAnsi="Times New Roman" w:cs="Times New Roman"/>
          <w:sz w:val="24"/>
          <w:szCs w:val="24"/>
        </w:rPr>
        <w:br w:type="page"/>
      </w:r>
    </w:p>
    <w:p w:rsidR="0095427D" w:rsidRPr="00303DEC" w:rsidRDefault="0095427D" w:rsidP="00780185">
      <w:pPr>
        <w:pStyle w:val="1"/>
        <w:numPr>
          <w:ilvl w:val="1"/>
          <w:numId w:val="109"/>
        </w:numPr>
        <w:spacing w:before="0" w:after="240"/>
        <w:rPr>
          <w:rFonts w:ascii="Times New Roman" w:hAnsi="Times New Roman" w:cs="Times New Roman"/>
          <w:color w:val="auto"/>
          <w:sz w:val="24"/>
        </w:rPr>
      </w:pPr>
      <w:bookmarkStart w:id="10" w:name="_Toc44926607"/>
      <w:r w:rsidRPr="00303DEC">
        <w:rPr>
          <w:rFonts w:ascii="Times New Roman" w:hAnsi="Times New Roman" w:cs="Times New Roman"/>
          <w:color w:val="auto"/>
          <w:sz w:val="24"/>
        </w:rPr>
        <w:lastRenderedPageBreak/>
        <w:t>Г-КСФ в сочетании с плериксафором</w:t>
      </w:r>
      <w:bookmarkEnd w:id="10"/>
    </w:p>
    <w:p w:rsidR="0095427D" w:rsidRPr="0095427D" w:rsidRDefault="0095427D" w:rsidP="00303DEC">
      <w:pPr>
        <w:spacing w:line="360" w:lineRule="auto"/>
        <w:contextualSpacing/>
        <w:jc w:val="both"/>
        <w:rPr>
          <w:rFonts w:ascii="Times New Roman" w:hAnsi="Times New Roman" w:cs="Times New Roman"/>
          <w:b/>
          <w:sz w:val="24"/>
          <w:szCs w:val="24"/>
        </w:rPr>
      </w:pPr>
      <w:r w:rsidRPr="0095427D">
        <w:rPr>
          <w:rFonts w:ascii="Times New Roman" w:hAnsi="Times New Roman" w:cs="Times New Roman"/>
          <w:b/>
          <w:sz w:val="24"/>
          <w:szCs w:val="24"/>
        </w:rPr>
        <w:t>Показания</w:t>
      </w:r>
    </w:p>
    <w:p w:rsidR="0095427D" w:rsidRPr="0095427D" w:rsidRDefault="0095427D" w:rsidP="00780185">
      <w:pPr>
        <w:numPr>
          <w:ilvl w:val="0"/>
          <w:numId w:val="104"/>
        </w:numPr>
        <w:spacing w:after="0" w:line="360" w:lineRule="auto"/>
        <w:ind w:left="0" w:firstLine="0"/>
        <w:contextualSpacing/>
        <w:jc w:val="both"/>
        <w:rPr>
          <w:rFonts w:ascii="Times New Roman" w:hAnsi="Times New Roman" w:cs="Times New Roman"/>
          <w:sz w:val="24"/>
          <w:szCs w:val="24"/>
        </w:rPr>
      </w:pPr>
      <w:r w:rsidRPr="0095427D">
        <w:rPr>
          <w:rFonts w:ascii="Times New Roman" w:hAnsi="Times New Roman" w:cs="Times New Roman"/>
          <w:sz w:val="24"/>
          <w:szCs w:val="24"/>
        </w:rPr>
        <w:t>Повторная мобилизация после неудачи первой мобилизации ГСК схемами, включающими миелосупрессивные препараты в сочетании с Г-КСФ или применения Г-КСФ в монорежиме у пациентов с лимфомами и ММ;</w:t>
      </w:r>
    </w:p>
    <w:p w:rsidR="0095427D" w:rsidRPr="0095427D" w:rsidRDefault="0095427D" w:rsidP="00780185">
      <w:pPr>
        <w:numPr>
          <w:ilvl w:val="0"/>
          <w:numId w:val="104"/>
        </w:numPr>
        <w:spacing w:after="0" w:line="360" w:lineRule="auto"/>
        <w:ind w:left="0" w:firstLine="0"/>
        <w:contextualSpacing/>
        <w:jc w:val="both"/>
        <w:rPr>
          <w:rFonts w:ascii="Times New Roman" w:hAnsi="Times New Roman" w:cs="Times New Roman"/>
          <w:sz w:val="24"/>
          <w:szCs w:val="24"/>
        </w:rPr>
      </w:pPr>
      <w:r w:rsidRPr="0095427D">
        <w:rPr>
          <w:rFonts w:ascii="Times New Roman" w:hAnsi="Times New Roman" w:cs="Times New Roman"/>
          <w:sz w:val="24"/>
          <w:szCs w:val="24"/>
        </w:rPr>
        <w:t>Неудовлетворительные результаты текущей мобилизации у пациентов с лимфомами и ММ.</w:t>
      </w:r>
    </w:p>
    <w:p w:rsidR="0095427D" w:rsidRPr="0095427D" w:rsidRDefault="0095427D" w:rsidP="00303DEC">
      <w:pPr>
        <w:spacing w:after="0" w:line="360" w:lineRule="auto"/>
        <w:jc w:val="both"/>
        <w:rPr>
          <w:rFonts w:ascii="Times New Roman" w:hAnsi="Times New Roman" w:cs="Times New Roman"/>
          <w:sz w:val="24"/>
          <w:szCs w:val="24"/>
        </w:rPr>
      </w:pPr>
      <w:r w:rsidRPr="0095427D">
        <w:rPr>
          <w:rFonts w:ascii="Times New Roman" w:hAnsi="Times New Roman" w:cs="Times New Roman"/>
          <w:sz w:val="24"/>
          <w:szCs w:val="24"/>
        </w:rPr>
        <w:t>Неудовлетворительные результаты текущей мобилизации:</w:t>
      </w:r>
    </w:p>
    <w:p w:rsidR="0095427D" w:rsidRPr="0095427D" w:rsidRDefault="0095427D" w:rsidP="00303DEC">
      <w:pPr>
        <w:spacing w:after="0" w:line="360" w:lineRule="auto"/>
        <w:jc w:val="both"/>
        <w:rPr>
          <w:rFonts w:ascii="Times New Roman" w:hAnsi="Times New Roman" w:cs="Times New Roman"/>
          <w:sz w:val="24"/>
          <w:szCs w:val="24"/>
        </w:rPr>
      </w:pPr>
      <w:r w:rsidRPr="0095427D">
        <w:rPr>
          <w:rFonts w:ascii="Times New Roman" w:hAnsi="Times New Roman" w:cs="Times New Roman"/>
          <w:sz w:val="24"/>
          <w:szCs w:val="24"/>
        </w:rPr>
        <w:t>а) количество CD34+ клеток в периферической крови в день предполагаемого первого лейкафереза менее 10 клеток/мкл (при планируемой одной аутотрансплантации) и 10-20 клеток/мкл (при планируемой тандемной аутотрансплантации);</w:t>
      </w:r>
    </w:p>
    <w:p w:rsidR="0095427D" w:rsidRPr="0095427D" w:rsidRDefault="0095427D" w:rsidP="00303DEC">
      <w:pPr>
        <w:spacing w:after="0" w:line="360" w:lineRule="auto"/>
        <w:jc w:val="both"/>
        <w:rPr>
          <w:rFonts w:ascii="Times New Roman" w:hAnsi="Times New Roman" w:cs="Times New Roman"/>
          <w:sz w:val="24"/>
          <w:szCs w:val="24"/>
        </w:rPr>
      </w:pPr>
      <w:r w:rsidRPr="0095427D">
        <w:rPr>
          <w:rFonts w:ascii="Times New Roman" w:hAnsi="Times New Roman" w:cs="Times New Roman"/>
          <w:sz w:val="24"/>
          <w:szCs w:val="24"/>
        </w:rPr>
        <w:t>б) за первый лейкаферез заготовлено менее 30-50% от необходимого количества CD34+ клеток.</w:t>
      </w:r>
    </w:p>
    <w:p w:rsidR="0095427D" w:rsidRPr="0095427D" w:rsidRDefault="0095427D" w:rsidP="00303DEC">
      <w:pPr>
        <w:spacing w:line="360" w:lineRule="auto"/>
        <w:contextualSpacing/>
        <w:jc w:val="both"/>
        <w:rPr>
          <w:rFonts w:ascii="Times New Roman" w:hAnsi="Times New Roman" w:cs="Times New Roman"/>
          <w:b/>
          <w:sz w:val="24"/>
          <w:szCs w:val="24"/>
        </w:rPr>
      </w:pPr>
      <w:r w:rsidRPr="0095427D">
        <w:rPr>
          <w:rFonts w:ascii="Times New Roman" w:hAnsi="Times New Roman" w:cs="Times New Roman"/>
          <w:b/>
          <w:sz w:val="24"/>
          <w:szCs w:val="24"/>
        </w:rPr>
        <w:t>Схема мобилизации ГСК</w:t>
      </w:r>
    </w:p>
    <w:p w:rsidR="0095427D" w:rsidRPr="0095427D" w:rsidRDefault="0095427D" w:rsidP="00303DEC">
      <w:pPr>
        <w:spacing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Г-КСФ назначают в дозе 10 мкг/кг/сутки, вводят подкожно утром. На четвертый день введения Г-КСФ плериксафор назначается </w:t>
      </w:r>
      <w:r w:rsidR="00FE6A3A" w:rsidRPr="0095427D">
        <w:rPr>
          <w:rFonts w:ascii="Times New Roman" w:hAnsi="Times New Roman" w:cs="Times New Roman"/>
          <w:sz w:val="24"/>
          <w:szCs w:val="24"/>
        </w:rPr>
        <w:t xml:space="preserve">за 12 часов до лейкафереза </w:t>
      </w:r>
      <w:r w:rsidR="00FE6A3A">
        <w:rPr>
          <w:rFonts w:ascii="Times New Roman" w:hAnsi="Times New Roman" w:cs="Times New Roman"/>
          <w:sz w:val="24"/>
          <w:szCs w:val="24"/>
        </w:rPr>
        <w:t>в дозе 240 мкг/кг подкожно</w:t>
      </w:r>
      <w:r w:rsidRPr="0095427D">
        <w:rPr>
          <w:rFonts w:ascii="Times New Roman" w:hAnsi="Times New Roman" w:cs="Times New Roman"/>
          <w:sz w:val="24"/>
          <w:szCs w:val="24"/>
        </w:rPr>
        <w:t>. По результатам лейкафереза решается вопрос о необходимости повторного введения плериксафора (таблица 2). Возможно применение нескольких введений плериксафора.</w:t>
      </w:r>
    </w:p>
    <w:p w:rsidR="0095427D" w:rsidRPr="0095427D" w:rsidRDefault="0095427D" w:rsidP="001B7A67">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Таблица 2 . Схема мобилизации ГСК «Г-КСФ + плериксафор» </w:t>
      </w:r>
    </w:p>
    <w:tbl>
      <w:tblPr>
        <w:tblStyle w:val="12"/>
        <w:tblW w:w="0" w:type="auto"/>
        <w:jc w:val="center"/>
        <w:tblInd w:w="108" w:type="dxa"/>
        <w:tblLook w:val="04A0" w:firstRow="1" w:lastRow="0" w:firstColumn="1" w:lastColumn="0" w:noHBand="0" w:noVBand="1"/>
      </w:tblPr>
      <w:tblGrid>
        <w:gridCol w:w="1651"/>
        <w:gridCol w:w="1133"/>
        <w:gridCol w:w="1129"/>
        <w:gridCol w:w="1129"/>
        <w:gridCol w:w="1132"/>
        <w:gridCol w:w="1133"/>
        <w:gridCol w:w="1133"/>
      </w:tblGrid>
      <w:tr w:rsidR="0095427D" w:rsidRPr="00303DEC" w:rsidTr="000C13B2">
        <w:trPr>
          <w:jc w:val="center"/>
        </w:trPr>
        <w:tc>
          <w:tcPr>
            <w:tcW w:w="1651"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Дни</w:t>
            </w:r>
          </w:p>
        </w:tc>
        <w:tc>
          <w:tcPr>
            <w:tcW w:w="1133"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1</w:t>
            </w:r>
          </w:p>
        </w:tc>
        <w:tc>
          <w:tcPr>
            <w:tcW w:w="1129"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2</w:t>
            </w:r>
          </w:p>
        </w:tc>
        <w:tc>
          <w:tcPr>
            <w:tcW w:w="1129"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3</w:t>
            </w:r>
          </w:p>
        </w:tc>
        <w:tc>
          <w:tcPr>
            <w:tcW w:w="1132"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4</w:t>
            </w:r>
          </w:p>
        </w:tc>
        <w:tc>
          <w:tcPr>
            <w:tcW w:w="1133"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5</w:t>
            </w:r>
          </w:p>
        </w:tc>
        <w:tc>
          <w:tcPr>
            <w:tcW w:w="1133"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6</w:t>
            </w:r>
          </w:p>
        </w:tc>
      </w:tr>
      <w:tr w:rsidR="0095427D" w:rsidRPr="00303DEC" w:rsidTr="000C13B2">
        <w:trPr>
          <w:jc w:val="center"/>
        </w:trPr>
        <w:tc>
          <w:tcPr>
            <w:tcW w:w="1651"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 xml:space="preserve">Г-КСФ, </w:t>
            </w:r>
          </w:p>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10 мкг/кг</w:t>
            </w:r>
          </w:p>
        </w:tc>
        <w:tc>
          <w:tcPr>
            <w:tcW w:w="1133"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Х</w:t>
            </w:r>
          </w:p>
        </w:tc>
        <w:tc>
          <w:tcPr>
            <w:tcW w:w="1129"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29"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32"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33"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33" w:type="dxa"/>
          </w:tcPr>
          <w:p w:rsidR="0095427D" w:rsidRPr="00303DEC" w:rsidRDefault="0095427D" w:rsidP="0095427D">
            <w:pPr>
              <w:rPr>
                <w:rFonts w:ascii="Times New Roman" w:hAnsi="Times New Roman" w:cs="Times New Roman"/>
              </w:rPr>
            </w:pPr>
          </w:p>
        </w:tc>
      </w:tr>
      <w:tr w:rsidR="0095427D" w:rsidRPr="00303DEC" w:rsidTr="000C13B2">
        <w:trPr>
          <w:jc w:val="center"/>
        </w:trPr>
        <w:tc>
          <w:tcPr>
            <w:tcW w:w="1651" w:type="dxa"/>
          </w:tcPr>
          <w:p w:rsidR="0095427D" w:rsidRPr="00303DEC" w:rsidRDefault="0095427D" w:rsidP="0095427D">
            <w:pPr>
              <w:spacing w:line="360" w:lineRule="auto"/>
              <w:jc w:val="both"/>
              <w:rPr>
                <w:rFonts w:ascii="Times New Roman" w:hAnsi="Times New Roman" w:cs="Times New Roman"/>
              </w:rPr>
            </w:pPr>
            <w:r w:rsidRPr="00303DEC">
              <w:rPr>
                <w:rFonts w:ascii="Times New Roman" w:hAnsi="Times New Roman" w:cs="Times New Roman"/>
              </w:rPr>
              <w:t>Плериксафор, 240 мкг/кг</w:t>
            </w:r>
          </w:p>
        </w:tc>
        <w:tc>
          <w:tcPr>
            <w:tcW w:w="1133" w:type="dxa"/>
          </w:tcPr>
          <w:p w:rsidR="0095427D" w:rsidRPr="00303DEC" w:rsidRDefault="0095427D" w:rsidP="0095427D">
            <w:pPr>
              <w:spacing w:line="360" w:lineRule="auto"/>
              <w:jc w:val="both"/>
              <w:rPr>
                <w:rFonts w:ascii="Times New Roman" w:hAnsi="Times New Roman" w:cs="Times New Roman"/>
              </w:rPr>
            </w:pPr>
          </w:p>
        </w:tc>
        <w:tc>
          <w:tcPr>
            <w:tcW w:w="1129" w:type="dxa"/>
          </w:tcPr>
          <w:p w:rsidR="0095427D" w:rsidRPr="00303DEC" w:rsidRDefault="0095427D" w:rsidP="0095427D">
            <w:pPr>
              <w:rPr>
                <w:rFonts w:ascii="Times New Roman" w:hAnsi="Times New Roman" w:cs="Times New Roman"/>
              </w:rPr>
            </w:pPr>
          </w:p>
        </w:tc>
        <w:tc>
          <w:tcPr>
            <w:tcW w:w="1129" w:type="dxa"/>
          </w:tcPr>
          <w:p w:rsidR="0095427D" w:rsidRPr="00303DEC" w:rsidRDefault="0095427D" w:rsidP="0095427D">
            <w:pPr>
              <w:rPr>
                <w:rFonts w:ascii="Times New Roman" w:hAnsi="Times New Roman" w:cs="Times New Roman"/>
              </w:rPr>
            </w:pPr>
          </w:p>
        </w:tc>
        <w:tc>
          <w:tcPr>
            <w:tcW w:w="1132"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33" w:type="dxa"/>
          </w:tcPr>
          <w:p w:rsidR="0095427D" w:rsidRPr="00303DEC" w:rsidRDefault="0095427D" w:rsidP="0095427D">
            <w:pPr>
              <w:rPr>
                <w:rFonts w:ascii="Times New Roman" w:hAnsi="Times New Roman" w:cs="Times New Roman"/>
              </w:rPr>
            </w:pPr>
            <w:r w:rsidRPr="00303DEC">
              <w:rPr>
                <w:rFonts w:ascii="Times New Roman" w:hAnsi="Times New Roman" w:cs="Times New Roman"/>
              </w:rPr>
              <w:t>(Х)</w:t>
            </w:r>
          </w:p>
        </w:tc>
        <w:tc>
          <w:tcPr>
            <w:tcW w:w="1133" w:type="dxa"/>
          </w:tcPr>
          <w:p w:rsidR="0095427D" w:rsidRPr="00303DEC" w:rsidRDefault="0095427D" w:rsidP="0095427D">
            <w:pPr>
              <w:rPr>
                <w:rFonts w:ascii="Times New Roman" w:hAnsi="Times New Roman" w:cs="Times New Roman"/>
              </w:rPr>
            </w:pPr>
          </w:p>
        </w:tc>
      </w:tr>
      <w:tr w:rsidR="0095427D" w:rsidRPr="00303DEC" w:rsidTr="000C13B2">
        <w:trPr>
          <w:jc w:val="center"/>
        </w:trPr>
        <w:tc>
          <w:tcPr>
            <w:tcW w:w="1651" w:type="dxa"/>
          </w:tcPr>
          <w:p w:rsidR="0095427D" w:rsidRPr="00303DEC" w:rsidRDefault="00303DEC" w:rsidP="0095427D">
            <w:pPr>
              <w:spacing w:line="360" w:lineRule="auto"/>
              <w:jc w:val="both"/>
              <w:rPr>
                <w:rFonts w:ascii="Times New Roman" w:hAnsi="Times New Roman" w:cs="Times New Roman"/>
              </w:rPr>
            </w:pPr>
            <w:r>
              <w:rPr>
                <w:rFonts w:ascii="Times New Roman" w:hAnsi="Times New Roman" w:cs="Times New Roman"/>
              </w:rPr>
              <w:t>Лейкаферез</w:t>
            </w:r>
          </w:p>
        </w:tc>
        <w:tc>
          <w:tcPr>
            <w:tcW w:w="1133" w:type="dxa"/>
          </w:tcPr>
          <w:p w:rsidR="0095427D" w:rsidRPr="00303DEC" w:rsidRDefault="0095427D" w:rsidP="0095427D">
            <w:pPr>
              <w:spacing w:line="360" w:lineRule="auto"/>
              <w:jc w:val="both"/>
              <w:rPr>
                <w:rFonts w:ascii="Times New Roman" w:hAnsi="Times New Roman" w:cs="Times New Roman"/>
              </w:rPr>
            </w:pPr>
          </w:p>
        </w:tc>
        <w:tc>
          <w:tcPr>
            <w:tcW w:w="1129" w:type="dxa"/>
          </w:tcPr>
          <w:p w:rsidR="0095427D" w:rsidRPr="00303DEC" w:rsidRDefault="0095427D" w:rsidP="0095427D">
            <w:pPr>
              <w:spacing w:line="360" w:lineRule="auto"/>
              <w:jc w:val="both"/>
              <w:rPr>
                <w:rFonts w:ascii="Times New Roman" w:hAnsi="Times New Roman" w:cs="Times New Roman"/>
              </w:rPr>
            </w:pPr>
          </w:p>
        </w:tc>
        <w:tc>
          <w:tcPr>
            <w:tcW w:w="1129" w:type="dxa"/>
          </w:tcPr>
          <w:p w:rsidR="0095427D" w:rsidRPr="00303DEC" w:rsidRDefault="0095427D" w:rsidP="0095427D">
            <w:pPr>
              <w:spacing w:line="360" w:lineRule="auto"/>
              <w:jc w:val="both"/>
              <w:rPr>
                <w:rFonts w:ascii="Times New Roman" w:hAnsi="Times New Roman" w:cs="Times New Roman"/>
              </w:rPr>
            </w:pPr>
          </w:p>
        </w:tc>
        <w:tc>
          <w:tcPr>
            <w:tcW w:w="1132" w:type="dxa"/>
          </w:tcPr>
          <w:p w:rsidR="0095427D" w:rsidRPr="00303DEC" w:rsidRDefault="0095427D" w:rsidP="0095427D">
            <w:pPr>
              <w:spacing w:line="360" w:lineRule="auto"/>
              <w:jc w:val="both"/>
              <w:rPr>
                <w:rFonts w:ascii="Times New Roman" w:hAnsi="Times New Roman" w:cs="Times New Roman"/>
              </w:rPr>
            </w:pPr>
          </w:p>
        </w:tc>
        <w:tc>
          <w:tcPr>
            <w:tcW w:w="1133" w:type="dxa"/>
          </w:tcPr>
          <w:p w:rsidR="0095427D" w:rsidRPr="00303DEC" w:rsidRDefault="0095427D" w:rsidP="0095427D">
            <w:pPr>
              <w:spacing w:line="360" w:lineRule="auto"/>
              <w:jc w:val="both"/>
              <w:rPr>
                <w:rFonts w:ascii="Times New Roman" w:hAnsi="Times New Roman" w:cs="Times New Roman"/>
                <w:lang w:val="en-US"/>
              </w:rPr>
            </w:pPr>
            <w:r w:rsidRPr="00303DEC">
              <w:rPr>
                <w:rFonts w:ascii="Times New Roman" w:hAnsi="Times New Roman" w:cs="Times New Roman"/>
                <w:lang w:val="en-US"/>
              </w:rPr>
              <w:t>V</w:t>
            </w:r>
          </w:p>
        </w:tc>
        <w:tc>
          <w:tcPr>
            <w:tcW w:w="1133" w:type="dxa"/>
          </w:tcPr>
          <w:p w:rsidR="0095427D" w:rsidRPr="00303DEC" w:rsidRDefault="0095427D" w:rsidP="0095427D">
            <w:pPr>
              <w:spacing w:line="360" w:lineRule="auto"/>
              <w:jc w:val="both"/>
              <w:rPr>
                <w:rFonts w:ascii="Times New Roman" w:hAnsi="Times New Roman" w:cs="Times New Roman"/>
                <w:lang w:val="en-US"/>
              </w:rPr>
            </w:pPr>
            <w:r w:rsidRPr="00303DEC">
              <w:rPr>
                <w:rFonts w:ascii="Times New Roman" w:hAnsi="Times New Roman" w:cs="Times New Roman"/>
                <w:lang w:val="en-US"/>
              </w:rPr>
              <w:t>V</w:t>
            </w:r>
          </w:p>
        </w:tc>
      </w:tr>
    </w:tbl>
    <w:p w:rsidR="0014771F" w:rsidRDefault="0014771F" w:rsidP="0014771F">
      <w:pPr>
        <w:pStyle w:val="1"/>
        <w:spacing w:before="0" w:after="240"/>
        <w:ind w:left="840"/>
        <w:rPr>
          <w:rFonts w:ascii="Times New Roman" w:hAnsi="Times New Roman" w:cs="Times New Roman"/>
          <w:color w:val="auto"/>
          <w:sz w:val="24"/>
        </w:rPr>
      </w:pPr>
    </w:p>
    <w:p w:rsidR="0095427D" w:rsidRPr="0014771F" w:rsidRDefault="0095427D" w:rsidP="00780185">
      <w:pPr>
        <w:pStyle w:val="1"/>
        <w:numPr>
          <w:ilvl w:val="1"/>
          <w:numId w:val="109"/>
        </w:numPr>
        <w:spacing w:before="0" w:after="240"/>
        <w:jc w:val="center"/>
        <w:rPr>
          <w:rFonts w:ascii="Times New Roman" w:hAnsi="Times New Roman" w:cs="Times New Roman"/>
          <w:color w:val="auto"/>
          <w:sz w:val="24"/>
        </w:rPr>
      </w:pPr>
      <w:bookmarkStart w:id="11" w:name="_Toc44926608"/>
      <w:r w:rsidRPr="0014771F">
        <w:rPr>
          <w:rFonts w:ascii="Times New Roman" w:hAnsi="Times New Roman" w:cs="Times New Roman"/>
          <w:color w:val="auto"/>
          <w:sz w:val="24"/>
        </w:rPr>
        <w:t>Сравнительная характеристика режимов мобилизации ГСК</w:t>
      </w:r>
      <w:bookmarkEnd w:id="11"/>
    </w:p>
    <w:p w:rsidR="000C13B2" w:rsidRDefault="0095427D" w:rsidP="000C13B2">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Проспективных рандомизированных исследований, сравнивающих методы мобилизации (только ростовой фактор или сочетание Г-КСФ с миелосупрессивной химиотерапией) на одном и том же контингенте больных не проводилось, а прямое сравнение различных исследований затруднено. В связи с этим оптимальный метод мобилизации ГСК определить невозможно. </w:t>
      </w:r>
    </w:p>
    <w:p w:rsidR="000C13B2" w:rsidRDefault="0095427D" w:rsidP="000C13B2">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lastRenderedPageBreak/>
        <w:t xml:space="preserve">У каждого режима мобилизации ГСК есть определенные преимущества и недостатки, поэтому существует индивидуальный подход в выборе лечебной схемы в каждой конкретной ситуации (таблица 3). Так, при использовании Г-КСФ в монорежиме уменьшаются сроки госпитализации, не наблюдаются осложнения, характерные для периода МТА, нет потребности в трансфузионной терапии. Применение этого режима является относительно безопасным у больных с диализ-зависимой почечной недостаточностью, пациентов </w:t>
      </w:r>
      <w:r w:rsidR="00304CC9">
        <w:rPr>
          <w:rFonts w:ascii="Times New Roman" w:hAnsi="Times New Roman" w:cs="Times New Roman"/>
          <w:sz w:val="24"/>
          <w:szCs w:val="24"/>
        </w:rPr>
        <w:t>с</w:t>
      </w:r>
      <w:r w:rsidRPr="0095427D">
        <w:rPr>
          <w:rFonts w:ascii="Times New Roman" w:hAnsi="Times New Roman" w:cs="Times New Roman"/>
          <w:sz w:val="24"/>
          <w:szCs w:val="24"/>
        </w:rPr>
        <w:t xml:space="preserve"> кардиальной патологией. </w:t>
      </w:r>
    </w:p>
    <w:p w:rsidR="0095427D" w:rsidRPr="0095427D" w:rsidRDefault="0095427D" w:rsidP="000C13B2">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Но у больных с длительным анамнезом лечения велика вероятность неудовлетворительного результата сбора ГСК. Использование режима «ХТ+ Г-КСФ» часто позволяет заготовить адекватное количество клеток, однако сопряжено с развитием инфекционных и токсических осложнений в период МТА, требует назначения массивной сопроводительной терапии, что удлиняет сроки госпитализации. </w:t>
      </w:r>
    </w:p>
    <w:p w:rsidR="0095427D" w:rsidRPr="0095427D" w:rsidRDefault="0095427D" w:rsidP="0095427D">
      <w:pPr>
        <w:spacing w:line="360" w:lineRule="auto"/>
        <w:jc w:val="both"/>
        <w:rPr>
          <w:rFonts w:ascii="Times New Roman" w:hAnsi="Times New Roman" w:cs="Times New Roman"/>
          <w:b/>
          <w:sz w:val="24"/>
          <w:szCs w:val="24"/>
        </w:rPr>
      </w:pPr>
      <w:r w:rsidRPr="0095427D">
        <w:rPr>
          <w:rFonts w:ascii="Times New Roman" w:hAnsi="Times New Roman" w:cs="Times New Roman"/>
          <w:b/>
          <w:sz w:val="24"/>
          <w:szCs w:val="24"/>
        </w:rPr>
        <w:t>Таблица 3 . Сравнительная характеристика режимов мобилизации ГСК</w:t>
      </w:r>
    </w:p>
    <w:tbl>
      <w:tblPr>
        <w:tblStyle w:val="12"/>
        <w:tblW w:w="0" w:type="auto"/>
        <w:tblInd w:w="108" w:type="dxa"/>
        <w:tblLook w:val="04A0" w:firstRow="1" w:lastRow="0" w:firstColumn="1" w:lastColumn="0" w:noHBand="0" w:noVBand="1"/>
      </w:tblPr>
      <w:tblGrid>
        <w:gridCol w:w="1843"/>
        <w:gridCol w:w="3969"/>
        <w:gridCol w:w="3544"/>
      </w:tblGrid>
      <w:tr w:rsidR="0095427D" w:rsidRPr="00303DEC" w:rsidTr="0014771F">
        <w:trPr>
          <w:trHeight w:val="896"/>
        </w:trPr>
        <w:tc>
          <w:tcPr>
            <w:tcW w:w="1843" w:type="dxa"/>
          </w:tcPr>
          <w:p w:rsidR="0095427D" w:rsidRPr="00303DEC" w:rsidRDefault="0095427D" w:rsidP="001B7A67">
            <w:pPr>
              <w:spacing w:line="360" w:lineRule="auto"/>
              <w:jc w:val="both"/>
              <w:rPr>
                <w:rFonts w:ascii="Times New Roman" w:hAnsi="Times New Roman" w:cs="Times New Roman"/>
              </w:rPr>
            </w:pPr>
            <w:r w:rsidRPr="00303DEC">
              <w:rPr>
                <w:rFonts w:ascii="Times New Roman" w:hAnsi="Times New Roman" w:cs="Times New Roman"/>
                <w:b/>
                <w:bCs/>
              </w:rPr>
              <w:t>Режим мобилизации</w:t>
            </w:r>
          </w:p>
        </w:tc>
        <w:tc>
          <w:tcPr>
            <w:tcW w:w="3969" w:type="dxa"/>
          </w:tcPr>
          <w:p w:rsidR="0095427D" w:rsidRPr="00303DEC" w:rsidRDefault="0095427D" w:rsidP="001B7A67">
            <w:pPr>
              <w:spacing w:line="360" w:lineRule="auto"/>
              <w:ind w:left="720"/>
              <w:contextualSpacing/>
              <w:jc w:val="both"/>
              <w:rPr>
                <w:rFonts w:ascii="Times New Roman" w:hAnsi="Times New Roman" w:cs="Times New Roman"/>
              </w:rPr>
            </w:pPr>
            <w:r w:rsidRPr="00303DEC">
              <w:rPr>
                <w:rFonts w:ascii="Times New Roman" w:hAnsi="Times New Roman" w:cs="Times New Roman"/>
                <w:b/>
                <w:bCs/>
              </w:rPr>
              <w:t>Преимущества</w:t>
            </w:r>
          </w:p>
        </w:tc>
        <w:tc>
          <w:tcPr>
            <w:tcW w:w="3544" w:type="dxa"/>
          </w:tcPr>
          <w:p w:rsidR="0095427D" w:rsidRPr="00303DEC" w:rsidRDefault="0095427D" w:rsidP="001B7A67">
            <w:pPr>
              <w:spacing w:line="360" w:lineRule="auto"/>
              <w:ind w:left="720"/>
              <w:contextualSpacing/>
              <w:jc w:val="both"/>
              <w:rPr>
                <w:rFonts w:ascii="Times New Roman" w:hAnsi="Times New Roman" w:cs="Times New Roman"/>
              </w:rPr>
            </w:pPr>
            <w:r w:rsidRPr="00303DEC">
              <w:rPr>
                <w:rFonts w:ascii="Times New Roman" w:hAnsi="Times New Roman" w:cs="Times New Roman"/>
                <w:b/>
                <w:bCs/>
              </w:rPr>
              <w:t>Недостатки</w:t>
            </w:r>
          </w:p>
        </w:tc>
      </w:tr>
      <w:tr w:rsidR="0095427D" w:rsidRPr="00303DEC" w:rsidTr="0014771F">
        <w:tc>
          <w:tcPr>
            <w:tcW w:w="1843" w:type="dxa"/>
          </w:tcPr>
          <w:p w:rsidR="0095427D" w:rsidRPr="00303DEC" w:rsidRDefault="0095427D" w:rsidP="001B7A67">
            <w:pPr>
              <w:spacing w:line="360" w:lineRule="auto"/>
              <w:rPr>
                <w:rFonts w:ascii="Times New Roman" w:hAnsi="Times New Roman" w:cs="Times New Roman"/>
                <w:b/>
              </w:rPr>
            </w:pPr>
            <w:r w:rsidRPr="00303DEC">
              <w:rPr>
                <w:rFonts w:ascii="Times New Roman" w:hAnsi="Times New Roman" w:cs="Times New Roman"/>
                <w:b/>
              </w:rPr>
              <w:t>Г-КСФ в монорежиме</w:t>
            </w:r>
          </w:p>
        </w:tc>
        <w:tc>
          <w:tcPr>
            <w:tcW w:w="3969" w:type="dxa"/>
          </w:tcPr>
          <w:p w:rsidR="0095427D" w:rsidRPr="00303DEC" w:rsidRDefault="0095427D" w:rsidP="001B7A67">
            <w:pPr>
              <w:spacing w:line="360" w:lineRule="auto"/>
              <w:rPr>
                <w:rFonts w:ascii="Times New Roman" w:hAnsi="Times New Roman" w:cs="Times New Roman"/>
              </w:rPr>
            </w:pPr>
            <w:r w:rsidRPr="00303DEC">
              <w:rPr>
                <w:rFonts w:ascii="Times New Roman" w:hAnsi="Times New Roman" w:cs="Times New Roman"/>
              </w:rPr>
              <w:t>Уменьшение сроков госпитализации, четко планируемые сроки лейкаферезов, отсутствие антибиотикотерапии, заместительной трансфузионной терапии</w:t>
            </w:r>
          </w:p>
          <w:p w:rsidR="0095427D" w:rsidRPr="00303DEC" w:rsidRDefault="0095427D" w:rsidP="001B7A67">
            <w:pPr>
              <w:spacing w:line="360" w:lineRule="auto"/>
              <w:rPr>
                <w:rFonts w:ascii="Times New Roman" w:hAnsi="Times New Roman" w:cs="Times New Roman"/>
              </w:rPr>
            </w:pPr>
          </w:p>
        </w:tc>
        <w:tc>
          <w:tcPr>
            <w:tcW w:w="3544" w:type="dxa"/>
          </w:tcPr>
          <w:p w:rsidR="0095427D" w:rsidRPr="00303DEC" w:rsidRDefault="0095427D" w:rsidP="001B7A67">
            <w:pPr>
              <w:spacing w:line="360" w:lineRule="auto"/>
              <w:rPr>
                <w:rFonts w:ascii="Times New Roman" w:hAnsi="Times New Roman" w:cs="Times New Roman"/>
              </w:rPr>
            </w:pPr>
            <w:r w:rsidRPr="00303DEC">
              <w:rPr>
                <w:rFonts w:ascii="Times New Roman" w:hAnsi="Times New Roman" w:cs="Times New Roman"/>
              </w:rPr>
              <w:t>Неэффективна у предлеченных больных</w:t>
            </w:r>
          </w:p>
        </w:tc>
      </w:tr>
      <w:tr w:rsidR="0095427D" w:rsidRPr="00303DEC" w:rsidTr="0014771F">
        <w:tc>
          <w:tcPr>
            <w:tcW w:w="1843" w:type="dxa"/>
          </w:tcPr>
          <w:p w:rsidR="0095427D" w:rsidRPr="00303DEC" w:rsidRDefault="0095427D" w:rsidP="001B7A67">
            <w:pPr>
              <w:spacing w:line="360" w:lineRule="auto"/>
              <w:jc w:val="both"/>
              <w:rPr>
                <w:rFonts w:ascii="Times New Roman" w:hAnsi="Times New Roman" w:cs="Times New Roman"/>
                <w:b/>
              </w:rPr>
            </w:pPr>
            <w:r w:rsidRPr="00303DEC">
              <w:rPr>
                <w:rFonts w:ascii="Times New Roman" w:hAnsi="Times New Roman" w:cs="Times New Roman"/>
                <w:b/>
              </w:rPr>
              <w:t>ХТ+ Г-КСФ</w:t>
            </w:r>
          </w:p>
        </w:tc>
        <w:tc>
          <w:tcPr>
            <w:tcW w:w="3969" w:type="dxa"/>
          </w:tcPr>
          <w:p w:rsidR="0095427D" w:rsidRPr="00303DEC" w:rsidRDefault="0095427D" w:rsidP="001B7A67">
            <w:pPr>
              <w:spacing w:line="360" w:lineRule="auto"/>
              <w:rPr>
                <w:rFonts w:ascii="Times New Roman" w:hAnsi="Times New Roman" w:cs="Times New Roman"/>
              </w:rPr>
            </w:pPr>
            <w:r w:rsidRPr="00303DEC">
              <w:rPr>
                <w:rFonts w:ascii="Times New Roman" w:hAnsi="Times New Roman" w:cs="Times New Roman"/>
              </w:rPr>
              <w:t>Высокая эффективность  мобилизации</w:t>
            </w:r>
          </w:p>
        </w:tc>
        <w:tc>
          <w:tcPr>
            <w:tcW w:w="3544" w:type="dxa"/>
          </w:tcPr>
          <w:p w:rsidR="0095427D" w:rsidRPr="00303DEC" w:rsidRDefault="0095427D" w:rsidP="001B7A67">
            <w:pPr>
              <w:spacing w:line="360" w:lineRule="auto"/>
              <w:jc w:val="both"/>
              <w:rPr>
                <w:rFonts w:ascii="Times New Roman" w:hAnsi="Times New Roman" w:cs="Times New Roman"/>
              </w:rPr>
            </w:pPr>
            <w:r w:rsidRPr="00303DEC">
              <w:rPr>
                <w:rFonts w:ascii="Times New Roman" w:hAnsi="Times New Roman" w:cs="Times New Roman"/>
              </w:rPr>
              <w:t>Цитопения</w:t>
            </w:r>
          </w:p>
          <w:p w:rsidR="0095427D" w:rsidRPr="00303DEC" w:rsidRDefault="0095427D" w:rsidP="001B7A67">
            <w:pPr>
              <w:spacing w:line="360" w:lineRule="auto"/>
              <w:jc w:val="both"/>
              <w:rPr>
                <w:rFonts w:ascii="Times New Roman" w:hAnsi="Times New Roman" w:cs="Times New Roman"/>
              </w:rPr>
            </w:pPr>
            <w:r w:rsidRPr="00303DEC">
              <w:rPr>
                <w:rFonts w:ascii="Times New Roman" w:hAnsi="Times New Roman" w:cs="Times New Roman"/>
              </w:rPr>
              <w:t xml:space="preserve">Инфекционные осложнения </w:t>
            </w:r>
          </w:p>
          <w:p w:rsidR="0095427D" w:rsidRPr="00303DEC" w:rsidRDefault="0095427D" w:rsidP="001B7A67">
            <w:pPr>
              <w:spacing w:line="360" w:lineRule="auto"/>
              <w:jc w:val="both"/>
              <w:rPr>
                <w:rFonts w:ascii="Times New Roman" w:hAnsi="Times New Roman" w:cs="Times New Roman"/>
              </w:rPr>
            </w:pPr>
            <w:r w:rsidRPr="00303DEC">
              <w:rPr>
                <w:rFonts w:ascii="Times New Roman" w:hAnsi="Times New Roman" w:cs="Times New Roman"/>
              </w:rPr>
              <w:t>Трансфузии компонентов крови</w:t>
            </w:r>
          </w:p>
          <w:p w:rsidR="0095427D" w:rsidRPr="00303DEC" w:rsidRDefault="0095427D" w:rsidP="001B7A67">
            <w:pPr>
              <w:spacing w:line="360" w:lineRule="auto"/>
              <w:jc w:val="both"/>
              <w:rPr>
                <w:rFonts w:ascii="Times New Roman" w:hAnsi="Times New Roman" w:cs="Times New Roman"/>
              </w:rPr>
            </w:pPr>
            <w:r w:rsidRPr="00303DEC">
              <w:rPr>
                <w:rFonts w:ascii="Times New Roman" w:hAnsi="Times New Roman" w:cs="Times New Roman"/>
              </w:rPr>
              <w:t>Нет четкого планирования сроков лейкаферезов</w:t>
            </w:r>
          </w:p>
          <w:p w:rsidR="0095427D" w:rsidRPr="00303DEC" w:rsidRDefault="0095427D" w:rsidP="001B7A67">
            <w:pPr>
              <w:spacing w:line="360" w:lineRule="auto"/>
              <w:jc w:val="both"/>
              <w:rPr>
                <w:rFonts w:ascii="Times New Roman" w:hAnsi="Times New Roman" w:cs="Times New Roman"/>
              </w:rPr>
            </w:pPr>
            <w:r w:rsidRPr="00303DEC">
              <w:rPr>
                <w:rFonts w:ascii="Times New Roman" w:hAnsi="Times New Roman" w:cs="Times New Roman"/>
              </w:rPr>
              <w:t>Небезопасна при коморбидности</w:t>
            </w:r>
          </w:p>
        </w:tc>
      </w:tr>
    </w:tbl>
    <w:p w:rsidR="0095427D" w:rsidRPr="0095427D" w:rsidRDefault="0095427D" w:rsidP="0095427D">
      <w:pPr>
        <w:spacing w:line="360" w:lineRule="auto"/>
        <w:jc w:val="both"/>
        <w:rPr>
          <w:rFonts w:ascii="Times New Roman" w:hAnsi="Times New Roman" w:cs="Times New Roman"/>
          <w:i/>
          <w:szCs w:val="24"/>
        </w:rPr>
      </w:pPr>
      <w:r w:rsidRPr="0095427D">
        <w:rPr>
          <w:rFonts w:ascii="Times New Roman" w:hAnsi="Times New Roman" w:cs="Times New Roman"/>
          <w:i/>
          <w:szCs w:val="24"/>
        </w:rPr>
        <w:t>ХТ – химиотерапия, ЛЛТ – локальная лучевая терапия</w:t>
      </w:r>
    </w:p>
    <w:p w:rsidR="00856BAA" w:rsidRDefault="000C13B2" w:rsidP="000C13B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95427D" w:rsidRPr="0095427D">
        <w:rPr>
          <w:rFonts w:ascii="Times New Roman" w:hAnsi="Times New Roman" w:cs="Times New Roman"/>
          <w:sz w:val="24"/>
          <w:szCs w:val="24"/>
        </w:rPr>
        <w:t xml:space="preserve">родолжаются многочисленные исследования, направленные на оптимизацию режимов мобилизации стволовых клеток, обсуждаются возможности применения новых ростовых факторов, апробируются различные дозы цитостатических препаратов. </w:t>
      </w:r>
    </w:p>
    <w:p w:rsidR="00856BAA" w:rsidRDefault="00856BAA">
      <w:pPr>
        <w:rPr>
          <w:rFonts w:ascii="Times New Roman" w:hAnsi="Times New Roman" w:cs="Times New Roman"/>
          <w:sz w:val="24"/>
          <w:szCs w:val="24"/>
        </w:rPr>
      </w:pPr>
      <w:r>
        <w:rPr>
          <w:rFonts w:ascii="Times New Roman" w:hAnsi="Times New Roman" w:cs="Times New Roman"/>
          <w:sz w:val="24"/>
          <w:szCs w:val="24"/>
        </w:rPr>
        <w:br w:type="page"/>
      </w:r>
    </w:p>
    <w:p w:rsidR="0095427D" w:rsidRPr="0014771F" w:rsidRDefault="0095427D" w:rsidP="00780185">
      <w:pPr>
        <w:pStyle w:val="1"/>
        <w:numPr>
          <w:ilvl w:val="1"/>
          <w:numId w:val="109"/>
        </w:numPr>
        <w:spacing w:before="0" w:after="240"/>
        <w:jc w:val="center"/>
        <w:rPr>
          <w:rFonts w:ascii="Times New Roman" w:hAnsi="Times New Roman" w:cs="Times New Roman"/>
          <w:color w:val="auto"/>
          <w:sz w:val="24"/>
        </w:rPr>
      </w:pPr>
      <w:r w:rsidRPr="0095427D">
        <w:rPr>
          <w:rFonts w:ascii="Times New Roman" w:hAnsi="Times New Roman" w:cs="Times New Roman"/>
          <w:b w:val="0"/>
          <w:sz w:val="24"/>
          <w:szCs w:val="24"/>
        </w:rPr>
        <w:lastRenderedPageBreak/>
        <w:t xml:space="preserve"> </w:t>
      </w:r>
      <w:bookmarkStart w:id="12" w:name="_Toc44926609"/>
      <w:r w:rsidRPr="0014771F">
        <w:rPr>
          <w:rFonts w:ascii="Times New Roman" w:hAnsi="Times New Roman" w:cs="Times New Roman"/>
          <w:color w:val="auto"/>
          <w:sz w:val="24"/>
        </w:rPr>
        <w:t>Особенности сопроводительной терапии при мобилизации ГСК</w:t>
      </w:r>
      <w:bookmarkEnd w:id="12"/>
    </w:p>
    <w:p w:rsidR="0095427D" w:rsidRPr="0014771F" w:rsidRDefault="0095427D" w:rsidP="0014771F">
      <w:pPr>
        <w:spacing w:after="0" w:line="360" w:lineRule="auto"/>
        <w:jc w:val="both"/>
        <w:rPr>
          <w:rFonts w:ascii="Times New Roman" w:hAnsi="Times New Roman" w:cs="Times New Roman"/>
          <w:b/>
          <w:i/>
          <w:sz w:val="24"/>
          <w:szCs w:val="24"/>
        </w:rPr>
      </w:pPr>
      <w:r w:rsidRPr="0014771F">
        <w:rPr>
          <w:rFonts w:ascii="Times New Roman" w:hAnsi="Times New Roman" w:cs="Times New Roman"/>
          <w:b/>
          <w:i/>
          <w:sz w:val="24"/>
          <w:szCs w:val="24"/>
        </w:rPr>
        <w:t>Г-КСФ в монорежиме и Г-КСФ в сочетании с плериксафором</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Если есть сложности с доступом к периферическим венам, перед началом сбора ГСК устанавливается перфузионный катетер в центральную вену;</w:t>
      </w:r>
    </w:p>
    <w:p w:rsidR="0095427D" w:rsidRPr="0095427D" w:rsidRDefault="00A676D7" w:rsidP="00780185">
      <w:pPr>
        <w:numPr>
          <w:ilvl w:val="0"/>
          <w:numId w:val="102"/>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С целью профилактики тромботических осложнений проводится введение низкомолекулярных гепаринов</w:t>
      </w:r>
      <w:r w:rsidR="0095427D" w:rsidRPr="0095427D">
        <w:rPr>
          <w:rFonts w:ascii="Times New Roman" w:hAnsi="Times New Roman" w:cs="Times New Roman"/>
          <w:sz w:val="24"/>
          <w:szCs w:val="24"/>
        </w:rPr>
        <w:t xml:space="preserve"> (эноксапарин 40 мг или эквивалент) в профилактической</w:t>
      </w:r>
      <w:r>
        <w:rPr>
          <w:rFonts w:ascii="Times New Roman" w:hAnsi="Times New Roman" w:cs="Times New Roman"/>
          <w:sz w:val="24"/>
          <w:szCs w:val="24"/>
        </w:rPr>
        <w:t xml:space="preserve"> дозе подкожно один раз в сутки на фоне введения Г-КСФ и </w:t>
      </w:r>
      <w:r w:rsidR="0095427D" w:rsidRPr="0095427D">
        <w:rPr>
          <w:rFonts w:ascii="Times New Roman" w:hAnsi="Times New Roman" w:cs="Times New Roman"/>
          <w:sz w:val="24"/>
          <w:szCs w:val="24"/>
        </w:rPr>
        <w:t xml:space="preserve">в течение 2-3 суток после </w:t>
      </w:r>
      <w:r>
        <w:rPr>
          <w:rFonts w:ascii="Times New Roman" w:hAnsi="Times New Roman" w:cs="Times New Roman"/>
          <w:sz w:val="24"/>
          <w:szCs w:val="24"/>
        </w:rPr>
        <w:t>его отмены</w:t>
      </w:r>
      <w:r w:rsidR="0095427D" w:rsidRPr="0095427D">
        <w:rPr>
          <w:rFonts w:ascii="Times New Roman" w:hAnsi="Times New Roman" w:cs="Times New Roman"/>
          <w:sz w:val="24"/>
          <w:szCs w:val="24"/>
        </w:rPr>
        <w:t>;</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Адекватное обезболивание при болевом синдроме в костях, вызванно</w:t>
      </w:r>
      <w:r w:rsidR="0014771F">
        <w:rPr>
          <w:rFonts w:ascii="Times New Roman" w:hAnsi="Times New Roman" w:cs="Times New Roman"/>
          <w:sz w:val="24"/>
          <w:szCs w:val="24"/>
        </w:rPr>
        <w:t>м</w:t>
      </w:r>
      <w:r w:rsidRPr="0095427D">
        <w:rPr>
          <w:rFonts w:ascii="Times New Roman" w:hAnsi="Times New Roman" w:cs="Times New Roman"/>
          <w:sz w:val="24"/>
          <w:szCs w:val="24"/>
        </w:rPr>
        <w:t xml:space="preserve"> введением Г-КСФ. Предпочтение отдается наркотическим аналгетикам (промедол 10 мг в/в, трамадол 100 мг в/в, фентанил </w:t>
      </w:r>
      <w:r w:rsidR="007A72D8">
        <w:rPr>
          <w:rFonts w:ascii="Times New Roman" w:hAnsi="Times New Roman" w:cs="Times New Roman"/>
          <w:sz w:val="24"/>
          <w:szCs w:val="24"/>
        </w:rPr>
        <w:t xml:space="preserve">25 </w:t>
      </w:r>
      <w:r w:rsidRPr="0095427D">
        <w:rPr>
          <w:rFonts w:ascii="Times New Roman" w:hAnsi="Times New Roman" w:cs="Times New Roman"/>
          <w:sz w:val="24"/>
          <w:szCs w:val="24"/>
        </w:rPr>
        <w:t>мкг/час трансдермально)</w:t>
      </w:r>
      <w:r w:rsidR="00FE6A3A">
        <w:rPr>
          <w:rFonts w:ascii="Times New Roman" w:hAnsi="Times New Roman" w:cs="Times New Roman"/>
          <w:sz w:val="24"/>
          <w:szCs w:val="24"/>
        </w:rPr>
        <w:t xml:space="preserve">, при отсутствии миелотксического агранулоцитоза возможно использование нестероидных противовоспалительных препаратов. </w:t>
      </w:r>
    </w:p>
    <w:p w:rsidR="0095427D" w:rsidRPr="0014771F" w:rsidRDefault="0095427D" w:rsidP="0014771F">
      <w:pPr>
        <w:spacing w:after="0" w:line="360" w:lineRule="auto"/>
        <w:jc w:val="both"/>
        <w:rPr>
          <w:rFonts w:ascii="Times New Roman" w:hAnsi="Times New Roman" w:cs="Times New Roman"/>
          <w:b/>
          <w:i/>
          <w:sz w:val="24"/>
          <w:szCs w:val="24"/>
        </w:rPr>
      </w:pPr>
      <w:r w:rsidRPr="0014771F">
        <w:rPr>
          <w:rFonts w:ascii="Times New Roman" w:hAnsi="Times New Roman" w:cs="Times New Roman"/>
          <w:b/>
          <w:i/>
          <w:sz w:val="24"/>
          <w:szCs w:val="24"/>
        </w:rPr>
        <w:t>Режим</w:t>
      </w:r>
      <w:r w:rsidRPr="0014771F">
        <w:rPr>
          <w:rFonts w:ascii="Times New Roman" w:hAnsi="Times New Roman" w:cs="Times New Roman"/>
          <w:b/>
          <w:bCs/>
          <w:i/>
          <w:sz w:val="24"/>
          <w:szCs w:val="24"/>
        </w:rPr>
        <w:t xml:space="preserve"> «ХТ + Г-КСФ»</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Необходима установка центрального венозного катетера (ЦВК) для обеспечения сосудистого доступа. Если есть сложности с доступом к периферическим венам, перед началом сбора ГСК центральный катетер меняют на перфузионный;</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Круглосуточное введение гепарина с целью профилактики тромботических ослож</w:t>
      </w:r>
      <w:r w:rsidR="007A72D8">
        <w:rPr>
          <w:rFonts w:ascii="Times New Roman" w:hAnsi="Times New Roman" w:cs="Times New Roman"/>
          <w:sz w:val="24"/>
          <w:szCs w:val="24"/>
        </w:rPr>
        <w:t xml:space="preserve">нений. Начальная доза гепарина </w:t>
      </w:r>
      <w:r w:rsidR="00856BAA">
        <w:rPr>
          <w:rFonts w:ascii="Times New Roman" w:hAnsi="Times New Roman" w:cs="Times New Roman"/>
          <w:sz w:val="24"/>
          <w:szCs w:val="24"/>
        </w:rPr>
        <w:t>12 000 ЕД/</w:t>
      </w:r>
      <w:r w:rsidRPr="0095427D">
        <w:rPr>
          <w:rFonts w:ascii="Times New Roman" w:hAnsi="Times New Roman" w:cs="Times New Roman"/>
          <w:sz w:val="24"/>
          <w:szCs w:val="24"/>
        </w:rPr>
        <w:t>сут., далее - под контролем АЧТВ (АЧТВ 1,5-2 нормы);</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Введение химиопрепаратов сопровождается массивной гидратацией из расчета 1,5-3 л/м</w:t>
      </w:r>
      <w:r w:rsidRPr="0095427D">
        <w:rPr>
          <w:rFonts w:ascii="Times New Roman" w:hAnsi="Times New Roman" w:cs="Times New Roman"/>
          <w:sz w:val="24"/>
          <w:szCs w:val="24"/>
          <w:vertAlign w:val="superscript"/>
        </w:rPr>
        <w:t>2</w:t>
      </w:r>
      <w:r w:rsidRPr="0095427D">
        <w:rPr>
          <w:rFonts w:ascii="Times New Roman" w:hAnsi="Times New Roman" w:cs="Times New Roman"/>
          <w:sz w:val="24"/>
          <w:szCs w:val="24"/>
        </w:rPr>
        <w:t>, гипоурикемической терапией аллопуринолом 400 - 600 мг/сут. (за исключением схем, содержащих метотрексат), диуретической терапией (фуросемид 20 мг болюсно 3 р/сут)</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При наличии в схеме ХТ ифосфамида, циклофосфамида для защиты слизистой мочевого пузыря и мочевыводящих путей назначается уромитексан в дозе 2,4 г/м</w:t>
      </w:r>
      <w:r w:rsidRPr="0095427D">
        <w:rPr>
          <w:rFonts w:ascii="Times New Roman" w:hAnsi="Times New Roman" w:cs="Times New Roman"/>
          <w:sz w:val="24"/>
          <w:szCs w:val="24"/>
          <w:vertAlign w:val="superscript"/>
        </w:rPr>
        <w:t>2</w:t>
      </w:r>
      <w:r w:rsidRPr="0095427D">
        <w:rPr>
          <w:rFonts w:ascii="Times New Roman" w:hAnsi="Times New Roman" w:cs="Times New Roman"/>
          <w:sz w:val="24"/>
          <w:szCs w:val="24"/>
        </w:rPr>
        <w:t xml:space="preserve"> круглосуточно в день введения цитостатика;</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При наличии в схеме ХТ метотрексата через 12 ч. после окончания его введения назначается лейковорин в дозе 25 мг внутрь и внутривенно 6 раз в сутки 4 дня или до достижения концентрации метотрексата в крови менее 0,1 мкмоль/л.</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 xml:space="preserve">Противосудорожная профилактика, если применяется </w:t>
      </w:r>
      <w:r w:rsidRPr="007878D5">
        <w:rPr>
          <w:rFonts w:ascii="Times New Roman" w:hAnsi="Times New Roman" w:cs="Times New Roman"/>
          <w:sz w:val="24"/>
          <w:szCs w:val="24"/>
        </w:rPr>
        <w:t>бусульфан,</w:t>
      </w:r>
      <w:r w:rsidRPr="0095427D">
        <w:rPr>
          <w:rFonts w:ascii="Times New Roman" w:hAnsi="Times New Roman" w:cs="Times New Roman"/>
          <w:sz w:val="24"/>
          <w:szCs w:val="24"/>
        </w:rPr>
        <w:t xml:space="preserve"> циклофосфан (карбамазепин 200 мг+ диазепам 10 мг);</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Противорвотна</w:t>
      </w:r>
      <w:r w:rsidR="00A676D7">
        <w:rPr>
          <w:rFonts w:ascii="Times New Roman" w:hAnsi="Times New Roman" w:cs="Times New Roman"/>
          <w:sz w:val="24"/>
          <w:szCs w:val="24"/>
        </w:rPr>
        <w:t xml:space="preserve">я терапия </w:t>
      </w:r>
      <w:r w:rsidRPr="0095427D">
        <w:rPr>
          <w:rFonts w:ascii="Times New Roman" w:hAnsi="Times New Roman" w:cs="Times New Roman"/>
          <w:sz w:val="24"/>
          <w:szCs w:val="24"/>
        </w:rPr>
        <w:t>по стандартным схемам (ондансетрон 8 мг, метоклопрамид 10 мг</w:t>
      </w:r>
      <w:r w:rsidR="00856BAA">
        <w:rPr>
          <w:rFonts w:ascii="Times New Roman" w:hAnsi="Times New Roman" w:cs="Times New Roman"/>
          <w:sz w:val="24"/>
          <w:szCs w:val="24"/>
        </w:rPr>
        <w:t xml:space="preserve"> и тд.</w:t>
      </w:r>
      <w:r w:rsidRPr="0095427D">
        <w:rPr>
          <w:rFonts w:ascii="Times New Roman" w:hAnsi="Times New Roman" w:cs="Times New Roman"/>
          <w:sz w:val="24"/>
          <w:szCs w:val="24"/>
        </w:rPr>
        <w:t>);</w:t>
      </w:r>
    </w:p>
    <w:p w:rsidR="0095427D" w:rsidRP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lastRenderedPageBreak/>
        <w:t>Противоязвенная терапия по стандартным схемам (омепразо</w:t>
      </w:r>
      <w:r w:rsidR="0014771F">
        <w:rPr>
          <w:rFonts w:ascii="Times New Roman" w:hAnsi="Times New Roman" w:cs="Times New Roman"/>
          <w:sz w:val="24"/>
          <w:szCs w:val="24"/>
        </w:rPr>
        <w:t xml:space="preserve">л 20 мг или ранитидин 150 мг) </w:t>
      </w:r>
    </w:p>
    <w:p w:rsidR="0095427D" w:rsidRDefault="0095427D" w:rsidP="00780185">
      <w:pPr>
        <w:numPr>
          <w:ilvl w:val="0"/>
          <w:numId w:val="102"/>
        </w:numPr>
        <w:spacing w:after="0" w:line="360" w:lineRule="auto"/>
        <w:ind w:left="0" w:firstLine="0"/>
        <w:jc w:val="both"/>
        <w:rPr>
          <w:rFonts w:ascii="Times New Roman" w:hAnsi="Times New Roman" w:cs="Times New Roman"/>
          <w:sz w:val="24"/>
          <w:szCs w:val="24"/>
        </w:rPr>
      </w:pPr>
      <w:r w:rsidRPr="0095427D">
        <w:rPr>
          <w:rFonts w:ascii="Times New Roman" w:hAnsi="Times New Roman" w:cs="Times New Roman"/>
          <w:sz w:val="24"/>
          <w:szCs w:val="24"/>
        </w:rPr>
        <w:t>Овариопротекция проводится женщинам фертильного возраста по показаниям</w:t>
      </w:r>
    </w:p>
    <w:p w:rsidR="0095427D" w:rsidRPr="0014771F" w:rsidRDefault="0095427D" w:rsidP="00780185">
      <w:pPr>
        <w:pStyle w:val="1"/>
        <w:numPr>
          <w:ilvl w:val="0"/>
          <w:numId w:val="110"/>
        </w:numPr>
        <w:spacing w:before="0" w:after="240"/>
        <w:jc w:val="center"/>
        <w:rPr>
          <w:rFonts w:ascii="Times New Roman" w:hAnsi="Times New Roman" w:cs="Times New Roman"/>
          <w:color w:val="auto"/>
          <w:sz w:val="24"/>
        </w:rPr>
      </w:pPr>
      <w:bookmarkStart w:id="13" w:name="_Toc44926610"/>
      <w:r w:rsidRPr="0014771F">
        <w:rPr>
          <w:rFonts w:ascii="Times New Roman" w:hAnsi="Times New Roman" w:cs="Times New Roman"/>
          <w:color w:val="auto"/>
          <w:sz w:val="24"/>
        </w:rPr>
        <w:t>Лейкаферез и криоконсервирование</w:t>
      </w:r>
      <w:bookmarkEnd w:id="13"/>
    </w:p>
    <w:p w:rsidR="0014771F" w:rsidRPr="0014771F" w:rsidRDefault="0014771F" w:rsidP="00780185">
      <w:pPr>
        <w:pStyle w:val="1"/>
        <w:numPr>
          <w:ilvl w:val="1"/>
          <w:numId w:val="111"/>
        </w:numPr>
        <w:spacing w:before="0" w:after="240"/>
        <w:rPr>
          <w:rFonts w:ascii="Times New Roman" w:hAnsi="Times New Roman" w:cs="Times New Roman"/>
          <w:color w:val="auto"/>
          <w:sz w:val="24"/>
        </w:rPr>
      </w:pPr>
      <w:bookmarkStart w:id="14" w:name="_Toc44926611"/>
      <w:r w:rsidRPr="0014771F">
        <w:rPr>
          <w:rFonts w:ascii="Times New Roman" w:hAnsi="Times New Roman" w:cs="Times New Roman"/>
          <w:color w:val="auto"/>
          <w:sz w:val="24"/>
        </w:rPr>
        <w:t>Лей</w:t>
      </w:r>
      <w:r w:rsidR="00FF3180">
        <w:rPr>
          <w:rFonts w:ascii="Times New Roman" w:hAnsi="Times New Roman" w:cs="Times New Roman"/>
          <w:color w:val="auto"/>
          <w:sz w:val="24"/>
        </w:rPr>
        <w:t>ко</w:t>
      </w:r>
      <w:r w:rsidRPr="0014771F">
        <w:rPr>
          <w:rFonts w:ascii="Times New Roman" w:hAnsi="Times New Roman" w:cs="Times New Roman"/>
          <w:color w:val="auto"/>
          <w:sz w:val="24"/>
        </w:rPr>
        <w:t>цитаферез</w:t>
      </w:r>
      <w:bookmarkEnd w:id="14"/>
    </w:p>
    <w:p w:rsidR="0095427D" w:rsidRPr="0095427D" w:rsidRDefault="0014771F" w:rsidP="0014771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Лейкаферез </w:t>
      </w:r>
      <w:r w:rsidR="0095427D" w:rsidRPr="0095427D">
        <w:rPr>
          <w:rFonts w:ascii="Times New Roman" w:hAnsi="Times New Roman" w:cs="Times New Roman"/>
          <w:sz w:val="24"/>
          <w:szCs w:val="24"/>
        </w:rPr>
        <w:t xml:space="preserve">– полуселективный метод экстракорпоральной гемокоррекции, основанный на разделении плазмы и клеток крови под воздействием центробежной силы и выделении из крови фракции лейкоцитов </w:t>
      </w:r>
      <w:r w:rsidR="0095427D" w:rsidRPr="0095427D">
        <w:rPr>
          <w:rFonts w:ascii="Times New Roman" w:hAnsi="Times New Roman" w:cs="Times New Roman"/>
          <w:sz w:val="24"/>
          <w:szCs w:val="24"/>
        </w:rPr>
        <w:fldChar w:fldCharType="begin" w:fldLock="1"/>
      </w:r>
      <w:r w:rsidR="004C0974">
        <w:rPr>
          <w:rFonts w:ascii="Times New Roman" w:hAnsi="Times New Roman" w:cs="Times New Roman"/>
          <w:sz w:val="24"/>
          <w:szCs w:val="24"/>
        </w:rPr>
        <w:instrText>ADDIN CSL_CITATION {"citationItems":[{"id":"ITEM-1","itemData":{"author":[{"dropping-particle":"","family":"Афанасьева О.И., Воинов В.А.","given":"Гольдфарб Ю.С.","non-dropping-particle":"","parse-names":false,"suffix":""}],"id":"ITEM-1","issued":{"date-parts":[["2016"]]},"note":"a","page":"7-15","publisher-place":"СПб","title":"Экстракорпоральная гемокоррекция: терминология, языковые соответствия","type":"paper-conference"},"uris":["http://www.mendeley.com/documents/?uuid=dd794081-f883-4721-812b-15ca1118ea10","http://www.mendeley.com/documents/?uuid=e6fbe91e-84b6-4e21-8e03-046ee3f21147","http://www.mendeley.com/documents/?uuid=97018312-9d9b-48d4-8675-1e409d0ed713","http://www.mendeley.com/documents/?uuid=282ee115-b097-474e-a9bb-520be3f26e12","http://www.mendeley.com/documents/?uuid=27217d21-2275-40b2-ad81-407c9211ec51","http://www.mendeley.com/documents/?uuid=caa1a6ba-88e1-4c61-a222-974128ef3624"]}],"mendeley":{"formattedCitation":"[1]","plainTextFormattedCitation":"[1]","previouslyFormattedCitation":"[1]"},"properties":{"noteIndex":0},"schema":"https://github.com/citation-style-language/schema/raw/master/csl-citation.json"}</w:instrText>
      </w:r>
      <w:r w:rsidR="0095427D" w:rsidRPr="0095427D">
        <w:rPr>
          <w:rFonts w:ascii="Times New Roman" w:hAnsi="Times New Roman" w:cs="Times New Roman"/>
          <w:sz w:val="24"/>
          <w:szCs w:val="24"/>
        </w:rPr>
        <w:fldChar w:fldCharType="separate"/>
      </w:r>
      <w:r w:rsidR="009105F5" w:rsidRPr="009105F5">
        <w:rPr>
          <w:rFonts w:ascii="Times New Roman" w:hAnsi="Times New Roman" w:cs="Times New Roman"/>
          <w:noProof/>
          <w:sz w:val="24"/>
          <w:szCs w:val="24"/>
        </w:rPr>
        <w:t>[1]</w:t>
      </w:r>
      <w:r w:rsidR="0095427D" w:rsidRPr="0095427D">
        <w:rPr>
          <w:rFonts w:ascii="Times New Roman" w:hAnsi="Times New Roman" w:cs="Times New Roman"/>
          <w:sz w:val="24"/>
          <w:szCs w:val="24"/>
        </w:rPr>
        <w:fldChar w:fldCharType="end"/>
      </w:r>
      <w:r w:rsidR="0095427D" w:rsidRPr="0095427D">
        <w:rPr>
          <w:rFonts w:ascii="Times New Roman" w:hAnsi="Times New Roman" w:cs="Times New Roman"/>
          <w:sz w:val="24"/>
          <w:szCs w:val="24"/>
        </w:rPr>
        <w:t xml:space="preserve">. </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Как уже упоминалось выше, основным критерием, позволяющим прогнозировать успешный сбор ГСК, является содержание СD34+ клеток в периферической крови в день проведения предполагаемого первого лейкафереза. Если сбор ГСК начат рано, потребуются большее количество процедур, что приводит к увеличению финансовых и трудозатрат. Кроме того, увеличение числа лейкаферезов приводит к возрастанию общего объема заготовленного продукта. Соответственно, применяется большее количество криопротектора (диметилсульфоксида – ДМСО), который при дальнейшем внутривенном введении во время ауто-</w:t>
      </w:r>
      <w:r w:rsidR="00A676D7">
        <w:rPr>
          <w:rFonts w:ascii="Times New Roman" w:hAnsi="Times New Roman" w:cs="Times New Roman"/>
          <w:sz w:val="24"/>
          <w:szCs w:val="24"/>
        </w:rPr>
        <w:t>ТГСК</w:t>
      </w:r>
      <w:r w:rsidRPr="0095427D">
        <w:rPr>
          <w:rFonts w:ascii="Times New Roman" w:hAnsi="Times New Roman" w:cs="Times New Roman"/>
          <w:sz w:val="24"/>
          <w:szCs w:val="24"/>
        </w:rPr>
        <w:t xml:space="preserve"> может вызывать побочные явления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{"citationItems":[{"id":"ITEM-1","itemData":{"DOI":"10.1016/j.tmrv.2018.05.005","ISSN":"15329496","abstract":"Adverse events (AEs) associated with blood transfusions, including component-specific red cell, platelet, and plasma products, have been extensively surveyed. In contrast, surveillance of AEs associated with hematopoietic stem cell (HSC) products in HSC transplantation (HSCT) has been less rigorous, even though HSC products include a diversity of immature and mature hematopoietic cells, substantial plasma, and dimethyl sulfoxide (DMSO) in the case of cryopreserved HSC products. HSC infusion-related AEs have been attributed to DMSO toxicity, but AEs associated with the infusion of noncryopreserved HSC products are not uncommon. To quantify the frequencies, types, and risk factors of HSC infusion-related AEs, we implemented national surveillance for AEs observed within 24 hours after infusion. Herein we report on 1125 HSCTs, including 570 peripheral blood stem cell transplantations (PBSCTs) (290 autologous [auto-] and 280 allogeneic [allo-]), 332 allo-bone marrow transplantations (allo-BMTs) and 223 allo-cord blood transplantations (allo-CBTs). Unexpectedly, incidences of grade ≥ 2 AEs were most frequent in allo-BMTs (37.7%) with no DMSO in any product compared with auto-/allo-PBSCTs (20.9%, P &lt;.001) and allo-CBTs (19.3%, P &lt;.001) typically cryopreserved with DMSO. Hypertension was most often noted in BMTs, whereas nausea/vomiting, fever, and allergic reactions were most frequent in allo-PBSCTs. In a multivariate analysis, a history of transfusion reactions was a risk factor for overall AEs in all HSCTs (odds ratio [OR] = 1.459, P =.045). For grade ≥ 2 AEs in allo-HSCTs, a history of transfusion reactions (OR = 1.551, P =.044) for overall AEs, and high infusion volume (OR = 7.544, P =.005) and allo-PBSCTs (versus BMTs, OR = 9.948, P =.002) for allergic reactions were identified as risk factors. These findings suggest that some factors unrelated to DMSO, such as allo-antigens, contribute to HSC infusion-related AEs. As severe AEs, a total of 117 grade ≥ 3 AEs were reported in 1125 HSCTs, including life-threatening complications in 3 (0.3%) HSCTs: 1 allo-CBT (anaphylaxis) and 2 allo-PBSCTs (hypoxia, kidney injury) with cryopreserved product. Our data show that HSC infusion risks vary by product, can be severe, and should be monitored with the same rigor as modern transfusion hemovigilance programs.","author":[{"dropping-particle":"","family":"Ikeda","given":"Kazuhiko","non-dropping-particle":"","parse-names":false,"suffix":""},{"dropping-particle":"","family":"Ohto","given":"Hitoshi","non-dropping-particle":"","parse-names":false,"suffix":""},{"dropping-particle":"","family":"Okuyama","given":"Yoshiki","non-dropping-particle":"","parse-names":false,"suffix":""},{"dropping-particle":"","family":"Yamada-Fujiwara","given":"Minami","non-dropping-particle":"","parse-names":false,"suffix":""},{"dropping-particle":"","family":"Kanamori","given":"Heiwa","non-dropping-particle":"","parse-names":false,"suffix":""},{"dropping-particle":"","family":"Fujiwara","given":"Shin ichiro","non-dropping-particle":"","parse-names":false,"suffix":""},{"dropping-particle":"","family":"Muroi","given":"Kazuo","non-dropping-particle":"","parse-names":false,"suffix":""},{"dropping-particle":"","family":"Mori","given":"Takehiko","non-dropping-particle":"","parse-names":false,"suffix":""},{"dropping-particle":"","family":"Kasama","given":"Kinuyo","non-dropping-particle":"","parse-names":false,"suffix":""},{"dropping-particle":"","family":"Iseki","given":"Tohru","non-dropping-particle":"","parse-names":false,"suffix":""},{"dropping-particle":"","family":"Nagamura-Inoue","given":"Tokiko","non-dropping-particle":"","parse-names":false,"suffix":""},{"dropping-particle":"","family":"Fujii","given":"Nobuharu","non-dropping-particle":"","parse-names":false,"suffix":""},{"dropping-particle":"","family":"Ashida","given":"Takashi","non-dropping-particle":"","parse-names":false,"suffix":""},{"dropping-particle":"","family":"Kameda","given":"Kazuaki","non-dropping-particle":"","parse-names":false,"suffix":""},{"dropping-particle":"","family":"Kanda","given":"Junya","non-dropping-particle":"","parse-names":false,"suffix":""},{"dropping-particle":"","family":"Hirose","given":"Asao","non-dropping-particle":"","parse-names":false,"suffix":""},{"dropping-particle":"","family":"Takahashi","given":"Tsutomu","non-dropping-particle":"","parse-names":false,"suffix":""},{"dropping-particle":"","family":"Nagai","given":"Kazuhiro","non-dropping-particle":"","parse-names":false,"suffix":""},{"dropping-particle":"","family":"Minakawa","given":"Keiji","non-dropping-particle":"","parse-names":false,"suffix":""},{"dropping-particle":"","family":"Tanosaki","given":"Ryuji","non-dropping-particle":"","parse-names":false,"suffix":""}],"container-title":"Transfusion Medicine Reviews","id":"ITEM-1","issue":"3","issued":{"date-parts":[["2018","7"]]},"page":"186-194","publisher":"W.B. Saunders","title":"Adverse Events Associated With Infusion of Hematopoietic Stem Cell Products: A Prospective and Multicenter Surveillance Study","type":"article","volume":"32"},"uris":["http://www.mendeley.com/documents/?uuid=2e13cd0a-f7bd-3f0b-9f56-84feb90b58e3","http://www.mendeley.com/documents/?uuid=a903b5b4-4cb1-456e-bc41-559a068a0277","http://www.mendeley.com/documents/?uuid=201cecad-134f-4334-bb07-0660edb2e18c","http://www.mendeley.com/documents/?uuid=cc644c52-3cf9-41a4-b48f-f140f5d4382f","http://www.mendeley.com/documents/?uuid=f5fc6f3f-947c-4a93-beef-6bc30e68b9fb","http://www.mendeley.com/documents/?uuid=6bcbd89e-0776-47b7-ab98-6c90c4abb14e"]}],"mendeley":{"formattedCitation":"[46]","plainTextFormattedCitation":"[46]","previouslyFormattedCitation":"[45]"},"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[46]</w:t>
      </w:r>
      <w:r w:rsidRPr="0095427D">
        <w:rPr>
          <w:rFonts w:ascii="Times New Roman" w:hAnsi="Times New Roman" w:cs="Times New Roman"/>
          <w:sz w:val="24"/>
          <w:szCs w:val="24"/>
        </w:rPr>
        <w:fldChar w:fldCharType="end"/>
      </w:r>
      <w:r w:rsidR="001B7A67">
        <w:rPr>
          <w:rFonts w:ascii="Times New Roman" w:hAnsi="Times New Roman" w:cs="Times New Roman"/>
          <w:sz w:val="24"/>
          <w:szCs w:val="24"/>
        </w:rPr>
        <w:t>.</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Оценивая число клеток-предшественников, следует уделить особое внимание методу количественного определения. Результаты проточного цитометрического анализа числа CD34+клеток различаются в зависимости от конкретной методологии, и следует с осторожностью относиться к рекомендациям по их числу, основанным на исследованиях, проведенных в других лабораториях.</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В день первого предполагаемого сбора выполняется общий анализ крови и подсчет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 xml:space="preserve">34+ в крови методом проточной цитометрии. </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Подсчет абсолютного количества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 xml:space="preserve">34+ ГСК в крови проводится по формуле: </w:t>
      </w:r>
    </w:p>
    <w:p w:rsidR="0095427D" w:rsidRPr="0095427D" w:rsidRDefault="0095427D" w:rsidP="0014771F">
      <w:pPr>
        <w:spacing w:after="0" w:line="360" w:lineRule="auto"/>
        <w:ind w:firstLine="709"/>
        <w:jc w:val="center"/>
        <w:rPr>
          <w:rFonts w:ascii="Times New Roman" w:hAnsi="Times New Roman" w:cs="Times New Roman"/>
          <w:i/>
          <w:sz w:val="24"/>
          <w:szCs w:val="24"/>
        </w:rPr>
      </w:pPr>
      <w:r w:rsidRPr="0095427D">
        <w:rPr>
          <w:rFonts w:ascii="Times New Roman" w:hAnsi="Times New Roman" w:cs="Times New Roman"/>
          <w:i/>
          <w:sz w:val="24"/>
          <w:szCs w:val="24"/>
        </w:rPr>
        <w:t xml:space="preserve">Абсолютное содержание </w:t>
      </w:r>
      <w:r w:rsidRPr="0095427D">
        <w:rPr>
          <w:rFonts w:ascii="Times New Roman" w:hAnsi="Times New Roman" w:cs="Times New Roman"/>
          <w:i/>
          <w:sz w:val="24"/>
          <w:szCs w:val="24"/>
          <w:lang w:val="en-US"/>
        </w:rPr>
        <w:t>CD</w:t>
      </w:r>
      <w:r w:rsidRPr="0095427D">
        <w:rPr>
          <w:rFonts w:ascii="Times New Roman" w:hAnsi="Times New Roman" w:cs="Times New Roman"/>
          <w:i/>
          <w:sz w:val="24"/>
          <w:szCs w:val="24"/>
        </w:rPr>
        <w:t>34+ клеток в крови (клеток/мкл) =</w:t>
      </w:r>
    </w:p>
    <w:p w:rsidR="0095427D" w:rsidRPr="0095427D" w:rsidRDefault="0095427D" w:rsidP="0014771F">
      <w:pPr>
        <w:spacing w:after="0" w:line="360" w:lineRule="auto"/>
        <w:ind w:firstLine="709"/>
        <w:jc w:val="center"/>
        <w:rPr>
          <w:rFonts w:ascii="Times New Roman" w:hAnsi="Times New Roman" w:cs="Times New Roman"/>
          <w:i/>
          <w:sz w:val="24"/>
          <w:szCs w:val="24"/>
        </w:rPr>
      </w:pPr>
      <w:r w:rsidRPr="0095427D">
        <w:rPr>
          <w:rFonts w:ascii="Times New Roman" w:hAnsi="Times New Roman" w:cs="Times New Roman"/>
          <w:i/>
          <w:sz w:val="24"/>
          <w:szCs w:val="24"/>
        </w:rPr>
        <w:t xml:space="preserve">доля </w:t>
      </w:r>
      <w:r w:rsidRPr="0095427D">
        <w:rPr>
          <w:rFonts w:ascii="Times New Roman" w:hAnsi="Times New Roman" w:cs="Times New Roman"/>
          <w:i/>
          <w:sz w:val="24"/>
          <w:szCs w:val="24"/>
          <w:lang w:val="en-US"/>
        </w:rPr>
        <w:t>CD</w:t>
      </w:r>
      <w:r w:rsidRPr="0095427D">
        <w:rPr>
          <w:rFonts w:ascii="Times New Roman" w:hAnsi="Times New Roman" w:cs="Times New Roman"/>
          <w:i/>
          <w:sz w:val="24"/>
          <w:szCs w:val="24"/>
        </w:rPr>
        <w:t>34+ клеток (%) × количество лейкоцитов (10</w:t>
      </w:r>
      <w:r w:rsidRPr="0095427D">
        <w:rPr>
          <w:rFonts w:ascii="Times New Roman" w:hAnsi="Times New Roman" w:cs="Times New Roman"/>
          <w:i/>
          <w:sz w:val="24"/>
          <w:szCs w:val="24"/>
          <w:vertAlign w:val="superscript"/>
        </w:rPr>
        <w:t>9</w:t>
      </w:r>
      <w:r w:rsidRPr="0095427D">
        <w:rPr>
          <w:rFonts w:ascii="Times New Roman" w:hAnsi="Times New Roman" w:cs="Times New Roman"/>
          <w:i/>
          <w:sz w:val="24"/>
          <w:szCs w:val="24"/>
        </w:rPr>
        <w:t>/л) × 10</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При содержании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клеток в периферической крови более 10</w:t>
      </w:r>
      <w:r w:rsidR="00856BAA">
        <w:rPr>
          <w:rFonts w:ascii="Times New Roman" w:hAnsi="Times New Roman" w:cs="Times New Roman"/>
          <w:sz w:val="24"/>
          <w:szCs w:val="24"/>
        </w:rPr>
        <w:t>-20</w:t>
      </w:r>
      <w:r w:rsidRPr="0095427D">
        <w:rPr>
          <w:rFonts w:ascii="Times New Roman" w:hAnsi="Times New Roman" w:cs="Times New Roman"/>
          <w:sz w:val="24"/>
          <w:szCs w:val="24"/>
        </w:rPr>
        <w:t xml:space="preserve"> в 1 мкл. можно начинать первый лейкаферез.</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Если абсолютное количество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 xml:space="preserve">34+ клеток в крови более 20 в 1 мкл., высока вероятность заготовки трансплантата </w:t>
      </w:r>
      <w:r w:rsidR="00A676D7">
        <w:rPr>
          <w:rFonts w:ascii="Times New Roman" w:hAnsi="Times New Roman" w:cs="Times New Roman"/>
          <w:sz w:val="24"/>
          <w:szCs w:val="24"/>
        </w:rPr>
        <w:t>за 1-2 процедуры лейкафкереза.</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При обнаружении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клеток в крови в количе</w:t>
      </w:r>
      <w:r w:rsidRPr="0095427D">
        <w:rPr>
          <w:rFonts w:ascii="Times New Roman" w:hAnsi="Times New Roman" w:cs="Times New Roman"/>
          <w:sz w:val="24"/>
          <w:szCs w:val="24"/>
          <w:lang w:val="en-US"/>
        </w:rPr>
        <w:t>c</w:t>
      </w:r>
      <w:r w:rsidRPr="0095427D">
        <w:rPr>
          <w:rFonts w:ascii="Times New Roman" w:hAnsi="Times New Roman" w:cs="Times New Roman"/>
          <w:sz w:val="24"/>
          <w:szCs w:val="24"/>
        </w:rPr>
        <w:t xml:space="preserve">тве 10-20 в 1 мкл. обычно необходимо 2-4 процедуры лейкафереза. </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Если содержание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клеток менее 10 в 1 мкл., желательно воздержаться от сбора клеток в этот день и повторить анализ на следующий день.</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lastRenderedPageBreak/>
        <w:t xml:space="preserve">При содержании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34+ клеток менее 5 в 1 мкл. необходимо обсудить вопрос об отказе от продолжения мобилизации или же возможности применения плериксафора.</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Процедура лейкафереза может осуществлятъся как в автоматическом, так и в полуавтоматическом режиме. При количестве лейкоцитов более 20 ×10</w:t>
      </w:r>
      <w:r w:rsidRPr="0095427D">
        <w:rPr>
          <w:rFonts w:ascii="Times New Roman" w:hAnsi="Times New Roman" w:cs="Times New Roman"/>
          <w:sz w:val="24"/>
          <w:szCs w:val="24"/>
          <w:vertAlign w:val="superscript"/>
        </w:rPr>
        <w:t>9</w:t>
      </w:r>
      <w:r w:rsidRPr="0095427D">
        <w:rPr>
          <w:rFonts w:ascii="Times New Roman" w:hAnsi="Times New Roman" w:cs="Times New Roman"/>
          <w:sz w:val="24"/>
          <w:szCs w:val="24"/>
        </w:rPr>
        <w:t xml:space="preserve">/л предпочтителен полуавтоматический режим для возможности ручной регулировки границы раздела сред. </w:t>
      </w:r>
    </w:p>
    <w:p w:rsidR="00A676D7"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Абсолютными противопоказаниями для проведения процедуры лейкафереза являются тяжелые соматические заболевания в стадии декомпенсац</w:t>
      </w:r>
      <w:r w:rsidR="00797DB7">
        <w:rPr>
          <w:rFonts w:ascii="Times New Roman" w:hAnsi="Times New Roman" w:cs="Times New Roman"/>
          <w:sz w:val="24"/>
          <w:szCs w:val="24"/>
        </w:rPr>
        <w:t>ии, угрожающие жизни состояния.</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Примерами относительных противопоказаний может быть значимое снижение гемоглобина или тромбоцитов, что компенсируется трансфузионной поддержкой до процедуры. Непосредственно перед процедурой необходимо измерить артериальное давление, оценить общее состояние пациента, ознакомиться с результатами биохимического анализа крови и ко</w:t>
      </w:r>
      <w:r w:rsidR="00A676D7">
        <w:rPr>
          <w:rFonts w:ascii="Times New Roman" w:hAnsi="Times New Roman" w:cs="Times New Roman"/>
          <w:sz w:val="24"/>
          <w:szCs w:val="24"/>
        </w:rPr>
        <w:t>агулограммы.</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Процедура сбора ГСК длится около 3-4 часов. Во время проведения лейкафереза при развитии гипокальцемии (проявляется парестезией губ, языка, кончиков пальцев) необходимо замедлить скорость возврата крови. Для профилактики цитратной реакции рекомендуется введение 10 мл 10% раствора кальция глюконата или 5 мл 10% раствора кальция хлорида на каждые 200 мл цитратного раствора при массе тела пациента &lt; 60 кг или на каждые</w:t>
      </w:r>
      <w:r w:rsidR="00856BAA">
        <w:rPr>
          <w:rFonts w:ascii="Times New Roman" w:hAnsi="Times New Roman" w:cs="Times New Roman"/>
          <w:sz w:val="24"/>
          <w:szCs w:val="24"/>
        </w:rPr>
        <w:t xml:space="preserve"> 400 мл при массе тела &gt; 70 кг.</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Из полученного продукта берут пробу ГСК для определения содержания С</w:t>
      </w:r>
      <w:r w:rsidRPr="0095427D">
        <w:rPr>
          <w:rFonts w:ascii="Times New Roman" w:hAnsi="Times New Roman" w:cs="Times New Roman"/>
          <w:sz w:val="24"/>
          <w:szCs w:val="24"/>
          <w:lang w:val="en-US"/>
        </w:rPr>
        <w:t>D</w:t>
      </w:r>
      <w:r w:rsidRPr="0095427D">
        <w:rPr>
          <w:rFonts w:ascii="Times New Roman" w:hAnsi="Times New Roman" w:cs="Times New Roman"/>
          <w:sz w:val="24"/>
          <w:szCs w:val="24"/>
        </w:rPr>
        <w:t xml:space="preserve">34+ клеток при помощи проточного цитофлуориметра. Существует множество рекомендуемых схем по подсчету </w:t>
      </w:r>
      <w:r w:rsidRPr="0095427D">
        <w:rPr>
          <w:rFonts w:ascii="Times New Roman" w:hAnsi="Times New Roman" w:cs="Times New Roman"/>
          <w:sz w:val="24"/>
          <w:szCs w:val="24"/>
          <w:lang w:val="en-US"/>
        </w:rPr>
        <w:t>CD</w:t>
      </w:r>
      <w:r w:rsidRPr="0095427D">
        <w:rPr>
          <w:rFonts w:ascii="Times New Roman" w:hAnsi="Times New Roman" w:cs="Times New Roman"/>
          <w:sz w:val="24"/>
          <w:szCs w:val="24"/>
        </w:rPr>
        <w:t xml:space="preserve">34+ ГСК, наиболее известен </w:t>
      </w:r>
      <w:r w:rsidRPr="0095427D">
        <w:rPr>
          <w:rFonts w:ascii="Times New Roman" w:hAnsi="Times New Roman" w:cs="Times New Roman"/>
          <w:sz w:val="24"/>
          <w:szCs w:val="24"/>
          <w:lang w:val="en-US"/>
        </w:rPr>
        <w:t>ISHAGE</w:t>
      </w:r>
      <w:r w:rsidRPr="0095427D">
        <w:rPr>
          <w:rFonts w:ascii="Times New Roman" w:hAnsi="Times New Roman" w:cs="Times New Roman"/>
          <w:sz w:val="24"/>
          <w:szCs w:val="24"/>
        </w:rPr>
        <w:t xml:space="preserve">-протокол (International Society of Hematotherapy and Graft Engineering) </w:t>
      </w:r>
      <w:r w:rsidRPr="0095427D">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{"citationItems":[{"id":"ITEM-1","itemData":{"DOI":"10.1089/scd.1.1996.5.213","ISSN":"15258165","abstract":"The increased use of Peripheral Blood Stem Cells (PBSC) to reconstitute hematopoiesis in autotransplant and, more recently, allotransplant settings has not been associated with a consensus means to quality control the PBSC product. Since the small population of cells that bear the CD34 antigen are thought to be responsible for multilineage engraftment, graft assessment by flow cytometric quantitation of CD34+ cells should provide a rapid, reliable, and reproducible assay. Unfortunately, although a number of flow cytometric assays for CD34 enumeration have been described, the lack of a standardized method has led to the generation of widely divergent data. Furthermore, none of these assays has been validated as to interlaboratory reproducibility and suitability for widespread clinical application. In early 1995, the International Society of Hematotherapy and Graft Engineering (ISHAGE) established a Stem Cell Enumeration Committee, the mandate of which was to validate a simple, rapid, and sensitive flow cytometric method to quantitate CD34+ cells in peripheral blood and apheresis products. We also sought to establish its utility on a variety of flow cytometers in clinical laboratories and its reproducibility between transplant centers. Here, we describe the four-parameter flow methodology adopted by ISHAGE for validation in a multicenter study in North America.","author":[{"dropping-particle":"","family":"Sutherland","given":"D. Robert","non-dropping-particle":"","parse-names":false,"suffix":""},{"dropping-particle":"","family":"Anderson","given":"Lori","non-dropping-particle":"","parse-names":false,"suffix":""},{"dropping-particle":"","family":"Keeney","given":"Michael","non-dropping-particle":"","parse-names":false,"suffix":""},{"dropping-particle":"","family":"Nayar","given":"Rakash","non-dropping-particle":"","parse-names":false,"suffix":""},{"dropping-particle":"","family":"Chin-Yee","given":"Ian","non-dropping-particle":"","parse-names":false,"suffix":""}],"container-title":"Journal of Hematotherapy and Stem Cell Research","id":"ITEM-1","issue":"3","issued":{"date-parts":[["1996","6"]]},"page":"213-226","publisher":"J Hematother","title":"The ISHAGE guidelines for CD34+ cell determination by flow cytometry","type":"article","volume":"5"},"uris":["http://www.mendeley.com/documents/?uuid=af6aeaab-986b-3c29-a268-8b3298a087ff","http://www.mendeley.com/documents/?uuid=9e9b6059-b96a-40ee-8392-9fa21aa556d8","http://www.mendeley.com/documents/?uuid=396368c5-3715-4315-9d9f-b0f985c72f2e","http://www.mendeley.com/documents/?uuid=832a537d-2a1a-436d-b363-a2a1b60dd4aa","http://www.mendeley.com/documents/?uuid=d76426e4-3e5f-4355-ae7b-509de6e06dd4","http://www.mendeley.com/documents/?uuid=022d11d0-3e2a-46a4-9f7c-deed4443ec90"]}],"mendeley":{"formattedCitation":"[70]","plainTextFormattedCitation":"[70]","previouslyFormattedCitation":"[69]"},"properties":{"noteIndex":0},"schema":"https://github.com/citation-style-language/schema/raw/master/csl-citation.json"}</w:instrText>
      </w:r>
      <w:r w:rsidRPr="0095427D">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[70]</w:t>
      </w:r>
      <w:r w:rsidRPr="0095427D">
        <w:rPr>
          <w:rFonts w:ascii="Times New Roman" w:hAnsi="Times New Roman" w:cs="Times New Roman"/>
          <w:sz w:val="24"/>
          <w:szCs w:val="24"/>
        </w:rPr>
        <w:fldChar w:fldCharType="end"/>
      </w:r>
      <w:r w:rsidRPr="0095427D">
        <w:rPr>
          <w:rFonts w:ascii="Times New Roman" w:hAnsi="Times New Roman" w:cs="Times New Roman"/>
          <w:sz w:val="24"/>
          <w:szCs w:val="24"/>
        </w:rPr>
        <w:t xml:space="preserve">. </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Таким образом</w:t>
      </w:r>
      <w:r w:rsidR="00A676D7">
        <w:rPr>
          <w:rFonts w:ascii="Times New Roman" w:hAnsi="Times New Roman" w:cs="Times New Roman"/>
          <w:sz w:val="24"/>
          <w:szCs w:val="24"/>
        </w:rPr>
        <w:t>,</w:t>
      </w:r>
      <w:r w:rsidRPr="0095427D">
        <w:rPr>
          <w:rFonts w:ascii="Times New Roman" w:hAnsi="Times New Roman" w:cs="Times New Roman"/>
          <w:sz w:val="24"/>
          <w:szCs w:val="24"/>
        </w:rPr>
        <w:t xml:space="preserve"> для успешного сбора ГСК важны своевременное начало первой процедуры лейкафереза</w:t>
      </w:r>
      <w:r w:rsidR="00A676D7">
        <w:rPr>
          <w:rFonts w:ascii="Times New Roman" w:hAnsi="Times New Roman" w:cs="Times New Roman"/>
          <w:sz w:val="24"/>
          <w:szCs w:val="24"/>
        </w:rPr>
        <w:t xml:space="preserve"> и </w:t>
      </w:r>
      <w:r w:rsidRPr="0095427D">
        <w:rPr>
          <w:rFonts w:ascii="Times New Roman" w:hAnsi="Times New Roman" w:cs="Times New Roman"/>
          <w:sz w:val="24"/>
          <w:szCs w:val="24"/>
        </w:rPr>
        <w:t xml:space="preserve">отлаженная лабораторная методика, включающая цитофлуориметрический анализ. </w:t>
      </w:r>
    </w:p>
    <w:p w:rsidR="0095427D" w:rsidRPr="0014771F" w:rsidRDefault="0095427D" w:rsidP="00780185">
      <w:pPr>
        <w:pStyle w:val="1"/>
        <w:numPr>
          <w:ilvl w:val="1"/>
          <w:numId w:val="111"/>
        </w:numPr>
        <w:spacing w:before="0" w:after="240"/>
        <w:rPr>
          <w:rFonts w:ascii="Times New Roman" w:hAnsi="Times New Roman" w:cs="Times New Roman"/>
          <w:color w:val="auto"/>
          <w:sz w:val="24"/>
        </w:rPr>
      </w:pPr>
      <w:bookmarkStart w:id="15" w:name="_Toc44926612"/>
      <w:r w:rsidRPr="0014771F">
        <w:rPr>
          <w:rFonts w:ascii="Times New Roman" w:hAnsi="Times New Roman" w:cs="Times New Roman"/>
          <w:color w:val="auto"/>
          <w:sz w:val="24"/>
        </w:rPr>
        <w:t>Криоконсервирование трансплантата</w:t>
      </w:r>
      <w:bookmarkEnd w:id="15"/>
    </w:p>
    <w:p w:rsidR="000C13B2"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Параллельно с подсчетом CD34+ клеток проводится фракционирование полученного продукта лейкафереза. Сначала маркируют полимерный двухкамерный контейнер (первая камера - «плазма», вторая - «гемопоэтические стволовые клетки»), переносят лейкоконцентрат в контейнер для ГСК в асептических условиях и проводят центрифугирование (2000 об/мин) в течение 15 мин. </w:t>
      </w:r>
    </w:p>
    <w:p w:rsidR="0095427D" w:rsidRPr="0095427D" w:rsidRDefault="0095427D" w:rsidP="0014771F">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Фракционирование проводят в асептических условиях, например, в условиях ламинарного шкафа биологической безопасности </w:t>
      </w:r>
      <w:r w:rsidRPr="0095427D">
        <w:rPr>
          <w:rFonts w:ascii="Times New Roman" w:hAnsi="Times New Roman" w:cs="Times New Roman"/>
          <w:sz w:val="24"/>
          <w:szCs w:val="24"/>
          <w:lang w:val="en-US"/>
        </w:rPr>
        <w:t>II</w:t>
      </w:r>
      <w:r w:rsidRPr="0095427D">
        <w:rPr>
          <w:rFonts w:ascii="Times New Roman" w:hAnsi="Times New Roman" w:cs="Times New Roman"/>
          <w:sz w:val="24"/>
          <w:szCs w:val="24"/>
        </w:rPr>
        <w:t xml:space="preserve"> класса. Далее осуществляется подсчет </w:t>
      </w:r>
      <w:r w:rsidRPr="0095427D">
        <w:rPr>
          <w:rFonts w:ascii="Times New Roman" w:hAnsi="Times New Roman" w:cs="Times New Roman"/>
          <w:sz w:val="24"/>
          <w:szCs w:val="24"/>
          <w:lang w:val="en-US"/>
        </w:rPr>
        <w:lastRenderedPageBreak/>
        <w:t>CD</w:t>
      </w:r>
      <w:r w:rsidRPr="0095427D">
        <w:rPr>
          <w:rFonts w:ascii="Times New Roman" w:hAnsi="Times New Roman" w:cs="Times New Roman"/>
          <w:sz w:val="24"/>
          <w:szCs w:val="24"/>
        </w:rPr>
        <w:t>34+ клеток в полученном лейкоконцентрате. Получив долю CD34+ клеток от всех лейкоцитов в лейкоконцентрате, подсчитывают количество CD34+ клет</w:t>
      </w:r>
      <w:r w:rsidR="00A676D7">
        <w:rPr>
          <w:rFonts w:ascii="Times New Roman" w:hAnsi="Times New Roman" w:cs="Times New Roman"/>
          <w:sz w:val="24"/>
          <w:szCs w:val="24"/>
        </w:rPr>
        <w:t>ок на 1 кг массы тела пациента.</w:t>
      </w:r>
    </w:p>
    <w:p w:rsidR="000C13B2" w:rsidRDefault="0095427D" w:rsidP="000C13B2">
      <w:pPr>
        <w:spacing w:after="0"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Процесс криоконсервирования включает несколько этапов. Сначала проводят расчет необходимого количества раствора ДМСО, который нужно добавить к ГСК. Полученный биоматериал с криопротектором переносят в контейнер для криоконсервирования и тщательно удаляют пузыри воздуха. </w:t>
      </w:r>
    </w:p>
    <w:p w:rsidR="00470BE2" w:rsidRPr="0095427D" w:rsidRDefault="0095427D" w:rsidP="001B7A67">
      <w:pPr>
        <w:spacing w:line="360" w:lineRule="auto"/>
        <w:ind w:firstLine="709"/>
        <w:jc w:val="both"/>
        <w:rPr>
          <w:rFonts w:ascii="Times New Roman" w:hAnsi="Times New Roman" w:cs="Times New Roman"/>
          <w:sz w:val="24"/>
          <w:szCs w:val="24"/>
        </w:rPr>
      </w:pPr>
      <w:r w:rsidRPr="0095427D">
        <w:rPr>
          <w:rFonts w:ascii="Times New Roman" w:hAnsi="Times New Roman" w:cs="Times New Roman"/>
          <w:sz w:val="24"/>
          <w:szCs w:val="24"/>
        </w:rPr>
        <w:t xml:space="preserve">Заморозку и хранение биоматериала производят в </w:t>
      </w:r>
      <w:r w:rsidR="00DE3C04">
        <w:rPr>
          <w:rFonts w:ascii="Times New Roman" w:hAnsi="Times New Roman" w:cs="Times New Roman"/>
          <w:sz w:val="24"/>
          <w:szCs w:val="24"/>
        </w:rPr>
        <w:t>емкости</w:t>
      </w:r>
      <w:r w:rsidRPr="0095427D">
        <w:rPr>
          <w:rFonts w:ascii="Times New Roman" w:hAnsi="Times New Roman" w:cs="Times New Roman"/>
          <w:sz w:val="24"/>
          <w:szCs w:val="24"/>
        </w:rPr>
        <w:t xml:space="preserve"> с </w:t>
      </w:r>
      <w:r w:rsidR="00DE3C04">
        <w:rPr>
          <w:rFonts w:ascii="Times New Roman" w:hAnsi="Times New Roman" w:cs="Times New Roman"/>
          <w:sz w:val="24"/>
          <w:szCs w:val="24"/>
        </w:rPr>
        <w:t xml:space="preserve">парами </w:t>
      </w:r>
      <w:r w:rsidRPr="0095427D">
        <w:rPr>
          <w:rFonts w:ascii="Times New Roman" w:hAnsi="Times New Roman" w:cs="Times New Roman"/>
          <w:sz w:val="24"/>
          <w:szCs w:val="24"/>
        </w:rPr>
        <w:t>жидк</w:t>
      </w:r>
      <w:r w:rsidR="00DE3C04">
        <w:rPr>
          <w:rFonts w:ascii="Times New Roman" w:hAnsi="Times New Roman" w:cs="Times New Roman"/>
          <w:sz w:val="24"/>
          <w:szCs w:val="24"/>
        </w:rPr>
        <w:t>ого</w:t>
      </w:r>
      <w:r w:rsidRPr="0095427D">
        <w:rPr>
          <w:rFonts w:ascii="Times New Roman" w:hAnsi="Times New Roman" w:cs="Times New Roman"/>
          <w:sz w:val="24"/>
          <w:szCs w:val="24"/>
        </w:rPr>
        <w:t xml:space="preserve"> азот</w:t>
      </w:r>
      <w:r w:rsidR="00DE3C04">
        <w:rPr>
          <w:rFonts w:ascii="Times New Roman" w:hAnsi="Times New Roman" w:cs="Times New Roman"/>
          <w:sz w:val="24"/>
          <w:szCs w:val="24"/>
        </w:rPr>
        <w:t>а</w:t>
      </w:r>
      <w:r w:rsidRPr="0095427D">
        <w:rPr>
          <w:rFonts w:ascii="Times New Roman" w:hAnsi="Times New Roman" w:cs="Times New Roman"/>
          <w:sz w:val="24"/>
          <w:szCs w:val="24"/>
        </w:rPr>
        <w:t xml:space="preserve">. </w:t>
      </w:r>
    </w:p>
    <w:p w:rsidR="005930BE" w:rsidRPr="0095427D" w:rsidRDefault="005930BE" w:rsidP="00780185">
      <w:pPr>
        <w:pStyle w:val="1"/>
        <w:numPr>
          <w:ilvl w:val="0"/>
          <w:numId w:val="111"/>
        </w:numPr>
        <w:spacing w:before="0" w:after="240"/>
        <w:jc w:val="center"/>
        <w:rPr>
          <w:rFonts w:ascii="Times New Roman" w:hAnsi="Times New Roman" w:cs="Times New Roman"/>
          <w:color w:val="auto"/>
          <w:sz w:val="24"/>
        </w:rPr>
      </w:pPr>
      <w:bookmarkStart w:id="16" w:name="_Toc44926613"/>
      <w:r w:rsidRPr="0095427D">
        <w:rPr>
          <w:rFonts w:ascii="Times New Roman" w:hAnsi="Times New Roman" w:cs="Times New Roman"/>
          <w:color w:val="auto"/>
          <w:sz w:val="24"/>
        </w:rPr>
        <w:t>Обследование пациентов перед мобилизацией и сбором ГСК</w:t>
      </w:r>
      <w:bookmarkEnd w:id="16"/>
    </w:p>
    <w:p w:rsidR="005930BE" w:rsidRDefault="005930BE" w:rsidP="00450D3F">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Перед началом мобилизации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w:t>
      </w:r>
      <w:r w:rsidR="00813F63">
        <w:rPr>
          <w:rFonts w:ascii="Times New Roman" w:hAnsi="Times New Roman" w:cs="Times New Roman"/>
          <w:sz w:val="24"/>
          <w:szCs w:val="24"/>
        </w:rPr>
        <w:t xml:space="preserve"> так и инструментальные методы.</w:t>
      </w:r>
    </w:p>
    <w:p w:rsidR="005930BE" w:rsidRDefault="009D3373" w:rsidP="00780185">
      <w:pPr>
        <w:pStyle w:val="1"/>
        <w:numPr>
          <w:ilvl w:val="1"/>
          <w:numId w:val="111"/>
        </w:numPr>
        <w:spacing w:before="0"/>
        <w:rPr>
          <w:rFonts w:ascii="Times New Roman" w:hAnsi="Times New Roman" w:cs="Times New Roman"/>
          <w:color w:val="auto"/>
          <w:sz w:val="24"/>
        </w:rPr>
      </w:pPr>
      <w:bookmarkStart w:id="17" w:name="_Toc44926614"/>
      <w:r>
        <w:rPr>
          <w:rFonts w:ascii="Times New Roman" w:hAnsi="Times New Roman" w:cs="Times New Roman"/>
          <w:color w:val="auto"/>
          <w:sz w:val="24"/>
        </w:rPr>
        <w:t xml:space="preserve">Общие методы </w:t>
      </w:r>
      <w:r w:rsidR="005930BE" w:rsidRPr="00401CC7">
        <w:rPr>
          <w:rFonts w:ascii="Times New Roman" w:hAnsi="Times New Roman" w:cs="Times New Roman"/>
          <w:color w:val="auto"/>
          <w:sz w:val="24"/>
        </w:rPr>
        <w:t>обследования</w:t>
      </w:r>
      <w:bookmarkEnd w:id="17"/>
    </w:p>
    <w:p w:rsidR="00E80625" w:rsidRPr="006A495D" w:rsidRDefault="00E80625" w:rsidP="00D368AE">
      <w:pPr>
        <w:pStyle w:val="Numlist"/>
        <w:numPr>
          <w:ilvl w:val="0"/>
          <w:numId w:val="2"/>
        </w:numPr>
        <w:tabs>
          <w:tab w:val="left" w:pos="284"/>
        </w:tabs>
        <w:spacing w:before="240" w:line="360" w:lineRule="auto"/>
        <w:ind w:left="0" w:firstLine="284"/>
        <w:jc w:val="both"/>
      </w:pPr>
      <w:r>
        <w:t>Развернутый анализ крови.</w:t>
      </w:r>
    </w:p>
    <w:p w:rsidR="00E80625" w:rsidRPr="006A495D" w:rsidRDefault="00E80625" w:rsidP="00D368AE">
      <w:pPr>
        <w:pStyle w:val="Numlist"/>
        <w:numPr>
          <w:ilvl w:val="0"/>
          <w:numId w:val="2"/>
        </w:numPr>
        <w:tabs>
          <w:tab w:val="left" w:pos="284"/>
        </w:tabs>
        <w:spacing w:line="360" w:lineRule="auto"/>
        <w:ind w:left="0" w:firstLine="284"/>
        <w:jc w:val="both"/>
      </w:pPr>
      <w:r w:rsidRPr="006A495D">
        <w:t xml:space="preserve">Биохимический анализ крови с обязательным определением: </w:t>
      </w:r>
      <w:r>
        <w:t xml:space="preserve">уровней </w:t>
      </w:r>
      <w:r w:rsidRPr="006A495D">
        <w:t xml:space="preserve">общего белка, альбумина, креатинина, мочевой кислоты, калия, кальция, </w:t>
      </w:r>
      <w:r>
        <w:t xml:space="preserve">активности </w:t>
      </w:r>
      <w:r w:rsidRPr="006A495D">
        <w:t>ЛДГ.</w:t>
      </w:r>
    </w:p>
    <w:p w:rsidR="00E80625" w:rsidRDefault="00E80625" w:rsidP="00D368AE">
      <w:pPr>
        <w:pStyle w:val="Numlist"/>
        <w:numPr>
          <w:ilvl w:val="0"/>
          <w:numId w:val="2"/>
        </w:numPr>
        <w:tabs>
          <w:tab w:val="left" w:pos="284"/>
        </w:tabs>
        <w:spacing w:line="360" w:lineRule="auto"/>
        <w:ind w:left="0" w:firstLine="284"/>
        <w:jc w:val="both"/>
      </w:pPr>
      <w:r>
        <w:t>Общий анализ мочи.</w:t>
      </w:r>
    </w:p>
    <w:p w:rsidR="00C75B43" w:rsidRDefault="00C75B43" w:rsidP="00D368AE">
      <w:pPr>
        <w:pStyle w:val="Numlist"/>
        <w:numPr>
          <w:ilvl w:val="0"/>
          <w:numId w:val="2"/>
        </w:numPr>
        <w:tabs>
          <w:tab w:val="left" w:pos="284"/>
        </w:tabs>
        <w:spacing w:line="360" w:lineRule="auto"/>
        <w:ind w:left="0" w:firstLine="284"/>
        <w:jc w:val="both"/>
      </w:pPr>
      <w:r>
        <w:t>Гл</w:t>
      </w:r>
      <w:r w:rsidR="00736312">
        <w:t>юкоза крови.</w:t>
      </w:r>
    </w:p>
    <w:p w:rsidR="00E80625" w:rsidRDefault="00E80625" w:rsidP="00D368AE">
      <w:pPr>
        <w:pStyle w:val="Numlist"/>
        <w:numPr>
          <w:ilvl w:val="0"/>
          <w:numId w:val="2"/>
        </w:numPr>
        <w:tabs>
          <w:tab w:val="left" w:pos="284"/>
        </w:tabs>
        <w:spacing w:line="360" w:lineRule="auto"/>
        <w:ind w:left="0" w:firstLine="284"/>
        <w:jc w:val="both"/>
      </w:pPr>
      <w:r>
        <w:t>Определение скорости клубочковой фильтрации.</w:t>
      </w:r>
    </w:p>
    <w:p w:rsidR="00E80625" w:rsidRDefault="00E80625" w:rsidP="00D368AE">
      <w:pPr>
        <w:pStyle w:val="Numlist"/>
        <w:numPr>
          <w:ilvl w:val="0"/>
          <w:numId w:val="2"/>
        </w:numPr>
        <w:tabs>
          <w:tab w:val="left" w:pos="284"/>
        </w:tabs>
        <w:spacing w:line="360" w:lineRule="auto"/>
        <w:ind w:left="0" w:firstLine="284"/>
        <w:jc w:val="both"/>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w:t>
      </w:r>
      <w:r w:rsidR="00813F63">
        <w:t>, антитромбин III, плазминоген).</w:t>
      </w:r>
    </w:p>
    <w:p w:rsidR="00E80625" w:rsidRPr="006A495D" w:rsidRDefault="00E80625" w:rsidP="00D368AE">
      <w:pPr>
        <w:pStyle w:val="Numlist"/>
        <w:numPr>
          <w:ilvl w:val="0"/>
          <w:numId w:val="2"/>
        </w:numPr>
        <w:tabs>
          <w:tab w:val="left" w:pos="284"/>
        </w:tabs>
        <w:spacing w:line="360" w:lineRule="auto"/>
        <w:ind w:left="0" w:firstLine="284"/>
        <w:jc w:val="both"/>
      </w:pPr>
      <w:r w:rsidRPr="006A495D">
        <w:t xml:space="preserve">Пункция костного мозга </w:t>
      </w:r>
      <w:r>
        <w:t xml:space="preserve">с </w:t>
      </w:r>
      <w:r w:rsidRPr="006A495D">
        <w:t>подсчет</w:t>
      </w:r>
      <w:r>
        <w:t>ом миелограммы</w:t>
      </w:r>
      <w:r w:rsidRPr="006A495D">
        <w:t>.</w:t>
      </w:r>
    </w:p>
    <w:p w:rsidR="00E80625" w:rsidRDefault="00F32023" w:rsidP="00D368AE">
      <w:pPr>
        <w:pStyle w:val="Numlist"/>
        <w:numPr>
          <w:ilvl w:val="0"/>
          <w:numId w:val="2"/>
        </w:numPr>
        <w:tabs>
          <w:tab w:val="left" w:pos="284"/>
        </w:tabs>
        <w:spacing w:line="360" w:lineRule="auto"/>
        <w:ind w:left="0" w:firstLine="284"/>
        <w:jc w:val="both"/>
      </w:pPr>
      <w:r>
        <w:t>Гистологическое</w:t>
      </w:r>
      <w:r w:rsidR="00E80625" w:rsidRPr="00100A57">
        <w:t xml:space="preserve"> исследование биопсийного материала костного мозга</w:t>
      </w:r>
      <w:r w:rsidR="00E80625">
        <w:t xml:space="preserve"> для оценки </w:t>
      </w:r>
      <w:r w:rsidR="00797DB7">
        <w:t xml:space="preserve">состояния </w:t>
      </w:r>
      <w:r w:rsidR="00E80625">
        <w:t>кроветворения.</w:t>
      </w:r>
    </w:p>
    <w:p w:rsidR="00E80625" w:rsidRDefault="00F32023" w:rsidP="00D368AE">
      <w:pPr>
        <w:pStyle w:val="Numlist"/>
        <w:numPr>
          <w:ilvl w:val="0"/>
          <w:numId w:val="2"/>
        </w:numPr>
        <w:tabs>
          <w:tab w:val="left" w:pos="284"/>
        </w:tabs>
        <w:spacing w:line="360" w:lineRule="auto"/>
        <w:ind w:left="0" w:firstLine="284"/>
        <w:jc w:val="both"/>
      </w:pPr>
      <w:r>
        <w:t>Гистологическое</w:t>
      </w:r>
      <w:r w:rsidRPr="00100A57">
        <w:t xml:space="preserve"> исследование биопсийного</w:t>
      </w:r>
      <w:r w:rsidR="00E80625" w:rsidRPr="00100A57">
        <w:t xml:space="preserve"> материала костного мозга с применением иммуногистохимических методов</w:t>
      </w:r>
      <w:r>
        <w:t xml:space="preserve"> </w:t>
      </w:r>
      <w:r w:rsidR="00E80625">
        <w:t xml:space="preserve">для оценки </w:t>
      </w:r>
      <w:r w:rsidR="00DE3C04">
        <w:t xml:space="preserve">состояния </w:t>
      </w:r>
      <w:r w:rsidR="00E80625">
        <w:t>кроветворения</w:t>
      </w:r>
      <w:r w:rsidR="00DE3C04">
        <w:t xml:space="preserve"> и инфильтрации костного мозга опухолевыми клетками</w:t>
      </w:r>
      <w:r w:rsidR="00E80625">
        <w:t>.</w:t>
      </w:r>
    </w:p>
    <w:p w:rsidR="00E80625" w:rsidRDefault="00E80625" w:rsidP="00D368AE">
      <w:pPr>
        <w:pStyle w:val="Numlist"/>
        <w:numPr>
          <w:ilvl w:val="0"/>
          <w:numId w:val="2"/>
        </w:numPr>
        <w:tabs>
          <w:tab w:val="left" w:pos="284"/>
        </w:tabs>
        <w:spacing w:line="360" w:lineRule="auto"/>
        <w:ind w:left="0" w:firstLine="284"/>
        <w:jc w:val="both"/>
      </w:pPr>
      <w:r w:rsidRPr="006A495D">
        <w:t>Иммунофенотипическое исследование костного мозга методом проточной цитометрии</w:t>
      </w:r>
      <w:r>
        <w:t xml:space="preserve"> для определения </w:t>
      </w:r>
      <w:r w:rsidR="00FF3180">
        <w:t xml:space="preserve">маркеров </w:t>
      </w:r>
      <w:r>
        <w:t>минимальной остаточной болезни.</w:t>
      </w:r>
    </w:p>
    <w:p w:rsidR="00E80625" w:rsidRDefault="00E80625" w:rsidP="00D368AE">
      <w:pPr>
        <w:pStyle w:val="Numlist"/>
        <w:numPr>
          <w:ilvl w:val="0"/>
          <w:numId w:val="2"/>
        </w:numPr>
        <w:tabs>
          <w:tab w:val="left" w:pos="284"/>
        </w:tabs>
        <w:spacing w:line="360" w:lineRule="auto"/>
        <w:ind w:left="0" w:firstLine="284"/>
        <w:jc w:val="both"/>
      </w:pPr>
      <w:r>
        <w:t>Определение группы крови (</w:t>
      </w:r>
      <w:r w:rsidRPr="00100A57">
        <w:rPr>
          <w:lang w:val="en-US"/>
        </w:rPr>
        <w:t>ABO</w:t>
      </w:r>
      <w:r w:rsidRPr="00100A57">
        <w:t xml:space="preserve">, </w:t>
      </w:r>
      <w:r>
        <w:t xml:space="preserve">Резус, </w:t>
      </w:r>
      <w:r w:rsidRPr="00100A57">
        <w:t>фенотип по</w:t>
      </w:r>
      <w:r>
        <w:t xml:space="preserve"> антигенам C, c, E, e, Cw, K, k, а также </w:t>
      </w:r>
      <w:r w:rsidRPr="00100A57">
        <w:t>определение антиэритроцитарных антител</w:t>
      </w:r>
      <w:r>
        <w:t>).</w:t>
      </w:r>
    </w:p>
    <w:p w:rsidR="00E80625" w:rsidRPr="006A495D" w:rsidRDefault="00E80625" w:rsidP="00D368AE">
      <w:pPr>
        <w:pStyle w:val="Numlist"/>
        <w:numPr>
          <w:ilvl w:val="0"/>
          <w:numId w:val="2"/>
        </w:numPr>
        <w:tabs>
          <w:tab w:val="left" w:pos="284"/>
        </w:tabs>
        <w:spacing w:line="360" w:lineRule="auto"/>
        <w:ind w:left="0" w:firstLine="284"/>
        <w:jc w:val="both"/>
      </w:pPr>
      <w:r>
        <w:lastRenderedPageBreak/>
        <w:t>Исследование на м</w:t>
      </w:r>
      <w:r w:rsidRPr="006A495D">
        <w:t>аркеры вирусов гепатит</w:t>
      </w:r>
      <w:r>
        <w:t>ов</w:t>
      </w:r>
      <w:r>
        <w:rPr>
          <w:lang w:val="en-US"/>
        </w:rPr>
        <w:t> B</w:t>
      </w:r>
      <w:r w:rsidRPr="006A495D">
        <w:t xml:space="preserve"> и </w:t>
      </w:r>
      <w:r>
        <w:rPr>
          <w:lang w:val="en-US"/>
        </w:rPr>
        <w:t>C</w:t>
      </w:r>
      <w:r w:rsidRPr="006A495D">
        <w:t xml:space="preserve">, </w:t>
      </w:r>
      <w:r w:rsidR="00FF3180">
        <w:t xml:space="preserve">ВИЧ, </w:t>
      </w:r>
      <w:r w:rsidR="00FF3180">
        <w:rPr>
          <w:lang w:val="en-US"/>
        </w:rPr>
        <w:t>RW</w:t>
      </w:r>
      <w:r w:rsidR="00FF3180" w:rsidRPr="00FF3180">
        <w:t>.</w:t>
      </w:r>
    </w:p>
    <w:p w:rsidR="00E80625" w:rsidRPr="006A495D" w:rsidRDefault="00E80625" w:rsidP="00D368AE">
      <w:pPr>
        <w:pStyle w:val="Numlist"/>
        <w:numPr>
          <w:ilvl w:val="0"/>
          <w:numId w:val="2"/>
        </w:numPr>
        <w:tabs>
          <w:tab w:val="left" w:pos="284"/>
        </w:tabs>
        <w:spacing w:line="360" w:lineRule="auto"/>
        <w:ind w:left="0" w:firstLine="284"/>
        <w:jc w:val="both"/>
      </w:pPr>
      <w:r>
        <w:t>Электрокардиограмма.</w:t>
      </w:r>
    </w:p>
    <w:p w:rsidR="00E80625" w:rsidRDefault="00E80625" w:rsidP="00D368AE">
      <w:pPr>
        <w:pStyle w:val="Numlist"/>
        <w:numPr>
          <w:ilvl w:val="0"/>
          <w:numId w:val="2"/>
        </w:numPr>
        <w:tabs>
          <w:tab w:val="left" w:pos="284"/>
        </w:tabs>
        <w:spacing w:line="360" w:lineRule="auto"/>
        <w:ind w:left="0" w:firstLine="284"/>
        <w:jc w:val="both"/>
      </w:pPr>
      <w:r w:rsidRPr="005A330B">
        <w:t>Эхокардиография</w:t>
      </w:r>
      <w:r>
        <w:t>.</w:t>
      </w:r>
    </w:p>
    <w:p w:rsidR="00E80625" w:rsidRDefault="00E80625" w:rsidP="00D368AE">
      <w:pPr>
        <w:pStyle w:val="Numlist"/>
        <w:numPr>
          <w:ilvl w:val="0"/>
          <w:numId w:val="2"/>
        </w:numPr>
        <w:tabs>
          <w:tab w:val="left" w:pos="284"/>
        </w:tabs>
        <w:spacing w:line="360" w:lineRule="auto"/>
        <w:ind w:left="0" w:firstLine="284"/>
        <w:jc w:val="both"/>
      </w:pPr>
      <w:r>
        <w:t>Холтеровское мониторирование сердечного ритма – при выявлении нарушений ритма и проводимости на ЭКГ.</w:t>
      </w:r>
    </w:p>
    <w:p w:rsidR="00E80625" w:rsidRDefault="00E80625" w:rsidP="00D368AE">
      <w:pPr>
        <w:pStyle w:val="Numlist"/>
        <w:numPr>
          <w:ilvl w:val="0"/>
          <w:numId w:val="2"/>
        </w:numPr>
        <w:tabs>
          <w:tab w:val="left" w:pos="284"/>
        </w:tabs>
        <w:spacing w:line="360" w:lineRule="auto"/>
        <w:ind w:left="0" w:firstLine="284"/>
        <w:jc w:val="both"/>
      </w:pPr>
      <w:r>
        <w:t>УЗИ брюшной полости (комплексное).</w:t>
      </w:r>
    </w:p>
    <w:p w:rsidR="00E80625" w:rsidRDefault="00E80625" w:rsidP="00D368AE">
      <w:pPr>
        <w:pStyle w:val="Numlist"/>
        <w:numPr>
          <w:ilvl w:val="0"/>
          <w:numId w:val="2"/>
        </w:numPr>
        <w:tabs>
          <w:tab w:val="left" w:pos="284"/>
        </w:tabs>
        <w:spacing w:line="360" w:lineRule="auto"/>
        <w:ind w:left="0" w:firstLine="284"/>
        <w:jc w:val="both"/>
      </w:pPr>
      <w:r w:rsidRPr="005A330B">
        <w:t>Ультразвуковая допплерография сосудов (артерий и вен) нижних конечностей</w:t>
      </w:r>
      <w:r w:rsidRPr="006A495D">
        <w:t xml:space="preserve"> </w:t>
      </w:r>
      <w:r>
        <w:t>- при необходимости.</w:t>
      </w:r>
    </w:p>
    <w:p w:rsidR="00E80625" w:rsidRPr="006A495D" w:rsidRDefault="00E80625" w:rsidP="00D368AE">
      <w:pPr>
        <w:pStyle w:val="Numlist"/>
        <w:numPr>
          <w:ilvl w:val="0"/>
          <w:numId w:val="2"/>
        </w:numPr>
        <w:tabs>
          <w:tab w:val="left" w:pos="284"/>
        </w:tabs>
        <w:spacing w:line="360" w:lineRule="auto"/>
        <w:ind w:left="0" w:firstLine="284"/>
        <w:jc w:val="both"/>
      </w:pPr>
      <w:r w:rsidRPr="00433BA2">
        <w:t>Эзофагогастродуоденоскопия</w:t>
      </w:r>
      <w:r>
        <w:t xml:space="preserve"> с биопсией</w:t>
      </w:r>
      <w:r w:rsidR="00F32023">
        <w:t xml:space="preserve"> – при наличии диспепсических расстройств или язвенной болезни желудка/ двенадцатиперстной кишки в анамнезе.</w:t>
      </w:r>
    </w:p>
    <w:p w:rsidR="00E80625" w:rsidRDefault="00E80625" w:rsidP="00D368AE">
      <w:pPr>
        <w:pStyle w:val="Numlist"/>
        <w:numPr>
          <w:ilvl w:val="0"/>
          <w:numId w:val="2"/>
        </w:numPr>
        <w:tabs>
          <w:tab w:val="left" w:pos="284"/>
        </w:tabs>
        <w:spacing w:line="360" w:lineRule="auto"/>
        <w:ind w:left="0" w:firstLine="284"/>
        <w:jc w:val="both"/>
      </w:pPr>
      <w:r w:rsidRPr="006A495D">
        <w:t>МРТ головного мозга.</w:t>
      </w:r>
    </w:p>
    <w:p w:rsidR="00F32023" w:rsidRDefault="00F32023" w:rsidP="00D368AE">
      <w:pPr>
        <w:pStyle w:val="Numlist"/>
        <w:numPr>
          <w:ilvl w:val="0"/>
          <w:numId w:val="2"/>
        </w:numPr>
        <w:tabs>
          <w:tab w:val="left" w:pos="284"/>
        </w:tabs>
        <w:spacing w:line="360" w:lineRule="auto"/>
        <w:ind w:left="0" w:firstLine="284"/>
        <w:jc w:val="both"/>
      </w:pPr>
      <w:r>
        <w:t>КТ органов грудной полости.</w:t>
      </w:r>
    </w:p>
    <w:p w:rsidR="00E80625" w:rsidRDefault="00E80625" w:rsidP="00D368AE">
      <w:pPr>
        <w:pStyle w:val="Numlist"/>
        <w:numPr>
          <w:ilvl w:val="0"/>
          <w:numId w:val="2"/>
        </w:numPr>
        <w:tabs>
          <w:tab w:val="left" w:pos="284"/>
        </w:tabs>
        <w:spacing w:line="360" w:lineRule="auto"/>
        <w:ind w:left="0" w:firstLine="284"/>
        <w:jc w:val="both"/>
      </w:pPr>
      <w:r>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rsidR="00C0209B" w:rsidRPr="0031585B" w:rsidRDefault="002E3EFF" w:rsidP="00D368AE">
      <w:pPr>
        <w:pStyle w:val="Numlist"/>
        <w:numPr>
          <w:ilvl w:val="0"/>
          <w:numId w:val="2"/>
        </w:numPr>
        <w:tabs>
          <w:tab w:val="left" w:pos="284"/>
        </w:tabs>
        <w:spacing w:after="240" w:line="360" w:lineRule="auto"/>
        <w:ind w:left="0" w:firstLine="284"/>
        <w:jc w:val="both"/>
      </w:pPr>
      <w:r>
        <w:t>О</w:t>
      </w:r>
      <w:r w:rsidR="00C0209B">
        <w:t>смотр гинеколога и УЗИ органов малого таза</w:t>
      </w:r>
      <w:r>
        <w:t xml:space="preserve"> - для женщин.</w:t>
      </w:r>
    </w:p>
    <w:p w:rsidR="00F32023" w:rsidRDefault="005930BE" w:rsidP="00780185">
      <w:pPr>
        <w:pStyle w:val="1"/>
        <w:numPr>
          <w:ilvl w:val="1"/>
          <w:numId w:val="111"/>
        </w:numPr>
        <w:spacing w:before="0"/>
        <w:ind w:left="0" w:firstLine="284"/>
        <w:jc w:val="both"/>
        <w:rPr>
          <w:rFonts w:ascii="Times New Roman" w:hAnsi="Times New Roman" w:cs="Times New Roman"/>
          <w:color w:val="auto"/>
          <w:sz w:val="24"/>
        </w:rPr>
      </w:pPr>
      <w:bookmarkStart w:id="18" w:name="_Toc44926615"/>
      <w:r w:rsidRPr="002E3EFF">
        <w:rPr>
          <w:rFonts w:ascii="Times New Roman" w:hAnsi="Times New Roman" w:cs="Times New Roman"/>
          <w:color w:val="auto"/>
          <w:sz w:val="24"/>
        </w:rPr>
        <w:t>Специальные м</w:t>
      </w:r>
      <w:r w:rsidRPr="00F32023">
        <w:rPr>
          <w:rFonts w:ascii="Times New Roman" w:hAnsi="Times New Roman" w:cs="Times New Roman"/>
          <w:color w:val="auto"/>
          <w:sz w:val="24"/>
        </w:rPr>
        <w:t xml:space="preserve">етоды обследования </w:t>
      </w:r>
      <w:r w:rsidR="00DB3D03">
        <w:rPr>
          <w:rFonts w:ascii="Times New Roman" w:hAnsi="Times New Roman" w:cs="Times New Roman"/>
          <w:color w:val="auto"/>
          <w:sz w:val="24"/>
        </w:rPr>
        <w:t>при различных вариантах гемобластозов</w:t>
      </w:r>
      <w:bookmarkEnd w:id="18"/>
    </w:p>
    <w:p w:rsidR="00DB3D03" w:rsidRPr="00DB3D03" w:rsidRDefault="0014771F" w:rsidP="00FC0215">
      <w:pPr>
        <w:spacing w:before="240"/>
        <w:ind w:firstLine="284"/>
        <w:rPr>
          <w:rFonts w:ascii="Times New Roman" w:hAnsi="Times New Roman" w:cs="Times New Roman"/>
          <w:b/>
        </w:rPr>
      </w:pPr>
      <w:r>
        <w:rPr>
          <w:rFonts w:ascii="Times New Roman" w:hAnsi="Times New Roman" w:cs="Times New Roman"/>
          <w:b/>
        </w:rPr>
        <w:t>4</w:t>
      </w:r>
      <w:r w:rsidR="00DB3D03">
        <w:rPr>
          <w:rFonts w:ascii="Times New Roman" w:hAnsi="Times New Roman" w:cs="Times New Roman"/>
          <w:b/>
        </w:rPr>
        <w:t xml:space="preserve">.2.1. </w:t>
      </w:r>
      <w:r w:rsidR="00DB3D03" w:rsidRPr="00DB3D03">
        <w:rPr>
          <w:rFonts w:ascii="Times New Roman" w:hAnsi="Times New Roman" w:cs="Times New Roman"/>
          <w:b/>
        </w:rPr>
        <w:t>Множественная миелома</w:t>
      </w:r>
      <w:r w:rsidR="00DB3D03">
        <w:rPr>
          <w:rFonts w:ascii="Times New Roman" w:hAnsi="Times New Roman" w:cs="Times New Roman"/>
          <w:b/>
        </w:rPr>
        <w:t xml:space="preserve"> </w:t>
      </w:r>
    </w:p>
    <w:p w:rsidR="00F32023" w:rsidRPr="006A495D" w:rsidRDefault="00F32023" w:rsidP="00D368AE">
      <w:pPr>
        <w:pStyle w:val="Numlist"/>
        <w:numPr>
          <w:ilvl w:val="0"/>
          <w:numId w:val="3"/>
        </w:numPr>
        <w:tabs>
          <w:tab w:val="left" w:pos="284"/>
        </w:tabs>
        <w:spacing w:line="360" w:lineRule="auto"/>
        <w:ind w:left="0" w:firstLine="284"/>
        <w:jc w:val="both"/>
      </w:pPr>
      <w:r>
        <w:t>Комплексное и</w:t>
      </w:r>
      <w:r w:rsidRPr="006A495D">
        <w:t>ммунохимическое исследование сыворотки и мочи</w:t>
      </w:r>
      <w:r>
        <w:t xml:space="preserve">, включающее </w:t>
      </w:r>
    </w:p>
    <w:p w:rsidR="00F32023" w:rsidRPr="006A495D" w:rsidRDefault="00F32023" w:rsidP="00FC0215">
      <w:pPr>
        <w:pStyle w:val="Numlist"/>
        <w:tabs>
          <w:tab w:val="left" w:pos="284"/>
        </w:tabs>
        <w:spacing w:line="360" w:lineRule="auto"/>
        <w:ind w:firstLine="284"/>
        <w:jc w:val="both"/>
      </w:pPr>
      <w:r w:rsidRPr="006A495D">
        <w:t>- электрофорез и иммунофи</w:t>
      </w:r>
      <w:r>
        <w:t>ксаци</w:t>
      </w:r>
      <w:r w:rsidR="00FF3180">
        <w:t>ю</w:t>
      </w:r>
      <w:r>
        <w:t xml:space="preserve"> белков сыворотки и мочи с определением белка Бенс-Джонса;</w:t>
      </w:r>
    </w:p>
    <w:p w:rsidR="00F32023" w:rsidRPr="006A495D" w:rsidRDefault="00F32023" w:rsidP="00FC0215">
      <w:pPr>
        <w:pStyle w:val="Numlist"/>
        <w:tabs>
          <w:tab w:val="left" w:pos="284"/>
        </w:tabs>
        <w:spacing w:line="360" w:lineRule="auto"/>
        <w:ind w:firstLine="284"/>
        <w:jc w:val="both"/>
      </w:pPr>
      <w:r w:rsidRPr="006A495D">
        <w:t>- определение уровня п</w:t>
      </w:r>
      <w:r>
        <w:t>оликлональных иммуноглобулинов (</w:t>
      </w:r>
      <w:r w:rsidRPr="00F32023">
        <w:t>A</w:t>
      </w:r>
      <w:r w:rsidRPr="00027FD8">
        <w:t xml:space="preserve">, </w:t>
      </w:r>
      <w:r w:rsidRPr="00F32023">
        <w:t>G</w:t>
      </w:r>
      <w:r w:rsidRPr="00027FD8">
        <w:t>,</w:t>
      </w:r>
      <w:r w:rsidRPr="00F32023">
        <w:t>M</w:t>
      </w:r>
      <w:r w:rsidRPr="00027FD8">
        <w:t>)</w:t>
      </w:r>
      <w:r>
        <w:t>;</w:t>
      </w:r>
    </w:p>
    <w:p w:rsidR="00F32023" w:rsidRPr="006A495D" w:rsidRDefault="00F32023" w:rsidP="00FC0215">
      <w:pPr>
        <w:pStyle w:val="Numlist"/>
        <w:tabs>
          <w:tab w:val="left" w:pos="284"/>
        </w:tabs>
        <w:spacing w:line="360" w:lineRule="auto"/>
        <w:ind w:firstLine="284"/>
        <w:jc w:val="both"/>
      </w:pPr>
      <w:r w:rsidRPr="006A495D">
        <w:t xml:space="preserve">- определение свободных легких цепей </w:t>
      </w:r>
      <w:r>
        <w:t>и их соотношения при «неизмеряемом» заболевании.</w:t>
      </w:r>
    </w:p>
    <w:p w:rsidR="00F32023" w:rsidRDefault="00F32023" w:rsidP="00D368AE">
      <w:pPr>
        <w:pStyle w:val="Numlist"/>
        <w:numPr>
          <w:ilvl w:val="0"/>
          <w:numId w:val="3"/>
        </w:numPr>
        <w:tabs>
          <w:tab w:val="left" w:pos="284"/>
        </w:tabs>
        <w:spacing w:line="360" w:lineRule="auto"/>
        <w:ind w:left="0" w:firstLine="284"/>
        <w:jc w:val="both"/>
      </w:pPr>
      <w:r>
        <w:t xml:space="preserve">КТ костей позвоночника, таза, грудной полости – контроль размеров плазмоцитом - для оценки противоопухолевого ответа. </w:t>
      </w:r>
    </w:p>
    <w:p w:rsidR="00F32023" w:rsidRDefault="00F32023" w:rsidP="00D368AE">
      <w:pPr>
        <w:pStyle w:val="Numlist"/>
        <w:numPr>
          <w:ilvl w:val="0"/>
          <w:numId w:val="3"/>
        </w:numPr>
        <w:tabs>
          <w:tab w:val="left" w:pos="284"/>
        </w:tabs>
        <w:spacing w:line="360" w:lineRule="auto"/>
        <w:ind w:left="0" w:firstLine="284"/>
        <w:jc w:val="both"/>
      </w:pPr>
      <w:r>
        <w:t>Позитронно-эмиссионная томография, совмещенная с КТ – при достижении полной ремиссии заболевания.</w:t>
      </w:r>
    </w:p>
    <w:p w:rsidR="00F32023" w:rsidRDefault="00F32023" w:rsidP="00D368AE">
      <w:pPr>
        <w:pStyle w:val="Numlist"/>
        <w:numPr>
          <w:ilvl w:val="0"/>
          <w:numId w:val="3"/>
        </w:numPr>
        <w:tabs>
          <w:tab w:val="left" w:pos="284"/>
        </w:tabs>
        <w:spacing w:line="360" w:lineRule="auto"/>
        <w:ind w:left="0" w:firstLine="284"/>
        <w:jc w:val="both"/>
      </w:pPr>
      <w:r>
        <w:t>Магнитно-резонансная томография области мягкотканного компонента для оценки размеров и противоопухолевого ответа.</w:t>
      </w:r>
    </w:p>
    <w:p w:rsidR="00DB3D03" w:rsidRPr="00DB3D03" w:rsidRDefault="0014771F" w:rsidP="00FC0215">
      <w:pPr>
        <w:spacing w:before="240"/>
        <w:ind w:firstLine="284"/>
        <w:rPr>
          <w:rFonts w:ascii="Times New Roman" w:hAnsi="Times New Roman" w:cs="Times New Roman"/>
          <w:b/>
        </w:rPr>
      </w:pPr>
      <w:r>
        <w:rPr>
          <w:rFonts w:ascii="Times New Roman" w:hAnsi="Times New Roman" w:cs="Times New Roman"/>
          <w:b/>
        </w:rPr>
        <w:t>4</w:t>
      </w:r>
      <w:r w:rsidR="00DB3D03">
        <w:rPr>
          <w:rFonts w:ascii="Times New Roman" w:hAnsi="Times New Roman" w:cs="Times New Roman"/>
          <w:b/>
        </w:rPr>
        <w:t>.2.2</w:t>
      </w:r>
      <w:r w:rsidR="00DB3D03" w:rsidRPr="00DB3D03">
        <w:rPr>
          <w:rFonts w:ascii="Times New Roman" w:hAnsi="Times New Roman" w:cs="Times New Roman"/>
          <w:b/>
        </w:rPr>
        <w:t xml:space="preserve">. </w:t>
      </w:r>
      <w:r w:rsidR="00DB3D03">
        <w:rPr>
          <w:rFonts w:ascii="Times New Roman" w:hAnsi="Times New Roman" w:cs="Times New Roman"/>
          <w:b/>
          <w:lang w:val="en-US"/>
        </w:rPr>
        <w:t>AL</w:t>
      </w:r>
      <w:r w:rsidR="00DB3D03" w:rsidRPr="00DB3D03">
        <w:rPr>
          <w:rFonts w:ascii="Times New Roman" w:hAnsi="Times New Roman" w:cs="Times New Roman"/>
          <w:b/>
        </w:rPr>
        <w:t xml:space="preserve"> – </w:t>
      </w:r>
      <w:r w:rsidR="00DB3D03">
        <w:rPr>
          <w:rFonts w:ascii="Times New Roman" w:hAnsi="Times New Roman" w:cs="Times New Roman"/>
          <w:b/>
        </w:rPr>
        <w:t>амилоидоз и другие плазмоклеточные дискразии</w:t>
      </w:r>
      <w:r w:rsidR="00DB3D03" w:rsidRPr="00DB3D03">
        <w:rPr>
          <w:rFonts w:ascii="Times New Roman" w:hAnsi="Times New Roman" w:cs="Times New Roman"/>
          <w:b/>
        </w:rPr>
        <w:t xml:space="preserve"> </w:t>
      </w:r>
    </w:p>
    <w:p w:rsidR="00DB3D03" w:rsidRPr="006A495D" w:rsidRDefault="00DB3D03" w:rsidP="00D368AE">
      <w:pPr>
        <w:pStyle w:val="Numlist"/>
        <w:numPr>
          <w:ilvl w:val="0"/>
          <w:numId w:val="4"/>
        </w:numPr>
        <w:tabs>
          <w:tab w:val="left" w:pos="284"/>
        </w:tabs>
        <w:spacing w:line="360" w:lineRule="auto"/>
        <w:ind w:left="0" w:firstLine="284"/>
        <w:jc w:val="both"/>
      </w:pPr>
      <w:r>
        <w:t>Комплексное и</w:t>
      </w:r>
      <w:r w:rsidRPr="006A495D">
        <w:t>ммунохимическое исследование сыворотки и мочи</w:t>
      </w:r>
      <w:r>
        <w:t xml:space="preserve">, включающее </w:t>
      </w:r>
    </w:p>
    <w:p w:rsidR="00DB3D03" w:rsidRPr="006A495D" w:rsidRDefault="00DB3D03" w:rsidP="00FC0215">
      <w:pPr>
        <w:pStyle w:val="Numlist"/>
        <w:tabs>
          <w:tab w:val="left" w:pos="284"/>
        </w:tabs>
        <w:spacing w:line="360" w:lineRule="auto"/>
        <w:ind w:firstLine="284"/>
        <w:jc w:val="both"/>
      </w:pPr>
      <w:r w:rsidRPr="006A495D">
        <w:lastRenderedPageBreak/>
        <w:t>- электрофорез и иммунофи</w:t>
      </w:r>
      <w:r>
        <w:t>ксаци</w:t>
      </w:r>
      <w:r w:rsidR="00FF3180">
        <w:t>ю</w:t>
      </w:r>
      <w:r>
        <w:t xml:space="preserve"> белков сыворотки и мочи с определением белка Бенс-Джонса;</w:t>
      </w:r>
    </w:p>
    <w:p w:rsidR="00DB3D03" w:rsidRPr="006A495D" w:rsidRDefault="00DB3D03" w:rsidP="00FC0215">
      <w:pPr>
        <w:pStyle w:val="Numlist"/>
        <w:tabs>
          <w:tab w:val="left" w:pos="284"/>
        </w:tabs>
        <w:spacing w:line="360" w:lineRule="auto"/>
        <w:ind w:firstLine="284"/>
        <w:jc w:val="both"/>
      </w:pPr>
      <w:r w:rsidRPr="006A495D">
        <w:t>- определение уровня п</w:t>
      </w:r>
      <w:r>
        <w:t>оликлональных иммуноглобулинов (</w:t>
      </w:r>
      <w:r w:rsidRPr="00F32023">
        <w:t>A</w:t>
      </w:r>
      <w:r w:rsidRPr="00027FD8">
        <w:t xml:space="preserve">, </w:t>
      </w:r>
      <w:r w:rsidRPr="00F32023">
        <w:t>G</w:t>
      </w:r>
      <w:r w:rsidRPr="00027FD8">
        <w:t>,</w:t>
      </w:r>
      <w:r w:rsidRPr="00F32023">
        <w:t>M</w:t>
      </w:r>
      <w:r w:rsidRPr="00027FD8">
        <w:t>)</w:t>
      </w:r>
      <w:r>
        <w:t>;</w:t>
      </w:r>
    </w:p>
    <w:p w:rsidR="00DB3D03" w:rsidRPr="006A495D" w:rsidRDefault="00DB3D03" w:rsidP="00FC0215">
      <w:pPr>
        <w:pStyle w:val="Numlist"/>
        <w:tabs>
          <w:tab w:val="left" w:pos="284"/>
        </w:tabs>
        <w:spacing w:line="360" w:lineRule="auto"/>
        <w:ind w:firstLine="284"/>
        <w:jc w:val="both"/>
      </w:pPr>
      <w:r w:rsidRPr="006A495D">
        <w:t xml:space="preserve">- определение свободных легких цепей </w:t>
      </w:r>
      <w:r>
        <w:t>и их соотношения при «неизмеряемом» заболевании.</w:t>
      </w:r>
    </w:p>
    <w:p w:rsidR="00CA2E71" w:rsidRDefault="00DB3D03" w:rsidP="00D368AE">
      <w:pPr>
        <w:pStyle w:val="Numlist"/>
        <w:numPr>
          <w:ilvl w:val="0"/>
          <w:numId w:val="4"/>
        </w:numPr>
        <w:tabs>
          <w:tab w:val="left" w:pos="284"/>
        </w:tabs>
        <w:spacing w:line="360" w:lineRule="auto"/>
        <w:ind w:left="0" w:firstLine="284"/>
        <w:jc w:val="both"/>
      </w:pPr>
      <w:r>
        <w:t xml:space="preserve">УЗИ почек. </w:t>
      </w:r>
    </w:p>
    <w:p w:rsidR="00DB2568" w:rsidRDefault="00CA2E71" w:rsidP="00D368AE">
      <w:pPr>
        <w:pStyle w:val="Numlist"/>
        <w:numPr>
          <w:ilvl w:val="0"/>
          <w:numId w:val="4"/>
        </w:numPr>
        <w:tabs>
          <w:tab w:val="left" w:pos="284"/>
        </w:tabs>
        <w:spacing w:line="360" w:lineRule="auto"/>
        <w:ind w:left="0" w:firstLine="284"/>
        <w:jc w:val="both"/>
      </w:pPr>
      <w:r w:rsidRPr="00CA2E71">
        <w:t>Мозговой натрийуретический пептид</w:t>
      </w:r>
      <w:r>
        <w:t xml:space="preserve"> (</w:t>
      </w:r>
      <w:r w:rsidR="00DB3D03" w:rsidRPr="00CA2E71">
        <w:rPr>
          <w:lang w:val="en-US"/>
        </w:rPr>
        <w:t>NT</w:t>
      </w:r>
      <w:r w:rsidR="00DB3D03" w:rsidRPr="00CA2E71">
        <w:t>-</w:t>
      </w:r>
      <w:r w:rsidR="00DB3D03" w:rsidRPr="00CA2E71">
        <w:rPr>
          <w:lang w:val="en-US"/>
        </w:rPr>
        <w:t>proBNP</w:t>
      </w:r>
      <w:r>
        <w:t>) –количественный показатель</w:t>
      </w:r>
      <w:r w:rsidR="000120CC">
        <w:t>.</w:t>
      </w:r>
    </w:p>
    <w:p w:rsidR="00DB3D03" w:rsidRDefault="00DB2568" w:rsidP="00D368AE">
      <w:pPr>
        <w:pStyle w:val="Numlist"/>
        <w:numPr>
          <w:ilvl w:val="0"/>
          <w:numId w:val="4"/>
        </w:numPr>
        <w:tabs>
          <w:tab w:val="left" w:pos="284"/>
        </w:tabs>
        <w:spacing w:line="360" w:lineRule="auto"/>
        <w:ind w:left="0" w:firstLine="284"/>
        <w:jc w:val="both"/>
      </w:pPr>
      <w:r w:rsidRPr="00DB2568">
        <w:t xml:space="preserve">Тропонин </w:t>
      </w:r>
      <w:r w:rsidRPr="00CA2E71">
        <w:rPr>
          <w:lang w:val="en-US"/>
        </w:rPr>
        <w:t>cTnT</w:t>
      </w:r>
      <w:r w:rsidR="00CA2E71">
        <w:t xml:space="preserve"> – количественный показатель.</w:t>
      </w:r>
    </w:p>
    <w:p w:rsidR="00CA2E71" w:rsidRPr="00CA2E71" w:rsidRDefault="0014771F" w:rsidP="00FC0215">
      <w:pPr>
        <w:spacing w:before="240"/>
        <w:ind w:firstLine="284"/>
        <w:rPr>
          <w:rFonts w:ascii="Times New Roman" w:hAnsi="Times New Roman" w:cs="Times New Roman"/>
          <w:b/>
        </w:rPr>
      </w:pPr>
      <w:r>
        <w:rPr>
          <w:rFonts w:ascii="Times New Roman" w:hAnsi="Times New Roman" w:cs="Times New Roman"/>
          <w:b/>
        </w:rPr>
        <w:t>4</w:t>
      </w:r>
      <w:r w:rsidR="00CA2E71" w:rsidRPr="00CA2E71">
        <w:rPr>
          <w:rFonts w:ascii="Times New Roman" w:hAnsi="Times New Roman" w:cs="Times New Roman"/>
          <w:b/>
        </w:rPr>
        <w:t>.2.</w:t>
      </w:r>
      <w:r w:rsidR="00CA2E71">
        <w:rPr>
          <w:rFonts w:ascii="Times New Roman" w:hAnsi="Times New Roman" w:cs="Times New Roman"/>
          <w:b/>
        </w:rPr>
        <w:t>3</w:t>
      </w:r>
      <w:r w:rsidR="00CA2E71" w:rsidRPr="00CA2E71">
        <w:rPr>
          <w:rFonts w:ascii="Times New Roman" w:hAnsi="Times New Roman" w:cs="Times New Roman"/>
          <w:b/>
        </w:rPr>
        <w:t xml:space="preserve">. </w:t>
      </w:r>
      <w:r w:rsidR="00C025F0">
        <w:rPr>
          <w:rFonts w:ascii="Times New Roman" w:hAnsi="Times New Roman" w:cs="Times New Roman"/>
          <w:b/>
        </w:rPr>
        <w:t>Л</w:t>
      </w:r>
      <w:r w:rsidR="00CA2E71">
        <w:rPr>
          <w:rFonts w:ascii="Times New Roman" w:hAnsi="Times New Roman" w:cs="Times New Roman"/>
          <w:b/>
        </w:rPr>
        <w:t>имфопролиферативные заболевания</w:t>
      </w:r>
      <w:r w:rsidR="00CA2E71" w:rsidRPr="00CA2E71">
        <w:rPr>
          <w:rFonts w:ascii="Times New Roman" w:hAnsi="Times New Roman" w:cs="Times New Roman"/>
          <w:b/>
        </w:rPr>
        <w:t xml:space="preserve"> </w:t>
      </w:r>
    </w:p>
    <w:p w:rsidR="00CA2E71" w:rsidRDefault="00CA2E71" w:rsidP="00D368AE">
      <w:pPr>
        <w:pStyle w:val="Numlist"/>
        <w:numPr>
          <w:ilvl w:val="0"/>
          <w:numId w:val="5"/>
        </w:numPr>
        <w:tabs>
          <w:tab w:val="left" w:pos="284"/>
        </w:tabs>
        <w:spacing w:line="360" w:lineRule="auto"/>
        <w:ind w:left="0" w:firstLine="284"/>
        <w:jc w:val="both"/>
      </w:pPr>
      <w:r>
        <w:t>Позитронно-эмиссионная томография, совмещенная с КТ</w:t>
      </w:r>
      <w:r w:rsidR="001F7B3F">
        <w:t>.</w:t>
      </w:r>
    </w:p>
    <w:p w:rsidR="00CA2E71" w:rsidRDefault="00CA2E71" w:rsidP="00D368AE">
      <w:pPr>
        <w:pStyle w:val="Numlist"/>
        <w:numPr>
          <w:ilvl w:val="0"/>
          <w:numId w:val="5"/>
        </w:numPr>
        <w:tabs>
          <w:tab w:val="left" w:pos="284"/>
        </w:tabs>
        <w:spacing w:line="360" w:lineRule="auto"/>
        <w:ind w:left="0" w:firstLine="284"/>
        <w:jc w:val="both"/>
      </w:pPr>
      <w:r>
        <w:t>Исследование клональности</w:t>
      </w:r>
      <w:r w:rsidR="00FE6A3A">
        <w:t xml:space="preserve"> (В/Т в зависимости от варианта заболевания)</w:t>
      </w:r>
      <w:r>
        <w:t xml:space="preserve"> в периферической крови, костном мозге методом полимеразной цеп</w:t>
      </w:r>
      <w:r w:rsidR="000120CC">
        <w:t>ной реакции.</w:t>
      </w:r>
    </w:p>
    <w:p w:rsidR="00CA2E71" w:rsidRDefault="00CA2E71" w:rsidP="00D368AE">
      <w:pPr>
        <w:pStyle w:val="Numlist"/>
        <w:numPr>
          <w:ilvl w:val="0"/>
          <w:numId w:val="5"/>
        </w:numPr>
        <w:tabs>
          <w:tab w:val="left" w:pos="284"/>
        </w:tabs>
        <w:spacing w:line="360" w:lineRule="auto"/>
        <w:ind w:left="0" w:firstLine="284"/>
        <w:jc w:val="both"/>
      </w:pPr>
      <w:r>
        <w:t>О</w:t>
      </w:r>
      <w:r w:rsidRPr="006A495D">
        <w:t>пределение уровня п</w:t>
      </w:r>
      <w:r>
        <w:t>оликлональных иммуноглобулинов (</w:t>
      </w:r>
      <w:r w:rsidRPr="00F32023">
        <w:t>A</w:t>
      </w:r>
      <w:r w:rsidRPr="00027FD8">
        <w:t xml:space="preserve">, </w:t>
      </w:r>
      <w:r w:rsidRPr="00F32023">
        <w:t>G</w:t>
      </w:r>
      <w:r w:rsidRPr="00027FD8">
        <w:t>,</w:t>
      </w:r>
      <w:r w:rsidRPr="00F32023">
        <w:t>M</w:t>
      </w:r>
      <w:r w:rsidRPr="00027FD8">
        <w:t>)</w:t>
      </w:r>
      <w:r>
        <w:t>.</w:t>
      </w:r>
    </w:p>
    <w:p w:rsidR="00CA2E71" w:rsidRDefault="00CA2E71" w:rsidP="00D368AE">
      <w:pPr>
        <w:pStyle w:val="Numlist"/>
        <w:numPr>
          <w:ilvl w:val="0"/>
          <w:numId w:val="5"/>
        </w:numPr>
        <w:tabs>
          <w:tab w:val="left" w:pos="284"/>
        </w:tabs>
        <w:spacing w:line="360" w:lineRule="auto"/>
        <w:ind w:left="0" w:firstLine="284"/>
        <w:jc w:val="both"/>
      </w:pPr>
      <w:r>
        <w:t>КТ органов грудной полости с контрастированием при первичном вовлечении средостения.</w:t>
      </w:r>
    </w:p>
    <w:p w:rsidR="00C0209B" w:rsidRDefault="00C0209B" w:rsidP="00D368AE">
      <w:pPr>
        <w:pStyle w:val="Numlist"/>
        <w:numPr>
          <w:ilvl w:val="0"/>
          <w:numId w:val="5"/>
        </w:numPr>
        <w:tabs>
          <w:tab w:val="left" w:pos="284"/>
        </w:tabs>
        <w:spacing w:line="360" w:lineRule="auto"/>
        <w:ind w:left="0" w:firstLine="284"/>
        <w:jc w:val="both"/>
      </w:pPr>
      <w:r>
        <w:t>УЗИ периферических лимфоузлов.</w:t>
      </w:r>
    </w:p>
    <w:p w:rsidR="00C75B43" w:rsidRDefault="000120CC" w:rsidP="00D368AE">
      <w:pPr>
        <w:pStyle w:val="Numlist"/>
        <w:numPr>
          <w:ilvl w:val="0"/>
          <w:numId w:val="5"/>
        </w:numPr>
        <w:tabs>
          <w:tab w:val="left" w:pos="284"/>
        </w:tabs>
        <w:spacing w:line="360" w:lineRule="auto"/>
        <w:ind w:left="0" w:firstLine="284"/>
        <w:jc w:val="both"/>
      </w:pPr>
      <w:r>
        <w:t>Активность лактатдегидрогеназы.</w:t>
      </w:r>
    </w:p>
    <w:p w:rsidR="00C75B43" w:rsidRDefault="00C75B43" w:rsidP="00D368AE">
      <w:pPr>
        <w:pStyle w:val="Numlist"/>
        <w:numPr>
          <w:ilvl w:val="0"/>
          <w:numId w:val="5"/>
        </w:numPr>
        <w:tabs>
          <w:tab w:val="left" w:pos="284"/>
        </w:tabs>
        <w:spacing w:line="360" w:lineRule="auto"/>
        <w:ind w:left="0" w:firstLine="284"/>
        <w:jc w:val="both"/>
      </w:pPr>
      <w:r>
        <w:t>КТ грудной полости/ брюшной полости/ таза –</w:t>
      </w:r>
      <w:r w:rsidR="001F7B3F">
        <w:t xml:space="preserve"> </w:t>
      </w:r>
      <w:r>
        <w:t>для оценки противоопухолевого ответа</w:t>
      </w:r>
      <w:r w:rsidR="000120CC">
        <w:t xml:space="preserve"> при </w:t>
      </w:r>
      <w:r w:rsidR="001F7B3F">
        <w:t>отсутствии</w:t>
      </w:r>
      <w:r w:rsidR="000120CC">
        <w:t xml:space="preserve"> возможности выполнить ПЭТ/КТ или наличии противопоказаний</w:t>
      </w:r>
      <w:r w:rsidR="001F7B3F">
        <w:t>.</w:t>
      </w:r>
    </w:p>
    <w:p w:rsidR="00C025F0" w:rsidRPr="00CA2E71" w:rsidRDefault="0014771F" w:rsidP="00C025F0">
      <w:pPr>
        <w:spacing w:before="240"/>
        <w:ind w:firstLine="284"/>
        <w:rPr>
          <w:rFonts w:ascii="Times New Roman" w:hAnsi="Times New Roman" w:cs="Times New Roman"/>
          <w:b/>
        </w:rPr>
      </w:pPr>
      <w:r>
        <w:rPr>
          <w:rFonts w:ascii="Times New Roman" w:hAnsi="Times New Roman" w:cs="Times New Roman"/>
          <w:b/>
        </w:rPr>
        <w:t>4</w:t>
      </w:r>
      <w:r w:rsidR="00C025F0" w:rsidRPr="00CA2E71">
        <w:rPr>
          <w:rFonts w:ascii="Times New Roman" w:hAnsi="Times New Roman" w:cs="Times New Roman"/>
          <w:b/>
        </w:rPr>
        <w:t>.2.</w:t>
      </w:r>
      <w:r w:rsidR="00C025F0">
        <w:rPr>
          <w:rFonts w:ascii="Times New Roman" w:hAnsi="Times New Roman" w:cs="Times New Roman"/>
          <w:b/>
        </w:rPr>
        <w:t>4</w:t>
      </w:r>
      <w:r w:rsidR="00C025F0" w:rsidRPr="00CA2E71">
        <w:rPr>
          <w:rFonts w:ascii="Times New Roman" w:hAnsi="Times New Roman" w:cs="Times New Roman"/>
          <w:b/>
        </w:rPr>
        <w:t xml:space="preserve">. </w:t>
      </w:r>
      <w:r w:rsidR="00C025F0">
        <w:rPr>
          <w:rFonts w:ascii="Times New Roman" w:hAnsi="Times New Roman" w:cs="Times New Roman"/>
          <w:b/>
        </w:rPr>
        <w:t>Острый промиелоцитарный лейкоз</w:t>
      </w:r>
    </w:p>
    <w:p w:rsidR="00C025F0" w:rsidRDefault="00C025F0" w:rsidP="00D368AE">
      <w:pPr>
        <w:pStyle w:val="Numlist"/>
        <w:numPr>
          <w:ilvl w:val="0"/>
          <w:numId w:val="6"/>
        </w:numPr>
        <w:tabs>
          <w:tab w:val="left" w:pos="284"/>
        </w:tabs>
        <w:spacing w:line="360" w:lineRule="auto"/>
        <w:ind w:left="0" w:firstLine="284"/>
        <w:jc w:val="both"/>
      </w:pPr>
      <w:r>
        <w:t>Цитогенетическое (+</w:t>
      </w:r>
      <w:r>
        <w:rPr>
          <w:lang w:val="en-US"/>
        </w:rPr>
        <w:t>FISH</w:t>
      </w:r>
      <w:r w:rsidRPr="009D3373">
        <w:t xml:space="preserve">) </w:t>
      </w:r>
      <w:r>
        <w:t>исследование пунктата костного мозга.</w:t>
      </w:r>
    </w:p>
    <w:p w:rsidR="00C025F0" w:rsidRDefault="00C025F0" w:rsidP="00D368AE">
      <w:pPr>
        <w:pStyle w:val="Numlist"/>
        <w:numPr>
          <w:ilvl w:val="0"/>
          <w:numId w:val="6"/>
        </w:numPr>
        <w:tabs>
          <w:tab w:val="left" w:pos="284"/>
        </w:tabs>
        <w:spacing w:line="360" w:lineRule="auto"/>
        <w:ind w:left="0" w:firstLine="284"/>
        <w:jc w:val="both"/>
      </w:pPr>
      <w:r>
        <w:t xml:space="preserve">Молекулярное исследование на </w:t>
      </w:r>
      <w:r>
        <w:rPr>
          <w:lang w:val="en-US"/>
        </w:rPr>
        <w:t>PML</w:t>
      </w:r>
      <w:r w:rsidRPr="009D3373">
        <w:t>/</w:t>
      </w:r>
      <w:r>
        <w:rPr>
          <w:lang w:val="en-US"/>
        </w:rPr>
        <w:t>RARA</w:t>
      </w:r>
      <w:r w:rsidRPr="009D3373">
        <w:t>.</w:t>
      </w:r>
    </w:p>
    <w:p w:rsidR="002B6A8D" w:rsidRPr="00B5291B" w:rsidRDefault="00CA2E71" w:rsidP="002B6A8D">
      <w:pPr>
        <w:pStyle w:val="a3"/>
        <w:numPr>
          <w:ilvl w:val="2"/>
          <w:numId w:val="4"/>
        </w:numPr>
        <w:spacing w:before="240"/>
        <w:rPr>
          <w:rFonts w:ascii="Times New Roman" w:hAnsi="Times New Roman" w:cs="Times New Roman"/>
          <w:b/>
        </w:rPr>
      </w:pPr>
      <w:r w:rsidRPr="00B5291B">
        <w:rPr>
          <w:rFonts w:ascii="Times New Roman" w:hAnsi="Times New Roman" w:cs="Times New Roman"/>
          <w:b/>
          <w:lang w:val="en-US"/>
        </w:rPr>
        <w:t>Ph</w:t>
      </w:r>
      <w:r w:rsidRPr="00B5291B">
        <w:rPr>
          <w:rFonts w:ascii="Times New Roman" w:hAnsi="Times New Roman" w:cs="Times New Roman"/>
          <w:b/>
        </w:rPr>
        <w:t xml:space="preserve"> </w:t>
      </w:r>
      <w:r w:rsidR="001F7B3F" w:rsidRPr="00B5291B">
        <w:rPr>
          <w:rFonts w:ascii="Times New Roman" w:hAnsi="Times New Roman" w:cs="Times New Roman"/>
          <w:b/>
        </w:rPr>
        <w:t>-</w:t>
      </w:r>
      <w:r w:rsidRPr="00B5291B">
        <w:rPr>
          <w:rFonts w:ascii="Times New Roman" w:hAnsi="Times New Roman" w:cs="Times New Roman"/>
          <w:b/>
        </w:rPr>
        <w:t xml:space="preserve"> позитивный острый лимфобластный лейкоз.</w:t>
      </w:r>
    </w:p>
    <w:p w:rsidR="00854709" w:rsidRDefault="00854709" w:rsidP="00D32047">
      <w:pPr>
        <w:pStyle w:val="Numlist"/>
        <w:numPr>
          <w:ilvl w:val="0"/>
          <w:numId w:val="138"/>
        </w:numPr>
        <w:tabs>
          <w:tab w:val="left" w:pos="284"/>
        </w:tabs>
        <w:spacing w:line="360" w:lineRule="auto"/>
        <w:ind w:left="709" w:hanging="425"/>
        <w:jc w:val="both"/>
      </w:pPr>
      <w:r>
        <w:t xml:space="preserve">Цитогенетическое исследование </w:t>
      </w:r>
      <w:r w:rsidRPr="005E14BE">
        <w:t>(</w:t>
      </w:r>
      <w:r>
        <w:rPr>
          <w:lang w:val="en-US"/>
        </w:rPr>
        <w:t>FISH</w:t>
      </w:r>
      <w:r>
        <w:t>) с целью идентификации</w:t>
      </w:r>
      <w:r w:rsidRPr="005E14BE">
        <w:t xml:space="preserve"> </w:t>
      </w:r>
      <w:r>
        <w:rPr>
          <w:lang w:val="en-US"/>
        </w:rPr>
        <w:t>BCR</w:t>
      </w:r>
      <w:r w:rsidRPr="005E14BE">
        <w:t>-</w:t>
      </w:r>
      <w:r>
        <w:rPr>
          <w:lang w:val="en-US"/>
        </w:rPr>
        <w:t>ABL</w:t>
      </w:r>
      <w:r w:rsidRPr="005E14BE">
        <w:t>.</w:t>
      </w:r>
    </w:p>
    <w:p w:rsidR="00854709" w:rsidRDefault="00854709" w:rsidP="00D32047">
      <w:pPr>
        <w:pStyle w:val="Numlist"/>
        <w:numPr>
          <w:ilvl w:val="0"/>
          <w:numId w:val="137"/>
        </w:numPr>
        <w:tabs>
          <w:tab w:val="left" w:pos="284"/>
        </w:tabs>
        <w:spacing w:line="360" w:lineRule="auto"/>
        <w:ind w:left="709" w:hanging="425"/>
        <w:jc w:val="both"/>
      </w:pPr>
      <w:r>
        <w:t xml:space="preserve">Молекулярно-генетическое исследование для </w:t>
      </w:r>
      <w:r w:rsidR="000829D3">
        <w:t xml:space="preserve">оценки МОБ-статуса </w:t>
      </w:r>
      <w:r>
        <w:t>(р190, р210)</w:t>
      </w:r>
      <w:r w:rsidR="000829D3">
        <w:t>.</w:t>
      </w:r>
    </w:p>
    <w:p w:rsidR="002B6A8D" w:rsidRDefault="002B6A8D" w:rsidP="00854709">
      <w:pPr>
        <w:pStyle w:val="a3"/>
        <w:numPr>
          <w:ilvl w:val="2"/>
          <w:numId w:val="3"/>
        </w:numPr>
        <w:spacing w:before="240"/>
        <w:ind w:left="993"/>
        <w:rPr>
          <w:rFonts w:ascii="Times New Roman" w:hAnsi="Times New Roman" w:cs="Times New Roman"/>
          <w:b/>
        </w:rPr>
      </w:pPr>
      <w:r>
        <w:rPr>
          <w:rFonts w:ascii="Times New Roman" w:hAnsi="Times New Roman" w:cs="Times New Roman"/>
          <w:b/>
        </w:rPr>
        <w:t>Первичная лимфома центральной нервной системы</w:t>
      </w:r>
    </w:p>
    <w:p w:rsidR="002B6A8D" w:rsidRDefault="002B6A8D" w:rsidP="00D32047">
      <w:pPr>
        <w:pStyle w:val="Numlist"/>
        <w:numPr>
          <w:ilvl w:val="0"/>
          <w:numId w:val="134"/>
        </w:numPr>
        <w:tabs>
          <w:tab w:val="left" w:pos="709"/>
        </w:tabs>
        <w:spacing w:line="360" w:lineRule="auto"/>
        <w:ind w:left="284" w:firstLine="0"/>
        <w:jc w:val="both"/>
      </w:pPr>
      <w:r>
        <w:t>Электроэнцефалограмма.</w:t>
      </w:r>
    </w:p>
    <w:p w:rsidR="002B6A8D" w:rsidRDefault="002B6A8D" w:rsidP="00D32047">
      <w:pPr>
        <w:pStyle w:val="Numlist"/>
        <w:numPr>
          <w:ilvl w:val="0"/>
          <w:numId w:val="134"/>
        </w:numPr>
        <w:tabs>
          <w:tab w:val="left" w:pos="709"/>
        </w:tabs>
        <w:spacing w:line="360" w:lineRule="auto"/>
        <w:ind w:left="284" w:firstLine="0"/>
        <w:jc w:val="both"/>
      </w:pPr>
      <w:r>
        <w:t>МРТ головного мозга с внутривенным контрастированием.</w:t>
      </w:r>
    </w:p>
    <w:p w:rsidR="002B6A8D" w:rsidRDefault="002B6A8D" w:rsidP="00D32047">
      <w:pPr>
        <w:pStyle w:val="Numlist"/>
        <w:numPr>
          <w:ilvl w:val="0"/>
          <w:numId w:val="134"/>
        </w:numPr>
        <w:tabs>
          <w:tab w:val="left" w:pos="709"/>
        </w:tabs>
        <w:spacing w:line="360" w:lineRule="auto"/>
        <w:ind w:left="284" w:firstLine="0"/>
        <w:jc w:val="both"/>
      </w:pPr>
      <w:r>
        <w:t>Консультация невролога.</w:t>
      </w:r>
    </w:p>
    <w:p w:rsidR="00FF3180" w:rsidRDefault="00FF3180" w:rsidP="00D32047">
      <w:pPr>
        <w:pStyle w:val="Numlist"/>
        <w:numPr>
          <w:ilvl w:val="0"/>
          <w:numId w:val="134"/>
        </w:numPr>
        <w:tabs>
          <w:tab w:val="left" w:pos="709"/>
        </w:tabs>
        <w:spacing w:line="360" w:lineRule="auto"/>
        <w:ind w:left="284" w:firstLine="0"/>
        <w:jc w:val="both"/>
      </w:pPr>
      <w:r>
        <w:t>Позитронно-эмиссионная томография, совмещенная с КТ.</w:t>
      </w:r>
    </w:p>
    <w:p w:rsidR="00430B05" w:rsidRDefault="00430B05" w:rsidP="00CA2E71">
      <w:pPr>
        <w:pStyle w:val="Numlist"/>
        <w:tabs>
          <w:tab w:val="left" w:pos="284"/>
        </w:tabs>
        <w:spacing w:line="360" w:lineRule="auto"/>
        <w:jc w:val="both"/>
      </w:pPr>
      <w:r>
        <w:br w:type="page"/>
      </w:r>
    </w:p>
    <w:p w:rsidR="00A72DC4" w:rsidRPr="00A72DC4" w:rsidRDefault="00A72DC4" w:rsidP="00A72DC4">
      <w:pPr>
        <w:pStyle w:val="1"/>
        <w:spacing w:after="240"/>
        <w:jc w:val="center"/>
        <w:rPr>
          <w:rFonts w:ascii="Times New Roman" w:hAnsi="Times New Roman" w:cs="Times New Roman"/>
          <w:color w:val="auto"/>
        </w:rPr>
      </w:pPr>
      <w:bookmarkStart w:id="19" w:name="_Toc44926616"/>
      <w:r w:rsidRPr="00A72DC4">
        <w:rPr>
          <w:rFonts w:ascii="Times New Roman" w:hAnsi="Times New Roman" w:cs="Times New Roman"/>
          <w:color w:val="auto"/>
        </w:rPr>
        <w:lastRenderedPageBreak/>
        <w:t>Глава 2. Трансплантация аутологичных стволовых клеток крови</w:t>
      </w:r>
      <w:bookmarkEnd w:id="19"/>
    </w:p>
    <w:p w:rsidR="009D3373" w:rsidRDefault="009D3373" w:rsidP="00A676D7">
      <w:pPr>
        <w:spacing w:after="0" w:line="360" w:lineRule="auto"/>
        <w:ind w:firstLine="709"/>
        <w:jc w:val="both"/>
        <w:rPr>
          <w:rFonts w:ascii="Times New Roman" w:hAnsi="Times New Roman" w:cs="Times New Roman"/>
          <w:sz w:val="24"/>
          <w:szCs w:val="24"/>
        </w:rPr>
      </w:pPr>
      <w:r w:rsidRPr="009D3373">
        <w:rPr>
          <w:rFonts w:ascii="Times New Roman" w:hAnsi="Times New Roman" w:cs="Times New Roman"/>
          <w:sz w:val="24"/>
          <w:szCs w:val="24"/>
        </w:rPr>
        <w:t xml:space="preserve">Важная роль современной программы лечения </w:t>
      </w:r>
      <w:r>
        <w:rPr>
          <w:rFonts w:ascii="Times New Roman" w:hAnsi="Times New Roman" w:cs="Times New Roman"/>
          <w:sz w:val="24"/>
          <w:szCs w:val="24"/>
        </w:rPr>
        <w:t xml:space="preserve">ряда </w:t>
      </w:r>
      <w:r w:rsidR="007D4076">
        <w:rPr>
          <w:rFonts w:ascii="Times New Roman" w:hAnsi="Times New Roman" w:cs="Times New Roman"/>
          <w:sz w:val="24"/>
          <w:szCs w:val="24"/>
        </w:rPr>
        <w:t xml:space="preserve">гематологических заболеваний </w:t>
      </w:r>
      <w:r w:rsidRPr="009D3373">
        <w:rPr>
          <w:rFonts w:ascii="Times New Roman" w:hAnsi="Times New Roman" w:cs="Times New Roman"/>
          <w:sz w:val="24"/>
          <w:szCs w:val="24"/>
        </w:rPr>
        <w:t>отводится включению в протокол терапии молодых больных высокодозн</w:t>
      </w:r>
      <w:r>
        <w:rPr>
          <w:rFonts w:ascii="Times New Roman" w:hAnsi="Times New Roman" w:cs="Times New Roman"/>
          <w:sz w:val="24"/>
          <w:szCs w:val="24"/>
        </w:rPr>
        <w:t>ой химиотерапии с последующей трансплантацией аутологичных г</w:t>
      </w:r>
      <w:r w:rsidR="00985EF5">
        <w:rPr>
          <w:rFonts w:ascii="Times New Roman" w:hAnsi="Times New Roman" w:cs="Times New Roman"/>
          <w:sz w:val="24"/>
          <w:szCs w:val="24"/>
        </w:rPr>
        <w:t>емопоэтических стволовых клеток</w:t>
      </w:r>
      <w:r w:rsidRPr="009D3373">
        <w:rPr>
          <w:rFonts w:ascii="Times New Roman" w:hAnsi="Times New Roman" w:cs="Times New Roman"/>
          <w:sz w:val="24"/>
          <w:szCs w:val="24"/>
        </w:rPr>
        <w:t>.</w:t>
      </w:r>
      <w:r w:rsidR="007D4076">
        <w:rPr>
          <w:rFonts w:ascii="Times New Roman" w:hAnsi="Times New Roman" w:cs="Times New Roman"/>
          <w:sz w:val="24"/>
          <w:szCs w:val="24"/>
        </w:rPr>
        <w:t xml:space="preserve"> Наибольшее распространение методика ауто-ТГСК получила при лечении множественной миеломы, агрессивных лимфом, остром промиелоцитарном лейкозе, </w:t>
      </w:r>
      <w:r w:rsidR="007D4076">
        <w:rPr>
          <w:rFonts w:ascii="Times New Roman" w:hAnsi="Times New Roman" w:cs="Times New Roman"/>
          <w:sz w:val="24"/>
          <w:szCs w:val="24"/>
          <w:lang w:val="en-US"/>
        </w:rPr>
        <w:t>Ph</w:t>
      </w:r>
      <w:r w:rsidR="007D4076" w:rsidRPr="007D4076">
        <w:rPr>
          <w:rFonts w:ascii="Times New Roman" w:hAnsi="Times New Roman" w:cs="Times New Roman"/>
          <w:sz w:val="24"/>
          <w:szCs w:val="24"/>
        </w:rPr>
        <w:t>-</w:t>
      </w:r>
      <w:r w:rsidR="007D4076">
        <w:rPr>
          <w:rFonts w:ascii="Times New Roman" w:hAnsi="Times New Roman" w:cs="Times New Roman"/>
          <w:sz w:val="24"/>
          <w:szCs w:val="24"/>
        </w:rPr>
        <w:t>позитивном остром лимфобластном лейкозе</w:t>
      </w:r>
      <w:r w:rsidR="00985EF5">
        <w:rPr>
          <w:rFonts w:ascii="Times New Roman" w:hAnsi="Times New Roman" w:cs="Times New Roman"/>
          <w:sz w:val="24"/>
          <w:szCs w:val="24"/>
        </w:rPr>
        <w:t xml:space="preserve"> и</w:t>
      </w:r>
      <w:r w:rsidR="007D4076">
        <w:rPr>
          <w:rFonts w:ascii="Times New Roman" w:hAnsi="Times New Roman" w:cs="Times New Roman"/>
          <w:sz w:val="24"/>
          <w:szCs w:val="24"/>
        </w:rPr>
        <w:t xml:space="preserve"> лимфом</w:t>
      </w:r>
      <w:r w:rsidR="00985EF5">
        <w:rPr>
          <w:rFonts w:ascii="Times New Roman" w:hAnsi="Times New Roman" w:cs="Times New Roman"/>
          <w:sz w:val="24"/>
          <w:szCs w:val="24"/>
        </w:rPr>
        <w:t>ы</w:t>
      </w:r>
      <w:r w:rsidR="007D4076">
        <w:rPr>
          <w:rFonts w:ascii="Times New Roman" w:hAnsi="Times New Roman" w:cs="Times New Roman"/>
          <w:sz w:val="24"/>
          <w:szCs w:val="24"/>
        </w:rPr>
        <w:t xml:space="preserve"> Ходжкина.</w:t>
      </w:r>
    </w:p>
    <w:p w:rsidR="007D4076" w:rsidRPr="0095427D" w:rsidRDefault="007D4076" w:rsidP="00780185">
      <w:pPr>
        <w:pStyle w:val="1"/>
        <w:numPr>
          <w:ilvl w:val="2"/>
          <w:numId w:val="15"/>
        </w:numPr>
        <w:spacing w:before="0" w:after="240"/>
        <w:jc w:val="center"/>
        <w:rPr>
          <w:rFonts w:ascii="Times New Roman" w:hAnsi="Times New Roman" w:cs="Times New Roman"/>
          <w:color w:val="auto"/>
          <w:sz w:val="24"/>
        </w:rPr>
      </w:pPr>
      <w:bookmarkStart w:id="20" w:name="_Toc44926617"/>
      <w:r w:rsidRPr="0095427D">
        <w:rPr>
          <w:rFonts w:ascii="Times New Roman" w:hAnsi="Times New Roman" w:cs="Times New Roman"/>
          <w:color w:val="auto"/>
          <w:sz w:val="24"/>
        </w:rPr>
        <w:t>Ауто-ТГСК при множественной миеломе</w:t>
      </w:r>
      <w:bookmarkEnd w:id="20"/>
    </w:p>
    <w:p w:rsidR="007D4076" w:rsidRPr="007D4076" w:rsidRDefault="007D4076" w:rsidP="007D4076">
      <w:pPr>
        <w:shd w:val="clear" w:color="auto" w:fill="FFFFFF"/>
        <w:spacing w:after="0" w:line="360" w:lineRule="auto"/>
        <w:ind w:firstLine="709"/>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 xml:space="preserve">Первые результаты успешного применения высокодозной химиотерапии с последующей ауто-ТГСК для лечения больных ММ были опубликованы в 1996г. </w:t>
      </w:r>
      <w:hyperlink r:id="rId10" w:history="1">
        <w:r w:rsidRPr="007D4076">
          <w:rPr>
            <w:rFonts w:ascii="Times New Roman" w:eastAsiaTheme="minorEastAsia" w:hAnsi="Times New Roman" w:cs="Times New Roman"/>
            <w:sz w:val="24"/>
            <w:szCs w:val="24"/>
            <w:lang w:eastAsia="ru-RU"/>
          </w:rPr>
          <w:t>Attal M</w:t>
        </w:r>
      </w:hyperlink>
      <w:r w:rsidRPr="007D4076">
        <w:rPr>
          <w:rFonts w:ascii="Times New Roman" w:eastAsiaTheme="minorEastAsia" w:hAnsi="Times New Roman" w:cs="Times New Roman"/>
          <w:sz w:val="24"/>
          <w:szCs w:val="24"/>
          <w:lang w:eastAsia="ru-RU"/>
        </w:rPr>
        <w:t xml:space="preserve">. и соавторами. В исследование было включено 200 ранее не получавших лечение больных в возрасте до 65 лет, которые были рандомизированы в момент установки диагноза на стандартную химиотерапию, либо на терапию включающую ауто-ТГСК. Частота общего противоопухолевого ответа у больных, получивших высокие дозы мелфалана, составила 81% (в том числе ПР - 22%, ОХЧР - 16%) против 57% (ПР - 5%, ОХЧР - 16%) в группе больных, получавших стандартную химиотерапию (р&lt;0,001). Вероятность безрецидивной выживаемости (БРВ) в течение 5-ти лет составила 28% в группе с ауто-ТГСК и 10% в группе стандартной химиотерапии (р=0,01). ОВ также была достоверно (р=0,03) выше в группе с ауто-ТГСК и составила 52% против 12% у больных без таковой. Связанная с лечением смертность была одинаковой в обеих группах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{"citationItems":[{"id":"ITEM-1","itemData":{"DOI":"10.1056/NEJM199607113350204","ISSN":"0028-4793","PMID":"8649495","abstract":"Background The median survival of patients with myeloma after conventional chemotherapy is three years or less. Promising results have been reported with high-dose therapy supported by autologous bone marrow transplantation. We conducted a randomized study comparing conventional chemotherapy and high-dose therapy. Methods Two hundred previously untreated patients under the age of 65 years who had myeloma were randomly assigned at the time of diagnosis to receive either conventional chemotherapy or high-dose therapy and autologous bone marrow transplantation. Results The response rate among the patients who received high-dose therapy was 81 percent (including complete responses in 22 percent and very good partial responses in 16 percent), whereas it was 57 percent (complete responses in 5 percent and very good partial responses in 9 percent) in the group treated with conventional chemotherapy (P&lt;0.001). The probability of event-free survival for five years was 28 percent in the high-dose group and 10 perce...","author":[{"dropping-particle":"","family":"Attal","given":"Michel","non-dropping-particle":"","parse-names":false,"suffix":""},{"dropping-particle":"","family":"Harousseau","given":"Jean-Luc","non-dropping-particle":"","parse-names":false,"suffix":""},{"dropping-particle":"","family":"Stoppa","given":"Anne-Marie","non-dropping-particle":"","parse-names":false,"suffix":""},{"dropping-particle":"","family":"Sotto","given":"Jean-Jacques","non-dropping-particle":"","parse-names":false,"suffix":""},{"dropping-particle":"","family":"Fuzibet","given":"Jean-Gabriel","non-dropping-particle":"","parse-names":false,"suffix":""},{"dropping-particle":"","family":"Rossi","given":"Jean-François","non-dropping-particle":"","parse-names":false,"suffix":""},{"dropping-particle":"","family":"Casassus","given":"Philippe","non-dropping-particle":"","parse-names":false,"suffix":""},{"dropping-particle":"","family":"Maisonneuve","given":"Hervé","non-dropping-particle":"","parse-names":false,"suffix":""},{"dropping-particle":"","family":"Facon","given":"Thierry","non-dropping-particle":"","parse-names":false,"suffix":""},{"dropping-particle":"","family":"Ifrah","given":"Norbert","non-dropping-particle":"","parse-names":false,"suffix":""},{"dropping-particle":"","family":"Payen","given":"Catherine","non-dropping-particle":"","parse-names":false,"suffix":""},{"dropping-particle":"","family":"Bataille","given":"Régis","non-dropping-particle":"","parse-names":false,"suffix":""}],"container-title":"New England Journal of Medicine","id":"ITEM-1","issue":"2","issued":{"date-parts":[["1996","7","11"]]},"note":"z","page":"91-97","title":"A Prospective, Randomized Trial of Autologous Bone Marrow Transplantation and Chemotherapy in Multiple Myeloma","type":"article-journal","volume":"335"},"uris":["http://www.mendeley.com/documents/?uuid=4b3b8a1f-cd0c-4289-b6f7-4a3f34d3f44d"]}],"mendeley":{"formattedCitation":"[13]","plainTextFormattedCitation":"[13]","previouslyFormattedCitation":"[13]"},"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[13]</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w:t>
      </w:r>
    </w:p>
    <w:p w:rsidR="007D4076" w:rsidRPr="007D4076" w:rsidRDefault="007D4076" w:rsidP="007D4076">
      <w:pPr>
        <w:shd w:val="clear" w:color="auto" w:fill="FFFFFF"/>
        <w:spacing w:after="0" w:line="360" w:lineRule="auto"/>
        <w:ind w:firstLine="709"/>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 xml:space="preserve">Исследование </w:t>
      </w:r>
      <w:r w:rsidRPr="007D4076">
        <w:rPr>
          <w:rFonts w:ascii="Times New Roman" w:eastAsiaTheme="minorEastAsia" w:hAnsi="Times New Roman" w:cs="Times New Roman"/>
          <w:sz w:val="24"/>
          <w:szCs w:val="24"/>
          <w:lang w:val="en-US" w:eastAsia="ru-RU"/>
        </w:rPr>
        <w:t>Fermand</w:t>
      </w:r>
      <w:r w:rsidRPr="007D4076">
        <w:rPr>
          <w:rFonts w:ascii="Times New Roman" w:eastAsiaTheme="minorEastAsia" w:hAnsi="Times New Roman" w:cs="Times New Roman"/>
          <w:sz w:val="24"/>
          <w:szCs w:val="24"/>
          <w:lang w:eastAsia="ru-RU"/>
        </w:rPr>
        <w:t xml:space="preserve"> </w:t>
      </w:r>
      <w:r w:rsidRPr="007D4076">
        <w:rPr>
          <w:rFonts w:ascii="Times New Roman" w:eastAsiaTheme="minorEastAsia" w:hAnsi="Times New Roman" w:cs="Times New Roman"/>
          <w:sz w:val="24"/>
          <w:szCs w:val="24"/>
          <w:lang w:val="en-US" w:eastAsia="ru-RU"/>
        </w:rPr>
        <w:t>JP</w:t>
      </w:r>
      <w:r w:rsidRPr="007D4076">
        <w:rPr>
          <w:rFonts w:ascii="Times New Roman" w:eastAsiaTheme="minorEastAsia" w:hAnsi="Times New Roman" w:cs="Times New Roman"/>
          <w:sz w:val="24"/>
          <w:szCs w:val="24"/>
          <w:lang w:eastAsia="ru-RU"/>
        </w:rPr>
        <w:t xml:space="preserve"> с соавторами, опубликованное в 2005 г., продемонстрировало более высокие показатели ВБП больных, получивших ауто-ТГСК по сравнению с больными, леченными только стандартной химиотерапией. 190 больных ММ в возрасте от 55 до 65 лет, были рандомизированы на два рукава, один из которых включал только стандартные дозы химиопрепаратов (винкристин, мелфалан, циклофосфамид, преднизолон), а другой – кроме индукционных схем включал высокие дозы мелфалана (140-200 мг/м</w:t>
      </w:r>
      <w:r w:rsidRPr="007D4076">
        <w:rPr>
          <w:rFonts w:ascii="Times New Roman" w:eastAsiaTheme="minorEastAsia" w:hAnsi="Times New Roman" w:cs="Times New Roman"/>
          <w:sz w:val="24"/>
          <w:szCs w:val="24"/>
          <w:vertAlign w:val="superscript"/>
          <w:lang w:eastAsia="ru-RU"/>
        </w:rPr>
        <w:t>2</w:t>
      </w:r>
      <w:r w:rsidRPr="007D4076">
        <w:rPr>
          <w:rFonts w:ascii="Times New Roman" w:eastAsiaTheme="minorEastAsia" w:hAnsi="Times New Roman" w:cs="Times New Roman"/>
          <w:sz w:val="24"/>
          <w:szCs w:val="24"/>
          <w:lang w:eastAsia="ru-RU"/>
        </w:rPr>
        <w:t xml:space="preserve">) и бусульфана (16 мг/кг) с последующей ауто-ТГСК. При медиане наблюдения 120 мес. медиана продолжительности ВБП составила 25 мес. для больных с ауто-ТГСК против 19 мес. без таковой. Медиана ОВ составила 47 мес. для обеих групп больных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{"citationItems":[{"id":"ITEM-1","itemData":{"DOI":"10.1200/JCO.2005.03.0551","ISBN":"0732-183X (Print)\\r0732-183x","ISSN":"0732-183X","PMID":"16275936","abstract":"PURPOSE To study the impact of high-dose therapy (HDT) with autologous stem-cell support in patients with symptomatic multiple myeloma (MM) between the ages of 55 and 65 years. PATIENTS AND METHODS One hundred ninety patients between 55 and 65 years old who had newly diagnosed stage II or III MM were randomly assigned to receive either conventional chemotherapy (CCT; ie, monthly courses of a regimen of vincristine, melphalan, cyclophosphamide, and prednisone) or HDT and autologous blood stem-cell transplantation (using either melphalan alone 200 mg/m(2) intravenous [IV] or melphalan 140 mg/m(2) IV plus busulfan 16 mg/kg orally as pretransplantation cytoreduction). RESULTS Within a median follow-up of 120 months, median event-free survival (EFS) times were 25 and 19 months in the HDT and CCT groups, respectively. Median overall survival (OS) time was 47.8 months in the HDT group compared with 47.6 months in the CCT group. A trend to better EFS (P = .07) was observed in favor of HDT, whereas OS curves were not statistically different (P = .91). The period of time without symptoms, treatment, and treatment toxicity (TwiSTT) was significantly longer for the HDT patients than for the CCT patients (P = .03). CONCLUSION With a median follow-up time of approximately 10 years, this randomized trial confirmed a benefit of HDT in terms of EFS and TwiSTT but did not provide evidence for superiority of HDT over CCT in OS of patients aged 55 to 65 years with symptomatic newly diagnosed MM.","author":[{"dropping-particle":"","family":"Fermand","given":"Jean-Paul","non-dropping-particle":"","parse-names":false,"suffix":""},{"dropping-particle":"","family":"Katsahian","given":"Sandrine","non-dropping-particle":"","parse-names":false,"suffix":""},{"dropping-particle":"","family":"Divine","given":"Marine","non-dropping-particle":"","parse-names":false,"suffix":""},{"dropping-particle":"","family":"Leblond","given":"Veronique","non-dropping-particle":"","parse-names":false,"suffix":""},{"dropping-particle":"","family":"Dreyfus","given":"Francois","non-dropping-particle":"","parse-names":false,"suffix":""},{"dropping-particle":"","family":"Macro","given":"Margaret","non-dropping-particle":"","parse-names":false,"suffix":""},{"dropping-particle":"","family":"Arnulf","given":"Bertrand","non-dropping-particle":"","parse-names":false,"suffix":""},{"dropping-particle":"","family":"Royer","given":"Bruno","non-dropping-particle":"","parse-names":false,"suffix":""},{"dropping-particle":"","family":"Mariette","given":"Xavier","non-dropping-particle":"","parse-names":false,"suffix":""},{"dropping-particle":"","family":"Pertuiset","given":"Edouard","non-dropping-particle":"","parse-names":false,"suffix":""},{"dropping-particle":"","family":"Belanger","given":"Coralie","non-dropping-particle":"","parse-names":false,"suffix":""},{"dropping-particle":"","family":"Janvier","given":"Maud","non-dropping-particle":"","parse-names":false,"suffix":""},{"dropping-particle":"","family":"Chevret","given":"Sylvie","non-dropping-particle":"","parse-names":false,"suffix":""},{"dropping-particle":"","family":"Brouet","given":"Jean Claude","non-dropping-particle":"","parse-names":false,"suffix":""},{"dropping-particle":"","family":"Ravaud","given":"Philippe","non-dropping-particle":"","parse-names":false,"suffix":""},{"dropping-particle":"","family":"Group Myelome-Autogreffe","given":"","non-dropping-particle":"","parse-names":false,"suffix":""}],"container-title":"Journal of clinical oncology : official journal of the American Society of Clinical Oncology","id":"ITEM-1","issue":"36","issued":{"date-parts":[["2005","12","20"]]},"note":"z","page":"9227-33","title":"High-dose therapy and autologous blood stem-cell transplantation compared with conventional treatment in myeloma patients aged 55 to 65 years: long-term results of a randomized control trial from the Group Myelome-Autogreffe.","type":"article-journal","volume":"23"},"uris":["http://www.mendeley.com/documents/?uuid=8dddfc4a-5381-3096-98ab-b8ca358e92e4"]}],"mendeley":{"formattedCitation":"[15]","plainTextFormattedCitation":"[15]","previouslyFormattedCitation":"[15]"},"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[15]</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w:t>
      </w:r>
    </w:p>
    <w:p w:rsidR="007D4076" w:rsidRPr="007D4076" w:rsidRDefault="007D4076" w:rsidP="007D4076">
      <w:pPr>
        <w:shd w:val="clear" w:color="auto" w:fill="FFFFFF"/>
        <w:spacing w:after="0" w:line="360" w:lineRule="auto"/>
        <w:ind w:firstLine="709"/>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 xml:space="preserve">В последующем появились данные об улучшении ОВ при выполнении тандемной ауто-ТГСК. Во французском исследовании (IFM94) 399 больных ММ были рандомизированы на одну или две ауто-ТГСК. Полный или очень хороший частичный ответ был достигнут у 42% больных в группе с одной ауто-ТГСК и у 50% в группе с </w:t>
      </w:r>
      <w:r w:rsidRPr="007D4076">
        <w:rPr>
          <w:rFonts w:ascii="Times New Roman" w:eastAsiaTheme="minorEastAsia" w:hAnsi="Times New Roman" w:cs="Times New Roman"/>
          <w:sz w:val="24"/>
          <w:szCs w:val="24"/>
          <w:lang w:eastAsia="ru-RU"/>
        </w:rPr>
        <w:lastRenderedPageBreak/>
        <w:t xml:space="preserve">двойной трансплантацией (р=0,10). Вероятность ВБП в течение семи лет после установления диагноза составила 10% в группе с одной ауто-ТГСК и 20% в группе с двойной трансплантацией (р=0,03). 7-летняя ОВ составила 21% в группе с одной ауто-ТГСК и 42% группе с двойной трансплантацией (р=0,01). Авторы делают вывод о том, что по сравнению с одной ауто-ТГСК, двойная трансплантация улучшает общую выживаемость больных ММ, особенно у тех, кто не достиг ОХЧР после первой трансплантации, увеличивая частоту достижения ПР заболевания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DOI":"10.1056/NEJMoa032290","ISBN":"0028-4793","ISSN":"0028-4793","PMID":"14695409","author":[{"dropping-particle":"","family":"Attal","given":"Michel","non-dropping-particle":"","parse-names":false,"suffix":""},{"dropping-particle":"","family":"Harousseau","given":"Jean-Luc","non-dropping-particle":"","parse-names":false,"suffix":""},{"dropping-particle":"","family":"Facon","given":"Thierry","non-dropping-particle":"","parse-names":false,"suffix":""},{"dropping-particle":"","family":"Guilhot","given":"François","non-dropping-particle":"","parse-names":false,"suffix":""},{"dropping-particle":"","family":"Doyen","given":"Chantal","non-dropping-particle":"","parse-names":false,"suffix":""},{"dropping-particle":"","family":"Fuzibet","given":"Jean-Gabriel","non-dropping-particle":"","parse-names":false,"suffix":""},{"dropping-particle":"","family":"Monconduit","given":"Mathieu","non-dropping-particle":"","parse-names":false,"suffix":""},{"dropping-particle":"","family":"Hulin","given":"Cyrille","non-dropping-particle":"","parse-names":false,"suffix":""},{"dropping-particle":"","family":"Caillot","given":"Denis","non-dropping-particle":"","parse-names":false,"suffix":""},{"dropping-particle":"","family":"Bouabdallah","given":"Reda","non-dropping-particle":"","parse-names":false,"suffix":""},{"dropping-particle":"","family":"Voillat","given":"Laurent","non-dropping-particle":"","parse-names":false,"suffix":""},{"dropping-particle":"","family":"Sotto","given":"Jean-Jacques","non-dropping-particle":"","parse-names":false,"suffix":""},{"dropping-particle":"","family":"Grosbois","given":"Bernard","non-dropping-particle":"","parse-names":false,"suffix":""},{"dropping-particle":"","family":"Bataille","given":"Regis","non-dropping-particle":"","parse-names":false,"suffix":""}],"container-title":"New England Journal of Medicine","id":"ITEM-1","issue":"26","issued":{"date-parts":[["2003","12","25"]]},"note":"z","page":"2495-2502","publisher":"Massachusetts Medical Society","title":"Single versus Double Autologous Stem-Cell Transplantation for Multiple Myeloma","type":"article-journal","volume":"349"},"uris":["http://www.mendeley.com/documents/?uuid=9f22ffaf-5ae0-42e3-8778-1df4ece9caa9"]}],"mendeley":{"formattedCitation":"[12]","plainTextFormattedCitation":"[12]","previouslyFormattedCitation":"[12]"},"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[12]</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w:t>
      </w:r>
    </w:p>
    <w:p w:rsidR="007D4076" w:rsidRPr="007D4076" w:rsidRDefault="007D4076" w:rsidP="007D4076">
      <w:pPr>
        <w:shd w:val="clear" w:color="auto" w:fill="FFFFFF"/>
        <w:spacing w:after="0" w:line="360" w:lineRule="auto"/>
        <w:ind w:firstLine="709"/>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Эффективность ауто-ТГСК изучалась и в эру новых лекарственных препаратов, широко применяемых в клинической практике в последнее десятилетие. В 2015 году были опубликованы результаты исследования по определению роли ауто-ТГСК у больных ММ, получавших до и после трансплантации новые лекарственные препараты. Французская рабочая группа по изучению ММ провела рандомизированное многоцентровое исследование, сравнившее эффективность 8 курсов RVD (леналидомид+бортезомиб+дексаметазон) с 3 индукционными курсами RVD с последующей ауто-ТГСК (мелфалан 200 мг/м</w:t>
      </w:r>
      <w:r w:rsidRPr="007D4076">
        <w:rPr>
          <w:rFonts w:ascii="Times New Roman" w:eastAsiaTheme="minorEastAsia" w:hAnsi="Times New Roman" w:cs="Times New Roman"/>
          <w:sz w:val="24"/>
          <w:szCs w:val="24"/>
          <w:vertAlign w:val="superscript"/>
          <w:lang w:eastAsia="ru-RU"/>
        </w:rPr>
        <w:t>2</w:t>
      </w:r>
      <w:r w:rsidRPr="007D4076">
        <w:rPr>
          <w:rFonts w:ascii="Times New Roman" w:eastAsiaTheme="minorEastAsia" w:hAnsi="Times New Roman" w:cs="Times New Roman"/>
          <w:sz w:val="24"/>
          <w:szCs w:val="24"/>
          <w:lang w:eastAsia="ru-RU"/>
        </w:rPr>
        <w:t xml:space="preserve">) и назначением 2 курсов RVD с целью консолидации. Поддерживающее лечение леналидомидом (от 10 до 15 мг/сут.) проводилось больным в обеих группах в течение одного года. Таким образом, сравнивалась эффективность 3 курсов RVD против высокодозного мелфалана. С ноября 2010 года по ноябрь 2012 года в исследование было включено 700 больных. В каждой группе больные были однотипны по возрасту, стадии заболевания и цитогенетическим изменениям. Первичной конечной точкой исследования была ВБП. Медиана наблюдения составила 39 месяцев. Завершили плановую терапию лишь 66% больных, остальные выбыли из исследования по причине прогрессии заболевания или нежелательных явлений. ВБП в течение 3-х лет составила 61% в группе с ауто-ТГСК и 48% в группе RVD (р&lt;0,0002). Преимущество ауто-ТГСК было представлено во всех подгруппах, независимо от возраста (≤ или &gt; 60 лет), пола, стадии ISS, стандартного или высокого цитогенетического риска, а также ответа после 3 первых курсов RVD. ОВ в течение трех лет оказалась одинаково высокой в обеих группах больных и составила 88%. Частота полных ремиссий была достоверно выше в группе с ауто-ТГСК по сравнению с группой RVD: 58% против 46%, соответственно (р&lt;0,01). Исследователи пришли к заключению, что ауто-ТГСК остается необходимым методом лечения больных ММ моложе 65 лет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{"citationItems":[{"id":"ITEM-1","itemData":{"ISSN":"0006-4971","abstract":"High dose chemotherapy plus autologous transplantation (ASCT) is considered a standard of care for newly diagnosed myeloma patients younger than 65 years of age. The high complete response rate (CR) achieved with the triplet combination of immunomodulatory drugs + proteasome inhibitors + dexamethasone has led investigators to propose this strategy upfront without immediate ASCT. The aim of this study was to determine if, in the era of new drugs, ASCT was still required in the initial management of young patients.\\n\\nWe conducted a randomized trial comparing conventional dose treatment (RVD arm= 8 cycles of Lenalidomide, Bortezomib and Dexamethasone, plus stem cell mobilization after 3 cycles of RVD utilizing high dose cyclophosphamide and G-CSF) to RVD with ASCT (Transplant arm= 3 induction cycles of RVD, followed by stem cell collection, and then ASCT conditioned with Melphalan 200 mg/m2, followed by 2 cycles of RVD as consolidation). Maintenance treatment with Lenalidomide (10 to 15 mg/d) was used in both arms for one year. In the RVD arm, ASCT was planned at time of relapse.\\n\\nFrom November 2010 to November 2012, 700 previously untreated French and Belgian patients were equally randomized between arms. Randomization was stratified according to ISS stage (I vs II vs III) and FISH analysis (standard vs high risk = del 17p or t(4;14) or t(14;16)). The primary study end point was progression-free survival (PFS). Two pre-specified interim analysis were to be performed at 33% and 69% of the estimated total number of events. The second interim analysis was performed in June 2015 (346 events= 197 in the RVD arm, 149 in the transplant arm). These results were submitted to an independent data management and safety committee, who recommended completing the trial, and continuing follow-up (without cross over before progression), since the difference in PFS between the 2 groups had reached the pre-specified level of significance for stopping the study.\\n\\nAs of June 8, 2015, median follow up was 39 months. All patients had discontinued treatment (completion of planned therapy= 66%, disease progression= 16%, adverse events= 10%). Patient characteristics of each group were similar and no significant differences were found with regard to age (median=58 years), ISS stage (I=233, II=341, III=126), Ig isotype, beta-2-microglobulin (median=3.5 mg/L), and cytogenetics (high risk=90 patients). In the transplant arm, 93% of patients underwent ASCT and 5 toxic deaths occur…","author":[{"dropping-particle":"","family":"Attal","given":"Michel","non-dropping-particle":"","parse-names":false,"suffix":""},{"dropping-particle":"","family":"Lauwers-Cances","given":"Valerie","non-dropping-particle":"","parse-names":false,"suffix":""},{"dropping-particle":"","family":"Hulin","given":"Cyrille","non-dropping-particle":"","parse-names":false,"suffix":""},{"dropping-particle":"","family":"Facon","given":"Thierry","non-dropping-particle":"","parse-names":false,"suffix":""},{"dropping-particle":"","family":"Caillot","given":"Denis","non-dropping-particle":"","parse-names":false,"suffix":""},{"dropping-particle":"","family":"Escoffre","given":"Martine","non-dropping-particle":"","parse-names":false,"suffix":""},{"dropping-particle":"","family":"Arnulf","given":"Bertrand","non-dropping-particle":"","parse-names":false,"suffix":""},{"dropping-particle":"","family":"MACRO","given":"Margaret","non-dropping-particle":"","parse-names":false,"suffix":""},{"dropping-particle":"","family":"Belhadj","given":"Karim","non-dropping-particle":"","parse-names":false,"suffix":""},{"dropping-particle":"","family":"Garderet","given":"Laurent","non-dropping-particle":"","parse-names":false,"suffix":""},{"dropping-particle":"","family":"Roussel","given":"Murielle","non-dropping-particle":"","parse-names":false,"suffix":""},{"dropping-particle":"","family":"Mathiot","given":"Claire","non-dropping-particle":"","parse-names":false,"suffix":""},{"dropping-particle":"","family":"Avet-Loiseau","given":"Herve","non-dropping-particle":"","parse-names":false,"suffix":""},{"dropping-particle":"","family":"Munshi","given":"Nikhil C.","non-dropping-particle":"","parse-names":false,"suffix":""},{"dropping-particle":"","family":"Richardson","given":"Paul G.","non-dropping-particle":"","parse-names":false,"suffix":""},{"dropping-particle":"","family":"Anderson","given":"Kenneth C.","non-dropping-particle":"","parse-names":false,"suffix":""},{"dropping-particle":"","family":"Harousseau","given":"jean Luc","non-dropping-particle":"","parse-names":false,"suffix":""},{"dropping-particle":"","family":"Moreau","given":"Philippe","non-dropping-particle":"","parse-names":false,"suffix":""}],"container-title":"Blood","id":"ITEM-1","issue":"23","issued":{"date-parts":[["2015"]]},"note":"z","page":"391-391","title":"Autologous Transplantation for Multiple Myeloma in the Era of New Drugs: A Phase III Study of the Intergroupe Francophone Du Myelome (IFM/DFCI 2009 Trial)","type":"article-journal","volume":"126"},"uris":["http://www.mendeley.com/documents/?uuid=4d96e9c8-a115-397d-9d94-5db59ca045ae"]}],"mendeley":{"formattedCitation":"[14]","plainTextFormattedCitation":"[14]","previouslyFormattedCitation":"[14]"},"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[14]</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w:t>
      </w:r>
    </w:p>
    <w:p w:rsidR="007D4076" w:rsidRPr="007D4076" w:rsidRDefault="007D4076" w:rsidP="007D4076">
      <w:pPr>
        <w:shd w:val="clear" w:color="auto" w:fill="FFFFFF"/>
        <w:spacing w:after="0" w:line="360" w:lineRule="auto"/>
        <w:ind w:firstLine="709"/>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 xml:space="preserve">Анализ объединенных данных двух исследований III фазы (GIMEMA-RV-MM-209 и EMN-441) по применению леналидомида в первой линии лечения больных ММ - кандидатов на высокодозную химиотерапию (ВХТ) с ауто-ТГСК, опубликованный в 2017 </w:t>
      </w:r>
      <w:r w:rsidRPr="007D4076">
        <w:rPr>
          <w:rFonts w:ascii="Times New Roman" w:eastAsiaTheme="minorEastAsia" w:hAnsi="Times New Roman" w:cs="Times New Roman"/>
          <w:sz w:val="24"/>
          <w:szCs w:val="24"/>
          <w:lang w:eastAsia="ru-RU"/>
        </w:rPr>
        <w:lastRenderedPageBreak/>
        <w:t>году, также доказал эффективность включения ауто-ТГСК в программу лечения молодых больных в эру новых лекарственных препаратов. В мета-анализ были включены данные о 529 больных с впервые диагностированной ММ, прошедшие этап индукционной терапии, включающей 4 курса Rd (леналидомид+дексаметазон), мобилизацию и сбор гемопоэтических стволовых клеток крови (циклофосфан + ГКСФ). Больные были рандомизированы в равном соотношении на выполнение двух ауто-ТГСК (мелфалан 200 мг/м</w:t>
      </w:r>
      <w:r w:rsidRPr="007D4076">
        <w:rPr>
          <w:rFonts w:ascii="Times New Roman" w:eastAsiaTheme="minorEastAsia" w:hAnsi="Times New Roman" w:cs="Times New Roman"/>
          <w:sz w:val="24"/>
          <w:szCs w:val="24"/>
          <w:vertAlign w:val="superscript"/>
          <w:lang w:eastAsia="ru-RU"/>
        </w:rPr>
        <w:t>2</w:t>
      </w:r>
      <w:r w:rsidRPr="007D4076">
        <w:rPr>
          <w:rFonts w:ascii="Times New Roman" w:eastAsiaTheme="minorEastAsia" w:hAnsi="Times New Roman" w:cs="Times New Roman"/>
          <w:sz w:val="24"/>
          <w:szCs w:val="24"/>
          <w:lang w:eastAsia="ru-RU"/>
        </w:rPr>
        <w:t xml:space="preserve">) и проведение шести консолидирующих курсов c включением леналидомида (MPR или CRD). Результаты исследования свидетельствуют об улучшении показателей БРВ и ОВ для больных, в программу лечения которых была включена ауто-ТГСК. В группе больных с тандемной ауто-ТГСК медиана БРВ была достоверно выше и составила 42 мес. против 24 мес. в группе больных без ауто-ТГСК (р&lt;0,001). Сравнение показателей 4-летней ОВ также выявило достоверное преимущество для группы больных с ауто-ТГСК - 84% против 70% в группе больных без высокодозной химиотерапии с ауто-ТГСК (р&lt;0,001). Дизайн исследования предусматривал возможность выполнения отложенной ауто-ТГСК для больных, рандомизированных на консолидирующую терапию, в случае развития рецидива заболевания. Таким образом, после развития рецидива заболевания при достижении общего противоопухолевого ответа могла быть выполнена ауто-ТГСК в качестве терапии спасения. Однако отложенная трансплантация была осуществлена только 53% (n=93) больных. Исследователи определили преимущество выполнения ауто-ТГСК в первой линии терапии путем сравнения показателей ОВ - в группе больных с ауто-ТГСК в первой линии лечения ОВ была выше, чем в группе больных с ауто-ТГСК, выполненной после рецидива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{"citationItems":[{"id":"ITEM-1","itemData":{"DOI":"10.1038/leu.2016.381","ISSN":"0887-6924","PMID":"28008174","abstract":"In newly diagnosed myeloma patients, upfront autologous transplant (ASCT) prolongs progression-free survival 1 (PFS1) compared with chemotherapy plus lenalidomide (CC+R). Salvage ASCT at first relapse may still effectively rescue patients who did not receive upfront ASCT. To evaluate the long-term benefit of upfront ASCT vs CC+R and the impact of salvage ASCT in patients who received upfront CC+R, we conducted a pooled analysis of 2 phase III trials (RV-MM-209 and EMN-441). Primary endpoints were PFS1, progression-free survival 2 (PFS2), overall survival (OS). A total of 268 patients were randomized to 2 courses of melphalan 200 mg/m(2) and ASCT (MEL200-ASCT) and 261 to CC+R. Median follow-up was 46 months. MEL200-ASCT significantly improved PFS1 (median: 42 vs 24 months, HR 0.53; P&lt;0.001), PFS2 (4 years: 71 vs 54%, HR 0.53, P&lt;0.001) and OS (4 years: 84 vs 70%, HR 0.51, P&lt;0.001) compared with CC+R. The advantage was noticed in good and bad prognosis patients. Only 53% of patients relapsing from CC+R received ASCT at first relapse. Upfront ASCT significantly reduced the risk of death (HR 0.51; P=0.007) in comparison with salvage ASCT. In conclusion, these data confirm the role of upfront ASCT as the standard approach for all young myeloma patients.Leukemia advance online publication, 24 January 2017; doi:10.1038/leu.2016.381.","author":[{"dropping-particle":"","family":"Gay","given":"F.","non-dropping-particle":"","parse-names":false,"suffix":""},{"dropping-particle":"","family":"Oliva","given":"S.","non-dropping-particle":"","parse-names":false,"suffix":""},{"dropping-particle":"","family":"Petrucci","given":"M. T.","non-dropping-particle":"","parse-names":false,"suffix":""},{"dropping-particle":"","family":"Montefusco","given":"V.","non-dropping-particle":"","parse-names":false,"suffix":""},{"dropping-particle":"","family":"Conticello","given":"C.","non-dropping-particle":"","parse-names":false,"suffix":""},{"dropping-particle":"","family":"Musto","given":"P.","non-dropping-particle":"","parse-names":false,"suffix":""},{"dropping-particle":"","family":"Catalano","given":"L.","non-dropping-particle":"","parse-names":false,"suffix":""},{"dropping-particle":"","family":"Evangelista","given":"A.","non-dropping-particle":"","parse-names":false,"suffix":""},{"dropping-particle":"","family":"Spada","given":"S.","non-dropping-particle":"","parse-names":false,"suffix":""},{"dropping-particle":"","family":"Campbell","given":"P.","non-dropping-particle":"","parse-names":false,"suffix":""},{"dropping-particle":"","family":"Ria","given":"R.","non-dropping-particle":"","parse-names":false,"suffix":""},{"dropping-particle":"","family":"Salvini","given":"M.","non-dropping-particle":"","parse-names":false,"suffix":""},{"dropping-particle":"","family":"Offidani","given":"M.","non-dropping-particle":"","parse-names":false,"suffix":""},{"dropping-particle":"","family":"Carella","given":"A. M.","non-dropping-particle":"","parse-names":false,"suffix":""},{"dropping-particle":"","family":"Omedé","given":"P.","non-dropping-particle":"","parse-names":false,"suffix":""},{"dropping-particle":"","family":"Liberati","given":"A. M.","non-dropping-particle":"","parse-names":false,"suffix":""},{"dropping-particle":"","family":"Troia","given":"R.","non-dropping-particle":"","parse-names":false,"suffix":""},{"dropping-particle":"","family":"Cafro","given":"A. M.","non-dropping-particle":"","parse-names":false,"suffix":""},{"dropping-particle":"","family":"Malfitano","given":"A.","non-dropping-particle":"","parse-names":false,"suffix":""},{"dropping-particle":"","family":"Falcone","given":"A. P.","non-dropping-particle":"","parse-names":false,"suffix":""},{"dropping-particle":"","family":"Caravita","given":"T.","non-dropping-particle":"","parse-names":false,"suffix":""},{"dropping-particle":"","family":"Patriarca","given":"F.","non-dropping-particle":"","parse-names":false,"suffix":""},{"dropping-particle":"","family":"Nagler","given":"A.","non-dropping-particle":"","parse-names":false,"suffix":""},{"dropping-particle":"","family":"Spencer","given":"A.","non-dropping-particle":"","parse-names":false,"suffix":""},{"dropping-particle":"","family":"Hajek","given":"R.","non-dropping-particle":"","parse-names":false,"suffix":""},{"dropping-particle":"","family":"Palumbo","given":"A.","non-dropping-particle":"","parse-names":false,"suffix":""},{"dropping-particle":"","family":"Boccadoro","given":"M.","non-dropping-particle":"","parse-names":false,"suffix":""}],"container-title":"Leukemia","id":"ITEM-1","issue":"8","issued":{"date-parts":[["2017","8","24"]]},"note":"z","page":"1727-1734","title":"Autologous transplant vs oral chemotherapy and lenalidomide in newly diagnosed young myeloma patients: a pooled analysis","type":"article-journal","volume":"31"},"uris":["http://www.mendeley.com/documents/?uuid=a31386ea-8c0b-4a17-8cba-d53a84b2277d"]}],"mendeley":{"formattedCitation":"[16]","plainTextFormattedCitation":"[16]","previouslyFormattedCitation":"[16]"},"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[16]</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 Таким образом, результаты проведенного исследования продемонстрировали важность выполнения ауто-ТГСК для лечения больных ММ в эру применения новых лекарственных препаратов, определены сроки проведения интенсивных схем лечения – наиболее целесообразно выполнение ВХТ с ауто-ТГСК в первой линии терапии ММ при достижении общего противоопухолевого ответа.</w:t>
      </w:r>
    </w:p>
    <w:p w:rsidR="007D4076" w:rsidRPr="007D4076" w:rsidRDefault="007D4076" w:rsidP="007D4076">
      <w:pPr>
        <w:shd w:val="clear" w:color="auto" w:fill="FFFFFF"/>
        <w:spacing w:after="0" w:line="360" w:lineRule="auto"/>
        <w:ind w:firstLine="709"/>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 xml:space="preserve">Несмотря на внедрение в клиническую практику новых лекарственных препаратов, ауто-ТГСК остается стандартом терапии молодых больных ММ. Европейское общество трансплантации клеток крови и костного мозга (ЕВМТ) в своих ежегодных отчетах отмечает постоянное увеличение количества трансплантаций аутологичных стволовых клеток. Так, в 2016 году в Европе было выполнено 22 806 аутологичных трансплантаций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{"citationItems":[{"id":"ITEM-1","itemData":{"DOI":"10.1038/s41409-018-0153-1","ISSN":"14765365","PMID":"29540849","abstract":"Hematopoietic cell transplantation (HCT) is an established procedure for acquired and congenital disorders of the hematopoietic system. In 2016, there was a tendency for continued activity in this field with 43,636 HCT in 39,313 patients [16,507 allogeneic (42%), 22,806 autologous (58%)] reported by 679 centers in 49 countries in 2016. The main indications were myeloid malignancies 9547 (24%; 96% allogeneic), lymphoid malignancies 25,618 (65%; 20% allogeneic), solid tumors 1516 (4%; 2% allogeneic), and non-malignant disorders 2459 (6%; 85% allogeneic). There was a remarkable leveling off in the use of unrelated donor HCT being replaced by haploidentical HCT. Continued growth in allogeneic HCT for marrow failure, AML, and MPN was seen, whereas MDS appears stable. Allogeneic HCT for lymphoid malignancies vary in trend with increases for NHL and decreases for Hodgkin lymphoma and myeloma. Trends in CLL are not clear, with recent increases after a decrease in activity. In autologous HCT, the use in myeloma continues to expand but is stable in Hodgkin lymphoma. There is a notable increase in autologous HCT for autoimmune disease. These data reflect the most recent advances in the field, in which some trends and changes are likely to be related to development of non-transplant technologies.","author":[{"dropping-particle":"","family":"Passweg","given":"Jakob R","non-dropping-particle":"","parse-names":false,"suffix":""},{"dropping-particle":"","family":"Baldomero","given":"Helen","non-dropping-particle":"","parse-names":false,"suffix":""},{"dropping-particle":"","family":"Bader","given":"Peter","non-dropping-particle":"","parse-names":false,"suffix":""},{"dropping-particle":"","family":"Basak","given":"Grzegorz W.","non-dropping-particle":"","parse-names":false,"suffix":""},{"dropping-particle":"","family":"Bonini","given":"Chiara","non-dropping-particle":"","parse-names":false,"suffix":""},{"dropping-particle":"","family":"Duarte","given":"Rafael","non-dropping-particle":"","parse-names":false,"suffix":""},{"dropping-particle":"","family":"Dufour","given":"Carlo","non-dropping-particle":"","parse-names":false,"suffix":""},{"dropping-particle":"","family":"Kröger","given":"Nicolaus","non-dropping-particle":"","parse-names":false,"suffix":""},{"dropping-particle":"","family":"Kuball","given":"Jürgen","non-dropping-particle":"","parse-names":false,"suffix":""},{"dropping-particle":"","family":"Lankester","given":"Arjan","non-dropping-particle":"","parse-names":false,"suffix":""},{"dropping-particle":"","family":"Montoto","given":"Silvia","non-dropping-particle":"","parse-names":false,"suffix":""},{"dropping-particle":"","family":"Nagler","given":"Arnon","non-dropping-particle":"","parse-names":false,"suffix":""},{"dropping-particle":"","family":"Snowden","given":"John A.","non-dropping-particle":"","parse-names":false,"suffix":""},{"dropping-particle":"","family":"Styczynski","given":"Jan","non-dropping-particle":"","parse-names":false,"suffix":""},{"dropping-particle":"","family":"Mohty","given":"Mohamad","non-dropping-particle":"","parse-names":false,"suffix":""}],"container-title":"Bone Marrow Transplantation","id":"ITEM-1","issued":{"date-parts":[["2018","3","14"]]},"note":"z","page":"1-10","title":"Is the use of unrelated donor transplantation leveling off in Europe? The 2016 European Society for Blood and Marrow Transplant activity survey report","type":"article-newspaper"},"uris":["http://www.mendeley.com/documents/?uuid=f41eb422-e582-340f-a27e-b413e6624a13"]}],"mendeley":{"formattedCitation":"[17]","plainTextFormattedCitation":"[17]","previouslyFormattedCitation":"[17]"},"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[17]</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 xml:space="preserve">, при этом в 52% случаев именно при ММ, в то время как в 2014 году было </w:t>
      </w:r>
      <w:r w:rsidRPr="007D4076">
        <w:rPr>
          <w:rFonts w:ascii="Times New Roman" w:eastAsiaTheme="minorEastAsia" w:hAnsi="Times New Roman" w:cs="Times New Roman"/>
          <w:sz w:val="24"/>
          <w:szCs w:val="24"/>
          <w:lang w:eastAsia="ru-RU"/>
        </w:rPr>
        <w:lastRenderedPageBreak/>
        <w:t xml:space="preserve">осуществлено 20 704 ауто-ТГСК, большая часть (50%) из которых также больным ММ </w:t>
      </w:r>
      <w:r w:rsidRPr="007D4076">
        <w:rPr>
          <w:rFonts w:ascii="Times New Roman" w:eastAsiaTheme="minorEastAsia" w:hAnsi="Times New Roman" w:cs="Times New Roman"/>
          <w:sz w:val="24"/>
          <w:szCs w:val="24"/>
          <w:lang w:eastAsia="ru-RU"/>
        </w:rPr>
        <w:fldChar w:fldCharType="begin" w:fldLock="1"/>
      </w:r>
      <w:r w:rsidR="007368BF">
        <w:rPr>
          <w:rFonts w:ascii="Times New Roman" w:eastAsiaTheme="minorEastAsia" w:hAnsi="Times New Roman" w:cs="Times New Roman"/>
          <w:sz w:val="24"/>
          <w:szCs w:val="24"/>
          <w:lang w:eastAsia="ru-RU"/>
        </w:rPr>
        <w:instrText>ADDIN CSL_CITATION {"citationItems":[{"id":"ITEM-1","itemData":{"DOI":"10.1038/bmt.2016.20","ISSN":"0268-3369","PMID":"26901709","abstract":"A record number of 40 829 hematopoietic stem cell transplantation (HSCT) in 36 469 patients (15 765 allogeneic (43%), 20 704 autologous (57%)) were reported by 656 centers in 47 countries to the 2014 survey. Trends include: continued growth in transplant activity, more so in Eastern European countries than in the west; a continued increase in the use of haploidentical family donors (by 25%) and slower growth for unrelated donor HSCT. The use of cord blood as a stem cell source has decreased again in 2014. Main indications for HSCT were leukemias: 11 853 (33%; 96% allogeneic); lymphoid neoplasias; 20 802 (57%; 11% allogeneic); solid tumors; 1458 (4%; 3% allogeneic) and non-malignant disorders; 2203 (6%; 88% allogeneic). Changes in transplant activity include more allogeneic HSCT for AML in CR1, myeloproliferative neoplasm (MPN) and aplastic anemia and decreasing use in CLL; and more autologous HSCT for plasma cell disorders and in particular for amyloidosis. In addition, data on numbers of teams doing alternative donor transplants, allogeneic after autologous HSCT, autologous cord blood transplants are presented.","author":[{"dropping-particle":"","family":"Passweg","given":"J R","non-dropping-particle":"","parse-names":false,"suffix":""},{"dropping-particle":"","family":"Baldomero","given":"H","non-dropping-particle":"","parse-names":false,"suffix":""},{"dropping-particle":"","family":"Bader","given":"P","non-dropping-particle":"","parse-names":false,"suffix":""},{"dropping-particle":"","family":"Bonini","given":"C","non-dropping-particle":"","parse-names":false,"suffix":""},{"dropping-particle":"","family":"Cesaro","given":"S","non-dropping-particle":"","parse-names":false,"suffix":""},{"dropping-particle":"","family":"Dreger","given":"P","non-dropping-particle":"","parse-names":false,"suffix":""},{"dropping-particle":"","family":"Duarte","given":"R F","non-dropping-particle":"","parse-names":false,"suffix":""},{"dropping-particle":"","family":"Dufour","given":"C","non-dropping-particle":"","parse-names":false,"suffix":""},{"dropping-particle":"","family":"Kuball","given":"J","non-dropping-particle":"","parse-names":false,"suffix":""},{"dropping-particle":"","family":"Farge-Bancel","given":"D","non-dropping-particle":"","parse-names":false,"suffix":""},{"dropping-particle":"","family":"Gennery","given":"A","non-dropping-particle":"","parse-names":false,"suffix":""},{"dropping-particle":"","family":"Kröger","given":"N","non-dropping-particle":"","parse-names":false,"suffix":""},{"dropping-particle":"","family":"Lanza","given":"F","non-dropping-particle":"","parse-names":false,"suffix":""},{"dropping-particle":"","family":"Nagler","given":"A","non-dropping-particle":"","parse-names":false,"suffix":""},{"dropping-particle":"","family":"Sureda","given":"A","non-dropping-particle":"","parse-names":false,"suffix":""},{"dropping-particle":"","family":"Mohty","given":"M","non-dropping-particle":"","parse-names":false,"suffix":""}],"container-title":"Bone Marrow Transplantation","id":"ITEM-1","issue":"6","issued":{"date-parts":[["2016","6","22"]]},"note":"z","page":"786-792","title":"Hematopoietic stem cell transplantation in Europe 2014: more than 40 000 transplants annually","type":"article-journal","volume":"51"},"uris":["http://www.mendeley.com/documents/?uuid=1809a4d9-7c39-37e4-adae-a6b956a310e6"]}],"mendeley":{"formattedCitation":"[18]","plainTextFormattedCitation":"[18]","previouslyFormattedCitation":"[18]"},"properties":{"noteIndex":0},"schema":"https://github.com/citation-style-language/schema/raw/master/csl-citation.json"}</w:instrText>
      </w:r>
      <w:r w:rsidRPr="007D4076">
        <w:rPr>
          <w:rFonts w:ascii="Times New Roman" w:eastAsiaTheme="minorEastAsia" w:hAnsi="Times New Roman" w:cs="Times New Roman"/>
          <w:sz w:val="24"/>
          <w:szCs w:val="24"/>
          <w:lang w:eastAsia="ru-RU"/>
        </w:rPr>
        <w:fldChar w:fldCharType="separate"/>
      </w:r>
      <w:r w:rsidR="007368BF" w:rsidRPr="007368BF">
        <w:rPr>
          <w:rFonts w:ascii="Times New Roman" w:eastAsiaTheme="minorEastAsia" w:hAnsi="Times New Roman" w:cs="Times New Roman"/>
          <w:noProof/>
          <w:sz w:val="24"/>
          <w:szCs w:val="24"/>
          <w:lang w:eastAsia="ru-RU"/>
        </w:rPr>
        <w:t>[18]</w:t>
      </w:r>
      <w:r w:rsidRPr="007D4076">
        <w:rPr>
          <w:rFonts w:ascii="Times New Roman" w:eastAsiaTheme="minorEastAsia" w:hAnsi="Times New Roman" w:cs="Times New Roman"/>
          <w:sz w:val="24"/>
          <w:szCs w:val="24"/>
          <w:lang w:eastAsia="ru-RU"/>
        </w:rPr>
        <w:fldChar w:fldCharType="end"/>
      </w:r>
      <w:r w:rsidRPr="007D4076">
        <w:rPr>
          <w:rFonts w:ascii="Times New Roman" w:eastAsiaTheme="minorEastAsia" w:hAnsi="Times New Roman" w:cs="Times New Roman"/>
          <w:sz w:val="24"/>
          <w:szCs w:val="24"/>
          <w:lang w:eastAsia="ru-RU"/>
        </w:rPr>
        <w:t>.</w:t>
      </w:r>
    </w:p>
    <w:p w:rsidR="00985EF5" w:rsidRPr="0014771F" w:rsidRDefault="00985EF5" w:rsidP="00780185">
      <w:pPr>
        <w:pStyle w:val="1"/>
        <w:numPr>
          <w:ilvl w:val="2"/>
          <w:numId w:val="15"/>
        </w:numPr>
        <w:spacing w:before="0" w:after="240"/>
        <w:jc w:val="center"/>
        <w:rPr>
          <w:rFonts w:ascii="Times New Roman" w:hAnsi="Times New Roman" w:cs="Times New Roman"/>
          <w:color w:val="auto"/>
          <w:sz w:val="24"/>
        </w:rPr>
      </w:pPr>
      <w:bookmarkStart w:id="21" w:name="_Toc44926618"/>
      <w:r w:rsidRPr="0014771F">
        <w:rPr>
          <w:rFonts w:ascii="Times New Roman" w:hAnsi="Times New Roman" w:cs="Times New Roman"/>
          <w:color w:val="auto"/>
          <w:sz w:val="24"/>
        </w:rPr>
        <w:t>Ауто-ТГСК при лимфпролиферативных заболеваниях</w:t>
      </w:r>
      <w:bookmarkEnd w:id="21"/>
    </w:p>
    <w:p w:rsidR="008871F5" w:rsidRDefault="00985EF5" w:rsidP="009D337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Трансплантация аутологичных гемопоэтических стволовых клеток </w:t>
      </w:r>
      <w:r w:rsidRPr="00985EF5">
        <w:rPr>
          <w:rFonts w:ascii="Times New Roman" w:hAnsi="Times New Roman" w:cs="Times New Roman"/>
          <w:sz w:val="24"/>
          <w:szCs w:val="24"/>
        </w:rPr>
        <w:t xml:space="preserve">по-прежнему считается стандартным </w:t>
      </w:r>
      <w:r>
        <w:rPr>
          <w:rFonts w:ascii="Times New Roman" w:hAnsi="Times New Roman" w:cs="Times New Roman"/>
          <w:sz w:val="24"/>
          <w:szCs w:val="24"/>
        </w:rPr>
        <w:t>этапом лечения лимфопролиферативных заболеваний, в числе которых</w:t>
      </w:r>
      <w:r w:rsidR="008871F5">
        <w:rPr>
          <w:rFonts w:ascii="Times New Roman" w:hAnsi="Times New Roman" w:cs="Times New Roman"/>
          <w:sz w:val="24"/>
          <w:szCs w:val="24"/>
        </w:rPr>
        <w:t xml:space="preserve">: </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sidRPr="008871F5">
        <w:rPr>
          <w:rFonts w:ascii="Times New Roman" w:hAnsi="Times New Roman" w:cs="Times New Roman"/>
          <w:sz w:val="24"/>
          <w:szCs w:val="24"/>
        </w:rPr>
        <w:t>Д</w:t>
      </w:r>
      <w:r w:rsidR="00985EF5" w:rsidRPr="008871F5">
        <w:rPr>
          <w:rFonts w:ascii="Times New Roman" w:hAnsi="Times New Roman" w:cs="Times New Roman"/>
          <w:sz w:val="24"/>
          <w:szCs w:val="24"/>
        </w:rPr>
        <w:t>иффузная В-крупноклеточная лимфома</w:t>
      </w:r>
      <w:r>
        <w:rPr>
          <w:rFonts w:ascii="Times New Roman" w:hAnsi="Times New Roman" w:cs="Times New Roman"/>
          <w:sz w:val="24"/>
          <w:szCs w:val="24"/>
        </w:rPr>
        <w:t xml:space="preserve">; </w:t>
      </w:r>
    </w:p>
    <w:p w:rsidR="008871F5" w:rsidRDefault="00DE3C04"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Мантийноклеточная лимфома</w:t>
      </w:r>
      <w:r w:rsidR="008871F5">
        <w:rPr>
          <w:rFonts w:ascii="Times New Roman" w:hAnsi="Times New Roman" w:cs="Times New Roman"/>
          <w:sz w:val="24"/>
          <w:szCs w:val="24"/>
        </w:rPr>
        <w:t>;</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Первичная лимфома центральной нервной системы; </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Первичная медиастинальная В-крупноклеточная лимфома; </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Лимфома Беркита; </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Фоликулярная лимфома;</w:t>
      </w:r>
    </w:p>
    <w:p w:rsidR="00DE3C04" w:rsidRDefault="00DE3C04"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Периферическая Т-клеточная лимфома;</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Анапластическая крупноклеточная </w:t>
      </w:r>
      <w:r>
        <w:rPr>
          <w:rFonts w:ascii="Times New Roman" w:hAnsi="Times New Roman" w:cs="Times New Roman"/>
          <w:sz w:val="24"/>
          <w:szCs w:val="24"/>
          <w:lang w:val="en-US"/>
        </w:rPr>
        <w:t>ALK</w:t>
      </w:r>
      <w:r w:rsidRPr="008871F5">
        <w:rPr>
          <w:rFonts w:ascii="Times New Roman" w:hAnsi="Times New Roman" w:cs="Times New Roman"/>
          <w:sz w:val="24"/>
          <w:szCs w:val="24"/>
        </w:rPr>
        <w:t>-</w:t>
      </w:r>
      <w:r>
        <w:rPr>
          <w:rFonts w:ascii="Times New Roman" w:hAnsi="Times New Roman" w:cs="Times New Roman"/>
          <w:sz w:val="24"/>
          <w:szCs w:val="24"/>
        </w:rPr>
        <w:t>негативная лимфома;</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Анапластическая крупноклеточная </w:t>
      </w:r>
      <w:r>
        <w:rPr>
          <w:rFonts w:ascii="Times New Roman" w:hAnsi="Times New Roman" w:cs="Times New Roman"/>
          <w:sz w:val="24"/>
          <w:szCs w:val="24"/>
          <w:lang w:val="en-US"/>
        </w:rPr>
        <w:t>ALK</w:t>
      </w:r>
      <w:r w:rsidRPr="008871F5">
        <w:rPr>
          <w:rFonts w:ascii="Times New Roman" w:hAnsi="Times New Roman" w:cs="Times New Roman"/>
          <w:sz w:val="24"/>
          <w:szCs w:val="24"/>
        </w:rPr>
        <w:t>-</w:t>
      </w:r>
      <w:r>
        <w:rPr>
          <w:rFonts w:ascii="Times New Roman" w:hAnsi="Times New Roman" w:cs="Times New Roman"/>
          <w:sz w:val="24"/>
          <w:szCs w:val="24"/>
        </w:rPr>
        <w:t>позитивная лимфома;</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Экстранодальная </w:t>
      </w:r>
      <w:r>
        <w:rPr>
          <w:rFonts w:ascii="Times New Roman" w:hAnsi="Times New Roman" w:cs="Times New Roman"/>
          <w:sz w:val="24"/>
          <w:szCs w:val="24"/>
          <w:lang w:val="en-US"/>
        </w:rPr>
        <w:t>NK</w:t>
      </w:r>
      <w:r w:rsidRPr="008871F5">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xml:space="preserve"> - клеточная лимфома;</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Гепатолиенальная Т-клеточная лимфома; </w:t>
      </w:r>
    </w:p>
    <w:p w:rsidR="008871F5" w:rsidRDefault="008871F5" w:rsidP="00780185">
      <w:pPr>
        <w:pStyle w:val="a3"/>
        <w:numPr>
          <w:ilvl w:val="0"/>
          <w:numId w:val="7"/>
        </w:numPr>
        <w:spacing w:after="0"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Лимфома Ходжкина</w:t>
      </w:r>
    </w:p>
    <w:p w:rsidR="00A61AE3" w:rsidRDefault="008871F5" w:rsidP="0042042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Показания к трансплантации аутологичных гемопоэтических стволовых клеток при различных вариантах лимфопролифератинвых заболеваний зависят от множества факторов и предполагают в ряде случаев применение высокодозной химиотерапии с последующей ауто-ТГСК на первых этапах терапии в качестве консол</w:t>
      </w:r>
      <w:r w:rsidR="00420424">
        <w:rPr>
          <w:rFonts w:ascii="Times New Roman" w:hAnsi="Times New Roman" w:cs="Times New Roman"/>
          <w:sz w:val="24"/>
          <w:szCs w:val="24"/>
        </w:rPr>
        <w:t>и</w:t>
      </w:r>
      <w:r>
        <w:rPr>
          <w:rFonts w:ascii="Times New Roman" w:hAnsi="Times New Roman" w:cs="Times New Roman"/>
          <w:sz w:val="24"/>
          <w:szCs w:val="24"/>
        </w:rPr>
        <w:t>дации. И</w:t>
      </w:r>
      <w:r w:rsidR="00420424">
        <w:rPr>
          <w:rFonts w:ascii="Times New Roman" w:hAnsi="Times New Roman" w:cs="Times New Roman"/>
          <w:sz w:val="24"/>
          <w:szCs w:val="24"/>
        </w:rPr>
        <w:t>,</w:t>
      </w:r>
      <w:r>
        <w:rPr>
          <w:rFonts w:ascii="Times New Roman" w:hAnsi="Times New Roman" w:cs="Times New Roman"/>
          <w:sz w:val="24"/>
          <w:szCs w:val="24"/>
        </w:rPr>
        <w:t xml:space="preserve"> напротив, в определенных клинических ситуациях, ауто-ТГСК рекомендуется в качестве консолидирующего этапа лечения при достижен</w:t>
      </w:r>
      <w:r w:rsidR="00A61AE3">
        <w:rPr>
          <w:rFonts w:ascii="Times New Roman" w:hAnsi="Times New Roman" w:cs="Times New Roman"/>
          <w:sz w:val="24"/>
          <w:szCs w:val="24"/>
        </w:rPr>
        <w:t>ии второй ремиссии заболевания.</w:t>
      </w:r>
    </w:p>
    <w:p w:rsidR="00420424" w:rsidRDefault="008871F5" w:rsidP="0042042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Подробные показания к ауто-ТГСК при различных вариантах гемобластозов приведены в соответствующих национальных клинических рекомендациях по лечению </w:t>
      </w:r>
      <w:r w:rsidR="00797DB7">
        <w:rPr>
          <w:rFonts w:ascii="Times New Roman" w:hAnsi="Times New Roman" w:cs="Times New Roman"/>
          <w:sz w:val="24"/>
          <w:szCs w:val="24"/>
        </w:rPr>
        <w:t>лимфомы Ходжкина и неходжкинских лимфом.</w:t>
      </w:r>
    </w:p>
    <w:p w:rsidR="00420424" w:rsidRPr="0014771F" w:rsidRDefault="00420424" w:rsidP="00780185">
      <w:pPr>
        <w:pStyle w:val="1"/>
        <w:numPr>
          <w:ilvl w:val="2"/>
          <w:numId w:val="15"/>
        </w:numPr>
        <w:spacing w:before="0" w:after="240"/>
        <w:jc w:val="center"/>
        <w:rPr>
          <w:rFonts w:ascii="Times New Roman" w:hAnsi="Times New Roman" w:cs="Times New Roman"/>
          <w:color w:val="auto"/>
          <w:sz w:val="24"/>
        </w:rPr>
      </w:pPr>
      <w:r>
        <w:rPr>
          <w:rFonts w:ascii="Times New Roman" w:eastAsiaTheme="minorEastAsia" w:hAnsi="Times New Roman" w:cs="Times New Roman"/>
          <w:b w:val="0"/>
          <w:sz w:val="24"/>
          <w:szCs w:val="24"/>
          <w:lang w:eastAsia="ru-RU"/>
        </w:rPr>
        <w:t xml:space="preserve"> </w:t>
      </w:r>
      <w:bookmarkStart w:id="22" w:name="_Toc44926619"/>
      <w:r w:rsidRPr="0014771F">
        <w:rPr>
          <w:rFonts w:ascii="Times New Roman" w:hAnsi="Times New Roman" w:cs="Times New Roman"/>
          <w:color w:val="auto"/>
          <w:sz w:val="24"/>
        </w:rPr>
        <w:t xml:space="preserve">Ауто-ТГСК при </w:t>
      </w:r>
      <w:r w:rsidR="007368BF">
        <w:rPr>
          <w:rFonts w:ascii="Times New Roman" w:hAnsi="Times New Roman" w:cs="Times New Roman"/>
          <w:color w:val="auto"/>
          <w:sz w:val="24"/>
        </w:rPr>
        <w:t xml:space="preserve">ОМЛ и </w:t>
      </w:r>
      <w:r w:rsidR="00F4779C" w:rsidRPr="0014771F">
        <w:rPr>
          <w:rFonts w:ascii="Times New Roman" w:hAnsi="Times New Roman" w:cs="Times New Roman"/>
          <w:color w:val="auto"/>
          <w:sz w:val="24"/>
        </w:rPr>
        <w:t>остром промиелоцитарном лейкозе</w:t>
      </w:r>
      <w:bookmarkEnd w:id="22"/>
    </w:p>
    <w:p w:rsidR="00F4779C" w:rsidRDefault="00F4779C" w:rsidP="0042042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Молодым пациентам в возрасте до 40 лет при достижении повторной молекулярной ремиссии после 2-3-го курса консолидации выполняют заготовку аутологичных стволовых гемопоэтических клеток крови с последующей, после окончания 5-го курса консолидации, аутологичной трансплантацией после миелоаблативных режимов предтрансплантационного кондиционирования. После восстановления гемопоэза этим </w:t>
      </w:r>
      <w:r>
        <w:rPr>
          <w:rFonts w:ascii="Times New Roman" w:hAnsi="Times New Roman" w:cs="Times New Roman"/>
          <w:sz w:val="24"/>
          <w:szCs w:val="24"/>
        </w:rPr>
        <w:lastRenderedPageBreak/>
        <w:t>больным предусмотрено проведение поддерживающей терапии в течение одного года</w:t>
      </w:r>
      <w:r w:rsidR="004C539F">
        <w:rPr>
          <w:rFonts w:ascii="Times New Roman" w:hAnsi="Times New Roman" w:cs="Times New Roman"/>
          <w:sz w:val="24"/>
          <w:szCs w:val="24"/>
        </w:rPr>
        <w:t xml:space="preserve"> </w:t>
      </w:r>
      <w:r w:rsidR="007368BF">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{"citationItems":[{"id":"ITEM-1","itemData":{"author":[{"dropping-particle":"","family":"Савченко В.Г. и др","given":"","non-dropping-particle":"","parse-names":false,"suffix":""}],"id":"ITEM-1","issued":{"date-parts":[["2018"]]},"note":"a","number-of-pages":"1008","publisher":"Практика","publisher-place":"Москва","title":"Алгоритмы диагностики и протоколы лечения заболеваний системы крови.","type":"book"},"uris":["http://www.mendeley.com/documents/?uuid=2cd270b2-efaf-4da9-a95d-66324661ea35"]},{"id":"ITEM-2","itemData":{"DOI":"10.1016/J.BBMT.2014.03.025","ISSN":"1523-6536","PMID":"24691221","author":[{"dropping-particle":"","family":"JL","given":"Holter Chakrabarty","non-dropping-particle":"","parse-names":false,"suffix":""},{"dropping-particle":"","family":"M","given":"Rubinger","non-dropping-particle":"","parse-names":false,"suffix":""},{"dropping-particle":"","family":"J","given":"Le-Rademacher","non-dropping-particle":"","parse-names":false,"suffix":""},{"dropping-particle":"","family":"HL","given":"Wang","non-dropping-particle":"","parse-names":false,"suffix":""},{"dropping-particle":"","family":"A","given":"Grigg","non-dropping-particle":"","parse-names":false,"suffix":""},{"dropping-particle":"","family":"GB","given":"Selby","non-dropping-particle":"","parse-names":false,"suffix":""},{"dropping-particle":"","family":"J","given":"Szer","non-dropping-particle":"","parse-names":false,"suffix":""},{"dropping-particle":"","family":"JM","given":"Rowe","non-dropping-particle":"","parse-names":false,"suffix":""},{"dropping-particle":"","family":"DJ","given":"Weisdorf","non-dropping-particle":"","parse-names":false,"suffix":""},{"dropping-particle":"","family":"MS","given":"Tallman","non-dropping-particle":"","parse-names":false,"suffix":""}],"container-title":"Biology of blood and marrow transplantation : journal of the American Society for Blood and Marrow Transplantation","id":"ITEM-2","issue":"7","issued":{"date-parts":[["2014"]]},"publisher":"Biol Blood Marrow Transplant","title":"Autologous Is Superior to Allogeneic Hematopoietic Cell Transplantation for Acute Promyelocytic Leukemia in Second Complete Remission","type":"article-journal","volume":"20"},"uris":["http://www.mendeley.com/documents/?uuid=3000d9fb-a713-3a61-9307-a3e95877ff46"]}],"mendeley":{"formattedCitation":"[9, 48]","plainTextFormattedCitation":"[9, 48]","previouslyFormattedCitation":"[9, 47]"},"properties":{"noteIndex":0},"schema":"https://github.com/citation-style-language/schema/raw/master/csl-citation.json"}</w:instrText>
      </w:r>
      <w:r w:rsidR="007368BF">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[9, 48]</w:t>
      </w:r>
      <w:r w:rsidR="007368BF">
        <w:rPr>
          <w:rFonts w:ascii="Times New Roman" w:hAnsi="Times New Roman" w:cs="Times New Roman"/>
          <w:sz w:val="24"/>
          <w:szCs w:val="24"/>
        </w:rPr>
        <w:fldChar w:fldCharType="end"/>
      </w:r>
      <w:r>
        <w:rPr>
          <w:rFonts w:ascii="Times New Roman" w:hAnsi="Times New Roman" w:cs="Times New Roman"/>
          <w:sz w:val="24"/>
          <w:szCs w:val="24"/>
        </w:rPr>
        <w:t>.</w:t>
      </w:r>
      <w:r w:rsidR="007368BF">
        <w:rPr>
          <w:rFonts w:ascii="Times New Roman" w:hAnsi="Times New Roman" w:cs="Times New Roman"/>
          <w:sz w:val="24"/>
          <w:szCs w:val="24"/>
        </w:rPr>
        <w:t xml:space="preserve"> </w:t>
      </w:r>
      <w:r w:rsidR="00206B66">
        <w:rPr>
          <w:rFonts w:ascii="Times New Roman" w:hAnsi="Times New Roman" w:cs="Times New Roman"/>
          <w:sz w:val="24"/>
          <w:szCs w:val="24"/>
        </w:rPr>
        <w:t xml:space="preserve">При </w:t>
      </w:r>
      <w:r w:rsidR="00206B66" w:rsidRPr="00206B66">
        <w:rPr>
          <w:rFonts w:ascii="Times New Roman" w:hAnsi="Times New Roman" w:cs="Times New Roman"/>
          <w:sz w:val="24"/>
          <w:szCs w:val="24"/>
        </w:rPr>
        <w:t>ОМЛ (благоприятный и промежуточный риск) в случае достижения МРБ негативной ремиссии в возрасте до 40 лет рассматривается вопрос о выполнении мобилизации с последующей ауто-ТГСК.</w:t>
      </w:r>
    </w:p>
    <w:p w:rsidR="00F4779C" w:rsidRPr="0014771F" w:rsidRDefault="00F4779C" w:rsidP="00780185">
      <w:pPr>
        <w:pStyle w:val="1"/>
        <w:numPr>
          <w:ilvl w:val="2"/>
          <w:numId w:val="15"/>
        </w:numPr>
        <w:spacing w:before="0" w:after="240"/>
        <w:jc w:val="center"/>
        <w:rPr>
          <w:rFonts w:ascii="Times New Roman" w:hAnsi="Times New Roman" w:cs="Times New Roman"/>
          <w:color w:val="auto"/>
          <w:sz w:val="24"/>
        </w:rPr>
      </w:pPr>
      <w:bookmarkStart w:id="23" w:name="_Toc44926620"/>
      <w:r w:rsidRPr="0014771F">
        <w:rPr>
          <w:rFonts w:ascii="Times New Roman" w:hAnsi="Times New Roman" w:cs="Times New Roman"/>
          <w:color w:val="auto"/>
          <w:sz w:val="24"/>
        </w:rPr>
        <w:t>Ауто-ТГСК при Ph-позитивном остром лимфобластном лейкозе</w:t>
      </w:r>
      <w:bookmarkEnd w:id="23"/>
    </w:p>
    <w:p w:rsidR="00F4779C" w:rsidRDefault="005E14BE" w:rsidP="005E14BE">
      <w:pPr>
        <w:spacing w:before="240" w:line="360" w:lineRule="auto"/>
        <w:ind w:firstLine="426"/>
        <w:jc w:val="both"/>
        <w:rPr>
          <w:rFonts w:ascii="Times New Roman" w:hAnsi="Times New Roman" w:cs="Times New Roman"/>
          <w:b/>
          <w:sz w:val="24"/>
        </w:rPr>
      </w:pPr>
      <w:r>
        <w:rPr>
          <w:rFonts w:ascii="Times New Roman" w:hAnsi="Times New Roman" w:cs="Times New Roman"/>
          <w:sz w:val="24"/>
          <w:szCs w:val="24"/>
        </w:rPr>
        <w:t xml:space="preserve">При отсутствии совместимых доноров, достижении полной молекулярной ремиссии у больных моложе 40 лет рассматривается вопрос о выполнении ауто-ТГСК. </w:t>
      </w:r>
      <w:r w:rsidR="007368BF">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{"citationItems":[{"id":"ITEM-1","itemData":{"author":[{"dropping-particle":"","family":"Савченко В.Г. и др","given":"","non-dropping-particle":"","parse-names":false,"suffix":""}],"id":"ITEM-1","issued":{"date-parts":[["2018"]]},"note":"a","number-of-pages":"1008","publisher":"Практика","publisher-place":"Москва","title":"Алгоритмы диагностики и протоколы лечения заболеваний системы крови.","type":"book"},"uris":["http://www.mendeley.com/documents/?uuid=2cd270b2-efaf-4da9-a95d-66324661ea35"]},{"id":"ITEM-2","itemData":{"author":[{"dropping-particle":"","family":"Гаврилина О.А., Паровичникова Е.Н., Троицкая В.В., Кузьмина Л.А., Бондаренко С.Н., Соколов А.Н., Лапин В.А., Зарубина К.И., Басхаева Г.А., Лукьянова И.А., Клясова Г.А., Судариков А.Б., Обухова Т.Н.","given":"Савченко В.Г.","non-dropping-particle":"","parse-names":false,"suffix":""}],"container-title":"Гематология и трансфузиология.","id":"ITEM-2","issue":"62 (4)","issued":{"date-parts":[["2017"]]},"note":"a","page":"172-180","title":"Результаты ретроспективного многоцентрового исследования терапии больных Ph-позитивным острым лимфобластным лейкозом по протоколам российской исследовательской группы – тема научной статьи по клинической медицине читайте бесплатно текст научно-исследовате","type":"article-journal"},"uris":["http://www.mendeley.com/documents/?uuid=b3ab26a3-dd18-3b49-a74a-03bf5de3dc43"]},{"id":"ITEM-3","itemData":{"DOI":"10.1016/J.EJCA.2013.08.027","ISSN":"1879-0852","PMID":"24210524","author":[{"dropping-particle":"","family":"S","given":"Giebel","non-dropping-particle":"","parse-names":false,"suffix":""},{"dropping-particle":"","family":"M","given":"Labopin","non-dropping-particle":"","parse-names":false,"suffix":""},{"dropping-particle":"","family":"NC","given":"Gorin","non-dropping-particle":"","parse-names":false,"suffix":""},{"dropping-particle":"","family":"D","given":"Caillot","non-dropping-particle":"","parse-names":false,"suffix":""},{"dropping-particle":"","family":"T","given":"Leguay","non-dropping-particle":"","parse-names":false,"suffix":""},{"dropping-particle":"","family":"N","given":"Schaap","non-dropping-particle":"","parse-names":false,"suffix":""},{"dropping-particle":"","family":"M","given":"Michallet","non-dropping-particle":"","parse-names":false,"suffix":""},{"dropping-particle":"","family":"H","given":"Dombret","non-dropping-particle":"","parse-names":false,"suffix":""},{"dropping-particle":"","family":"M","given":"Mohty","non-dropping-particle":"","parse-names":false,"suffix":""}],"container-title":"European journal of cancer (Oxford, England : 1990)","id":"ITEM-3","issue":"2","issued":{"date-parts":[["2014"]]},"publisher":"Eur J Cancer","title":"Improving Results of Autologous Stem Cell Transplantation for Philadelphia-positive Acute Lymphoblastic Leukaemia in the Era of Tyrosine Kinase Inhibitors: A Report From the Acute Leukaemia Working Party of the European Group for Blood and Marrow Transplantation","type":"article-journal","volume":"50"},"uris":["http://www.mendeley.com/documents/?uuid=d92eea46-8251-3be3-9ab5-06715bae7594"]},{"id":"ITEM-4","itemData":{"DOI":"10.3324/HAEMATOL.2014.118588","ISSN":"1592-8721","PMID":"25682595","author":[{"dropping-particle":"","family":"N","given":"Daver","non-dropping-particle":"","parse-names":false,"suffix":""},{"dropping-particle":"","family":"D","given":"Thomas","non-dropping-particle":"","parse-names":false,"suffix":""},{"dropping-particle":"","family":"F","given":"Ravandi","non-dropping-particle":"","parse-names":false,"suffix":""},{"dropping-particle":"","family":"J","given":"Cortes","non-dropping-particle":"","parse-names":false,"suffix":""},{"dropping-particle":"","family":"R","given":"Garris","non-dropping-particle":"","parse-names":false,"suffix":""},{"dropping-particle":"","family":"E","given":"Jabbour","non-dropping-particle":"","parse-names":false,"suffix":""},{"dropping-particle":"","family":"G","given":"Garcia-Manero","non-dropping-particle":"","parse-names":false,"suffix":""},{"dropping-particle":"","family":"G","given":"Borthakur","non-dropping-particle":"","parse-names":false,"suffix":""},{"dropping-particle":"","family":"T","given":"Kadia","non-dropping-particle":"","parse-names":false,"suffix":""},{"dropping-particle":"","family":"M","given":"Rytting","non-dropping-particle":"","parse-names":false,"suffix":""},{"dropping-particle":"","family":"M","given":"Konopleva","non-dropping-particle":"","parse-names":false,"suffix":""},{"dropping-particle":"","family":"H","given":"Kantarjian","non-dropping-particle":"","parse-names":false,"suffix":""},{"dropping-particle":"","family":"S","given":"O'Brien","non-dropping-particle":"","parse-names":false,"suffix":""}],"container-title":"Haematologica","id":"ITEM-4","issue":"5","issued":{"date-parts":[["2015"]]},"publisher":"Haematologica","title":"Final Report of a Phase II Study of Imatinib Mesylate With hyper-CVAD for the Front-Line Treatment of Adult Patients With Philadelphia Chromosome-Positive Acute Lymphoblastic Leukemia","type":"article-journal","volume":"100"},"uris":["http://www.mendeley.com/documents/?uuid=cbb97852-44aa-397c-bef3-dd8732923318"]}],"mendeley":{"formattedCitation":"[4, 9, 54, 65]","plainTextFormattedCitation":"[4, 9, 54, 65]","previouslyFormattedCitation":"[4, 9, 53, 64]"},"properties":{"noteIndex":0},"schema":"https://github.com/citation-style-language/schema/raw/master/csl-citation.json"}</w:instrText>
      </w:r>
      <w:r w:rsidR="007368BF">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[4, 9, 54, 65]</w:t>
      </w:r>
      <w:r w:rsidR="007368BF">
        <w:rPr>
          <w:rFonts w:ascii="Times New Roman" w:hAnsi="Times New Roman" w:cs="Times New Roman"/>
          <w:sz w:val="24"/>
          <w:szCs w:val="24"/>
        </w:rPr>
        <w:fldChar w:fldCharType="end"/>
      </w:r>
    </w:p>
    <w:p w:rsidR="00F4779C" w:rsidRPr="0014771F" w:rsidRDefault="00F4779C" w:rsidP="00780185">
      <w:pPr>
        <w:pStyle w:val="1"/>
        <w:numPr>
          <w:ilvl w:val="1"/>
          <w:numId w:val="15"/>
        </w:numPr>
        <w:spacing w:before="0" w:after="240"/>
        <w:jc w:val="center"/>
        <w:rPr>
          <w:rFonts w:ascii="Times New Roman" w:hAnsi="Times New Roman" w:cs="Times New Roman"/>
          <w:color w:val="auto"/>
          <w:sz w:val="24"/>
        </w:rPr>
      </w:pPr>
      <w:bookmarkStart w:id="24" w:name="_Toc44926621"/>
      <w:r w:rsidRPr="0014771F">
        <w:rPr>
          <w:rFonts w:ascii="Times New Roman" w:hAnsi="Times New Roman" w:cs="Times New Roman"/>
          <w:color w:val="auto"/>
          <w:sz w:val="24"/>
        </w:rPr>
        <w:t>Противопоказания к выполнению ауто-ТГСК</w:t>
      </w:r>
      <w:bookmarkEnd w:id="24"/>
    </w:p>
    <w:p w:rsidR="00F4779C" w:rsidRPr="00635E72" w:rsidRDefault="00C025F0" w:rsidP="00635E72">
      <w:pPr>
        <w:pStyle w:val="1"/>
        <w:spacing w:before="0" w:line="360" w:lineRule="auto"/>
        <w:jc w:val="both"/>
        <w:rPr>
          <w:rFonts w:ascii="Times New Roman" w:hAnsi="Times New Roman" w:cs="Times New Roman"/>
          <w:color w:val="auto"/>
          <w:sz w:val="24"/>
          <w:szCs w:val="24"/>
        </w:rPr>
      </w:pPr>
      <w:bookmarkStart w:id="25" w:name="_Toc44926622"/>
      <w:r w:rsidRPr="00635E72">
        <w:rPr>
          <w:rFonts w:ascii="Times New Roman" w:hAnsi="Times New Roman" w:cs="Times New Roman"/>
          <w:color w:val="auto"/>
          <w:sz w:val="24"/>
          <w:szCs w:val="24"/>
        </w:rPr>
        <w:t xml:space="preserve">2.2.1 </w:t>
      </w:r>
      <w:r w:rsidR="00F4779C" w:rsidRPr="00635E72">
        <w:rPr>
          <w:rFonts w:ascii="Times New Roman" w:hAnsi="Times New Roman" w:cs="Times New Roman"/>
          <w:color w:val="auto"/>
          <w:sz w:val="24"/>
          <w:szCs w:val="24"/>
        </w:rPr>
        <w:t>Абсолютны</w:t>
      </w:r>
      <w:r w:rsidRPr="00635E72">
        <w:rPr>
          <w:rFonts w:ascii="Times New Roman" w:hAnsi="Times New Roman" w:cs="Times New Roman"/>
          <w:color w:val="auto"/>
          <w:sz w:val="24"/>
          <w:szCs w:val="24"/>
        </w:rPr>
        <w:t>е</w:t>
      </w:r>
      <w:r w:rsidR="00F4779C" w:rsidRPr="00635E72">
        <w:rPr>
          <w:rFonts w:ascii="Times New Roman" w:hAnsi="Times New Roman" w:cs="Times New Roman"/>
          <w:color w:val="auto"/>
          <w:sz w:val="24"/>
          <w:szCs w:val="24"/>
        </w:rPr>
        <w:t xml:space="preserve"> противопоказани</w:t>
      </w:r>
      <w:r w:rsidRPr="00635E72">
        <w:rPr>
          <w:rFonts w:ascii="Times New Roman" w:hAnsi="Times New Roman" w:cs="Times New Roman"/>
          <w:color w:val="auto"/>
          <w:sz w:val="24"/>
          <w:szCs w:val="24"/>
        </w:rPr>
        <w:t>я</w:t>
      </w:r>
      <w:r w:rsidR="00F4779C" w:rsidRPr="00635E72">
        <w:rPr>
          <w:rFonts w:ascii="Times New Roman" w:hAnsi="Times New Roman" w:cs="Times New Roman"/>
          <w:color w:val="auto"/>
          <w:sz w:val="24"/>
          <w:szCs w:val="24"/>
        </w:rPr>
        <w:t xml:space="preserve"> к </w:t>
      </w:r>
      <w:r w:rsidRPr="00635E72">
        <w:rPr>
          <w:rFonts w:ascii="Times New Roman" w:hAnsi="Times New Roman" w:cs="Times New Roman"/>
          <w:color w:val="auto"/>
          <w:sz w:val="24"/>
          <w:szCs w:val="24"/>
        </w:rPr>
        <w:t xml:space="preserve">выполнению </w:t>
      </w:r>
      <w:r w:rsidR="007040D3">
        <w:rPr>
          <w:rFonts w:ascii="Times New Roman" w:hAnsi="Times New Roman" w:cs="Times New Roman"/>
          <w:color w:val="auto"/>
          <w:sz w:val="24"/>
          <w:szCs w:val="24"/>
        </w:rPr>
        <w:t>ауто-ТГСК</w:t>
      </w:r>
      <w:bookmarkEnd w:id="25"/>
    </w:p>
    <w:p w:rsidR="00F4779C"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прогрессия/рецидив основного заболевания;</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инфекционные заболевания в стадии обострения;</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заболевания опорно-двигательного аппарата</w:t>
      </w:r>
      <w:r w:rsidRPr="00FF4087">
        <w:rPr>
          <w:rFonts w:ascii="Times New Roman" w:hAnsi="Times New Roman" w:cs="Times New Roman"/>
          <w:sz w:val="24"/>
        </w:rPr>
        <w:t>, системы кровообращения, органов пищеварения</w:t>
      </w:r>
      <w:r>
        <w:rPr>
          <w:rFonts w:ascii="Times New Roman" w:hAnsi="Times New Roman" w:cs="Times New Roman"/>
          <w:sz w:val="24"/>
        </w:rPr>
        <w:t xml:space="preserve"> и дыхания, мочеполовой, эндокринной и нервной систем</w:t>
      </w:r>
      <w:r w:rsidRPr="00FF4087">
        <w:rPr>
          <w:rFonts w:ascii="Times New Roman" w:hAnsi="Times New Roman" w:cs="Times New Roman"/>
          <w:sz w:val="24"/>
        </w:rPr>
        <w:t>,</w:t>
      </w:r>
      <w:r>
        <w:rPr>
          <w:rFonts w:ascii="Times New Roman" w:hAnsi="Times New Roman" w:cs="Times New Roman"/>
          <w:sz w:val="24"/>
        </w:rPr>
        <w:t xml:space="preserve"> а также заболевания других органов и систем в стадии обострения и </w:t>
      </w:r>
      <w:r w:rsidRPr="00FF4087">
        <w:rPr>
          <w:rFonts w:ascii="Times New Roman" w:hAnsi="Times New Roman" w:cs="Times New Roman"/>
          <w:sz w:val="24"/>
        </w:rPr>
        <w:t>сопровождающиеся стойким расстройством функций;</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наличие «вторых» </w:t>
      </w:r>
      <w:r w:rsidRPr="00FF4087">
        <w:rPr>
          <w:rFonts w:ascii="Times New Roman" w:hAnsi="Times New Roman" w:cs="Times New Roman"/>
          <w:sz w:val="24"/>
        </w:rPr>
        <w:t>злокачественны</w:t>
      </w:r>
      <w:r>
        <w:rPr>
          <w:rFonts w:ascii="Times New Roman" w:hAnsi="Times New Roman" w:cs="Times New Roman"/>
          <w:sz w:val="24"/>
        </w:rPr>
        <w:t>х</w:t>
      </w:r>
      <w:r w:rsidRPr="00FF4087">
        <w:rPr>
          <w:rFonts w:ascii="Times New Roman" w:hAnsi="Times New Roman" w:cs="Times New Roman"/>
          <w:sz w:val="24"/>
        </w:rPr>
        <w:t xml:space="preserve"> новообразовани</w:t>
      </w:r>
      <w:r>
        <w:rPr>
          <w:rFonts w:ascii="Times New Roman" w:hAnsi="Times New Roman" w:cs="Times New Roman"/>
          <w:sz w:val="24"/>
        </w:rPr>
        <w:t>й вне ремиссии</w:t>
      </w:r>
      <w:r w:rsidRPr="00FF4087">
        <w:rPr>
          <w:rFonts w:ascii="Times New Roman" w:hAnsi="Times New Roman" w:cs="Times New Roman"/>
          <w:sz w:val="24"/>
        </w:rPr>
        <w:t>;</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терапия иммуносупрессивными или иными лекарственными препаратами, которые могут повлиять на способность к самоподдержанию собственной популяции и полипотентность гемопоэтических стволовых клеток;</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психические расстройства и расстройства поведения в состоянии обострения и (или) представляющие опасность для больного и окружающих;</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психические расстройства и расстройства поведения, вызванные употреблением психоактивных веществ;</w:t>
      </w:r>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кахексия;</w:t>
      </w:r>
    </w:p>
    <w:p w:rsidR="00F4779C"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беременность;</w:t>
      </w:r>
    </w:p>
    <w:p w:rsidR="00F4779C"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ранний послеоперационный период с наличием потенциальных рисков инфицирования послеоперационных ран в период миелотоксического агранулоцитоза.</w:t>
      </w:r>
    </w:p>
    <w:p w:rsidR="00F4779C"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отсутствие подписанного информированного согласия на выполнение трансплантации.</w:t>
      </w:r>
    </w:p>
    <w:p w:rsidR="00F4779C" w:rsidRPr="00635E72" w:rsidRDefault="00C025F0" w:rsidP="00635E72">
      <w:pPr>
        <w:pStyle w:val="1"/>
        <w:spacing w:before="0" w:line="360" w:lineRule="auto"/>
        <w:jc w:val="both"/>
        <w:rPr>
          <w:rFonts w:ascii="Times New Roman" w:hAnsi="Times New Roman" w:cs="Times New Roman"/>
          <w:color w:val="auto"/>
          <w:sz w:val="24"/>
          <w:szCs w:val="24"/>
        </w:rPr>
      </w:pPr>
      <w:bookmarkStart w:id="26" w:name="_Toc44926623"/>
      <w:r w:rsidRPr="00635E72">
        <w:rPr>
          <w:rFonts w:ascii="Times New Roman" w:hAnsi="Times New Roman" w:cs="Times New Roman"/>
          <w:color w:val="auto"/>
          <w:sz w:val="24"/>
          <w:szCs w:val="24"/>
        </w:rPr>
        <w:t xml:space="preserve">2.2.2. </w:t>
      </w:r>
      <w:r w:rsidR="00F4779C" w:rsidRPr="00635E72">
        <w:rPr>
          <w:rFonts w:ascii="Times New Roman" w:hAnsi="Times New Roman" w:cs="Times New Roman"/>
          <w:color w:val="auto"/>
          <w:sz w:val="24"/>
          <w:szCs w:val="24"/>
        </w:rPr>
        <w:t>Относительны</w:t>
      </w:r>
      <w:r w:rsidRPr="00635E72">
        <w:rPr>
          <w:rFonts w:ascii="Times New Roman" w:hAnsi="Times New Roman" w:cs="Times New Roman"/>
          <w:color w:val="auto"/>
          <w:sz w:val="24"/>
          <w:szCs w:val="24"/>
        </w:rPr>
        <w:t>е</w:t>
      </w:r>
      <w:r w:rsidR="00F4779C" w:rsidRPr="00635E72">
        <w:rPr>
          <w:rFonts w:ascii="Times New Roman" w:hAnsi="Times New Roman" w:cs="Times New Roman"/>
          <w:color w:val="auto"/>
          <w:sz w:val="24"/>
          <w:szCs w:val="24"/>
        </w:rPr>
        <w:t xml:space="preserve"> противопоказани</w:t>
      </w:r>
      <w:r w:rsidRPr="00635E72">
        <w:rPr>
          <w:rFonts w:ascii="Times New Roman" w:hAnsi="Times New Roman" w:cs="Times New Roman"/>
          <w:color w:val="auto"/>
          <w:sz w:val="24"/>
          <w:szCs w:val="24"/>
        </w:rPr>
        <w:t>я</w:t>
      </w:r>
      <w:r w:rsidR="00F4779C" w:rsidRPr="00635E72">
        <w:rPr>
          <w:rFonts w:ascii="Times New Roman" w:hAnsi="Times New Roman" w:cs="Times New Roman"/>
          <w:color w:val="auto"/>
          <w:sz w:val="24"/>
          <w:szCs w:val="24"/>
        </w:rPr>
        <w:t xml:space="preserve"> к выполнению </w:t>
      </w:r>
      <w:r w:rsidR="007040D3">
        <w:rPr>
          <w:rFonts w:ascii="Times New Roman" w:hAnsi="Times New Roman" w:cs="Times New Roman"/>
          <w:color w:val="auto"/>
          <w:sz w:val="24"/>
          <w:szCs w:val="24"/>
        </w:rPr>
        <w:t>ауто-ТГСК</w:t>
      </w:r>
      <w:bookmarkEnd w:id="26"/>
    </w:p>
    <w:p w:rsidR="00F4779C" w:rsidRPr="00FF4087"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и</w:t>
      </w:r>
      <w:r>
        <w:rPr>
          <w:rFonts w:ascii="Times New Roman" w:hAnsi="Times New Roman" w:cs="Times New Roman"/>
          <w:sz w:val="24"/>
        </w:rPr>
        <w:t>нфекционные заболевания вне обострения (очаги инфекций, требующие санации)</w:t>
      </w:r>
      <w:r w:rsidRPr="00FF4087">
        <w:rPr>
          <w:rFonts w:ascii="Times New Roman" w:hAnsi="Times New Roman" w:cs="Times New Roman"/>
          <w:sz w:val="24"/>
        </w:rPr>
        <w:t>;</w:t>
      </w:r>
    </w:p>
    <w:p w:rsidR="00F4779C"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lastRenderedPageBreak/>
        <w:t>- заболевания опорно-двигательного аппарата</w:t>
      </w:r>
      <w:r w:rsidRPr="00FF4087">
        <w:rPr>
          <w:rFonts w:ascii="Times New Roman" w:hAnsi="Times New Roman" w:cs="Times New Roman"/>
          <w:sz w:val="24"/>
        </w:rPr>
        <w:t>, системы кровообращения, органов пищеварения</w:t>
      </w:r>
      <w:r>
        <w:rPr>
          <w:rFonts w:ascii="Times New Roman" w:hAnsi="Times New Roman" w:cs="Times New Roman"/>
          <w:sz w:val="24"/>
        </w:rPr>
        <w:t xml:space="preserve"> и дыхания, мочеполовой, эндокринной и нервной систем</w:t>
      </w:r>
      <w:r w:rsidRPr="00FF4087">
        <w:rPr>
          <w:rFonts w:ascii="Times New Roman" w:hAnsi="Times New Roman" w:cs="Times New Roman"/>
          <w:sz w:val="24"/>
        </w:rPr>
        <w:t>,</w:t>
      </w:r>
      <w:r>
        <w:rPr>
          <w:rFonts w:ascii="Times New Roman" w:hAnsi="Times New Roman" w:cs="Times New Roman"/>
          <w:sz w:val="24"/>
        </w:rPr>
        <w:t xml:space="preserve"> а также заболевания других органов и систем в стадии компенсации</w:t>
      </w:r>
      <w:r w:rsidRPr="00FF4087">
        <w:rPr>
          <w:rFonts w:ascii="Times New Roman" w:hAnsi="Times New Roman" w:cs="Times New Roman"/>
          <w:sz w:val="24"/>
        </w:rPr>
        <w:t>;</w:t>
      </w:r>
    </w:p>
    <w:p w:rsidR="00F4779C" w:rsidRDefault="00F4779C" w:rsidP="00F4779C">
      <w:pPr>
        <w:spacing w:after="0" w:line="360" w:lineRule="auto"/>
        <w:ind w:firstLine="567"/>
        <w:jc w:val="both"/>
        <w:rPr>
          <w:rFonts w:ascii="Times New Roman" w:hAnsi="Times New Roman" w:cs="Times New Roman"/>
          <w:sz w:val="24"/>
        </w:rPr>
      </w:pPr>
      <w:r>
        <w:rPr>
          <w:rFonts w:ascii="Times New Roman" w:hAnsi="Times New Roman" w:cs="Times New Roman"/>
          <w:sz w:val="24"/>
        </w:rPr>
        <w:t>- возраст</w:t>
      </w:r>
      <w:r w:rsidR="00DE3C04">
        <w:rPr>
          <w:rFonts w:ascii="Times New Roman" w:hAnsi="Times New Roman" w:cs="Times New Roman"/>
          <w:sz w:val="24"/>
        </w:rPr>
        <w:t xml:space="preserve"> старше 65</w:t>
      </w:r>
      <w:r>
        <w:rPr>
          <w:rFonts w:ascii="Times New Roman" w:hAnsi="Times New Roman" w:cs="Times New Roman"/>
          <w:sz w:val="24"/>
        </w:rPr>
        <w:t xml:space="preserve"> лет.</w:t>
      </w:r>
    </w:p>
    <w:p w:rsidR="00C025F0" w:rsidRDefault="00C025F0" w:rsidP="00C025F0">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FF4087">
        <w:rPr>
          <w:rFonts w:ascii="Times New Roman" w:hAnsi="Times New Roman" w:cs="Times New Roman"/>
          <w:sz w:val="24"/>
        </w:rPr>
        <w:t>наличие в крови маркеров вируса иммунодефицита человека;</w:t>
      </w:r>
    </w:p>
    <w:p w:rsidR="00C025F0" w:rsidRPr="0014771F" w:rsidRDefault="00C025F0" w:rsidP="00780185">
      <w:pPr>
        <w:pStyle w:val="1"/>
        <w:numPr>
          <w:ilvl w:val="1"/>
          <w:numId w:val="15"/>
        </w:numPr>
        <w:spacing w:before="0" w:after="240"/>
        <w:jc w:val="center"/>
        <w:rPr>
          <w:rFonts w:ascii="Times New Roman" w:hAnsi="Times New Roman" w:cs="Times New Roman"/>
          <w:color w:val="auto"/>
          <w:sz w:val="24"/>
        </w:rPr>
      </w:pPr>
      <w:bookmarkStart w:id="27" w:name="_Toc44926624"/>
      <w:r w:rsidRPr="0014771F">
        <w:rPr>
          <w:rFonts w:ascii="Times New Roman" w:hAnsi="Times New Roman" w:cs="Times New Roman"/>
          <w:color w:val="auto"/>
          <w:sz w:val="24"/>
        </w:rPr>
        <w:t>Обследование пациентов перед ауто-ТГСК</w:t>
      </w:r>
      <w:bookmarkEnd w:id="27"/>
    </w:p>
    <w:p w:rsidR="00C025F0" w:rsidRDefault="00C025F0" w:rsidP="00C025F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Перед выполнением трансплантации аутологичных гемопоэтических стволовых клеток необходимо определить фазу заболевания, оценить соматический статус пациента и состояние кроветворения. Для этого всем пациентам проводится рутинный комплекс обследования, включающий как лабораторные, так и инструментальные методы.</w:t>
      </w:r>
    </w:p>
    <w:p w:rsidR="00C025F0" w:rsidRDefault="00C025F0" w:rsidP="00780185">
      <w:pPr>
        <w:pStyle w:val="1"/>
        <w:numPr>
          <w:ilvl w:val="2"/>
          <w:numId w:val="15"/>
        </w:numPr>
        <w:spacing w:before="0"/>
        <w:rPr>
          <w:rFonts w:ascii="Times New Roman" w:hAnsi="Times New Roman" w:cs="Times New Roman"/>
          <w:color w:val="auto"/>
          <w:sz w:val="24"/>
        </w:rPr>
      </w:pPr>
      <w:bookmarkStart w:id="28" w:name="_Toc44926625"/>
      <w:r>
        <w:rPr>
          <w:rFonts w:ascii="Times New Roman" w:hAnsi="Times New Roman" w:cs="Times New Roman"/>
          <w:color w:val="auto"/>
          <w:sz w:val="24"/>
        </w:rPr>
        <w:t xml:space="preserve">Общие методы </w:t>
      </w:r>
      <w:r w:rsidRPr="00401CC7">
        <w:rPr>
          <w:rFonts w:ascii="Times New Roman" w:hAnsi="Times New Roman" w:cs="Times New Roman"/>
          <w:color w:val="auto"/>
          <w:sz w:val="24"/>
        </w:rPr>
        <w:t>обследования</w:t>
      </w:r>
      <w:bookmarkEnd w:id="28"/>
    </w:p>
    <w:p w:rsidR="00C025F0" w:rsidRPr="006A495D" w:rsidRDefault="00C025F0" w:rsidP="00780185">
      <w:pPr>
        <w:pStyle w:val="Numlist"/>
        <w:numPr>
          <w:ilvl w:val="0"/>
          <w:numId w:val="8"/>
        </w:numPr>
        <w:tabs>
          <w:tab w:val="left" w:pos="284"/>
        </w:tabs>
        <w:spacing w:before="240" w:line="360" w:lineRule="auto"/>
        <w:ind w:left="0" w:firstLine="284"/>
        <w:jc w:val="both"/>
      </w:pPr>
      <w:r>
        <w:t>Развернутый анализ крови.</w:t>
      </w:r>
    </w:p>
    <w:p w:rsidR="00C025F0" w:rsidRPr="006A495D" w:rsidRDefault="00C025F0" w:rsidP="00780185">
      <w:pPr>
        <w:pStyle w:val="Numlist"/>
        <w:numPr>
          <w:ilvl w:val="0"/>
          <w:numId w:val="8"/>
        </w:numPr>
        <w:tabs>
          <w:tab w:val="left" w:pos="284"/>
        </w:tabs>
        <w:spacing w:line="360" w:lineRule="auto"/>
        <w:ind w:left="0" w:firstLine="284"/>
        <w:jc w:val="both"/>
      </w:pPr>
      <w:r w:rsidRPr="006A495D">
        <w:t xml:space="preserve">Биохимический анализ крови с обязательным определением: </w:t>
      </w:r>
      <w:r>
        <w:t xml:space="preserve">уровней </w:t>
      </w:r>
      <w:r w:rsidRPr="006A495D">
        <w:t xml:space="preserve">общего белка, альбумина, креатинина, мочевой кислоты, калия, кальция, </w:t>
      </w:r>
      <w:r>
        <w:t xml:space="preserve">активности </w:t>
      </w:r>
      <w:r w:rsidRPr="006A495D">
        <w:t>ЛДГ.</w:t>
      </w:r>
    </w:p>
    <w:p w:rsidR="00C025F0" w:rsidRDefault="00C025F0" w:rsidP="00780185">
      <w:pPr>
        <w:pStyle w:val="Numlist"/>
        <w:numPr>
          <w:ilvl w:val="0"/>
          <w:numId w:val="8"/>
        </w:numPr>
        <w:tabs>
          <w:tab w:val="left" w:pos="284"/>
        </w:tabs>
        <w:spacing w:line="360" w:lineRule="auto"/>
        <w:ind w:left="0" w:firstLine="284"/>
        <w:jc w:val="both"/>
      </w:pPr>
      <w:r>
        <w:t>Общий анализ мочи.</w:t>
      </w:r>
    </w:p>
    <w:p w:rsidR="00C025F0" w:rsidRDefault="00C025F0" w:rsidP="00780185">
      <w:pPr>
        <w:pStyle w:val="Numlist"/>
        <w:numPr>
          <w:ilvl w:val="0"/>
          <w:numId w:val="8"/>
        </w:numPr>
        <w:tabs>
          <w:tab w:val="left" w:pos="284"/>
        </w:tabs>
        <w:spacing w:line="360" w:lineRule="auto"/>
        <w:ind w:left="0" w:firstLine="284"/>
        <w:jc w:val="both"/>
      </w:pPr>
      <w:r>
        <w:t>Глюкоза крови.</w:t>
      </w:r>
    </w:p>
    <w:p w:rsidR="00C025F0" w:rsidRDefault="00C025F0" w:rsidP="00780185">
      <w:pPr>
        <w:pStyle w:val="Numlist"/>
        <w:numPr>
          <w:ilvl w:val="0"/>
          <w:numId w:val="8"/>
        </w:numPr>
        <w:tabs>
          <w:tab w:val="left" w:pos="284"/>
        </w:tabs>
        <w:spacing w:line="360" w:lineRule="auto"/>
        <w:ind w:left="0" w:firstLine="284"/>
        <w:jc w:val="both"/>
      </w:pPr>
      <w:r>
        <w:t>Определение скорости клубочковой фильтрации.</w:t>
      </w:r>
    </w:p>
    <w:p w:rsidR="00C025F0" w:rsidRDefault="00C025F0" w:rsidP="00780185">
      <w:pPr>
        <w:pStyle w:val="Numlist"/>
        <w:numPr>
          <w:ilvl w:val="0"/>
          <w:numId w:val="8"/>
        </w:numPr>
        <w:tabs>
          <w:tab w:val="left" w:pos="284"/>
        </w:tabs>
        <w:spacing w:line="360" w:lineRule="auto"/>
        <w:ind w:left="0" w:firstLine="284"/>
        <w:jc w:val="both"/>
      </w:pPr>
      <w:r>
        <w:t>Коагулограмма (протромбин, международное нормализованное отношение, активированное частичное тромбопластиновое время, фибриноген, тромбиновое время, антитромбин III, плазминоген).</w:t>
      </w:r>
    </w:p>
    <w:p w:rsidR="00C025F0" w:rsidRPr="006A495D" w:rsidRDefault="00C025F0" w:rsidP="00780185">
      <w:pPr>
        <w:pStyle w:val="Numlist"/>
        <w:numPr>
          <w:ilvl w:val="0"/>
          <w:numId w:val="8"/>
        </w:numPr>
        <w:tabs>
          <w:tab w:val="left" w:pos="284"/>
        </w:tabs>
        <w:spacing w:line="360" w:lineRule="auto"/>
        <w:ind w:left="0" w:firstLine="284"/>
        <w:jc w:val="both"/>
      </w:pPr>
      <w:r w:rsidRPr="006A495D">
        <w:t xml:space="preserve">Пункция костного мозга </w:t>
      </w:r>
      <w:r>
        <w:t xml:space="preserve">с </w:t>
      </w:r>
      <w:r w:rsidRPr="006A495D">
        <w:t>подсчет</w:t>
      </w:r>
      <w:r>
        <w:t>ом миелограммы</w:t>
      </w:r>
      <w:r w:rsidRPr="006A495D">
        <w:t>.</w:t>
      </w:r>
    </w:p>
    <w:p w:rsidR="00C025F0" w:rsidRDefault="00C025F0" w:rsidP="00780185">
      <w:pPr>
        <w:pStyle w:val="Numlist"/>
        <w:numPr>
          <w:ilvl w:val="0"/>
          <w:numId w:val="8"/>
        </w:numPr>
        <w:tabs>
          <w:tab w:val="left" w:pos="284"/>
        </w:tabs>
        <w:spacing w:line="360" w:lineRule="auto"/>
        <w:ind w:left="0" w:firstLine="284"/>
        <w:jc w:val="both"/>
      </w:pPr>
      <w:r>
        <w:t>Гистологическое</w:t>
      </w:r>
      <w:r w:rsidRPr="00100A57">
        <w:t xml:space="preserve"> исследование биопсийного материала костного мозга</w:t>
      </w:r>
      <w:r>
        <w:t xml:space="preserve"> для оценки кроветворения.</w:t>
      </w:r>
    </w:p>
    <w:p w:rsidR="00C025F0" w:rsidRDefault="00C025F0" w:rsidP="00780185">
      <w:pPr>
        <w:pStyle w:val="Numlist"/>
        <w:numPr>
          <w:ilvl w:val="0"/>
          <w:numId w:val="8"/>
        </w:numPr>
        <w:tabs>
          <w:tab w:val="left" w:pos="284"/>
        </w:tabs>
        <w:spacing w:line="360" w:lineRule="auto"/>
        <w:ind w:left="0" w:firstLine="284"/>
        <w:jc w:val="both"/>
      </w:pPr>
      <w:r>
        <w:t>Гистологическое</w:t>
      </w:r>
      <w:r w:rsidRPr="00100A57">
        <w:t xml:space="preserve"> исследование биопсийного материала костного мозга с применением иммуногистохимических методов</w:t>
      </w:r>
      <w:r>
        <w:t xml:space="preserve"> для оценки </w:t>
      </w:r>
      <w:r w:rsidR="00DE3C04">
        <w:t xml:space="preserve">состояния </w:t>
      </w:r>
      <w:r>
        <w:t>кроветворения</w:t>
      </w:r>
      <w:r w:rsidR="00DE3C04">
        <w:t xml:space="preserve"> и инфильтрации костного мозга опухолевыми клетками</w:t>
      </w:r>
      <w:r>
        <w:t>.</w:t>
      </w:r>
    </w:p>
    <w:p w:rsidR="00C025F0" w:rsidRDefault="00C025F0" w:rsidP="00780185">
      <w:pPr>
        <w:pStyle w:val="Numlist"/>
        <w:numPr>
          <w:ilvl w:val="0"/>
          <w:numId w:val="8"/>
        </w:numPr>
        <w:tabs>
          <w:tab w:val="left" w:pos="284"/>
        </w:tabs>
        <w:spacing w:line="360" w:lineRule="auto"/>
        <w:ind w:left="0" w:firstLine="284"/>
        <w:jc w:val="both"/>
      </w:pPr>
      <w:r w:rsidRPr="006A495D">
        <w:t>Иммунофенотипическое исследование костного мозга методом проточной цитометрии</w:t>
      </w:r>
      <w:r>
        <w:t xml:space="preserve"> для определения </w:t>
      </w:r>
      <w:r w:rsidR="00FF3180">
        <w:t xml:space="preserve">маркеров </w:t>
      </w:r>
      <w:r>
        <w:t>минимальной остаточной болезни.</w:t>
      </w:r>
    </w:p>
    <w:p w:rsidR="00C025F0" w:rsidRDefault="00C025F0" w:rsidP="00780185">
      <w:pPr>
        <w:pStyle w:val="Numlist"/>
        <w:numPr>
          <w:ilvl w:val="0"/>
          <w:numId w:val="8"/>
        </w:numPr>
        <w:tabs>
          <w:tab w:val="left" w:pos="284"/>
        </w:tabs>
        <w:spacing w:line="360" w:lineRule="auto"/>
        <w:ind w:left="0" w:firstLine="284"/>
        <w:jc w:val="both"/>
      </w:pPr>
      <w:r>
        <w:t>Определение группы крови (</w:t>
      </w:r>
      <w:r w:rsidRPr="00100A57">
        <w:rPr>
          <w:lang w:val="en-US"/>
        </w:rPr>
        <w:t>ABO</w:t>
      </w:r>
      <w:r w:rsidRPr="00100A57">
        <w:t xml:space="preserve">, </w:t>
      </w:r>
      <w:r>
        <w:t xml:space="preserve">Резус, </w:t>
      </w:r>
      <w:r w:rsidRPr="00100A57">
        <w:t>фенотип по</w:t>
      </w:r>
      <w:r>
        <w:t xml:space="preserve"> антигенам C, c, E, e, Cw, K, k, а также </w:t>
      </w:r>
      <w:r w:rsidRPr="00100A57">
        <w:t>определение антиэритроцитарных антител</w:t>
      </w:r>
      <w:r>
        <w:t>).</w:t>
      </w:r>
    </w:p>
    <w:p w:rsidR="00C025F0" w:rsidRPr="006A495D" w:rsidRDefault="00C025F0" w:rsidP="00780185">
      <w:pPr>
        <w:pStyle w:val="Numlist"/>
        <w:numPr>
          <w:ilvl w:val="0"/>
          <w:numId w:val="8"/>
        </w:numPr>
        <w:tabs>
          <w:tab w:val="left" w:pos="284"/>
        </w:tabs>
        <w:spacing w:line="360" w:lineRule="auto"/>
        <w:ind w:left="0" w:firstLine="284"/>
        <w:jc w:val="both"/>
      </w:pPr>
      <w:r>
        <w:t>Исследование на м</w:t>
      </w:r>
      <w:r w:rsidRPr="006A495D">
        <w:t>аркеры вирусов гепатит</w:t>
      </w:r>
      <w:r>
        <w:t>ов</w:t>
      </w:r>
      <w:r>
        <w:rPr>
          <w:lang w:val="en-US"/>
        </w:rPr>
        <w:t> B</w:t>
      </w:r>
      <w:r w:rsidRPr="006A495D">
        <w:t xml:space="preserve"> и </w:t>
      </w:r>
      <w:r>
        <w:rPr>
          <w:lang w:val="en-US"/>
        </w:rPr>
        <w:t>C</w:t>
      </w:r>
      <w:r w:rsidRPr="006A495D">
        <w:t xml:space="preserve">, </w:t>
      </w:r>
      <w:r>
        <w:t>ВИЧ</w:t>
      </w:r>
      <w:r w:rsidR="00FF3180">
        <w:t xml:space="preserve">, </w:t>
      </w:r>
      <w:r w:rsidR="00FF3180">
        <w:rPr>
          <w:lang w:val="en-US"/>
        </w:rPr>
        <w:t>RW</w:t>
      </w:r>
      <w:r w:rsidR="00DE3C04">
        <w:t>, ЦМВ, ЭБВ, при возможности токсоплазмы.</w:t>
      </w:r>
    </w:p>
    <w:p w:rsidR="00C025F0" w:rsidRPr="006A495D" w:rsidRDefault="00C025F0" w:rsidP="00780185">
      <w:pPr>
        <w:pStyle w:val="Numlist"/>
        <w:numPr>
          <w:ilvl w:val="0"/>
          <w:numId w:val="8"/>
        </w:numPr>
        <w:tabs>
          <w:tab w:val="left" w:pos="284"/>
        </w:tabs>
        <w:spacing w:line="360" w:lineRule="auto"/>
        <w:ind w:left="0" w:firstLine="284"/>
        <w:jc w:val="both"/>
      </w:pPr>
      <w:r>
        <w:t>Электрокардиограмма.</w:t>
      </w:r>
    </w:p>
    <w:p w:rsidR="00C025F0" w:rsidRDefault="00C025F0" w:rsidP="00780185">
      <w:pPr>
        <w:pStyle w:val="Numlist"/>
        <w:numPr>
          <w:ilvl w:val="0"/>
          <w:numId w:val="8"/>
        </w:numPr>
        <w:tabs>
          <w:tab w:val="left" w:pos="284"/>
        </w:tabs>
        <w:spacing w:line="360" w:lineRule="auto"/>
        <w:ind w:left="0" w:firstLine="284"/>
        <w:jc w:val="both"/>
      </w:pPr>
      <w:r w:rsidRPr="005A330B">
        <w:lastRenderedPageBreak/>
        <w:t>Эхокардиография</w:t>
      </w:r>
      <w:r>
        <w:t>.</w:t>
      </w:r>
    </w:p>
    <w:p w:rsidR="00DE3C04" w:rsidRDefault="00DE3C04" w:rsidP="00780185">
      <w:pPr>
        <w:pStyle w:val="Numlist"/>
        <w:numPr>
          <w:ilvl w:val="0"/>
          <w:numId w:val="8"/>
        </w:numPr>
        <w:tabs>
          <w:tab w:val="left" w:pos="284"/>
        </w:tabs>
        <w:spacing w:line="360" w:lineRule="auto"/>
        <w:ind w:left="0" w:firstLine="284"/>
        <w:jc w:val="both"/>
      </w:pPr>
      <w:r>
        <w:t>Функция внешнего дыхания.</w:t>
      </w:r>
    </w:p>
    <w:p w:rsidR="00C025F0" w:rsidRDefault="00C025F0" w:rsidP="00780185">
      <w:pPr>
        <w:pStyle w:val="Numlist"/>
        <w:numPr>
          <w:ilvl w:val="0"/>
          <w:numId w:val="8"/>
        </w:numPr>
        <w:tabs>
          <w:tab w:val="left" w:pos="284"/>
        </w:tabs>
        <w:spacing w:line="360" w:lineRule="auto"/>
        <w:ind w:left="0" w:firstLine="284"/>
        <w:jc w:val="both"/>
      </w:pPr>
      <w:r>
        <w:t>Холтеровское мониторирование сердечного ритма – при выявлении нарушений ритма и проводимости на ЭКГ.</w:t>
      </w:r>
    </w:p>
    <w:p w:rsidR="00C025F0" w:rsidRDefault="00C025F0" w:rsidP="00780185">
      <w:pPr>
        <w:pStyle w:val="Numlist"/>
        <w:numPr>
          <w:ilvl w:val="0"/>
          <w:numId w:val="8"/>
        </w:numPr>
        <w:tabs>
          <w:tab w:val="left" w:pos="284"/>
        </w:tabs>
        <w:spacing w:line="360" w:lineRule="auto"/>
        <w:ind w:left="0" w:firstLine="284"/>
        <w:jc w:val="both"/>
      </w:pPr>
      <w:r>
        <w:t>УЗИ брюшной полости (комплексное).</w:t>
      </w:r>
    </w:p>
    <w:p w:rsidR="00C025F0" w:rsidRDefault="00C025F0" w:rsidP="00780185">
      <w:pPr>
        <w:pStyle w:val="Numlist"/>
        <w:numPr>
          <w:ilvl w:val="0"/>
          <w:numId w:val="8"/>
        </w:numPr>
        <w:tabs>
          <w:tab w:val="left" w:pos="284"/>
        </w:tabs>
        <w:spacing w:line="360" w:lineRule="auto"/>
        <w:ind w:left="0" w:firstLine="284"/>
        <w:jc w:val="both"/>
      </w:pPr>
      <w:r w:rsidRPr="005A330B">
        <w:t>Ультразвуковая допплерография сосудов (артерий и вен) нижних конечностей</w:t>
      </w:r>
      <w:r w:rsidRPr="006A495D">
        <w:t xml:space="preserve"> </w:t>
      </w:r>
      <w:r>
        <w:t>- при необходимости.</w:t>
      </w:r>
    </w:p>
    <w:p w:rsidR="00C025F0" w:rsidRPr="006A495D" w:rsidRDefault="00C025F0" w:rsidP="00780185">
      <w:pPr>
        <w:pStyle w:val="Numlist"/>
        <w:numPr>
          <w:ilvl w:val="0"/>
          <w:numId w:val="8"/>
        </w:numPr>
        <w:tabs>
          <w:tab w:val="left" w:pos="284"/>
        </w:tabs>
        <w:spacing w:line="360" w:lineRule="auto"/>
        <w:ind w:left="0" w:firstLine="284"/>
        <w:jc w:val="both"/>
      </w:pPr>
      <w:r w:rsidRPr="00433BA2">
        <w:t>Эзофагогастродуоденоскопия</w:t>
      </w:r>
      <w:r>
        <w:t xml:space="preserve"> с биопсией – при наличии диспепсических расстройств или язвенной болезни желудка/ двенадцатиперстной кишки в анамнезе.</w:t>
      </w:r>
    </w:p>
    <w:p w:rsidR="00C025F0" w:rsidRDefault="00DE3C04" w:rsidP="00780185">
      <w:pPr>
        <w:pStyle w:val="Numlist"/>
        <w:numPr>
          <w:ilvl w:val="0"/>
          <w:numId w:val="8"/>
        </w:numPr>
        <w:tabs>
          <w:tab w:val="left" w:pos="284"/>
        </w:tabs>
        <w:spacing w:line="360" w:lineRule="auto"/>
        <w:ind w:left="0" w:firstLine="284"/>
        <w:jc w:val="both"/>
      </w:pPr>
      <w:r>
        <w:t>МРТ головного мозга, придаточных пазух носа с целью выявления скрытых очагов инфекций.</w:t>
      </w:r>
    </w:p>
    <w:p w:rsidR="00C025F0" w:rsidRDefault="00C025F0" w:rsidP="00780185">
      <w:pPr>
        <w:pStyle w:val="Numlist"/>
        <w:numPr>
          <w:ilvl w:val="0"/>
          <w:numId w:val="8"/>
        </w:numPr>
        <w:tabs>
          <w:tab w:val="left" w:pos="284"/>
        </w:tabs>
        <w:spacing w:line="360" w:lineRule="auto"/>
        <w:ind w:left="0" w:firstLine="284"/>
        <w:jc w:val="both"/>
      </w:pPr>
      <w:r>
        <w:t>КТ органов грудной полости.</w:t>
      </w:r>
    </w:p>
    <w:p w:rsidR="00C025F0" w:rsidRDefault="00C025F0" w:rsidP="00780185">
      <w:pPr>
        <w:pStyle w:val="Numlist"/>
        <w:numPr>
          <w:ilvl w:val="0"/>
          <w:numId w:val="8"/>
        </w:numPr>
        <w:tabs>
          <w:tab w:val="left" w:pos="284"/>
        </w:tabs>
        <w:spacing w:line="360" w:lineRule="auto"/>
        <w:ind w:left="0" w:firstLine="284"/>
        <w:jc w:val="both"/>
      </w:pPr>
      <w:r>
        <w:t>Люмбальная пункция с последующим цитологическим, комплексным иммунохимическим и иммунофенотипическим исследованием ликвора при подозрении на вовлечение в патологический процесс центральной нервной системы.</w:t>
      </w:r>
    </w:p>
    <w:p w:rsidR="00DE3C04" w:rsidRDefault="00DE3C04" w:rsidP="00780185">
      <w:pPr>
        <w:pStyle w:val="Numlist"/>
        <w:numPr>
          <w:ilvl w:val="0"/>
          <w:numId w:val="8"/>
        </w:numPr>
        <w:tabs>
          <w:tab w:val="left" w:pos="284"/>
        </w:tabs>
        <w:spacing w:line="360" w:lineRule="auto"/>
        <w:ind w:left="0" w:firstLine="284"/>
        <w:jc w:val="both"/>
      </w:pPr>
      <w:r>
        <w:t>Осмотр стоматолога.</w:t>
      </w:r>
    </w:p>
    <w:p w:rsidR="00DE3C04" w:rsidRPr="0031585B" w:rsidRDefault="00C025F0" w:rsidP="00DE3C04">
      <w:pPr>
        <w:pStyle w:val="Numlist"/>
        <w:numPr>
          <w:ilvl w:val="0"/>
          <w:numId w:val="8"/>
        </w:numPr>
        <w:tabs>
          <w:tab w:val="left" w:pos="284"/>
        </w:tabs>
        <w:spacing w:after="240" w:line="360" w:lineRule="auto"/>
        <w:ind w:left="0" w:firstLine="284"/>
        <w:jc w:val="both"/>
      </w:pPr>
      <w:r>
        <w:t>Осмотр гинеколога и УЗИ органов малого таза - для женщин.</w:t>
      </w:r>
    </w:p>
    <w:p w:rsidR="00C025F0" w:rsidRDefault="00C025F0" w:rsidP="00780185">
      <w:pPr>
        <w:pStyle w:val="1"/>
        <w:numPr>
          <w:ilvl w:val="2"/>
          <w:numId w:val="15"/>
        </w:numPr>
        <w:spacing w:before="0"/>
        <w:jc w:val="both"/>
        <w:rPr>
          <w:rFonts w:ascii="Times New Roman" w:hAnsi="Times New Roman" w:cs="Times New Roman"/>
          <w:color w:val="auto"/>
          <w:sz w:val="24"/>
        </w:rPr>
      </w:pPr>
      <w:bookmarkStart w:id="29" w:name="_Toc44926626"/>
      <w:r w:rsidRPr="002E3EFF">
        <w:rPr>
          <w:rFonts w:ascii="Times New Roman" w:hAnsi="Times New Roman" w:cs="Times New Roman"/>
          <w:color w:val="auto"/>
          <w:sz w:val="24"/>
        </w:rPr>
        <w:t>Специальные м</w:t>
      </w:r>
      <w:r w:rsidRPr="00F32023">
        <w:rPr>
          <w:rFonts w:ascii="Times New Roman" w:hAnsi="Times New Roman" w:cs="Times New Roman"/>
          <w:color w:val="auto"/>
          <w:sz w:val="24"/>
        </w:rPr>
        <w:t xml:space="preserve">етоды обследования </w:t>
      </w:r>
      <w:r>
        <w:rPr>
          <w:rFonts w:ascii="Times New Roman" w:hAnsi="Times New Roman" w:cs="Times New Roman"/>
          <w:color w:val="auto"/>
          <w:sz w:val="24"/>
        </w:rPr>
        <w:t>при различных вариантах гемобластозов</w:t>
      </w:r>
      <w:bookmarkEnd w:id="29"/>
    </w:p>
    <w:p w:rsidR="00C025F0" w:rsidRPr="007133A9" w:rsidRDefault="00C025F0" w:rsidP="00780185">
      <w:pPr>
        <w:pStyle w:val="a3"/>
        <w:numPr>
          <w:ilvl w:val="0"/>
          <w:numId w:val="14"/>
        </w:numPr>
        <w:spacing w:before="240"/>
        <w:rPr>
          <w:rFonts w:ascii="Times New Roman" w:hAnsi="Times New Roman" w:cs="Times New Roman"/>
          <w:b/>
        </w:rPr>
      </w:pPr>
      <w:r w:rsidRPr="007133A9">
        <w:rPr>
          <w:rFonts w:ascii="Times New Roman" w:hAnsi="Times New Roman" w:cs="Times New Roman"/>
          <w:b/>
        </w:rPr>
        <w:t xml:space="preserve">Множественная миелома </w:t>
      </w:r>
    </w:p>
    <w:p w:rsidR="00C025F0" w:rsidRPr="006A495D" w:rsidRDefault="00C025F0" w:rsidP="00780185">
      <w:pPr>
        <w:pStyle w:val="Numlist"/>
        <w:numPr>
          <w:ilvl w:val="0"/>
          <w:numId w:val="9"/>
        </w:numPr>
        <w:tabs>
          <w:tab w:val="left" w:pos="284"/>
        </w:tabs>
        <w:spacing w:line="360" w:lineRule="auto"/>
        <w:ind w:left="0" w:firstLine="284"/>
        <w:jc w:val="both"/>
      </w:pPr>
      <w:r>
        <w:t>Комплексное и</w:t>
      </w:r>
      <w:r w:rsidRPr="006A495D">
        <w:t>ммунохимическое исследование сыворотки и мочи</w:t>
      </w:r>
      <w:r>
        <w:t xml:space="preserve">, включающее </w:t>
      </w:r>
    </w:p>
    <w:p w:rsidR="00C025F0" w:rsidRPr="006A495D" w:rsidRDefault="00C025F0" w:rsidP="00C025F0">
      <w:pPr>
        <w:pStyle w:val="Numlist"/>
        <w:tabs>
          <w:tab w:val="left" w:pos="284"/>
        </w:tabs>
        <w:spacing w:line="360" w:lineRule="auto"/>
        <w:ind w:firstLine="284"/>
        <w:jc w:val="both"/>
      </w:pPr>
      <w:r w:rsidRPr="006A495D">
        <w:t>- электрофорез и иммунофи</w:t>
      </w:r>
      <w:r>
        <w:t>ксация белков сыворотки и мочи с определением белка Бенс-Джонса;</w:t>
      </w:r>
    </w:p>
    <w:p w:rsidR="00C025F0" w:rsidRPr="006A495D" w:rsidRDefault="00C025F0" w:rsidP="00C025F0">
      <w:pPr>
        <w:pStyle w:val="Numlist"/>
        <w:tabs>
          <w:tab w:val="left" w:pos="284"/>
        </w:tabs>
        <w:spacing w:line="360" w:lineRule="auto"/>
        <w:ind w:firstLine="284"/>
        <w:jc w:val="both"/>
      </w:pPr>
      <w:r w:rsidRPr="006A495D">
        <w:t>- определение уровня п</w:t>
      </w:r>
      <w:r>
        <w:t>оликлональных иммуноглобулинов (</w:t>
      </w:r>
      <w:r w:rsidRPr="00F32023">
        <w:t>A</w:t>
      </w:r>
      <w:r w:rsidRPr="00027FD8">
        <w:t xml:space="preserve">, </w:t>
      </w:r>
      <w:r w:rsidRPr="00F32023">
        <w:t>G</w:t>
      </w:r>
      <w:r w:rsidRPr="00027FD8">
        <w:t>,</w:t>
      </w:r>
      <w:r w:rsidRPr="00F32023">
        <w:t>M</w:t>
      </w:r>
      <w:r w:rsidRPr="00027FD8">
        <w:t>)</w:t>
      </w:r>
      <w:r>
        <w:t>;</w:t>
      </w:r>
    </w:p>
    <w:p w:rsidR="00C025F0" w:rsidRPr="006A495D" w:rsidRDefault="00C025F0" w:rsidP="00C025F0">
      <w:pPr>
        <w:pStyle w:val="Numlist"/>
        <w:tabs>
          <w:tab w:val="left" w:pos="284"/>
        </w:tabs>
        <w:spacing w:line="360" w:lineRule="auto"/>
        <w:ind w:firstLine="284"/>
        <w:jc w:val="both"/>
      </w:pPr>
      <w:r w:rsidRPr="006A495D">
        <w:t xml:space="preserve">- определение свободных легких цепей </w:t>
      </w:r>
      <w:r>
        <w:t>и их соотношения при «неизмеряемом» заболевании.</w:t>
      </w:r>
    </w:p>
    <w:p w:rsidR="00C025F0" w:rsidRDefault="00C025F0" w:rsidP="00780185">
      <w:pPr>
        <w:pStyle w:val="Numlist"/>
        <w:numPr>
          <w:ilvl w:val="0"/>
          <w:numId w:val="9"/>
        </w:numPr>
        <w:tabs>
          <w:tab w:val="left" w:pos="284"/>
        </w:tabs>
        <w:spacing w:line="360" w:lineRule="auto"/>
        <w:ind w:left="0" w:firstLine="284"/>
        <w:jc w:val="both"/>
      </w:pPr>
      <w:r>
        <w:t xml:space="preserve">КТ костей позвоночника, таза, грудной полости – контроль размеров плазмоцитом - для оценки противоопухолевого ответа. </w:t>
      </w:r>
    </w:p>
    <w:p w:rsidR="00C025F0" w:rsidRDefault="00C025F0" w:rsidP="00780185">
      <w:pPr>
        <w:pStyle w:val="Numlist"/>
        <w:numPr>
          <w:ilvl w:val="0"/>
          <w:numId w:val="9"/>
        </w:numPr>
        <w:tabs>
          <w:tab w:val="left" w:pos="284"/>
        </w:tabs>
        <w:spacing w:line="360" w:lineRule="auto"/>
        <w:ind w:left="0" w:firstLine="284"/>
        <w:jc w:val="both"/>
      </w:pPr>
      <w:r>
        <w:t>Позитронно-эмиссионная томография, совмещенная с КТ – при достижении полной ремиссии заболевания.</w:t>
      </w:r>
    </w:p>
    <w:p w:rsidR="00C025F0" w:rsidRDefault="00C025F0" w:rsidP="00780185">
      <w:pPr>
        <w:pStyle w:val="Numlist"/>
        <w:numPr>
          <w:ilvl w:val="0"/>
          <w:numId w:val="9"/>
        </w:numPr>
        <w:tabs>
          <w:tab w:val="left" w:pos="284"/>
        </w:tabs>
        <w:spacing w:line="360" w:lineRule="auto"/>
        <w:ind w:left="0" w:firstLine="284"/>
        <w:jc w:val="both"/>
      </w:pPr>
      <w:r>
        <w:t>Магнитно-резонансная томография области мягкотканного компонента для оценки размеров и противоопухолевого ответа.</w:t>
      </w:r>
    </w:p>
    <w:p w:rsidR="00C025F0" w:rsidRPr="007133A9" w:rsidRDefault="00C025F0" w:rsidP="00780185">
      <w:pPr>
        <w:pStyle w:val="a3"/>
        <w:numPr>
          <w:ilvl w:val="0"/>
          <w:numId w:val="14"/>
        </w:numPr>
        <w:spacing w:before="240"/>
        <w:rPr>
          <w:rFonts w:ascii="Times New Roman" w:hAnsi="Times New Roman" w:cs="Times New Roman"/>
          <w:b/>
        </w:rPr>
      </w:pPr>
      <w:r w:rsidRPr="007133A9">
        <w:rPr>
          <w:rFonts w:ascii="Times New Roman" w:hAnsi="Times New Roman" w:cs="Times New Roman"/>
          <w:b/>
          <w:lang w:val="en-US"/>
        </w:rPr>
        <w:t>AL</w:t>
      </w:r>
      <w:r w:rsidRPr="007133A9">
        <w:rPr>
          <w:rFonts w:ascii="Times New Roman" w:hAnsi="Times New Roman" w:cs="Times New Roman"/>
          <w:b/>
        </w:rPr>
        <w:t xml:space="preserve"> – амилоидоз и другие плазмоклеточные дискразии </w:t>
      </w:r>
    </w:p>
    <w:p w:rsidR="00C025F0" w:rsidRPr="006A495D" w:rsidRDefault="00C025F0" w:rsidP="00780185">
      <w:pPr>
        <w:pStyle w:val="Numlist"/>
        <w:numPr>
          <w:ilvl w:val="0"/>
          <w:numId w:val="10"/>
        </w:numPr>
        <w:tabs>
          <w:tab w:val="left" w:pos="284"/>
        </w:tabs>
        <w:spacing w:line="360" w:lineRule="auto"/>
        <w:ind w:left="0" w:firstLine="284"/>
        <w:jc w:val="both"/>
      </w:pPr>
      <w:r>
        <w:lastRenderedPageBreak/>
        <w:t>Комплексное и</w:t>
      </w:r>
      <w:r w:rsidRPr="006A495D">
        <w:t>ммунохимическое исследование сыворотки и мочи</w:t>
      </w:r>
      <w:r>
        <w:t xml:space="preserve">, включающее </w:t>
      </w:r>
    </w:p>
    <w:p w:rsidR="00C025F0" w:rsidRPr="006A495D" w:rsidRDefault="00C025F0" w:rsidP="00C025F0">
      <w:pPr>
        <w:pStyle w:val="Numlist"/>
        <w:tabs>
          <w:tab w:val="left" w:pos="284"/>
        </w:tabs>
        <w:spacing w:line="360" w:lineRule="auto"/>
        <w:ind w:firstLine="284"/>
        <w:jc w:val="both"/>
      </w:pPr>
      <w:r w:rsidRPr="006A495D">
        <w:t>- электрофорез и иммунофи</w:t>
      </w:r>
      <w:r>
        <w:t>ксация белков сыворотки и мочи с определением белка Бенс-Джонса;</w:t>
      </w:r>
    </w:p>
    <w:p w:rsidR="00C025F0" w:rsidRPr="006A495D" w:rsidRDefault="00C025F0" w:rsidP="00C025F0">
      <w:pPr>
        <w:pStyle w:val="Numlist"/>
        <w:tabs>
          <w:tab w:val="left" w:pos="284"/>
        </w:tabs>
        <w:spacing w:line="360" w:lineRule="auto"/>
        <w:ind w:firstLine="284"/>
        <w:jc w:val="both"/>
      </w:pPr>
      <w:r w:rsidRPr="006A495D">
        <w:t>- определение уровня п</w:t>
      </w:r>
      <w:r>
        <w:t>оликлональных иммуноглобулинов (</w:t>
      </w:r>
      <w:r w:rsidRPr="00F32023">
        <w:t>A</w:t>
      </w:r>
      <w:r w:rsidRPr="00027FD8">
        <w:t xml:space="preserve">, </w:t>
      </w:r>
      <w:r w:rsidRPr="00F32023">
        <w:t>G</w:t>
      </w:r>
      <w:r w:rsidRPr="00027FD8">
        <w:t>,</w:t>
      </w:r>
      <w:r w:rsidRPr="00F32023">
        <w:t>M</w:t>
      </w:r>
      <w:r w:rsidRPr="00027FD8">
        <w:t>)</w:t>
      </w:r>
      <w:r>
        <w:t>;</w:t>
      </w:r>
    </w:p>
    <w:p w:rsidR="00C025F0" w:rsidRPr="006A495D" w:rsidRDefault="00C025F0" w:rsidP="00C025F0">
      <w:pPr>
        <w:pStyle w:val="Numlist"/>
        <w:tabs>
          <w:tab w:val="left" w:pos="284"/>
        </w:tabs>
        <w:spacing w:line="360" w:lineRule="auto"/>
        <w:ind w:firstLine="284"/>
        <w:jc w:val="both"/>
      </w:pPr>
      <w:r w:rsidRPr="006A495D">
        <w:t xml:space="preserve">- определение свободных легких цепей </w:t>
      </w:r>
      <w:r>
        <w:t>и их соотношения при «неизмеряемом» заболевании.</w:t>
      </w:r>
    </w:p>
    <w:p w:rsidR="00C025F0" w:rsidRDefault="00C025F0" w:rsidP="00780185">
      <w:pPr>
        <w:pStyle w:val="Numlist"/>
        <w:numPr>
          <w:ilvl w:val="0"/>
          <w:numId w:val="10"/>
        </w:numPr>
        <w:tabs>
          <w:tab w:val="left" w:pos="284"/>
        </w:tabs>
        <w:spacing w:line="360" w:lineRule="auto"/>
        <w:ind w:left="0" w:firstLine="284"/>
        <w:jc w:val="both"/>
      </w:pPr>
      <w:r>
        <w:t xml:space="preserve">УЗИ почек. </w:t>
      </w:r>
    </w:p>
    <w:p w:rsidR="00C025F0" w:rsidRDefault="00C025F0" w:rsidP="00780185">
      <w:pPr>
        <w:pStyle w:val="Numlist"/>
        <w:numPr>
          <w:ilvl w:val="0"/>
          <w:numId w:val="10"/>
        </w:numPr>
        <w:tabs>
          <w:tab w:val="left" w:pos="284"/>
        </w:tabs>
        <w:spacing w:line="360" w:lineRule="auto"/>
        <w:ind w:left="0" w:firstLine="284"/>
        <w:jc w:val="both"/>
      </w:pPr>
      <w:r w:rsidRPr="00CA2E71">
        <w:t>Мозговой натрийуретический пептид</w:t>
      </w:r>
      <w:r>
        <w:t xml:space="preserve"> (</w:t>
      </w:r>
      <w:r w:rsidRPr="00CA2E71">
        <w:rPr>
          <w:lang w:val="en-US"/>
        </w:rPr>
        <w:t>NT</w:t>
      </w:r>
      <w:r w:rsidRPr="00CA2E71">
        <w:t>-</w:t>
      </w:r>
      <w:r w:rsidRPr="00CA2E71">
        <w:rPr>
          <w:lang w:val="en-US"/>
        </w:rPr>
        <w:t>proBNP</w:t>
      </w:r>
      <w:r>
        <w:t>) –количественный показатель.</w:t>
      </w:r>
    </w:p>
    <w:p w:rsidR="00C025F0" w:rsidRDefault="00C025F0" w:rsidP="00780185">
      <w:pPr>
        <w:pStyle w:val="Numlist"/>
        <w:numPr>
          <w:ilvl w:val="0"/>
          <w:numId w:val="10"/>
        </w:numPr>
        <w:tabs>
          <w:tab w:val="left" w:pos="284"/>
        </w:tabs>
        <w:spacing w:line="360" w:lineRule="auto"/>
        <w:ind w:left="0" w:firstLine="284"/>
        <w:jc w:val="both"/>
      </w:pPr>
      <w:r w:rsidRPr="00DB2568">
        <w:t xml:space="preserve">Тропонин </w:t>
      </w:r>
      <w:r w:rsidRPr="00CA2E71">
        <w:rPr>
          <w:lang w:val="en-US"/>
        </w:rPr>
        <w:t>cTnT</w:t>
      </w:r>
      <w:r>
        <w:t xml:space="preserve"> – количественный показатель.</w:t>
      </w:r>
    </w:p>
    <w:p w:rsidR="00C025F0" w:rsidRPr="007133A9" w:rsidRDefault="00C025F0" w:rsidP="00780185">
      <w:pPr>
        <w:pStyle w:val="a3"/>
        <w:numPr>
          <w:ilvl w:val="0"/>
          <w:numId w:val="14"/>
        </w:numPr>
        <w:spacing w:before="240"/>
        <w:rPr>
          <w:rFonts w:ascii="Times New Roman" w:hAnsi="Times New Roman" w:cs="Times New Roman"/>
          <w:b/>
        </w:rPr>
      </w:pPr>
      <w:r w:rsidRPr="007133A9">
        <w:rPr>
          <w:rFonts w:ascii="Times New Roman" w:hAnsi="Times New Roman" w:cs="Times New Roman"/>
          <w:b/>
        </w:rPr>
        <w:t xml:space="preserve">Лимфопролиферативные заболевания </w:t>
      </w:r>
    </w:p>
    <w:p w:rsidR="00C025F0" w:rsidRDefault="00C025F0" w:rsidP="00780185">
      <w:pPr>
        <w:pStyle w:val="Numlist"/>
        <w:numPr>
          <w:ilvl w:val="0"/>
          <w:numId w:val="11"/>
        </w:numPr>
        <w:tabs>
          <w:tab w:val="left" w:pos="284"/>
        </w:tabs>
        <w:spacing w:line="360" w:lineRule="auto"/>
        <w:ind w:left="0" w:firstLine="284"/>
        <w:jc w:val="both"/>
      </w:pPr>
      <w:r>
        <w:t>Позитронно-эмиссионная томография, совмещенная с КТ.</w:t>
      </w:r>
    </w:p>
    <w:p w:rsidR="00C025F0" w:rsidRDefault="00C025F0" w:rsidP="00780185">
      <w:pPr>
        <w:pStyle w:val="Numlist"/>
        <w:numPr>
          <w:ilvl w:val="0"/>
          <w:numId w:val="11"/>
        </w:numPr>
        <w:tabs>
          <w:tab w:val="left" w:pos="284"/>
        </w:tabs>
        <w:spacing w:line="360" w:lineRule="auto"/>
        <w:ind w:left="0" w:firstLine="284"/>
        <w:jc w:val="both"/>
      </w:pPr>
      <w:r>
        <w:t>Исследование клональности</w:t>
      </w:r>
      <w:r w:rsidR="000829D3">
        <w:t xml:space="preserve"> (В/Т в зависимости от варианта заболевания)</w:t>
      </w:r>
      <w:r>
        <w:t xml:space="preserve"> в периферической крови, костном мозге методом полимеразной цепной реакции.</w:t>
      </w:r>
    </w:p>
    <w:p w:rsidR="00C025F0" w:rsidRDefault="00C025F0" w:rsidP="00780185">
      <w:pPr>
        <w:pStyle w:val="Numlist"/>
        <w:numPr>
          <w:ilvl w:val="0"/>
          <w:numId w:val="11"/>
        </w:numPr>
        <w:tabs>
          <w:tab w:val="left" w:pos="284"/>
        </w:tabs>
        <w:spacing w:line="360" w:lineRule="auto"/>
        <w:ind w:left="0" w:firstLine="284"/>
        <w:jc w:val="both"/>
      </w:pPr>
      <w:r>
        <w:t>О</w:t>
      </w:r>
      <w:r w:rsidRPr="006A495D">
        <w:t>пределение уровня п</w:t>
      </w:r>
      <w:r>
        <w:t>оликлональных иммуноглобулинов (</w:t>
      </w:r>
      <w:r w:rsidRPr="00F32023">
        <w:t>A</w:t>
      </w:r>
      <w:r w:rsidRPr="00027FD8">
        <w:t xml:space="preserve">, </w:t>
      </w:r>
      <w:r w:rsidRPr="00F32023">
        <w:t>G</w:t>
      </w:r>
      <w:r w:rsidRPr="00027FD8">
        <w:t>,</w:t>
      </w:r>
      <w:r w:rsidRPr="00F32023">
        <w:t>M</w:t>
      </w:r>
      <w:r w:rsidRPr="00027FD8">
        <w:t>)</w:t>
      </w:r>
      <w:r>
        <w:t>.</w:t>
      </w:r>
    </w:p>
    <w:p w:rsidR="00C025F0" w:rsidRDefault="00C025F0" w:rsidP="00780185">
      <w:pPr>
        <w:pStyle w:val="Numlist"/>
        <w:numPr>
          <w:ilvl w:val="0"/>
          <w:numId w:val="11"/>
        </w:numPr>
        <w:tabs>
          <w:tab w:val="left" w:pos="284"/>
        </w:tabs>
        <w:spacing w:line="360" w:lineRule="auto"/>
        <w:ind w:left="0" w:firstLine="284"/>
        <w:jc w:val="both"/>
      </w:pPr>
      <w:r>
        <w:t>КТ органов грудной полости с контрастированием при первичном вовлечении средостения.</w:t>
      </w:r>
    </w:p>
    <w:p w:rsidR="00C025F0" w:rsidRDefault="00C025F0" w:rsidP="00780185">
      <w:pPr>
        <w:pStyle w:val="Numlist"/>
        <w:numPr>
          <w:ilvl w:val="0"/>
          <w:numId w:val="11"/>
        </w:numPr>
        <w:tabs>
          <w:tab w:val="left" w:pos="284"/>
        </w:tabs>
        <w:spacing w:line="360" w:lineRule="auto"/>
        <w:ind w:left="0" w:firstLine="284"/>
        <w:jc w:val="both"/>
      </w:pPr>
      <w:r>
        <w:t>УЗИ периферических лимфоузлов.</w:t>
      </w:r>
    </w:p>
    <w:p w:rsidR="00C025F0" w:rsidRDefault="00C025F0" w:rsidP="00780185">
      <w:pPr>
        <w:pStyle w:val="Numlist"/>
        <w:numPr>
          <w:ilvl w:val="0"/>
          <w:numId w:val="11"/>
        </w:numPr>
        <w:tabs>
          <w:tab w:val="left" w:pos="284"/>
        </w:tabs>
        <w:spacing w:line="360" w:lineRule="auto"/>
        <w:ind w:left="0" w:firstLine="284"/>
        <w:jc w:val="both"/>
      </w:pPr>
      <w:r>
        <w:t>Активность лактатдегидрогеназы.</w:t>
      </w:r>
    </w:p>
    <w:p w:rsidR="00C025F0" w:rsidRDefault="00C025F0" w:rsidP="00780185">
      <w:pPr>
        <w:pStyle w:val="Numlist"/>
        <w:numPr>
          <w:ilvl w:val="0"/>
          <w:numId w:val="11"/>
        </w:numPr>
        <w:tabs>
          <w:tab w:val="left" w:pos="284"/>
        </w:tabs>
        <w:spacing w:line="360" w:lineRule="auto"/>
        <w:ind w:left="0" w:firstLine="284"/>
        <w:jc w:val="both"/>
      </w:pPr>
      <w:r>
        <w:t>КТ грудной полости/ брюшной полости/ таза – для оценки противоопухолевого ответа при отсутствии возможности выполнить ПЭТ/КТ или наличии противопоказаний.</w:t>
      </w:r>
    </w:p>
    <w:p w:rsidR="00C025F0" w:rsidRPr="007133A9" w:rsidRDefault="00C025F0" w:rsidP="00780185">
      <w:pPr>
        <w:pStyle w:val="a3"/>
        <w:numPr>
          <w:ilvl w:val="0"/>
          <w:numId w:val="14"/>
        </w:numPr>
        <w:spacing w:before="240"/>
        <w:rPr>
          <w:rFonts w:ascii="Times New Roman" w:hAnsi="Times New Roman" w:cs="Times New Roman"/>
          <w:b/>
        </w:rPr>
      </w:pPr>
      <w:r w:rsidRPr="007133A9">
        <w:rPr>
          <w:rFonts w:ascii="Times New Roman" w:hAnsi="Times New Roman" w:cs="Times New Roman"/>
          <w:b/>
        </w:rPr>
        <w:t>Острый промиелоцитарный лейкоз</w:t>
      </w:r>
    </w:p>
    <w:p w:rsidR="00C025F0" w:rsidRDefault="00C025F0" w:rsidP="00780185">
      <w:pPr>
        <w:pStyle w:val="Numlist"/>
        <w:numPr>
          <w:ilvl w:val="0"/>
          <w:numId w:val="13"/>
        </w:numPr>
        <w:tabs>
          <w:tab w:val="left" w:pos="284"/>
        </w:tabs>
        <w:spacing w:line="360" w:lineRule="auto"/>
        <w:ind w:left="0" w:firstLine="284"/>
        <w:jc w:val="both"/>
      </w:pPr>
      <w:r>
        <w:t>Цитогенетическое (+</w:t>
      </w:r>
      <w:r>
        <w:rPr>
          <w:lang w:val="en-US"/>
        </w:rPr>
        <w:t>FISH</w:t>
      </w:r>
      <w:r w:rsidRPr="009D3373">
        <w:t xml:space="preserve">) </w:t>
      </w:r>
      <w:r>
        <w:t>исследование пунктата костного мозга.</w:t>
      </w:r>
    </w:p>
    <w:p w:rsidR="00C025F0" w:rsidRDefault="00C025F0" w:rsidP="00780185">
      <w:pPr>
        <w:pStyle w:val="Numlist"/>
        <w:numPr>
          <w:ilvl w:val="0"/>
          <w:numId w:val="13"/>
        </w:numPr>
        <w:tabs>
          <w:tab w:val="left" w:pos="284"/>
        </w:tabs>
        <w:spacing w:line="360" w:lineRule="auto"/>
        <w:ind w:left="0" w:firstLine="284"/>
        <w:jc w:val="both"/>
      </w:pPr>
      <w:r>
        <w:t xml:space="preserve">Молекулярное исследование на </w:t>
      </w:r>
      <w:r w:rsidRPr="00C025F0">
        <w:rPr>
          <w:lang w:val="en-US"/>
        </w:rPr>
        <w:t>PML</w:t>
      </w:r>
      <w:r w:rsidRPr="009D3373">
        <w:t>/</w:t>
      </w:r>
      <w:r w:rsidRPr="00C025F0">
        <w:rPr>
          <w:lang w:val="en-US"/>
        </w:rPr>
        <w:t>RARA</w:t>
      </w:r>
      <w:r w:rsidRPr="009D3373">
        <w:t>.</w:t>
      </w:r>
    </w:p>
    <w:p w:rsidR="00C025F0" w:rsidRPr="005E14BE" w:rsidRDefault="00C025F0" w:rsidP="00780185">
      <w:pPr>
        <w:pStyle w:val="a3"/>
        <w:numPr>
          <w:ilvl w:val="0"/>
          <w:numId w:val="14"/>
        </w:numPr>
        <w:spacing w:before="240"/>
        <w:rPr>
          <w:rFonts w:ascii="Times New Roman" w:hAnsi="Times New Roman" w:cs="Times New Roman"/>
          <w:b/>
        </w:rPr>
      </w:pPr>
      <w:r w:rsidRPr="005E14BE">
        <w:rPr>
          <w:rFonts w:ascii="Times New Roman" w:hAnsi="Times New Roman" w:cs="Times New Roman"/>
          <w:b/>
          <w:lang w:val="en-US"/>
        </w:rPr>
        <w:t>Ph</w:t>
      </w:r>
      <w:r w:rsidRPr="005E14BE">
        <w:rPr>
          <w:rFonts w:ascii="Times New Roman" w:hAnsi="Times New Roman" w:cs="Times New Roman"/>
          <w:b/>
        </w:rPr>
        <w:t xml:space="preserve"> - позитивный острый лимфобластный лейкоз.</w:t>
      </w:r>
    </w:p>
    <w:p w:rsidR="00C025F0" w:rsidRDefault="005E14BE" w:rsidP="00780185">
      <w:pPr>
        <w:pStyle w:val="Numlist"/>
        <w:numPr>
          <w:ilvl w:val="0"/>
          <w:numId w:val="12"/>
        </w:numPr>
        <w:tabs>
          <w:tab w:val="left" w:pos="284"/>
        </w:tabs>
        <w:spacing w:line="360" w:lineRule="auto"/>
        <w:ind w:left="0" w:firstLine="284"/>
        <w:jc w:val="both"/>
      </w:pPr>
      <w:r>
        <w:t xml:space="preserve">Цитогенетическое исследование </w:t>
      </w:r>
      <w:r w:rsidRPr="005E14BE">
        <w:t>(</w:t>
      </w:r>
      <w:r>
        <w:rPr>
          <w:lang w:val="en-US"/>
        </w:rPr>
        <w:t>FISH</w:t>
      </w:r>
      <w:r>
        <w:t>) с целью идентификации</w:t>
      </w:r>
      <w:r w:rsidRPr="005E14BE">
        <w:t xml:space="preserve"> </w:t>
      </w:r>
      <w:r>
        <w:rPr>
          <w:lang w:val="en-US"/>
        </w:rPr>
        <w:t>BCR</w:t>
      </w:r>
      <w:r w:rsidRPr="005E14BE">
        <w:t>-</w:t>
      </w:r>
      <w:r>
        <w:rPr>
          <w:lang w:val="en-US"/>
        </w:rPr>
        <w:t>ABL</w:t>
      </w:r>
      <w:r w:rsidRPr="005E14BE">
        <w:t>.</w:t>
      </w:r>
    </w:p>
    <w:p w:rsidR="00C025F0" w:rsidRDefault="005E14BE" w:rsidP="00780185">
      <w:pPr>
        <w:pStyle w:val="Numlist"/>
        <w:numPr>
          <w:ilvl w:val="0"/>
          <w:numId w:val="12"/>
        </w:numPr>
        <w:tabs>
          <w:tab w:val="left" w:pos="284"/>
        </w:tabs>
        <w:spacing w:line="360" w:lineRule="auto"/>
        <w:ind w:left="0" w:firstLine="284"/>
        <w:jc w:val="both"/>
      </w:pPr>
      <w:r>
        <w:t xml:space="preserve">Молекулярно-генетическое исследование для </w:t>
      </w:r>
      <w:r w:rsidR="000829D3">
        <w:t>оценки МОБ-статуса (р190, р210).</w:t>
      </w:r>
    </w:p>
    <w:p w:rsidR="002B6A8D" w:rsidRPr="002B6A8D" w:rsidRDefault="002B6A8D" w:rsidP="00780185">
      <w:pPr>
        <w:pStyle w:val="a3"/>
        <w:numPr>
          <w:ilvl w:val="0"/>
          <w:numId w:val="14"/>
        </w:numPr>
        <w:spacing w:before="240"/>
        <w:rPr>
          <w:rFonts w:ascii="Times New Roman" w:hAnsi="Times New Roman" w:cs="Times New Roman"/>
          <w:b/>
        </w:rPr>
      </w:pPr>
      <w:r w:rsidRPr="002B6A8D">
        <w:rPr>
          <w:rFonts w:ascii="Times New Roman" w:hAnsi="Times New Roman" w:cs="Times New Roman"/>
          <w:b/>
        </w:rPr>
        <w:t>Первичная лимфома центральной нервной системы</w:t>
      </w:r>
    </w:p>
    <w:p w:rsidR="002B6A8D" w:rsidRDefault="002B6A8D" w:rsidP="00D32047">
      <w:pPr>
        <w:pStyle w:val="Numlist"/>
        <w:numPr>
          <w:ilvl w:val="0"/>
          <w:numId w:val="135"/>
        </w:numPr>
        <w:tabs>
          <w:tab w:val="left" w:pos="709"/>
        </w:tabs>
        <w:spacing w:line="360" w:lineRule="auto"/>
        <w:ind w:left="284" w:firstLine="0"/>
        <w:jc w:val="both"/>
      </w:pPr>
      <w:r>
        <w:t>Электроэнцефалограмма</w:t>
      </w:r>
    </w:p>
    <w:p w:rsidR="002B6A8D" w:rsidRDefault="002B6A8D" w:rsidP="00D32047">
      <w:pPr>
        <w:pStyle w:val="Numlist"/>
        <w:numPr>
          <w:ilvl w:val="0"/>
          <w:numId w:val="135"/>
        </w:numPr>
        <w:tabs>
          <w:tab w:val="left" w:pos="709"/>
        </w:tabs>
        <w:spacing w:line="360" w:lineRule="auto"/>
        <w:ind w:left="284" w:firstLine="0"/>
        <w:jc w:val="both"/>
      </w:pPr>
      <w:r>
        <w:t xml:space="preserve">МРТ головного мозга с внутривенным контрастированием. </w:t>
      </w:r>
    </w:p>
    <w:p w:rsidR="002B6A8D" w:rsidRDefault="002B6A8D" w:rsidP="00D32047">
      <w:pPr>
        <w:pStyle w:val="Numlist"/>
        <w:numPr>
          <w:ilvl w:val="0"/>
          <w:numId w:val="135"/>
        </w:numPr>
        <w:tabs>
          <w:tab w:val="left" w:pos="709"/>
        </w:tabs>
        <w:spacing w:line="360" w:lineRule="auto"/>
        <w:ind w:left="284" w:firstLine="0"/>
        <w:jc w:val="both"/>
      </w:pPr>
      <w:r>
        <w:t>Консультация невролога</w:t>
      </w:r>
    </w:p>
    <w:p w:rsidR="00C025F0" w:rsidRPr="00206B66" w:rsidRDefault="00FF3180" w:rsidP="00D32047">
      <w:pPr>
        <w:pStyle w:val="Numlist"/>
        <w:numPr>
          <w:ilvl w:val="0"/>
          <w:numId w:val="135"/>
        </w:numPr>
        <w:tabs>
          <w:tab w:val="left" w:pos="709"/>
        </w:tabs>
        <w:spacing w:line="360" w:lineRule="auto"/>
        <w:ind w:left="284" w:firstLine="0"/>
        <w:jc w:val="both"/>
      </w:pPr>
      <w:r>
        <w:t>Позитронно-эмиссионная томография, совмещенная с КТ.</w:t>
      </w:r>
      <w:r w:rsidR="00C025F0">
        <w:br w:type="page"/>
      </w:r>
    </w:p>
    <w:p w:rsidR="00C025F0" w:rsidRPr="0014771F" w:rsidRDefault="00C025F0" w:rsidP="00780185">
      <w:pPr>
        <w:pStyle w:val="1"/>
        <w:numPr>
          <w:ilvl w:val="1"/>
          <w:numId w:val="15"/>
        </w:numPr>
        <w:spacing w:before="0" w:after="240"/>
        <w:jc w:val="center"/>
        <w:rPr>
          <w:rFonts w:ascii="Times New Roman" w:hAnsi="Times New Roman" w:cs="Times New Roman"/>
          <w:color w:val="auto"/>
          <w:sz w:val="24"/>
        </w:rPr>
      </w:pPr>
      <w:bookmarkStart w:id="30" w:name="_Toc44926627"/>
      <w:r w:rsidRPr="0014771F">
        <w:rPr>
          <w:rFonts w:ascii="Times New Roman" w:hAnsi="Times New Roman" w:cs="Times New Roman"/>
          <w:color w:val="auto"/>
          <w:sz w:val="24"/>
        </w:rPr>
        <w:lastRenderedPageBreak/>
        <w:t>Режимы предтрансплантационной подготовки при ауто-ТГСК</w:t>
      </w:r>
      <w:bookmarkEnd w:id="30"/>
      <w:r w:rsidRPr="0014771F">
        <w:rPr>
          <w:rFonts w:ascii="Times New Roman" w:hAnsi="Times New Roman" w:cs="Times New Roman"/>
          <w:color w:val="auto"/>
          <w:sz w:val="24"/>
        </w:rPr>
        <w:t xml:space="preserve"> </w:t>
      </w:r>
    </w:p>
    <w:p w:rsidR="007040D3" w:rsidRDefault="007040D3" w:rsidP="007040D3">
      <w:pPr>
        <w:pStyle w:val="a3"/>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Трансплантация аутологичных гемопоэтических стволовых клеток крови включает в себя несколько этапов, среди которых различают мобилизацию и сбор ГСК, предтрансплантационную подготовку («кондиционирование» / введение химиопрепаратов в высоких дозах), инфузию ГСК в центральный венозный катетер, ранний посттрансплантационный период, характеризующийся высокой частотой развития инфекционных осложнений </w:t>
      </w:r>
      <w:r w:rsidR="00FF3180">
        <w:rPr>
          <w:rFonts w:ascii="Times New Roman" w:hAnsi="Times New Roman" w:cs="Times New Roman"/>
          <w:sz w:val="24"/>
          <w:szCs w:val="24"/>
        </w:rPr>
        <w:t xml:space="preserve">на фоне </w:t>
      </w:r>
      <w:r w:rsidR="00A676D7">
        <w:rPr>
          <w:rFonts w:ascii="Times New Roman" w:hAnsi="Times New Roman" w:cs="Times New Roman"/>
          <w:sz w:val="24"/>
          <w:szCs w:val="24"/>
        </w:rPr>
        <w:t>МТА</w:t>
      </w:r>
      <w:r>
        <w:rPr>
          <w:rFonts w:ascii="Times New Roman" w:hAnsi="Times New Roman" w:cs="Times New Roman"/>
          <w:sz w:val="24"/>
          <w:szCs w:val="24"/>
        </w:rPr>
        <w:t>.</w:t>
      </w:r>
    </w:p>
    <w:p w:rsidR="007040D3" w:rsidRDefault="007040D3" w:rsidP="007040D3">
      <w:pPr>
        <w:pStyle w:val="a3"/>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При различных вариантах гемобластозов используются различные режимы кондиционирования.</w:t>
      </w:r>
    </w:p>
    <w:p w:rsidR="007040D3" w:rsidRPr="002718E0" w:rsidRDefault="0014771F" w:rsidP="00780185">
      <w:pPr>
        <w:pStyle w:val="1"/>
        <w:numPr>
          <w:ilvl w:val="2"/>
          <w:numId w:val="15"/>
        </w:numPr>
        <w:spacing w:before="0"/>
        <w:jc w:val="both"/>
        <w:rPr>
          <w:rFonts w:ascii="Times New Roman" w:hAnsi="Times New Roman" w:cs="Times New Roman"/>
          <w:color w:val="auto"/>
          <w:sz w:val="24"/>
        </w:rPr>
      </w:pPr>
      <w:bookmarkStart w:id="31" w:name="_Toc44926628"/>
      <w:r w:rsidRPr="002718E0">
        <w:rPr>
          <w:rFonts w:ascii="Times New Roman" w:hAnsi="Times New Roman" w:cs="Times New Roman"/>
          <w:color w:val="auto"/>
          <w:sz w:val="24"/>
        </w:rPr>
        <w:t xml:space="preserve">Режим кондиционирования при </w:t>
      </w:r>
      <w:r w:rsidR="00284520">
        <w:rPr>
          <w:rFonts w:ascii="Times New Roman" w:hAnsi="Times New Roman" w:cs="Times New Roman"/>
          <w:color w:val="auto"/>
          <w:sz w:val="24"/>
        </w:rPr>
        <w:t>ММ</w:t>
      </w:r>
      <w:r w:rsidRPr="002718E0">
        <w:rPr>
          <w:rFonts w:ascii="Times New Roman" w:hAnsi="Times New Roman" w:cs="Times New Roman"/>
          <w:color w:val="auto"/>
          <w:sz w:val="24"/>
        </w:rPr>
        <w:t xml:space="preserve"> и плазмоклеточных дискразиях</w:t>
      </w:r>
      <w:bookmarkEnd w:id="31"/>
    </w:p>
    <w:p w:rsidR="00BB6B7A" w:rsidRDefault="00BB6B7A" w:rsidP="00555E26">
      <w:pPr>
        <w:spacing w:before="24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Наиболее предпочтительный режим кондиционирования при парапротеинемических гемобластозах включает в себя высокие дозы мелфалана (14</w:t>
      </w:r>
      <w:r w:rsidR="00555E26">
        <w:rPr>
          <w:rFonts w:ascii="Times New Roman" w:hAnsi="Times New Roman" w:cs="Times New Roman"/>
          <w:sz w:val="24"/>
          <w:szCs w:val="24"/>
        </w:rPr>
        <w:t>0</w:t>
      </w:r>
      <w:r>
        <w:rPr>
          <w:rFonts w:ascii="Times New Roman" w:hAnsi="Times New Roman" w:cs="Times New Roman"/>
          <w:sz w:val="24"/>
          <w:szCs w:val="24"/>
        </w:rPr>
        <w:t>-200 мг/</w:t>
      </w:r>
      <w:r w:rsidRPr="00BB6B7A">
        <w:rPr>
          <w:rFonts w:ascii="Times New Roman" w:hAnsi="Times New Roman" w:cs="Times New Roman"/>
          <w:sz w:val="24"/>
          <w:szCs w:val="24"/>
        </w:rPr>
        <w:t>м</w:t>
      </w:r>
      <w:r w:rsidRPr="00BB6B7A">
        <w:rPr>
          <w:rFonts w:ascii="Times New Roman" w:hAnsi="Times New Roman" w:cs="Times New Roman"/>
          <w:sz w:val="24"/>
          <w:szCs w:val="24"/>
          <w:vertAlign w:val="superscript"/>
        </w:rPr>
        <w:t>2</w:t>
      </w:r>
      <w:r>
        <w:rPr>
          <w:rFonts w:ascii="Times New Roman" w:hAnsi="Times New Roman" w:cs="Times New Roman"/>
          <w:sz w:val="24"/>
          <w:szCs w:val="24"/>
        </w:rPr>
        <w:t>)</w:t>
      </w:r>
      <w:r w:rsidR="00555E26">
        <w:rPr>
          <w:rFonts w:ascii="Times New Roman" w:hAnsi="Times New Roman" w:cs="Times New Roman"/>
          <w:sz w:val="24"/>
          <w:szCs w:val="24"/>
        </w:rPr>
        <w:t>.</w:t>
      </w:r>
      <w:r w:rsidR="002F6791">
        <w:rPr>
          <w:rFonts w:ascii="Times New Roman" w:hAnsi="Times New Roman" w:cs="Times New Roman"/>
          <w:sz w:val="24"/>
          <w:szCs w:val="24"/>
        </w:rPr>
        <w:t xml:space="preserve"> Схема введения и дозы представлены в таблице 4 и 5.</w:t>
      </w:r>
    </w:p>
    <w:p w:rsidR="00BB6B7A" w:rsidRPr="00BB6B7A" w:rsidRDefault="00BB6B7A" w:rsidP="00BB6B7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3B2A99">
        <w:rPr>
          <w:rFonts w:ascii="Times New Roman" w:hAnsi="Times New Roman" w:cs="Times New Roman"/>
          <w:sz w:val="24"/>
          <w:szCs w:val="24"/>
        </w:rPr>
        <w:t>4</w:t>
      </w:r>
      <w:r>
        <w:rPr>
          <w:rFonts w:ascii="Times New Roman" w:hAnsi="Times New Roman" w:cs="Times New Roman"/>
          <w:sz w:val="24"/>
          <w:szCs w:val="24"/>
        </w:rPr>
        <w:t xml:space="preserve">. Схема предтрансплантационного кондиционирования мелфалан </w:t>
      </w:r>
      <w:r w:rsidR="00555E26">
        <w:rPr>
          <w:rFonts w:ascii="Times New Roman" w:hAnsi="Times New Roman" w:cs="Times New Roman"/>
          <w:sz w:val="24"/>
          <w:szCs w:val="24"/>
        </w:rPr>
        <w:t>200</w:t>
      </w:r>
      <w:r>
        <w:rPr>
          <w:rFonts w:ascii="Times New Roman" w:hAnsi="Times New Roman" w:cs="Times New Roman"/>
          <w:sz w:val="24"/>
          <w:szCs w:val="24"/>
        </w:rPr>
        <w:t xml:space="preserve"> мг/</w:t>
      </w:r>
      <w:r w:rsidRPr="00BB6B7A">
        <w:rPr>
          <w:rFonts w:ascii="Times New Roman" w:hAnsi="Times New Roman" w:cs="Times New Roman"/>
          <w:sz w:val="24"/>
          <w:szCs w:val="24"/>
        </w:rPr>
        <w:t>м</w:t>
      </w:r>
      <w:r w:rsidRPr="00BB6B7A">
        <w:rPr>
          <w:rFonts w:ascii="Times New Roman" w:hAnsi="Times New Roman" w:cs="Times New Roman"/>
          <w:sz w:val="24"/>
          <w:szCs w:val="24"/>
          <w:vertAlign w:val="superscript"/>
        </w:rPr>
        <w:t>2</w:t>
      </w:r>
    </w:p>
    <w:tbl>
      <w:tblPr>
        <w:tblStyle w:val="ac"/>
        <w:tblW w:w="0" w:type="auto"/>
        <w:tblInd w:w="108" w:type="dxa"/>
        <w:tblLayout w:type="fixed"/>
        <w:tblLook w:val="04A0" w:firstRow="1" w:lastRow="0" w:firstColumn="1" w:lastColumn="0" w:noHBand="0" w:noVBand="1"/>
      </w:tblPr>
      <w:tblGrid>
        <w:gridCol w:w="1276"/>
        <w:gridCol w:w="1701"/>
        <w:gridCol w:w="1276"/>
        <w:gridCol w:w="1276"/>
        <w:gridCol w:w="1275"/>
        <w:gridCol w:w="2659"/>
      </w:tblGrid>
      <w:tr w:rsidR="00555E26" w:rsidTr="00555E26">
        <w:tc>
          <w:tcPr>
            <w:tcW w:w="1276" w:type="dxa"/>
          </w:tcPr>
          <w:p w:rsidR="00BB6B7A" w:rsidRPr="00BB6B7A" w:rsidRDefault="00BB6B7A" w:rsidP="00BB6B7A">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Препарат</w:t>
            </w:r>
          </w:p>
        </w:tc>
        <w:tc>
          <w:tcPr>
            <w:tcW w:w="1701" w:type="dxa"/>
          </w:tcPr>
          <w:p w:rsidR="00BB6B7A" w:rsidRPr="00BB6B7A" w:rsidRDefault="00BB6B7A" w:rsidP="00BB6B7A">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Дни введения перед ауто-ТГСК</w:t>
            </w:r>
          </w:p>
        </w:tc>
        <w:tc>
          <w:tcPr>
            <w:tcW w:w="1276" w:type="dxa"/>
          </w:tcPr>
          <w:p w:rsidR="00BB6B7A" w:rsidRPr="00BB6B7A" w:rsidRDefault="00BB6B7A" w:rsidP="00BB6B7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Разовая доза</w:t>
            </w:r>
          </w:p>
        </w:tc>
        <w:tc>
          <w:tcPr>
            <w:tcW w:w="1276" w:type="dxa"/>
          </w:tcPr>
          <w:p w:rsidR="00BB6B7A" w:rsidRPr="00BB6B7A" w:rsidRDefault="00BB6B7A" w:rsidP="00BB6B7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Суточная доза</w:t>
            </w:r>
          </w:p>
        </w:tc>
        <w:tc>
          <w:tcPr>
            <w:tcW w:w="1275" w:type="dxa"/>
          </w:tcPr>
          <w:p w:rsidR="00BB6B7A" w:rsidRPr="00BB6B7A" w:rsidRDefault="00BB6B7A" w:rsidP="00BB6B7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Курсовая доза</w:t>
            </w:r>
          </w:p>
        </w:tc>
        <w:tc>
          <w:tcPr>
            <w:tcW w:w="2659" w:type="dxa"/>
          </w:tcPr>
          <w:p w:rsidR="00BB6B7A" w:rsidRDefault="007A72D8" w:rsidP="00BB6B7A">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 введения</w:t>
            </w:r>
          </w:p>
        </w:tc>
      </w:tr>
      <w:tr w:rsidR="00555E26" w:rsidTr="00555E26">
        <w:tc>
          <w:tcPr>
            <w:tcW w:w="1276" w:type="dxa"/>
          </w:tcPr>
          <w:p w:rsidR="00BB6B7A" w:rsidRPr="00555E26" w:rsidRDefault="007A72D8" w:rsidP="00555E26">
            <w:pPr>
              <w:pStyle w:val="a3"/>
              <w:spacing w:line="360" w:lineRule="auto"/>
              <w:ind w:left="0"/>
              <w:jc w:val="center"/>
              <w:rPr>
                <w:rFonts w:ascii="Times New Roman" w:hAnsi="Times New Roman" w:cs="Times New Roman"/>
                <w:sz w:val="24"/>
                <w:szCs w:val="24"/>
              </w:rPr>
            </w:pPr>
            <w:r w:rsidRPr="00555E26">
              <w:rPr>
                <w:rFonts w:ascii="Times New Roman" w:hAnsi="Times New Roman" w:cs="Times New Roman"/>
                <w:sz w:val="24"/>
                <w:szCs w:val="24"/>
              </w:rPr>
              <w:t>Мелфалан</w:t>
            </w:r>
          </w:p>
        </w:tc>
        <w:tc>
          <w:tcPr>
            <w:tcW w:w="1701" w:type="dxa"/>
          </w:tcPr>
          <w:p w:rsidR="00BB6B7A" w:rsidRPr="00555E26" w:rsidRDefault="00555E26" w:rsidP="00555E26">
            <w:pPr>
              <w:pStyle w:val="a3"/>
              <w:spacing w:line="360" w:lineRule="auto"/>
              <w:ind w:left="0"/>
              <w:jc w:val="center"/>
              <w:rPr>
                <w:rFonts w:ascii="Times New Roman" w:hAnsi="Times New Roman" w:cs="Times New Roman"/>
                <w:sz w:val="24"/>
                <w:szCs w:val="24"/>
              </w:rPr>
            </w:pPr>
            <w:r w:rsidRPr="00555E26">
              <w:rPr>
                <w:rFonts w:ascii="Times New Roman" w:hAnsi="Times New Roman" w:cs="Times New Roman"/>
                <w:sz w:val="24"/>
                <w:szCs w:val="24"/>
              </w:rPr>
              <w:t>-3 , - 2 дни</w:t>
            </w:r>
          </w:p>
        </w:tc>
        <w:tc>
          <w:tcPr>
            <w:tcW w:w="1276" w:type="dxa"/>
          </w:tcPr>
          <w:p w:rsidR="00BB6B7A" w:rsidRPr="00555E26" w:rsidRDefault="00555E26" w:rsidP="00555E26">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r w:rsidRPr="00555E26">
              <w:rPr>
                <w:rFonts w:ascii="Times New Roman" w:hAnsi="Times New Roman" w:cs="Times New Roman"/>
                <w:sz w:val="24"/>
                <w:szCs w:val="24"/>
              </w:rPr>
              <w:t xml:space="preserve"> мг/м</w:t>
            </w:r>
            <w:r w:rsidRPr="00555E26">
              <w:rPr>
                <w:rFonts w:ascii="Times New Roman" w:hAnsi="Times New Roman" w:cs="Times New Roman"/>
                <w:sz w:val="24"/>
                <w:szCs w:val="24"/>
                <w:vertAlign w:val="superscript"/>
              </w:rPr>
              <w:t>2</w:t>
            </w:r>
          </w:p>
        </w:tc>
        <w:tc>
          <w:tcPr>
            <w:tcW w:w="1276" w:type="dxa"/>
          </w:tcPr>
          <w:p w:rsidR="00BB6B7A" w:rsidRPr="00555E26" w:rsidRDefault="00555E26" w:rsidP="00555E26">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r w:rsidRPr="00555E26">
              <w:rPr>
                <w:rFonts w:ascii="Times New Roman" w:hAnsi="Times New Roman" w:cs="Times New Roman"/>
                <w:sz w:val="24"/>
                <w:szCs w:val="24"/>
              </w:rPr>
              <w:t xml:space="preserve"> мг/м</w:t>
            </w:r>
            <w:r w:rsidRPr="00555E26">
              <w:rPr>
                <w:rFonts w:ascii="Times New Roman" w:hAnsi="Times New Roman" w:cs="Times New Roman"/>
                <w:sz w:val="24"/>
                <w:szCs w:val="24"/>
                <w:vertAlign w:val="superscript"/>
              </w:rPr>
              <w:t>2</w:t>
            </w:r>
          </w:p>
        </w:tc>
        <w:tc>
          <w:tcPr>
            <w:tcW w:w="1275" w:type="dxa"/>
          </w:tcPr>
          <w:p w:rsidR="00BB6B7A" w:rsidRPr="00555E26" w:rsidRDefault="00555E26" w:rsidP="00555E26">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200 </w:t>
            </w:r>
            <w:r w:rsidRPr="00555E26">
              <w:rPr>
                <w:rFonts w:ascii="Times New Roman" w:hAnsi="Times New Roman" w:cs="Times New Roman"/>
                <w:sz w:val="24"/>
                <w:szCs w:val="24"/>
              </w:rPr>
              <w:t>мг/м</w:t>
            </w:r>
            <w:r w:rsidRPr="00555E26">
              <w:rPr>
                <w:rFonts w:ascii="Times New Roman" w:hAnsi="Times New Roman" w:cs="Times New Roman"/>
                <w:sz w:val="24"/>
                <w:szCs w:val="24"/>
                <w:vertAlign w:val="superscript"/>
              </w:rPr>
              <w:t>2</w:t>
            </w:r>
          </w:p>
        </w:tc>
        <w:tc>
          <w:tcPr>
            <w:tcW w:w="2659" w:type="dxa"/>
          </w:tcPr>
          <w:p w:rsidR="00BB6B7A" w:rsidRPr="00555E26" w:rsidRDefault="00555E26" w:rsidP="00555E2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Вводится внутривенно в виде инфузии в течение 1ч</w:t>
            </w:r>
          </w:p>
        </w:tc>
      </w:tr>
    </w:tbl>
    <w:p w:rsidR="00555E26" w:rsidRPr="00555E26" w:rsidRDefault="00555E26" w:rsidP="00555E26">
      <w:pPr>
        <w:spacing w:before="24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Больным с выраженным нарушением функции почек (клиренс </w:t>
      </w:r>
      <w:r w:rsidR="001B7A67">
        <w:rPr>
          <w:rFonts w:ascii="Times New Roman" w:hAnsi="Times New Roman" w:cs="Times New Roman"/>
          <w:sz w:val="24"/>
          <w:szCs w:val="24"/>
        </w:rPr>
        <w:t xml:space="preserve">креатинина менее 30 мл/минуту), а так же больным </w:t>
      </w:r>
      <w:r>
        <w:rPr>
          <w:rFonts w:ascii="Times New Roman" w:hAnsi="Times New Roman" w:cs="Times New Roman"/>
          <w:sz w:val="24"/>
          <w:szCs w:val="24"/>
        </w:rPr>
        <w:t>на программном гемодиализе</w:t>
      </w:r>
      <w:r w:rsidR="001B7A67">
        <w:rPr>
          <w:rFonts w:ascii="Times New Roman" w:hAnsi="Times New Roman" w:cs="Times New Roman"/>
          <w:sz w:val="24"/>
          <w:szCs w:val="24"/>
        </w:rPr>
        <w:t xml:space="preserve"> и</w:t>
      </w:r>
      <w:r>
        <w:rPr>
          <w:rFonts w:ascii="Times New Roman" w:hAnsi="Times New Roman" w:cs="Times New Roman"/>
          <w:sz w:val="24"/>
          <w:szCs w:val="24"/>
        </w:rPr>
        <w:t xml:space="preserve"> больным старшего возраста (65-70 лет) целесообразно снижать дозу мелфалана при предтрансплантационном кондиционировании до 140 мг/</w:t>
      </w:r>
      <w:r w:rsidRPr="00BB6B7A">
        <w:rPr>
          <w:rFonts w:ascii="Times New Roman" w:hAnsi="Times New Roman" w:cs="Times New Roman"/>
          <w:sz w:val="24"/>
          <w:szCs w:val="24"/>
        </w:rPr>
        <w:t>м</w:t>
      </w:r>
      <w:r w:rsidRPr="00BB6B7A">
        <w:rPr>
          <w:rFonts w:ascii="Times New Roman" w:hAnsi="Times New Roman" w:cs="Times New Roman"/>
          <w:sz w:val="24"/>
          <w:szCs w:val="24"/>
          <w:vertAlign w:val="superscript"/>
        </w:rPr>
        <w:t>2</w:t>
      </w:r>
      <w:r>
        <w:rPr>
          <w:rFonts w:ascii="Times New Roman" w:hAnsi="Times New Roman" w:cs="Times New Roman"/>
          <w:sz w:val="24"/>
          <w:szCs w:val="24"/>
        </w:rPr>
        <w:t>.</w:t>
      </w:r>
    </w:p>
    <w:p w:rsidR="00555E26" w:rsidRPr="00BB6B7A" w:rsidRDefault="00555E26" w:rsidP="00555E2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3B2A99">
        <w:rPr>
          <w:rFonts w:ascii="Times New Roman" w:hAnsi="Times New Roman" w:cs="Times New Roman"/>
          <w:sz w:val="24"/>
          <w:szCs w:val="24"/>
        </w:rPr>
        <w:t>5</w:t>
      </w:r>
      <w:r>
        <w:rPr>
          <w:rFonts w:ascii="Times New Roman" w:hAnsi="Times New Roman" w:cs="Times New Roman"/>
          <w:sz w:val="24"/>
          <w:szCs w:val="24"/>
        </w:rPr>
        <w:t>. Схема предтрансплантационного кондиционирования мелфалан 140 мг/</w:t>
      </w:r>
      <w:r w:rsidRPr="00BB6B7A">
        <w:rPr>
          <w:rFonts w:ascii="Times New Roman" w:hAnsi="Times New Roman" w:cs="Times New Roman"/>
          <w:sz w:val="24"/>
          <w:szCs w:val="24"/>
        </w:rPr>
        <w:t>м</w:t>
      </w:r>
      <w:r w:rsidRPr="00BB6B7A">
        <w:rPr>
          <w:rFonts w:ascii="Times New Roman" w:hAnsi="Times New Roman" w:cs="Times New Roman"/>
          <w:sz w:val="24"/>
          <w:szCs w:val="24"/>
          <w:vertAlign w:val="superscript"/>
        </w:rPr>
        <w:t>2</w:t>
      </w:r>
    </w:p>
    <w:tbl>
      <w:tblPr>
        <w:tblStyle w:val="ac"/>
        <w:tblW w:w="0" w:type="auto"/>
        <w:tblInd w:w="108" w:type="dxa"/>
        <w:tblLayout w:type="fixed"/>
        <w:tblLook w:val="04A0" w:firstRow="1" w:lastRow="0" w:firstColumn="1" w:lastColumn="0" w:noHBand="0" w:noVBand="1"/>
      </w:tblPr>
      <w:tblGrid>
        <w:gridCol w:w="1276"/>
        <w:gridCol w:w="1843"/>
        <w:gridCol w:w="1134"/>
        <w:gridCol w:w="1276"/>
        <w:gridCol w:w="1275"/>
        <w:gridCol w:w="2659"/>
      </w:tblGrid>
      <w:tr w:rsidR="00555E26" w:rsidTr="002718E0">
        <w:tc>
          <w:tcPr>
            <w:tcW w:w="1276" w:type="dxa"/>
          </w:tcPr>
          <w:p w:rsidR="00555E26" w:rsidRPr="00BB6B7A" w:rsidRDefault="00555E26" w:rsidP="002718E0">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Препарат</w:t>
            </w:r>
          </w:p>
        </w:tc>
        <w:tc>
          <w:tcPr>
            <w:tcW w:w="1843" w:type="dxa"/>
          </w:tcPr>
          <w:p w:rsidR="00555E26" w:rsidRPr="00BB6B7A" w:rsidRDefault="00555E26" w:rsidP="002718E0">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Дни введения перед ауто-ТГСК</w:t>
            </w:r>
          </w:p>
        </w:tc>
        <w:tc>
          <w:tcPr>
            <w:tcW w:w="1134" w:type="dxa"/>
          </w:tcPr>
          <w:p w:rsidR="00555E26" w:rsidRPr="00BB6B7A" w:rsidRDefault="00555E26" w:rsidP="002718E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Разовая доза</w:t>
            </w:r>
          </w:p>
        </w:tc>
        <w:tc>
          <w:tcPr>
            <w:tcW w:w="1276" w:type="dxa"/>
          </w:tcPr>
          <w:p w:rsidR="00555E26" w:rsidRPr="00BB6B7A" w:rsidRDefault="00555E26" w:rsidP="002718E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Суточная доза</w:t>
            </w:r>
          </w:p>
        </w:tc>
        <w:tc>
          <w:tcPr>
            <w:tcW w:w="1275" w:type="dxa"/>
          </w:tcPr>
          <w:p w:rsidR="00555E26" w:rsidRPr="00BB6B7A" w:rsidRDefault="00555E26" w:rsidP="002718E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Курсовая доза</w:t>
            </w:r>
          </w:p>
        </w:tc>
        <w:tc>
          <w:tcPr>
            <w:tcW w:w="2659" w:type="dxa"/>
          </w:tcPr>
          <w:p w:rsidR="00555E26" w:rsidRDefault="00555E26" w:rsidP="002718E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 введения</w:t>
            </w:r>
          </w:p>
        </w:tc>
      </w:tr>
      <w:tr w:rsidR="00555E26" w:rsidTr="002718E0">
        <w:tc>
          <w:tcPr>
            <w:tcW w:w="1276" w:type="dxa"/>
          </w:tcPr>
          <w:p w:rsidR="00555E26" w:rsidRPr="00555E26" w:rsidRDefault="00555E26" w:rsidP="002718E0">
            <w:pPr>
              <w:pStyle w:val="a3"/>
              <w:spacing w:line="360" w:lineRule="auto"/>
              <w:ind w:left="0"/>
              <w:jc w:val="center"/>
              <w:rPr>
                <w:rFonts w:ascii="Times New Roman" w:hAnsi="Times New Roman" w:cs="Times New Roman"/>
                <w:sz w:val="24"/>
                <w:szCs w:val="24"/>
              </w:rPr>
            </w:pPr>
            <w:r w:rsidRPr="00555E26">
              <w:rPr>
                <w:rFonts w:ascii="Times New Roman" w:hAnsi="Times New Roman" w:cs="Times New Roman"/>
                <w:sz w:val="24"/>
                <w:szCs w:val="24"/>
              </w:rPr>
              <w:t>Мелфалан</w:t>
            </w:r>
          </w:p>
        </w:tc>
        <w:tc>
          <w:tcPr>
            <w:tcW w:w="1843" w:type="dxa"/>
          </w:tcPr>
          <w:p w:rsidR="00555E26" w:rsidRPr="00555E26" w:rsidRDefault="00555E26" w:rsidP="002718E0">
            <w:pPr>
              <w:pStyle w:val="a3"/>
              <w:spacing w:line="360" w:lineRule="auto"/>
              <w:ind w:left="0"/>
              <w:jc w:val="center"/>
              <w:rPr>
                <w:rFonts w:ascii="Times New Roman" w:hAnsi="Times New Roman" w:cs="Times New Roman"/>
                <w:sz w:val="24"/>
                <w:szCs w:val="24"/>
              </w:rPr>
            </w:pPr>
            <w:r w:rsidRPr="00555E26">
              <w:rPr>
                <w:rFonts w:ascii="Times New Roman" w:hAnsi="Times New Roman" w:cs="Times New Roman"/>
                <w:sz w:val="24"/>
                <w:szCs w:val="24"/>
              </w:rPr>
              <w:t>-3 , - 2 дни</w:t>
            </w:r>
          </w:p>
        </w:tc>
        <w:tc>
          <w:tcPr>
            <w:tcW w:w="1134" w:type="dxa"/>
          </w:tcPr>
          <w:p w:rsidR="00555E26" w:rsidRPr="00555E26" w:rsidRDefault="00555E26" w:rsidP="002718E0">
            <w:pPr>
              <w:pStyle w:val="a3"/>
              <w:spacing w:line="360" w:lineRule="auto"/>
              <w:ind w:left="0"/>
              <w:jc w:val="center"/>
              <w:rPr>
                <w:rFonts w:ascii="Times New Roman" w:hAnsi="Times New Roman" w:cs="Times New Roman"/>
                <w:sz w:val="24"/>
                <w:szCs w:val="24"/>
              </w:rPr>
            </w:pPr>
            <w:r w:rsidRPr="00555E26">
              <w:rPr>
                <w:rFonts w:ascii="Times New Roman" w:hAnsi="Times New Roman" w:cs="Times New Roman"/>
                <w:sz w:val="24"/>
                <w:szCs w:val="24"/>
              </w:rPr>
              <w:t>70 мг/м</w:t>
            </w:r>
            <w:r w:rsidRPr="00555E26">
              <w:rPr>
                <w:rFonts w:ascii="Times New Roman" w:hAnsi="Times New Roman" w:cs="Times New Roman"/>
                <w:sz w:val="24"/>
                <w:szCs w:val="24"/>
                <w:vertAlign w:val="superscript"/>
              </w:rPr>
              <w:t>2</w:t>
            </w:r>
          </w:p>
        </w:tc>
        <w:tc>
          <w:tcPr>
            <w:tcW w:w="1276" w:type="dxa"/>
          </w:tcPr>
          <w:p w:rsidR="00555E26" w:rsidRPr="00555E26" w:rsidRDefault="00555E26" w:rsidP="002718E0">
            <w:pPr>
              <w:pStyle w:val="a3"/>
              <w:spacing w:line="360" w:lineRule="auto"/>
              <w:ind w:left="0"/>
              <w:jc w:val="center"/>
              <w:rPr>
                <w:rFonts w:ascii="Times New Roman" w:hAnsi="Times New Roman" w:cs="Times New Roman"/>
                <w:sz w:val="24"/>
                <w:szCs w:val="24"/>
              </w:rPr>
            </w:pPr>
            <w:r w:rsidRPr="00555E26">
              <w:rPr>
                <w:rFonts w:ascii="Times New Roman" w:hAnsi="Times New Roman" w:cs="Times New Roman"/>
                <w:sz w:val="24"/>
                <w:szCs w:val="24"/>
              </w:rPr>
              <w:t>70 мг/м</w:t>
            </w:r>
            <w:r w:rsidRPr="00555E26">
              <w:rPr>
                <w:rFonts w:ascii="Times New Roman" w:hAnsi="Times New Roman" w:cs="Times New Roman"/>
                <w:sz w:val="24"/>
                <w:szCs w:val="24"/>
                <w:vertAlign w:val="superscript"/>
              </w:rPr>
              <w:t>2</w:t>
            </w:r>
          </w:p>
        </w:tc>
        <w:tc>
          <w:tcPr>
            <w:tcW w:w="1275" w:type="dxa"/>
          </w:tcPr>
          <w:p w:rsidR="00555E26" w:rsidRPr="00555E26" w:rsidRDefault="00555E26" w:rsidP="002718E0">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140 </w:t>
            </w:r>
            <w:r w:rsidRPr="00555E26">
              <w:rPr>
                <w:rFonts w:ascii="Times New Roman" w:hAnsi="Times New Roman" w:cs="Times New Roman"/>
                <w:sz w:val="24"/>
                <w:szCs w:val="24"/>
              </w:rPr>
              <w:t>мг/м</w:t>
            </w:r>
            <w:r w:rsidRPr="00555E26">
              <w:rPr>
                <w:rFonts w:ascii="Times New Roman" w:hAnsi="Times New Roman" w:cs="Times New Roman"/>
                <w:sz w:val="24"/>
                <w:szCs w:val="24"/>
                <w:vertAlign w:val="superscript"/>
              </w:rPr>
              <w:t>2</w:t>
            </w:r>
          </w:p>
        </w:tc>
        <w:tc>
          <w:tcPr>
            <w:tcW w:w="2659" w:type="dxa"/>
          </w:tcPr>
          <w:p w:rsidR="00555E26" w:rsidRPr="00555E26" w:rsidRDefault="003B2A99" w:rsidP="003B2A99">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3B2A99">
              <w:rPr>
                <w:rFonts w:ascii="Times New Roman" w:hAnsi="Times New Roman" w:cs="Times New Roman"/>
                <w:sz w:val="24"/>
                <w:szCs w:val="24"/>
              </w:rPr>
              <w:t xml:space="preserve"> </w:t>
            </w:r>
            <w:r>
              <w:rPr>
                <w:rFonts w:ascii="Times New Roman" w:hAnsi="Times New Roman" w:cs="Times New Roman"/>
                <w:sz w:val="24"/>
                <w:szCs w:val="24"/>
              </w:rPr>
              <w:t>в</w:t>
            </w:r>
            <w:r w:rsidRPr="003B2A99">
              <w:rPr>
                <w:rFonts w:ascii="Times New Roman" w:hAnsi="Times New Roman" w:cs="Times New Roman"/>
                <w:sz w:val="24"/>
                <w:szCs w:val="24"/>
              </w:rPr>
              <w:t>/</w:t>
            </w:r>
            <w:r>
              <w:rPr>
                <w:rFonts w:ascii="Times New Roman" w:hAnsi="Times New Roman" w:cs="Times New Roman"/>
                <w:sz w:val="24"/>
                <w:szCs w:val="24"/>
              </w:rPr>
              <w:t>в</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3B2A99">
              <w:rPr>
                <w:rFonts w:ascii="Times New Roman" w:hAnsi="Times New Roman" w:cs="Times New Roman"/>
                <w:sz w:val="24"/>
                <w:szCs w:val="24"/>
              </w:rPr>
              <w:t xml:space="preserve"> </w:t>
            </w:r>
            <w:r>
              <w:rPr>
                <w:rFonts w:ascii="Times New Roman" w:hAnsi="Times New Roman" w:cs="Times New Roman"/>
                <w:sz w:val="24"/>
                <w:szCs w:val="24"/>
              </w:rPr>
              <w:t>1</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ч</w:t>
            </w:r>
            <w:r w:rsidRPr="003B2A99">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3B2A99">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3B2A99">
              <w:rPr>
                <w:rFonts w:ascii="Times New Roman" w:hAnsi="Times New Roman" w:cs="Times New Roman"/>
                <w:sz w:val="24"/>
                <w:szCs w:val="24"/>
              </w:rPr>
              <w:t xml:space="preserve"> 0,9% </w:t>
            </w:r>
            <w:r w:rsidRPr="003751C5">
              <w:rPr>
                <w:rFonts w:ascii="Times New Roman" w:hAnsi="Times New Roman" w:cs="Times New Roman"/>
                <w:sz w:val="24"/>
                <w:szCs w:val="24"/>
                <w:lang w:val="en-US"/>
              </w:rPr>
              <w:t>NaCl</w:t>
            </w:r>
          </w:p>
        </w:tc>
      </w:tr>
    </w:tbl>
    <w:p w:rsidR="00555E26" w:rsidRDefault="00555E26" w:rsidP="00555E26">
      <w:pPr>
        <w:spacing w:before="240" w:after="0" w:line="360" w:lineRule="auto"/>
        <w:ind w:firstLine="426"/>
        <w:jc w:val="both"/>
        <w:rPr>
          <w:rFonts w:ascii="Times New Roman" w:hAnsi="Times New Roman" w:cs="Times New Roman"/>
          <w:sz w:val="24"/>
          <w:szCs w:val="24"/>
        </w:rPr>
      </w:pPr>
    </w:p>
    <w:p w:rsidR="00BB6B7A" w:rsidRDefault="00BB6B7A" w:rsidP="00780185">
      <w:pPr>
        <w:pStyle w:val="1"/>
        <w:numPr>
          <w:ilvl w:val="2"/>
          <w:numId w:val="15"/>
        </w:numPr>
        <w:spacing w:before="0" w:after="240"/>
        <w:jc w:val="both"/>
        <w:rPr>
          <w:rFonts w:ascii="Times New Roman" w:hAnsi="Times New Roman" w:cs="Times New Roman"/>
          <w:color w:val="auto"/>
          <w:sz w:val="24"/>
        </w:rPr>
      </w:pPr>
      <w:bookmarkStart w:id="32" w:name="_Toc44926629"/>
      <w:r w:rsidRPr="002718E0">
        <w:rPr>
          <w:rFonts w:ascii="Times New Roman" w:hAnsi="Times New Roman" w:cs="Times New Roman"/>
          <w:color w:val="auto"/>
          <w:sz w:val="24"/>
        </w:rPr>
        <w:lastRenderedPageBreak/>
        <w:t>Режим</w:t>
      </w:r>
      <w:r w:rsidR="00A44BDA">
        <w:rPr>
          <w:rFonts w:ascii="Times New Roman" w:hAnsi="Times New Roman" w:cs="Times New Roman"/>
          <w:color w:val="auto"/>
          <w:sz w:val="24"/>
        </w:rPr>
        <w:t>ы</w:t>
      </w:r>
      <w:r w:rsidRPr="002718E0">
        <w:rPr>
          <w:rFonts w:ascii="Times New Roman" w:hAnsi="Times New Roman" w:cs="Times New Roman"/>
          <w:color w:val="auto"/>
          <w:sz w:val="24"/>
        </w:rPr>
        <w:t xml:space="preserve"> кондиционирования при лимфопролиферативных заболеваниях</w:t>
      </w:r>
      <w:bookmarkEnd w:id="32"/>
    </w:p>
    <w:p w:rsidR="00A44BDA" w:rsidRPr="00A44BDA" w:rsidRDefault="00A44BDA" w:rsidP="00A44BDA">
      <w:pPr>
        <w:spacing w:before="24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Цель высокодозной химиотерапии - устранение оставшихся после </w:t>
      </w:r>
      <w:r w:rsidR="001B7A67">
        <w:rPr>
          <w:rFonts w:ascii="Times New Roman" w:hAnsi="Times New Roman" w:cs="Times New Roman"/>
          <w:sz w:val="24"/>
          <w:szCs w:val="24"/>
        </w:rPr>
        <w:t>противоопухолевой</w:t>
      </w:r>
      <w:r>
        <w:rPr>
          <w:rFonts w:ascii="Times New Roman" w:hAnsi="Times New Roman" w:cs="Times New Roman"/>
          <w:sz w:val="24"/>
          <w:szCs w:val="24"/>
        </w:rPr>
        <w:t xml:space="preserve"> терапии опухолевых клеток </w:t>
      </w:r>
      <w:r w:rsidRPr="00A44BDA">
        <w:rPr>
          <w:rFonts w:ascii="Times New Roman" w:hAnsi="Times New Roman" w:cs="Times New Roman"/>
          <w:sz w:val="24"/>
          <w:szCs w:val="24"/>
        </w:rPr>
        <w:t xml:space="preserve">с минимальным </w:t>
      </w:r>
      <w:r>
        <w:rPr>
          <w:rFonts w:ascii="Times New Roman" w:hAnsi="Times New Roman" w:cs="Times New Roman"/>
          <w:sz w:val="24"/>
          <w:szCs w:val="24"/>
        </w:rPr>
        <w:t xml:space="preserve">токсическим воздействием на </w:t>
      </w:r>
      <w:r w:rsidRPr="00A44BDA">
        <w:rPr>
          <w:rFonts w:ascii="Times New Roman" w:hAnsi="Times New Roman" w:cs="Times New Roman"/>
          <w:sz w:val="24"/>
          <w:szCs w:val="24"/>
        </w:rPr>
        <w:t>системы органов.</w:t>
      </w:r>
    </w:p>
    <w:p w:rsidR="00A44BDA" w:rsidRPr="00A44BDA" w:rsidRDefault="00A44BDA" w:rsidP="00A44BD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предтрансплантационной подготовки при НХЛ, ЛХ, </w:t>
      </w:r>
      <w:r w:rsidR="00A61AE3">
        <w:rPr>
          <w:rFonts w:ascii="Times New Roman" w:hAnsi="Times New Roman" w:cs="Times New Roman"/>
          <w:sz w:val="24"/>
          <w:szCs w:val="24"/>
        </w:rPr>
        <w:t xml:space="preserve">плазмобластной лимфоме используют режим </w:t>
      </w:r>
      <w:r w:rsidR="00635CFB">
        <w:rPr>
          <w:rFonts w:ascii="Times New Roman" w:hAnsi="Times New Roman" w:cs="Times New Roman"/>
          <w:sz w:val="24"/>
          <w:szCs w:val="24"/>
        </w:rPr>
        <w:t xml:space="preserve">кондиционирования </w:t>
      </w:r>
      <w:r w:rsidRPr="00A44BDA">
        <w:rPr>
          <w:rFonts w:ascii="Times New Roman" w:hAnsi="Times New Roman" w:cs="Times New Roman"/>
          <w:sz w:val="24"/>
          <w:szCs w:val="24"/>
        </w:rPr>
        <w:t>BEAM,</w:t>
      </w:r>
      <w:r w:rsidR="00A61AE3">
        <w:rPr>
          <w:rFonts w:ascii="Times New Roman" w:hAnsi="Times New Roman" w:cs="Times New Roman"/>
          <w:sz w:val="24"/>
          <w:szCs w:val="24"/>
        </w:rPr>
        <w:t xml:space="preserve"> который,</w:t>
      </w:r>
      <w:r w:rsidRPr="00A44BDA">
        <w:rPr>
          <w:rFonts w:ascii="Times New Roman" w:hAnsi="Times New Roman" w:cs="Times New Roman"/>
          <w:sz w:val="24"/>
          <w:szCs w:val="24"/>
        </w:rPr>
        <w:t xml:space="preserve"> состоит из BCNU (300 мг / м</w:t>
      </w:r>
      <w:r w:rsidRPr="00635CFB">
        <w:rPr>
          <w:rFonts w:ascii="Times New Roman" w:hAnsi="Times New Roman" w:cs="Times New Roman"/>
          <w:sz w:val="24"/>
          <w:szCs w:val="24"/>
          <w:vertAlign w:val="superscript"/>
        </w:rPr>
        <w:t>2</w:t>
      </w:r>
      <w:r w:rsidRPr="00A44BDA">
        <w:rPr>
          <w:rFonts w:ascii="Times New Roman" w:hAnsi="Times New Roman" w:cs="Times New Roman"/>
          <w:sz w:val="24"/>
          <w:szCs w:val="24"/>
        </w:rPr>
        <w:t xml:space="preserve"> × 1, день-6), VP (200 мг / м</w:t>
      </w:r>
      <w:r w:rsidRPr="00635CFB">
        <w:rPr>
          <w:rFonts w:ascii="Times New Roman" w:hAnsi="Times New Roman" w:cs="Times New Roman"/>
          <w:sz w:val="24"/>
          <w:szCs w:val="24"/>
          <w:vertAlign w:val="superscript"/>
        </w:rPr>
        <w:t>2</w:t>
      </w:r>
      <w:r w:rsidRPr="00A44BDA">
        <w:rPr>
          <w:rFonts w:ascii="Times New Roman" w:hAnsi="Times New Roman" w:cs="Times New Roman"/>
          <w:sz w:val="24"/>
          <w:szCs w:val="24"/>
        </w:rPr>
        <w:t xml:space="preserve">, </w:t>
      </w:r>
      <w:r w:rsidR="003751C5">
        <w:rPr>
          <w:rFonts w:ascii="Times New Roman" w:hAnsi="Times New Roman" w:cs="Times New Roman"/>
          <w:sz w:val="24"/>
          <w:szCs w:val="24"/>
        </w:rPr>
        <w:t>дни от -5 до -2), Ara-C (200 мг</w:t>
      </w:r>
      <w:r w:rsidRPr="00A44BDA">
        <w:rPr>
          <w:rFonts w:ascii="Times New Roman" w:hAnsi="Times New Roman" w:cs="Times New Roman"/>
          <w:sz w:val="24"/>
          <w:szCs w:val="24"/>
        </w:rPr>
        <w:t>/м</w:t>
      </w:r>
      <w:r w:rsidRPr="00635CFB">
        <w:rPr>
          <w:rFonts w:ascii="Times New Roman" w:hAnsi="Times New Roman" w:cs="Times New Roman"/>
          <w:sz w:val="24"/>
          <w:szCs w:val="24"/>
          <w:vertAlign w:val="superscript"/>
        </w:rPr>
        <w:t>2</w:t>
      </w:r>
      <w:r w:rsidR="003751C5">
        <w:rPr>
          <w:rFonts w:ascii="Times New Roman" w:hAnsi="Times New Roman" w:cs="Times New Roman"/>
          <w:sz w:val="24"/>
          <w:szCs w:val="24"/>
          <w:vertAlign w:val="superscript"/>
        </w:rPr>
        <w:t xml:space="preserve"> </w:t>
      </w:r>
      <w:r w:rsidR="001C542E">
        <w:rPr>
          <w:rFonts w:ascii="Times New Roman" w:hAnsi="Times New Roman" w:cs="Times New Roman"/>
          <w:sz w:val="24"/>
          <w:szCs w:val="24"/>
        </w:rPr>
        <w:t xml:space="preserve">х </w:t>
      </w:r>
      <w:r w:rsidR="003751C5">
        <w:rPr>
          <w:rFonts w:ascii="Times New Roman" w:hAnsi="Times New Roman" w:cs="Times New Roman"/>
          <w:sz w:val="24"/>
          <w:szCs w:val="24"/>
        </w:rPr>
        <w:t>дважды в день</w:t>
      </w:r>
      <w:r w:rsidRPr="00A44BDA">
        <w:rPr>
          <w:rFonts w:ascii="Times New Roman" w:hAnsi="Times New Roman" w:cs="Times New Roman"/>
          <w:sz w:val="24"/>
          <w:szCs w:val="24"/>
        </w:rPr>
        <w:t xml:space="preserve">, </w:t>
      </w:r>
      <w:r w:rsidR="003751C5">
        <w:rPr>
          <w:rFonts w:ascii="Times New Roman" w:hAnsi="Times New Roman" w:cs="Times New Roman"/>
          <w:sz w:val="24"/>
          <w:szCs w:val="24"/>
        </w:rPr>
        <w:t xml:space="preserve">дни от </w:t>
      </w:r>
      <w:r w:rsidRPr="00A44BDA">
        <w:rPr>
          <w:rFonts w:ascii="Times New Roman" w:hAnsi="Times New Roman" w:cs="Times New Roman"/>
          <w:sz w:val="24"/>
          <w:szCs w:val="24"/>
        </w:rPr>
        <w:t xml:space="preserve">-5 до - 2), и MEL (140 мг / </w:t>
      </w:r>
      <w:r w:rsidR="00556889" w:rsidRPr="00A44BDA">
        <w:rPr>
          <w:rFonts w:ascii="Times New Roman" w:hAnsi="Times New Roman" w:cs="Times New Roman"/>
          <w:sz w:val="24"/>
          <w:szCs w:val="24"/>
        </w:rPr>
        <w:t>м</w:t>
      </w:r>
      <w:r w:rsidR="00556889" w:rsidRPr="00635CFB">
        <w:rPr>
          <w:rFonts w:ascii="Times New Roman" w:hAnsi="Times New Roman" w:cs="Times New Roman"/>
          <w:sz w:val="24"/>
          <w:szCs w:val="24"/>
          <w:vertAlign w:val="superscript"/>
        </w:rPr>
        <w:t>2</w:t>
      </w:r>
      <w:r w:rsidRPr="00A44BDA">
        <w:rPr>
          <w:rFonts w:ascii="Times New Roman" w:hAnsi="Times New Roman" w:cs="Times New Roman"/>
          <w:sz w:val="24"/>
          <w:szCs w:val="24"/>
        </w:rPr>
        <w:t>/ день × 1, дни -1)</w:t>
      </w:r>
      <w:r w:rsidR="00556889">
        <w:rPr>
          <w:rFonts w:ascii="Times New Roman" w:hAnsi="Times New Roman" w:cs="Times New Roman"/>
          <w:sz w:val="24"/>
          <w:szCs w:val="24"/>
        </w:rPr>
        <w:t xml:space="preserve"> </w:t>
      </w:r>
      <w:r w:rsidR="00556889">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{"citationItems":[{"id":"ITEM-1","itemData":{"ISBN":"9783030022778","author":[{"dropping-particle":"","family":"Enric Carreras","given":"Dufour Carlo","non-dropping-particle":"","parse-names":false,"suffix":""},{"dropping-particle":"","family":"Mohty Mohamad","given":"Kröger Nicolaus","non-dropping-particle":"","parse-names":false,"suffix":""}],"id":"ITEM-1","issued":{"date-parts":[["2019"]]},"number-of-pages":"702","title":"Hematopoietic Stem Cell Transplantation and Cellular Therapies","type":"book"},"uris":["http://www.mendeley.com/documents/?uuid=891fa663-7797-4301-8893-3b0a5d75b173"]},{"id":"ITEM-2","itemData":{"DOI":"10.5114/wo.2018.77046","ISSN":"1428-2526","PMID":"30150889","abstract":"Introduction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Poland)","id":"ITEM-2","issue":"2","issued":{"date-parts":[["2018"]]},"page":"113-117","publisher":"Termedia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transplantation.","type":"article-journal","volume":"22"},"uris":["http://www.mendeley.com/documents/?uuid=5cbf9ec0-cb46-34bb-9da8-ba263a19a7fa"]},{"id":"ITEM-3","itemData":{"DOI":"10.1038/sj.bmt.1700913","ISSN":"0268-3369","PMID":"9313877","abstract":"In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Corral","given":"M","non-dropping-particle":"","parse-names":false,"suffix":""},{"dropping-particle":"","family":"Gonzalez","given":"M","non-dropping-particle":"","parse-names":false,"suffix":""},{"dropping-particle":"","family":"León","given":"A","non-dropping-particle":"","parse-names":false,"suffix":""},{"dropping-particle":"","family":"Jean-Paul","given":"E","non-dropping-particle":"","parse-names":false,"suffix":""},{"dropping-particle":"","family":"Rocha","given":"E","non-dropping-particle":"","parse-names":false,"suffix":""},{"dropping-particle":"","family":"Moraleda","given":"J M","non-dropping-particle":"","parse-names":false,"suffix":""},{"dropping-particle":"","family":"San Miguel","given":"J F","non-dropping-particle":"","parse-names":false,"suffix":""}],"container-title":"Bone marrow transplantation","id":"ITEM-3","issue":"6","issued":{"date-parts":[["1997","9"]]},"page":"451-8","publisher":"Bone Marrow Transplant","title":"BEAM chemotherapy followed by autologous stem cell support in lymphoma patients: analysis of efficacy, toxicity and prognostic factors.","type":"article-journal","volume":"20"},"uris":["http://www.mendeley.com/documents/?uuid=83d43668-9134-3bde-8ac7-eb055fb3d2a1"]}],"mendeley":{"formattedCitation":"[26, 37, 38]","plainTextFormattedCitation":"[26, 37, 38]","previouslyFormattedCitation":"[26, 36, 37]"},"properties":{"noteIndex":0},"schema":"https://github.com/citation-style-language/schema/raw/master/csl-citation.json"}</w:instrText>
      </w:r>
      <w:r w:rsidR="00556889">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[26, 37, 38]</w:t>
      </w:r>
      <w:r w:rsidR="00556889">
        <w:rPr>
          <w:rFonts w:ascii="Times New Roman" w:hAnsi="Times New Roman" w:cs="Times New Roman"/>
          <w:sz w:val="24"/>
          <w:szCs w:val="24"/>
        </w:rPr>
        <w:fldChar w:fldCharType="end"/>
      </w:r>
      <w:r w:rsidR="002F6791">
        <w:rPr>
          <w:rFonts w:ascii="Times New Roman" w:hAnsi="Times New Roman" w:cs="Times New Roman"/>
          <w:sz w:val="24"/>
          <w:szCs w:val="24"/>
        </w:rPr>
        <w:t>. Схемы введения препаратов и дозы представлены в таблице 6.</w:t>
      </w:r>
    </w:p>
    <w:p w:rsidR="00A61AE3" w:rsidRDefault="00A61AE3" w:rsidP="00A44BDA">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Ранняя</w:t>
      </w:r>
      <w:r w:rsidR="00A44BDA" w:rsidRPr="00A44BDA">
        <w:rPr>
          <w:rFonts w:ascii="Times New Roman" w:hAnsi="Times New Roman" w:cs="Times New Roman"/>
          <w:sz w:val="24"/>
          <w:szCs w:val="24"/>
        </w:rPr>
        <w:t xml:space="preserve"> токсичность </w:t>
      </w:r>
      <w:r>
        <w:rPr>
          <w:rFonts w:ascii="Times New Roman" w:hAnsi="Times New Roman" w:cs="Times New Roman"/>
          <w:sz w:val="24"/>
          <w:szCs w:val="24"/>
        </w:rPr>
        <w:t xml:space="preserve">режима </w:t>
      </w:r>
      <w:r w:rsidR="00A44BDA" w:rsidRPr="00A44BDA">
        <w:rPr>
          <w:rFonts w:ascii="Times New Roman" w:hAnsi="Times New Roman" w:cs="Times New Roman"/>
          <w:sz w:val="24"/>
          <w:szCs w:val="24"/>
        </w:rPr>
        <w:t>BEAM включает тяжелый мукозит, тошноту и рвоту, диарею, гепатотоксичность, нефротоксичность и неин</w:t>
      </w:r>
      <w:r>
        <w:rPr>
          <w:rFonts w:ascii="Times New Roman" w:hAnsi="Times New Roman" w:cs="Times New Roman"/>
          <w:sz w:val="24"/>
          <w:szCs w:val="24"/>
        </w:rPr>
        <w:t>фекционные легочные осложнения.</w:t>
      </w:r>
    </w:p>
    <w:p w:rsidR="00A44BDA" w:rsidRPr="00A44BDA" w:rsidRDefault="00A44BDA" w:rsidP="00A44BDA">
      <w:pPr>
        <w:spacing w:after="0" w:line="360" w:lineRule="auto"/>
        <w:ind w:firstLine="426"/>
        <w:jc w:val="both"/>
        <w:rPr>
          <w:rFonts w:ascii="Times New Roman" w:hAnsi="Times New Roman" w:cs="Times New Roman"/>
          <w:sz w:val="24"/>
          <w:szCs w:val="24"/>
        </w:rPr>
      </w:pPr>
      <w:r w:rsidRPr="00A44BDA">
        <w:rPr>
          <w:rFonts w:ascii="Times New Roman" w:hAnsi="Times New Roman" w:cs="Times New Roman"/>
          <w:sz w:val="24"/>
          <w:szCs w:val="24"/>
        </w:rPr>
        <w:t>Поздняя токсичность включает легочные осложнения, такие как хронический интерстициальный фиброз и снижение диффузионной способности легких (21%), инфекция (30%), метаболический синдром (17%), сердечно-сосудистые осложнения (12%), вторичные опухоли (20%)</w:t>
      </w:r>
      <w:r w:rsidR="00A61AE3">
        <w:rPr>
          <w:rFonts w:ascii="Times New Roman" w:hAnsi="Times New Roman" w:cs="Times New Roman"/>
          <w:sz w:val="24"/>
          <w:szCs w:val="24"/>
        </w:rPr>
        <w:t>.</w:t>
      </w:r>
    </w:p>
    <w:p w:rsidR="00A44BDA" w:rsidRPr="006D20AB" w:rsidRDefault="00556889" w:rsidP="00CF7E39">
      <w:pPr>
        <w:spacing w:after="0" w:line="360" w:lineRule="auto"/>
        <w:ind w:firstLine="426"/>
        <w:jc w:val="both"/>
        <w:rPr>
          <w:rFonts w:ascii="Times New Roman" w:hAnsi="Times New Roman" w:cs="Times New Roman"/>
          <w:b/>
          <w:sz w:val="24"/>
          <w:szCs w:val="24"/>
        </w:rPr>
      </w:pPr>
      <w:r w:rsidRPr="002F6791">
        <w:rPr>
          <w:rFonts w:ascii="Times New Roman" w:hAnsi="Times New Roman" w:cs="Times New Roman"/>
          <w:b/>
          <w:sz w:val="24"/>
          <w:szCs w:val="24"/>
        </w:rPr>
        <w:t xml:space="preserve">Таблица </w:t>
      </w:r>
      <w:r w:rsidR="003B2A99" w:rsidRPr="002F6791">
        <w:rPr>
          <w:rFonts w:ascii="Times New Roman" w:hAnsi="Times New Roman" w:cs="Times New Roman"/>
          <w:b/>
          <w:sz w:val="24"/>
          <w:szCs w:val="24"/>
        </w:rPr>
        <w:t>6</w:t>
      </w:r>
      <w:r w:rsidRPr="002F6791">
        <w:rPr>
          <w:rFonts w:ascii="Times New Roman" w:hAnsi="Times New Roman" w:cs="Times New Roman"/>
          <w:b/>
          <w:sz w:val="24"/>
          <w:szCs w:val="24"/>
        </w:rPr>
        <w:t xml:space="preserve">. Схема предтрансплантационного кондиционирования </w:t>
      </w:r>
      <w:r w:rsidR="00A44BDA" w:rsidRPr="002F6791">
        <w:rPr>
          <w:rFonts w:ascii="Times New Roman" w:hAnsi="Times New Roman" w:cs="Times New Roman"/>
          <w:b/>
          <w:sz w:val="24"/>
          <w:szCs w:val="24"/>
          <w:lang w:val="en-US"/>
        </w:rPr>
        <w:t>BEAM</w:t>
      </w:r>
      <w:r w:rsidR="00CF7E39" w:rsidRPr="002F6791">
        <w:rPr>
          <w:rFonts w:ascii="Times New Roman" w:hAnsi="Times New Roman" w:cs="Times New Roman"/>
          <w:b/>
          <w:sz w:val="24"/>
          <w:szCs w:val="24"/>
        </w:rPr>
        <w:t xml:space="preserve"> </w:t>
      </w:r>
      <w:r w:rsidR="00CF7E39" w:rsidRPr="002F6791">
        <w:rPr>
          <w:rFonts w:ascii="Times New Roman" w:hAnsi="Times New Roman" w:cs="Times New Roman"/>
          <w:b/>
          <w:sz w:val="24"/>
          <w:szCs w:val="24"/>
          <w:lang w:val="en-US"/>
        </w:rPr>
        <w:fldChar w:fldCharType="begin" w:fldLock="1"/>
      </w:r>
      <w:r w:rsidR="009C1B46">
        <w:rPr>
          <w:rFonts w:ascii="Times New Roman" w:hAnsi="Times New Roman" w:cs="Times New Roman"/>
          <w:b/>
          <w:sz w:val="24"/>
          <w:szCs w:val="24"/>
          <w:lang w:val="en-US"/>
        </w:rPr>
        <w:instrText>ADDIN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CSL</w:instrText>
      </w:r>
      <w:r w:rsidR="009C1B46" w:rsidRPr="009C1B46">
        <w:rPr>
          <w:rFonts w:ascii="Times New Roman" w:hAnsi="Times New Roman" w:cs="Times New Roman"/>
          <w:b/>
          <w:sz w:val="24"/>
          <w:szCs w:val="24"/>
        </w:rPr>
        <w:instrText>_</w:instrText>
      </w:r>
      <w:r w:rsidR="009C1B46">
        <w:rPr>
          <w:rFonts w:ascii="Times New Roman" w:hAnsi="Times New Roman" w:cs="Times New Roman"/>
          <w:b/>
          <w:sz w:val="24"/>
          <w:szCs w:val="24"/>
          <w:lang w:val="en-US"/>
        </w:rPr>
        <w:instrText>CITATION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citationItems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id</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ITEM</w:instrText>
      </w:r>
      <w:r w:rsidR="009C1B46" w:rsidRPr="009C1B46">
        <w:rPr>
          <w:rFonts w:ascii="Times New Roman" w:hAnsi="Times New Roman" w:cs="Times New Roman"/>
          <w:b/>
          <w:sz w:val="24"/>
          <w:szCs w:val="24"/>
        </w:rPr>
        <w:instrText>-1","</w:instrText>
      </w:r>
      <w:r w:rsidR="009C1B46">
        <w:rPr>
          <w:rFonts w:ascii="Times New Roman" w:hAnsi="Times New Roman" w:cs="Times New Roman"/>
          <w:b/>
          <w:sz w:val="24"/>
          <w:szCs w:val="24"/>
          <w:lang w:val="en-US"/>
        </w:rPr>
        <w:instrText>itemData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DOI</w:instrText>
      </w:r>
      <w:r w:rsidR="009C1B46" w:rsidRPr="009C1B46">
        <w:rPr>
          <w:rFonts w:ascii="Times New Roman" w:hAnsi="Times New Roman" w:cs="Times New Roman"/>
          <w:b/>
          <w:sz w:val="24"/>
          <w:szCs w:val="24"/>
        </w:rPr>
        <w:instrText>":"10.1200/</w:instrText>
      </w:r>
      <w:r w:rsidR="009C1B46">
        <w:rPr>
          <w:rFonts w:ascii="Times New Roman" w:hAnsi="Times New Roman" w:cs="Times New Roman"/>
          <w:b/>
          <w:sz w:val="24"/>
          <w:szCs w:val="24"/>
          <w:lang w:val="en-US"/>
        </w:rPr>
        <w:instrText>JCO</w:instrText>
      </w:r>
      <w:r w:rsidR="009C1B46" w:rsidRPr="009C1B46">
        <w:rPr>
          <w:rFonts w:ascii="Times New Roman" w:hAnsi="Times New Roman" w:cs="Times New Roman"/>
          <w:b/>
          <w:sz w:val="24"/>
          <w:szCs w:val="24"/>
        </w:rPr>
        <w:instrText>.1995.13.3.588","</w:instrText>
      </w:r>
      <w:r w:rsidR="009C1B46">
        <w:rPr>
          <w:rFonts w:ascii="Times New Roman" w:hAnsi="Times New Roman" w:cs="Times New Roman"/>
          <w:b/>
          <w:sz w:val="24"/>
          <w:szCs w:val="24"/>
          <w:lang w:val="en-US"/>
        </w:rPr>
        <w:instrText>ISSN</w:instrText>
      </w:r>
      <w:r w:rsidR="009C1B46" w:rsidRPr="009C1B46">
        <w:rPr>
          <w:rFonts w:ascii="Times New Roman" w:hAnsi="Times New Roman" w:cs="Times New Roman"/>
          <w:b/>
          <w:sz w:val="24"/>
          <w:szCs w:val="24"/>
        </w:rPr>
        <w:instrText>":"0732-183</w:instrText>
      </w:r>
      <w:r w:rsidR="009C1B46">
        <w:rPr>
          <w:rFonts w:ascii="Times New Roman" w:hAnsi="Times New Roman" w:cs="Times New Roman"/>
          <w:b/>
          <w:sz w:val="24"/>
          <w:szCs w:val="24"/>
          <w:lang w:val="en-US"/>
        </w:rPr>
        <w:instrText>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PMID</w:instrText>
      </w:r>
      <w:r w:rsidR="009C1B46" w:rsidRPr="009C1B46">
        <w:rPr>
          <w:rFonts w:ascii="Times New Roman" w:hAnsi="Times New Roman" w:cs="Times New Roman"/>
          <w:b/>
          <w:sz w:val="24"/>
          <w:szCs w:val="24"/>
        </w:rPr>
        <w:instrText>":"7884420","</w:instrText>
      </w:r>
      <w:r w:rsidR="009C1B46">
        <w:rPr>
          <w:rFonts w:ascii="Times New Roman" w:hAnsi="Times New Roman" w:cs="Times New Roman"/>
          <w:b/>
          <w:sz w:val="24"/>
          <w:szCs w:val="24"/>
          <w:lang w:val="en-US"/>
        </w:rPr>
        <w:instrText>abstract</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PURPOSE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evaluate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outcome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relapsed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resistant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Hodgkin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lymphoma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NHL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undergoing</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high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autologous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bone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marrow</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transplantation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ABMT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determine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main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prognostic</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factors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METHODS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hundred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seven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relapsed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resistant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intermediate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high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grade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NHL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underwent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high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carmustine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etoposide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cytarabine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melphalan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BEAM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ABMT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University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College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Hospitals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between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September</w:instrText>
      </w:r>
      <w:r w:rsidR="009C1B46" w:rsidRPr="009C1B46">
        <w:rPr>
          <w:rFonts w:ascii="Times New Roman" w:hAnsi="Times New Roman" w:cs="Times New Roman"/>
          <w:b/>
          <w:sz w:val="24"/>
          <w:szCs w:val="24"/>
        </w:rPr>
        <w:instrText xml:space="preserve"> 1981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February</w:instrText>
      </w:r>
      <w:r w:rsidR="009C1B46" w:rsidRPr="009C1B46">
        <w:rPr>
          <w:rFonts w:ascii="Times New Roman" w:hAnsi="Times New Roman" w:cs="Times New Roman"/>
          <w:b/>
          <w:sz w:val="24"/>
          <w:szCs w:val="24"/>
        </w:rPr>
        <w:instrText xml:space="preserve"> 1993.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minimum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follow</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up</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duration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all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is</w:instrText>
      </w:r>
      <w:r w:rsidR="009C1B46" w:rsidRPr="009C1B46">
        <w:rPr>
          <w:rFonts w:ascii="Times New Roman" w:hAnsi="Times New Roman" w:cs="Times New Roman"/>
          <w:b/>
          <w:sz w:val="24"/>
          <w:szCs w:val="24"/>
        </w:rPr>
        <w:instrText xml:space="preserve"> 6 </w:instrText>
      </w:r>
      <w:r w:rsidR="009C1B46">
        <w:rPr>
          <w:rFonts w:ascii="Times New Roman" w:hAnsi="Times New Roman" w:cs="Times New Roman"/>
          <w:b/>
          <w:sz w:val="24"/>
          <w:szCs w:val="24"/>
          <w:lang w:val="en-US"/>
        </w:rPr>
        <w:instrText>months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RESULTS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3 </w:instrText>
      </w:r>
      <w:r w:rsidR="009C1B46">
        <w:rPr>
          <w:rFonts w:ascii="Times New Roman" w:hAnsi="Times New Roman" w:cs="Times New Roman"/>
          <w:b/>
          <w:sz w:val="24"/>
          <w:szCs w:val="24"/>
          <w:lang w:val="en-US"/>
        </w:rPr>
        <w:instrText>months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overall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response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rate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BEAM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ABMT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was</w:instrText>
      </w:r>
      <w:r w:rsidR="009C1B46" w:rsidRPr="009C1B46">
        <w:rPr>
          <w:rFonts w:ascii="Times New Roman" w:hAnsi="Times New Roman" w:cs="Times New Roman"/>
          <w:b/>
          <w:sz w:val="24"/>
          <w:szCs w:val="24"/>
        </w:rPr>
        <w:instrText xml:space="preserve"> 73% (41% </w:instrText>
      </w:r>
      <w:r w:rsidR="009C1B46">
        <w:rPr>
          <w:rFonts w:ascii="Times New Roman" w:hAnsi="Times New Roman" w:cs="Times New Roman"/>
          <w:b/>
          <w:sz w:val="24"/>
          <w:szCs w:val="24"/>
          <w:lang w:val="en-US"/>
        </w:rPr>
        <w:instrText>complete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response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32% </w:instrText>
      </w:r>
      <w:r w:rsidR="009C1B46">
        <w:rPr>
          <w:rFonts w:ascii="Times New Roman" w:hAnsi="Times New Roman" w:cs="Times New Roman"/>
          <w:b/>
          <w:sz w:val="24"/>
          <w:szCs w:val="24"/>
          <w:lang w:val="en-US"/>
        </w:rPr>
        <w:instrText>partial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response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5-</w:instrText>
      </w:r>
      <w:r w:rsidR="009C1B46">
        <w:rPr>
          <w:rFonts w:ascii="Times New Roman" w:hAnsi="Times New Roman" w:cs="Times New Roman"/>
          <w:b/>
          <w:sz w:val="24"/>
          <w:szCs w:val="24"/>
          <w:lang w:val="en-US"/>
        </w:rPr>
        <w:instrText>year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actuarial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overall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survival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progression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free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survival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rates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were</w:instrText>
      </w:r>
      <w:r w:rsidR="009C1B46" w:rsidRPr="009C1B46">
        <w:rPr>
          <w:rFonts w:ascii="Times New Roman" w:hAnsi="Times New Roman" w:cs="Times New Roman"/>
          <w:b/>
          <w:sz w:val="24"/>
          <w:szCs w:val="24"/>
        </w:rPr>
        <w:instrText xml:space="preserve"> 41%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35%, </w:instrText>
      </w:r>
      <w:r w:rsidR="009C1B46">
        <w:rPr>
          <w:rFonts w:ascii="Times New Roman" w:hAnsi="Times New Roman" w:cs="Times New Roman"/>
          <w:b/>
          <w:sz w:val="24"/>
          <w:szCs w:val="24"/>
          <w:lang w:val="en-US"/>
        </w:rPr>
        <w:instrText>respectively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early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procedure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related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mortality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rate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was</w:instrText>
      </w:r>
      <w:r w:rsidR="009C1B46" w:rsidRPr="009C1B46">
        <w:rPr>
          <w:rFonts w:ascii="Times New Roman" w:hAnsi="Times New Roman" w:cs="Times New Roman"/>
          <w:b/>
          <w:sz w:val="24"/>
          <w:szCs w:val="24"/>
        </w:rPr>
        <w:instrText xml:space="preserve"> 7% (</w:instrText>
      </w:r>
      <w:r w:rsidR="009C1B46">
        <w:rPr>
          <w:rFonts w:ascii="Times New Roman" w:hAnsi="Times New Roman" w:cs="Times New Roman"/>
          <w:b/>
          <w:sz w:val="24"/>
          <w:szCs w:val="24"/>
          <w:lang w:val="en-US"/>
        </w:rPr>
        <w:instrText>eight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107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multivariate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analysis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main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prognostic</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factor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was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disease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status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time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ABMT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chemosensitive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disease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had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actuarial</w:instrText>
      </w:r>
      <w:r w:rsidR="009C1B46" w:rsidRPr="009C1B46">
        <w:rPr>
          <w:rFonts w:ascii="Times New Roman" w:hAnsi="Times New Roman" w:cs="Times New Roman"/>
          <w:b/>
          <w:sz w:val="24"/>
          <w:szCs w:val="24"/>
        </w:rPr>
        <w:instrText xml:space="preserve"> 5-</w:instrText>
      </w:r>
      <w:r w:rsidR="009C1B46">
        <w:rPr>
          <w:rFonts w:ascii="Times New Roman" w:hAnsi="Times New Roman" w:cs="Times New Roman"/>
          <w:b/>
          <w:sz w:val="24"/>
          <w:szCs w:val="24"/>
          <w:lang w:val="en-US"/>
        </w:rPr>
        <w:instrText>year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survival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rate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49%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5 </w:instrText>
      </w:r>
      <w:r w:rsidR="009C1B46">
        <w:rPr>
          <w:rFonts w:ascii="Times New Roman" w:hAnsi="Times New Roman" w:cs="Times New Roman"/>
          <w:b/>
          <w:sz w:val="24"/>
          <w:szCs w:val="24"/>
          <w:lang w:val="en-US"/>
        </w:rPr>
        <w:instrText>years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compared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13% </w:instrText>
      </w:r>
      <w:r w:rsidR="009C1B46">
        <w:rPr>
          <w:rFonts w:ascii="Times New Roman" w:hAnsi="Times New Roman" w:cs="Times New Roman"/>
          <w:b/>
          <w:sz w:val="24"/>
          <w:szCs w:val="24"/>
          <w:lang w:val="en-US"/>
        </w:rPr>
        <w:instrText>for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chemoresistant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disease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w:instrText>
      </w:r>
      <w:r w:rsidR="009C1B46" w:rsidRPr="009C1B46">
        <w:rPr>
          <w:rFonts w:ascii="Times New Roman" w:hAnsi="Times New Roman" w:cs="Times New Roman"/>
          <w:b/>
          <w:sz w:val="24"/>
          <w:szCs w:val="24"/>
        </w:rPr>
        <w:instrText xml:space="preserve"> &lt; .001). </w:instrText>
      </w:r>
      <w:r w:rsidR="009C1B46">
        <w:rPr>
          <w:rFonts w:ascii="Times New Roman" w:hAnsi="Times New Roman" w:cs="Times New Roman"/>
          <w:b/>
          <w:sz w:val="24"/>
          <w:szCs w:val="24"/>
          <w:lang w:val="en-US"/>
        </w:rPr>
        <w:instrText>For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considered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have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chemosensitive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disease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time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transplantation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there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is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significant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difference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in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actuarial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progression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free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survival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rates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who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received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high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after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attaining</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partial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response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first</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line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therapy</w:instrText>
      </w:r>
      <w:r w:rsidR="009C1B46" w:rsidRPr="009C1B46">
        <w:rPr>
          <w:rFonts w:ascii="Times New Roman" w:hAnsi="Times New Roman" w:cs="Times New Roman"/>
          <w:b/>
          <w:sz w:val="24"/>
          <w:szCs w:val="24"/>
        </w:rPr>
        <w:instrText xml:space="preserve"> (69%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5 </w:instrText>
      </w:r>
      <w:r w:rsidR="009C1B46">
        <w:rPr>
          <w:rFonts w:ascii="Times New Roman" w:hAnsi="Times New Roman" w:cs="Times New Roman"/>
          <w:b/>
          <w:sz w:val="24"/>
          <w:szCs w:val="24"/>
          <w:lang w:val="en-US"/>
        </w:rPr>
        <w:instrText>years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compared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sensitive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but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relapsed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disease</w:instrText>
      </w:r>
      <w:r w:rsidR="009C1B46" w:rsidRPr="009C1B46">
        <w:rPr>
          <w:rFonts w:ascii="Times New Roman" w:hAnsi="Times New Roman" w:cs="Times New Roman"/>
          <w:b/>
          <w:sz w:val="24"/>
          <w:szCs w:val="24"/>
        </w:rPr>
        <w:instrText xml:space="preserve"> (32% </w:instrText>
      </w:r>
      <w:r w:rsidR="009C1B46">
        <w:rPr>
          <w:rFonts w:ascii="Times New Roman" w:hAnsi="Times New Roman" w:cs="Times New Roman"/>
          <w:b/>
          <w:sz w:val="24"/>
          <w:szCs w:val="24"/>
          <w:lang w:val="en-US"/>
        </w:rPr>
        <w:instrText>at</w:instrText>
      </w:r>
      <w:r w:rsidR="009C1B46" w:rsidRPr="009C1B46">
        <w:rPr>
          <w:rFonts w:ascii="Times New Roman" w:hAnsi="Times New Roman" w:cs="Times New Roman"/>
          <w:b/>
          <w:sz w:val="24"/>
          <w:szCs w:val="24"/>
        </w:rPr>
        <w:instrText xml:space="preserve"> 5 </w:instrText>
      </w:r>
      <w:r w:rsidR="009C1B46">
        <w:rPr>
          <w:rFonts w:ascii="Times New Roman" w:hAnsi="Times New Roman" w:cs="Times New Roman"/>
          <w:b/>
          <w:sz w:val="24"/>
          <w:szCs w:val="24"/>
          <w:lang w:val="en-US"/>
        </w:rPr>
        <w:instrText>years</w:instrText>
      </w:r>
      <w:r w:rsidR="009C1B46" w:rsidRPr="009C1B46">
        <w:rPr>
          <w:rFonts w:ascii="Times New Roman" w:hAnsi="Times New Roman" w:cs="Times New Roman"/>
          <w:b/>
          <w:sz w:val="24"/>
          <w:szCs w:val="24"/>
        </w:rPr>
        <w:instrText>) (</w:instrText>
      </w:r>
      <w:r w:rsidR="009C1B46">
        <w:rPr>
          <w:rFonts w:ascii="Times New Roman" w:hAnsi="Times New Roman" w:cs="Times New Roman"/>
          <w:b/>
          <w:sz w:val="24"/>
          <w:szCs w:val="24"/>
          <w:lang w:val="en-US"/>
        </w:rPr>
        <w:instrText>P</w:instrText>
      </w:r>
      <w:r w:rsidR="009C1B46" w:rsidRPr="009C1B46">
        <w:rPr>
          <w:rFonts w:ascii="Times New Roman" w:hAnsi="Times New Roman" w:cs="Times New Roman"/>
          <w:b/>
          <w:sz w:val="24"/>
          <w:szCs w:val="24"/>
        </w:rPr>
        <w:instrText xml:space="preserve"> = .003). </w:instrText>
      </w:r>
      <w:r w:rsidR="009C1B46">
        <w:rPr>
          <w:rFonts w:ascii="Times New Roman" w:hAnsi="Times New Roman" w:cs="Times New Roman"/>
          <w:b/>
          <w:sz w:val="24"/>
          <w:szCs w:val="24"/>
          <w:lang w:val="en-US"/>
        </w:rPr>
        <w:instrText>CONCLUSION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chemosensitive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disease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benefit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most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from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high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those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who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receive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such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early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after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achieving</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partial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response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first</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line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have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high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rate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cure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author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Mills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W</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Chopra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McMillan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Pearce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Linch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Goldstone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H</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container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title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Journal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clinical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oncology</w:instrText>
      </w:r>
      <w:r w:rsidR="009C1B46" w:rsidRPr="009C1B46">
        <w:rPr>
          <w:rFonts w:ascii="Times New Roman" w:hAnsi="Times New Roman" w:cs="Times New Roman"/>
          <w:b/>
          <w:sz w:val="24"/>
          <w:szCs w:val="24"/>
        </w:rPr>
        <w:instrText xml:space="preserve"> : </w:instrText>
      </w:r>
      <w:r w:rsidR="009C1B46">
        <w:rPr>
          <w:rFonts w:ascii="Times New Roman" w:hAnsi="Times New Roman" w:cs="Times New Roman"/>
          <w:b/>
          <w:sz w:val="24"/>
          <w:szCs w:val="24"/>
          <w:lang w:val="en-US"/>
        </w:rPr>
        <w:instrText>official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journal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the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American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Society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Clinical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Oncology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id</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ITEM</w:instrText>
      </w:r>
      <w:r w:rsidR="009C1B46" w:rsidRPr="009C1B46">
        <w:rPr>
          <w:rFonts w:ascii="Times New Roman" w:hAnsi="Times New Roman" w:cs="Times New Roman"/>
          <w:b/>
          <w:sz w:val="24"/>
          <w:szCs w:val="24"/>
        </w:rPr>
        <w:instrText>-1","</w:instrText>
      </w:r>
      <w:r w:rsidR="009C1B46">
        <w:rPr>
          <w:rFonts w:ascii="Times New Roman" w:hAnsi="Times New Roman" w:cs="Times New Roman"/>
          <w:b/>
          <w:sz w:val="24"/>
          <w:szCs w:val="24"/>
          <w:lang w:val="en-US"/>
        </w:rPr>
        <w:instrText>issue</w:instrText>
      </w:r>
      <w:r w:rsidR="009C1B46" w:rsidRPr="009C1B46">
        <w:rPr>
          <w:rFonts w:ascii="Times New Roman" w:hAnsi="Times New Roman" w:cs="Times New Roman"/>
          <w:b/>
          <w:sz w:val="24"/>
          <w:szCs w:val="24"/>
        </w:rPr>
        <w:instrText>":"3","</w:instrText>
      </w:r>
      <w:r w:rsidR="009C1B46">
        <w:rPr>
          <w:rFonts w:ascii="Times New Roman" w:hAnsi="Times New Roman" w:cs="Times New Roman"/>
          <w:b/>
          <w:sz w:val="24"/>
          <w:szCs w:val="24"/>
          <w:lang w:val="en-US"/>
        </w:rPr>
        <w:instrText>issued</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date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parts</w:instrText>
      </w:r>
      <w:r w:rsidR="009C1B46" w:rsidRPr="009C1B46">
        <w:rPr>
          <w:rFonts w:ascii="Times New Roman" w:hAnsi="Times New Roman" w:cs="Times New Roman"/>
          <w:b/>
          <w:sz w:val="24"/>
          <w:szCs w:val="24"/>
        </w:rPr>
        <w:instrText>":[["1995","3"]]},"</w:instrText>
      </w:r>
      <w:r w:rsidR="009C1B46">
        <w:rPr>
          <w:rFonts w:ascii="Times New Roman" w:hAnsi="Times New Roman" w:cs="Times New Roman"/>
          <w:b/>
          <w:sz w:val="24"/>
          <w:szCs w:val="24"/>
          <w:lang w:val="en-US"/>
        </w:rPr>
        <w:instrText>page</w:instrText>
      </w:r>
      <w:r w:rsidR="009C1B46" w:rsidRPr="009C1B46">
        <w:rPr>
          <w:rFonts w:ascii="Times New Roman" w:hAnsi="Times New Roman" w:cs="Times New Roman"/>
          <w:b/>
          <w:sz w:val="24"/>
          <w:szCs w:val="24"/>
        </w:rPr>
        <w:instrText>":"588-95","</w:instrText>
      </w:r>
      <w:r w:rsidR="009C1B46">
        <w:rPr>
          <w:rFonts w:ascii="Times New Roman" w:hAnsi="Times New Roman" w:cs="Times New Roman"/>
          <w:b/>
          <w:sz w:val="24"/>
          <w:szCs w:val="24"/>
          <w:lang w:val="en-US"/>
        </w:rPr>
        <w:instrText>publisher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Clin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Oncol</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title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BEAM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autologous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bone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marrow</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transplantation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with</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relapsed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or</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refractory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Hodgkin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lymphoma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type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journal","volume":"13"},"uris":["http://www.mendeley.com/documents/?uuid=31ee3b3b-7e9b-351f-9bed-caba68be2117"]},{"id":"ITEM-2","itemData":{"ISBN":"9783030022778","author":[{"dropping-particle":"","family":"Enric Carreras","given":"Dufour Carlo","non-dropping-particle":"","parse-names":false,"suffix":""},{"dropping-particle":"","family":"Mohty Mohamad","given":"Kröger Nicolaus","non-dropping-particle":"","parse-names":false,"suffix":""}],"id":"ITEM-2","issued":{"date-parts":[["2019"]]},"number-of-pages":"702","title":"Hematopoietic Stem Cell Transplantation and Cellular Therapies","type":"book"},"uris":["http://www.mendeley.com/documents/?uuid=891fa663-7797-4301-8893-3b0a5d75b173"]},{"id":"ITEM-3","itemData":{"DOI":"10.3389/fonc.2019.00892","ISSN":"2234-943X","PMID":"31552193","abstract":"High-dose chemotherapy (HDT) followed by autologous hematopoietic stem cell transplantation (ASCT) is widely used in patients with malignant lymphomas. In Europe over 8,000 ASCTs for lymphoma were performed out of a total of 40,000 transplants according to the European Bone Marrow Transplant (EBMT) activity survey in 2017. ASCT is considered the standard treatment for eligible patients failing to achieve remission after first line chemotherapy or patients with relapsed or refractory 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oncology","id":"ITEM-3","issued":{"date-parts":[["2019","9","10"]]},"page":"892","title":"LEAM vs. BEAM vs. CLV Conditioning Regimen for Autologous Stem Cell Transplantation in Malignant Lymphomas. Retrospective Comparison of Toxicity and Efficacy on 222 Patients in the First 100 Days After Transplant, On Behalf of the Romanian Society for Bone Marrow Transplantation.","type":"article-journal","volume":"9"},"uris":["http://www.mendeley.com/documents/?uuid=f0950c98-e48f-3e46-9b59-e92d523f0b5d"]},{"id":"ITEM-4","itemData":{"DOI":"10.5114/wo.2018.77046","ISSN":"1428-2526","PMID":"30150889","abstract":"Introduction BEAM (carmustine, etoposide, cytarabine, melphalan) is the most frequently used high-dose chemotherapy regimen for patients with lymphoma referred for autologous haematopoietic cell transplantation (autoHCT). Recently, a novel conditioning protocol containing bendamustine instead of carmustine (BeEAM) has been proposed to potentially increase the efficacy. Aim of the study The aim of this study was to retrospectively compare the safety profile of BEAM and BeEAM based on single-centre experience. Material and methods A total of 237 consecutive patients with lymphoma treated with either BEAM (n = 174) or BeEAM (n = 63), between the years 2011 and 2016, were included in the analysis. Clinical characteristics of both groups were comparable. Patients with Hodgkin's lymphoma (HL) constituted 49% of the BEAM group and 40% of the BeEAM group. Results Median time to neutrophil &gt; 0.5 × 109/l recovery was 10 days in both groups (p = 0.29), while median time to platelet &gt; 50 × 109/l recovery was 13 and 14 days after BEAM and BeEAM, respectively (p = 0.12). The toxicity profile was comparable except for arterial hypertension and severe hypokalaemia, which occurred more frequently after BeEAM compared to BEAM (p = 0.02 and p = 0.004, respectively). The rate of early mortality was 1.7% and 1.6%, respectively. The probabilities of the overall and progression-free survival were comparable for both groups (p = 0.73 and p = 0.55, respectively). Conclusions Administration of bendamustine instead of carmustine as part of conditioning does not affect the engraftment or the toxicity profile of the regimen. Therefore, BeEAM may be safely used in patients with lymphoma undergoing autoHCT. Its efficacy requires evaluation in prospective studies.","author":[{"dropping-particle":"","family":"Frankiewicz","given":"Andrzej","non-dropping-particle":"","parse-names":false,"suffix":""},{"dropping-particle":"","family":"Saduś-Wojciechowska","given":"Maria","non-dropping-particle":"","parse-names":false,"suffix":""},{"dropping-particle":"","family":"Najda","given":"Jacek","non-dropping-particle":"","parse-names":false,"suffix":""},{"dropping-particle":"","family":"Czerw","given":"Tomasz","non-dropping-particle":"","parse-names":false,"suffix":""},{"dropping-particle":"","family":"Mendrek","given":"Włodzimierz","non-dropping-particle":"","parse-names":false,"suffix":""},{"dropping-particle":"","family":"Sobczyk-Kruszelnicka","given":"Małgorzata","non-dropping-particle":"","parse-names":false,"suffix":""},{"dropping-particle":"","family":"Soska","given":"Katarzyna","non-dropping-particle":"","parse-names":false,"suffix":""},{"dropping-particle":"","family":"Ociepa","given":"Małgorzata","non-dropping-particle":"","parse-names":false,"suffix":""},{"dropping-particle":"","family":"Hołowiecki","given":"Jerzy","non-dropping-particle":"","parse-names":false,"suffix":""},{"dropping-particle":"","family":"Giebel","given":"Sebastian","non-dropping-particle":"","parse-names":false,"suffix":""}],"container-title":"Contemporary oncology (Poznan, Poland)","id":"ITEM-4","issue":"2","issued":{"date-parts":[["2018"]]},"page":"113-117","publisher":"Termedia Publishing","title":"Comparable safety profile of BeEAM (bendamustine, etoposide, cytarabine, melphalan) and BEAM (carmustine, etoposide, cytarabine, melphalan) as conditioning before autologous haematopoietic cell transplantation.","type":"article-journal","volume":"22"},"uris":["http://www.mendeley.com/documents/?uuid=5cbf9ec0-cb46-34bb-9da8-ba263a19a7fa"]},{"id":"ITEM-5","itemData":{"DOI":"10.1038/sj.bmt.1700913","ISSN":"0268-3369","PMID":"9313877","abstract":"In the present paper, we evaluate tolerability, outcome and prognostic factors in patients with poor prognosis non-Hodgkin's lymphoma (NHL) and Hodgkin's disease (HD) when uniformly treated with BCNU, etoposide, cytarabine and melphalan (BEAM) and autologous stem cell transplant (ASCT). On hundred and forty-eight patients with NHL (n = 112) or HD (n = 36) received BEAM followed by infusion of bone marrow (n = 55), peripheral blood stem cells (n = 79) or both (n = 14). Twenty-eight patients had low-grade lymphoma (LGL), 68 intermediate- and 16 high-grade lymphoma (IGL). Within the NHL group, 21 patients were in 2nd or subsequent complete remission (CR) at transplant, 34 had sensitive disease and 11 resistant disease; 46 patients were transplanted in 1st CR due to the presence of &gt; or = 2 adverse prognostic features at diagnosis or to a slow CR. Of the HD patients at transplant 17 had active disease, 16 were in &gt; or = 2 CR and three in 1st CR. The overall percentage of toxic deaths was 5.4%, while in the group of patients transplanted with PBSC it was only 1.3%. NHL patients: 78% were in CR following ASCT, including 25 out of 45 patients (56%) who were transplanted with active disease. Only two of the 11 patients transplanted with resistant disease achieved CR. Incidence of overall survival (OS) and disease-free survival (DFS) at 3 years was 65 and 75%, respectively. As far as histology was concerned, OS was significantly better for patients with LGL in comparison with IGL (88 vs 56%) (P = 0.002). DFS was significantly higher for patients transplanted in first CR or first partial remission (PR) than it was for those transplanted in a later CR or PR (86 vs 53%) (P = 0.02). Multivariate analysis for OS showed that histology, bulky disease, poor performance status at transplant and achievement of CR were independent prognostic factors. In addition, a high number of infused MNC was associated with poor DFS. HD patients: 30 (83%) were in CR after transplantation, with 25 maintaining CR at the end of the study. Only one of the four patients transplanted with resistant disease reached CR. Incidence of OS and DFS at 3 years was 78 and 81%. DFS was similar for patients transplanted with early or late relapse (95 and 93%). With multivariate analysis, the only independent variable for OS was CR after transplant. In conclusion, the present results demonstrate the efficacy and low toxicity of the BEAM regimen in high-risk lymphoma patients with sensitive disease. Othe…","author":[{"dropping-particle":"","family":"Caballero","given":"M D","non-dropping-particle":"","parse-names":false,"suffix":""},{"dropping-particle":"","family":"Rubio","given":"V","non-dropping-particle":"","parse-names":false,"suffix":""},{"dropping-particle":"","family":"Rifon","given":"J","non-dropping-particle":"","parse-names":false,"suffix":""},{"dropping-particle":"","family":"Heras","given":"I","non-dropping-particle":"","parse-names":false,"suffix":""},{"dropping-particle":"","family":"García-Sanz","given":"R","non-dropping-particle":"","parse-names":false,"suffix":""},{"dropping-particle":"","family":"Vázquez","given":"L","non-dropping-particle":"","parse-names":false,"suffix":""},{"dropping-particle":"","family":"Vidriales","given":"B","non-dropping-particle":"","parse-names":false,"suffix":""},{"dropping-particle":"","family":"Cañizo","given":"M C","non-dropping-particle":"del","parse-names":false,"suffix":""},{"dropping-particle":"","family":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Corral</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Gonzalez</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Le</w:instrText>
      </w:r>
      <w:r w:rsidR="009C1B46" w:rsidRPr="009C1B46">
        <w:rPr>
          <w:rFonts w:ascii="Times New Roman" w:hAnsi="Times New Roman" w:cs="Times New Roman"/>
          <w:b/>
          <w:sz w:val="24"/>
          <w:szCs w:val="24"/>
        </w:rPr>
        <w:instrText>ó</w:instrText>
      </w:r>
      <w:r w:rsidR="009C1B46">
        <w:rPr>
          <w:rFonts w:ascii="Times New Roman" w:hAnsi="Times New Roman" w:cs="Times New Roman"/>
          <w:b/>
          <w:sz w:val="24"/>
          <w:szCs w:val="24"/>
          <w:lang w:val="en-US"/>
        </w:rPr>
        <w:instrText>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Jean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Paul</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Rocha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Moraleda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family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San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Miguel</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given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dropping</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names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false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suffix</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container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title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Bone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marrow</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transplantation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id</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ITEM</w:instrText>
      </w:r>
      <w:r w:rsidR="009C1B46" w:rsidRPr="009C1B46">
        <w:rPr>
          <w:rFonts w:ascii="Times New Roman" w:hAnsi="Times New Roman" w:cs="Times New Roman"/>
          <w:b/>
          <w:sz w:val="24"/>
          <w:szCs w:val="24"/>
        </w:rPr>
        <w:instrText>-5","</w:instrText>
      </w:r>
      <w:r w:rsidR="009C1B46">
        <w:rPr>
          <w:rFonts w:ascii="Times New Roman" w:hAnsi="Times New Roman" w:cs="Times New Roman"/>
          <w:b/>
          <w:sz w:val="24"/>
          <w:szCs w:val="24"/>
          <w:lang w:val="en-US"/>
        </w:rPr>
        <w:instrText>issue</w:instrText>
      </w:r>
      <w:r w:rsidR="009C1B46" w:rsidRPr="009C1B46">
        <w:rPr>
          <w:rFonts w:ascii="Times New Roman" w:hAnsi="Times New Roman" w:cs="Times New Roman"/>
          <w:b/>
          <w:sz w:val="24"/>
          <w:szCs w:val="24"/>
        </w:rPr>
        <w:instrText>":"6","</w:instrText>
      </w:r>
      <w:r w:rsidR="009C1B46">
        <w:rPr>
          <w:rFonts w:ascii="Times New Roman" w:hAnsi="Times New Roman" w:cs="Times New Roman"/>
          <w:b/>
          <w:sz w:val="24"/>
          <w:szCs w:val="24"/>
          <w:lang w:val="en-US"/>
        </w:rPr>
        <w:instrText>issued</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date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parts</w:instrText>
      </w:r>
      <w:r w:rsidR="009C1B46" w:rsidRPr="009C1B46">
        <w:rPr>
          <w:rFonts w:ascii="Times New Roman" w:hAnsi="Times New Roman" w:cs="Times New Roman"/>
          <w:b/>
          <w:sz w:val="24"/>
          <w:szCs w:val="24"/>
        </w:rPr>
        <w:instrText>":[["1997","9"]]},"</w:instrText>
      </w:r>
      <w:r w:rsidR="009C1B46">
        <w:rPr>
          <w:rFonts w:ascii="Times New Roman" w:hAnsi="Times New Roman" w:cs="Times New Roman"/>
          <w:b/>
          <w:sz w:val="24"/>
          <w:szCs w:val="24"/>
          <w:lang w:val="en-US"/>
        </w:rPr>
        <w:instrText>page</w:instrText>
      </w:r>
      <w:r w:rsidR="009C1B46" w:rsidRPr="009C1B46">
        <w:rPr>
          <w:rFonts w:ascii="Times New Roman" w:hAnsi="Times New Roman" w:cs="Times New Roman"/>
          <w:b/>
          <w:sz w:val="24"/>
          <w:szCs w:val="24"/>
        </w:rPr>
        <w:instrText>":"451-8","</w:instrText>
      </w:r>
      <w:r w:rsidR="009C1B46">
        <w:rPr>
          <w:rFonts w:ascii="Times New Roman" w:hAnsi="Times New Roman" w:cs="Times New Roman"/>
          <w:b/>
          <w:sz w:val="24"/>
          <w:szCs w:val="24"/>
          <w:lang w:val="en-US"/>
        </w:rPr>
        <w:instrText>publisher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Bone</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Marrow</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Transplant</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title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BEAM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chemotherapy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followed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by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autologous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stem</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cell</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support</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in</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lymphoma</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patients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analysis</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of</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efficacy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toxicity</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and</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prognostic</w:instrText>
      </w:r>
      <w:r w:rsidR="009C1B46" w:rsidRPr="009C1B46">
        <w:rPr>
          <w:rFonts w:ascii="Times New Roman" w:hAnsi="Times New Roman" w:cs="Times New Roman"/>
          <w:b/>
          <w:sz w:val="24"/>
          <w:szCs w:val="24"/>
        </w:rPr>
        <w:instrText xml:space="preserve"> </w:instrText>
      </w:r>
      <w:r w:rsidR="009C1B46">
        <w:rPr>
          <w:rFonts w:ascii="Times New Roman" w:hAnsi="Times New Roman" w:cs="Times New Roman"/>
          <w:b/>
          <w:sz w:val="24"/>
          <w:szCs w:val="24"/>
          <w:lang w:val="en-US"/>
        </w:rPr>
        <w:instrText>factors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type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article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journal</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volume</w:instrText>
      </w:r>
      <w:r w:rsidR="009C1B46" w:rsidRPr="009C1B46">
        <w:rPr>
          <w:rFonts w:ascii="Times New Roman" w:hAnsi="Times New Roman" w:cs="Times New Roman"/>
          <w:b/>
          <w:sz w:val="24"/>
          <w:szCs w:val="24"/>
        </w:rPr>
        <w:instrText>":"20"},"</w:instrText>
      </w:r>
      <w:r w:rsidR="009C1B46">
        <w:rPr>
          <w:rFonts w:ascii="Times New Roman" w:hAnsi="Times New Roman" w:cs="Times New Roman"/>
          <w:b/>
          <w:sz w:val="24"/>
          <w:szCs w:val="24"/>
          <w:lang w:val="en-US"/>
        </w:rPr>
        <w:instrText>uris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http</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www</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mendeley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com</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documents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uuid</w:instrText>
      </w:r>
      <w:r w:rsidR="009C1B46" w:rsidRPr="009C1B46">
        <w:rPr>
          <w:rFonts w:ascii="Times New Roman" w:hAnsi="Times New Roman" w:cs="Times New Roman"/>
          <w:b/>
          <w:sz w:val="24"/>
          <w:szCs w:val="24"/>
        </w:rPr>
        <w:instrText>=83</w:instrText>
      </w:r>
      <w:r w:rsidR="009C1B46">
        <w:rPr>
          <w:rFonts w:ascii="Times New Roman" w:hAnsi="Times New Roman" w:cs="Times New Roman"/>
          <w:b/>
          <w:sz w:val="24"/>
          <w:szCs w:val="24"/>
          <w:lang w:val="en-US"/>
        </w:rPr>
        <w:instrText>d</w:instrText>
      </w:r>
      <w:r w:rsidR="009C1B46" w:rsidRPr="009C1B46">
        <w:rPr>
          <w:rFonts w:ascii="Times New Roman" w:hAnsi="Times New Roman" w:cs="Times New Roman"/>
          <w:b/>
          <w:sz w:val="24"/>
          <w:szCs w:val="24"/>
        </w:rPr>
        <w:instrText>43668-9134-3</w:instrText>
      </w:r>
      <w:r w:rsidR="009C1B46">
        <w:rPr>
          <w:rFonts w:ascii="Times New Roman" w:hAnsi="Times New Roman" w:cs="Times New Roman"/>
          <w:b/>
          <w:sz w:val="24"/>
          <w:szCs w:val="24"/>
          <w:lang w:val="en-US"/>
        </w:rPr>
        <w:instrText>bde</w:instrText>
      </w:r>
      <w:r w:rsidR="009C1B46" w:rsidRPr="009C1B46">
        <w:rPr>
          <w:rFonts w:ascii="Times New Roman" w:hAnsi="Times New Roman" w:cs="Times New Roman"/>
          <w:b/>
          <w:sz w:val="24"/>
          <w:szCs w:val="24"/>
        </w:rPr>
        <w:instrText>-8</w:instrText>
      </w:r>
      <w:r w:rsidR="009C1B46">
        <w:rPr>
          <w:rFonts w:ascii="Times New Roman" w:hAnsi="Times New Roman" w:cs="Times New Roman"/>
          <w:b/>
          <w:sz w:val="24"/>
          <w:szCs w:val="24"/>
          <w:lang w:val="en-US"/>
        </w:rPr>
        <w:instrText>ac</w:instrText>
      </w:r>
      <w:r w:rsidR="009C1B46" w:rsidRPr="009C1B46">
        <w:rPr>
          <w:rFonts w:ascii="Times New Roman" w:hAnsi="Times New Roman" w:cs="Times New Roman"/>
          <w:b/>
          <w:sz w:val="24"/>
          <w:szCs w:val="24"/>
        </w:rPr>
        <w:instrText>7-</w:instrText>
      </w:r>
      <w:r w:rsidR="009C1B46">
        <w:rPr>
          <w:rFonts w:ascii="Times New Roman" w:hAnsi="Times New Roman" w:cs="Times New Roman"/>
          <w:b/>
          <w:sz w:val="24"/>
          <w:szCs w:val="24"/>
          <w:lang w:val="en-US"/>
        </w:rPr>
        <w:instrText>eb</w:instrText>
      </w:r>
      <w:r w:rsidR="009C1B46" w:rsidRPr="009C1B46">
        <w:rPr>
          <w:rFonts w:ascii="Times New Roman" w:hAnsi="Times New Roman" w:cs="Times New Roman"/>
          <w:b/>
          <w:sz w:val="24"/>
          <w:szCs w:val="24"/>
        </w:rPr>
        <w:instrText>055</w:instrText>
      </w:r>
      <w:r w:rsidR="009C1B46">
        <w:rPr>
          <w:rFonts w:ascii="Times New Roman" w:hAnsi="Times New Roman" w:cs="Times New Roman"/>
          <w:b/>
          <w:sz w:val="24"/>
          <w:szCs w:val="24"/>
          <w:lang w:val="en-US"/>
        </w:rPr>
        <w:instrText>fb</w:instrText>
      </w:r>
      <w:r w:rsidR="009C1B46" w:rsidRPr="009C1B46">
        <w:rPr>
          <w:rFonts w:ascii="Times New Roman" w:hAnsi="Times New Roman" w:cs="Times New Roman"/>
          <w:b/>
          <w:sz w:val="24"/>
          <w:szCs w:val="24"/>
        </w:rPr>
        <w:instrText>3</w:instrText>
      </w:r>
      <w:r w:rsidR="009C1B46">
        <w:rPr>
          <w:rFonts w:ascii="Times New Roman" w:hAnsi="Times New Roman" w:cs="Times New Roman"/>
          <w:b/>
          <w:sz w:val="24"/>
          <w:szCs w:val="24"/>
          <w:lang w:val="en-US"/>
        </w:rPr>
        <w:instrText>d</w:instrText>
      </w:r>
      <w:r w:rsidR="009C1B46" w:rsidRPr="009C1B46">
        <w:rPr>
          <w:rFonts w:ascii="Times New Roman" w:hAnsi="Times New Roman" w:cs="Times New Roman"/>
          <w:b/>
          <w:sz w:val="24"/>
          <w:szCs w:val="24"/>
        </w:rPr>
        <w:instrText>2</w:instrText>
      </w:r>
      <w:r w:rsidR="009C1B46">
        <w:rPr>
          <w:rFonts w:ascii="Times New Roman" w:hAnsi="Times New Roman" w:cs="Times New Roman"/>
          <w:b/>
          <w:sz w:val="24"/>
          <w:szCs w:val="24"/>
          <w:lang w:val="en-US"/>
        </w:rPr>
        <w:instrText>a</w:instrText>
      </w:r>
      <w:r w:rsidR="009C1B46" w:rsidRPr="009C1B46">
        <w:rPr>
          <w:rFonts w:ascii="Times New Roman" w:hAnsi="Times New Roman" w:cs="Times New Roman"/>
          <w:b/>
          <w:sz w:val="24"/>
          <w:szCs w:val="24"/>
        </w:rPr>
        <w:instrText>1"]}],"</w:instrText>
      </w:r>
      <w:r w:rsidR="009C1B46">
        <w:rPr>
          <w:rFonts w:ascii="Times New Roman" w:hAnsi="Times New Roman" w:cs="Times New Roman"/>
          <w:b/>
          <w:sz w:val="24"/>
          <w:szCs w:val="24"/>
          <w:lang w:val="en-US"/>
        </w:rPr>
        <w:instrText>mendeley</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formattedCitation</w:instrText>
      </w:r>
      <w:r w:rsidR="009C1B46" w:rsidRPr="009C1B46">
        <w:rPr>
          <w:rFonts w:ascii="Times New Roman" w:hAnsi="Times New Roman" w:cs="Times New Roman"/>
          <w:b/>
          <w:sz w:val="24"/>
          <w:szCs w:val="24"/>
        </w:rPr>
        <w:instrText>":"[26, 29, 37, 38, 51]","</w:instrText>
      </w:r>
      <w:r w:rsidR="009C1B46">
        <w:rPr>
          <w:rFonts w:ascii="Times New Roman" w:hAnsi="Times New Roman" w:cs="Times New Roman"/>
          <w:b/>
          <w:sz w:val="24"/>
          <w:szCs w:val="24"/>
          <w:lang w:val="en-US"/>
        </w:rPr>
        <w:instrText>plainTextFormattedCitation</w:instrText>
      </w:r>
      <w:r w:rsidR="009C1B46" w:rsidRPr="009C1B46">
        <w:rPr>
          <w:rFonts w:ascii="Times New Roman" w:hAnsi="Times New Roman" w:cs="Times New Roman"/>
          <w:b/>
          <w:sz w:val="24"/>
          <w:szCs w:val="24"/>
        </w:rPr>
        <w:instrText>":"[26, 29, 37, 38, 51]","</w:instrText>
      </w:r>
      <w:r w:rsidR="009C1B46">
        <w:rPr>
          <w:rFonts w:ascii="Times New Roman" w:hAnsi="Times New Roman" w:cs="Times New Roman"/>
          <w:b/>
          <w:sz w:val="24"/>
          <w:szCs w:val="24"/>
          <w:lang w:val="en-US"/>
        </w:rPr>
        <w:instrText>previouslyFormattedCitation</w:instrText>
      </w:r>
      <w:r w:rsidR="009C1B46" w:rsidRPr="009C1B46">
        <w:rPr>
          <w:rFonts w:ascii="Times New Roman" w:hAnsi="Times New Roman" w:cs="Times New Roman"/>
          <w:b/>
          <w:sz w:val="24"/>
          <w:szCs w:val="24"/>
        </w:rPr>
        <w:instrText>":"[26, 29, 36, 37, 50]"},"</w:instrText>
      </w:r>
      <w:r w:rsidR="009C1B46">
        <w:rPr>
          <w:rFonts w:ascii="Times New Roman" w:hAnsi="Times New Roman" w:cs="Times New Roman"/>
          <w:b/>
          <w:sz w:val="24"/>
          <w:szCs w:val="24"/>
          <w:lang w:val="en-US"/>
        </w:rPr>
        <w:instrText>properties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noteIndex</w:instrText>
      </w:r>
      <w:r w:rsidR="009C1B46" w:rsidRPr="009C1B46">
        <w:rPr>
          <w:rFonts w:ascii="Times New Roman" w:hAnsi="Times New Roman" w:cs="Times New Roman"/>
          <w:b/>
          <w:sz w:val="24"/>
          <w:szCs w:val="24"/>
        </w:rPr>
        <w:instrText>":0},"</w:instrText>
      </w:r>
      <w:r w:rsidR="009C1B46">
        <w:rPr>
          <w:rFonts w:ascii="Times New Roman" w:hAnsi="Times New Roman" w:cs="Times New Roman"/>
          <w:b/>
          <w:sz w:val="24"/>
          <w:szCs w:val="24"/>
          <w:lang w:val="en-US"/>
        </w:rPr>
        <w:instrText>schema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https</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github</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com</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citation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style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language</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schema</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raw</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master</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csl</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citation</w:instrText>
      </w:r>
      <w:r w:rsidR="009C1B46" w:rsidRPr="009C1B46">
        <w:rPr>
          <w:rFonts w:ascii="Times New Roman" w:hAnsi="Times New Roman" w:cs="Times New Roman"/>
          <w:b/>
          <w:sz w:val="24"/>
          <w:szCs w:val="24"/>
        </w:rPr>
        <w:instrText>.</w:instrText>
      </w:r>
      <w:r w:rsidR="009C1B46">
        <w:rPr>
          <w:rFonts w:ascii="Times New Roman" w:hAnsi="Times New Roman" w:cs="Times New Roman"/>
          <w:b/>
          <w:sz w:val="24"/>
          <w:szCs w:val="24"/>
          <w:lang w:val="en-US"/>
        </w:rPr>
        <w:instrText>json</w:instrText>
      </w:r>
      <w:r w:rsidR="009C1B46" w:rsidRPr="009C1B46">
        <w:rPr>
          <w:rFonts w:ascii="Times New Roman" w:hAnsi="Times New Roman" w:cs="Times New Roman"/>
          <w:b/>
          <w:sz w:val="24"/>
          <w:szCs w:val="24"/>
        </w:rPr>
        <w:instrText>"}</w:instrText>
      </w:r>
      <w:r w:rsidR="00CF7E39" w:rsidRPr="002F6791">
        <w:rPr>
          <w:rFonts w:ascii="Times New Roman" w:hAnsi="Times New Roman" w:cs="Times New Roman"/>
          <w:b/>
          <w:sz w:val="24"/>
          <w:szCs w:val="24"/>
          <w:lang w:val="en-US"/>
        </w:rPr>
        <w:fldChar w:fldCharType="separate"/>
      </w:r>
      <w:r w:rsidR="009C1B46" w:rsidRPr="009C1B46">
        <w:rPr>
          <w:rFonts w:ascii="Times New Roman" w:hAnsi="Times New Roman" w:cs="Times New Roman"/>
          <w:noProof/>
          <w:sz w:val="24"/>
          <w:szCs w:val="24"/>
        </w:rPr>
        <w:t>[26, 29, 37, 38, 51]</w:t>
      </w:r>
      <w:r w:rsidR="00CF7E39" w:rsidRPr="002F6791">
        <w:rPr>
          <w:rFonts w:ascii="Times New Roman" w:hAnsi="Times New Roman" w:cs="Times New Roman"/>
          <w:b/>
          <w:sz w:val="24"/>
          <w:szCs w:val="24"/>
          <w:lang w:val="en-US"/>
        </w:rPr>
        <w:fldChar w:fldCharType="end"/>
      </w:r>
    </w:p>
    <w:tbl>
      <w:tblPr>
        <w:tblStyle w:val="ac"/>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556889" w:rsidRPr="0011163E" w:rsidTr="003751C5">
        <w:tc>
          <w:tcPr>
            <w:tcW w:w="1418" w:type="dxa"/>
          </w:tcPr>
          <w:p w:rsidR="00556889" w:rsidRPr="006D20AB" w:rsidRDefault="00556889" w:rsidP="00556889">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Препарат</w:t>
            </w:r>
          </w:p>
        </w:tc>
        <w:tc>
          <w:tcPr>
            <w:tcW w:w="1701" w:type="dxa"/>
          </w:tcPr>
          <w:p w:rsidR="00556889" w:rsidRPr="006D20AB" w:rsidRDefault="00556889" w:rsidP="00556889">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Дни</w:t>
            </w:r>
            <w:r w:rsidRPr="006D20AB">
              <w:rPr>
                <w:rFonts w:ascii="Times New Roman" w:hAnsi="Times New Roman" w:cs="Times New Roman"/>
                <w:sz w:val="24"/>
                <w:szCs w:val="24"/>
              </w:rPr>
              <w:t xml:space="preserve"> </w:t>
            </w:r>
            <w:r w:rsidRPr="00BB6B7A">
              <w:rPr>
                <w:rFonts w:ascii="Times New Roman" w:hAnsi="Times New Roman" w:cs="Times New Roman"/>
                <w:sz w:val="24"/>
                <w:szCs w:val="24"/>
              </w:rPr>
              <w:t>введения</w:t>
            </w:r>
            <w:r w:rsidRPr="006D20AB">
              <w:rPr>
                <w:rFonts w:ascii="Times New Roman" w:hAnsi="Times New Roman" w:cs="Times New Roman"/>
                <w:sz w:val="24"/>
                <w:szCs w:val="24"/>
              </w:rPr>
              <w:t xml:space="preserve"> </w:t>
            </w:r>
            <w:r w:rsidRPr="00BB6B7A">
              <w:rPr>
                <w:rFonts w:ascii="Times New Roman" w:hAnsi="Times New Roman" w:cs="Times New Roman"/>
                <w:sz w:val="24"/>
                <w:szCs w:val="24"/>
              </w:rPr>
              <w:t>перед</w:t>
            </w:r>
            <w:r w:rsidRPr="006D20AB">
              <w:rPr>
                <w:rFonts w:ascii="Times New Roman" w:hAnsi="Times New Roman" w:cs="Times New Roman"/>
                <w:sz w:val="24"/>
                <w:szCs w:val="24"/>
              </w:rPr>
              <w:t xml:space="preserve"> </w:t>
            </w:r>
            <w:r w:rsidRPr="00BB6B7A">
              <w:rPr>
                <w:rFonts w:ascii="Times New Roman" w:hAnsi="Times New Roman" w:cs="Times New Roman"/>
                <w:sz w:val="24"/>
                <w:szCs w:val="24"/>
              </w:rPr>
              <w:t>ауто</w:t>
            </w:r>
            <w:r w:rsidRPr="006D20AB">
              <w:rPr>
                <w:rFonts w:ascii="Times New Roman" w:hAnsi="Times New Roman" w:cs="Times New Roman"/>
                <w:sz w:val="24"/>
                <w:szCs w:val="24"/>
              </w:rPr>
              <w:t>-</w:t>
            </w:r>
            <w:r w:rsidRPr="00BB6B7A">
              <w:rPr>
                <w:rFonts w:ascii="Times New Roman" w:hAnsi="Times New Roman" w:cs="Times New Roman"/>
                <w:sz w:val="24"/>
                <w:szCs w:val="24"/>
              </w:rPr>
              <w:t>ТГСК</w:t>
            </w:r>
          </w:p>
        </w:tc>
        <w:tc>
          <w:tcPr>
            <w:tcW w:w="1134" w:type="dxa"/>
          </w:tcPr>
          <w:p w:rsidR="00556889" w:rsidRPr="006D20AB" w:rsidRDefault="00556889" w:rsidP="0055688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Разовая</w:t>
            </w:r>
            <w:r w:rsidRPr="006D20AB">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1276" w:type="dxa"/>
          </w:tcPr>
          <w:p w:rsidR="00556889" w:rsidRPr="006D20AB" w:rsidRDefault="00556889" w:rsidP="0055688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Суточная</w:t>
            </w:r>
            <w:r w:rsidRPr="006D20AB">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1275" w:type="dxa"/>
          </w:tcPr>
          <w:p w:rsidR="00556889" w:rsidRPr="006D20AB" w:rsidRDefault="00556889" w:rsidP="0055688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Курсовая</w:t>
            </w:r>
            <w:r w:rsidRPr="006D20AB">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2659" w:type="dxa"/>
          </w:tcPr>
          <w:p w:rsidR="00556889" w:rsidRPr="006D20AB" w:rsidRDefault="00556889" w:rsidP="00556889">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w:t>
            </w:r>
            <w:r w:rsidRPr="006D20AB">
              <w:rPr>
                <w:rFonts w:ascii="Times New Roman" w:hAnsi="Times New Roman" w:cs="Times New Roman"/>
                <w:sz w:val="24"/>
                <w:szCs w:val="24"/>
              </w:rPr>
              <w:t xml:space="preserve"> </w:t>
            </w:r>
            <w:r>
              <w:rPr>
                <w:rFonts w:ascii="Times New Roman" w:hAnsi="Times New Roman" w:cs="Times New Roman"/>
                <w:sz w:val="24"/>
                <w:szCs w:val="24"/>
              </w:rPr>
              <w:t>введения</w:t>
            </w:r>
          </w:p>
        </w:tc>
      </w:tr>
      <w:tr w:rsidR="00556889" w:rsidRPr="0011163E" w:rsidTr="003751C5">
        <w:tc>
          <w:tcPr>
            <w:tcW w:w="1418" w:type="dxa"/>
          </w:tcPr>
          <w:p w:rsidR="00556889" w:rsidRPr="006D20AB" w:rsidRDefault="003751C5" w:rsidP="00556889">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Кармустин</w:t>
            </w:r>
          </w:p>
        </w:tc>
        <w:tc>
          <w:tcPr>
            <w:tcW w:w="1701" w:type="dxa"/>
          </w:tcPr>
          <w:p w:rsidR="00556889" w:rsidRPr="006D20AB" w:rsidRDefault="00556889" w:rsidP="003751C5">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w:t>
            </w:r>
            <w:r w:rsidR="003751C5" w:rsidRPr="006D20AB">
              <w:rPr>
                <w:rFonts w:ascii="Times New Roman" w:hAnsi="Times New Roman" w:cs="Times New Roman"/>
                <w:sz w:val="24"/>
                <w:szCs w:val="24"/>
              </w:rPr>
              <w:t>6</w:t>
            </w:r>
            <w:r w:rsidRPr="006D20AB">
              <w:rPr>
                <w:rFonts w:ascii="Times New Roman" w:hAnsi="Times New Roman" w:cs="Times New Roman"/>
                <w:sz w:val="24"/>
                <w:szCs w:val="24"/>
              </w:rPr>
              <w:t xml:space="preserve"> </w:t>
            </w:r>
            <w:r w:rsidR="003751C5">
              <w:rPr>
                <w:rFonts w:ascii="Times New Roman" w:hAnsi="Times New Roman" w:cs="Times New Roman"/>
                <w:sz w:val="24"/>
                <w:szCs w:val="24"/>
              </w:rPr>
              <w:t>день</w:t>
            </w:r>
          </w:p>
        </w:tc>
        <w:tc>
          <w:tcPr>
            <w:tcW w:w="1134" w:type="dxa"/>
          </w:tcPr>
          <w:p w:rsidR="00556889" w:rsidRPr="006D20AB" w:rsidRDefault="003751C5" w:rsidP="003751C5">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300</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6" w:type="dxa"/>
          </w:tcPr>
          <w:p w:rsidR="00556889"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300</w:t>
            </w:r>
            <w:r w:rsidR="00556889" w:rsidRPr="006D20AB">
              <w:rPr>
                <w:rFonts w:ascii="Times New Roman" w:hAnsi="Times New Roman" w:cs="Times New Roman"/>
                <w:sz w:val="24"/>
                <w:szCs w:val="24"/>
              </w:rPr>
              <w:t xml:space="preserve"> </w:t>
            </w:r>
            <w:r w:rsidR="00556889" w:rsidRPr="00555E26">
              <w:rPr>
                <w:rFonts w:ascii="Times New Roman" w:hAnsi="Times New Roman" w:cs="Times New Roman"/>
                <w:sz w:val="24"/>
                <w:szCs w:val="24"/>
              </w:rPr>
              <w:t>мг</w:t>
            </w:r>
            <w:r w:rsidR="00556889" w:rsidRPr="006D20AB">
              <w:rPr>
                <w:rFonts w:ascii="Times New Roman" w:hAnsi="Times New Roman" w:cs="Times New Roman"/>
                <w:sz w:val="24"/>
                <w:szCs w:val="24"/>
              </w:rPr>
              <w:t>/</w:t>
            </w:r>
            <w:r w:rsidR="00556889" w:rsidRPr="00555E26">
              <w:rPr>
                <w:rFonts w:ascii="Times New Roman" w:hAnsi="Times New Roman" w:cs="Times New Roman"/>
                <w:sz w:val="24"/>
                <w:szCs w:val="24"/>
              </w:rPr>
              <w:t>м</w:t>
            </w:r>
            <w:r w:rsidR="00556889" w:rsidRPr="006D20AB">
              <w:rPr>
                <w:rFonts w:ascii="Times New Roman" w:hAnsi="Times New Roman" w:cs="Times New Roman"/>
                <w:sz w:val="24"/>
                <w:szCs w:val="24"/>
                <w:vertAlign w:val="superscript"/>
              </w:rPr>
              <w:t>2</w:t>
            </w:r>
          </w:p>
        </w:tc>
        <w:tc>
          <w:tcPr>
            <w:tcW w:w="1275" w:type="dxa"/>
          </w:tcPr>
          <w:p w:rsidR="00556889"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300</w:t>
            </w:r>
            <w:r w:rsidR="00556889" w:rsidRPr="006D20AB">
              <w:rPr>
                <w:rFonts w:ascii="Times New Roman" w:hAnsi="Times New Roman" w:cs="Times New Roman"/>
                <w:sz w:val="24"/>
                <w:szCs w:val="24"/>
              </w:rPr>
              <w:t xml:space="preserve"> </w:t>
            </w:r>
            <w:r w:rsidR="00556889" w:rsidRPr="00555E26">
              <w:rPr>
                <w:rFonts w:ascii="Times New Roman" w:hAnsi="Times New Roman" w:cs="Times New Roman"/>
                <w:sz w:val="24"/>
                <w:szCs w:val="24"/>
              </w:rPr>
              <w:t>мг</w:t>
            </w:r>
            <w:r w:rsidR="00556889" w:rsidRPr="006D20AB">
              <w:rPr>
                <w:rFonts w:ascii="Times New Roman" w:hAnsi="Times New Roman" w:cs="Times New Roman"/>
                <w:sz w:val="24"/>
                <w:szCs w:val="24"/>
              </w:rPr>
              <w:t>/</w:t>
            </w:r>
            <w:r w:rsidR="00556889" w:rsidRPr="00555E26">
              <w:rPr>
                <w:rFonts w:ascii="Times New Roman" w:hAnsi="Times New Roman" w:cs="Times New Roman"/>
                <w:sz w:val="24"/>
                <w:szCs w:val="24"/>
              </w:rPr>
              <w:t>м</w:t>
            </w:r>
            <w:r w:rsidR="00556889" w:rsidRPr="006D20AB">
              <w:rPr>
                <w:rFonts w:ascii="Times New Roman" w:hAnsi="Times New Roman" w:cs="Times New Roman"/>
                <w:sz w:val="24"/>
                <w:szCs w:val="24"/>
                <w:vertAlign w:val="superscript"/>
              </w:rPr>
              <w:t>2</w:t>
            </w:r>
          </w:p>
        </w:tc>
        <w:tc>
          <w:tcPr>
            <w:tcW w:w="2659" w:type="dxa"/>
          </w:tcPr>
          <w:p w:rsidR="00556889" w:rsidRPr="006D20AB" w:rsidRDefault="00556889" w:rsidP="00CF7E39">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6D20AB">
              <w:rPr>
                <w:rFonts w:ascii="Times New Roman" w:hAnsi="Times New Roman" w:cs="Times New Roman"/>
                <w:sz w:val="24"/>
                <w:szCs w:val="24"/>
              </w:rPr>
              <w:t xml:space="preserve"> </w:t>
            </w:r>
            <w:r w:rsidR="00CF7E39">
              <w:rPr>
                <w:rFonts w:ascii="Times New Roman" w:hAnsi="Times New Roman" w:cs="Times New Roman"/>
                <w:sz w:val="24"/>
                <w:szCs w:val="24"/>
              </w:rPr>
              <w:t>в</w:t>
            </w:r>
            <w:r w:rsidR="00CF7E39" w:rsidRPr="006D20AB">
              <w:rPr>
                <w:rFonts w:ascii="Times New Roman" w:hAnsi="Times New Roman" w:cs="Times New Roman"/>
                <w:sz w:val="24"/>
                <w:szCs w:val="24"/>
              </w:rPr>
              <w:t>/</w:t>
            </w:r>
            <w:r w:rsidR="00CF7E39">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6D20AB">
              <w:rPr>
                <w:rFonts w:ascii="Times New Roman" w:hAnsi="Times New Roman" w:cs="Times New Roman"/>
                <w:sz w:val="24"/>
                <w:szCs w:val="24"/>
              </w:rPr>
              <w:t xml:space="preserve"> </w:t>
            </w:r>
            <w:r w:rsidR="003751C5" w:rsidRPr="006D20AB">
              <w:rPr>
                <w:rFonts w:ascii="Times New Roman" w:hAnsi="Times New Roman" w:cs="Times New Roman"/>
                <w:sz w:val="24"/>
                <w:szCs w:val="24"/>
              </w:rPr>
              <w:t xml:space="preserve">2 </w:t>
            </w:r>
            <w:r w:rsidRPr="003751C5">
              <w:rPr>
                <w:rFonts w:ascii="Times New Roman" w:hAnsi="Times New Roman" w:cs="Times New Roman"/>
                <w:sz w:val="24"/>
                <w:szCs w:val="24"/>
              </w:rPr>
              <w:t>ч</w:t>
            </w:r>
            <w:r w:rsidR="003751C5" w:rsidRPr="006D20AB">
              <w:rPr>
                <w:rFonts w:ascii="Times New Roman" w:hAnsi="Times New Roman" w:cs="Times New Roman"/>
                <w:sz w:val="24"/>
                <w:szCs w:val="24"/>
              </w:rPr>
              <w:t xml:space="preserve"> </w:t>
            </w:r>
            <w:r w:rsidR="003751C5" w:rsidRPr="003751C5">
              <w:rPr>
                <w:rFonts w:ascii="Times New Roman" w:hAnsi="Times New Roman" w:cs="Times New Roman"/>
                <w:sz w:val="24"/>
                <w:szCs w:val="24"/>
              </w:rPr>
              <w:t>в</w:t>
            </w:r>
            <w:r w:rsidR="003751C5" w:rsidRPr="006D20AB">
              <w:rPr>
                <w:rFonts w:ascii="Times New Roman" w:hAnsi="Times New Roman" w:cs="Times New Roman"/>
                <w:sz w:val="24"/>
                <w:szCs w:val="24"/>
              </w:rPr>
              <w:t xml:space="preserve"> 500 </w:t>
            </w:r>
            <w:r w:rsidR="003751C5" w:rsidRPr="003751C5">
              <w:rPr>
                <w:rFonts w:ascii="Times New Roman" w:hAnsi="Times New Roman" w:cs="Times New Roman"/>
                <w:sz w:val="24"/>
                <w:szCs w:val="24"/>
              </w:rPr>
              <w:t>мл</w:t>
            </w:r>
            <w:r w:rsidR="003751C5" w:rsidRPr="006D20AB">
              <w:rPr>
                <w:rFonts w:ascii="Times New Roman" w:hAnsi="Times New Roman" w:cs="Times New Roman"/>
                <w:sz w:val="24"/>
                <w:szCs w:val="24"/>
              </w:rPr>
              <w:t xml:space="preserve"> 0</w:t>
            </w:r>
            <w:r w:rsidR="00CF7E39" w:rsidRPr="006D20AB">
              <w:rPr>
                <w:rFonts w:ascii="Times New Roman" w:hAnsi="Times New Roman" w:cs="Times New Roman"/>
                <w:sz w:val="24"/>
                <w:szCs w:val="24"/>
              </w:rPr>
              <w:t>,</w:t>
            </w:r>
            <w:r w:rsidR="003751C5" w:rsidRPr="006D20AB">
              <w:rPr>
                <w:rFonts w:ascii="Times New Roman" w:hAnsi="Times New Roman" w:cs="Times New Roman"/>
                <w:sz w:val="24"/>
                <w:szCs w:val="24"/>
              </w:rPr>
              <w:t xml:space="preserve">9% </w:t>
            </w:r>
            <w:r w:rsidR="003751C5" w:rsidRPr="003751C5">
              <w:rPr>
                <w:rFonts w:ascii="Times New Roman" w:hAnsi="Times New Roman" w:cs="Times New Roman"/>
                <w:sz w:val="24"/>
                <w:szCs w:val="24"/>
                <w:lang w:val="en-US"/>
              </w:rPr>
              <w:t>NaCl</w:t>
            </w:r>
          </w:p>
        </w:tc>
      </w:tr>
      <w:tr w:rsidR="003751C5" w:rsidRPr="0011163E" w:rsidTr="003751C5">
        <w:tc>
          <w:tcPr>
            <w:tcW w:w="1418" w:type="dxa"/>
          </w:tcPr>
          <w:p w:rsidR="003751C5" w:rsidRPr="006D20AB" w:rsidRDefault="0011163E" w:rsidP="00556889">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Этопозид</w:t>
            </w:r>
          </w:p>
        </w:tc>
        <w:tc>
          <w:tcPr>
            <w:tcW w:w="1701"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-5, -4, -3, -2 </w:t>
            </w:r>
            <w:r>
              <w:rPr>
                <w:rFonts w:ascii="Times New Roman" w:hAnsi="Times New Roman" w:cs="Times New Roman"/>
                <w:sz w:val="24"/>
                <w:szCs w:val="24"/>
              </w:rPr>
              <w:t>дни</w:t>
            </w:r>
          </w:p>
        </w:tc>
        <w:tc>
          <w:tcPr>
            <w:tcW w:w="1134"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200</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6"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200 </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5"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800 </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2659" w:type="dxa"/>
          </w:tcPr>
          <w:p w:rsidR="003751C5" w:rsidRPr="006D20AB" w:rsidRDefault="003751C5" w:rsidP="00CF7E39">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6D20AB">
              <w:rPr>
                <w:rFonts w:ascii="Times New Roman" w:hAnsi="Times New Roman" w:cs="Times New Roman"/>
                <w:sz w:val="24"/>
                <w:szCs w:val="24"/>
              </w:rPr>
              <w:t xml:space="preserve"> </w:t>
            </w:r>
            <w:r w:rsidR="00CF7E39">
              <w:rPr>
                <w:rFonts w:ascii="Times New Roman" w:hAnsi="Times New Roman" w:cs="Times New Roman"/>
                <w:sz w:val="24"/>
                <w:szCs w:val="24"/>
              </w:rPr>
              <w:t>в</w:t>
            </w:r>
            <w:r w:rsidR="00CF7E39" w:rsidRPr="006D20AB">
              <w:rPr>
                <w:rFonts w:ascii="Times New Roman" w:hAnsi="Times New Roman" w:cs="Times New Roman"/>
                <w:sz w:val="24"/>
                <w:szCs w:val="24"/>
              </w:rPr>
              <w:t>/</w:t>
            </w:r>
            <w:r w:rsidR="00CF7E39">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6D20AB">
              <w:rPr>
                <w:rFonts w:ascii="Times New Roman" w:hAnsi="Times New Roman" w:cs="Times New Roman"/>
                <w:sz w:val="24"/>
                <w:szCs w:val="24"/>
              </w:rPr>
              <w:t xml:space="preserve"> 30 </w:t>
            </w:r>
            <w:r>
              <w:rPr>
                <w:rFonts w:ascii="Times New Roman" w:hAnsi="Times New Roman" w:cs="Times New Roman"/>
                <w:sz w:val="24"/>
                <w:szCs w:val="24"/>
              </w:rPr>
              <w:t>минут</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6D20AB">
              <w:rPr>
                <w:rFonts w:ascii="Times New Roman" w:hAnsi="Times New Roman" w:cs="Times New Roman"/>
                <w:sz w:val="24"/>
                <w:szCs w:val="24"/>
              </w:rPr>
              <w:t xml:space="preserve"> 0</w:t>
            </w:r>
            <w:r w:rsidR="00CF7E39" w:rsidRPr="006D20AB">
              <w:rPr>
                <w:rFonts w:ascii="Times New Roman" w:hAnsi="Times New Roman" w:cs="Times New Roman"/>
                <w:sz w:val="24"/>
                <w:szCs w:val="24"/>
              </w:rPr>
              <w:t>,</w:t>
            </w:r>
            <w:r w:rsidRPr="006D20AB">
              <w:rPr>
                <w:rFonts w:ascii="Times New Roman" w:hAnsi="Times New Roman" w:cs="Times New Roman"/>
                <w:sz w:val="24"/>
                <w:szCs w:val="24"/>
              </w:rPr>
              <w:t xml:space="preserve">9% </w:t>
            </w:r>
            <w:r w:rsidRPr="003751C5">
              <w:rPr>
                <w:rFonts w:ascii="Times New Roman" w:hAnsi="Times New Roman" w:cs="Times New Roman"/>
                <w:sz w:val="24"/>
                <w:szCs w:val="24"/>
                <w:lang w:val="en-US"/>
              </w:rPr>
              <w:t>NaCl</w:t>
            </w:r>
          </w:p>
        </w:tc>
      </w:tr>
      <w:tr w:rsidR="003751C5" w:rsidRPr="0011163E" w:rsidTr="003751C5">
        <w:tc>
          <w:tcPr>
            <w:tcW w:w="1418"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Цитарабин</w:t>
            </w:r>
          </w:p>
        </w:tc>
        <w:tc>
          <w:tcPr>
            <w:tcW w:w="1701"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-5, -4, -3, -2 </w:t>
            </w:r>
            <w:r>
              <w:rPr>
                <w:rFonts w:ascii="Times New Roman" w:hAnsi="Times New Roman" w:cs="Times New Roman"/>
                <w:sz w:val="24"/>
                <w:szCs w:val="24"/>
              </w:rPr>
              <w:t>дни</w:t>
            </w:r>
          </w:p>
        </w:tc>
        <w:tc>
          <w:tcPr>
            <w:tcW w:w="1134"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200</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6"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400 </w:t>
            </w:r>
            <w:r>
              <w:rPr>
                <w:rFonts w:ascii="Times New Roman" w:hAnsi="Times New Roman" w:cs="Times New Roman"/>
                <w:sz w:val="24"/>
                <w:szCs w:val="24"/>
              </w:rPr>
              <w:t>мг</w:t>
            </w:r>
            <w:r w:rsidRPr="006D20AB">
              <w:rPr>
                <w:rFonts w:ascii="Times New Roman" w:hAnsi="Times New Roman" w:cs="Times New Roman"/>
                <w:sz w:val="24"/>
                <w:szCs w:val="24"/>
              </w:rPr>
              <w:t xml:space="preserve">/ </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5"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1600 </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2659" w:type="dxa"/>
          </w:tcPr>
          <w:p w:rsidR="003751C5" w:rsidRPr="006D20AB" w:rsidRDefault="003751C5" w:rsidP="00CF7E39">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6D20AB">
              <w:rPr>
                <w:rFonts w:ascii="Times New Roman" w:hAnsi="Times New Roman" w:cs="Times New Roman"/>
                <w:sz w:val="24"/>
                <w:szCs w:val="24"/>
              </w:rPr>
              <w:t xml:space="preserve"> </w:t>
            </w:r>
            <w:r w:rsidR="00CF7E39">
              <w:rPr>
                <w:rFonts w:ascii="Times New Roman" w:hAnsi="Times New Roman" w:cs="Times New Roman"/>
                <w:sz w:val="24"/>
                <w:szCs w:val="24"/>
              </w:rPr>
              <w:t>в</w:t>
            </w:r>
            <w:r w:rsidR="00CF7E39" w:rsidRPr="006D20AB">
              <w:rPr>
                <w:rFonts w:ascii="Times New Roman" w:hAnsi="Times New Roman" w:cs="Times New Roman"/>
                <w:sz w:val="24"/>
                <w:szCs w:val="24"/>
              </w:rPr>
              <w:t>/</w:t>
            </w:r>
            <w:r w:rsidR="00CF7E39">
              <w:rPr>
                <w:rFonts w:ascii="Times New Roman" w:hAnsi="Times New Roman" w:cs="Times New Roman"/>
                <w:sz w:val="24"/>
                <w:szCs w:val="24"/>
              </w:rPr>
              <w:t>в</w:t>
            </w:r>
            <w:r w:rsidR="00CF7E39"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6D20AB">
              <w:rPr>
                <w:rFonts w:ascii="Times New Roman" w:hAnsi="Times New Roman" w:cs="Times New Roman"/>
                <w:sz w:val="24"/>
                <w:szCs w:val="24"/>
              </w:rPr>
              <w:t xml:space="preserve"> 30 </w:t>
            </w:r>
            <w:r>
              <w:rPr>
                <w:rFonts w:ascii="Times New Roman" w:hAnsi="Times New Roman" w:cs="Times New Roman"/>
                <w:sz w:val="24"/>
                <w:szCs w:val="24"/>
              </w:rPr>
              <w:t>минут</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6D20AB">
              <w:rPr>
                <w:rFonts w:ascii="Times New Roman" w:hAnsi="Times New Roman" w:cs="Times New Roman"/>
                <w:sz w:val="24"/>
                <w:szCs w:val="24"/>
              </w:rPr>
              <w:t xml:space="preserve"> 0</w:t>
            </w:r>
            <w:r w:rsidR="00CF7E39" w:rsidRPr="006D20AB">
              <w:rPr>
                <w:rFonts w:ascii="Times New Roman" w:hAnsi="Times New Roman" w:cs="Times New Roman"/>
                <w:sz w:val="24"/>
                <w:szCs w:val="24"/>
              </w:rPr>
              <w:t>,</w:t>
            </w:r>
            <w:r w:rsidRPr="006D20AB">
              <w:rPr>
                <w:rFonts w:ascii="Times New Roman" w:hAnsi="Times New Roman" w:cs="Times New Roman"/>
                <w:sz w:val="24"/>
                <w:szCs w:val="24"/>
              </w:rPr>
              <w:t xml:space="preserve">9% </w:t>
            </w:r>
            <w:r w:rsidRPr="003751C5">
              <w:rPr>
                <w:rFonts w:ascii="Times New Roman" w:hAnsi="Times New Roman" w:cs="Times New Roman"/>
                <w:sz w:val="24"/>
                <w:szCs w:val="24"/>
                <w:lang w:val="en-US"/>
              </w:rPr>
              <w:t>NaCl</w:t>
            </w:r>
          </w:p>
        </w:tc>
      </w:tr>
      <w:tr w:rsidR="003751C5" w:rsidRPr="0011163E" w:rsidTr="003751C5">
        <w:tc>
          <w:tcPr>
            <w:tcW w:w="1418"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Мелфалан</w:t>
            </w:r>
          </w:p>
        </w:tc>
        <w:tc>
          <w:tcPr>
            <w:tcW w:w="1701"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- 1 </w:t>
            </w:r>
            <w:r>
              <w:rPr>
                <w:rFonts w:ascii="Times New Roman" w:hAnsi="Times New Roman" w:cs="Times New Roman"/>
                <w:sz w:val="24"/>
                <w:szCs w:val="24"/>
              </w:rPr>
              <w:t>день</w:t>
            </w:r>
          </w:p>
        </w:tc>
        <w:tc>
          <w:tcPr>
            <w:tcW w:w="1134"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140</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6"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140 </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1275" w:type="dxa"/>
          </w:tcPr>
          <w:p w:rsidR="003751C5" w:rsidRPr="006D20AB" w:rsidRDefault="003751C5" w:rsidP="00556889">
            <w:pPr>
              <w:pStyle w:val="a3"/>
              <w:spacing w:line="360" w:lineRule="auto"/>
              <w:ind w:left="0"/>
              <w:jc w:val="center"/>
              <w:rPr>
                <w:rFonts w:ascii="Times New Roman" w:hAnsi="Times New Roman" w:cs="Times New Roman"/>
                <w:sz w:val="24"/>
                <w:szCs w:val="24"/>
              </w:rPr>
            </w:pPr>
            <w:r w:rsidRPr="006D20AB">
              <w:rPr>
                <w:rFonts w:ascii="Times New Roman" w:hAnsi="Times New Roman" w:cs="Times New Roman"/>
                <w:sz w:val="24"/>
                <w:szCs w:val="24"/>
              </w:rPr>
              <w:t xml:space="preserve">140 </w:t>
            </w:r>
            <w:r w:rsidRPr="00555E26">
              <w:rPr>
                <w:rFonts w:ascii="Times New Roman" w:hAnsi="Times New Roman" w:cs="Times New Roman"/>
                <w:sz w:val="24"/>
                <w:szCs w:val="24"/>
              </w:rPr>
              <w:t>мг</w:t>
            </w:r>
            <w:r w:rsidRPr="006D20AB">
              <w:rPr>
                <w:rFonts w:ascii="Times New Roman" w:hAnsi="Times New Roman" w:cs="Times New Roman"/>
                <w:sz w:val="24"/>
                <w:szCs w:val="24"/>
              </w:rPr>
              <w:t>/</w:t>
            </w:r>
            <w:r w:rsidRPr="00555E26">
              <w:rPr>
                <w:rFonts w:ascii="Times New Roman" w:hAnsi="Times New Roman" w:cs="Times New Roman"/>
                <w:sz w:val="24"/>
                <w:szCs w:val="24"/>
              </w:rPr>
              <w:t>м</w:t>
            </w:r>
            <w:r w:rsidRPr="006D20AB">
              <w:rPr>
                <w:rFonts w:ascii="Times New Roman" w:hAnsi="Times New Roman" w:cs="Times New Roman"/>
                <w:sz w:val="24"/>
                <w:szCs w:val="24"/>
                <w:vertAlign w:val="superscript"/>
              </w:rPr>
              <w:t>2</w:t>
            </w:r>
          </w:p>
        </w:tc>
        <w:tc>
          <w:tcPr>
            <w:tcW w:w="2659" w:type="dxa"/>
          </w:tcPr>
          <w:p w:rsidR="003751C5" w:rsidRPr="006D20AB" w:rsidRDefault="003751C5" w:rsidP="00CF7E39">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6D20AB">
              <w:rPr>
                <w:rFonts w:ascii="Times New Roman" w:hAnsi="Times New Roman" w:cs="Times New Roman"/>
                <w:sz w:val="24"/>
                <w:szCs w:val="24"/>
              </w:rPr>
              <w:t xml:space="preserve"> </w:t>
            </w:r>
            <w:r w:rsidR="00CF7E39">
              <w:rPr>
                <w:rFonts w:ascii="Times New Roman" w:hAnsi="Times New Roman" w:cs="Times New Roman"/>
                <w:sz w:val="24"/>
                <w:szCs w:val="24"/>
              </w:rPr>
              <w:t>в</w:t>
            </w:r>
            <w:r w:rsidR="00CF7E39" w:rsidRPr="006D20AB">
              <w:rPr>
                <w:rFonts w:ascii="Times New Roman" w:hAnsi="Times New Roman" w:cs="Times New Roman"/>
                <w:sz w:val="24"/>
                <w:szCs w:val="24"/>
              </w:rPr>
              <w:t>/</w:t>
            </w:r>
            <w:r w:rsidR="00CF7E39">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6D20AB">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6D20AB">
              <w:rPr>
                <w:rFonts w:ascii="Times New Roman" w:hAnsi="Times New Roman" w:cs="Times New Roman"/>
                <w:sz w:val="24"/>
                <w:szCs w:val="24"/>
              </w:rPr>
              <w:t xml:space="preserve"> 1</w:t>
            </w:r>
            <w:r w:rsidRPr="003751C5">
              <w:rPr>
                <w:rFonts w:ascii="Times New Roman" w:hAnsi="Times New Roman" w:cs="Times New Roman"/>
                <w:sz w:val="24"/>
                <w:szCs w:val="24"/>
              </w:rPr>
              <w:t>ч</w:t>
            </w:r>
            <w:r w:rsidRPr="006D20AB">
              <w:rPr>
                <w:rFonts w:ascii="Times New Roman" w:hAnsi="Times New Roman" w:cs="Times New Roman"/>
                <w:sz w:val="24"/>
                <w:szCs w:val="24"/>
              </w:rPr>
              <w:t xml:space="preserve"> </w:t>
            </w:r>
            <w:r>
              <w:rPr>
                <w:rFonts w:ascii="Times New Roman" w:hAnsi="Times New Roman" w:cs="Times New Roman"/>
                <w:sz w:val="24"/>
                <w:szCs w:val="24"/>
              </w:rPr>
              <w:t>в</w:t>
            </w:r>
            <w:r w:rsidRPr="006D20AB">
              <w:rPr>
                <w:rFonts w:ascii="Times New Roman" w:hAnsi="Times New Roman" w:cs="Times New Roman"/>
                <w:sz w:val="24"/>
                <w:szCs w:val="24"/>
              </w:rPr>
              <w:t xml:space="preserve"> 500 </w:t>
            </w:r>
            <w:r>
              <w:rPr>
                <w:rFonts w:ascii="Times New Roman" w:hAnsi="Times New Roman" w:cs="Times New Roman"/>
                <w:sz w:val="24"/>
                <w:szCs w:val="24"/>
              </w:rPr>
              <w:t>мл</w:t>
            </w:r>
            <w:r w:rsidRPr="006D20AB">
              <w:rPr>
                <w:rFonts w:ascii="Times New Roman" w:hAnsi="Times New Roman" w:cs="Times New Roman"/>
                <w:sz w:val="24"/>
                <w:szCs w:val="24"/>
              </w:rPr>
              <w:t xml:space="preserve"> 0</w:t>
            </w:r>
            <w:r w:rsidR="00CF7E39" w:rsidRPr="006D20AB">
              <w:rPr>
                <w:rFonts w:ascii="Times New Roman" w:hAnsi="Times New Roman" w:cs="Times New Roman"/>
                <w:sz w:val="24"/>
                <w:szCs w:val="24"/>
              </w:rPr>
              <w:t>,</w:t>
            </w:r>
            <w:r w:rsidRPr="006D20AB">
              <w:rPr>
                <w:rFonts w:ascii="Times New Roman" w:hAnsi="Times New Roman" w:cs="Times New Roman"/>
                <w:sz w:val="24"/>
                <w:szCs w:val="24"/>
              </w:rPr>
              <w:t xml:space="preserve">9% </w:t>
            </w:r>
            <w:r>
              <w:rPr>
                <w:rFonts w:ascii="Times New Roman" w:hAnsi="Times New Roman" w:cs="Times New Roman"/>
                <w:sz w:val="24"/>
                <w:szCs w:val="24"/>
                <w:lang w:val="en-US"/>
              </w:rPr>
              <w:t>NaCl</w:t>
            </w:r>
          </w:p>
        </w:tc>
      </w:tr>
    </w:tbl>
    <w:p w:rsidR="00C63684" w:rsidRPr="00C17B4D" w:rsidRDefault="004A68CA" w:rsidP="00C63684">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Для</w:t>
      </w:r>
      <w:r w:rsidRPr="006D20AB">
        <w:rPr>
          <w:rFonts w:ascii="Times New Roman" w:hAnsi="Times New Roman" w:cs="Times New Roman"/>
          <w:sz w:val="24"/>
          <w:szCs w:val="24"/>
        </w:rPr>
        <w:t xml:space="preserve"> </w:t>
      </w:r>
      <w:r>
        <w:rPr>
          <w:rFonts w:ascii="Times New Roman" w:hAnsi="Times New Roman" w:cs="Times New Roman"/>
          <w:sz w:val="24"/>
          <w:szCs w:val="24"/>
        </w:rPr>
        <w:t>снижения</w:t>
      </w:r>
      <w:r w:rsidRPr="006D20AB">
        <w:rPr>
          <w:rFonts w:ascii="Times New Roman" w:hAnsi="Times New Roman" w:cs="Times New Roman"/>
          <w:sz w:val="24"/>
          <w:szCs w:val="24"/>
        </w:rPr>
        <w:t xml:space="preserve"> </w:t>
      </w:r>
      <w:r>
        <w:rPr>
          <w:rFonts w:ascii="Times New Roman" w:hAnsi="Times New Roman" w:cs="Times New Roman"/>
          <w:sz w:val="24"/>
          <w:szCs w:val="24"/>
        </w:rPr>
        <w:t>токсичности</w:t>
      </w:r>
      <w:r w:rsidRPr="006D20AB">
        <w:rPr>
          <w:rFonts w:ascii="Times New Roman" w:hAnsi="Times New Roman" w:cs="Times New Roman"/>
          <w:sz w:val="24"/>
          <w:szCs w:val="24"/>
        </w:rPr>
        <w:t xml:space="preserve"> </w:t>
      </w:r>
      <w:r>
        <w:rPr>
          <w:rFonts w:ascii="Times New Roman" w:hAnsi="Times New Roman" w:cs="Times New Roman"/>
          <w:sz w:val="24"/>
          <w:szCs w:val="24"/>
        </w:rPr>
        <w:t>режима</w:t>
      </w:r>
      <w:r w:rsidRPr="006D20AB">
        <w:rPr>
          <w:rFonts w:ascii="Times New Roman" w:hAnsi="Times New Roman" w:cs="Times New Roman"/>
          <w:sz w:val="24"/>
          <w:szCs w:val="24"/>
        </w:rPr>
        <w:t xml:space="preserve"> </w:t>
      </w:r>
      <w:r w:rsidR="001B7A67">
        <w:rPr>
          <w:rFonts w:ascii="Times New Roman" w:hAnsi="Times New Roman" w:cs="Times New Roman"/>
          <w:sz w:val="24"/>
          <w:szCs w:val="24"/>
        </w:rPr>
        <w:t>предтрансплантационной</w:t>
      </w:r>
      <w:r w:rsidR="001B7A67" w:rsidRPr="006D20AB">
        <w:rPr>
          <w:rFonts w:ascii="Times New Roman" w:hAnsi="Times New Roman" w:cs="Times New Roman"/>
          <w:sz w:val="24"/>
          <w:szCs w:val="24"/>
        </w:rPr>
        <w:t xml:space="preserve"> </w:t>
      </w:r>
      <w:r w:rsidR="001B7A67">
        <w:rPr>
          <w:rFonts w:ascii="Times New Roman" w:hAnsi="Times New Roman" w:cs="Times New Roman"/>
          <w:sz w:val="24"/>
          <w:szCs w:val="24"/>
        </w:rPr>
        <w:t>подготовки</w:t>
      </w:r>
      <w:r w:rsidR="001B7A67" w:rsidRPr="006D20AB">
        <w:rPr>
          <w:rFonts w:ascii="Times New Roman" w:hAnsi="Times New Roman" w:cs="Times New Roman"/>
          <w:sz w:val="24"/>
          <w:szCs w:val="24"/>
        </w:rPr>
        <w:t xml:space="preserve"> </w:t>
      </w:r>
      <w:r w:rsidR="001B7A67">
        <w:rPr>
          <w:rFonts w:ascii="Times New Roman" w:hAnsi="Times New Roman" w:cs="Times New Roman"/>
          <w:sz w:val="24"/>
          <w:szCs w:val="24"/>
          <w:lang w:val="en-US"/>
        </w:rPr>
        <w:t>BEAM</w:t>
      </w:r>
      <w:r w:rsidRPr="006D20AB">
        <w:rPr>
          <w:rFonts w:ascii="Times New Roman" w:hAnsi="Times New Roman" w:cs="Times New Roman"/>
          <w:sz w:val="24"/>
          <w:szCs w:val="24"/>
        </w:rPr>
        <w:t xml:space="preserve"> </w:t>
      </w:r>
      <w:r>
        <w:rPr>
          <w:rFonts w:ascii="Times New Roman" w:hAnsi="Times New Roman" w:cs="Times New Roman"/>
          <w:sz w:val="24"/>
          <w:szCs w:val="24"/>
        </w:rPr>
        <w:t>в</w:t>
      </w:r>
      <w:r w:rsidRPr="006D20AB">
        <w:rPr>
          <w:rFonts w:ascii="Times New Roman" w:hAnsi="Times New Roman" w:cs="Times New Roman"/>
          <w:sz w:val="24"/>
          <w:szCs w:val="24"/>
        </w:rPr>
        <w:t xml:space="preserve"> </w:t>
      </w:r>
      <w:r>
        <w:rPr>
          <w:rFonts w:ascii="Times New Roman" w:hAnsi="Times New Roman" w:cs="Times New Roman"/>
          <w:sz w:val="24"/>
          <w:szCs w:val="24"/>
        </w:rPr>
        <w:t>ряде</w:t>
      </w:r>
      <w:r w:rsidRPr="006D20AB">
        <w:rPr>
          <w:rFonts w:ascii="Times New Roman" w:hAnsi="Times New Roman" w:cs="Times New Roman"/>
          <w:sz w:val="24"/>
          <w:szCs w:val="24"/>
        </w:rPr>
        <w:t xml:space="preserve"> </w:t>
      </w:r>
      <w:r>
        <w:rPr>
          <w:rFonts w:ascii="Times New Roman" w:hAnsi="Times New Roman" w:cs="Times New Roman"/>
          <w:sz w:val="24"/>
          <w:szCs w:val="24"/>
        </w:rPr>
        <w:t>случаев</w:t>
      </w:r>
      <w:r w:rsidRPr="006D20AB">
        <w:rPr>
          <w:rFonts w:ascii="Times New Roman" w:hAnsi="Times New Roman" w:cs="Times New Roman"/>
          <w:sz w:val="24"/>
          <w:szCs w:val="24"/>
        </w:rPr>
        <w:t xml:space="preserve"> </w:t>
      </w:r>
      <w:r>
        <w:rPr>
          <w:rFonts w:ascii="Times New Roman" w:hAnsi="Times New Roman" w:cs="Times New Roman"/>
          <w:sz w:val="24"/>
          <w:szCs w:val="24"/>
        </w:rPr>
        <w:t>вместо</w:t>
      </w:r>
      <w:r w:rsidRPr="006D20AB">
        <w:rPr>
          <w:rFonts w:ascii="Times New Roman" w:hAnsi="Times New Roman" w:cs="Times New Roman"/>
          <w:sz w:val="24"/>
          <w:szCs w:val="24"/>
        </w:rPr>
        <w:t xml:space="preserve"> </w:t>
      </w:r>
      <w:r>
        <w:rPr>
          <w:rFonts w:ascii="Times New Roman" w:hAnsi="Times New Roman" w:cs="Times New Roman"/>
          <w:sz w:val="24"/>
          <w:szCs w:val="24"/>
        </w:rPr>
        <w:t>кармустина</w:t>
      </w:r>
      <w:r w:rsidRPr="006D20AB">
        <w:rPr>
          <w:rFonts w:ascii="Times New Roman" w:hAnsi="Times New Roman" w:cs="Times New Roman"/>
          <w:sz w:val="24"/>
          <w:szCs w:val="24"/>
        </w:rPr>
        <w:t xml:space="preserve"> </w:t>
      </w:r>
      <w:r>
        <w:rPr>
          <w:rFonts w:ascii="Times New Roman" w:hAnsi="Times New Roman" w:cs="Times New Roman"/>
          <w:sz w:val="24"/>
          <w:szCs w:val="24"/>
        </w:rPr>
        <w:t>использу</w:t>
      </w:r>
      <w:r w:rsidR="00C17B4D">
        <w:rPr>
          <w:rFonts w:ascii="Times New Roman" w:hAnsi="Times New Roman" w:cs="Times New Roman"/>
          <w:sz w:val="24"/>
          <w:szCs w:val="24"/>
        </w:rPr>
        <w:t>ется</w:t>
      </w:r>
      <w:r w:rsidRPr="006D20AB">
        <w:rPr>
          <w:rFonts w:ascii="Times New Roman" w:hAnsi="Times New Roman" w:cs="Times New Roman"/>
          <w:sz w:val="24"/>
          <w:szCs w:val="24"/>
        </w:rPr>
        <w:t xml:space="preserve"> </w:t>
      </w:r>
      <w:r>
        <w:rPr>
          <w:rFonts w:ascii="Times New Roman" w:hAnsi="Times New Roman" w:cs="Times New Roman"/>
          <w:sz w:val="24"/>
          <w:szCs w:val="24"/>
        </w:rPr>
        <w:t>ломустин</w:t>
      </w:r>
      <w:r w:rsidRPr="006D20AB">
        <w:rPr>
          <w:rFonts w:ascii="Times New Roman" w:hAnsi="Times New Roman" w:cs="Times New Roman"/>
          <w:sz w:val="24"/>
          <w:szCs w:val="24"/>
        </w:rPr>
        <w:t xml:space="preserve"> (</w:t>
      </w:r>
      <w:r>
        <w:rPr>
          <w:rFonts w:ascii="Times New Roman" w:hAnsi="Times New Roman" w:cs="Times New Roman"/>
          <w:sz w:val="24"/>
          <w:szCs w:val="24"/>
          <w:lang w:val="en-US"/>
        </w:rPr>
        <w:t>CEAM</w:t>
      </w:r>
      <w:r w:rsidRPr="006D20AB">
        <w:rPr>
          <w:rFonts w:ascii="Times New Roman" w:hAnsi="Times New Roman" w:cs="Times New Roman"/>
          <w:sz w:val="24"/>
          <w:szCs w:val="24"/>
        </w:rPr>
        <w:t xml:space="preserve"> / </w:t>
      </w:r>
      <w:r>
        <w:rPr>
          <w:rFonts w:ascii="Times New Roman" w:hAnsi="Times New Roman" w:cs="Times New Roman"/>
          <w:sz w:val="24"/>
          <w:szCs w:val="24"/>
          <w:lang w:val="en-US"/>
        </w:rPr>
        <w:t>L</w:t>
      </w:r>
      <w:r w:rsidR="003F7389">
        <w:rPr>
          <w:rFonts w:ascii="Times New Roman" w:hAnsi="Times New Roman" w:cs="Times New Roman"/>
          <w:sz w:val="24"/>
          <w:szCs w:val="24"/>
          <w:lang w:val="en-US"/>
        </w:rPr>
        <w:t>E</w:t>
      </w:r>
      <w:r>
        <w:rPr>
          <w:rFonts w:ascii="Times New Roman" w:hAnsi="Times New Roman" w:cs="Times New Roman"/>
          <w:sz w:val="24"/>
          <w:szCs w:val="24"/>
          <w:lang w:val="en-US"/>
        </w:rPr>
        <w:t>AM</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Схема</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введения</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препаратов</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и</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дозы</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представлены</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в</w:t>
      </w:r>
      <w:r w:rsidR="002F6791" w:rsidRPr="00C17B4D">
        <w:rPr>
          <w:rFonts w:ascii="Times New Roman" w:hAnsi="Times New Roman" w:cs="Times New Roman"/>
          <w:sz w:val="24"/>
          <w:szCs w:val="24"/>
        </w:rPr>
        <w:t xml:space="preserve"> </w:t>
      </w:r>
      <w:r w:rsidR="002F6791">
        <w:rPr>
          <w:rFonts w:ascii="Times New Roman" w:hAnsi="Times New Roman" w:cs="Times New Roman"/>
          <w:sz w:val="24"/>
          <w:szCs w:val="24"/>
        </w:rPr>
        <w:t>таблице</w:t>
      </w:r>
      <w:r w:rsidR="002F6791" w:rsidRPr="00C17B4D">
        <w:rPr>
          <w:rFonts w:ascii="Times New Roman" w:hAnsi="Times New Roman" w:cs="Times New Roman"/>
          <w:sz w:val="24"/>
          <w:szCs w:val="24"/>
        </w:rPr>
        <w:t xml:space="preserve"> 7.</w:t>
      </w:r>
    </w:p>
    <w:p w:rsidR="00B514CA" w:rsidRPr="009C1B46" w:rsidRDefault="00B514CA" w:rsidP="00C63684">
      <w:pPr>
        <w:spacing w:after="0" w:line="360" w:lineRule="auto"/>
        <w:ind w:firstLine="426"/>
        <w:jc w:val="both"/>
        <w:rPr>
          <w:rFonts w:ascii="Times New Roman" w:hAnsi="Times New Roman" w:cs="Times New Roman"/>
          <w:sz w:val="24"/>
          <w:szCs w:val="24"/>
        </w:rPr>
      </w:pPr>
      <w:r w:rsidRPr="002F6791">
        <w:rPr>
          <w:rFonts w:ascii="Times New Roman" w:hAnsi="Times New Roman" w:cs="Times New Roman"/>
          <w:b/>
          <w:sz w:val="24"/>
          <w:szCs w:val="24"/>
        </w:rPr>
        <w:t>Таблица</w:t>
      </w:r>
      <w:r w:rsidRPr="00C17B4D">
        <w:rPr>
          <w:rFonts w:ascii="Times New Roman" w:hAnsi="Times New Roman" w:cs="Times New Roman"/>
          <w:b/>
          <w:sz w:val="24"/>
          <w:szCs w:val="24"/>
        </w:rPr>
        <w:t xml:space="preserve"> </w:t>
      </w:r>
      <w:r w:rsidR="003B2A99" w:rsidRPr="00C17B4D">
        <w:rPr>
          <w:rFonts w:ascii="Times New Roman" w:hAnsi="Times New Roman" w:cs="Times New Roman"/>
          <w:b/>
          <w:sz w:val="24"/>
          <w:szCs w:val="24"/>
        </w:rPr>
        <w:t>7</w:t>
      </w:r>
      <w:r w:rsidRPr="00C17B4D">
        <w:rPr>
          <w:rFonts w:ascii="Times New Roman" w:hAnsi="Times New Roman" w:cs="Times New Roman"/>
          <w:b/>
          <w:sz w:val="24"/>
          <w:szCs w:val="24"/>
        </w:rPr>
        <w:t xml:space="preserve">. </w:t>
      </w:r>
      <w:r w:rsidRPr="002F6791">
        <w:rPr>
          <w:rFonts w:ascii="Times New Roman" w:hAnsi="Times New Roman" w:cs="Times New Roman"/>
          <w:b/>
          <w:sz w:val="24"/>
          <w:szCs w:val="24"/>
        </w:rPr>
        <w:t>Схема</w:t>
      </w:r>
      <w:r w:rsidRPr="00C17B4D">
        <w:rPr>
          <w:rFonts w:ascii="Times New Roman" w:hAnsi="Times New Roman" w:cs="Times New Roman"/>
          <w:b/>
          <w:sz w:val="24"/>
          <w:szCs w:val="24"/>
        </w:rPr>
        <w:t xml:space="preserve"> </w:t>
      </w:r>
      <w:r w:rsidRPr="002F6791">
        <w:rPr>
          <w:rFonts w:ascii="Times New Roman" w:hAnsi="Times New Roman" w:cs="Times New Roman"/>
          <w:b/>
          <w:sz w:val="24"/>
          <w:szCs w:val="24"/>
        </w:rPr>
        <w:t>предтрансплантационного</w:t>
      </w:r>
      <w:r w:rsidRPr="00C17B4D">
        <w:rPr>
          <w:rFonts w:ascii="Times New Roman" w:hAnsi="Times New Roman" w:cs="Times New Roman"/>
          <w:b/>
          <w:sz w:val="24"/>
          <w:szCs w:val="24"/>
        </w:rPr>
        <w:t xml:space="preserve"> </w:t>
      </w:r>
      <w:r w:rsidRPr="002F6791">
        <w:rPr>
          <w:rFonts w:ascii="Times New Roman" w:hAnsi="Times New Roman" w:cs="Times New Roman"/>
          <w:b/>
          <w:sz w:val="24"/>
          <w:szCs w:val="24"/>
        </w:rPr>
        <w:t>кондиционирования</w:t>
      </w:r>
      <w:r w:rsidRPr="00C17B4D">
        <w:rPr>
          <w:rFonts w:ascii="Times New Roman" w:hAnsi="Times New Roman" w:cs="Times New Roman"/>
          <w:b/>
          <w:sz w:val="24"/>
          <w:szCs w:val="24"/>
        </w:rPr>
        <w:t xml:space="preserve"> </w:t>
      </w:r>
      <w:r w:rsidRPr="002F6791">
        <w:rPr>
          <w:rFonts w:ascii="Times New Roman" w:hAnsi="Times New Roman" w:cs="Times New Roman"/>
          <w:b/>
          <w:sz w:val="24"/>
          <w:szCs w:val="24"/>
          <w:lang w:val="en-US"/>
        </w:rPr>
        <w:t>CEAM</w:t>
      </w:r>
      <w:r w:rsidRPr="00C17B4D">
        <w:rPr>
          <w:rFonts w:ascii="Times New Roman" w:hAnsi="Times New Roman" w:cs="Times New Roman"/>
          <w:b/>
          <w:sz w:val="24"/>
          <w:szCs w:val="24"/>
        </w:rPr>
        <w:t>/</w:t>
      </w:r>
      <w:r w:rsidRPr="002F6791">
        <w:rPr>
          <w:rFonts w:ascii="Times New Roman" w:hAnsi="Times New Roman" w:cs="Times New Roman"/>
          <w:b/>
          <w:sz w:val="24"/>
          <w:szCs w:val="24"/>
          <w:lang w:val="en-US"/>
        </w:rPr>
        <w:t>LEAM</w:t>
      </w:r>
      <w:r w:rsidR="00C17B4D">
        <w:rPr>
          <w:rFonts w:ascii="Times New Roman" w:hAnsi="Times New Roman" w:cs="Times New Roman"/>
          <w:b/>
          <w:sz w:val="24"/>
          <w:szCs w:val="24"/>
        </w:rPr>
        <w:t xml:space="preserve"> </w:t>
      </w:r>
      <w:r w:rsidR="00515760" w:rsidRPr="002F6791">
        <w:rPr>
          <w:rFonts w:ascii="Times New Roman" w:hAnsi="Times New Roman" w:cs="Times New Roman"/>
          <w:sz w:val="24"/>
          <w:szCs w:val="24"/>
        </w:rPr>
        <w:fldChar w:fldCharType="begin" w:fldLock="1"/>
      </w:r>
      <w:r w:rsidR="009C1B46">
        <w:rPr>
          <w:rFonts w:ascii="Times New Roman" w:hAnsi="Times New Roman" w:cs="Times New Roman"/>
          <w:sz w:val="24"/>
          <w:szCs w:val="24"/>
          <w:lang w:val="en-US"/>
        </w:rPr>
        <w:instrText>ADDIN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CSL</w:instrText>
      </w:r>
      <w:r w:rsidR="009C1B46" w:rsidRPr="009C1B46">
        <w:rPr>
          <w:rFonts w:ascii="Times New Roman" w:hAnsi="Times New Roman" w:cs="Times New Roman"/>
          <w:sz w:val="24"/>
          <w:szCs w:val="24"/>
        </w:rPr>
        <w:instrText>_</w:instrText>
      </w:r>
      <w:r w:rsidR="009C1B46">
        <w:rPr>
          <w:rFonts w:ascii="Times New Roman" w:hAnsi="Times New Roman" w:cs="Times New Roman"/>
          <w:sz w:val="24"/>
          <w:szCs w:val="24"/>
          <w:lang w:val="en-US"/>
        </w:rPr>
        <w:instrText>CITATION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citationItems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ITEM</w:instrText>
      </w:r>
      <w:r w:rsidR="009C1B46" w:rsidRPr="009C1B46">
        <w:rPr>
          <w:rFonts w:ascii="Times New Roman" w:hAnsi="Times New Roman" w:cs="Times New Roman"/>
          <w:sz w:val="24"/>
          <w:szCs w:val="24"/>
        </w:rPr>
        <w:instrText>-1","</w:instrText>
      </w:r>
      <w:r w:rsidR="009C1B46">
        <w:rPr>
          <w:rFonts w:ascii="Times New Roman" w:hAnsi="Times New Roman" w:cs="Times New Roman"/>
          <w:sz w:val="24"/>
          <w:szCs w:val="24"/>
          <w:lang w:val="en-US"/>
        </w:rPr>
        <w:instrText>itemData</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DOI</w:instrText>
      </w:r>
      <w:r w:rsidR="009C1B46" w:rsidRPr="009C1B46">
        <w:rPr>
          <w:rFonts w:ascii="Times New Roman" w:hAnsi="Times New Roman" w:cs="Times New Roman"/>
          <w:sz w:val="24"/>
          <w:szCs w:val="24"/>
        </w:rPr>
        <w:instrText>":"10.3389/</w:instrText>
      </w:r>
      <w:r w:rsidR="009C1B46">
        <w:rPr>
          <w:rFonts w:ascii="Times New Roman" w:hAnsi="Times New Roman" w:cs="Times New Roman"/>
          <w:sz w:val="24"/>
          <w:szCs w:val="24"/>
          <w:lang w:val="en-US"/>
        </w:rPr>
        <w:instrText>fonc</w:instrText>
      </w:r>
      <w:r w:rsidR="009C1B46" w:rsidRPr="009C1B46">
        <w:rPr>
          <w:rFonts w:ascii="Times New Roman" w:hAnsi="Times New Roman" w:cs="Times New Roman"/>
          <w:sz w:val="24"/>
          <w:szCs w:val="24"/>
        </w:rPr>
        <w:instrText>.2019.00892","</w:instrText>
      </w:r>
      <w:r w:rsidR="009C1B46">
        <w:rPr>
          <w:rFonts w:ascii="Times New Roman" w:hAnsi="Times New Roman" w:cs="Times New Roman"/>
          <w:sz w:val="24"/>
          <w:szCs w:val="24"/>
          <w:lang w:val="en-US"/>
        </w:rPr>
        <w:instrText>ISSN</w:instrText>
      </w:r>
      <w:r w:rsidR="009C1B46" w:rsidRPr="009C1B46">
        <w:rPr>
          <w:rFonts w:ascii="Times New Roman" w:hAnsi="Times New Roman" w:cs="Times New Roman"/>
          <w:sz w:val="24"/>
          <w:szCs w:val="24"/>
        </w:rPr>
        <w:instrText>":"2234-943</w:instrText>
      </w:r>
      <w:r w:rsidR="009C1B46">
        <w:rPr>
          <w:rFonts w:ascii="Times New Roman" w:hAnsi="Times New Roman" w:cs="Times New Roman"/>
          <w:sz w:val="24"/>
          <w:szCs w:val="24"/>
          <w:lang w:val="en-US"/>
        </w:rPr>
        <w:instrText>X</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PMID</w:instrText>
      </w:r>
      <w:r w:rsidR="009C1B46" w:rsidRPr="009C1B46">
        <w:rPr>
          <w:rFonts w:ascii="Times New Roman" w:hAnsi="Times New Roman" w:cs="Times New Roman"/>
          <w:sz w:val="24"/>
          <w:szCs w:val="24"/>
        </w:rPr>
        <w:instrText>":"31552193","</w:instrText>
      </w:r>
      <w:r w:rsidR="009C1B46">
        <w:rPr>
          <w:rFonts w:ascii="Times New Roman" w:hAnsi="Times New Roman" w:cs="Times New Roman"/>
          <w:sz w:val="24"/>
          <w:szCs w:val="24"/>
          <w:lang w:val="en-US"/>
        </w:rPr>
        <w:instrText>abstract</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High</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dose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chemotherapy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HDT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followed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by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autologous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hematopoietic</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stem</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cell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transplantation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ASCT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is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widely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used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in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patients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with</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malignant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lymphomas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In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Europe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over</w:instrText>
      </w:r>
      <w:r w:rsidR="009C1B46" w:rsidRPr="009C1B46">
        <w:rPr>
          <w:rFonts w:ascii="Times New Roman" w:hAnsi="Times New Roman" w:cs="Times New Roman"/>
          <w:sz w:val="24"/>
          <w:szCs w:val="24"/>
        </w:rPr>
        <w:instrText xml:space="preserve"> 8,000 </w:instrText>
      </w:r>
      <w:r w:rsidR="009C1B46">
        <w:rPr>
          <w:rFonts w:ascii="Times New Roman" w:hAnsi="Times New Roman" w:cs="Times New Roman"/>
          <w:sz w:val="24"/>
          <w:szCs w:val="24"/>
          <w:lang w:val="en-US"/>
        </w:rPr>
        <w:instrText>ASCTs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for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lymphoma</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were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performed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out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of</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total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of</w:instrText>
      </w:r>
      <w:r w:rsidR="009C1B46" w:rsidRPr="009C1B46">
        <w:rPr>
          <w:rFonts w:ascii="Times New Roman" w:hAnsi="Times New Roman" w:cs="Times New Roman"/>
          <w:sz w:val="24"/>
          <w:szCs w:val="24"/>
        </w:rPr>
        <w:instrText xml:space="preserve"> 40,000 </w:instrText>
      </w:r>
      <w:r w:rsidR="009C1B46">
        <w:rPr>
          <w:rFonts w:ascii="Times New Roman" w:hAnsi="Times New Roman" w:cs="Times New Roman"/>
          <w:sz w:val="24"/>
          <w:szCs w:val="24"/>
          <w:lang w:val="en-US"/>
        </w:rPr>
        <w:instrText>transplants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according</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to</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the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European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Bone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Marrow</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EBMT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activity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survey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in</w:instrText>
      </w:r>
      <w:r w:rsidR="009C1B46" w:rsidRPr="009C1B46">
        <w:rPr>
          <w:rFonts w:ascii="Times New Roman" w:hAnsi="Times New Roman" w:cs="Times New Roman"/>
          <w:sz w:val="24"/>
          <w:szCs w:val="24"/>
        </w:rPr>
        <w:instrText xml:space="preserve"> 2017. </w:instrText>
      </w:r>
      <w:r w:rsidR="009C1B46">
        <w:rPr>
          <w:rFonts w:ascii="Times New Roman" w:hAnsi="Times New Roman" w:cs="Times New Roman"/>
          <w:sz w:val="24"/>
          <w:szCs w:val="24"/>
          <w:lang w:val="en-US"/>
        </w:rPr>
        <w:instrText>ASCT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is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considered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the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standard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treatment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for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eligible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patients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failing</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to</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achieve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remission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after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first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line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chemotherapy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patients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with</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relapsed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refractory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lymphomas, including classical Hodkin's lymphoma, diffuse large B-cell lymphoma, mantle cell lymphoma, and follicular lymphoma, as well as consolidation therapy in first remission in mantle cell lymphoma. BEAM (BCNU/carmustine, etoposide, cytarabine, and melphalan) is the most commonly used conditioning regimen for ASCT in patients with relapsed/refractory (R/R) lymphomas in Europe, whereas the CBV (cyclophosphamide, BCNU, and etoposide) regimen is also widely used in North America. Recently, concerns regarding BCNU toxicity as well as restricted availability of BCNU and melphalan has determined an increasing number of transplant centers to use alternative conditioning regimens. Currently, only a few comparative studies, most of them retrospective, between different conditioning protocols regarding efficacy and toxicity have been published. Thus, in the current manuscript, we report the experience of 2 transplant centers in ASCT in R/R lymphomas with three types of conditioning: BEAM, CLV (cyclophosphamide, lomustine, etoposide) and LEAM (lomustine, etoposide, cytarabine, and melphalan), with the aim to evaluate the results of alternative conditioning regimens using lomustine (LEAM and CLV) and compare them with the standard BEAM regarding early toxicity, engraftment, and transplant related mortality (TRM). All patients developed grade IV neutropenia, anemia with/without transfusion necessity. Severe thrombocytopenia with transfusion requirements is reported in most cases. Median time to platelet engraftment and neutrophil engraftment was 13 days (range) and 10 days (range), respectively. Gastrointestinal toxicity was the most common non-hematologic toxicity after all three conditioning regimens. Oral mucositis in various grades from I to IV was diagnosed in most cases. Other side effects include vomiting, diarrhea, colitis, and skin rash but with low severity grades. For the LEAM arm, one patient died after transplant, before engrafting, one patient didn't achieve platelet …","author":[{"dropping-particle":"","family":"Colita","given":"Andrei","non-dropping-particle":"","parse-names":false,"suffix":""},{"dropping-particle":"","family":"Colita","given":"Anca","non-dropping-particle":"","parse-names":false,"suffix":""},{"dropping-particle":"","family":"Bumbea","given":"Horia","non-dropping-particle":"","parse-names":false,"suffix":""},{"dropping-particle":"","family":"Croitoru","given":"Adina","non-dropping-particle":"","parse-names":false,"suffix":""},{"dropping-particle":"","family":"Orban","given":"Carmen","non-dropping-particle":"","parse-names":false,"suffix":""},{"dropping-particle":"","family":"Lipan","given":"Lavinia Eugenia","non-dropping-particle":"","parse-names":false,"suffix":""},{"dropping-particle":"","family":"Craciun","given":"Oana-Gabriela","non-dropping-particle":"","parse-names":false,"suffix":""},{"dropping-particle":"","family":"Soare","given":"Dan","non-dropping-particle":"","parse-names":false,"suffix":""},{"dropping-particle":"","family":"Ghimici","given":"Cecilia","non-dropping-particle":"","parse-names":false,"suffix":""},{"dropping-particle":"","family":"Manolache","given":"Raluca","non-dropping-particle":"","parse-names":false,"suffix":""},{"dropping-particle":"","family":"Gelatu","given":"Ionel","non-dropping-particle":"","parse-names":false,"suffix":""},{"dropping-particle":"","family":"Vladareanu","given":"Ana-Maria","non-dropping-particle":"","parse-names":false,"suffix":""},{"dropping-particle":"","family":"Pasca","given":"Sergiu","non-dropping-particle":"","parse-names":false,"suffix":""},{"dropping-particle":"","family":"Teodorescu","given":"Patric","non-dropping-particle":"","parse-names":false,"suffix":""},{"dropping-particle":"","family":"Dima","given":"Delia","non-dropping-particle":"","parse-names":false,"suffix":""},{"dropping-particle":"","family":"Lupu","given":"Anca","non-dropping-particle":"","parse-names":false,"suffix":""},{"dropping-particle":"","family":"Coriu","given":"Daniel","non-dropping-particle":"","parse-names":false,"suffix":""},{"dropping-particle":"","family":"Tomuleasa","given":"Ciprian","non-dropping-particle":"","parse-names":false,"suffix":""},{"dropping-particle":"","family":"Tanase","given":"Alina","non-dropping-particle":"","parse-names":false,"suffix":""}],"container-title":"Frontiers in oncology","id":"ITEM-1","issued":{"date-parts":[["2019"]]},"page":"892","publisher":"Front Oncol","title":"LEAM vs. BEAM vs. CLV Conditioning Regimen for Autologous Stem Cell Transplantation in Malignant Lymphomas. Retrospective Comparison of Toxicity and Efficacy on 222 Patients in the First 100 Days After Transplant, On Behalf of the Romanian Society for Bone Marrow Transplantation.","type":"article-journal","volume":"9"},"uris":["http://www.mendeley.com/documents/?uuid=ad47bb84-1f12-3f23-9753-d1c2161ab990"]},{"id":"ITEM-2","itemData":{"DOI":"10.1186/2193-1801-2-489","ISSN":"2193-1801","PMID":"25674395","abstract":"BEAM (BCNU, etoposide, cytrabine, melphalan) is the most widely used high dose chemotherapy regimen for autologous transplant in lymphoid malignancies. We report our early experience with an alternative regimen LEAM where BCNU was replaced with the oral analogue CCNU (lomustine) to tide over the non-availability of BCNU. Fifty one patients of relapsed or refractory lymphoma who received BEAM (n= 34) and LEAM (n= 17) from September 2001 to February 2012 were analyzed. From October 2009 onwards LEAM was used as the conditioning regimen instead of conventional BEAM. Patients in the LEAM group had more chemorefractory disease (35% vs 9%, p = 0.045) and high risk comorbidity score (24% vs 0%, p = 0.019). Grade 3 and 4 oral mucositis (67.6% vs. 64.7%, p = 0.834) and diarrhea (47% vs. 41.1%, p = 0.691) were similar. No difference was noted between the two groups in terms of engraftment, documented infections, antibiotic use, cumulative toxicity risk, length of hospital stay and 100 day transplant related mortality. The estimated 2 year overall survival (61.7% vs. 62.7%, p = 0.928) and event free survival (44.6% vs. 41.1%, p = 0.510) of the regimens BEAM and LEAM respectively were comparable. Thus LEAM appeared equivalent to BEAM in terms of toxicity and efficacy and can be used as an alternative to BEAM.","author":[{"dropping-particle":"","family":"Sharma","given":"Atul","non-dropping-particle":"","parse-names":false,"suffix":""},{"dropping-particle":"","family":"Kayal","given":"Smita","non-dropping-particle":"","parse-names":false,"suffix":""},{"dropping-particle":"","family":"Iqbal","given":"Sobuhi","non-dropping-particle":"","parse-names":false,"suffix":""},{"dropping-particle":"","family":"Malik","given":"Prabhat Singh","non-dropping-particle":"","parse-names":false,"suffix":""},{"dropping-particle":"","family":"Raina","given":"Vinod","non-dropping-particle":"","parse-names":false,"suffix":""}],"container-title":"SpringerPlus","id":"ITEM-2","issued":{"date-parts":[["2013"]]},"page":"489","publisher":"Springerplus","title":"Comparison of BEAM vs. LEAM regimen in autologous transplant for lymphoma at AIIMS.","type":"article-journal","volume":"2"},"uris":["http://www.mendeley.com/documents/?uuid=21a4d437-7f12-381a-b742-56143dfb3da9"]},{"id":"ITEM-3","itemData":{"DOI":"10.1038/sj.bmt.1705544","ISSN":"0268-3369","PMID":"17115062","abstract":"High-dose chemotherapy followed by autologous stem cell transplantation (ASCT) is a recognized treatment option for patients with relapsed Hodgkin's lymphoma. We have analysed 67 patients who underwent ASCT after LACE (lomustine (CCNU), cytarabine (Ara-C), cyclophosphamide, etoposide) conditioning for relapsed (n=61) or primary refractory (n=6) Hodgkin's lymphoma. The 100-day treatment-related mortality was 3%. With a median follow-up of 67 months (range 3.3-161.0) the probabilities of overall survival (OS) and progression-free survival (PFS) at 5 years were 68 and 64%, respectively. Probabilities for OS and PFS at 5 years for patients with chemosensitive relapse (n=40) were 81 and 78% versus 50 and 35%, respectively, for patients (n=27) with chemoresistant relapse (P=0.012 for OS, P=0.002 for PFS). In multivariate analysis mixed cellularity classical or lymphocyte-depleted classical histology subtype and haemoglobin level of 10 g/dl or less at the time of ASCT were identified as risk factors for worse OS, whereas stage III or IV disease at diagnosis and disease status at ASCT other than complete or partial remission predicted inferior PFS. LACE followed by ASCT is an effective treatment for the majority of patients with chemosensitive relapsed Hodgkin's lymphoma and a proportion of chemorefractory patients also benefit.","author":[{"dropping-particle":"","family":"Perz","given":"J B","non-dropping-particle":"","parse-names":false,"suffix":""},{"dropping-particle":"","family":"Giles","given":"C","non-dropping-particle":"","parse-names":false,"suffix":""},{"dropping-particle":"","family":"Szydlo","given":"R","non-dropping-particle":"","parse-names":false,"suffix":""},{"dropping-particle":"","family":"O'Shea","given":"D","non-dropping-particle":"","parse-names":false,"suffix":""},{"dropping-particle":"","family":"Sanz","given":"J","non-dropping-particle":"","parse-names":false,"suffix":""},{"dropping-particle":"","family":"Chaidos","given":"A","non-dropping-particle":"","parse-names":false,"suffix":""},{"dropping-particle":"","family":"Wagner","given":"S","non-dropping-particle":"","parse-names":false,"suffix":""},{"dropping-particle":"","family":"Davis","given":"J","non-dropping-particle":"","parse-names":false,"suffix":""},{"dropping-particle":"","family":"Loaiza","given":"S","non-dropping-particle":"","parse-names":false,"suffix":""},{"dropping-particle":"","family":"Marin","given":"D","non-dropping-particle":"","parse-names":false,"suffix":""},{"dropping-particle":"","family":"Apperley","given":"J","non-dropping-particle":"","parse-names":false,"suffix":""},{"dropping-particle":"","family":"Olavarria","given":"E","non-dropping-particle":"","parse-names":false,"suffix":""},{"dropping-particle":"","family":"Rahemtulla","given":"A","non-dropping-particle":"","parse-names":false,"suffix":""},{"dropping-particle":"","family":"Lampert","given":"I","non-dropping-particle":"","parse-names":false,"suffix":""},{"dropping-particle":"","family":"Naresh","given":"K","non-dropping-particle":"","parse-names":false,"suffix":""},{"dropping-particle":"","family":"Samson","given":"D","non-dropping-particle":"","parse-names":false,"suffix":""},{"dropping-particle":"","family":"MacDonald","given":"D","non-dropping-particle":"","parse-names":false,"suffix":""},{"dropping-particle":"","family":"Kanfer","given":"E J","non-dropping-particle":"","parse-names":false,"suffix":""}],"container-title":"Bone marrow transplantation","id":"ITEM-3","issue":"1","issued":{"date-parts":[["2007","1"]]},"page":"41-7","publisher":"Bone Marrow Transplant","title":"LACE-conditioned autologous stem cell transplantation for relapsed or refractory Hodgkin's lymphoma: treatment outcome and risk factor analysis in 67 patients from a single centre.","type":"article-journal","volume":"39"},"uris":["http://www.mendeley.com/documents/?uuid=a8c80dd3-9f3f-3bd3-8ad8-c4b068fdf579"]},{"id":"ITEM-4","itemData":{"DOI":"10.6002/ect.2011.0092","ISSN":"2146-8427","PMID":"22432762","abstract":"OBJECTIVES A BEAM regimen including carmustine (BiCNU: bis-chloroethyl nitrosourea), etoposide, cytarabine (cytosine arabinoside), and melphalan is a widely used conditioning regimen for autologous stem cell transplant in patients with Hodgkin lymphoma. We report the results of noncryopreserved autologous stem cell transplant of 45 patients with Hodgkin lymphoma given an alternative regimen, modified BEAM-like regimen (CEAM regimen: lomustine, etoposide, cytarabine, and melphalan), in which carmustine (BiCNU IV) was substituted by oral lomustine (CCNU: 2 chloroethyl cyclohexyl nitrosourea). PATIENTS AND METHODS Forty-five eligible patients with relapsed/refractory Hodgkin lymphoma were consecutively enrolled and underwent conditioning regimen with BEAM-like regimen protocol as follows: Lomustine 200 mg/m(2) on day -3; etoposide 1000 mg/m(2) on day -3 and -2; cytarabine 1000 mg/m(2) on days -3, -2; and Melphalan 140 mg/m(2) on day -1. RESULTS All 45 patients showed engraftment of infused stem cell, and there was no graft failure in the study group. The median mononuclear cell dose was 3.4 × 10(8). The median time to absolute neutrophil count &gt; 0.5 × 10(9)/L was 11 days, and the median time to platelet count &gt; 20 × 10(9) was 14 days. Grade 2 and grade 3 mucositis was seen in 64.5% our patients. Transplant-related mortality at 100 days occurred in 1 patient (2.2%). With a median follow-up of 27 months, median disease-free survival was 20 months, mean overall survival was 27 months, and median overall survival has not yet been reached. CONCLUSIONS These data demonstrate the safety and feasibility of BEAM-like regimen as a new and modified regimen; longer follow-up is required to evaluate fully efficacy and long-term safety of our method.","author":[{"dropping-particle":"","family":"Ramzi","given":"Mani","non-dropping-particle":"","parse-names":false,"suffix":""},{"dropping-particle":"","family":"Mohamadian","given":"Mohsen","non-dropping-particle":"","parse-names":false,"suffix":""},{"dropping-particle":"","family":"Vojdani","given":"Reza","non-dropping-particle":"","parse-names":false,"suffix":""},{"dropping-particle":"","family":"Dehghani","given":"Mehdi","non-dropping-particle":"","parse-names":false,"suffix":""},{"dropping-particle":"","family":"Nourani","given":"Habib","non-dropping-particle":"","parse-names":false,"suffix":""},{"dropping-particle":"","family":"Zakerinia","given":"Maryam","non-dropping-particle":"","parse-names":false,"suffix":""},{"dropping-particle":"","family":"Haghighinejad","given":"Hoorvash",</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non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dropping</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particle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parse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names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false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suffix</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container</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title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Experimental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and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clinical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transplantation</w:instrText>
      </w:r>
      <w:r w:rsidR="009C1B46" w:rsidRPr="009C1B46">
        <w:rPr>
          <w:rFonts w:ascii="Times New Roman" w:hAnsi="Times New Roman" w:cs="Times New Roman"/>
          <w:sz w:val="24"/>
          <w:szCs w:val="24"/>
        </w:rPr>
        <w:instrText xml:space="preserve"> : </w:instrText>
      </w:r>
      <w:r w:rsidR="009C1B46">
        <w:rPr>
          <w:rFonts w:ascii="Times New Roman" w:hAnsi="Times New Roman" w:cs="Times New Roman"/>
          <w:sz w:val="24"/>
          <w:szCs w:val="24"/>
          <w:lang w:val="en-US"/>
        </w:rPr>
        <w:instrText>official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journal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of</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the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Middle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East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Society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for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Organ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Transplantation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ITEM</w:instrText>
      </w:r>
      <w:r w:rsidR="009C1B46" w:rsidRPr="009C1B46">
        <w:rPr>
          <w:rFonts w:ascii="Times New Roman" w:hAnsi="Times New Roman" w:cs="Times New Roman"/>
          <w:sz w:val="24"/>
          <w:szCs w:val="24"/>
        </w:rPr>
        <w:instrText>-4","</w:instrText>
      </w:r>
      <w:r w:rsidR="009C1B46">
        <w:rPr>
          <w:rFonts w:ascii="Times New Roman" w:hAnsi="Times New Roman" w:cs="Times New Roman"/>
          <w:sz w:val="24"/>
          <w:szCs w:val="24"/>
          <w:lang w:val="en-US"/>
        </w:rPr>
        <w:instrText>issue</w:instrText>
      </w:r>
      <w:r w:rsidR="009C1B46" w:rsidRPr="009C1B46">
        <w:rPr>
          <w:rFonts w:ascii="Times New Roman" w:hAnsi="Times New Roman" w:cs="Times New Roman"/>
          <w:sz w:val="24"/>
          <w:szCs w:val="24"/>
        </w:rPr>
        <w:instrText>":"2","</w:instrText>
      </w:r>
      <w:r w:rsidR="009C1B46">
        <w:rPr>
          <w:rFonts w:ascii="Times New Roman" w:hAnsi="Times New Roman" w:cs="Times New Roman"/>
          <w:sz w:val="24"/>
          <w:szCs w:val="24"/>
          <w:lang w:val="en-US"/>
        </w:rPr>
        <w:instrText>issued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date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parts</w:instrText>
      </w:r>
      <w:r w:rsidR="009C1B46" w:rsidRPr="009C1B46">
        <w:rPr>
          <w:rFonts w:ascii="Times New Roman" w:hAnsi="Times New Roman" w:cs="Times New Roman"/>
          <w:sz w:val="24"/>
          <w:szCs w:val="24"/>
        </w:rPr>
        <w:instrText>":[["2012","4"]]},"</w:instrText>
      </w:r>
      <w:r w:rsidR="009C1B46">
        <w:rPr>
          <w:rFonts w:ascii="Times New Roman" w:hAnsi="Times New Roman" w:cs="Times New Roman"/>
          <w:sz w:val="24"/>
          <w:szCs w:val="24"/>
          <w:lang w:val="en-US"/>
        </w:rPr>
        <w:instrText>page</w:instrText>
      </w:r>
      <w:r w:rsidR="009C1B46" w:rsidRPr="009C1B46">
        <w:rPr>
          <w:rFonts w:ascii="Times New Roman" w:hAnsi="Times New Roman" w:cs="Times New Roman"/>
          <w:sz w:val="24"/>
          <w:szCs w:val="24"/>
        </w:rPr>
        <w:instrText>":"163-7","</w:instrText>
      </w:r>
      <w:r w:rsidR="009C1B46">
        <w:rPr>
          <w:rFonts w:ascii="Times New Roman" w:hAnsi="Times New Roman" w:cs="Times New Roman"/>
          <w:sz w:val="24"/>
          <w:szCs w:val="24"/>
          <w:lang w:val="en-US"/>
        </w:rPr>
        <w:instrText>publisher</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Exp</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Clin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title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Autologous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noncryopreserved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hematopoietic</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stem</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cell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with</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CEAM</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modified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conditioning</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regimen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in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patients</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with</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Hodgkin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lymphoma</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single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center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experience</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with</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new</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protocol</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type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article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journal</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volume</w:instrText>
      </w:r>
      <w:r w:rsidR="009C1B46" w:rsidRPr="009C1B46">
        <w:rPr>
          <w:rFonts w:ascii="Times New Roman" w:hAnsi="Times New Roman" w:cs="Times New Roman"/>
          <w:sz w:val="24"/>
          <w:szCs w:val="24"/>
        </w:rPr>
        <w:instrText>":"10"},"</w:instrText>
      </w:r>
      <w:r w:rsidR="009C1B46">
        <w:rPr>
          <w:rFonts w:ascii="Times New Roman" w:hAnsi="Times New Roman" w:cs="Times New Roman"/>
          <w:sz w:val="24"/>
          <w:szCs w:val="24"/>
          <w:lang w:val="en-US"/>
        </w:rPr>
        <w:instrText>uris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http</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www</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mendeley</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com</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documents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uuid</w:instrText>
      </w:r>
      <w:r w:rsidR="009C1B46" w:rsidRPr="009C1B46">
        <w:rPr>
          <w:rFonts w:ascii="Times New Roman" w:hAnsi="Times New Roman" w:cs="Times New Roman"/>
          <w:sz w:val="24"/>
          <w:szCs w:val="24"/>
        </w:rPr>
        <w:instrText>=4</w:instrText>
      </w:r>
      <w:r w:rsidR="009C1B46">
        <w:rPr>
          <w:rFonts w:ascii="Times New Roman" w:hAnsi="Times New Roman" w:cs="Times New Roman"/>
          <w:sz w:val="24"/>
          <w:szCs w:val="24"/>
          <w:lang w:val="en-US"/>
        </w:rPr>
        <w:instrText>fa</w:instrText>
      </w:r>
      <w:r w:rsidR="009C1B46" w:rsidRPr="009C1B46">
        <w:rPr>
          <w:rFonts w:ascii="Times New Roman" w:hAnsi="Times New Roman" w:cs="Times New Roman"/>
          <w:sz w:val="24"/>
          <w:szCs w:val="24"/>
        </w:rPr>
        <w:instrText>47866-15</w:instrText>
      </w:r>
      <w:r w:rsidR="009C1B46">
        <w:rPr>
          <w:rFonts w:ascii="Times New Roman" w:hAnsi="Times New Roman" w:cs="Times New Roman"/>
          <w:sz w:val="24"/>
          <w:szCs w:val="24"/>
          <w:lang w:val="en-US"/>
        </w:rPr>
        <w:instrText>e</w:instrText>
      </w:r>
      <w:r w:rsidR="009C1B46" w:rsidRPr="009C1B46">
        <w:rPr>
          <w:rFonts w:ascii="Times New Roman" w:hAnsi="Times New Roman" w:cs="Times New Roman"/>
          <w:sz w:val="24"/>
          <w:szCs w:val="24"/>
        </w:rPr>
        <w:instrText>7-323</w:instrText>
      </w:r>
      <w:r w:rsidR="009C1B46">
        <w:rPr>
          <w:rFonts w:ascii="Times New Roman" w:hAnsi="Times New Roman" w:cs="Times New Roman"/>
          <w:sz w:val="24"/>
          <w:szCs w:val="24"/>
          <w:lang w:val="en-US"/>
        </w:rPr>
        <w:instrText>f</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bafd</w:instrText>
      </w:r>
      <w:r w:rsidR="009C1B46" w:rsidRPr="009C1B46">
        <w:rPr>
          <w:rFonts w:ascii="Times New Roman" w:hAnsi="Times New Roman" w:cs="Times New Roman"/>
          <w:sz w:val="24"/>
          <w:szCs w:val="24"/>
        </w:rPr>
        <w:instrText>-68</w:instrText>
      </w:r>
      <w:r w:rsidR="009C1B46">
        <w:rPr>
          <w:rFonts w:ascii="Times New Roman" w:hAnsi="Times New Roman" w:cs="Times New Roman"/>
          <w:sz w:val="24"/>
          <w:szCs w:val="24"/>
          <w:lang w:val="en-US"/>
        </w:rPr>
        <w:instrText>fc</w:instrText>
      </w:r>
      <w:r w:rsidR="009C1B46" w:rsidRPr="009C1B46">
        <w:rPr>
          <w:rFonts w:ascii="Times New Roman" w:hAnsi="Times New Roman" w:cs="Times New Roman"/>
          <w:sz w:val="24"/>
          <w:szCs w:val="24"/>
        </w:rPr>
        <w:instrText>7216</w:instrText>
      </w:r>
      <w:r w:rsidR="009C1B46">
        <w:rPr>
          <w:rFonts w:ascii="Times New Roman" w:hAnsi="Times New Roman" w:cs="Times New Roman"/>
          <w:sz w:val="24"/>
          <w:szCs w:val="24"/>
          <w:lang w:val="en-US"/>
        </w:rPr>
        <w:instrText>a</w:instrText>
      </w:r>
      <w:r w:rsidR="009C1B46" w:rsidRPr="009C1B46">
        <w:rPr>
          <w:rFonts w:ascii="Times New Roman" w:hAnsi="Times New Roman" w:cs="Times New Roman"/>
          <w:sz w:val="24"/>
          <w:szCs w:val="24"/>
        </w:rPr>
        <w:instrText>752"]},{"</w:instrText>
      </w:r>
      <w:r w:rsidR="009C1B46">
        <w:rPr>
          <w:rFonts w:ascii="Times New Roman" w:hAnsi="Times New Roman" w:cs="Times New Roman"/>
          <w:sz w:val="24"/>
          <w:szCs w:val="24"/>
          <w:lang w:val="en-US"/>
        </w:rPr>
        <w:instrText>id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ITEM</w:instrText>
      </w:r>
      <w:r w:rsidR="009C1B46" w:rsidRPr="009C1B46">
        <w:rPr>
          <w:rFonts w:ascii="Times New Roman" w:hAnsi="Times New Roman" w:cs="Times New Roman"/>
          <w:sz w:val="24"/>
          <w:szCs w:val="24"/>
        </w:rPr>
        <w:instrText>-5","</w:instrText>
      </w:r>
      <w:r w:rsidR="009C1B46">
        <w:rPr>
          <w:rFonts w:ascii="Times New Roman" w:hAnsi="Times New Roman" w:cs="Times New Roman"/>
          <w:sz w:val="24"/>
          <w:szCs w:val="24"/>
          <w:lang w:val="en-US"/>
        </w:rPr>
        <w:instrText>itemData</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ISBN</w:instrText>
      </w:r>
      <w:r w:rsidR="009C1B46" w:rsidRPr="009C1B46">
        <w:rPr>
          <w:rFonts w:ascii="Times New Roman" w:hAnsi="Times New Roman" w:cs="Times New Roman"/>
          <w:sz w:val="24"/>
          <w:szCs w:val="24"/>
        </w:rPr>
        <w:instrText>":"9783030022778","</w:instrText>
      </w:r>
      <w:r w:rsidR="009C1B46">
        <w:rPr>
          <w:rFonts w:ascii="Times New Roman" w:hAnsi="Times New Roman" w:cs="Times New Roman"/>
          <w:sz w:val="24"/>
          <w:szCs w:val="24"/>
          <w:lang w:val="en-US"/>
        </w:rPr>
        <w:instrText>author</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dropping</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particle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family</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Enric</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Carreras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given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Dufour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Carlo</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non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dropping</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particle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parse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names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false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suffix</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dropping</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particle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family</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Mohty</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Mohamad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given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Kr</w:instrText>
      </w:r>
      <w:r w:rsidR="009C1B46" w:rsidRPr="009C1B46">
        <w:rPr>
          <w:rFonts w:ascii="Times New Roman" w:hAnsi="Times New Roman" w:cs="Times New Roman"/>
          <w:sz w:val="24"/>
          <w:szCs w:val="24"/>
        </w:rPr>
        <w:instrText>ö</w:instrText>
      </w:r>
      <w:r w:rsidR="009C1B46">
        <w:rPr>
          <w:rFonts w:ascii="Times New Roman" w:hAnsi="Times New Roman" w:cs="Times New Roman"/>
          <w:sz w:val="24"/>
          <w:szCs w:val="24"/>
          <w:lang w:val="en-US"/>
        </w:rPr>
        <w:instrText>ger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Nicolaus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non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dropping</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particle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parse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names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false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suffix</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ITEM</w:instrText>
      </w:r>
      <w:r w:rsidR="009C1B46" w:rsidRPr="009C1B46">
        <w:rPr>
          <w:rFonts w:ascii="Times New Roman" w:hAnsi="Times New Roman" w:cs="Times New Roman"/>
          <w:sz w:val="24"/>
          <w:szCs w:val="24"/>
        </w:rPr>
        <w:instrText>-5","</w:instrText>
      </w:r>
      <w:r w:rsidR="009C1B46">
        <w:rPr>
          <w:rFonts w:ascii="Times New Roman" w:hAnsi="Times New Roman" w:cs="Times New Roman"/>
          <w:sz w:val="24"/>
          <w:szCs w:val="24"/>
          <w:lang w:val="en-US"/>
        </w:rPr>
        <w:instrText>issued</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date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parts</w:instrText>
      </w:r>
      <w:r w:rsidR="009C1B46" w:rsidRPr="009C1B46">
        <w:rPr>
          <w:rFonts w:ascii="Times New Roman" w:hAnsi="Times New Roman" w:cs="Times New Roman"/>
          <w:sz w:val="24"/>
          <w:szCs w:val="24"/>
        </w:rPr>
        <w:instrText>":[["2019"]]},"</w:instrText>
      </w:r>
      <w:r w:rsidR="009C1B46">
        <w:rPr>
          <w:rFonts w:ascii="Times New Roman" w:hAnsi="Times New Roman" w:cs="Times New Roman"/>
          <w:sz w:val="24"/>
          <w:szCs w:val="24"/>
          <w:lang w:val="en-US"/>
        </w:rPr>
        <w:instrText>number</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of</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pages</w:instrText>
      </w:r>
      <w:r w:rsidR="009C1B46" w:rsidRPr="009C1B46">
        <w:rPr>
          <w:rFonts w:ascii="Times New Roman" w:hAnsi="Times New Roman" w:cs="Times New Roman"/>
          <w:sz w:val="24"/>
          <w:szCs w:val="24"/>
        </w:rPr>
        <w:instrText>":"702","</w:instrText>
      </w:r>
      <w:r w:rsidR="009C1B46">
        <w:rPr>
          <w:rFonts w:ascii="Times New Roman" w:hAnsi="Times New Roman" w:cs="Times New Roman"/>
          <w:sz w:val="24"/>
          <w:szCs w:val="24"/>
          <w:lang w:val="en-US"/>
        </w:rPr>
        <w:instrText>title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Hematopoietic</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Stem</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Cell</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Transplantation</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and</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Cellular</w:instrText>
      </w:r>
      <w:r w:rsidR="009C1B46" w:rsidRPr="009C1B46">
        <w:rPr>
          <w:rFonts w:ascii="Times New Roman" w:hAnsi="Times New Roman" w:cs="Times New Roman"/>
          <w:sz w:val="24"/>
          <w:szCs w:val="24"/>
        </w:rPr>
        <w:instrText xml:space="preserve"> </w:instrText>
      </w:r>
      <w:r w:rsidR="009C1B46">
        <w:rPr>
          <w:rFonts w:ascii="Times New Roman" w:hAnsi="Times New Roman" w:cs="Times New Roman"/>
          <w:sz w:val="24"/>
          <w:szCs w:val="24"/>
          <w:lang w:val="en-US"/>
        </w:rPr>
        <w:instrText>Therapies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type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book</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uris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http</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www</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mendeley</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com</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documents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uuid</w:instrText>
      </w:r>
      <w:r w:rsidR="009C1B46" w:rsidRPr="009C1B46">
        <w:rPr>
          <w:rFonts w:ascii="Times New Roman" w:hAnsi="Times New Roman" w:cs="Times New Roman"/>
          <w:sz w:val="24"/>
          <w:szCs w:val="24"/>
        </w:rPr>
        <w:instrText>=891</w:instrText>
      </w:r>
      <w:r w:rsidR="009C1B46">
        <w:rPr>
          <w:rFonts w:ascii="Times New Roman" w:hAnsi="Times New Roman" w:cs="Times New Roman"/>
          <w:sz w:val="24"/>
          <w:szCs w:val="24"/>
          <w:lang w:val="en-US"/>
        </w:rPr>
        <w:instrText>fa</w:instrText>
      </w:r>
      <w:r w:rsidR="009C1B46" w:rsidRPr="009C1B46">
        <w:rPr>
          <w:rFonts w:ascii="Times New Roman" w:hAnsi="Times New Roman" w:cs="Times New Roman"/>
          <w:sz w:val="24"/>
          <w:szCs w:val="24"/>
        </w:rPr>
        <w:instrText>663-7797-4301-8893-3</w:instrText>
      </w:r>
      <w:r w:rsidR="009C1B46">
        <w:rPr>
          <w:rFonts w:ascii="Times New Roman" w:hAnsi="Times New Roman" w:cs="Times New Roman"/>
          <w:sz w:val="24"/>
          <w:szCs w:val="24"/>
          <w:lang w:val="en-US"/>
        </w:rPr>
        <w:instrText>b</w:instrText>
      </w:r>
      <w:r w:rsidR="009C1B46" w:rsidRPr="009C1B46">
        <w:rPr>
          <w:rFonts w:ascii="Times New Roman" w:hAnsi="Times New Roman" w:cs="Times New Roman"/>
          <w:sz w:val="24"/>
          <w:szCs w:val="24"/>
        </w:rPr>
        <w:instrText>0</w:instrText>
      </w:r>
      <w:r w:rsidR="009C1B46">
        <w:rPr>
          <w:rFonts w:ascii="Times New Roman" w:hAnsi="Times New Roman" w:cs="Times New Roman"/>
          <w:sz w:val="24"/>
          <w:szCs w:val="24"/>
          <w:lang w:val="en-US"/>
        </w:rPr>
        <w:instrText>a</w:instrText>
      </w:r>
      <w:r w:rsidR="009C1B46" w:rsidRPr="009C1B46">
        <w:rPr>
          <w:rFonts w:ascii="Times New Roman" w:hAnsi="Times New Roman" w:cs="Times New Roman"/>
          <w:sz w:val="24"/>
          <w:szCs w:val="24"/>
        </w:rPr>
        <w:instrText>5</w:instrText>
      </w:r>
      <w:r w:rsidR="009C1B46">
        <w:rPr>
          <w:rFonts w:ascii="Times New Roman" w:hAnsi="Times New Roman" w:cs="Times New Roman"/>
          <w:sz w:val="24"/>
          <w:szCs w:val="24"/>
          <w:lang w:val="en-US"/>
        </w:rPr>
        <w:instrText>d</w:instrText>
      </w:r>
      <w:r w:rsidR="009C1B46" w:rsidRPr="009C1B46">
        <w:rPr>
          <w:rFonts w:ascii="Times New Roman" w:hAnsi="Times New Roman" w:cs="Times New Roman"/>
          <w:sz w:val="24"/>
          <w:szCs w:val="24"/>
        </w:rPr>
        <w:instrText>75</w:instrText>
      </w:r>
      <w:r w:rsidR="009C1B46">
        <w:rPr>
          <w:rFonts w:ascii="Times New Roman" w:hAnsi="Times New Roman" w:cs="Times New Roman"/>
          <w:sz w:val="24"/>
          <w:szCs w:val="24"/>
          <w:lang w:val="en-US"/>
        </w:rPr>
        <w:instrText>b</w:instrText>
      </w:r>
      <w:r w:rsidR="009C1B46" w:rsidRPr="009C1B46">
        <w:rPr>
          <w:rFonts w:ascii="Times New Roman" w:hAnsi="Times New Roman" w:cs="Times New Roman"/>
          <w:sz w:val="24"/>
          <w:szCs w:val="24"/>
        </w:rPr>
        <w:instrText>173"]}],"</w:instrText>
      </w:r>
      <w:r w:rsidR="009C1B46">
        <w:rPr>
          <w:rFonts w:ascii="Times New Roman" w:hAnsi="Times New Roman" w:cs="Times New Roman"/>
          <w:sz w:val="24"/>
          <w:szCs w:val="24"/>
          <w:lang w:val="en-US"/>
        </w:rPr>
        <w:instrText>mendeley</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formattedCitation</w:instrText>
      </w:r>
      <w:r w:rsidR="009C1B46" w:rsidRPr="009C1B46">
        <w:rPr>
          <w:rFonts w:ascii="Times New Roman" w:hAnsi="Times New Roman" w:cs="Times New Roman"/>
          <w:sz w:val="24"/>
          <w:szCs w:val="24"/>
        </w:rPr>
        <w:instrText>":"[28, 37, 62, 63, 67]","</w:instrText>
      </w:r>
      <w:r w:rsidR="009C1B46">
        <w:rPr>
          <w:rFonts w:ascii="Times New Roman" w:hAnsi="Times New Roman" w:cs="Times New Roman"/>
          <w:sz w:val="24"/>
          <w:szCs w:val="24"/>
          <w:lang w:val="en-US"/>
        </w:rPr>
        <w:instrText>plainTextFormattedCitation</w:instrText>
      </w:r>
      <w:r w:rsidR="009C1B46" w:rsidRPr="009C1B46">
        <w:rPr>
          <w:rFonts w:ascii="Times New Roman" w:hAnsi="Times New Roman" w:cs="Times New Roman"/>
          <w:sz w:val="24"/>
          <w:szCs w:val="24"/>
        </w:rPr>
        <w:instrText>":"[28, 37, 62, 63, 67]","</w:instrText>
      </w:r>
      <w:r w:rsidR="009C1B46">
        <w:rPr>
          <w:rFonts w:ascii="Times New Roman" w:hAnsi="Times New Roman" w:cs="Times New Roman"/>
          <w:sz w:val="24"/>
          <w:szCs w:val="24"/>
          <w:lang w:val="en-US"/>
        </w:rPr>
        <w:instrText>previouslyFormattedCitation</w:instrText>
      </w:r>
      <w:r w:rsidR="009C1B46" w:rsidRPr="009C1B46">
        <w:rPr>
          <w:rFonts w:ascii="Times New Roman" w:hAnsi="Times New Roman" w:cs="Times New Roman"/>
          <w:sz w:val="24"/>
          <w:szCs w:val="24"/>
        </w:rPr>
        <w:instrText>":"[28, 36, 61, 62, 66]"},"</w:instrText>
      </w:r>
      <w:r w:rsidR="009C1B46">
        <w:rPr>
          <w:rFonts w:ascii="Times New Roman" w:hAnsi="Times New Roman" w:cs="Times New Roman"/>
          <w:sz w:val="24"/>
          <w:szCs w:val="24"/>
          <w:lang w:val="en-US"/>
        </w:rPr>
        <w:instrText>properties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noteIndex</w:instrText>
      </w:r>
      <w:r w:rsidR="009C1B46" w:rsidRPr="009C1B46">
        <w:rPr>
          <w:rFonts w:ascii="Times New Roman" w:hAnsi="Times New Roman" w:cs="Times New Roman"/>
          <w:sz w:val="24"/>
          <w:szCs w:val="24"/>
        </w:rPr>
        <w:instrText>":0},"</w:instrText>
      </w:r>
      <w:r w:rsidR="009C1B46">
        <w:rPr>
          <w:rFonts w:ascii="Times New Roman" w:hAnsi="Times New Roman" w:cs="Times New Roman"/>
          <w:sz w:val="24"/>
          <w:szCs w:val="24"/>
          <w:lang w:val="en-US"/>
        </w:rPr>
        <w:instrText>schema</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https</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github</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com</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citation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style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language</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schema</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raw</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master</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csl</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citation</w:instrText>
      </w:r>
      <w:r w:rsidR="009C1B46" w:rsidRPr="009C1B46">
        <w:rPr>
          <w:rFonts w:ascii="Times New Roman" w:hAnsi="Times New Roman" w:cs="Times New Roman"/>
          <w:sz w:val="24"/>
          <w:szCs w:val="24"/>
        </w:rPr>
        <w:instrText>.</w:instrText>
      </w:r>
      <w:r w:rsidR="009C1B46">
        <w:rPr>
          <w:rFonts w:ascii="Times New Roman" w:hAnsi="Times New Roman" w:cs="Times New Roman"/>
          <w:sz w:val="24"/>
          <w:szCs w:val="24"/>
          <w:lang w:val="en-US"/>
        </w:rPr>
        <w:instrText>json</w:instrText>
      </w:r>
      <w:r w:rsidR="009C1B46" w:rsidRPr="009C1B46">
        <w:rPr>
          <w:rFonts w:ascii="Times New Roman" w:hAnsi="Times New Roman" w:cs="Times New Roman"/>
          <w:sz w:val="24"/>
          <w:szCs w:val="24"/>
        </w:rPr>
        <w:instrText>"}</w:instrText>
      </w:r>
      <w:r w:rsidR="00515760" w:rsidRPr="002F6791">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[28, 37, 62, 63, 67]</w:t>
      </w:r>
      <w:r w:rsidR="00515760" w:rsidRPr="002F6791">
        <w:rPr>
          <w:rFonts w:ascii="Times New Roman" w:hAnsi="Times New Roman" w:cs="Times New Roman"/>
          <w:sz w:val="24"/>
          <w:szCs w:val="24"/>
        </w:rPr>
        <w:fldChar w:fldCharType="end"/>
      </w:r>
    </w:p>
    <w:tbl>
      <w:tblPr>
        <w:tblStyle w:val="ac"/>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B514CA" w:rsidRPr="009C1B46" w:rsidTr="00515760">
        <w:tc>
          <w:tcPr>
            <w:tcW w:w="1418"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Препарат</w:t>
            </w:r>
          </w:p>
        </w:tc>
        <w:tc>
          <w:tcPr>
            <w:tcW w:w="1701"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Дни</w:t>
            </w:r>
            <w:r w:rsidRPr="009C1B46">
              <w:rPr>
                <w:rFonts w:ascii="Times New Roman" w:hAnsi="Times New Roman" w:cs="Times New Roman"/>
                <w:sz w:val="24"/>
                <w:szCs w:val="24"/>
              </w:rPr>
              <w:t xml:space="preserve"> </w:t>
            </w:r>
            <w:r w:rsidRPr="00BB6B7A">
              <w:rPr>
                <w:rFonts w:ascii="Times New Roman" w:hAnsi="Times New Roman" w:cs="Times New Roman"/>
                <w:sz w:val="24"/>
                <w:szCs w:val="24"/>
              </w:rPr>
              <w:t>введения</w:t>
            </w:r>
            <w:r w:rsidRPr="009C1B46">
              <w:rPr>
                <w:rFonts w:ascii="Times New Roman" w:hAnsi="Times New Roman" w:cs="Times New Roman"/>
                <w:sz w:val="24"/>
                <w:szCs w:val="24"/>
              </w:rPr>
              <w:t xml:space="preserve"> </w:t>
            </w:r>
            <w:r w:rsidRPr="00BB6B7A">
              <w:rPr>
                <w:rFonts w:ascii="Times New Roman" w:hAnsi="Times New Roman" w:cs="Times New Roman"/>
                <w:sz w:val="24"/>
                <w:szCs w:val="24"/>
              </w:rPr>
              <w:t>перед</w:t>
            </w:r>
            <w:r w:rsidRPr="009C1B46">
              <w:rPr>
                <w:rFonts w:ascii="Times New Roman" w:hAnsi="Times New Roman" w:cs="Times New Roman"/>
                <w:sz w:val="24"/>
                <w:szCs w:val="24"/>
              </w:rPr>
              <w:t xml:space="preserve"> </w:t>
            </w:r>
            <w:r w:rsidRPr="00BB6B7A">
              <w:rPr>
                <w:rFonts w:ascii="Times New Roman" w:hAnsi="Times New Roman" w:cs="Times New Roman"/>
                <w:sz w:val="24"/>
                <w:szCs w:val="24"/>
              </w:rPr>
              <w:t>ауто</w:t>
            </w:r>
            <w:r w:rsidRPr="009C1B46">
              <w:rPr>
                <w:rFonts w:ascii="Times New Roman" w:hAnsi="Times New Roman" w:cs="Times New Roman"/>
                <w:sz w:val="24"/>
                <w:szCs w:val="24"/>
              </w:rPr>
              <w:t>-</w:t>
            </w:r>
            <w:r w:rsidRPr="00BB6B7A">
              <w:rPr>
                <w:rFonts w:ascii="Times New Roman" w:hAnsi="Times New Roman" w:cs="Times New Roman"/>
                <w:sz w:val="24"/>
                <w:szCs w:val="24"/>
              </w:rPr>
              <w:t>ТГСК</w:t>
            </w:r>
          </w:p>
        </w:tc>
        <w:tc>
          <w:tcPr>
            <w:tcW w:w="1134"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Разовая</w:t>
            </w:r>
            <w:r w:rsidRPr="009C1B46">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1276"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Суточная</w:t>
            </w:r>
            <w:r w:rsidRPr="009C1B46">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1275"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Курсовая</w:t>
            </w:r>
            <w:r w:rsidRPr="009C1B46">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2659"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w:t>
            </w:r>
            <w:r w:rsidRPr="009C1B46">
              <w:rPr>
                <w:rFonts w:ascii="Times New Roman" w:hAnsi="Times New Roman" w:cs="Times New Roman"/>
                <w:sz w:val="24"/>
                <w:szCs w:val="24"/>
              </w:rPr>
              <w:t xml:space="preserve"> </w:t>
            </w:r>
            <w:r>
              <w:rPr>
                <w:rFonts w:ascii="Times New Roman" w:hAnsi="Times New Roman" w:cs="Times New Roman"/>
                <w:sz w:val="24"/>
                <w:szCs w:val="24"/>
              </w:rPr>
              <w:t>введения</w:t>
            </w:r>
          </w:p>
        </w:tc>
      </w:tr>
      <w:tr w:rsidR="00B514CA" w:rsidRPr="009C1B46" w:rsidTr="00515760">
        <w:tc>
          <w:tcPr>
            <w:tcW w:w="1418"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Ломустин</w:t>
            </w:r>
          </w:p>
        </w:tc>
        <w:tc>
          <w:tcPr>
            <w:tcW w:w="1701"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-6 </w:t>
            </w:r>
            <w:r>
              <w:rPr>
                <w:rFonts w:ascii="Times New Roman" w:hAnsi="Times New Roman" w:cs="Times New Roman"/>
                <w:sz w:val="24"/>
                <w:szCs w:val="24"/>
              </w:rPr>
              <w:t>день</w:t>
            </w:r>
          </w:p>
        </w:tc>
        <w:tc>
          <w:tcPr>
            <w:tcW w:w="1134"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200</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6"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200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5"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200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2659"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Внутрь</w:t>
            </w:r>
          </w:p>
        </w:tc>
      </w:tr>
      <w:tr w:rsidR="00B514CA" w:rsidRPr="009C1B46" w:rsidTr="00515760">
        <w:tc>
          <w:tcPr>
            <w:tcW w:w="1418" w:type="dxa"/>
          </w:tcPr>
          <w:p w:rsidR="00B514CA" w:rsidRPr="009C1B46" w:rsidRDefault="0011163E" w:rsidP="00515760">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Этопозид</w:t>
            </w:r>
          </w:p>
        </w:tc>
        <w:tc>
          <w:tcPr>
            <w:tcW w:w="1701"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-5, -4, -3, -2 </w:t>
            </w:r>
            <w:r>
              <w:rPr>
                <w:rFonts w:ascii="Times New Roman" w:hAnsi="Times New Roman" w:cs="Times New Roman"/>
                <w:sz w:val="24"/>
                <w:szCs w:val="24"/>
              </w:rPr>
              <w:t>дни</w:t>
            </w:r>
          </w:p>
        </w:tc>
        <w:tc>
          <w:tcPr>
            <w:tcW w:w="1134"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200</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6"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200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5"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800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2659"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9C1B46">
              <w:rPr>
                <w:rFonts w:ascii="Times New Roman" w:hAnsi="Times New Roman" w:cs="Times New Roman"/>
                <w:sz w:val="24"/>
                <w:szCs w:val="24"/>
              </w:rPr>
              <w:t xml:space="preserve"> </w:t>
            </w:r>
            <w:r>
              <w:rPr>
                <w:rFonts w:ascii="Times New Roman" w:hAnsi="Times New Roman" w:cs="Times New Roman"/>
                <w:sz w:val="24"/>
                <w:szCs w:val="24"/>
              </w:rPr>
              <w:t>в</w:t>
            </w:r>
            <w:r w:rsidRPr="009C1B46">
              <w:rPr>
                <w:rFonts w:ascii="Times New Roman" w:hAnsi="Times New Roman" w:cs="Times New Roman"/>
                <w:sz w:val="24"/>
                <w:szCs w:val="24"/>
              </w:rPr>
              <w:t>/</w:t>
            </w:r>
            <w:r>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9C1B46">
              <w:rPr>
                <w:rFonts w:ascii="Times New Roman" w:hAnsi="Times New Roman" w:cs="Times New Roman"/>
                <w:sz w:val="24"/>
                <w:szCs w:val="24"/>
              </w:rPr>
              <w:t xml:space="preserve"> 30 </w:t>
            </w:r>
            <w:r>
              <w:rPr>
                <w:rFonts w:ascii="Times New Roman" w:hAnsi="Times New Roman" w:cs="Times New Roman"/>
                <w:sz w:val="24"/>
                <w:szCs w:val="24"/>
              </w:rPr>
              <w:t>минут</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9C1B46">
              <w:rPr>
                <w:rFonts w:ascii="Times New Roman" w:hAnsi="Times New Roman" w:cs="Times New Roman"/>
                <w:sz w:val="24"/>
                <w:szCs w:val="24"/>
              </w:rPr>
              <w:t xml:space="preserve"> 0,9% </w:t>
            </w:r>
            <w:r w:rsidRPr="003751C5">
              <w:rPr>
                <w:rFonts w:ascii="Times New Roman" w:hAnsi="Times New Roman" w:cs="Times New Roman"/>
                <w:sz w:val="24"/>
                <w:szCs w:val="24"/>
                <w:lang w:val="en-US"/>
              </w:rPr>
              <w:t>NaCl</w:t>
            </w:r>
          </w:p>
        </w:tc>
      </w:tr>
      <w:tr w:rsidR="00B514CA" w:rsidRPr="009C1B46" w:rsidTr="00515760">
        <w:tc>
          <w:tcPr>
            <w:tcW w:w="1418"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Цитарабин</w:t>
            </w:r>
          </w:p>
        </w:tc>
        <w:tc>
          <w:tcPr>
            <w:tcW w:w="1701"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-5, -4, -3, -2 </w:t>
            </w:r>
            <w:r>
              <w:rPr>
                <w:rFonts w:ascii="Times New Roman" w:hAnsi="Times New Roman" w:cs="Times New Roman"/>
                <w:sz w:val="24"/>
                <w:szCs w:val="24"/>
              </w:rPr>
              <w:t>дни</w:t>
            </w:r>
          </w:p>
        </w:tc>
        <w:tc>
          <w:tcPr>
            <w:tcW w:w="1134"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200</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6"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400 </w:t>
            </w:r>
            <w:r>
              <w:rPr>
                <w:rFonts w:ascii="Times New Roman" w:hAnsi="Times New Roman" w:cs="Times New Roman"/>
                <w:sz w:val="24"/>
                <w:szCs w:val="24"/>
              </w:rPr>
              <w:t>мг</w:t>
            </w:r>
            <w:r w:rsidRPr="009C1B46">
              <w:rPr>
                <w:rFonts w:ascii="Times New Roman" w:hAnsi="Times New Roman" w:cs="Times New Roman"/>
                <w:sz w:val="24"/>
                <w:szCs w:val="24"/>
              </w:rPr>
              <w:t xml:space="preserve">/ </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5"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1600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2659"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9C1B46">
              <w:rPr>
                <w:rFonts w:ascii="Times New Roman" w:hAnsi="Times New Roman" w:cs="Times New Roman"/>
                <w:sz w:val="24"/>
                <w:szCs w:val="24"/>
              </w:rPr>
              <w:t xml:space="preserve"> </w:t>
            </w:r>
            <w:r>
              <w:rPr>
                <w:rFonts w:ascii="Times New Roman" w:hAnsi="Times New Roman" w:cs="Times New Roman"/>
                <w:sz w:val="24"/>
                <w:szCs w:val="24"/>
              </w:rPr>
              <w:t>в</w:t>
            </w:r>
            <w:r w:rsidRPr="009C1B46">
              <w:rPr>
                <w:rFonts w:ascii="Times New Roman" w:hAnsi="Times New Roman" w:cs="Times New Roman"/>
                <w:sz w:val="24"/>
                <w:szCs w:val="24"/>
              </w:rPr>
              <w:t>/</w:t>
            </w:r>
            <w:r>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9C1B46">
              <w:rPr>
                <w:rFonts w:ascii="Times New Roman" w:hAnsi="Times New Roman" w:cs="Times New Roman"/>
                <w:sz w:val="24"/>
                <w:szCs w:val="24"/>
              </w:rPr>
              <w:t xml:space="preserve"> 30 </w:t>
            </w:r>
            <w:r>
              <w:rPr>
                <w:rFonts w:ascii="Times New Roman" w:hAnsi="Times New Roman" w:cs="Times New Roman"/>
                <w:sz w:val="24"/>
                <w:szCs w:val="24"/>
              </w:rPr>
              <w:t>минут</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9C1B46">
              <w:rPr>
                <w:rFonts w:ascii="Times New Roman" w:hAnsi="Times New Roman" w:cs="Times New Roman"/>
                <w:sz w:val="24"/>
                <w:szCs w:val="24"/>
              </w:rPr>
              <w:t xml:space="preserve"> 0,9% </w:t>
            </w:r>
            <w:r w:rsidRPr="003751C5">
              <w:rPr>
                <w:rFonts w:ascii="Times New Roman" w:hAnsi="Times New Roman" w:cs="Times New Roman"/>
                <w:sz w:val="24"/>
                <w:szCs w:val="24"/>
                <w:lang w:val="en-US"/>
              </w:rPr>
              <w:t>NaCl</w:t>
            </w:r>
          </w:p>
        </w:tc>
      </w:tr>
      <w:tr w:rsidR="00B514CA" w:rsidRPr="009C1B46" w:rsidTr="00515760">
        <w:tc>
          <w:tcPr>
            <w:tcW w:w="1418"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Мелфалан</w:t>
            </w:r>
          </w:p>
        </w:tc>
        <w:tc>
          <w:tcPr>
            <w:tcW w:w="1701"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- 1 </w:t>
            </w:r>
            <w:r>
              <w:rPr>
                <w:rFonts w:ascii="Times New Roman" w:hAnsi="Times New Roman" w:cs="Times New Roman"/>
                <w:sz w:val="24"/>
                <w:szCs w:val="24"/>
              </w:rPr>
              <w:t>день</w:t>
            </w:r>
          </w:p>
        </w:tc>
        <w:tc>
          <w:tcPr>
            <w:tcW w:w="1134"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140</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6"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140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1275" w:type="dxa"/>
          </w:tcPr>
          <w:p w:rsidR="00B514CA" w:rsidRPr="009C1B46" w:rsidRDefault="00B514CA" w:rsidP="00515760">
            <w:pPr>
              <w:pStyle w:val="a3"/>
              <w:spacing w:line="360" w:lineRule="auto"/>
              <w:ind w:left="0"/>
              <w:jc w:val="center"/>
              <w:rPr>
                <w:rFonts w:ascii="Times New Roman" w:hAnsi="Times New Roman" w:cs="Times New Roman"/>
                <w:sz w:val="24"/>
                <w:szCs w:val="24"/>
              </w:rPr>
            </w:pPr>
            <w:r w:rsidRPr="009C1B46">
              <w:rPr>
                <w:rFonts w:ascii="Times New Roman" w:hAnsi="Times New Roman" w:cs="Times New Roman"/>
                <w:sz w:val="24"/>
                <w:szCs w:val="24"/>
              </w:rPr>
              <w:t xml:space="preserve">140 </w:t>
            </w:r>
            <w:r w:rsidRPr="00555E26">
              <w:rPr>
                <w:rFonts w:ascii="Times New Roman" w:hAnsi="Times New Roman" w:cs="Times New Roman"/>
                <w:sz w:val="24"/>
                <w:szCs w:val="24"/>
              </w:rPr>
              <w:t>мг</w:t>
            </w:r>
            <w:r w:rsidRPr="009C1B46">
              <w:rPr>
                <w:rFonts w:ascii="Times New Roman" w:hAnsi="Times New Roman" w:cs="Times New Roman"/>
                <w:sz w:val="24"/>
                <w:szCs w:val="24"/>
              </w:rPr>
              <w:t>/</w:t>
            </w:r>
            <w:r w:rsidRPr="00555E26">
              <w:rPr>
                <w:rFonts w:ascii="Times New Roman" w:hAnsi="Times New Roman" w:cs="Times New Roman"/>
                <w:sz w:val="24"/>
                <w:szCs w:val="24"/>
              </w:rPr>
              <w:t>м</w:t>
            </w:r>
            <w:r w:rsidRPr="009C1B46">
              <w:rPr>
                <w:rFonts w:ascii="Times New Roman" w:hAnsi="Times New Roman" w:cs="Times New Roman"/>
                <w:sz w:val="24"/>
                <w:szCs w:val="24"/>
                <w:vertAlign w:val="superscript"/>
              </w:rPr>
              <w:t>2</w:t>
            </w:r>
          </w:p>
        </w:tc>
        <w:tc>
          <w:tcPr>
            <w:tcW w:w="2659" w:type="dxa"/>
          </w:tcPr>
          <w:p w:rsidR="00B514CA" w:rsidRPr="009C1B46" w:rsidRDefault="00B514CA" w:rsidP="00515760">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9C1B46">
              <w:rPr>
                <w:rFonts w:ascii="Times New Roman" w:hAnsi="Times New Roman" w:cs="Times New Roman"/>
                <w:sz w:val="24"/>
                <w:szCs w:val="24"/>
              </w:rPr>
              <w:t xml:space="preserve"> </w:t>
            </w:r>
            <w:r>
              <w:rPr>
                <w:rFonts w:ascii="Times New Roman" w:hAnsi="Times New Roman" w:cs="Times New Roman"/>
                <w:sz w:val="24"/>
                <w:szCs w:val="24"/>
              </w:rPr>
              <w:t>в</w:t>
            </w:r>
            <w:r w:rsidRPr="009C1B46">
              <w:rPr>
                <w:rFonts w:ascii="Times New Roman" w:hAnsi="Times New Roman" w:cs="Times New Roman"/>
                <w:sz w:val="24"/>
                <w:szCs w:val="24"/>
              </w:rPr>
              <w:t>/</w:t>
            </w:r>
            <w:r>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9C1B46">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9C1B46">
              <w:rPr>
                <w:rFonts w:ascii="Times New Roman" w:hAnsi="Times New Roman" w:cs="Times New Roman"/>
                <w:sz w:val="24"/>
                <w:szCs w:val="24"/>
              </w:rPr>
              <w:t xml:space="preserve"> 1</w:t>
            </w:r>
            <w:r w:rsidRPr="003751C5">
              <w:rPr>
                <w:rFonts w:ascii="Times New Roman" w:hAnsi="Times New Roman" w:cs="Times New Roman"/>
                <w:sz w:val="24"/>
                <w:szCs w:val="24"/>
              </w:rPr>
              <w:t>ч</w:t>
            </w:r>
            <w:r w:rsidRPr="009C1B46">
              <w:rPr>
                <w:rFonts w:ascii="Times New Roman" w:hAnsi="Times New Roman" w:cs="Times New Roman"/>
                <w:sz w:val="24"/>
                <w:szCs w:val="24"/>
              </w:rPr>
              <w:t xml:space="preserve"> </w:t>
            </w:r>
            <w:r>
              <w:rPr>
                <w:rFonts w:ascii="Times New Roman" w:hAnsi="Times New Roman" w:cs="Times New Roman"/>
                <w:sz w:val="24"/>
                <w:szCs w:val="24"/>
              </w:rPr>
              <w:t>в</w:t>
            </w:r>
            <w:r w:rsidRPr="009C1B46">
              <w:rPr>
                <w:rFonts w:ascii="Times New Roman" w:hAnsi="Times New Roman" w:cs="Times New Roman"/>
                <w:sz w:val="24"/>
                <w:szCs w:val="24"/>
              </w:rPr>
              <w:t xml:space="preserve"> 500 </w:t>
            </w:r>
            <w:r>
              <w:rPr>
                <w:rFonts w:ascii="Times New Roman" w:hAnsi="Times New Roman" w:cs="Times New Roman"/>
                <w:sz w:val="24"/>
                <w:szCs w:val="24"/>
              </w:rPr>
              <w:t>мл</w:t>
            </w:r>
            <w:r w:rsidRPr="009C1B46">
              <w:rPr>
                <w:rFonts w:ascii="Times New Roman" w:hAnsi="Times New Roman" w:cs="Times New Roman"/>
                <w:sz w:val="24"/>
                <w:szCs w:val="24"/>
              </w:rPr>
              <w:t xml:space="preserve"> 0,9% </w:t>
            </w:r>
            <w:r>
              <w:rPr>
                <w:rFonts w:ascii="Times New Roman" w:hAnsi="Times New Roman" w:cs="Times New Roman"/>
                <w:sz w:val="24"/>
                <w:szCs w:val="24"/>
                <w:lang w:val="en-US"/>
              </w:rPr>
              <w:t>NaCl</w:t>
            </w:r>
          </w:p>
        </w:tc>
      </w:tr>
    </w:tbl>
    <w:p w:rsidR="00A71E5B" w:rsidRDefault="00A71E5B" w:rsidP="00A71E5B">
      <w:pPr>
        <w:spacing w:before="240"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w:t>
      </w:r>
      <w:r w:rsidRPr="009C1B46">
        <w:rPr>
          <w:rFonts w:ascii="Times New Roman" w:hAnsi="Times New Roman" w:cs="Times New Roman"/>
          <w:sz w:val="24"/>
          <w:szCs w:val="24"/>
        </w:rPr>
        <w:t xml:space="preserve"> </w:t>
      </w:r>
      <w:r>
        <w:rPr>
          <w:rFonts w:ascii="Times New Roman" w:hAnsi="Times New Roman" w:cs="Times New Roman"/>
          <w:sz w:val="24"/>
          <w:szCs w:val="24"/>
        </w:rPr>
        <w:t>ряде</w:t>
      </w:r>
      <w:r w:rsidRPr="009C1B46">
        <w:rPr>
          <w:rFonts w:ascii="Times New Roman" w:hAnsi="Times New Roman" w:cs="Times New Roman"/>
          <w:sz w:val="24"/>
          <w:szCs w:val="24"/>
        </w:rPr>
        <w:t xml:space="preserve"> </w:t>
      </w:r>
      <w:r>
        <w:rPr>
          <w:rFonts w:ascii="Times New Roman" w:hAnsi="Times New Roman" w:cs="Times New Roman"/>
          <w:sz w:val="24"/>
          <w:szCs w:val="24"/>
        </w:rPr>
        <w:t>клинических</w:t>
      </w:r>
      <w:r w:rsidRPr="009C1B46">
        <w:rPr>
          <w:rFonts w:ascii="Times New Roman" w:hAnsi="Times New Roman" w:cs="Times New Roman"/>
          <w:sz w:val="24"/>
          <w:szCs w:val="24"/>
        </w:rPr>
        <w:t xml:space="preserve"> </w:t>
      </w:r>
      <w:r>
        <w:rPr>
          <w:rFonts w:ascii="Times New Roman" w:hAnsi="Times New Roman" w:cs="Times New Roman"/>
          <w:sz w:val="24"/>
          <w:szCs w:val="24"/>
        </w:rPr>
        <w:t>исследований</w:t>
      </w:r>
      <w:r w:rsidRPr="009C1B46">
        <w:rPr>
          <w:rFonts w:ascii="Times New Roman" w:hAnsi="Times New Roman" w:cs="Times New Roman"/>
          <w:sz w:val="24"/>
          <w:szCs w:val="24"/>
        </w:rPr>
        <w:t xml:space="preserve"> </w:t>
      </w:r>
      <w:r>
        <w:rPr>
          <w:rFonts w:ascii="Times New Roman" w:hAnsi="Times New Roman" w:cs="Times New Roman"/>
          <w:sz w:val="24"/>
          <w:szCs w:val="24"/>
        </w:rPr>
        <w:t>была</w:t>
      </w:r>
      <w:r w:rsidRPr="009C1B46">
        <w:rPr>
          <w:rFonts w:ascii="Times New Roman" w:hAnsi="Times New Roman" w:cs="Times New Roman"/>
          <w:sz w:val="24"/>
          <w:szCs w:val="24"/>
        </w:rPr>
        <w:t xml:space="preserve"> </w:t>
      </w:r>
      <w:r>
        <w:rPr>
          <w:rFonts w:ascii="Times New Roman" w:hAnsi="Times New Roman" w:cs="Times New Roman"/>
          <w:sz w:val="24"/>
          <w:szCs w:val="24"/>
        </w:rPr>
        <w:t>подтверждена</w:t>
      </w:r>
      <w:r w:rsidRPr="009C1B46">
        <w:rPr>
          <w:rFonts w:ascii="Times New Roman" w:hAnsi="Times New Roman" w:cs="Times New Roman"/>
          <w:sz w:val="24"/>
          <w:szCs w:val="24"/>
        </w:rPr>
        <w:t xml:space="preserve"> </w:t>
      </w:r>
      <w:r>
        <w:rPr>
          <w:rFonts w:ascii="Times New Roman" w:hAnsi="Times New Roman" w:cs="Times New Roman"/>
          <w:sz w:val="24"/>
          <w:szCs w:val="24"/>
        </w:rPr>
        <w:t>эффективность</w:t>
      </w:r>
      <w:r w:rsidRPr="009C1B46">
        <w:rPr>
          <w:rFonts w:ascii="Times New Roman" w:hAnsi="Times New Roman" w:cs="Times New Roman"/>
          <w:sz w:val="24"/>
          <w:szCs w:val="24"/>
        </w:rPr>
        <w:t xml:space="preserve"> </w:t>
      </w:r>
      <w:r>
        <w:rPr>
          <w:rFonts w:ascii="Times New Roman" w:hAnsi="Times New Roman" w:cs="Times New Roman"/>
          <w:sz w:val="24"/>
          <w:szCs w:val="24"/>
        </w:rPr>
        <w:t>режима</w:t>
      </w:r>
      <w:r w:rsidRPr="009C1B46">
        <w:rPr>
          <w:rFonts w:ascii="Times New Roman" w:hAnsi="Times New Roman" w:cs="Times New Roman"/>
          <w:sz w:val="24"/>
          <w:szCs w:val="24"/>
        </w:rPr>
        <w:t xml:space="preserve"> </w:t>
      </w:r>
      <w:r>
        <w:rPr>
          <w:rFonts w:ascii="Times New Roman" w:hAnsi="Times New Roman" w:cs="Times New Roman"/>
          <w:sz w:val="24"/>
          <w:szCs w:val="24"/>
        </w:rPr>
        <w:t>предтрансплантационного</w:t>
      </w:r>
      <w:r w:rsidRPr="009C1B46">
        <w:rPr>
          <w:rFonts w:ascii="Times New Roman" w:hAnsi="Times New Roman" w:cs="Times New Roman"/>
          <w:sz w:val="24"/>
          <w:szCs w:val="24"/>
        </w:rPr>
        <w:t xml:space="preserve"> </w:t>
      </w:r>
      <w:r>
        <w:rPr>
          <w:rFonts w:ascii="Times New Roman" w:hAnsi="Times New Roman" w:cs="Times New Roman"/>
          <w:sz w:val="24"/>
          <w:szCs w:val="24"/>
        </w:rPr>
        <w:t>кондиционирования</w:t>
      </w:r>
      <w:r w:rsidRPr="009C1B46">
        <w:rPr>
          <w:rFonts w:ascii="Times New Roman" w:hAnsi="Times New Roman" w:cs="Times New Roman"/>
          <w:sz w:val="24"/>
          <w:szCs w:val="24"/>
        </w:rPr>
        <w:t xml:space="preserve"> </w:t>
      </w:r>
      <w:r w:rsidR="004939FE" w:rsidRPr="006D20AB">
        <w:rPr>
          <w:rFonts w:ascii="Times New Roman" w:hAnsi="Times New Roman" w:cs="Times New Roman"/>
          <w:sz w:val="24"/>
          <w:szCs w:val="24"/>
          <w:lang w:val="en-US"/>
        </w:rPr>
        <w:t>Benda</w:t>
      </w:r>
      <w:r w:rsidR="004939FE" w:rsidRPr="009C1B46">
        <w:rPr>
          <w:rFonts w:ascii="Times New Roman" w:hAnsi="Times New Roman" w:cs="Times New Roman"/>
          <w:sz w:val="24"/>
          <w:szCs w:val="24"/>
        </w:rPr>
        <w:t>-</w:t>
      </w:r>
      <w:r w:rsidR="004939FE" w:rsidRPr="006D20AB">
        <w:rPr>
          <w:rFonts w:ascii="Times New Roman" w:hAnsi="Times New Roman" w:cs="Times New Roman"/>
          <w:sz w:val="24"/>
          <w:szCs w:val="24"/>
          <w:lang w:val="en-US"/>
        </w:rPr>
        <w:t>EAM</w:t>
      </w:r>
      <w:r w:rsidR="004939FE" w:rsidRPr="009C1B46">
        <w:rPr>
          <w:rFonts w:ascii="Times New Roman" w:hAnsi="Times New Roman" w:cs="Times New Roman"/>
          <w:sz w:val="24"/>
          <w:szCs w:val="24"/>
        </w:rPr>
        <w:t xml:space="preserve"> </w:t>
      </w:r>
      <w:r w:rsidR="004939FE">
        <w:rPr>
          <w:rFonts w:ascii="Times New Roman" w:hAnsi="Times New Roman" w:cs="Times New Roman"/>
          <w:sz w:val="24"/>
          <w:szCs w:val="24"/>
        </w:rPr>
        <w:t>при</w:t>
      </w:r>
      <w:r w:rsidR="004939FE" w:rsidRPr="009C1B46">
        <w:rPr>
          <w:rFonts w:ascii="Times New Roman" w:hAnsi="Times New Roman" w:cs="Times New Roman"/>
          <w:sz w:val="24"/>
          <w:szCs w:val="24"/>
        </w:rPr>
        <w:t xml:space="preserve"> </w:t>
      </w:r>
      <w:r w:rsidR="004939FE">
        <w:rPr>
          <w:rFonts w:ascii="Times New Roman" w:hAnsi="Times New Roman" w:cs="Times New Roman"/>
          <w:sz w:val="24"/>
          <w:szCs w:val="24"/>
        </w:rPr>
        <w:t>лимфопролиферативных</w:t>
      </w:r>
      <w:r w:rsidR="004939FE" w:rsidRPr="009C1B46">
        <w:rPr>
          <w:rFonts w:ascii="Times New Roman" w:hAnsi="Times New Roman" w:cs="Times New Roman"/>
          <w:sz w:val="24"/>
          <w:szCs w:val="24"/>
        </w:rPr>
        <w:t xml:space="preserve"> </w:t>
      </w:r>
      <w:r w:rsidR="004939FE">
        <w:rPr>
          <w:rFonts w:ascii="Times New Roman" w:hAnsi="Times New Roman" w:cs="Times New Roman"/>
          <w:sz w:val="24"/>
          <w:szCs w:val="24"/>
        </w:rPr>
        <w:t>заболеваниях</w:t>
      </w:r>
      <w:r w:rsidRPr="009C1B46">
        <w:rPr>
          <w:rFonts w:ascii="Times New Roman" w:hAnsi="Times New Roman" w:cs="Times New Roman"/>
          <w:sz w:val="24"/>
          <w:szCs w:val="24"/>
        </w:rPr>
        <w:t xml:space="preserve">. </w:t>
      </w:r>
      <w:r>
        <w:rPr>
          <w:rFonts w:ascii="Times New Roman" w:hAnsi="Times New Roman" w:cs="Times New Roman"/>
          <w:sz w:val="24"/>
          <w:szCs w:val="24"/>
        </w:rPr>
        <w:t>Схема</w:t>
      </w:r>
      <w:r w:rsidRPr="009C1B46">
        <w:rPr>
          <w:rFonts w:ascii="Times New Roman" w:hAnsi="Times New Roman" w:cs="Times New Roman"/>
          <w:sz w:val="24"/>
          <w:szCs w:val="24"/>
        </w:rPr>
        <w:t xml:space="preserve"> </w:t>
      </w:r>
      <w:r>
        <w:rPr>
          <w:rFonts w:ascii="Times New Roman" w:hAnsi="Times New Roman" w:cs="Times New Roman"/>
          <w:sz w:val="24"/>
          <w:szCs w:val="24"/>
        </w:rPr>
        <w:t>введения</w:t>
      </w:r>
      <w:r w:rsidRPr="009C1B46">
        <w:rPr>
          <w:rFonts w:ascii="Times New Roman" w:hAnsi="Times New Roman" w:cs="Times New Roman"/>
          <w:sz w:val="24"/>
          <w:szCs w:val="24"/>
        </w:rPr>
        <w:t xml:space="preserve"> </w:t>
      </w:r>
      <w:r>
        <w:rPr>
          <w:rFonts w:ascii="Times New Roman" w:hAnsi="Times New Roman" w:cs="Times New Roman"/>
          <w:sz w:val="24"/>
          <w:szCs w:val="24"/>
        </w:rPr>
        <w:t>препаратов</w:t>
      </w:r>
      <w:r w:rsidRPr="009C1B46">
        <w:rPr>
          <w:rFonts w:ascii="Times New Roman" w:hAnsi="Times New Roman" w:cs="Times New Roman"/>
          <w:sz w:val="24"/>
          <w:szCs w:val="24"/>
        </w:rPr>
        <w:t xml:space="preserve"> </w:t>
      </w:r>
      <w:r>
        <w:rPr>
          <w:rFonts w:ascii="Times New Roman" w:hAnsi="Times New Roman" w:cs="Times New Roman"/>
          <w:sz w:val="24"/>
          <w:szCs w:val="24"/>
        </w:rPr>
        <w:t>и</w:t>
      </w:r>
      <w:r w:rsidRPr="009C1B46">
        <w:rPr>
          <w:rFonts w:ascii="Times New Roman" w:hAnsi="Times New Roman" w:cs="Times New Roman"/>
          <w:sz w:val="24"/>
          <w:szCs w:val="24"/>
        </w:rPr>
        <w:t xml:space="preserve"> </w:t>
      </w:r>
      <w:r>
        <w:rPr>
          <w:rFonts w:ascii="Times New Roman" w:hAnsi="Times New Roman" w:cs="Times New Roman"/>
          <w:sz w:val="24"/>
          <w:szCs w:val="24"/>
        </w:rPr>
        <w:t>дозы</w:t>
      </w:r>
      <w:r w:rsidRPr="00C17B4D">
        <w:rPr>
          <w:rFonts w:ascii="Times New Roman" w:hAnsi="Times New Roman" w:cs="Times New Roman"/>
          <w:sz w:val="24"/>
          <w:szCs w:val="24"/>
        </w:rPr>
        <w:t xml:space="preserve"> </w:t>
      </w:r>
      <w:r>
        <w:rPr>
          <w:rFonts w:ascii="Times New Roman" w:hAnsi="Times New Roman" w:cs="Times New Roman"/>
          <w:sz w:val="24"/>
          <w:szCs w:val="24"/>
        </w:rPr>
        <w:t>представлены</w:t>
      </w:r>
      <w:r w:rsidRPr="00C17B4D">
        <w:rPr>
          <w:rFonts w:ascii="Times New Roman" w:hAnsi="Times New Roman" w:cs="Times New Roman"/>
          <w:sz w:val="24"/>
          <w:szCs w:val="24"/>
        </w:rPr>
        <w:t xml:space="preserve"> </w:t>
      </w:r>
      <w:r>
        <w:rPr>
          <w:rFonts w:ascii="Times New Roman" w:hAnsi="Times New Roman" w:cs="Times New Roman"/>
          <w:sz w:val="24"/>
          <w:szCs w:val="24"/>
        </w:rPr>
        <w:t>в</w:t>
      </w:r>
      <w:r w:rsidRPr="00C17B4D">
        <w:rPr>
          <w:rFonts w:ascii="Times New Roman" w:hAnsi="Times New Roman" w:cs="Times New Roman"/>
          <w:sz w:val="24"/>
          <w:szCs w:val="24"/>
        </w:rPr>
        <w:t xml:space="preserve"> </w:t>
      </w:r>
      <w:r>
        <w:rPr>
          <w:rFonts w:ascii="Times New Roman" w:hAnsi="Times New Roman" w:cs="Times New Roman"/>
          <w:sz w:val="24"/>
          <w:szCs w:val="24"/>
        </w:rPr>
        <w:t>таблице 8</w:t>
      </w:r>
      <w:r w:rsidRPr="00C17B4D">
        <w:rPr>
          <w:rFonts w:ascii="Times New Roman" w:hAnsi="Times New Roman" w:cs="Times New Roman"/>
          <w:sz w:val="24"/>
          <w:szCs w:val="24"/>
        </w:rPr>
        <w:t>.</w:t>
      </w:r>
    </w:p>
    <w:p w:rsidR="00A71E5B" w:rsidRPr="00566401" w:rsidRDefault="00A71E5B" w:rsidP="00A71E5B">
      <w:pPr>
        <w:spacing w:after="0" w:line="360" w:lineRule="auto"/>
        <w:ind w:firstLine="426"/>
        <w:jc w:val="both"/>
        <w:rPr>
          <w:rFonts w:ascii="Times New Roman" w:hAnsi="Times New Roman" w:cs="Times New Roman"/>
          <w:b/>
          <w:sz w:val="24"/>
          <w:szCs w:val="24"/>
        </w:rPr>
      </w:pPr>
      <w:r w:rsidRPr="002F6791">
        <w:rPr>
          <w:rFonts w:ascii="Times New Roman" w:hAnsi="Times New Roman" w:cs="Times New Roman"/>
          <w:b/>
          <w:sz w:val="24"/>
          <w:szCs w:val="24"/>
        </w:rPr>
        <w:t xml:space="preserve">Таблица </w:t>
      </w:r>
      <w:r w:rsidR="00566401">
        <w:rPr>
          <w:rFonts w:ascii="Times New Roman" w:hAnsi="Times New Roman" w:cs="Times New Roman"/>
          <w:b/>
          <w:sz w:val="24"/>
          <w:szCs w:val="24"/>
        </w:rPr>
        <w:t>8</w:t>
      </w:r>
      <w:r w:rsidRPr="002F6791">
        <w:rPr>
          <w:rFonts w:ascii="Times New Roman" w:hAnsi="Times New Roman" w:cs="Times New Roman"/>
          <w:b/>
          <w:sz w:val="24"/>
          <w:szCs w:val="24"/>
        </w:rPr>
        <w:t xml:space="preserve">. Схема предтрансплантационного кондиционирования </w:t>
      </w:r>
      <w:r w:rsidR="00566401" w:rsidRPr="00566401">
        <w:rPr>
          <w:rFonts w:ascii="Times New Roman" w:hAnsi="Times New Roman" w:cs="Times New Roman"/>
          <w:b/>
          <w:sz w:val="24"/>
          <w:szCs w:val="24"/>
        </w:rPr>
        <w:t>Benda-EAM</w:t>
      </w:r>
      <w:r w:rsidR="004939FE">
        <w:rPr>
          <w:rFonts w:ascii="Times New Roman" w:hAnsi="Times New Roman" w:cs="Times New Roman"/>
          <w:b/>
          <w:sz w:val="24"/>
          <w:szCs w:val="24"/>
        </w:rPr>
        <w:fldChar w:fldCharType="begin" w:fldLock="1"/>
      </w:r>
      <w:r w:rsidR="009C1B46">
        <w:rPr>
          <w:rFonts w:ascii="Times New Roman" w:hAnsi="Times New Roman" w:cs="Times New Roman"/>
          <w:b/>
          <w:sz w:val="24"/>
          <w:szCs w:val="24"/>
        </w:rPr>
        <w:instrText>ADDIN CSL_CITATION {"citationItems":[{"id":"ITEM-1","itemData":{"DOI":"10.1038/s41409-019-0572-7","ISSN":"0268-3369","author":[{"dropping-particle":"","family":"Visani","given":"Giuseppe","non-dropping-particle":"","parse-names":false,"suffix":""},{"dropping-particle":"","family":"Loscocco","given":"Federica","non-dropping-particle":"","parse-names":false,"suffix":""},{"dropping-particle":"","family":"Bagaloni","given":"Irene","non-dropping-particle":"","parse-names":false,"suffix":""},{"dropping-particle":"","family":"Ruzzo","given":"Annamaria","non-dropping-particle":"","parse-names":false,"suffix":""},{"dropping-particle":"","family":"Fuligni","given":"Fabio","non-dropping-particle":"","parse-names":false,"suffix":""},{"dropping-particle":"","family":"Graziano","given":"Francesco","non-dropping-particle":"","parse-names":false,"suffix":""},{"dropping-particle":"","family":"Magnani","given":"Mauro","non-dropping-particle":"","parse-names":false,"suffix":""},{"dropping-particle":"","family":"Isidori","given":"Alessandro","non-dropping-particle":"","parse-names":false,"suffix":""}],"container-title":"Bone Marrow Transplantation","id":"ITEM-1","issue":"4","issued":{"date-parts":[["2020","4","23"]]},"page":"818-820","publisher":"Nature Publishing Group","title":"XRCC1 399GG genotype predicts significantly longer overall survival in resistant lymphoma patients treated with Benda-EAM and ASCT","type":"article-journal","volume":"55"},"uris":["http://www.mendeley.com/documents/?uuid=91fbd7c4-108e-3fa6-a12d-7807a539235e"]},{"id":"ITEM-2","itemData":{"DOI":"10.1182/BLOOD-2011-04-351924","ISSN":"1528-0020","PMID":"21816830","author":[{"dropping-particle":"","family":"G","given":"Visani","non-dropping-particle":"","parse-names":false,"suffix":""},{"dropping-particle":"","family":"L","given":"Malerba","non-dropping-particle":"","parse-names":false,"suffix":""},{"dropping-particle":"","family":"PM","given":"Stefani","non-dropping-particle":"","parse-names":false,"suffix":""},{"dropping-particle":"","family":"S","given":"Capria","non-dropping-particle":"","parse-names":false,"suffix":""},{"dropping-particle":"","family":"P","given":"Galieni","non-dropping-particle":"","parse-names":false,"suffix":""},{"dropping-particle":"","family":"F","given":"Gaudio","non-dropping-particle":"","parse-names":false,"suffix":""},{"dropping-particle":"","family":"G","given":"Specchia","non-dropping-particle":"","parse-names":false,"suffix":""},{"dropping-particle":"","family":"G","given":"Meloni","non-dropping-particle":"","parse-names":false,"suffix":""},{"dropping-particle":"","family":"F","given":"Gherlinzoni","non-dropping-particle":"","parse-names":false,"suffix":""},{"dropping-particle":"","family":"C","given":"Giardini","non-dropping-particle":"","parse-names":false,"suffix":""},{"dropping-particle":"","family":"S","given":"Falcioni","non-dropping-particle":"","parse-names":false,"suffix":""},{"dropping-particle":"","family":"F","given":"Cuberli","non-dropping-particle":"","parse-names":false,"suffix":""},{"dropping-particle":"","family":"M","given":"Gobbi","non-dropping-particle":"","parse-names":false,"suffix":""},{"dropping-particle":"","family":"B","given":"Sarina","non-dropping-particle":"","parse-names":false,"suffix":""},{"dropping-particle":"","family":"A","given":"Santoro","non-dropping-particle":"","parse-names":false,"suffix":""},{"dropping-particle":"","family":"F","given":"Ferrara","non-dropping-particle":"","parse-names":false,"suffix":""},{"dropping-particle":"","family":"M","given":"Rocchi","non-dropping-particle":"","parse-names":false,"suffix":""},{"dropping-particle":"","family":"EM","given":"Ocio","non-dropping-particle":"","parse-names":false,"suffix":""},{"dropping-particle":"","family":"MD","given":"Caballero","non-dropping-particle":"","parse-names":false,"suffix":""},{"dropping-particle":"","family":"A","given":"Isidori","non-dropping-particle":"","parse-names":false,"suffix":""}],"container-title":"Blood","id":"ITEM-2","issue":"12","issued":{"date-parts":[["2011"]]},"publisher":"Blood","title":"BeEAM (Bendamustine, Etoposide, Cytarabine, Melphalan) Before Autologous Stem Cell Transplantation Is Safe and Effective for resistant/relapsed Lymphoma Patients","type":"article-journal","volume":"118"},"uris":["http://www.mendeley.com/documents/?uuid=0eddecf9-21a1-38f1-96cb-ea0df7cfa77a"]}],"mendeley":{"formattedCitation":"[39, 73]","plainTextFormattedCitation":"[39, 73]","previouslyFormattedCitation":"[38, 72]"},"properties":{"noteIndex":0},"schema":"https://github.com/citation-style-language/schema/raw/master/csl-citation.json"}</w:instrText>
      </w:r>
      <w:r w:rsidR="004939FE">
        <w:rPr>
          <w:rFonts w:ascii="Times New Roman" w:hAnsi="Times New Roman" w:cs="Times New Roman"/>
          <w:b/>
          <w:sz w:val="24"/>
          <w:szCs w:val="24"/>
        </w:rPr>
        <w:fldChar w:fldCharType="separate"/>
      </w:r>
      <w:r w:rsidR="009C1B46" w:rsidRPr="009C1B46">
        <w:rPr>
          <w:rFonts w:ascii="Times New Roman" w:hAnsi="Times New Roman" w:cs="Times New Roman"/>
          <w:noProof/>
          <w:sz w:val="24"/>
          <w:szCs w:val="24"/>
        </w:rPr>
        <w:t>[39, 73]</w:t>
      </w:r>
      <w:r w:rsidR="004939FE">
        <w:rPr>
          <w:rFonts w:ascii="Times New Roman" w:hAnsi="Times New Roman" w:cs="Times New Roman"/>
          <w:b/>
          <w:sz w:val="24"/>
          <w:szCs w:val="24"/>
        </w:rPr>
        <w:fldChar w:fldCharType="end"/>
      </w:r>
    </w:p>
    <w:tbl>
      <w:tblPr>
        <w:tblStyle w:val="ac"/>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A71E5B" w:rsidRPr="00401539" w:rsidTr="00A71E5B">
        <w:tc>
          <w:tcPr>
            <w:tcW w:w="1418" w:type="dxa"/>
          </w:tcPr>
          <w:p w:rsidR="00A71E5B" w:rsidRPr="00167E76" w:rsidRDefault="00A71E5B" w:rsidP="00A71E5B">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Препарат</w:t>
            </w:r>
          </w:p>
        </w:tc>
        <w:tc>
          <w:tcPr>
            <w:tcW w:w="1701" w:type="dxa"/>
          </w:tcPr>
          <w:p w:rsidR="00A71E5B" w:rsidRPr="00C17B4D" w:rsidRDefault="00A71E5B" w:rsidP="00A71E5B">
            <w:pPr>
              <w:pStyle w:val="a3"/>
              <w:spacing w:line="360" w:lineRule="auto"/>
              <w:ind w:left="0"/>
              <w:jc w:val="both"/>
              <w:rPr>
                <w:rFonts w:ascii="Times New Roman" w:hAnsi="Times New Roman" w:cs="Times New Roman"/>
                <w:sz w:val="24"/>
                <w:szCs w:val="24"/>
              </w:rPr>
            </w:pPr>
            <w:r w:rsidRPr="00BB6B7A">
              <w:rPr>
                <w:rFonts w:ascii="Times New Roman" w:hAnsi="Times New Roman" w:cs="Times New Roman"/>
                <w:sz w:val="24"/>
                <w:szCs w:val="24"/>
              </w:rPr>
              <w:t>Дни</w:t>
            </w:r>
            <w:r w:rsidRPr="00C17B4D">
              <w:rPr>
                <w:rFonts w:ascii="Times New Roman" w:hAnsi="Times New Roman" w:cs="Times New Roman"/>
                <w:sz w:val="24"/>
                <w:szCs w:val="24"/>
              </w:rPr>
              <w:t xml:space="preserve"> </w:t>
            </w:r>
            <w:r w:rsidRPr="00BB6B7A">
              <w:rPr>
                <w:rFonts w:ascii="Times New Roman" w:hAnsi="Times New Roman" w:cs="Times New Roman"/>
                <w:sz w:val="24"/>
                <w:szCs w:val="24"/>
              </w:rPr>
              <w:t>введения</w:t>
            </w:r>
            <w:r w:rsidRPr="00C17B4D">
              <w:rPr>
                <w:rFonts w:ascii="Times New Roman" w:hAnsi="Times New Roman" w:cs="Times New Roman"/>
                <w:sz w:val="24"/>
                <w:szCs w:val="24"/>
              </w:rPr>
              <w:t xml:space="preserve"> </w:t>
            </w:r>
            <w:r w:rsidRPr="00BB6B7A">
              <w:rPr>
                <w:rFonts w:ascii="Times New Roman" w:hAnsi="Times New Roman" w:cs="Times New Roman"/>
                <w:sz w:val="24"/>
                <w:szCs w:val="24"/>
              </w:rPr>
              <w:t>перед</w:t>
            </w:r>
            <w:r w:rsidRPr="00C17B4D">
              <w:rPr>
                <w:rFonts w:ascii="Times New Roman" w:hAnsi="Times New Roman" w:cs="Times New Roman"/>
                <w:sz w:val="24"/>
                <w:szCs w:val="24"/>
              </w:rPr>
              <w:t xml:space="preserve"> </w:t>
            </w:r>
            <w:r w:rsidRPr="00BB6B7A">
              <w:rPr>
                <w:rFonts w:ascii="Times New Roman" w:hAnsi="Times New Roman" w:cs="Times New Roman"/>
                <w:sz w:val="24"/>
                <w:szCs w:val="24"/>
              </w:rPr>
              <w:t>ауто</w:t>
            </w:r>
            <w:r w:rsidRPr="00C17B4D">
              <w:rPr>
                <w:rFonts w:ascii="Times New Roman" w:hAnsi="Times New Roman" w:cs="Times New Roman"/>
                <w:sz w:val="24"/>
                <w:szCs w:val="24"/>
              </w:rPr>
              <w:t>-</w:t>
            </w:r>
            <w:r w:rsidRPr="00BB6B7A">
              <w:rPr>
                <w:rFonts w:ascii="Times New Roman" w:hAnsi="Times New Roman" w:cs="Times New Roman"/>
                <w:sz w:val="24"/>
                <w:szCs w:val="24"/>
              </w:rPr>
              <w:t>ТГСК</w:t>
            </w:r>
          </w:p>
        </w:tc>
        <w:tc>
          <w:tcPr>
            <w:tcW w:w="1134" w:type="dxa"/>
          </w:tcPr>
          <w:p w:rsidR="00A71E5B" w:rsidRPr="00167E76" w:rsidRDefault="00A71E5B" w:rsidP="00A71E5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Разовая</w:t>
            </w:r>
            <w:r w:rsidRPr="00167E76">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1276" w:type="dxa"/>
          </w:tcPr>
          <w:p w:rsidR="00A71E5B" w:rsidRPr="00167E76" w:rsidRDefault="00A71E5B" w:rsidP="00A71E5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Суточная</w:t>
            </w:r>
            <w:r w:rsidRPr="00167E76">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1275" w:type="dxa"/>
          </w:tcPr>
          <w:p w:rsidR="00A71E5B" w:rsidRPr="00167E76" w:rsidRDefault="00A71E5B" w:rsidP="00A71E5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Курсовая</w:t>
            </w:r>
            <w:r w:rsidRPr="00167E76">
              <w:rPr>
                <w:rFonts w:ascii="Times New Roman" w:hAnsi="Times New Roman" w:cs="Times New Roman"/>
                <w:sz w:val="24"/>
                <w:szCs w:val="24"/>
              </w:rPr>
              <w:t xml:space="preserve"> </w:t>
            </w:r>
            <w:r>
              <w:rPr>
                <w:rFonts w:ascii="Times New Roman" w:hAnsi="Times New Roman" w:cs="Times New Roman"/>
                <w:sz w:val="24"/>
                <w:szCs w:val="24"/>
              </w:rPr>
              <w:t>доза</w:t>
            </w:r>
          </w:p>
        </w:tc>
        <w:tc>
          <w:tcPr>
            <w:tcW w:w="2659" w:type="dxa"/>
          </w:tcPr>
          <w:p w:rsidR="00A71E5B" w:rsidRPr="00167E76" w:rsidRDefault="00A71E5B" w:rsidP="00A71E5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Особенности</w:t>
            </w:r>
            <w:r w:rsidRPr="00167E76">
              <w:rPr>
                <w:rFonts w:ascii="Times New Roman" w:hAnsi="Times New Roman" w:cs="Times New Roman"/>
                <w:sz w:val="24"/>
                <w:szCs w:val="24"/>
              </w:rPr>
              <w:t xml:space="preserve"> </w:t>
            </w:r>
            <w:r>
              <w:rPr>
                <w:rFonts w:ascii="Times New Roman" w:hAnsi="Times New Roman" w:cs="Times New Roman"/>
                <w:sz w:val="24"/>
                <w:szCs w:val="24"/>
              </w:rPr>
              <w:t>введения</w:t>
            </w:r>
          </w:p>
        </w:tc>
      </w:tr>
      <w:tr w:rsidR="00A71E5B" w:rsidRPr="00401539" w:rsidTr="00A71E5B">
        <w:tc>
          <w:tcPr>
            <w:tcW w:w="1418" w:type="dxa"/>
          </w:tcPr>
          <w:p w:rsidR="00A71E5B" w:rsidRPr="00167E76" w:rsidRDefault="00566401"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Бендамустин</w:t>
            </w:r>
          </w:p>
        </w:tc>
        <w:tc>
          <w:tcPr>
            <w:tcW w:w="1701" w:type="dxa"/>
          </w:tcPr>
          <w:p w:rsidR="00A71E5B" w:rsidRPr="00167E76" w:rsidRDefault="00566401"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-7, </w:t>
            </w:r>
            <w:r w:rsidR="00A71E5B" w:rsidRPr="00167E76">
              <w:rPr>
                <w:rFonts w:ascii="Times New Roman" w:hAnsi="Times New Roman" w:cs="Times New Roman"/>
                <w:sz w:val="24"/>
                <w:szCs w:val="24"/>
              </w:rPr>
              <w:t xml:space="preserve">-6 </w:t>
            </w:r>
            <w:r w:rsidR="00A71E5B">
              <w:rPr>
                <w:rFonts w:ascii="Times New Roman" w:hAnsi="Times New Roman" w:cs="Times New Roman"/>
                <w:sz w:val="24"/>
                <w:szCs w:val="24"/>
              </w:rPr>
              <w:t>день</w:t>
            </w:r>
          </w:p>
        </w:tc>
        <w:tc>
          <w:tcPr>
            <w:tcW w:w="1134" w:type="dxa"/>
          </w:tcPr>
          <w:p w:rsidR="00A71E5B" w:rsidRPr="00167E76" w:rsidRDefault="00566401"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A71E5B" w:rsidRPr="00167E76">
              <w:rPr>
                <w:rFonts w:ascii="Times New Roman" w:hAnsi="Times New Roman" w:cs="Times New Roman"/>
                <w:sz w:val="24"/>
                <w:szCs w:val="24"/>
              </w:rPr>
              <w:t>00</w:t>
            </w:r>
            <w:r w:rsidR="00A71E5B" w:rsidRPr="00555E26">
              <w:rPr>
                <w:rFonts w:ascii="Times New Roman" w:hAnsi="Times New Roman" w:cs="Times New Roman"/>
                <w:sz w:val="24"/>
                <w:szCs w:val="24"/>
              </w:rPr>
              <w:t>мг</w:t>
            </w:r>
            <w:r w:rsidR="00A71E5B" w:rsidRPr="00167E76">
              <w:rPr>
                <w:rFonts w:ascii="Times New Roman" w:hAnsi="Times New Roman" w:cs="Times New Roman"/>
                <w:sz w:val="24"/>
                <w:szCs w:val="24"/>
              </w:rPr>
              <w:t>/</w:t>
            </w:r>
            <w:r w:rsidR="00A71E5B" w:rsidRPr="00555E26">
              <w:rPr>
                <w:rFonts w:ascii="Times New Roman" w:hAnsi="Times New Roman" w:cs="Times New Roman"/>
                <w:sz w:val="24"/>
                <w:szCs w:val="24"/>
              </w:rPr>
              <w:t>м</w:t>
            </w:r>
            <w:r w:rsidR="00A71E5B" w:rsidRPr="00167E76">
              <w:rPr>
                <w:rFonts w:ascii="Times New Roman" w:hAnsi="Times New Roman" w:cs="Times New Roman"/>
                <w:sz w:val="24"/>
                <w:szCs w:val="24"/>
                <w:vertAlign w:val="superscript"/>
              </w:rPr>
              <w:t>2</w:t>
            </w:r>
          </w:p>
        </w:tc>
        <w:tc>
          <w:tcPr>
            <w:tcW w:w="1276" w:type="dxa"/>
          </w:tcPr>
          <w:p w:rsidR="00A71E5B" w:rsidRPr="00167E76" w:rsidRDefault="00566401"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A71E5B" w:rsidRPr="00167E76">
              <w:rPr>
                <w:rFonts w:ascii="Times New Roman" w:hAnsi="Times New Roman" w:cs="Times New Roman"/>
                <w:sz w:val="24"/>
                <w:szCs w:val="24"/>
              </w:rPr>
              <w:t xml:space="preserve">00 </w:t>
            </w:r>
            <w:r w:rsidR="00A71E5B" w:rsidRPr="00555E26">
              <w:rPr>
                <w:rFonts w:ascii="Times New Roman" w:hAnsi="Times New Roman" w:cs="Times New Roman"/>
                <w:sz w:val="24"/>
                <w:szCs w:val="24"/>
              </w:rPr>
              <w:t>мг</w:t>
            </w:r>
            <w:r w:rsidR="00A71E5B" w:rsidRPr="00167E76">
              <w:rPr>
                <w:rFonts w:ascii="Times New Roman" w:hAnsi="Times New Roman" w:cs="Times New Roman"/>
                <w:sz w:val="24"/>
                <w:szCs w:val="24"/>
              </w:rPr>
              <w:t>/</w:t>
            </w:r>
            <w:r w:rsidR="00A71E5B" w:rsidRPr="00555E26">
              <w:rPr>
                <w:rFonts w:ascii="Times New Roman" w:hAnsi="Times New Roman" w:cs="Times New Roman"/>
                <w:sz w:val="24"/>
                <w:szCs w:val="24"/>
              </w:rPr>
              <w:t>м</w:t>
            </w:r>
            <w:r w:rsidR="00A71E5B" w:rsidRPr="00167E76">
              <w:rPr>
                <w:rFonts w:ascii="Times New Roman" w:hAnsi="Times New Roman" w:cs="Times New Roman"/>
                <w:sz w:val="24"/>
                <w:szCs w:val="24"/>
                <w:vertAlign w:val="superscript"/>
              </w:rPr>
              <w:t>2</w:t>
            </w:r>
          </w:p>
        </w:tc>
        <w:tc>
          <w:tcPr>
            <w:tcW w:w="1275" w:type="dxa"/>
          </w:tcPr>
          <w:p w:rsidR="00A71E5B" w:rsidRPr="00167E76" w:rsidRDefault="00566401"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r w:rsidR="00A71E5B" w:rsidRPr="00167E76">
              <w:rPr>
                <w:rFonts w:ascii="Times New Roman" w:hAnsi="Times New Roman" w:cs="Times New Roman"/>
                <w:sz w:val="24"/>
                <w:szCs w:val="24"/>
              </w:rPr>
              <w:t xml:space="preserve">00 </w:t>
            </w:r>
            <w:r w:rsidR="00A71E5B" w:rsidRPr="00555E26">
              <w:rPr>
                <w:rFonts w:ascii="Times New Roman" w:hAnsi="Times New Roman" w:cs="Times New Roman"/>
                <w:sz w:val="24"/>
                <w:szCs w:val="24"/>
              </w:rPr>
              <w:t>мг</w:t>
            </w:r>
            <w:r w:rsidR="00A71E5B" w:rsidRPr="00167E76">
              <w:rPr>
                <w:rFonts w:ascii="Times New Roman" w:hAnsi="Times New Roman" w:cs="Times New Roman"/>
                <w:sz w:val="24"/>
                <w:szCs w:val="24"/>
              </w:rPr>
              <w:t>/</w:t>
            </w:r>
            <w:r w:rsidR="00A71E5B" w:rsidRPr="00555E26">
              <w:rPr>
                <w:rFonts w:ascii="Times New Roman" w:hAnsi="Times New Roman" w:cs="Times New Roman"/>
                <w:sz w:val="24"/>
                <w:szCs w:val="24"/>
              </w:rPr>
              <w:t>м</w:t>
            </w:r>
            <w:r w:rsidR="00A71E5B" w:rsidRPr="00167E76">
              <w:rPr>
                <w:rFonts w:ascii="Times New Roman" w:hAnsi="Times New Roman" w:cs="Times New Roman"/>
                <w:sz w:val="24"/>
                <w:szCs w:val="24"/>
                <w:vertAlign w:val="superscript"/>
              </w:rPr>
              <w:t>2</w:t>
            </w:r>
          </w:p>
        </w:tc>
        <w:tc>
          <w:tcPr>
            <w:tcW w:w="2659" w:type="dxa"/>
          </w:tcPr>
          <w:p w:rsidR="00A71E5B" w:rsidRPr="00C17B4D" w:rsidRDefault="00A71E5B" w:rsidP="00566401">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C17B4D">
              <w:rPr>
                <w:rFonts w:ascii="Times New Roman" w:hAnsi="Times New Roman" w:cs="Times New Roman"/>
                <w:sz w:val="24"/>
                <w:szCs w:val="24"/>
              </w:rPr>
              <w:t xml:space="preserve"> </w:t>
            </w:r>
            <w:r>
              <w:rPr>
                <w:rFonts w:ascii="Times New Roman" w:hAnsi="Times New Roman" w:cs="Times New Roman"/>
                <w:sz w:val="24"/>
                <w:szCs w:val="24"/>
              </w:rPr>
              <w:t>в</w:t>
            </w:r>
            <w:r w:rsidRPr="00C17B4D">
              <w:rPr>
                <w:rFonts w:ascii="Times New Roman" w:hAnsi="Times New Roman" w:cs="Times New Roman"/>
                <w:sz w:val="24"/>
                <w:szCs w:val="24"/>
              </w:rPr>
              <w:t>/</w:t>
            </w:r>
            <w:r>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C17B4D">
              <w:rPr>
                <w:rFonts w:ascii="Times New Roman" w:hAnsi="Times New Roman" w:cs="Times New Roman"/>
                <w:sz w:val="24"/>
                <w:szCs w:val="24"/>
              </w:rPr>
              <w:t xml:space="preserve"> </w:t>
            </w:r>
            <w:r w:rsidR="00566401">
              <w:rPr>
                <w:rFonts w:ascii="Times New Roman" w:hAnsi="Times New Roman" w:cs="Times New Roman"/>
                <w:sz w:val="24"/>
                <w:szCs w:val="24"/>
              </w:rPr>
              <w:t>30-60 минут</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C17B4D">
              <w:rPr>
                <w:rFonts w:ascii="Times New Roman" w:hAnsi="Times New Roman" w:cs="Times New Roman"/>
                <w:sz w:val="24"/>
                <w:szCs w:val="24"/>
              </w:rPr>
              <w:t xml:space="preserve"> 0,9% </w:t>
            </w:r>
            <w:r w:rsidRPr="003751C5">
              <w:rPr>
                <w:rFonts w:ascii="Times New Roman" w:hAnsi="Times New Roman" w:cs="Times New Roman"/>
                <w:sz w:val="24"/>
                <w:szCs w:val="24"/>
                <w:lang w:val="en-US"/>
              </w:rPr>
              <w:t>NaCl</w:t>
            </w:r>
          </w:p>
        </w:tc>
      </w:tr>
      <w:tr w:rsidR="00A71E5B" w:rsidRPr="00401539" w:rsidTr="00A71E5B">
        <w:tc>
          <w:tcPr>
            <w:tcW w:w="1418" w:type="dxa"/>
          </w:tcPr>
          <w:p w:rsidR="00A71E5B" w:rsidRPr="00167E76" w:rsidRDefault="0011163E"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Этопозид</w:t>
            </w:r>
          </w:p>
        </w:tc>
        <w:tc>
          <w:tcPr>
            <w:tcW w:w="1701"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-5, -4, -3, -2 </w:t>
            </w:r>
            <w:r>
              <w:rPr>
                <w:rFonts w:ascii="Times New Roman" w:hAnsi="Times New Roman" w:cs="Times New Roman"/>
                <w:sz w:val="24"/>
                <w:szCs w:val="24"/>
              </w:rPr>
              <w:lastRenderedPageBreak/>
              <w:t>дни</w:t>
            </w:r>
          </w:p>
        </w:tc>
        <w:tc>
          <w:tcPr>
            <w:tcW w:w="1134"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lastRenderedPageBreak/>
              <w:t>200</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1276"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200 </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1275"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800 </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2659" w:type="dxa"/>
          </w:tcPr>
          <w:p w:rsidR="00A71E5B" w:rsidRPr="00C17B4D" w:rsidRDefault="00A71E5B" w:rsidP="00A71E5B">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C17B4D">
              <w:rPr>
                <w:rFonts w:ascii="Times New Roman" w:hAnsi="Times New Roman" w:cs="Times New Roman"/>
                <w:sz w:val="24"/>
                <w:szCs w:val="24"/>
              </w:rPr>
              <w:t xml:space="preserve"> </w:t>
            </w:r>
            <w:r>
              <w:rPr>
                <w:rFonts w:ascii="Times New Roman" w:hAnsi="Times New Roman" w:cs="Times New Roman"/>
                <w:sz w:val="24"/>
                <w:szCs w:val="24"/>
              </w:rPr>
              <w:t>в</w:t>
            </w:r>
            <w:r w:rsidRPr="00C17B4D">
              <w:rPr>
                <w:rFonts w:ascii="Times New Roman" w:hAnsi="Times New Roman" w:cs="Times New Roman"/>
                <w:sz w:val="24"/>
                <w:szCs w:val="24"/>
              </w:rPr>
              <w:t>/</w:t>
            </w:r>
            <w:r>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lastRenderedPageBreak/>
              <w:t>инфузии</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C17B4D">
              <w:rPr>
                <w:rFonts w:ascii="Times New Roman" w:hAnsi="Times New Roman" w:cs="Times New Roman"/>
                <w:sz w:val="24"/>
                <w:szCs w:val="24"/>
              </w:rPr>
              <w:t xml:space="preserve"> 30 </w:t>
            </w:r>
            <w:r>
              <w:rPr>
                <w:rFonts w:ascii="Times New Roman" w:hAnsi="Times New Roman" w:cs="Times New Roman"/>
                <w:sz w:val="24"/>
                <w:szCs w:val="24"/>
              </w:rPr>
              <w:t>минут</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C17B4D">
              <w:rPr>
                <w:rFonts w:ascii="Times New Roman" w:hAnsi="Times New Roman" w:cs="Times New Roman"/>
                <w:sz w:val="24"/>
                <w:szCs w:val="24"/>
              </w:rPr>
              <w:t xml:space="preserve"> 0,9% </w:t>
            </w:r>
            <w:r w:rsidRPr="003751C5">
              <w:rPr>
                <w:rFonts w:ascii="Times New Roman" w:hAnsi="Times New Roman" w:cs="Times New Roman"/>
                <w:sz w:val="24"/>
                <w:szCs w:val="24"/>
                <w:lang w:val="en-US"/>
              </w:rPr>
              <w:t>NaCl</w:t>
            </w:r>
          </w:p>
        </w:tc>
      </w:tr>
      <w:tr w:rsidR="00A71E5B" w:rsidRPr="00401539" w:rsidTr="00A71E5B">
        <w:tc>
          <w:tcPr>
            <w:tcW w:w="1418"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Цитарабин</w:t>
            </w:r>
          </w:p>
        </w:tc>
        <w:tc>
          <w:tcPr>
            <w:tcW w:w="1701"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-5, -4, -3, -2 </w:t>
            </w:r>
            <w:r>
              <w:rPr>
                <w:rFonts w:ascii="Times New Roman" w:hAnsi="Times New Roman" w:cs="Times New Roman"/>
                <w:sz w:val="24"/>
                <w:szCs w:val="24"/>
              </w:rPr>
              <w:t>дни</w:t>
            </w:r>
          </w:p>
        </w:tc>
        <w:tc>
          <w:tcPr>
            <w:tcW w:w="1134"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200</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1276"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400 </w:t>
            </w:r>
            <w:r>
              <w:rPr>
                <w:rFonts w:ascii="Times New Roman" w:hAnsi="Times New Roman" w:cs="Times New Roman"/>
                <w:sz w:val="24"/>
                <w:szCs w:val="24"/>
              </w:rPr>
              <w:t>мг</w:t>
            </w:r>
            <w:r w:rsidRPr="00167E76">
              <w:rPr>
                <w:rFonts w:ascii="Times New Roman" w:hAnsi="Times New Roman" w:cs="Times New Roman"/>
                <w:sz w:val="24"/>
                <w:szCs w:val="24"/>
              </w:rPr>
              <w:t xml:space="preserve">/ </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1275"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1600 </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2659" w:type="dxa"/>
          </w:tcPr>
          <w:p w:rsidR="00A71E5B" w:rsidRPr="00C17B4D" w:rsidRDefault="00A71E5B" w:rsidP="00A71E5B">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C17B4D">
              <w:rPr>
                <w:rFonts w:ascii="Times New Roman" w:hAnsi="Times New Roman" w:cs="Times New Roman"/>
                <w:sz w:val="24"/>
                <w:szCs w:val="24"/>
              </w:rPr>
              <w:t xml:space="preserve"> </w:t>
            </w:r>
            <w:r>
              <w:rPr>
                <w:rFonts w:ascii="Times New Roman" w:hAnsi="Times New Roman" w:cs="Times New Roman"/>
                <w:sz w:val="24"/>
                <w:szCs w:val="24"/>
              </w:rPr>
              <w:t>в</w:t>
            </w:r>
            <w:r w:rsidRPr="00C17B4D">
              <w:rPr>
                <w:rFonts w:ascii="Times New Roman" w:hAnsi="Times New Roman" w:cs="Times New Roman"/>
                <w:sz w:val="24"/>
                <w:szCs w:val="24"/>
              </w:rPr>
              <w:t>/</w:t>
            </w:r>
            <w:r>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C17B4D">
              <w:rPr>
                <w:rFonts w:ascii="Times New Roman" w:hAnsi="Times New Roman" w:cs="Times New Roman"/>
                <w:sz w:val="24"/>
                <w:szCs w:val="24"/>
              </w:rPr>
              <w:t xml:space="preserve"> 30 </w:t>
            </w:r>
            <w:r>
              <w:rPr>
                <w:rFonts w:ascii="Times New Roman" w:hAnsi="Times New Roman" w:cs="Times New Roman"/>
                <w:sz w:val="24"/>
                <w:szCs w:val="24"/>
              </w:rPr>
              <w:t>минут</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500 </w:t>
            </w:r>
            <w:r w:rsidRPr="003751C5">
              <w:rPr>
                <w:rFonts w:ascii="Times New Roman" w:hAnsi="Times New Roman" w:cs="Times New Roman"/>
                <w:sz w:val="24"/>
                <w:szCs w:val="24"/>
              </w:rPr>
              <w:t>мл</w:t>
            </w:r>
            <w:r w:rsidRPr="00C17B4D">
              <w:rPr>
                <w:rFonts w:ascii="Times New Roman" w:hAnsi="Times New Roman" w:cs="Times New Roman"/>
                <w:sz w:val="24"/>
                <w:szCs w:val="24"/>
              </w:rPr>
              <w:t xml:space="preserve"> 0,9% </w:t>
            </w:r>
            <w:r w:rsidRPr="003751C5">
              <w:rPr>
                <w:rFonts w:ascii="Times New Roman" w:hAnsi="Times New Roman" w:cs="Times New Roman"/>
                <w:sz w:val="24"/>
                <w:szCs w:val="24"/>
                <w:lang w:val="en-US"/>
              </w:rPr>
              <w:t>NaCl</w:t>
            </w:r>
          </w:p>
        </w:tc>
      </w:tr>
      <w:tr w:rsidR="00A71E5B" w:rsidRPr="00401539" w:rsidTr="00A71E5B">
        <w:tc>
          <w:tcPr>
            <w:tcW w:w="1418"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Мелфалан</w:t>
            </w:r>
          </w:p>
        </w:tc>
        <w:tc>
          <w:tcPr>
            <w:tcW w:w="1701"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- 1 </w:t>
            </w:r>
            <w:r>
              <w:rPr>
                <w:rFonts w:ascii="Times New Roman" w:hAnsi="Times New Roman" w:cs="Times New Roman"/>
                <w:sz w:val="24"/>
                <w:szCs w:val="24"/>
              </w:rPr>
              <w:t>день</w:t>
            </w:r>
          </w:p>
        </w:tc>
        <w:tc>
          <w:tcPr>
            <w:tcW w:w="1134"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140</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1276"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140 </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1275" w:type="dxa"/>
          </w:tcPr>
          <w:p w:rsidR="00A71E5B" w:rsidRPr="00167E76" w:rsidRDefault="00A71E5B" w:rsidP="00A71E5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140 </w:t>
            </w:r>
            <w:r w:rsidRPr="00555E26">
              <w:rPr>
                <w:rFonts w:ascii="Times New Roman" w:hAnsi="Times New Roman" w:cs="Times New Roman"/>
                <w:sz w:val="24"/>
                <w:szCs w:val="24"/>
              </w:rPr>
              <w:t>мг</w:t>
            </w:r>
            <w:r w:rsidRPr="00167E76">
              <w:rPr>
                <w:rFonts w:ascii="Times New Roman" w:hAnsi="Times New Roman" w:cs="Times New Roman"/>
                <w:sz w:val="24"/>
                <w:szCs w:val="24"/>
              </w:rPr>
              <w:t>/</w:t>
            </w:r>
            <w:r w:rsidRPr="00555E26">
              <w:rPr>
                <w:rFonts w:ascii="Times New Roman" w:hAnsi="Times New Roman" w:cs="Times New Roman"/>
                <w:sz w:val="24"/>
                <w:szCs w:val="24"/>
              </w:rPr>
              <w:t>м</w:t>
            </w:r>
            <w:r w:rsidRPr="00167E76">
              <w:rPr>
                <w:rFonts w:ascii="Times New Roman" w:hAnsi="Times New Roman" w:cs="Times New Roman"/>
                <w:sz w:val="24"/>
                <w:szCs w:val="24"/>
                <w:vertAlign w:val="superscript"/>
              </w:rPr>
              <w:t>2</w:t>
            </w:r>
          </w:p>
        </w:tc>
        <w:tc>
          <w:tcPr>
            <w:tcW w:w="2659" w:type="dxa"/>
          </w:tcPr>
          <w:p w:rsidR="00A71E5B" w:rsidRPr="00C17B4D" w:rsidRDefault="00A71E5B" w:rsidP="00A71E5B">
            <w:pPr>
              <w:pStyle w:val="a3"/>
              <w:spacing w:line="360" w:lineRule="auto"/>
              <w:ind w:left="0"/>
              <w:jc w:val="both"/>
              <w:rPr>
                <w:rFonts w:ascii="Times New Roman" w:hAnsi="Times New Roman" w:cs="Times New Roman"/>
                <w:sz w:val="24"/>
                <w:szCs w:val="24"/>
              </w:rPr>
            </w:pPr>
            <w:r w:rsidRPr="003751C5">
              <w:rPr>
                <w:rFonts w:ascii="Times New Roman" w:hAnsi="Times New Roman" w:cs="Times New Roman"/>
                <w:sz w:val="24"/>
                <w:szCs w:val="24"/>
              </w:rPr>
              <w:t>Вводится</w:t>
            </w:r>
            <w:r w:rsidRPr="00C17B4D">
              <w:rPr>
                <w:rFonts w:ascii="Times New Roman" w:hAnsi="Times New Roman" w:cs="Times New Roman"/>
                <w:sz w:val="24"/>
                <w:szCs w:val="24"/>
              </w:rPr>
              <w:t xml:space="preserve"> </w:t>
            </w:r>
            <w:r>
              <w:rPr>
                <w:rFonts w:ascii="Times New Roman" w:hAnsi="Times New Roman" w:cs="Times New Roman"/>
                <w:sz w:val="24"/>
                <w:szCs w:val="24"/>
              </w:rPr>
              <w:t>в</w:t>
            </w:r>
            <w:r w:rsidRPr="00C17B4D">
              <w:rPr>
                <w:rFonts w:ascii="Times New Roman" w:hAnsi="Times New Roman" w:cs="Times New Roman"/>
                <w:sz w:val="24"/>
                <w:szCs w:val="24"/>
              </w:rPr>
              <w:t>/</w:t>
            </w:r>
            <w:r>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виде</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инфузии</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в</w:t>
            </w:r>
            <w:r w:rsidRPr="00C17B4D">
              <w:rPr>
                <w:rFonts w:ascii="Times New Roman" w:hAnsi="Times New Roman" w:cs="Times New Roman"/>
                <w:sz w:val="24"/>
                <w:szCs w:val="24"/>
              </w:rPr>
              <w:t xml:space="preserve"> </w:t>
            </w:r>
            <w:r w:rsidRPr="003751C5">
              <w:rPr>
                <w:rFonts w:ascii="Times New Roman" w:hAnsi="Times New Roman" w:cs="Times New Roman"/>
                <w:sz w:val="24"/>
                <w:szCs w:val="24"/>
              </w:rPr>
              <w:t>течение</w:t>
            </w:r>
            <w:r w:rsidRPr="00C17B4D">
              <w:rPr>
                <w:rFonts w:ascii="Times New Roman" w:hAnsi="Times New Roman" w:cs="Times New Roman"/>
                <w:sz w:val="24"/>
                <w:szCs w:val="24"/>
              </w:rPr>
              <w:t xml:space="preserve"> 1</w:t>
            </w:r>
            <w:r w:rsidRPr="003751C5">
              <w:rPr>
                <w:rFonts w:ascii="Times New Roman" w:hAnsi="Times New Roman" w:cs="Times New Roman"/>
                <w:sz w:val="24"/>
                <w:szCs w:val="24"/>
              </w:rPr>
              <w:t>ч</w:t>
            </w:r>
            <w:r w:rsidRPr="00C17B4D">
              <w:rPr>
                <w:rFonts w:ascii="Times New Roman" w:hAnsi="Times New Roman" w:cs="Times New Roman"/>
                <w:sz w:val="24"/>
                <w:szCs w:val="24"/>
              </w:rPr>
              <w:t xml:space="preserve"> </w:t>
            </w:r>
            <w:r>
              <w:rPr>
                <w:rFonts w:ascii="Times New Roman" w:hAnsi="Times New Roman" w:cs="Times New Roman"/>
                <w:sz w:val="24"/>
                <w:szCs w:val="24"/>
              </w:rPr>
              <w:t>в</w:t>
            </w:r>
            <w:r w:rsidRPr="00C17B4D">
              <w:rPr>
                <w:rFonts w:ascii="Times New Roman" w:hAnsi="Times New Roman" w:cs="Times New Roman"/>
                <w:sz w:val="24"/>
                <w:szCs w:val="24"/>
              </w:rPr>
              <w:t xml:space="preserve"> 500 </w:t>
            </w:r>
            <w:r>
              <w:rPr>
                <w:rFonts w:ascii="Times New Roman" w:hAnsi="Times New Roman" w:cs="Times New Roman"/>
                <w:sz w:val="24"/>
                <w:szCs w:val="24"/>
              </w:rPr>
              <w:t>мл</w:t>
            </w:r>
            <w:r w:rsidRPr="00C17B4D">
              <w:rPr>
                <w:rFonts w:ascii="Times New Roman" w:hAnsi="Times New Roman" w:cs="Times New Roman"/>
                <w:sz w:val="24"/>
                <w:szCs w:val="24"/>
              </w:rPr>
              <w:t xml:space="preserve"> 0,9% </w:t>
            </w:r>
            <w:r>
              <w:rPr>
                <w:rFonts w:ascii="Times New Roman" w:hAnsi="Times New Roman" w:cs="Times New Roman"/>
                <w:sz w:val="24"/>
                <w:szCs w:val="24"/>
                <w:lang w:val="en-US"/>
              </w:rPr>
              <w:t>NaCl</w:t>
            </w:r>
          </w:p>
        </w:tc>
      </w:tr>
    </w:tbl>
    <w:p w:rsidR="00BB6B7A" w:rsidRPr="000871CF" w:rsidRDefault="00BB6B7A" w:rsidP="00A71E5B">
      <w:pPr>
        <w:pStyle w:val="1"/>
        <w:numPr>
          <w:ilvl w:val="2"/>
          <w:numId w:val="15"/>
        </w:numPr>
        <w:spacing w:after="240"/>
        <w:jc w:val="both"/>
        <w:rPr>
          <w:rFonts w:ascii="Times New Roman" w:hAnsi="Times New Roman" w:cs="Times New Roman"/>
          <w:color w:val="auto"/>
          <w:sz w:val="24"/>
        </w:rPr>
      </w:pPr>
      <w:bookmarkStart w:id="33" w:name="_Toc44926630"/>
      <w:r w:rsidRPr="00167E76">
        <w:rPr>
          <w:rFonts w:ascii="Times New Roman" w:hAnsi="Times New Roman" w:cs="Times New Roman"/>
          <w:color w:val="auto"/>
          <w:sz w:val="24"/>
        </w:rPr>
        <w:t>Режим</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кондиционирования</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при</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первичной</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лимфоме</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центральной</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нервной</w:t>
      </w:r>
      <w:r w:rsidRPr="000871CF">
        <w:rPr>
          <w:rFonts w:ascii="Times New Roman" w:hAnsi="Times New Roman" w:cs="Times New Roman"/>
          <w:color w:val="auto"/>
          <w:sz w:val="24"/>
        </w:rPr>
        <w:t xml:space="preserve"> </w:t>
      </w:r>
      <w:r w:rsidRPr="00167E76">
        <w:rPr>
          <w:rFonts w:ascii="Times New Roman" w:hAnsi="Times New Roman" w:cs="Times New Roman"/>
          <w:color w:val="auto"/>
          <w:sz w:val="24"/>
        </w:rPr>
        <w:t>системы</w:t>
      </w:r>
      <w:bookmarkEnd w:id="33"/>
    </w:p>
    <w:p w:rsidR="002B6A8D" w:rsidRPr="00167E76" w:rsidRDefault="002B6A8D" w:rsidP="002B6A8D">
      <w:pPr>
        <w:spacing w:after="0" w:line="360" w:lineRule="auto"/>
        <w:ind w:firstLine="426"/>
        <w:jc w:val="both"/>
        <w:rPr>
          <w:rFonts w:ascii="Times New Roman" w:hAnsi="Times New Roman" w:cs="Times New Roman"/>
          <w:sz w:val="24"/>
          <w:szCs w:val="24"/>
        </w:rPr>
      </w:pPr>
      <w:r w:rsidRPr="00167E76">
        <w:rPr>
          <w:rFonts w:ascii="Times New Roman" w:hAnsi="Times New Roman" w:cs="Times New Roman"/>
          <w:sz w:val="24"/>
          <w:szCs w:val="24"/>
        </w:rPr>
        <w:t>Высокодозная</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химиотерапия</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и</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трансплантация</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аутологичных</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стволовых</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клеток</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являются</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терапевтическим</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вариантом</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для</w:t>
      </w:r>
      <w:r w:rsidRPr="000871CF">
        <w:rPr>
          <w:rFonts w:ascii="Times New Roman" w:hAnsi="Times New Roman" w:cs="Times New Roman"/>
          <w:sz w:val="24"/>
          <w:szCs w:val="24"/>
        </w:rPr>
        <w:t xml:space="preserve"> </w:t>
      </w:r>
      <w:r w:rsidRPr="00167E76">
        <w:rPr>
          <w:rFonts w:ascii="Times New Roman" w:hAnsi="Times New Roman" w:cs="Times New Roman"/>
          <w:sz w:val="24"/>
          <w:szCs w:val="24"/>
        </w:rPr>
        <w:t xml:space="preserve">пациентов с первичной лимфомой центральной нервной системы. </w:t>
      </w:r>
      <w:r w:rsidR="0056075C" w:rsidRPr="00167E76">
        <w:rPr>
          <w:rFonts w:ascii="Times New Roman" w:hAnsi="Times New Roman" w:cs="Times New Roman"/>
          <w:sz w:val="24"/>
          <w:szCs w:val="24"/>
        </w:rPr>
        <w:t>Для предтрансплантационной подготовки у этой категории больных используется режим ТВС</w:t>
      </w:r>
      <w:r w:rsidR="00FA283B" w:rsidRPr="00167E76">
        <w:rPr>
          <w:rFonts w:ascii="Times New Roman" w:hAnsi="Times New Roman" w:cs="Times New Roman"/>
          <w:sz w:val="24"/>
          <w:szCs w:val="24"/>
        </w:rPr>
        <w:t xml:space="preserve"> </w:t>
      </w:r>
      <w:r w:rsidR="0056075C" w:rsidRPr="00167E76">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{"citationItems":[{"id":"ITEM-1","itemData":{"DOI":"10.1182/blood-2014-10-604561","ISSN":"1528-0020","PMID":"25568347","abstract":"High-dose methotrexate-based chemotherapy is the mainstay of treatment of primary central nervous system lymphoma (PCNSL), but relapses remain frequent. High-dose chemotherapy (HDC) with autologous stem-cell transplant (ASCT) may provide an alternative to address chemoresistance and overcome the blood-brain barrier. In this single-center phase-2 study, newly diagnosed PCNSL patients received 5 to 7 cycles of chemotherapy with rituximab, methotrexate (3.5 g/m(2)), procarbazine, and vincristine (R-MPV). Those with a complete or partial response proceeded with consolidation HDC with thiotepa, cyclophosphamide, and busulfan, followed by ASCT and no radiotherapy. Primary end point was 1-year progression-free survival (PFS), N = 32. Median age was 57, and median Karnofsky performance status 80. Following R-MPV, objective response rate was 97%, and 26 (81%) patients proceeded with HDC-ASCT. Among all patients, median PFS and overall survival (OS) were not reached (median follow-up: 45 months). Two-year PFS was 79% (95% confidence interval [CI], 58-90), with no events observed beyond 2 years. Two-year OS was 81% (95% CI, 63-91). In transplanted patients, 2-year PFS and OS were 81%. There were 3 treatment-related deaths. Prospective neuropsychological evaluations suggested relatively stable cognitive functions posttransplant. In conclusion, this treatment was associated with excellent disease control and survival, an acceptable toxicity profile, and no evidence of neurotoxicity thus far. This trial was registered at www.clinicaltrials.gov as NCT00596154.","author":[{"dropping-particle":"","family":"Omuro","given":"Antonio","non-dropping-particle":"","parse-names":false,"suffix":""},{"dropping-particle":"","family":"Correa","given":"Denise D","non-dropping-particle":"","parse-names":false,"suffix":""},{"dropping-particle":"","family":"DeAngelis","given":"Lisa M","non-dropping-particle":"","parse-names":false,"suffix":""},{"dropping-particle":"","family":"Moskowitz","given":"Craig H","non-dropping-particle":"","parse-names":false,"suffix":""},{"dropping-particle":"","family":"Matasar","given":"Matthew J","non-dropping-particle":"","parse-names":false,"suffix":""},{"dropping-particle":"","family":"Kaley","given":"Thomas J","non-dropping-particle":"","parse-names":false,"suffix":""},{"dropping-particle":"","family":"Gavrilovic","given":"Igor T","non-dropping-particle":"","parse-names":false,"suffix":""},{"dropping-particle":"","family":"Nolan","given":"Craig","non-dropping-particle":"","parse-names":false,"suffix":""},{"dropping-particle":"","family":"Pentsova","given":"Elena","non-dropping-particle":"","parse-names":false,"suffix":""},{"dropping-particle":"","family":"Grommes","given":"Christian C","non-dropping-particle":"","parse-names":false,"suffix":""},{"dropping-particle":"","family":"Panageas","given":"Katherine S","non-dropping-particle":"","parse-names":false,"suffix":""},{"dropping-particle":"","family":"Baser","given":"Raymond E","non-dropping-particle":"","parse-names":false,"suffix":""},{"dropping-particle":"","family":"Faivre","given":"Geraldine","non-dropping-particle":"","parse-names":false,"suffix":""},{"dropping-particle":"","family":"Abrey","given":"Lauren E","non-dropping-particle":"","parse-names":false,"suffix":""},{"dropping-particle":"","family":"Sauter","given":"Craig S","non-dropping-particle":"","parse-names":false,"suffix":""}],"container-title":"Blood","id":"ITEM-1","issue":"9","issued":{"date-parts":[["2015","2","26"]]},"page":"1403-10","publisher":"Blood","title":"R-MPV followed by high-dose chemotherapy with TBC and autologous stem-cell transplant for newly diagnosed primary CNS lymphoma.","type":"article-journal","volume":"125"},"uris":["http://www.mendeley.com/documents/?uuid=96a35543-c64e-3517-8495-88bc3fe86794"]},{"id":"ITEM-2","itemData":{"DOI":"10.1002/cncr.30695","ISSN":"1097-0142","PMID":"28369839","abstract":"BACKGROUND High-dose chemotherapy and autologous stem cell transplantation (HDC-ASCT) is a therapeutic option for patients with primary central nervous system lymphoma (PCNSL). To the authors' knowledge, data are limited regarding its use among patients in first complete remission (CR1) with the CNS-directed conditioning regimen of thiotepa, busulfan, and cyclophosphamide (TBC). METHODS A retrospective analysis of patients with PCNSL in CR1 who underwent transplantation using a TBC-based conditioning regimen at 2 academic institutions was performed. RESULTS Forty-six consecutive patients who underwent HDC-ASCT while in CR1 were identified. The most common induction regimen was high-dose methotrexate plus temozolomide and rituximab (59%). No patients received whole-brain radiotherapy. A total of 40 patients (87%) received cytarabine before undergoing ASCT as either induction intensification, early consolidation therapy, or mobilization. The median time from diagnosis to transplantation was 6 months (range, 4-15 months). The median age of the patients at the time of transplantation was 59 years (range, 27-69 years). With a median follow-up of 2.7 years after ASCT (range, 6 months-7.5 years), the Kaplan-Meier estimates of 2-year overall survival and progression-free survival were 95% (95% confidence interval [95% CI], 80%-99%) and 92% (95% CI, 77%-97%), respectively. The most common toxicities were severe mucositis (35%) and bacterial infections occurring within 100 days of transplantation (35%). The estimated 2-year nonrecurrence mortality rate was 2.9% (95% CI, 0.2%-13.4%). CONCLUSIONS HDC-ASCT with a CNS-directed conditioning regimen such as TBC should be considered for patients with PCNSL who are in CR1 because this approach is associated with encouraging disease control and survival in this select patient population. Cancer 2017;123:3073-79. © 2017 American Cancer Society.","author":[{"dropping-particle":"","family":"DeFilipp","given":"Zachariah","non-dropping-particle":"","parse-names":false,"suffix":""},{"dropping-particle":"","family":"Li","given":"Shuli","non-dropping-particle":"","parse-names":false,"suffix":""},{"dropping-particle":"","family":"El-Jawahri","given":"Areej","non-dropping-particle":"","parse-names":false,"suffix":""},{"dropping-particle":"","family":"Armand","given":"Philippe","non-dropping-particle":"","parse-names":false,"suffix":""},{"dropping-particle":"","family":"Nayak","given":"Lakshmi","non-dropping-particle":"","parse-names":false,"suffix":""},{"dropping-particle":"","family":"Wang","given":"Nancy","non-dropping-particle":"","parse-names":false,"suffix":""},{"dropping-particle":"","family":"Batchelor","given":"Tracy T","non-dropping-particle":"","parse-names":false,"suffix":""},{"dropping-particle":"","family":"Chen","given":"Yi-Bin","non-dropping-particle":"","parse-names":false,"suffix":""}],"container-title":"Cancer","id":"ITEM-2","issue":"16","issued":{"date-parts":[["2017","8","15"]]},"page":"3073-3079","publisher":"Cancer","title":"High-dose chemotherapy with thiotepa, busulfan, and cyclophosphamide and autologous stem cell transplantation for patients with primary central nervous system lymphoma in first complete remission.","type":"article-journal","volume":"123"},"uris":["http://www.mendeley.com/documents/?uuid=9217952f-6a7c-3a85-9d41-7ae5e40e2299"]}],"mendeley":{"formattedCitation":"[33, 59]","plainTextFormattedCitation":"[33, 59]","previouslyFormattedCitation":"[33, 58]"},"properties":{"noteIndex":0},"schema":"https://github.com/citation-style-language/schema/raw/master/csl-citation.json"}</w:instrText>
      </w:r>
      <w:r w:rsidR="0056075C" w:rsidRPr="00167E76">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[33, 59]</w:t>
      </w:r>
      <w:r w:rsidR="0056075C" w:rsidRPr="00167E76">
        <w:rPr>
          <w:rFonts w:ascii="Times New Roman" w:hAnsi="Times New Roman" w:cs="Times New Roman"/>
          <w:sz w:val="24"/>
          <w:szCs w:val="24"/>
        </w:rPr>
        <w:fldChar w:fldCharType="end"/>
      </w:r>
      <w:r w:rsidR="0056075C" w:rsidRPr="00167E76">
        <w:rPr>
          <w:rFonts w:ascii="Times New Roman" w:hAnsi="Times New Roman" w:cs="Times New Roman"/>
          <w:sz w:val="24"/>
          <w:szCs w:val="24"/>
        </w:rPr>
        <w:t xml:space="preserve">. </w:t>
      </w:r>
      <w:r w:rsidRPr="00167E76">
        <w:rPr>
          <w:rFonts w:ascii="Times New Roman" w:hAnsi="Times New Roman" w:cs="Times New Roman"/>
          <w:sz w:val="24"/>
          <w:szCs w:val="24"/>
        </w:rPr>
        <w:t xml:space="preserve">Схема введения препаратов и дозы представлены в таблице </w:t>
      </w:r>
      <w:r w:rsidR="00566401">
        <w:rPr>
          <w:rFonts w:ascii="Times New Roman" w:hAnsi="Times New Roman" w:cs="Times New Roman"/>
          <w:sz w:val="24"/>
          <w:szCs w:val="24"/>
        </w:rPr>
        <w:t>9</w:t>
      </w:r>
      <w:r w:rsidRPr="00167E76">
        <w:rPr>
          <w:rFonts w:ascii="Times New Roman" w:hAnsi="Times New Roman" w:cs="Times New Roman"/>
          <w:sz w:val="24"/>
          <w:szCs w:val="24"/>
        </w:rPr>
        <w:t>.</w:t>
      </w:r>
    </w:p>
    <w:p w:rsidR="002B6A8D" w:rsidRPr="00167E76" w:rsidRDefault="002B6A8D" w:rsidP="002B6A8D">
      <w:pPr>
        <w:spacing w:after="0"/>
      </w:pPr>
      <w:r w:rsidRPr="00167E76">
        <w:rPr>
          <w:rFonts w:ascii="Times New Roman" w:hAnsi="Times New Roman" w:cs="Times New Roman"/>
          <w:b/>
          <w:sz w:val="24"/>
          <w:szCs w:val="24"/>
        </w:rPr>
        <w:t xml:space="preserve">Таблица </w:t>
      </w:r>
      <w:r w:rsidR="00566401">
        <w:rPr>
          <w:rFonts w:ascii="Times New Roman" w:hAnsi="Times New Roman" w:cs="Times New Roman"/>
          <w:b/>
          <w:sz w:val="24"/>
          <w:szCs w:val="24"/>
        </w:rPr>
        <w:t>9</w:t>
      </w:r>
      <w:r w:rsidRPr="00167E76">
        <w:rPr>
          <w:rFonts w:ascii="Times New Roman" w:hAnsi="Times New Roman" w:cs="Times New Roman"/>
          <w:b/>
          <w:sz w:val="24"/>
          <w:szCs w:val="24"/>
        </w:rPr>
        <w:t xml:space="preserve">. Схема предтрансплантационного кондиционирования </w:t>
      </w:r>
      <w:r w:rsidRPr="00167E76">
        <w:rPr>
          <w:rFonts w:ascii="Times New Roman" w:hAnsi="Times New Roman" w:cs="Times New Roman"/>
          <w:b/>
          <w:sz w:val="24"/>
          <w:szCs w:val="24"/>
          <w:lang w:val="en-US"/>
        </w:rPr>
        <w:t>TBC</w:t>
      </w:r>
    </w:p>
    <w:tbl>
      <w:tblPr>
        <w:tblStyle w:val="ac"/>
        <w:tblW w:w="0" w:type="auto"/>
        <w:tblInd w:w="108" w:type="dxa"/>
        <w:tblLayout w:type="fixed"/>
        <w:tblLook w:val="04A0" w:firstRow="1" w:lastRow="0" w:firstColumn="1" w:lastColumn="0" w:noHBand="0" w:noVBand="1"/>
      </w:tblPr>
      <w:tblGrid>
        <w:gridCol w:w="1418"/>
        <w:gridCol w:w="1701"/>
        <w:gridCol w:w="1134"/>
        <w:gridCol w:w="1276"/>
        <w:gridCol w:w="1275"/>
        <w:gridCol w:w="2659"/>
      </w:tblGrid>
      <w:tr w:rsidR="002B6A8D" w:rsidRPr="00167E76" w:rsidTr="00FA283B">
        <w:tc>
          <w:tcPr>
            <w:tcW w:w="1418" w:type="dxa"/>
          </w:tcPr>
          <w:p w:rsidR="002B6A8D" w:rsidRPr="00167E76" w:rsidRDefault="002B6A8D"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Препарат</w:t>
            </w:r>
          </w:p>
        </w:tc>
        <w:tc>
          <w:tcPr>
            <w:tcW w:w="1701" w:type="dxa"/>
          </w:tcPr>
          <w:p w:rsidR="002B6A8D" w:rsidRPr="00167E76" w:rsidRDefault="002B6A8D"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Дни введения перед ауто-ТГСК</w:t>
            </w:r>
          </w:p>
        </w:tc>
        <w:tc>
          <w:tcPr>
            <w:tcW w:w="1134" w:type="dxa"/>
          </w:tcPr>
          <w:p w:rsidR="002B6A8D" w:rsidRPr="00167E76" w:rsidRDefault="002B6A8D"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Разовая доза</w:t>
            </w:r>
          </w:p>
        </w:tc>
        <w:tc>
          <w:tcPr>
            <w:tcW w:w="1276" w:type="dxa"/>
          </w:tcPr>
          <w:p w:rsidR="002B6A8D" w:rsidRPr="00167E76" w:rsidRDefault="002B6A8D"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Суточная доза</w:t>
            </w:r>
          </w:p>
        </w:tc>
        <w:tc>
          <w:tcPr>
            <w:tcW w:w="1275" w:type="dxa"/>
          </w:tcPr>
          <w:p w:rsidR="002B6A8D" w:rsidRPr="00167E76" w:rsidRDefault="002B6A8D"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Курсовая доза</w:t>
            </w:r>
          </w:p>
        </w:tc>
        <w:tc>
          <w:tcPr>
            <w:tcW w:w="2659" w:type="dxa"/>
          </w:tcPr>
          <w:p w:rsidR="002B6A8D" w:rsidRPr="00167E76" w:rsidRDefault="002B6A8D"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Особенности введения</w:t>
            </w:r>
          </w:p>
        </w:tc>
      </w:tr>
      <w:tr w:rsidR="002B6A8D" w:rsidRPr="00167E76" w:rsidTr="00FA283B">
        <w:tc>
          <w:tcPr>
            <w:tcW w:w="1418" w:type="dxa"/>
          </w:tcPr>
          <w:p w:rsidR="002B6A8D" w:rsidRPr="00167E76" w:rsidRDefault="002B6A8D"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Тиотепа</w:t>
            </w:r>
          </w:p>
        </w:tc>
        <w:tc>
          <w:tcPr>
            <w:tcW w:w="1701" w:type="dxa"/>
          </w:tcPr>
          <w:p w:rsidR="002B6A8D" w:rsidRPr="00167E76" w:rsidRDefault="0056075C" w:rsidP="00FA283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w:t>
            </w:r>
            <w:r w:rsidR="00FA283B" w:rsidRPr="00167E76">
              <w:rPr>
                <w:rFonts w:ascii="Times New Roman" w:hAnsi="Times New Roman" w:cs="Times New Roman"/>
                <w:sz w:val="24"/>
                <w:szCs w:val="24"/>
              </w:rPr>
              <w:t>9</w:t>
            </w:r>
            <w:r w:rsidRPr="00167E76">
              <w:rPr>
                <w:rFonts w:ascii="Times New Roman" w:hAnsi="Times New Roman" w:cs="Times New Roman"/>
                <w:sz w:val="24"/>
                <w:szCs w:val="24"/>
              </w:rPr>
              <w:t>, -</w:t>
            </w:r>
            <w:r w:rsidR="00FA283B" w:rsidRPr="00167E76">
              <w:rPr>
                <w:rFonts w:ascii="Times New Roman" w:hAnsi="Times New Roman" w:cs="Times New Roman"/>
                <w:sz w:val="24"/>
                <w:szCs w:val="24"/>
              </w:rPr>
              <w:t>8</w:t>
            </w:r>
            <w:r w:rsidRPr="00167E76">
              <w:rPr>
                <w:rFonts w:ascii="Times New Roman" w:hAnsi="Times New Roman" w:cs="Times New Roman"/>
                <w:sz w:val="24"/>
                <w:szCs w:val="24"/>
              </w:rPr>
              <w:t>, -</w:t>
            </w:r>
            <w:r w:rsidR="00FA283B" w:rsidRPr="00167E76">
              <w:rPr>
                <w:rFonts w:ascii="Times New Roman" w:hAnsi="Times New Roman" w:cs="Times New Roman"/>
                <w:sz w:val="24"/>
                <w:szCs w:val="24"/>
              </w:rPr>
              <w:t>7</w:t>
            </w:r>
            <w:r w:rsidR="002B6A8D" w:rsidRPr="00167E76">
              <w:rPr>
                <w:rFonts w:ascii="Times New Roman" w:hAnsi="Times New Roman" w:cs="Times New Roman"/>
                <w:sz w:val="24"/>
                <w:szCs w:val="24"/>
              </w:rPr>
              <w:t xml:space="preserve"> д</w:t>
            </w:r>
            <w:r w:rsidRPr="00167E76">
              <w:rPr>
                <w:rFonts w:ascii="Times New Roman" w:hAnsi="Times New Roman" w:cs="Times New Roman"/>
                <w:sz w:val="24"/>
                <w:szCs w:val="24"/>
              </w:rPr>
              <w:t>ни</w:t>
            </w:r>
          </w:p>
        </w:tc>
        <w:tc>
          <w:tcPr>
            <w:tcW w:w="1134" w:type="dxa"/>
          </w:tcPr>
          <w:p w:rsidR="002B6A8D" w:rsidRPr="00167E76" w:rsidRDefault="0056075C"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25</w:t>
            </w:r>
            <w:r w:rsidR="002B6A8D" w:rsidRPr="00167E76">
              <w:rPr>
                <w:rFonts w:ascii="Times New Roman" w:hAnsi="Times New Roman" w:cs="Times New Roman"/>
                <w:sz w:val="24"/>
                <w:szCs w:val="24"/>
              </w:rPr>
              <w:t>0мг/м</w:t>
            </w:r>
            <w:r w:rsidR="002B6A8D" w:rsidRPr="00167E76">
              <w:rPr>
                <w:rFonts w:ascii="Times New Roman" w:hAnsi="Times New Roman" w:cs="Times New Roman"/>
                <w:sz w:val="24"/>
                <w:szCs w:val="24"/>
                <w:vertAlign w:val="superscript"/>
              </w:rPr>
              <w:t>2</w:t>
            </w:r>
          </w:p>
        </w:tc>
        <w:tc>
          <w:tcPr>
            <w:tcW w:w="1276" w:type="dxa"/>
          </w:tcPr>
          <w:p w:rsidR="002B6A8D" w:rsidRPr="00167E76" w:rsidRDefault="0056075C"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25</w:t>
            </w:r>
            <w:r w:rsidR="002B6A8D" w:rsidRPr="00167E76">
              <w:rPr>
                <w:rFonts w:ascii="Times New Roman" w:hAnsi="Times New Roman" w:cs="Times New Roman"/>
                <w:sz w:val="24"/>
                <w:szCs w:val="24"/>
              </w:rPr>
              <w:t>0 мг/м</w:t>
            </w:r>
            <w:r w:rsidR="002B6A8D" w:rsidRPr="00167E76">
              <w:rPr>
                <w:rFonts w:ascii="Times New Roman" w:hAnsi="Times New Roman" w:cs="Times New Roman"/>
                <w:sz w:val="24"/>
                <w:szCs w:val="24"/>
                <w:vertAlign w:val="superscript"/>
              </w:rPr>
              <w:t>2</w:t>
            </w:r>
          </w:p>
        </w:tc>
        <w:tc>
          <w:tcPr>
            <w:tcW w:w="1275" w:type="dxa"/>
          </w:tcPr>
          <w:p w:rsidR="002B6A8D" w:rsidRPr="00167E76" w:rsidRDefault="0056075C"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750</w:t>
            </w:r>
            <w:r w:rsidR="002B6A8D" w:rsidRPr="00167E76">
              <w:rPr>
                <w:rFonts w:ascii="Times New Roman" w:hAnsi="Times New Roman" w:cs="Times New Roman"/>
                <w:sz w:val="24"/>
                <w:szCs w:val="24"/>
              </w:rPr>
              <w:t xml:space="preserve"> мг/м</w:t>
            </w:r>
            <w:r w:rsidR="002B6A8D" w:rsidRPr="00167E76">
              <w:rPr>
                <w:rFonts w:ascii="Times New Roman" w:hAnsi="Times New Roman" w:cs="Times New Roman"/>
                <w:sz w:val="24"/>
                <w:szCs w:val="24"/>
                <w:vertAlign w:val="superscript"/>
              </w:rPr>
              <w:t>2</w:t>
            </w:r>
          </w:p>
        </w:tc>
        <w:tc>
          <w:tcPr>
            <w:tcW w:w="2659" w:type="dxa"/>
          </w:tcPr>
          <w:p w:rsidR="002B6A8D" w:rsidRPr="00167E76" w:rsidRDefault="00FA283B" w:rsidP="0056075C">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Вводится в/в в виде инфузии</w:t>
            </w:r>
          </w:p>
        </w:tc>
      </w:tr>
      <w:tr w:rsidR="002B6A8D" w:rsidRPr="00167E76" w:rsidTr="00FA283B">
        <w:tc>
          <w:tcPr>
            <w:tcW w:w="1418" w:type="dxa"/>
          </w:tcPr>
          <w:p w:rsidR="002B6A8D" w:rsidRPr="00167E76" w:rsidRDefault="002B6A8D"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Бусульфан</w:t>
            </w:r>
          </w:p>
        </w:tc>
        <w:tc>
          <w:tcPr>
            <w:tcW w:w="1701" w:type="dxa"/>
          </w:tcPr>
          <w:p w:rsidR="002B6A8D" w:rsidRPr="00167E76" w:rsidRDefault="002B6A8D" w:rsidP="00FA283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w:t>
            </w:r>
            <w:r w:rsidR="00FA283B" w:rsidRPr="00167E76">
              <w:rPr>
                <w:rFonts w:ascii="Times New Roman" w:hAnsi="Times New Roman" w:cs="Times New Roman"/>
                <w:sz w:val="24"/>
                <w:szCs w:val="24"/>
              </w:rPr>
              <w:t>6</w:t>
            </w:r>
            <w:r w:rsidRPr="00167E76">
              <w:rPr>
                <w:rFonts w:ascii="Times New Roman" w:hAnsi="Times New Roman" w:cs="Times New Roman"/>
                <w:sz w:val="24"/>
                <w:szCs w:val="24"/>
              </w:rPr>
              <w:t>, -</w:t>
            </w:r>
            <w:r w:rsidR="00FA283B" w:rsidRPr="00167E76">
              <w:rPr>
                <w:rFonts w:ascii="Times New Roman" w:hAnsi="Times New Roman" w:cs="Times New Roman"/>
                <w:sz w:val="24"/>
                <w:szCs w:val="24"/>
              </w:rPr>
              <w:t>5</w:t>
            </w:r>
            <w:r w:rsidRPr="00167E76">
              <w:rPr>
                <w:rFonts w:ascii="Times New Roman" w:hAnsi="Times New Roman" w:cs="Times New Roman"/>
                <w:sz w:val="24"/>
                <w:szCs w:val="24"/>
              </w:rPr>
              <w:t>, -</w:t>
            </w:r>
            <w:r w:rsidR="00FA283B" w:rsidRPr="00167E76">
              <w:rPr>
                <w:rFonts w:ascii="Times New Roman" w:hAnsi="Times New Roman" w:cs="Times New Roman"/>
                <w:sz w:val="24"/>
                <w:szCs w:val="24"/>
              </w:rPr>
              <w:t>4</w:t>
            </w:r>
            <w:r w:rsidRPr="00167E76">
              <w:rPr>
                <w:rFonts w:ascii="Times New Roman" w:hAnsi="Times New Roman" w:cs="Times New Roman"/>
                <w:sz w:val="24"/>
                <w:szCs w:val="24"/>
              </w:rPr>
              <w:t xml:space="preserve"> дни</w:t>
            </w:r>
          </w:p>
        </w:tc>
        <w:tc>
          <w:tcPr>
            <w:tcW w:w="1134" w:type="dxa"/>
          </w:tcPr>
          <w:p w:rsidR="002B6A8D" w:rsidRPr="00167E76" w:rsidRDefault="000C7299" w:rsidP="00FA283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 xml:space="preserve">0,8 </w:t>
            </w:r>
            <w:r w:rsidR="002B6A8D" w:rsidRPr="00167E76">
              <w:rPr>
                <w:rFonts w:ascii="Times New Roman" w:hAnsi="Times New Roman" w:cs="Times New Roman"/>
                <w:sz w:val="24"/>
                <w:szCs w:val="24"/>
              </w:rPr>
              <w:t>мг/</w:t>
            </w:r>
            <w:r w:rsidR="00FA283B" w:rsidRPr="00167E76">
              <w:rPr>
                <w:rFonts w:ascii="Times New Roman" w:hAnsi="Times New Roman" w:cs="Times New Roman"/>
                <w:sz w:val="24"/>
                <w:szCs w:val="24"/>
              </w:rPr>
              <w:t>кг</w:t>
            </w:r>
          </w:p>
        </w:tc>
        <w:tc>
          <w:tcPr>
            <w:tcW w:w="1276" w:type="dxa"/>
          </w:tcPr>
          <w:p w:rsidR="002B6A8D" w:rsidRPr="00167E76" w:rsidRDefault="00FA283B"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3,2</w:t>
            </w:r>
            <w:r w:rsidR="002B6A8D" w:rsidRPr="00167E76">
              <w:rPr>
                <w:rFonts w:ascii="Times New Roman" w:hAnsi="Times New Roman" w:cs="Times New Roman"/>
                <w:sz w:val="24"/>
                <w:szCs w:val="24"/>
              </w:rPr>
              <w:t xml:space="preserve"> мг/</w:t>
            </w:r>
            <w:r w:rsidRPr="00167E76">
              <w:rPr>
                <w:rFonts w:ascii="Times New Roman" w:hAnsi="Times New Roman" w:cs="Times New Roman"/>
                <w:sz w:val="24"/>
                <w:szCs w:val="24"/>
              </w:rPr>
              <w:t>кг</w:t>
            </w:r>
          </w:p>
        </w:tc>
        <w:tc>
          <w:tcPr>
            <w:tcW w:w="1275" w:type="dxa"/>
          </w:tcPr>
          <w:p w:rsidR="002B6A8D" w:rsidRPr="00167E76" w:rsidRDefault="000C7299"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9,6</w:t>
            </w:r>
            <w:r w:rsidR="00FA283B" w:rsidRPr="00167E76">
              <w:rPr>
                <w:rFonts w:ascii="Times New Roman" w:hAnsi="Times New Roman" w:cs="Times New Roman"/>
                <w:sz w:val="24"/>
                <w:szCs w:val="24"/>
              </w:rPr>
              <w:t xml:space="preserve"> мг/кг</w:t>
            </w:r>
          </w:p>
        </w:tc>
        <w:tc>
          <w:tcPr>
            <w:tcW w:w="2659" w:type="dxa"/>
          </w:tcPr>
          <w:p w:rsidR="00167E76" w:rsidRDefault="00167E76" w:rsidP="00B5291B">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Вводится в/в</w:t>
            </w:r>
            <w:r>
              <w:rPr>
                <w:rFonts w:ascii="Times New Roman" w:hAnsi="Times New Roman" w:cs="Times New Roman"/>
                <w:sz w:val="24"/>
                <w:szCs w:val="24"/>
              </w:rPr>
              <w:t xml:space="preserve"> </w:t>
            </w:r>
            <w:r w:rsidRPr="00167E76">
              <w:rPr>
                <w:rFonts w:ascii="Times New Roman" w:hAnsi="Times New Roman" w:cs="Times New Roman"/>
                <w:sz w:val="24"/>
                <w:szCs w:val="24"/>
              </w:rPr>
              <w:t>в виде инфузии</w:t>
            </w:r>
            <w:r>
              <w:rPr>
                <w:rFonts w:ascii="Times New Roman" w:hAnsi="Times New Roman" w:cs="Times New Roman"/>
                <w:sz w:val="24"/>
                <w:szCs w:val="24"/>
              </w:rPr>
              <w:t xml:space="preserve">. </w:t>
            </w:r>
          </w:p>
          <w:p w:rsidR="002B6A8D" w:rsidRPr="00167E76" w:rsidRDefault="00167E76" w:rsidP="00B5291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167E76">
              <w:rPr>
                <w:rFonts w:ascii="Times New Roman" w:hAnsi="Times New Roman" w:cs="Times New Roman"/>
                <w:szCs w:val="24"/>
              </w:rPr>
              <w:t xml:space="preserve">при отсутствии в/в формы </w:t>
            </w:r>
            <w:r w:rsidR="00B5291B">
              <w:rPr>
                <w:rFonts w:ascii="Times New Roman" w:hAnsi="Times New Roman" w:cs="Times New Roman"/>
                <w:szCs w:val="24"/>
              </w:rPr>
              <w:t xml:space="preserve">возможно </w:t>
            </w:r>
            <w:r w:rsidRPr="00167E76">
              <w:rPr>
                <w:rFonts w:ascii="Times New Roman" w:hAnsi="Times New Roman" w:cs="Times New Roman"/>
                <w:szCs w:val="24"/>
              </w:rPr>
              <w:t>заменить пероральной</w:t>
            </w:r>
            <w:r>
              <w:rPr>
                <w:rFonts w:ascii="Times New Roman" w:hAnsi="Times New Roman" w:cs="Times New Roman"/>
                <w:sz w:val="24"/>
                <w:szCs w:val="24"/>
              </w:rPr>
              <w:t>).</w:t>
            </w:r>
          </w:p>
        </w:tc>
      </w:tr>
      <w:tr w:rsidR="002B6A8D" w:rsidRPr="00167E76" w:rsidTr="00FA283B">
        <w:tc>
          <w:tcPr>
            <w:tcW w:w="1418" w:type="dxa"/>
          </w:tcPr>
          <w:p w:rsidR="002B6A8D" w:rsidRPr="00167E76" w:rsidRDefault="002B6A8D"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Циклофосфан</w:t>
            </w:r>
          </w:p>
        </w:tc>
        <w:tc>
          <w:tcPr>
            <w:tcW w:w="1701" w:type="dxa"/>
          </w:tcPr>
          <w:p w:rsidR="002B6A8D" w:rsidRPr="00167E76" w:rsidRDefault="002B6A8D"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-3, -2 дни</w:t>
            </w:r>
          </w:p>
        </w:tc>
        <w:tc>
          <w:tcPr>
            <w:tcW w:w="1134" w:type="dxa"/>
          </w:tcPr>
          <w:p w:rsidR="002B6A8D" w:rsidRPr="00167E76" w:rsidRDefault="000C7299" w:rsidP="00FA283B">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20</w:t>
            </w:r>
            <w:r w:rsidR="00FA283B" w:rsidRPr="00167E76">
              <w:rPr>
                <w:rFonts w:ascii="Times New Roman" w:hAnsi="Times New Roman" w:cs="Times New Roman"/>
                <w:sz w:val="24"/>
                <w:szCs w:val="24"/>
              </w:rPr>
              <w:t xml:space="preserve"> </w:t>
            </w:r>
            <w:r w:rsidR="002B6A8D" w:rsidRPr="00167E76">
              <w:rPr>
                <w:rFonts w:ascii="Times New Roman" w:hAnsi="Times New Roman" w:cs="Times New Roman"/>
                <w:sz w:val="24"/>
                <w:szCs w:val="24"/>
              </w:rPr>
              <w:t>мг/</w:t>
            </w:r>
            <w:r w:rsidR="00FA283B" w:rsidRPr="00167E76">
              <w:rPr>
                <w:rFonts w:ascii="Times New Roman" w:hAnsi="Times New Roman" w:cs="Times New Roman"/>
                <w:sz w:val="24"/>
                <w:szCs w:val="24"/>
              </w:rPr>
              <w:t>кг</w:t>
            </w:r>
          </w:p>
        </w:tc>
        <w:tc>
          <w:tcPr>
            <w:tcW w:w="1276" w:type="dxa"/>
          </w:tcPr>
          <w:p w:rsidR="002B6A8D" w:rsidRPr="00167E76" w:rsidRDefault="00FA283B" w:rsidP="0056075C">
            <w:pPr>
              <w:pStyle w:val="a3"/>
              <w:spacing w:line="360" w:lineRule="auto"/>
              <w:ind w:left="0"/>
              <w:jc w:val="center"/>
              <w:rPr>
                <w:rFonts w:ascii="Times New Roman" w:hAnsi="Times New Roman" w:cs="Times New Roman"/>
                <w:sz w:val="24"/>
                <w:szCs w:val="24"/>
              </w:rPr>
            </w:pPr>
            <w:r w:rsidRPr="00167E76">
              <w:rPr>
                <w:rFonts w:ascii="Times New Roman" w:hAnsi="Times New Roman" w:cs="Times New Roman"/>
                <w:sz w:val="24"/>
                <w:szCs w:val="24"/>
              </w:rPr>
              <w:t>60 мг/кг</w:t>
            </w:r>
          </w:p>
        </w:tc>
        <w:tc>
          <w:tcPr>
            <w:tcW w:w="1275" w:type="dxa"/>
          </w:tcPr>
          <w:p w:rsidR="002B6A8D" w:rsidRPr="00167E76" w:rsidRDefault="00167E76" w:rsidP="0056075C">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w:t>
            </w:r>
            <w:r w:rsidR="00FA283B" w:rsidRPr="00167E76">
              <w:rPr>
                <w:rFonts w:ascii="Times New Roman" w:hAnsi="Times New Roman" w:cs="Times New Roman"/>
                <w:sz w:val="24"/>
                <w:szCs w:val="24"/>
              </w:rPr>
              <w:t xml:space="preserve"> мг/кг</w:t>
            </w:r>
          </w:p>
        </w:tc>
        <w:tc>
          <w:tcPr>
            <w:tcW w:w="2659" w:type="dxa"/>
          </w:tcPr>
          <w:p w:rsidR="002B6A8D" w:rsidRPr="00167E76" w:rsidRDefault="002B6A8D" w:rsidP="00FA283B">
            <w:pPr>
              <w:pStyle w:val="a3"/>
              <w:spacing w:line="360" w:lineRule="auto"/>
              <w:ind w:left="0"/>
              <w:jc w:val="both"/>
              <w:rPr>
                <w:rFonts w:ascii="Times New Roman" w:hAnsi="Times New Roman" w:cs="Times New Roman"/>
                <w:sz w:val="24"/>
                <w:szCs w:val="24"/>
              </w:rPr>
            </w:pPr>
            <w:r w:rsidRPr="00167E76">
              <w:rPr>
                <w:rFonts w:ascii="Times New Roman" w:hAnsi="Times New Roman" w:cs="Times New Roman"/>
                <w:sz w:val="24"/>
                <w:szCs w:val="24"/>
              </w:rPr>
              <w:t>Вводится в/в в виде инфузии</w:t>
            </w:r>
            <w:r w:rsidR="00FA283B" w:rsidRPr="00167E76">
              <w:rPr>
                <w:rFonts w:ascii="Times New Roman" w:hAnsi="Times New Roman" w:cs="Times New Roman"/>
                <w:sz w:val="24"/>
                <w:szCs w:val="24"/>
              </w:rPr>
              <w:t>.</w:t>
            </w:r>
          </w:p>
        </w:tc>
      </w:tr>
    </w:tbl>
    <w:p w:rsidR="002B6A8D" w:rsidRDefault="002B6A8D" w:rsidP="002B6A8D"/>
    <w:p w:rsidR="004939FE" w:rsidRPr="00167E76" w:rsidRDefault="004939FE" w:rsidP="002B6A8D"/>
    <w:p w:rsidR="005E14BE" w:rsidRPr="005E14BE" w:rsidRDefault="00BB6B7A" w:rsidP="005E14BE">
      <w:pPr>
        <w:pStyle w:val="1"/>
        <w:numPr>
          <w:ilvl w:val="2"/>
          <w:numId w:val="15"/>
        </w:numPr>
        <w:spacing w:before="0" w:after="240"/>
        <w:jc w:val="both"/>
        <w:rPr>
          <w:rFonts w:ascii="Times New Roman" w:hAnsi="Times New Roman" w:cs="Times New Roman"/>
          <w:color w:val="auto"/>
          <w:sz w:val="24"/>
        </w:rPr>
      </w:pPr>
      <w:bookmarkStart w:id="34" w:name="_Toc44926631"/>
      <w:r w:rsidRPr="005E14BE">
        <w:rPr>
          <w:rFonts w:ascii="Times New Roman" w:hAnsi="Times New Roman" w:cs="Times New Roman"/>
          <w:color w:val="auto"/>
          <w:sz w:val="24"/>
        </w:rPr>
        <w:lastRenderedPageBreak/>
        <w:t xml:space="preserve">Режим кондиционирования при </w:t>
      </w:r>
      <w:r w:rsidR="00206B66">
        <w:rPr>
          <w:rFonts w:ascii="Times New Roman" w:hAnsi="Times New Roman" w:cs="Times New Roman"/>
          <w:color w:val="auto"/>
          <w:sz w:val="24"/>
        </w:rPr>
        <w:t xml:space="preserve">ОМЛ и </w:t>
      </w:r>
      <w:r w:rsidRPr="005E14BE">
        <w:rPr>
          <w:rFonts w:ascii="Times New Roman" w:hAnsi="Times New Roman" w:cs="Times New Roman"/>
          <w:color w:val="auto"/>
          <w:sz w:val="24"/>
        </w:rPr>
        <w:t>остром промиелоцитарном лейкозе</w:t>
      </w:r>
      <w:bookmarkEnd w:id="34"/>
    </w:p>
    <w:p w:rsidR="00206B66" w:rsidRPr="005E14BE" w:rsidRDefault="001E4903" w:rsidP="00206B66">
      <w:pPr>
        <w:pStyle w:val="a3"/>
        <w:spacing w:line="360" w:lineRule="auto"/>
        <w:ind w:left="0" w:firstLine="709"/>
        <w:jc w:val="both"/>
        <w:rPr>
          <w:rFonts w:ascii="Times New Roman" w:hAnsi="Times New Roman" w:cs="Times New Roman"/>
          <w:sz w:val="24"/>
          <w:szCs w:val="24"/>
        </w:rPr>
      </w:pPr>
      <w:r w:rsidRPr="001E4903">
        <w:rPr>
          <w:rFonts w:ascii="Times New Roman" w:hAnsi="Times New Roman" w:cs="Times New Roman"/>
          <w:sz w:val="24"/>
          <w:szCs w:val="24"/>
        </w:rPr>
        <w:t>Европейско</w:t>
      </w:r>
      <w:r>
        <w:rPr>
          <w:rFonts w:ascii="Times New Roman" w:hAnsi="Times New Roman" w:cs="Times New Roman"/>
          <w:sz w:val="24"/>
          <w:szCs w:val="24"/>
        </w:rPr>
        <w:t>е</w:t>
      </w:r>
      <w:r w:rsidRPr="001E4903">
        <w:rPr>
          <w:rFonts w:ascii="Times New Roman" w:hAnsi="Times New Roman" w:cs="Times New Roman"/>
          <w:sz w:val="24"/>
          <w:szCs w:val="24"/>
        </w:rPr>
        <w:t xml:space="preserve"> обществ</w:t>
      </w:r>
      <w:r>
        <w:rPr>
          <w:rFonts w:ascii="Times New Roman" w:hAnsi="Times New Roman" w:cs="Times New Roman"/>
          <w:sz w:val="24"/>
          <w:szCs w:val="24"/>
        </w:rPr>
        <w:t>о</w:t>
      </w:r>
      <w:r w:rsidRPr="001E4903">
        <w:rPr>
          <w:rFonts w:ascii="Times New Roman" w:hAnsi="Times New Roman" w:cs="Times New Roman"/>
          <w:sz w:val="24"/>
          <w:szCs w:val="24"/>
        </w:rPr>
        <w:t xml:space="preserve"> трансплантации клеток крови и костного мозга (ЕВМТ)</w:t>
      </w:r>
      <w:r>
        <w:rPr>
          <w:rFonts w:ascii="Times New Roman" w:hAnsi="Times New Roman" w:cs="Times New Roman"/>
          <w:sz w:val="24"/>
          <w:szCs w:val="24"/>
        </w:rPr>
        <w:t xml:space="preserve"> рекомендует использовать </w:t>
      </w:r>
      <w:r w:rsidR="005E14BE">
        <w:rPr>
          <w:rFonts w:ascii="Times New Roman" w:hAnsi="Times New Roman" w:cs="Times New Roman"/>
          <w:sz w:val="24"/>
          <w:szCs w:val="24"/>
        </w:rPr>
        <w:t>миело</w:t>
      </w:r>
      <w:r>
        <w:rPr>
          <w:rFonts w:ascii="Times New Roman" w:hAnsi="Times New Roman" w:cs="Times New Roman"/>
          <w:sz w:val="24"/>
          <w:szCs w:val="24"/>
        </w:rPr>
        <w:t>аблативные режимы предтрансплантационного кондиционирования перед выполнением ауто-ТГСК у больных острым промиелоцитарным лейкозом. Предпочтительно использовать режимы</w:t>
      </w:r>
      <w:r w:rsidR="005E14BE">
        <w:rPr>
          <w:rFonts w:ascii="Times New Roman" w:hAnsi="Times New Roman" w:cs="Times New Roman"/>
          <w:sz w:val="24"/>
          <w:szCs w:val="24"/>
        </w:rPr>
        <w:t>,</w:t>
      </w:r>
      <w:r>
        <w:rPr>
          <w:rFonts w:ascii="Times New Roman" w:hAnsi="Times New Roman" w:cs="Times New Roman"/>
          <w:sz w:val="24"/>
          <w:szCs w:val="24"/>
        </w:rPr>
        <w:t xml:space="preserve"> содержащие</w:t>
      </w:r>
      <w:r w:rsidR="00167E76" w:rsidRPr="00167E76">
        <w:rPr>
          <w:rFonts w:ascii="Times New Roman" w:hAnsi="Times New Roman" w:cs="Times New Roman"/>
          <w:sz w:val="24"/>
          <w:szCs w:val="24"/>
        </w:rPr>
        <w:t xml:space="preserve"> </w:t>
      </w:r>
      <w:r>
        <w:rPr>
          <w:rFonts w:ascii="Times New Roman" w:hAnsi="Times New Roman" w:cs="Times New Roman"/>
          <w:sz w:val="24"/>
          <w:szCs w:val="24"/>
        </w:rPr>
        <w:t xml:space="preserve">высокие дозы </w:t>
      </w:r>
      <w:r w:rsidR="005E14BE">
        <w:rPr>
          <w:rFonts w:ascii="Times New Roman" w:hAnsi="Times New Roman" w:cs="Times New Roman"/>
          <w:sz w:val="24"/>
          <w:szCs w:val="24"/>
        </w:rPr>
        <w:t xml:space="preserve">Ara-C, </w:t>
      </w:r>
      <w:r w:rsidR="00167E76" w:rsidRPr="00167E76">
        <w:rPr>
          <w:rFonts w:ascii="Times New Roman" w:hAnsi="Times New Roman" w:cs="Times New Roman"/>
          <w:sz w:val="24"/>
          <w:szCs w:val="24"/>
        </w:rPr>
        <w:t>например, BEA</w:t>
      </w:r>
      <w:r>
        <w:rPr>
          <w:rFonts w:ascii="Times New Roman" w:hAnsi="Times New Roman" w:cs="Times New Roman"/>
          <w:sz w:val="24"/>
          <w:szCs w:val="24"/>
        </w:rPr>
        <w:t>: BU/VP</w:t>
      </w:r>
      <w:r w:rsidR="005E14BE">
        <w:rPr>
          <w:rFonts w:ascii="Times New Roman" w:hAnsi="Times New Roman" w:cs="Times New Roman"/>
          <w:sz w:val="24"/>
          <w:szCs w:val="24"/>
        </w:rPr>
        <w:t>/Ara-C</w:t>
      </w:r>
      <w:r w:rsidR="0031732E">
        <w:rPr>
          <w:rFonts w:ascii="Times New Roman" w:hAnsi="Times New Roman" w:cs="Times New Roman"/>
          <w:sz w:val="24"/>
          <w:szCs w:val="24"/>
        </w:rPr>
        <w:t xml:space="preserve"> </w:t>
      </w:r>
      <w:r w:rsidR="0031732E">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{"citationItems":[{"id":"ITEM-1","itemData":{"DOI":"10.1038/sj.bmt.1700979","ISSN":"0268-3369","PMID":"9404921","abstract":"The safety and efficacy of myeloablative therapy followed by autologous peripheral blood stem cell transplantation (ABSCT) for acute myelogenous leukemia (AML) were evaluated in 60 patients. Peripheral blood stem cells (PBSC) were collected during recovery after consolidation chemotherapy. High-dose chemotherapy consisting of busulfan (16 mg/kg), etoposide (40 mg/kg), and cytosine arabinoside (3 g/m2 x 4) (BEA regimen) was used for pretransplant conditioning in 13 patients. For the remaining 47 patients, granulocyte colony-stimulating factor (G-CSF) was administered concurrently with the BEA regimen during conditioning. Unpurged, cryopreserved PBSC containing a median number of 5.4 x 10(8) MNC/kg or 12 x 10(4) CFU-GM/kg were reinfused at transplantation. The median number of days to granulocytes exceeding 500/microl and last platelet transfusion were 15 (8-44) and 24 (0-&gt;180), respectively. The 3-year probabilities of disease-free survival (DFS) and relapse were 78.6 and 21.4% for patients transplanted in first remission, 29.6 and 64.4% for those in second or third remission, and 11.1 and 77.8% for those in relapse, respectively. There were no transplant-related deaths within 100 days of transplantation. Age, disease status at transplantation, and number of induction chemotherapies to first complete remission were risk factors affecting the outcome of ABSCT. These results of ABSCT for AML in first remission warrant a prospective study of ABSCT as post-remission therapy.","author":[{"dropping-particle":"","family":"Gondo","given":"H","non-dropping-particle":"","parse-names":false,"suffix":""},{"dropping-particle":"","family":"Harada","given":"M","non-dropping-particle":"","parse-names":false,"suffix":""},{"dropping-particle":"","family":"Miyamoto","given":"T","non-dropping-particle":"","parse-names":false,"suffix":""},{"dropping-particle":"","family":"Takenaka","given":"K","non-dropping-particle":"","parse-names":false,"suffix":""},{"dropping-particle":"","family":"Tanimoto","given":"K","non-dropping-particle":"","parse-names":false,"suffix":""},{"dropping-particle":"","family":"Mizuno","given":"S","non-dropping-particle":"","parse-names":false,"suffix":""},{"dropping-particle":"","family":"Fujisaki","given":"T","non-dropping-particle":"","parse-names":false,"suffix":""},{"dropping-particle":"","family":"Nagafuji","given":"K","non-dropping-particle":"","parse-names":false,"suffix":""},{"dropping-particle":"","family":"Hayashi","given":"S","non-dropping-particle":"","parse-names":false,"suffix":""},{"dropping-particle":"","family":"Eto","given":"T","non-dropping-particle":"","parse-names":false,"suffix":""},{"dropping-particle":"","family":"Taniguchi","given":"S","non-dropping-particle":"","parse-names":false,"suffix":""},{"dropping-particle":"","family":"Akashi","given":"K","non-dropping-particle":"","parse-names":false,"suffix":""},{"dropping-particle":"","family":"Harada","given":"N","non-dropping-particle":"","parse-names":false,"suffix":""},{"dropping-particle":"","family":"Yamasaki","given":"K","non-dropping-particle":"","parse-names":false,"suffix":""},{"dropping-particle":"","family":"Shibuya","given":"T","non-dropping-particle":"","parse-names":false,"suffix":""},{"dropping-particle":"","family":"Matsuishi","given":"E","non-dropping-particle":"","parse-names":false,"suffix":""},{"dropping-particle":"","family":"Ohno","given":"Y","non-dropping-particle":"","parse-names":false,"suffix":""},{"dropping-particle":"","family":"Makino","given":"S","non-dropping-particle":"","parse-names":false,"suffix":""},{"dropping-particle":"","family":"Takamatsu","given":"Y","non-dropping-particle":"","parse-names":false,"suffix":""},{"dropping-particle":"","family":"Murakawa","given":"M","non-dropping-particle":"","parse-names":false,"suffix":""},{"dropping-particle":"","family":"Teshima","given":"T","non-dropping-particle":"","parse-names":false,"suffix":""},{"dropping-particle":"","family":"Hirota","given":"Y","non-dropping-particle":"","parse-names":false,"suffix":""},{"dropping-particle":"","family":"Okamura","given":"T","non-dropping-particle":"","parse-names":false,"suffix":""},{"dropping-particle":"","family":"Kinukawa","given":"N","non-dropping-particle":"","parse-names":false,"suffix":""},{"dropping-particle":"","family":"Niho","given":"Y","non-dropping-particle":"","parse-names":false,"suffix":""}],"container-title":"Bone marrow transplantation","id":"ITEM-1","issue":"10","issued":{"date-parts":[["1997","11"]]},"page":"821-6","publisher":"Bone Marrow Transplant","title":"Autologous peripheral blood stem cell transplantation for acute myelogenous leukemia.","type":"article-journal","volume":"20"},"uris":["http://www.mendeley.com/documents/?uuid=28d0d1d1-6983-3b65-bb8b-e6d952e4e787"]},{"id":"ITEM-2","itemData":{"ISBN":"9783030022778","author":[{"dropping-particle":"","family":"Enric Carreras","given":"Dufour Carlo","non-dropping-particle":"","parse-names":false,"suffix":""},{"dropping-particle":"","family":"Mohty Mohamad","given":"Kröger Nicolaus","non-dropping-particle":"","parse-names":false,"suffix":""}],"id":"ITEM-2","issued":{"date-parts":[["2019"]]},"number-of-pages":"702","title":"Hematopoietic Stem Cell Transplantation and Cellular Therapies","type":"book"},"uris":["http://www.mendeley.com/documents/?uuid=891fa663-7797-4301-8893-3b0a5d75b173"]}],"mendeley":{"formattedCitation":"[37, 42]","plainTextFormattedCitation":"[37, 42]","previouslyFormattedCitation":"[36, 41]"},"properties":{"noteIndex":0},"schema":"https://github.com/citation-style-language/schema/raw/master/csl-citation.json"}</w:instrText>
      </w:r>
      <w:r w:rsidR="0031732E">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[37, 42]</w:t>
      </w:r>
      <w:r w:rsidR="0031732E">
        <w:rPr>
          <w:rFonts w:ascii="Times New Roman" w:hAnsi="Times New Roman" w:cs="Times New Roman"/>
          <w:sz w:val="24"/>
          <w:szCs w:val="24"/>
        </w:rPr>
        <w:fldChar w:fldCharType="end"/>
      </w:r>
      <w:r w:rsidR="005E14BE">
        <w:rPr>
          <w:rFonts w:ascii="Times New Roman" w:hAnsi="Times New Roman" w:cs="Times New Roman"/>
          <w:sz w:val="24"/>
          <w:szCs w:val="24"/>
        </w:rPr>
        <w:t>.</w:t>
      </w:r>
      <w:r w:rsidR="00206B66">
        <w:rPr>
          <w:rFonts w:ascii="Times New Roman" w:hAnsi="Times New Roman" w:cs="Times New Roman"/>
          <w:sz w:val="24"/>
          <w:szCs w:val="24"/>
        </w:rPr>
        <w:t xml:space="preserve"> Также в качестве предтрансплантационного кондиционирования применяется режим </w:t>
      </w:r>
      <w:r w:rsidR="00206B66" w:rsidRPr="00206B66">
        <w:rPr>
          <w:rFonts w:ascii="Times New Roman" w:hAnsi="Times New Roman" w:cs="Times New Roman"/>
          <w:sz w:val="24"/>
          <w:szCs w:val="24"/>
        </w:rPr>
        <w:t xml:space="preserve">бусульфан </w:t>
      </w:r>
      <w:r w:rsidR="00206B66">
        <w:rPr>
          <w:rFonts w:ascii="Times New Roman" w:hAnsi="Times New Roman" w:cs="Times New Roman"/>
          <w:sz w:val="24"/>
          <w:szCs w:val="24"/>
        </w:rPr>
        <w:t>+</w:t>
      </w:r>
      <w:r w:rsidR="00206B66" w:rsidRPr="00206B66">
        <w:rPr>
          <w:rFonts w:ascii="Times New Roman" w:hAnsi="Times New Roman" w:cs="Times New Roman"/>
          <w:sz w:val="24"/>
          <w:szCs w:val="24"/>
        </w:rPr>
        <w:t xml:space="preserve"> циклофосфан</w:t>
      </w:r>
      <w:r w:rsidR="00206B66">
        <w:rPr>
          <w:rFonts w:ascii="Times New Roman" w:hAnsi="Times New Roman" w:cs="Times New Roman"/>
          <w:sz w:val="24"/>
          <w:szCs w:val="24"/>
        </w:rPr>
        <w:t xml:space="preserve"> (бусульфан </w:t>
      </w:r>
      <w:r w:rsidR="00206B66" w:rsidRPr="00206B66">
        <w:rPr>
          <w:rFonts w:ascii="Times New Roman" w:hAnsi="Times New Roman" w:cs="Times New Roman"/>
          <w:sz w:val="24"/>
          <w:szCs w:val="24"/>
        </w:rPr>
        <w:t>1 мг/кг х 4 р/д -6,-5,-4 дни</w:t>
      </w:r>
      <w:r w:rsidR="00206B66">
        <w:rPr>
          <w:rFonts w:ascii="Times New Roman" w:hAnsi="Times New Roman" w:cs="Times New Roman"/>
          <w:sz w:val="24"/>
          <w:szCs w:val="24"/>
        </w:rPr>
        <w:t xml:space="preserve"> </w:t>
      </w:r>
      <w:r w:rsidR="00206B66" w:rsidRPr="00206B66">
        <w:rPr>
          <w:rFonts w:ascii="Times New Roman" w:hAnsi="Times New Roman" w:cs="Times New Roman"/>
          <w:sz w:val="24"/>
          <w:szCs w:val="24"/>
        </w:rPr>
        <w:t xml:space="preserve">и </w:t>
      </w:r>
      <w:r w:rsidR="00206B66">
        <w:rPr>
          <w:rFonts w:ascii="Times New Roman" w:hAnsi="Times New Roman" w:cs="Times New Roman"/>
          <w:sz w:val="24"/>
          <w:szCs w:val="24"/>
        </w:rPr>
        <w:t xml:space="preserve">циклофосфан </w:t>
      </w:r>
      <w:r w:rsidR="00206B66" w:rsidRPr="00206B66">
        <w:rPr>
          <w:rFonts w:ascii="Times New Roman" w:hAnsi="Times New Roman" w:cs="Times New Roman"/>
          <w:sz w:val="24"/>
          <w:szCs w:val="24"/>
        </w:rPr>
        <w:t>60 мг/кг х 1р/д</w:t>
      </w:r>
      <w:r w:rsidR="00206B66">
        <w:rPr>
          <w:rFonts w:ascii="Times New Roman" w:hAnsi="Times New Roman" w:cs="Times New Roman"/>
          <w:sz w:val="24"/>
          <w:szCs w:val="24"/>
        </w:rPr>
        <w:t xml:space="preserve"> в</w:t>
      </w:r>
      <w:r w:rsidR="00206B66" w:rsidRPr="00206B66">
        <w:rPr>
          <w:rFonts w:ascii="Times New Roman" w:hAnsi="Times New Roman" w:cs="Times New Roman"/>
          <w:sz w:val="24"/>
          <w:szCs w:val="24"/>
        </w:rPr>
        <w:t xml:space="preserve"> -3</w:t>
      </w:r>
      <w:r w:rsidR="00206B66">
        <w:rPr>
          <w:rFonts w:ascii="Times New Roman" w:hAnsi="Times New Roman" w:cs="Times New Roman"/>
          <w:sz w:val="24"/>
          <w:szCs w:val="24"/>
        </w:rPr>
        <w:t>и -</w:t>
      </w:r>
      <w:r w:rsidR="00206B66" w:rsidRPr="00206B66">
        <w:rPr>
          <w:rFonts w:ascii="Times New Roman" w:hAnsi="Times New Roman" w:cs="Times New Roman"/>
          <w:sz w:val="24"/>
          <w:szCs w:val="24"/>
        </w:rPr>
        <w:t>2 дни).</w:t>
      </w:r>
    </w:p>
    <w:p w:rsidR="00206B66" w:rsidRPr="005E14BE" w:rsidRDefault="00206B66" w:rsidP="005E14BE">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ОМЛ (благоприятный и промежуточный риск) в случае достижения МРБ негативной ремиссии в возрасте до 40 лет рассматривается вопрос о выполнении ауто-ТГСК. Режим кондиционирования миелоаблативный, например </w:t>
      </w:r>
      <w:r w:rsidRPr="00206B66">
        <w:rPr>
          <w:rFonts w:ascii="Times New Roman" w:hAnsi="Times New Roman" w:cs="Times New Roman"/>
          <w:sz w:val="24"/>
          <w:szCs w:val="24"/>
        </w:rPr>
        <w:t xml:space="preserve">бусульфан </w:t>
      </w:r>
      <w:r>
        <w:rPr>
          <w:rFonts w:ascii="Times New Roman" w:hAnsi="Times New Roman" w:cs="Times New Roman"/>
          <w:sz w:val="24"/>
          <w:szCs w:val="24"/>
        </w:rPr>
        <w:t>+</w:t>
      </w:r>
      <w:r w:rsidRPr="00206B66">
        <w:rPr>
          <w:rFonts w:ascii="Times New Roman" w:hAnsi="Times New Roman" w:cs="Times New Roman"/>
          <w:sz w:val="24"/>
          <w:szCs w:val="24"/>
        </w:rPr>
        <w:t xml:space="preserve"> циклофосфан</w:t>
      </w:r>
      <w:r>
        <w:rPr>
          <w:rFonts w:ascii="Times New Roman" w:hAnsi="Times New Roman" w:cs="Times New Roman"/>
          <w:sz w:val="24"/>
          <w:szCs w:val="24"/>
        </w:rPr>
        <w:t xml:space="preserve"> (бусульфан </w:t>
      </w:r>
      <w:r w:rsidRPr="00206B66">
        <w:rPr>
          <w:rFonts w:ascii="Times New Roman" w:hAnsi="Times New Roman" w:cs="Times New Roman"/>
          <w:sz w:val="24"/>
          <w:szCs w:val="24"/>
        </w:rPr>
        <w:t>1 мг/кг х 4 р/д -6,-5,-4 дни</w:t>
      </w:r>
      <w:r>
        <w:rPr>
          <w:rFonts w:ascii="Times New Roman" w:hAnsi="Times New Roman" w:cs="Times New Roman"/>
          <w:sz w:val="24"/>
          <w:szCs w:val="24"/>
        </w:rPr>
        <w:t xml:space="preserve"> </w:t>
      </w:r>
      <w:r w:rsidRPr="00206B66">
        <w:rPr>
          <w:rFonts w:ascii="Times New Roman" w:hAnsi="Times New Roman" w:cs="Times New Roman"/>
          <w:sz w:val="24"/>
          <w:szCs w:val="24"/>
        </w:rPr>
        <w:t xml:space="preserve">и </w:t>
      </w:r>
      <w:r>
        <w:rPr>
          <w:rFonts w:ascii="Times New Roman" w:hAnsi="Times New Roman" w:cs="Times New Roman"/>
          <w:sz w:val="24"/>
          <w:szCs w:val="24"/>
        </w:rPr>
        <w:t xml:space="preserve">циклофосфан </w:t>
      </w:r>
      <w:r w:rsidRPr="00206B66">
        <w:rPr>
          <w:rFonts w:ascii="Times New Roman" w:hAnsi="Times New Roman" w:cs="Times New Roman"/>
          <w:sz w:val="24"/>
          <w:szCs w:val="24"/>
        </w:rPr>
        <w:t>60 мг/кг х 1р/д</w:t>
      </w:r>
      <w:r>
        <w:rPr>
          <w:rFonts w:ascii="Times New Roman" w:hAnsi="Times New Roman" w:cs="Times New Roman"/>
          <w:sz w:val="24"/>
          <w:szCs w:val="24"/>
        </w:rPr>
        <w:t xml:space="preserve"> в</w:t>
      </w:r>
      <w:r w:rsidRPr="00206B66">
        <w:rPr>
          <w:rFonts w:ascii="Times New Roman" w:hAnsi="Times New Roman" w:cs="Times New Roman"/>
          <w:sz w:val="24"/>
          <w:szCs w:val="24"/>
        </w:rPr>
        <w:t xml:space="preserve"> -3</w:t>
      </w:r>
      <w:r>
        <w:rPr>
          <w:rFonts w:ascii="Times New Roman" w:hAnsi="Times New Roman" w:cs="Times New Roman"/>
          <w:sz w:val="24"/>
          <w:szCs w:val="24"/>
        </w:rPr>
        <w:t xml:space="preserve"> и -</w:t>
      </w:r>
      <w:r w:rsidRPr="00206B66">
        <w:rPr>
          <w:rFonts w:ascii="Times New Roman" w:hAnsi="Times New Roman" w:cs="Times New Roman"/>
          <w:sz w:val="24"/>
          <w:szCs w:val="24"/>
        </w:rPr>
        <w:t>2 дни).</w:t>
      </w:r>
    </w:p>
    <w:p w:rsidR="00BB6B7A" w:rsidRDefault="00BB6B7A" w:rsidP="00854709">
      <w:pPr>
        <w:pStyle w:val="a3"/>
        <w:numPr>
          <w:ilvl w:val="2"/>
          <w:numId w:val="15"/>
        </w:numPr>
        <w:spacing w:before="240" w:after="0" w:line="360" w:lineRule="auto"/>
        <w:jc w:val="both"/>
        <w:rPr>
          <w:rFonts w:ascii="Times New Roman" w:eastAsiaTheme="majorEastAsia" w:hAnsi="Times New Roman" w:cs="Times New Roman"/>
          <w:b/>
          <w:bCs/>
          <w:sz w:val="24"/>
          <w:szCs w:val="28"/>
        </w:rPr>
      </w:pPr>
      <w:r w:rsidRPr="005E14BE">
        <w:rPr>
          <w:rFonts w:ascii="Times New Roman" w:eastAsiaTheme="majorEastAsia" w:hAnsi="Times New Roman" w:cs="Times New Roman"/>
          <w:b/>
          <w:bCs/>
          <w:sz w:val="24"/>
          <w:szCs w:val="28"/>
        </w:rPr>
        <w:t>Режим кондиционирования при Ph-позитивном остром лимфобластном лейкозе</w:t>
      </w:r>
    </w:p>
    <w:p w:rsidR="00854709" w:rsidRPr="00206B66" w:rsidRDefault="00854709" w:rsidP="00206B66">
      <w:pPr>
        <w:pStyle w:val="a3"/>
        <w:spacing w:line="360" w:lineRule="auto"/>
        <w:ind w:left="0" w:firstLine="709"/>
        <w:jc w:val="both"/>
        <w:rPr>
          <w:rFonts w:ascii="Times New Roman" w:hAnsi="Times New Roman" w:cs="Times New Roman"/>
          <w:sz w:val="24"/>
          <w:szCs w:val="24"/>
        </w:rPr>
      </w:pPr>
      <w:r w:rsidRPr="00854709">
        <w:rPr>
          <w:rFonts w:ascii="Times New Roman" w:hAnsi="Times New Roman" w:cs="Times New Roman"/>
          <w:sz w:val="24"/>
          <w:szCs w:val="24"/>
        </w:rPr>
        <w:t>В случае достижения полной молекулярной ремиссии во время индукционной или консолидирующей терапии у больных моложе 40 лет может быть рассмотрен вариант ауто-ТГСК, заготовленных после подтверждения ПМР. Кондиционирование перед ауто-ТГСК проводится в миелоаблативном режиме</w:t>
      </w:r>
      <w:r w:rsidR="00206B66" w:rsidRPr="00206B66">
        <w:rPr>
          <w:rFonts w:ascii="Times New Roman" w:hAnsi="Times New Roman" w:cs="Times New Roman"/>
          <w:sz w:val="24"/>
          <w:szCs w:val="24"/>
        </w:rPr>
        <w:t xml:space="preserve"> </w:t>
      </w:r>
      <w:r w:rsidR="00206B66">
        <w:rPr>
          <w:rFonts w:ascii="Times New Roman" w:hAnsi="Times New Roman" w:cs="Times New Roman"/>
          <w:sz w:val="24"/>
          <w:szCs w:val="24"/>
        </w:rPr>
        <w:t xml:space="preserve">- </w:t>
      </w:r>
      <w:r w:rsidR="00206B66" w:rsidRPr="00206B66">
        <w:rPr>
          <w:rFonts w:ascii="Times New Roman" w:hAnsi="Times New Roman" w:cs="Times New Roman"/>
          <w:sz w:val="24"/>
          <w:szCs w:val="24"/>
        </w:rPr>
        <w:t xml:space="preserve">бусульфан </w:t>
      </w:r>
      <w:r w:rsidR="00206B66">
        <w:rPr>
          <w:rFonts w:ascii="Times New Roman" w:hAnsi="Times New Roman" w:cs="Times New Roman"/>
          <w:sz w:val="24"/>
          <w:szCs w:val="24"/>
        </w:rPr>
        <w:t>+</w:t>
      </w:r>
      <w:r w:rsidR="00206B66" w:rsidRPr="00206B66">
        <w:rPr>
          <w:rFonts w:ascii="Times New Roman" w:hAnsi="Times New Roman" w:cs="Times New Roman"/>
          <w:sz w:val="24"/>
          <w:szCs w:val="24"/>
        </w:rPr>
        <w:t xml:space="preserve"> циклофосфан</w:t>
      </w:r>
      <w:r w:rsidR="00206B66">
        <w:rPr>
          <w:rFonts w:ascii="Times New Roman" w:hAnsi="Times New Roman" w:cs="Times New Roman"/>
          <w:sz w:val="24"/>
          <w:szCs w:val="24"/>
        </w:rPr>
        <w:t xml:space="preserve"> (бусульфан </w:t>
      </w:r>
      <w:r w:rsidR="00206B66" w:rsidRPr="00206B66">
        <w:rPr>
          <w:rFonts w:ascii="Times New Roman" w:hAnsi="Times New Roman" w:cs="Times New Roman"/>
          <w:sz w:val="24"/>
          <w:szCs w:val="24"/>
        </w:rPr>
        <w:t>1 мг/кг х 4 р/д -6,-5,-4 дни</w:t>
      </w:r>
      <w:r w:rsidR="00206B66">
        <w:rPr>
          <w:rFonts w:ascii="Times New Roman" w:hAnsi="Times New Roman" w:cs="Times New Roman"/>
          <w:sz w:val="24"/>
          <w:szCs w:val="24"/>
        </w:rPr>
        <w:t xml:space="preserve"> </w:t>
      </w:r>
      <w:r w:rsidR="00206B66" w:rsidRPr="00206B66">
        <w:rPr>
          <w:rFonts w:ascii="Times New Roman" w:hAnsi="Times New Roman" w:cs="Times New Roman"/>
          <w:sz w:val="24"/>
          <w:szCs w:val="24"/>
        </w:rPr>
        <w:t xml:space="preserve">и </w:t>
      </w:r>
      <w:r w:rsidR="00206B66">
        <w:rPr>
          <w:rFonts w:ascii="Times New Roman" w:hAnsi="Times New Roman" w:cs="Times New Roman"/>
          <w:sz w:val="24"/>
          <w:szCs w:val="24"/>
        </w:rPr>
        <w:t xml:space="preserve">циклофосфан </w:t>
      </w:r>
      <w:r w:rsidR="00206B66" w:rsidRPr="00206B66">
        <w:rPr>
          <w:rFonts w:ascii="Times New Roman" w:hAnsi="Times New Roman" w:cs="Times New Roman"/>
          <w:sz w:val="24"/>
          <w:szCs w:val="24"/>
        </w:rPr>
        <w:t>60 мг/кг х 1р/д</w:t>
      </w:r>
      <w:r w:rsidR="00206B66">
        <w:rPr>
          <w:rFonts w:ascii="Times New Roman" w:hAnsi="Times New Roman" w:cs="Times New Roman"/>
          <w:sz w:val="24"/>
          <w:szCs w:val="24"/>
        </w:rPr>
        <w:t xml:space="preserve"> в</w:t>
      </w:r>
      <w:r w:rsidR="00206B66" w:rsidRPr="00206B66">
        <w:rPr>
          <w:rFonts w:ascii="Times New Roman" w:hAnsi="Times New Roman" w:cs="Times New Roman"/>
          <w:sz w:val="24"/>
          <w:szCs w:val="24"/>
        </w:rPr>
        <w:t xml:space="preserve"> -3</w:t>
      </w:r>
      <w:r w:rsidR="00206B66">
        <w:rPr>
          <w:rFonts w:ascii="Times New Roman" w:hAnsi="Times New Roman" w:cs="Times New Roman"/>
          <w:sz w:val="24"/>
          <w:szCs w:val="24"/>
        </w:rPr>
        <w:t xml:space="preserve"> и -2 дни)</w:t>
      </w:r>
      <w:r w:rsidRPr="00206B66">
        <w:rPr>
          <w:rFonts w:ascii="Times New Roman" w:hAnsi="Times New Roman" w:cs="Times New Roman"/>
          <w:sz w:val="24"/>
          <w:szCs w:val="24"/>
        </w:rPr>
        <w:fldChar w:fldCharType="begin" w:fldLock="1"/>
      </w:r>
      <w:r w:rsidR="007368BF" w:rsidRPr="00206B66">
        <w:rPr>
          <w:rFonts w:ascii="Times New Roman" w:hAnsi="Times New Roman" w:cs="Times New Roman"/>
          <w:sz w:val="24"/>
          <w:szCs w:val="24"/>
        </w:rPr>
        <w:instrText>ADDIN CSL_CITATION {"citationItems":[{"id":"ITEM-1","itemData":{"author":[{"dropping-particle":"","family":"Савченко В.Г. и др","given":"","non-dropping-particle":"","parse-names":false,"suffix":""}],"id":"ITEM-1","issued":{"date-parts":[["2018"]]},"note":"a","number-of-pages":"1008","publisher":"Практика","publisher-place":"Москва","title":"Алгоритмы диагностики и протоколы лечения заболеваний системы крови.","type":"book"},"uris":["http://www.mendeley.com/documents/?uuid=2cd270b2-efaf-4da9-a95d-66324661ea35"]}],"mendeley":{"formattedCitation":"[9]","plainTextFormattedCitation":"[9]","previouslyFormattedCitation":"[9]"},"properties":{"noteIndex":0},"schema":"https://github.com/citation-style-language/schema/raw/master/csl-citation.json"}</w:instrText>
      </w:r>
      <w:r w:rsidRPr="00206B66">
        <w:rPr>
          <w:rFonts w:ascii="Times New Roman" w:hAnsi="Times New Roman" w:cs="Times New Roman"/>
          <w:sz w:val="24"/>
          <w:szCs w:val="24"/>
        </w:rPr>
        <w:fldChar w:fldCharType="separate"/>
      </w:r>
      <w:r w:rsidR="007368BF" w:rsidRPr="00206B66">
        <w:rPr>
          <w:rFonts w:ascii="Times New Roman" w:hAnsi="Times New Roman" w:cs="Times New Roman"/>
          <w:noProof/>
          <w:sz w:val="24"/>
          <w:szCs w:val="24"/>
        </w:rPr>
        <w:t>[9]</w:t>
      </w:r>
      <w:r w:rsidRPr="00206B66">
        <w:rPr>
          <w:rFonts w:ascii="Times New Roman" w:hAnsi="Times New Roman" w:cs="Times New Roman"/>
          <w:sz w:val="24"/>
          <w:szCs w:val="24"/>
        </w:rPr>
        <w:fldChar w:fldCharType="end"/>
      </w:r>
      <w:r w:rsidRPr="00206B66">
        <w:rPr>
          <w:rFonts w:ascii="Times New Roman" w:hAnsi="Times New Roman" w:cs="Times New Roman"/>
          <w:sz w:val="24"/>
          <w:szCs w:val="24"/>
        </w:rPr>
        <w:t>.</w:t>
      </w:r>
    </w:p>
    <w:p w:rsidR="007133A9" w:rsidRDefault="007133A9">
      <w:pPr>
        <w:rPr>
          <w:rFonts w:ascii="Times New Roman" w:hAnsi="Times New Roman" w:cs="Times New Roman"/>
          <w:sz w:val="24"/>
          <w:szCs w:val="24"/>
        </w:rPr>
      </w:pPr>
      <w:r>
        <w:rPr>
          <w:rFonts w:ascii="Times New Roman" w:hAnsi="Times New Roman" w:cs="Times New Roman"/>
          <w:sz w:val="24"/>
          <w:szCs w:val="24"/>
        </w:rPr>
        <w:br w:type="page"/>
      </w:r>
    </w:p>
    <w:p w:rsidR="00C025F0" w:rsidRPr="0014771F" w:rsidRDefault="00E133D6" w:rsidP="00780185">
      <w:pPr>
        <w:pStyle w:val="1"/>
        <w:numPr>
          <w:ilvl w:val="1"/>
          <w:numId w:val="15"/>
        </w:numPr>
        <w:spacing w:before="0" w:after="240"/>
        <w:jc w:val="center"/>
        <w:rPr>
          <w:rFonts w:ascii="Times New Roman" w:hAnsi="Times New Roman" w:cs="Times New Roman"/>
          <w:color w:val="auto"/>
          <w:sz w:val="24"/>
        </w:rPr>
      </w:pPr>
      <w:bookmarkStart w:id="35" w:name="_Toc44926632"/>
      <w:r w:rsidRPr="0014771F">
        <w:rPr>
          <w:rFonts w:ascii="Times New Roman" w:hAnsi="Times New Roman" w:cs="Times New Roman"/>
          <w:color w:val="auto"/>
          <w:sz w:val="24"/>
        </w:rPr>
        <w:lastRenderedPageBreak/>
        <w:t>Инфузия</w:t>
      </w:r>
      <w:r w:rsidR="00C025F0" w:rsidRPr="0014771F">
        <w:rPr>
          <w:rFonts w:ascii="Times New Roman" w:hAnsi="Times New Roman" w:cs="Times New Roman"/>
          <w:color w:val="auto"/>
          <w:sz w:val="24"/>
        </w:rPr>
        <w:t xml:space="preserve"> аутологичных гемопоэтических стволовых клеток.</w:t>
      </w:r>
      <w:bookmarkEnd w:id="35"/>
    </w:p>
    <w:p w:rsidR="00E133D6" w:rsidRDefault="00E133D6"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Инфузия гемопоэтических стволовых клеток осуществляется в центральный венозный катетер с соблюдением принципов асептики и антисептики.</w:t>
      </w:r>
    </w:p>
    <w:p w:rsidR="00FE6A3A" w:rsidRDefault="00FE6A3A"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Временной интервал после оканчание химиотерапии до инфузии ГСК не менее 24ч.</w:t>
      </w:r>
    </w:p>
    <w:p w:rsidR="00E133D6" w:rsidRDefault="00E133D6"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началом процедуры трансплантации врач обязан осмотреть криоконсервированные мешки, содержащие ГСК, убедиться в целостности упаковки и отсутствии повреждений, сравнить идентификационные данные, указанные </w:t>
      </w:r>
      <w:r w:rsidR="00234A68">
        <w:rPr>
          <w:rFonts w:ascii="Times New Roman" w:hAnsi="Times New Roman" w:cs="Times New Roman"/>
          <w:sz w:val="24"/>
          <w:szCs w:val="24"/>
        </w:rPr>
        <w:t>на упаковке с данными пациента.</w:t>
      </w:r>
    </w:p>
    <w:p w:rsidR="00E133D6" w:rsidRDefault="00E133D6"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первого введения выбирают мешок с максимальной клеточностью. При манипуляциях с мешком запрещается использовать металлические пре</w:t>
      </w:r>
      <w:r w:rsidR="00234A68">
        <w:rPr>
          <w:rFonts w:ascii="Times New Roman" w:hAnsi="Times New Roman" w:cs="Times New Roman"/>
          <w:sz w:val="24"/>
          <w:szCs w:val="24"/>
        </w:rPr>
        <w:t>дметы (зажимы, пинцеты и т.д.).</w:t>
      </w:r>
      <w:r w:rsidR="00FE6A3A">
        <w:rPr>
          <w:rFonts w:ascii="Times New Roman" w:hAnsi="Times New Roman" w:cs="Times New Roman"/>
          <w:sz w:val="24"/>
          <w:szCs w:val="24"/>
        </w:rPr>
        <w:t xml:space="preserve"> При наличии нескольких пакетов криоконсервированных ГСК между инфузиями целесообразно делать перерывы. В ряде случаев допустимо введение ГСК в течение 2 дней (пожилые, ослабленные пациенты).</w:t>
      </w:r>
    </w:p>
    <w:p w:rsidR="00E133D6" w:rsidRDefault="00E133D6"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Криоконсервированные ГСК размораживают на водяной бане или программном размораживателе при температуре 37</w:t>
      </w:r>
      <w:r>
        <w:rPr>
          <w:rFonts w:ascii="Times New Roman" w:hAnsi="Times New Roman" w:cs="Times New Roman"/>
          <w:sz w:val="24"/>
          <w:szCs w:val="24"/>
          <w:vertAlign w:val="superscript"/>
        </w:rPr>
        <w:t>о</w:t>
      </w:r>
      <w:r>
        <w:rPr>
          <w:rFonts w:ascii="Times New Roman" w:hAnsi="Times New Roman" w:cs="Times New Roman"/>
          <w:sz w:val="24"/>
          <w:szCs w:val="24"/>
        </w:rPr>
        <w:t>С. После разморозки врач должен убедиться в том, что в мешке отсутствуют</w:t>
      </w:r>
      <w:r w:rsidR="00232B28">
        <w:rPr>
          <w:rFonts w:ascii="Times New Roman" w:hAnsi="Times New Roman" w:cs="Times New Roman"/>
          <w:sz w:val="24"/>
          <w:szCs w:val="24"/>
        </w:rPr>
        <w:t xml:space="preserve"> фрагменты льда или сгустки. После этого врач присоединя</w:t>
      </w:r>
      <w:r w:rsidR="00234A68">
        <w:rPr>
          <w:rFonts w:ascii="Times New Roman" w:hAnsi="Times New Roman" w:cs="Times New Roman"/>
          <w:sz w:val="24"/>
          <w:szCs w:val="24"/>
        </w:rPr>
        <w:t>ет мешок к системе для инфузии.</w:t>
      </w:r>
    </w:p>
    <w:p w:rsidR="00232B28"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ряде случаев перед введением лейкок</w:t>
      </w:r>
      <w:r w:rsidR="00FF3180">
        <w:rPr>
          <w:rFonts w:ascii="Times New Roman" w:hAnsi="Times New Roman" w:cs="Times New Roman"/>
          <w:sz w:val="24"/>
          <w:szCs w:val="24"/>
        </w:rPr>
        <w:t>о</w:t>
      </w:r>
      <w:r>
        <w:rPr>
          <w:rFonts w:ascii="Times New Roman" w:hAnsi="Times New Roman" w:cs="Times New Roman"/>
          <w:sz w:val="24"/>
          <w:szCs w:val="24"/>
        </w:rPr>
        <w:t>нцентрата в центральный венозный катетер проводится премедикация, для которой используется промедол в стандартной дозировке.</w:t>
      </w:r>
    </w:p>
    <w:p w:rsidR="00232B28"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Начальная скорость введения ГСК составляет 3-5 мл/мин (4-5 минут), после чего скорость можно увел</w:t>
      </w:r>
      <w:r w:rsidR="00234A68">
        <w:rPr>
          <w:rFonts w:ascii="Times New Roman" w:hAnsi="Times New Roman" w:cs="Times New Roman"/>
          <w:sz w:val="24"/>
          <w:szCs w:val="24"/>
        </w:rPr>
        <w:t>ичить до максимально возможной.</w:t>
      </w:r>
      <w:r w:rsidR="00DE3C04">
        <w:rPr>
          <w:rFonts w:ascii="Times New Roman" w:hAnsi="Times New Roman" w:cs="Times New Roman"/>
          <w:sz w:val="24"/>
          <w:szCs w:val="24"/>
        </w:rPr>
        <w:t xml:space="preserve"> Во время и после инфузий ГСК осуществляется мониторинг жизненно-важных показателей: АД, ЧСС, ЧД. </w:t>
      </w:r>
    </w:p>
    <w:p w:rsidR="00232B28"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развития гемолиза</w:t>
      </w:r>
      <w:r w:rsidR="00234A68">
        <w:rPr>
          <w:rFonts w:ascii="Times New Roman" w:hAnsi="Times New Roman" w:cs="Times New Roman"/>
          <w:sz w:val="24"/>
          <w:szCs w:val="24"/>
        </w:rPr>
        <w:t>,</w:t>
      </w:r>
      <w:r>
        <w:rPr>
          <w:rFonts w:ascii="Times New Roman" w:hAnsi="Times New Roman" w:cs="Times New Roman"/>
          <w:sz w:val="24"/>
          <w:szCs w:val="24"/>
        </w:rPr>
        <w:t xml:space="preserve"> инфузия следующего мешка приостанавливается до купирования осложнений. </w:t>
      </w:r>
    </w:p>
    <w:p w:rsidR="00232B28"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завершения инфузии ход ЦВК промывают физиологическим раствором. </w:t>
      </w:r>
    </w:p>
    <w:p w:rsidR="00232B28"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Через 2 часа после завершения инфузии выполняют биохимическое исследован</w:t>
      </w:r>
      <w:r w:rsidR="00DE3C04">
        <w:rPr>
          <w:rFonts w:ascii="Times New Roman" w:hAnsi="Times New Roman" w:cs="Times New Roman"/>
          <w:sz w:val="24"/>
          <w:szCs w:val="24"/>
        </w:rPr>
        <w:t>ие крови (оценка электролитов), оценивают цвет мочи для исключения гемолиза.</w:t>
      </w:r>
    </w:p>
    <w:p w:rsidR="00232B28"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истории болезни оформляется протокол операции, с указанием этапов введения ГСК, временных интервалов и состояния пациента. </w:t>
      </w:r>
    </w:p>
    <w:p w:rsidR="00232B28" w:rsidRPr="00E133D6" w:rsidRDefault="00232B28" w:rsidP="00E133D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следующий день выполняется общий анализ мочи. </w:t>
      </w:r>
    </w:p>
    <w:p w:rsidR="000829D3" w:rsidRDefault="000829D3">
      <w:pP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br w:type="page"/>
      </w:r>
    </w:p>
    <w:p w:rsidR="00635E72" w:rsidRPr="00635E72" w:rsidRDefault="00635E72" w:rsidP="00212D51">
      <w:pPr>
        <w:pStyle w:val="1"/>
        <w:spacing w:after="240"/>
        <w:jc w:val="center"/>
        <w:rPr>
          <w:rFonts w:ascii="Times New Roman" w:hAnsi="Times New Roman" w:cs="Times New Roman"/>
          <w:color w:val="auto"/>
        </w:rPr>
      </w:pPr>
      <w:bookmarkStart w:id="36" w:name="_Toc44926633"/>
      <w:r w:rsidRPr="00635E72">
        <w:rPr>
          <w:rFonts w:ascii="Times New Roman" w:hAnsi="Times New Roman" w:cs="Times New Roman"/>
          <w:color w:val="auto"/>
        </w:rPr>
        <w:lastRenderedPageBreak/>
        <w:t xml:space="preserve">Глава 3. Сопроводительная терапия </w:t>
      </w:r>
      <w:r w:rsidR="001B7A67">
        <w:rPr>
          <w:rFonts w:ascii="Times New Roman" w:hAnsi="Times New Roman" w:cs="Times New Roman"/>
          <w:color w:val="auto"/>
        </w:rPr>
        <w:t xml:space="preserve">при </w:t>
      </w:r>
      <w:r w:rsidRPr="00635E72">
        <w:rPr>
          <w:rFonts w:ascii="Times New Roman" w:hAnsi="Times New Roman" w:cs="Times New Roman"/>
          <w:color w:val="auto"/>
        </w:rPr>
        <w:t>ауто-ТГСК.</w:t>
      </w:r>
      <w:bookmarkEnd w:id="36"/>
    </w:p>
    <w:p w:rsidR="00635E72" w:rsidRDefault="00635E72" w:rsidP="00780185">
      <w:pPr>
        <w:pStyle w:val="1"/>
        <w:numPr>
          <w:ilvl w:val="1"/>
          <w:numId w:val="112"/>
        </w:numPr>
        <w:spacing w:before="0" w:after="240"/>
        <w:ind w:firstLine="0"/>
        <w:rPr>
          <w:rFonts w:ascii="Times New Roman" w:hAnsi="Times New Roman" w:cs="Times New Roman"/>
          <w:color w:val="auto"/>
          <w:sz w:val="24"/>
        </w:rPr>
      </w:pPr>
      <w:bookmarkStart w:id="37" w:name="_Toc44926634"/>
      <w:r w:rsidRPr="000C13B2">
        <w:rPr>
          <w:rFonts w:ascii="Times New Roman" w:hAnsi="Times New Roman" w:cs="Times New Roman"/>
          <w:color w:val="auto"/>
          <w:sz w:val="24"/>
        </w:rPr>
        <w:t>Инфузионная терапия</w:t>
      </w:r>
      <w:bookmarkEnd w:id="37"/>
    </w:p>
    <w:p w:rsidR="00515760" w:rsidRPr="00515760" w:rsidRDefault="00515760" w:rsidP="00515760">
      <w:pPr>
        <w:pStyle w:val="a3"/>
        <w:spacing w:line="360" w:lineRule="auto"/>
        <w:ind w:left="0" w:firstLine="567"/>
        <w:jc w:val="both"/>
        <w:rPr>
          <w:rFonts w:ascii="Times New Roman" w:hAnsi="Times New Roman" w:cs="Times New Roman"/>
          <w:sz w:val="24"/>
        </w:rPr>
      </w:pPr>
      <w:r>
        <w:rPr>
          <w:rFonts w:ascii="Times New Roman" w:hAnsi="Times New Roman" w:cs="Times New Roman"/>
          <w:sz w:val="24"/>
          <w:szCs w:val="24"/>
        </w:rPr>
        <w:t>С целью уменьшения токсичности кондиционирования и профилактики синдрома лизиса опухоли всем пациентам проводится инфузионная терапия.</w:t>
      </w:r>
    </w:p>
    <w:p w:rsidR="00515760" w:rsidRPr="00515760" w:rsidRDefault="00515760" w:rsidP="00515760">
      <w:pPr>
        <w:pStyle w:val="a3"/>
        <w:spacing w:line="360" w:lineRule="auto"/>
        <w:ind w:left="0" w:firstLine="567"/>
        <w:jc w:val="both"/>
        <w:rPr>
          <w:rFonts w:ascii="Times New Roman" w:hAnsi="Times New Roman" w:cs="Times New Roman"/>
          <w:sz w:val="24"/>
        </w:rPr>
      </w:pPr>
      <w:r>
        <w:rPr>
          <w:rFonts w:ascii="Times New Roman" w:hAnsi="Times New Roman" w:cs="Times New Roman"/>
          <w:sz w:val="24"/>
        </w:rPr>
        <w:t>Основные принципы инфузионной терапии во время ауто-ТГСК:</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szCs w:val="24"/>
        </w:rPr>
        <w:t>Все инфузии проводятся в центральный венозный катетер</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На этапе предтрансплантационного кондиционирования объем инфузионной терапии составляет 2-3 литра в сутки, после трансплантации объем инфузий должен составлять не менее 1,5 литров в сутки, водная нагрузка распределяется равномерно в течение суток. Чаще все</w:t>
      </w:r>
      <w:r w:rsidR="00515760">
        <w:rPr>
          <w:rFonts w:ascii="Times New Roman" w:hAnsi="Times New Roman" w:cs="Times New Roman"/>
          <w:sz w:val="24"/>
        </w:rPr>
        <w:t xml:space="preserve">го применяются </w:t>
      </w:r>
      <w:r>
        <w:rPr>
          <w:rFonts w:ascii="Times New Roman" w:hAnsi="Times New Roman" w:cs="Times New Roman"/>
          <w:sz w:val="24"/>
        </w:rPr>
        <w:t xml:space="preserve">кристаллоидные растворы: изотонический раствор хлорида натрия (0,9% </w:t>
      </w:r>
      <w:r>
        <w:rPr>
          <w:rFonts w:ascii="Times New Roman" w:hAnsi="Times New Roman" w:cs="Times New Roman"/>
          <w:sz w:val="24"/>
          <w:lang w:val="en-US"/>
        </w:rPr>
        <w:t>NaCl</w:t>
      </w:r>
      <w:r>
        <w:rPr>
          <w:rFonts w:ascii="Times New Roman" w:hAnsi="Times New Roman" w:cs="Times New Roman"/>
          <w:sz w:val="24"/>
        </w:rPr>
        <w:t>), раствор 5% глюкозы,</w:t>
      </w:r>
      <w:r>
        <w:t xml:space="preserve"> </w:t>
      </w:r>
      <w:r>
        <w:rPr>
          <w:rFonts w:ascii="Times New Roman" w:hAnsi="Times New Roman" w:cs="Times New Roman"/>
          <w:sz w:val="24"/>
        </w:rPr>
        <w:t>раствор Рингера, калия и магния аспарагинат. Для коррекции ацидоза используют 5% раствор натрия гидрокарбоната. В случае выраженной гипоальбумиемии, отечного синдрома безбелкового генеза применяются коллоидные растворы (5-20% растворы альбумина человеческого).</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В состав солевого раствора, как правило, входят раствор 5% глюкозы и 4% хлорида калия (</w:t>
      </w:r>
      <w:r>
        <w:rPr>
          <w:rFonts w:ascii="Times New Roman" w:hAnsi="Times New Roman" w:cs="Times New Roman"/>
          <w:sz w:val="24"/>
          <w:lang w:val="en-US"/>
        </w:rPr>
        <w:t>KCl</w:t>
      </w:r>
      <w:r>
        <w:rPr>
          <w:rFonts w:ascii="Times New Roman" w:hAnsi="Times New Roman" w:cs="Times New Roman"/>
          <w:sz w:val="24"/>
        </w:rPr>
        <w:t xml:space="preserve">). На этапе предтрансплантационного кондиционирования суточное количество 4% </w:t>
      </w:r>
      <w:r>
        <w:rPr>
          <w:rFonts w:ascii="Times New Roman" w:hAnsi="Times New Roman" w:cs="Times New Roman"/>
          <w:sz w:val="24"/>
          <w:lang w:val="en-US"/>
        </w:rPr>
        <w:t>KCl</w:t>
      </w:r>
      <w:r>
        <w:rPr>
          <w:rFonts w:ascii="Times New Roman" w:hAnsi="Times New Roman" w:cs="Times New Roman"/>
          <w:sz w:val="24"/>
        </w:rPr>
        <w:t xml:space="preserve"> составляет 120-150 мл, в дальнейшем доза титруется в зависимости от концентрации калия в крови. При значительной гипокалиемии, которая может быть обусловлена выраженной диарей, рвотой, применяется круглосуточное введение 4% раствора </w:t>
      </w:r>
      <w:r>
        <w:rPr>
          <w:rFonts w:ascii="Times New Roman" w:hAnsi="Times New Roman" w:cs="Times New Roman"/>
          <w:sz w:val="24"/>
          <w:lang w:val="en-US"/>
        </w:rPr>
        <w:t>KCl</w:t>
      </w:r>
      <w:r>
        <w:rPr>
          <w:rFonts w:ascii="Times New Roman" w:hAnsi="Times New Roman" w:cs="Times New Roman"/>
          <w:sz w:val="24"/>
        </w:rPr>
        <w:t>, скорость инфузии корректируется с учетом данных биохимического анализа крови.</w:t>
      </w:r>
    </w:p>
    <w:p w:rsidR="00163277" w:rsidRDefault="00515760"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У пациентов на гемодиализе</w:t>
      </w:r>
      <w:r w:rsidR="00163277">
        <w:rPr>
          <w:rFonts w:ascii="Times New Roman" w:hAnsi="Times New Roman" w:cs="Times New Roman"/>
          <w:sz w:val="24"/>
        </w:rPr>
        <w:t xml:space="preserve"> объем солевых растворов не должен превышать 1 литр в сутки, при этом хлорид калия назначается только при развитии гипокалиемии.</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Для оценки состояния водного баланса, предотвращения объемной перегрузки следует ежедневно взвешивать пациента, контролировать центральное венозное давление, артериальное давление, диурез и баланс жидкости.</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При развитии фебрильной лихорадки объем инфузионной терапии должен быть увеличен до 3-4 литров в сутки под контролем водного баланса.</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Регулярный контроль электролитов (калия, натрия, кальция, хлора, магния) необходим для коррекции инфузионной терапии, при выраженной гипокальциемии, гипомагниемии назначается внутривенное введение препаратов кальция, магния.</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t>Во время предтрансплантационного кондиционирования проводится гипоурикемическая терапия аллопуринолом в суточной дозе 200 мг/м</w:t>
      </w:r>
      <w:r>
        <w:rPr>
          <w:rFonts w:ascii="Times New Roman" w:hAnsi="Times New Roman" w:cs="Times New Roman"/>
          <w:sz w:val="24"/>
          <w:vertAlign w:val="superscript"/>
        </w:rPr>
        <w:t>2</w:t>
      </w:r>
      <w:r w:rsidR="00515760">
        <w:rPr>
          <w:rFonts w:ascii="Times New Roman" w:hAnsi="Times New Roman" w:cs="Times New Roman"/>
          <w:sz w:val="24"/>
        </w:rPr>
        <w:t xml:space="preserve"> .</w:t>
      </w:r>
    </w:p>
    <w:p w:rsidR="00163277" w:rsidRDefault="00163277" w:rsidP="00780185">
      <w:pPr>
        <w:pStyle w:val="a3"/>
        <w:numPr>
          <w:ilvl w:val="0"/>
          <w:numId w:val="129"/>
        </w:numPr>
        <w:spacing w:line="360" w:lineRule="auto"/>
        <w:ind w:left="0" w:firstLine="0"/>
        <w:jc w:val="both"/>
        <w:rPr>
          <w:rFonts w:ascii="Times New Roman" w:hAnsi="Times New Roman" w:cs="Times New Roman"/>
          <w:sz w:val="24"/>
        </w:rPr>
      </w:pPr>
      <w:r>
        <w:rPr>
          <w:rFonts w:ascii="Times New Roman" w:hAnsi="Times New Roman" w:cs="Times New Roman"/>
          <w:sz w:val="24"/>
        </w:rPr>
        <w:lastRenderedPageBreak/>
        <w:t>Во время предтрансплантационного кондиционирования рекомендуется назначение мочегонных средств для форсированного диуреза (фуросемид 20-60 мг/сут).</w:t>
      </w:r>
    </w:p>
    <w:p w:rsidR="00635E72" w:rsidRDefault="00635E72" w:rsidP="00780185">
      <w:pPr>
        <w:pStyle w:val="1"/>
        <w:numPr>
          <w:ilvl w:val="1"/>
          <w:numId w:val="112"/>
        </w:numPr>
        <w:spacing w:before="0" w:after="240"/>
        <w:ind w:firstLine="0"/>
        <w:rPr>
          <w:rFonts w:ascii="Times New Roman" w:hAnsi="Times New Roman" w:cs="Times New Roman"/>
          <w:color w:val="auto"/>
          <w:sz w:val="24"/>
        </w:rPr>
      </w:pPr>
      <w:bookmarkStart w:id="38" w:name="_Toc44926635"/>
      <w:r w:rsidRPr="000C13B2">
        <w:rPr>
          <w:rFonts w:ascii="Times New Roman" w:hAnsi="Times New Roman" w:cs="Times New Roman"/>
          <w:color w:val="auto"/>
          <w:sz w:val="24"/>
        </w:rPr>
        <w:t>Антиэметическая терапия</w:t>
      </w:r>
      <w:bookmarkEnd w:id="38"/>
    </w:p>
    <w:p w:rsidR="00212D51" w:rsidRPr="00212D51" w:rsidRDefault="00212D51" w:rsidP="00234A68">
      <w:pPr>
        <w:shd w:val="clear" w:color="auto" w:fill="FFFFFF"/>
        <w:tabs>
          <w:tab w:val="left" w:pos="0"/>
          <w:tab w:val="left" w:pos="394"/>
        </w:tabs>
        <w:spacing w:before="5" w:after="0" w:line="360" w:lineRule="auto"/>
        <w:ind w:left="709"/>
        <w:jc w:val="both"/>
        <w:rPr>
          <w:rFonts w:ascii="Times New Roman" w:eastAsia="Arial Unicode MS" w:hAnsi="Times New Roman" w:cs="Times New Roman"/>
          <w:b/>
          <w:color w:val="000000"/>
          <w:spacing w:val="4"/>
          <w:sz w:val="24"/>
          <w:szCs w:val="24"/>
          <w:u w:color="000000"/>
          <w:shd w:val="clear" w:color="auto" w:fill="FFFFFF"/>
          <w:lang w:eastAsia="ru-RU"/>
        </w:rPr>
      </w:pPr>
      <w:r w:rsidRPr="00212D51">
        <w:rPr>
          <w:rFonts w:ascii="Times New Roman" w:eastAsia="Arial Unicode MS" w:hAnsi="Times New Roman" w:cs="Times New Roman"/>
          <w:b/>
          <w:color w:val="000000"/>
          <w:spacing w:val="4"/>
          <w:sz w:val="24"/>
          <w:szCs w:val="24"/>
          <w:u w:color="000000"/>
          <w:lang w:eastAsia="ru-RU"/>
        </w:rPr>
        <w:t xml:space="preserve">Общие сведения </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Одним из частых клинически значимых побочных эффектов химиотерапии (ХТ) является тошнота и рвота. Эти побочные явления приводят не только к ухудшению самочувствия пациента, снижению качества жизни, но и препятствуют применению лекарственных препаратов в пероральной форме, а также приему пищи. Появление новых комбинаций противоопухолевых средств приводит к улучшению результатов терапии онкогематологических больных, однако выраженная тошнота и рвота могут ограничивать применение химиопрепаратов в полных дозах, отрицательно влиять на приверженность больных лечению. В связи с этим контроль тошноты и рвоты играет важную роль в сопроводительной терапии больных гемобластозами</w:t>
      </w:r>
      <w:r w:rsidR="003E7B44">
        <w:rPr>
          <w:rFonts w:ascii="Times New Roman" w:eastAsia="Arial Unicode MS" w:hAnsi="Times New Roman" w:cs="Times New Roman"/>
          <w:color w:val="000000"/>
          <w:spacing w:val="4"/>
          <w:sz w:val="24"/>
          <w:szCs w:val="24"/>
          <w:u w:color="000000"/>
          <w:shd w:val="clear" w:color="auto" w:fill="FFFFFF"/>
          <w:lang w:eastAsia="ru-RU"/>
        </w:rPr>
        <w:t xml:space="preserve"> </w:t>
      </w:r>
      <w:r w:rsidR="003E7B44">
        <w:rPr>
          <w:rFonts w:ascii="Times New Roman" w:eastAsia="Arial Unicode MS" w:hAnsi="Times New Roman" w:cs="Times New Roman"/>
          <w:color w:val="000000"/>
          <w:spacing w:val="4"/>
          <w:sz w:val="24"/>
          <w:szCs w:val="24"/>
          <w:u w:color="000000"/>
          <w:shd w:val="clear" w:color="auto" w:fill="FFFFFF"/>
          <w:lang w:eastAsia="ru-RU"/>
        </w:rPr>
        <w:fldChar w:fldCharType="begin" w:fldLock="1"/>
      </w:r>
      <w:r w:rsidR="009C1B46">
        <w:rPr>
          <w:rFonts w:ascii="Times New Roman" w:eastAsia="Arial Unicode MS" w:hAnsi="Times New Roman" w:cs="Times New Roman"/>
          <w:color w:val="000000"/>
          <w:spacing w:val="4"/>
          <w:sz w:val="24"/>
          <w:szCs w:val="24"/>
          <w:u w:color="000000"/>
          <w:shd w:val="clear" w:color="auto" w:fill="FFFFFF"/>
          <w:lang w:eastAsia="ru-RU"/>
        </w:rPr>
        <w:instrText>ADDIN CSL_CITATION {"citationItems":[{"id":"ITEM-1","itemData":{"DOI":"10.1158/0008-5472.CAN-07-6611","ISSN":"1538-7445","PMID":"18974103","abstract":"The use of chemotherapy to treat cancer began at the start of the 20th century with attempts to narrow the universe of chemicals that might affect the disease by developing methods to screen chemicals using transplantable tumors in rodents. It was, however, four World War II-related programs, and the effects of drugs that evolved from them, that provided the impetus to establish in 1955 the national drug development effort known as the Cancer Chemotherapy National Service Center. The ability of combination chemotherapy to cure acute childhood leukemia and advanced Hodgkin's disease in the 1960s and early 1970s overcame the prevailing pessimism about the ability of drugs to cure advanced cancers, facilitated the study of adjuvant chemotherapy, and helped foster the national cancer program. Today, chemotherapy has changed as important molecular abnormalities are being used to screen for potential new drugs as well as for targeted treatments.","author":[{"dropping-particle":"","family":"DeVita","given":"Vincent T","non-dropping-particle":"","parse-names":false,"suffix":""},{"dropping-particle":"","family":"Chu","given":"Edward","non-dropping-particle":"","parse-names":false,"suffix":""}],"container-title":"Cancer research","id":"ITEM-1","issue":"21","issued":{"date-parts":[["2008","11","1"]]},"page":"8643-53","publisher":"Cancer Res","title":"A history of cancer chemotherapy.","type":"article-journal","volume":"68"},"uris":["http://www.mendeley.com/documents/?uuid=5b80ab0c-88c0-3f8a-ba1e-ba4eb3898280"]},{"id":"ITEM-2","itemData":{"DOI":"10.1056/NEJMra1515442","ISSN":"1533-4406","PMID":"27050207","author":[{"dropping-particle":"","family":"Navari","given":"Rudolph M","non-dropping-particle":"","parse-names":false,"suffix":""},{"dropping-particle":"","family":"Aapro","given":"Matti","non-dropping-particle":"","parse-names":false,"suffix":""}],"container-title":"The New England journal of medicine","id":"ITEM-2","issue":"14","issued":{"date-parts":[["2016","4","7"]]},"page":"1356-67","publisher":"N Engl J Med","title":"Antiemetic Prophylaxis for Chemotherapy-Induced Nausea and Vomiting.","type":"article-journal","volume":"374"},"uris":["http://www.mendeley.com/documents/?uuid=c6a8fc98-335f-3d49-a44d-4b69eab5b195"]},{"id":"ITEM-3","itemData":{"DOI":"10.18027/2224-5057-2016-4s2-378-389","author":[{"dropping-particle":"","family":"Снеговой А. В., Абрамов М. Е., Бяхов М. Ю., Владимирова Л. Ю., Возный Э. К., Гладков О. А., Когония Л. М., Кононенко И. Б., Копп М. В., Королева И. А., Ларионова В. Б., Личиницер М. Р., Поддубная И. В.","given":"Птушкин В. В.","non-dropping-particle":"","parse-names":false,"suffix":""}],"container-title":"Практические рекомендации","id":"ITEM-3","issued":{"date-parts":[["2016"]]},"note":"a","title":"Практические рекомендации по профилактике и лечению тошноты и рвоты у онкологических больных.","type":"article-journal"},"uris":["http://www.mendeley.com/documents/?uuid=cc70e666-ecbd-3513-ba14-c5e28c81970a"]}],"mendeley":{"formattedCitation":"[10, 34, 56]","plainTextFormattedCitation":"[10, 34, 56]","previouslyFormattedCitation":"[10, 34, 55]"},"properties":{"noteIndex":0},"schema":"https://github.com/citation-style-language/schema/raw/master/csl-citation.json"}</w:instrText>
      </w:r>
      <w:r w:rsidR="003E7B44">
        <w:rPr>
          <w:rFonts w:ascii="Times New Roman" w:eastAsia="Arial Unicode MS" w:hAnsi="Times New Roman" w:cs="Times New Roman"/>
          <w:color w:val="000000"/>
          <w:spacing w:val="4"/>
          <w:sz w:val="24"/>
          <w:szCs w:val="24"/>
          <w:u w:color="000000"/>
          <w:shd w:val="clear" w:color="auto" w:fill="FFFFFF"/>
          <w:lang w:eastAsia="ru-RU"/>
        </w:rPr>
        <w:fldChar w:fldCharType="separate"/>
      </w:r>
      <w:r w:rsidR="009C1B46" w:rsidRPr="009C1B46">
        <w:rPr>
          <w:rFonts w:ascii="Times New Roman" w:eastAsia="Arial Unicode MS" w:hAnsi="Times New Roman" w:cs="Times New Roman"/>
          <w:noProof/>
          <w:color w:val="000000"/>
          <w:spacing w:val="4"/>
          <w:sz w:val="24"/>
          <w:szCs w:val="24"/>
          <w:u w:color="000000"/>
          <w:shd w:val="clear" w:color="auto" w:fill="FFFFFF"/>
          <w:lang w:eastAsia="ru-RU"/>
        </w:rPr>
        <w:t>[10, 34, 56]</w:t>
      </w:r>
      <w:r w:rsidR="003E7B44">
        <w:rPr>
          <w:rFonts w:ascii="Times New Roman" w:eastAsia="Arial Unicode MS" w:hAnsi="Times New Roman" w:cs="Times New Roman"/>
          <w:color w:val="000000"/>
          <w:spacing w:val="4"/>
          <w:sz w:val="24"/>
          <w:szCs w:val="24"/>
          <w:u w:color="000000"/>
          <w:shd w:val="clear" w:color="auto" w:fill="FFFFFF"/>
          <w:lang w:eastAsia="ru-RU"/>
        </w:rPr>
        <w:fldChar w:fldCharType="end"/>
      </w:r>
      <w:r w:rsidR="00354B20">
        <w:rPr>
          <w:rFonts w:ascii="Times New Roman" w:eastAsia="Arial Unicode MS" w:hAnsi="Times New Roman" w:cs="Times New Roman"/>
          <w:color w:val="000000"/>
          <w:spacing w:val="4"/>
          <w:sz w:val="24"/>
          <w:szCs w:val="24"/>
          <w:u w:color="000000"/>
          <w:shd w:val="clear" w:color="auto" w:fill="FFFFFF"/>
          <w:lang w:eastAsia="ru-RU"/>
        </w:rPr>
        <w:t>.</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 xml:space="preserve">Тошнота и рвота развиваются при возбуждении рвотного центра несколькими путями - при воздействии нейротрансмиттеров на его рецепторы, или при поступлении в него импульсов от хеморецепторов триггерной зоны. Химическими веществами, вызывающими активацию рвотного центра, являются дофамин, серотонин, гистамин, ацетилхолин и субстанция Р (Нейрокинин-1 - </w:t>
      </w:r>
      <w:r w:rsidRPr="00212D51">
        <w:rPr>
          <w:rFonts w:ascii="Times New Roman" w:eastAsia="Arial Unicode MS" w:hAnsi="Times New Roman" w:cs="Times New Roman"/>
          <w:color w:val="000000"/>
          <w:spacing w:val="4"/>
          <w:sz w:val="24"/>
          <w:szCs w:val="24"/>
          <w:u w:color="000000"/>
          <w:shd w:val="clear" w:color="auto" w:fill="FFFFFF"/>
          <w:lang w:val="en-US" w:eastAsia="ru-RU"/>
        </w:rPr>
        <w:t>NK</w:t>
      </w:r>
      <w:r w:rsidRPr="00212D51">
        <w:rPr>
          <w:rFonts w:ascii="Times New Roman" w:eastAsia="Arial Unicode MS" w:hAnsi="Times New Roman" w:cs="Times New Roman"/>
          <w:color w:val="000000"/>
          <w:spacing w:val="4"/>
          <w:sz w:val="24"/>
          <w:szCs w:val="24"/>
          <w:u w:color="000000"/>
          <w:shd w:val="clear" w:color="auto" w:fill="FFFFFF"/>
          <w:lang w:eastAsia="ru-RU"/>
        </w:rPr>
        <w:t>-1). Противорвотные препараты избирательно блокируют какой-либо из перечисленных нейротрансмиттеров</w:t>
      </w:r>
      <w:r w:rsidR="00354B20">
        <w:rPr>
          <w:rFonts w:ascii="Times New Roman" w:eastAsia="Arial Unicode MS" w:hAnsi="Times New Roman" w:cs="Times New Roman"/>
          <w:color w:val="000000"/>
          <w:spacing w:val="4"/>
          <w:sz w:val="24"/>
          <w:szCs w:val="24"/>
          <w:u w:color="000000"/>
          <w:shd w:val="clear" w:color="auto" w:fill="FFFFFF"/>
          <w:lang w:eastAsia="ru-RU"/>
        </w:rPr>
        <w:fldChar w:fldCharType="begin" w:fldLock="1"/>
      </w:r>
      <w:r w:rsidR="009C1B46">
        <w:rPr>
          <w:rFonts w:ascii="Times New Roman" w:eastAsia="Arial Unicode MS" w:hAnsi="Times New Roman" w:cs="Times New Roman"/>
          <w:color w:val="000000"/>
          <w:spacing w:val="4"/>
          <w:sz w:val="24"/>
          <w:szCs w:val="24"/>
          <w:u w:color="000000"/>
          <w:shd w:val="clear" w:color="auto" w:fill="FFFFFF"/>
          <w:lang w:eastAsia="ru-RU"/>
        </w:rPr>
        <w:instrText>ADDIN CSL_CITATION {"citationItems":[{"id":"ITEM-1","itemData":{"DOI":"10.2165/00003495-199243030-00002","ISSN":"0012-6667","PMID":"1374316","abstract":"The availability of radiolabelled ligands selective for various putative neurotransmitter receptor sites and the development of quantitative autoradiography has led to a greater understanding of the neuronal pathway and receptor subtypes involved in the vomiting reflex induced by various mechanisms both within the central nervous system and the periphery. Receptors for acetylcholine, dopamine, histamine and serotonin have been detected in a number of brain regions associated with the vomiting reflex, and provide a rational basis for the antiemetic action of drugs that inhibit receptor subtypes for these neurotransmitters. The basis of the antiemetic action of other drugs such as dexamethasone and the cannabinoids is still obscure. Some drugs act on more than 1 receptor subtype. Metoclopramide may inhibit both dopamine D2- and 5-HT3 receptors in producing its antiemetic effect. Both metoclopramide and domperidone appear to have additional peripheral actions that contribute to their effectiveness. The cannabinoids are effective in cytotoxic-induced vomiting, perhaps acting via endorphin receptors or by inhibiting prostaglandin synthesis. The effectiveness of 5-HT3 receptor antagonists may depend on the block of both central and peripheral neuronal 5-HT3 receptors. Vomiting constitutes a major disadvantage to the use of many drugs; vomiting induced by aminoglycoside antibiotics appears to be due to ototoxicity and is relieved by histamine H1-receptor antagonists. The protracted vomiting associated with the use of some cytotoxics in cancer chemotherapy may involve psychic components, the chemoreceptor trigger zone and peripheral sensory neurons. Both 5-HT3 and dopamine D2-receptor antagonists exert some control, the former being more effective with cytotoxics of high emetogenic potential, such as cisplatin. Serotonin 5-HT3 receptor antagonists or high doses of metoclopramide in combination with anxiolytics and steroids as well as greater attention to pharmacokinetic profiles of the drugs involved would appear to offer improved control. The use of dopamine receptor antagonists in controlling emesis induced by dopamine agonists used in Parkinson's disease poses theoretical problems which can be overcome by using drugs with selectivity for the chemoreceptor trigger zone, such as domperidone or metoclopramide. However, higher doses of these drugs may produce some impairment of therapeutic responses to the agonists. Muscarinic and nicotinic agonists currently un…","author":[{"dropping-particle":"","family":"Mitchelson","given":"F","non-dropping-particle":"","parse-names":false,"suffix":""}],"container-title":"Drugs","id":"ITEM-1","issue":"3","issued":{"date-parts":[["1992","3"]]},"page":"295-315","publisher":"Drugs","title":"Pharmacological agents affecting emesis. A review (Part I).","type":"article-journal","volume":"43"},"uris":["http://www.mendeley.com/documents/?uuid=6413294b-6546-302d-94c0-7ddfc2715f3a"]},{"id":"ITEM-2","itemData":{"DOI":"10.1056/NEJMra0706547","ISSN":"1533-4406","PMID":"18525044","author":[{"dropping-particle":"","family":"Hesketh","given":"Paul J","non-dropping-particle":"","parse-names":false,"suffix":""}],"container-title":"The New England journal of medicine","id":"ITEM-2","issue":"23","issued":{"date-parts":[["2008","6","5"]]},"page":"2482-94","publisher":"N Engl J Med","title":"Chemotherapy-induced nausea and vomiting.","type":"article-journal","volume":"358"},"uris":["http://www.mendeley.com/documents/?uuid=d4c013ad-dfd9-3f7f-9fe5-dac16018e29f"]},{"id":"ITEM-3","itemData":{"DOI":"10.1159/000227649","ISSN":"0030-2414","PMID":"8692545","abstract":"The introduction of 5-HT3 antagonists, such as ondansetron, as antiemetic agents has transformed the management of patients receiving chemotherapy or radiation therapy. Studies in animal models with NK1 antagonists suggest that these represent a new class of antiemetic agents having a broader spectrum of activity than 5-HT3 antagonists. Compounds of this class may prove to be more effective in man against delayed emesis induced by cisplatin, post-operative nausea and vomiting and motion sickness. Thus, they have the potential to complement 5-HT3 antagonists and so provide a further advance in the management of nausea and vomiting.","author":[{"dropping-particle":"","family":"Bountra","given":"C","non-dropping-particle":"","parse-names":false,"suffix":""},{"dropping-particle":"","family":"Gale","given":"J D","non-dropping-particle":"","parse-names":false,"suffix":""},{"dropping-particle":"","family":"Gardner","given":"C J","non-dropping-particle":"","parse-names":false,"suffix":""},{"dropping-particle":"","family":"Jordan","given":"C C","non-dropping-particle":"","parse-names":false,"suffix":""},{"dropping-particle":"","family":"Kilpatrick","given":"G J","non-dropping-particle":"","parse-names":false,"suffix":""},{"dropping-particle":"","family":"Twissell","given":"D J","non-dropping-particle":"","parse-names":false,"suffix":""},{"dropping-particle":"","family":"Ward","given":"P","non-dropping-particle":"","parse-names":false,"suffix":""}],"container-title":"Oncology","id":"ITEM-3","issued":{"date-parts":[["1996","6"]]},"page":"102-9","publisher":"Oncology","title":"Towards understanding the aetiology and pathophysiology of the emetic reflex: novel approaches to antiemetic drugs.","type":"article-journal","volume":"53 Suppl 1"},"uris":["http://www.mendeley.com/documents/?uuid=830d233e-c00a-3c41-b57d-bca3da946a50"]}],"mendeley":{"formattedCitation":"[24, 43, 52]","plainTextFormattedCitation":"[24, 43, 52]","previouslyFormattedCitation":"[24, 42, 51]"},"properties":{"noteIndex":0},"schema":"https://github.com/citation-style-language/schema/raw/master/csl-citation.json"}</w:instrText>
      </w:r>
      <w:r w:rsidR="00354B20">
        <w:rPr>
          <w:rFonts w:ascii="Times New Roman" w:eastAsia="Arial Unicode MS" w:hAnsi="Times New Roman" w:cs="Times New Roman"/>
          <w:color w:val="000000"/>
          <w:spacing w:val="4"/>
          <w:sz w:val="24"/>
          <w:szCs w:val="24"/>
          <w:u w:color="000000"/>
          <w:shd w:val="clear" w:color="auto" w:fill="FFFFFF"/>
          <w:lang w:eastAsia="ru-RU"/>
        </w:rPr>
        <w:fldChar w:fldCharType="separate"/>
      </w:r>
      <w:r w:rsidR="009C1B46" w:rsidRPr="009C1B46">
        <w:rPr>
          <w:rFonts w:ascii="Times New Roman" w:eastAsia="Arial Unicode MS" w:hAnsi="Times New Roman" w:cs="Times New Roman"/>
          <w:noProof/>
          <w:color w:val="000000"/>
          <w:spacing w:val="4"/>
          <w:sz w:val="24"/>
          <w:szCs w:val="24"/>
          <w:u w:color="000000"/>
          <w:shd w:val="clear" w:color="auto" w:fill="FFFFFF"/>
          <w:lang w:eastAsia="ru-RU"/>
        </w:rPr>
        <w:t>[24, 43, 52]</w:t>
      </w:r>
      <w:r w:rsidR="00354B20">
        <w:rPr>
          <w:rFonts w:ascii="Times New Roman" w:eastAsia="Arial Unicode MS" w:hAnsi="Times New Roman" w:cs="Times New Roman"/>
          <w:color w:val="000000"/>
          <w:spacing w:val="4"/>
          <w:sz w:val="24"/>
          <w:szCs w:val="24"/>
          <w:u w:color="000000"/>
          <w:shd w:val="clear" w:color="auto" w:fill="FFFFFF"/>
          <w:lang w:eastAsia="ru-RU"/>
        </w:rPr>
        <w:fldChar w:fldCharType="end"/>
      </w:r>
      <w:r w:rsidRPr="00212D51">
        <w:rPr>
          <w:rFonts w:ascii="Times New Roman" w:eastAsia="Arial Unicode MS" w:hAnsi="Times New Roman" w:cs="Times New Roman"/>
          <w:color w:val="000000"/>
          <w:spacing w:val="4"/>
          <w:sz w:val="24"/>
          <w:szCs w:val="24"/>
          <w:u w:color="000000"/>
          <w:shd w:val="clear" w:color="auto" w:fill="FFFFFF"/>
          <w:lang w:eastAsia="ru-RU"/>
        </w:rPr>
        <w:t>.</w:t>
      </w:r>
    </w:p>
    <w:p w:rsidR="00212D51" w:rsidRPr="00212D51" w:rsidRDefault="00234A68"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b/>
          <w:color w:val="000000"/>
          <w:spacing w:val="4"/>
          <w:sz w:val="24"/>
          <w:szCs w:val="24"/>
          <w:u w:color="000000"/>
          <w:shd w:val="clear" w:color="auto" w:fill="FFFFFF"/>
          <w:lang w:eastAsia="ru-RU"/>
        </w:rPr>
      </w:pPr>
      <w:r>
        <w:rPr>
          <w:rFonts w:ascii="Times New Roman" w:eastAsia="Arial Unicode MS" w:hAnsi="Times New Roman" w:cs="Times New Roman"/>
          <w:b/>
          <w:color w:val="000000"/>
          <w:spacing w:val="4"/>
          <w:sz w:val="24"/>
          <w:szCs w:val="24"/>
          <w:u w:color="000000"/>
          <w:shd w:val="clear" w:color="auto" w:fill="FFFFFF"/>
          <w:lang w:eastAsia="ru-RU"/>
        </w:rPr>
        <w:t xml:space="preserve">3.2.1 </w:t>
      </w:r>
      <w:r w:rsidR="00212D51" w:rsidRPr="00212D51">
        <w:rPr>
          <w:rFonts w:ascii="Times New Roman" w:eastAsia="Arial Unicode MS" w:hAnsi="Times New Roman" w:cs="Times New Roman"/>
          <w:b/>
          <w:color w:val="000000"/>
          <w:spacing w:val="4"/>
          <w:sz w:val="24"/>
          <w:szCs w:val="24"/>
          <w:u w:color="000000"/>
          <w:shd w:val="clear" w:color="auto" w:fill="FFFFFF"/>
          <w:lang w:eastAsia="ru-RU"/>
        </w:rPr>
        <w:t>Типы тошноты и рвоты</w:t>
      </w:r>
    </w:p>
    <w:p w:rsidR="00212D51" w:rsidRPr="00212D51" w:rsidRDefault="00212D51" w:rsidP="00780185">
      <w:pPr>
        <w:numPr>
          <w:ilvl w:val="0"/>
          <w:numId w:val="12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Острая рвота развивается в первые 24 ч после ХТ, отличается высокой интенсивностью, редко сопровождается тошнотой.</w:t>
      </w:r>
    </w:p>
    <w:p w:rsidR="00212D51" w:rsidRPr="00212D51" w:rsidRDefault="00212D51" w:rsidP="00780185">
      <w:pPr>
        <w:numPr>
          <w:ilvl w:val="0"/>
          <w:numId w:val="12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Отсроченная рвота развивается на 2-5 сутки после начала ХТ, менее интенсивна, чем острая, и, как правило, сопровождается постоянной тошнотой.</w:t>
      </w:r>
    </w:p>
    <w:p w:rsidR="00212D51" w:rsidRPr="00212D51" w:rsidRDefault="00212D51" w:rsidP="00780185">
      <w:pPr>
        <w:numPr>
          <w:ilvl w:val="0"/>
          <w:numId w:val="12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Условно-рефлекторная рвота представляет собой классический условный рефлекс на ХТ и/или сопутствующие ей манипуляции и окружающую обстановку. Риск ее развития увеличивается пропорционально числу проведенных курсов и может сохраняться в течение длительного времени после окончания ХТ.</w:t>
      </w:r>
    </w:p>
    <w:p w:rsidR="00212D51" w:rsidRPr="00212D51" w:rsidRDefault="00212D51" w:rsidP="00780185">
      <w:pPr>
        <w:numPr>
          <w:ilvl w:val="0"/>
          <w:numId w:val="12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Неконтролируемая тошнота и рвота развивается на фоне адекватной антиэметической профилактики и требует дополнительной коррекции.</w:t>
      </w:r>
    </w:p>
    <w:p w:rsidR="00212D51" w:rsidRPr="00212D51" w:rsidRDefault="00212D51" w:rsidP="00780185">
      <w:pPr>
        <w:numPr>
          <w:ilvl w:val="0"/>
          <w:numId w:val="12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lastRenderedPageBreak/>
        <w:t>Рефрактерная рвота возникает на последующих циклах ХТ при неэффективности противорвотной профилактики и / или препаратов резерва на предыдущих курсах лечения.</w:t>
      </w:r>
    </w:p>
    <w:p w:rsidR="00212D51" w:rsidRPr="00234A68" w:rsidRDefault="00212D51" w:rsidP="00780185">
      <w:pPr>
        <w:pStyle w:val="a3"/>
        <w:numPr>
          <w:ilvl w:val="2"/>
          <w:numId w:val="125"/>
        </w:numPr>
        <w:shd w:val="clear" w:color="auto" w:fill="FFFFFF"/>
        <w:tabs>
          <w:tab w:val="left" w:pos="0"/>
          <w:tab w:val="left" w:pos="394"/>
        </w:tabs>
        <w:spacing w:before="5" w:after="0" w:line="360" w:lineRule="auto"/>
        <w:jc w:val="both"/>
        <w:rPr>
          <w:rFonts w:ascii="Times New Roman" w:eastAsia="Arial Unicode MS" w:hAnsi="Times New Roman" w:cs="Times New Roman"/>
          <w:b/>
          <w:color w:val="000000"/>
          <w:spacing w:val="4"/>
          <w:sz w:val="24"/>
          <w:szCs w:val="24"/>
          <w:u w:color="000000"/>
          <w:shd w:val="clear" w:color="auto" w:fill="FFFFFF"/>
          <w:lang w:eastAsia="ru-RU"/>
        </w:rPr>
      </w:pPr>
      <w:r w:rsidRPr="00234A68">
        <w:rPr>
          <w:rFonts w:ascii="Times New Roman" w:eastAsia="Arial Unicode MS" w:hAnsi="Times New Roman" w:cs="Times New Roman"/>
          <w:b/>
          <w:color w:val="000000"/>
          <w:spacing w:val="4"/>
          <w:sz w:val="24"/>
          <w:szCs w:val="24"/>
          <w:u w:color="000000"/>
          <w:shd w:val="clear" w:color="auto" w:fill="FFFFFF"/>
          <w:lang w:eastAsia="ru-RU"/>
        </w:rPr>
        <w:t>Эметогенный потенциал противоопухолевых препаратов</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Эметогенный потенциал – это риск развития рвоты у больных, получающих противоопухолевый препарат (в монорежиме) без противорвотной терапии. Выделено 4 градации эметогенного потенциала:</w:t>
      </w:r>
    </w:p>
    <w:p w:rsidR="00212D51" w:rsidRPr="00212D51" w:rsidRDefault="00212D51" w:rsidP="00780185">
      <w:pPr>
        <w:numPr>
          <w:ilvl w:val="0"/>
          <w:numId w:val="11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минимальный -  развитие рвоты менее чем у 10% больных;</w:t>
      </w:r>
    </w:p>
    <w:p w:rsidR="00212D51" w:rsidRPr="00212D51" w:rsidRDefault="00212D51" w:rsidP="00780185">
      <w:pPr>
        <w:numPr>
          <w:ilvl w:val="0"/>
          <w:numId w:val="11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низкий - развитие рвоты у 10 - 30% больных;</w:t>
      </w:r>
    </w:p>
    <w:p w:rsidR="00212D51" w:rsidRPr="00212D51" w:rsidRDefault="00212D51" w:rsidP="00780185">
      <w:pPr>
        <w:numPr>
          <w:ilvl w:val="0"/>
          <w:numId w:val="11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средний - развитие рвоты у 30 - 90% больных;</w:t>
      </w:r>
    </w:p>
    <w:p w:rsidR="00212D51" w:rsidRPr="00212D51" w:rsidRDefault="00212D51" w:rsidP="00780185">
      <w:pPr>
        <w:numPr>
          <w:ilvl w:val="0"/>
          <w:numId w:val="113"/>
        </w:numPr>
        <w:shd w:val="clear" w:color="auto" w:fill="FFFFFF"/>
        <w:tabs>
          <w:tab w:val="left" w:pos="0"/>
          <w:tab w:val="left" w:pos="394"/>
        </w:tabs>
        <w:spacing w:before="5" w:after="0" w:line="360" w:lineRule="auto"/>
        <w:ind w:left="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высокий - развитие рвоты более чем у 90 % больных.</w:t>
      </w:r>
    </w:p>
    <w:p w:rsidR="00234A68" w:rsidRDefault="00212D51" w:rsidP="00234A68">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Рекомендации экспертов по принципа</w:t>
      </w:r>
      <w:r w:rsidR="00B02228">
        <w:rPr>
          <w:rFonts w:ascii="Times New Roman" w:eastAsia="Arial Unicode MS" w:hAnsi="Times New Roman" w:cs="Times New Roman"/>
          <w:color w:val="000000"/>
          <w:spacing w:val="4"/>
          <w:sz w:val="24"/>
          <w:szCs w:val="24"/>
          <w:u w:color="000000"/>
          <w:shd w:val="clear" w:color="auto" w:fill="FFFFFF"/>
          <w:lang w:eastAsia="ru-RU"/>
        </w:rPr>
        <w:t>м противор</w:t>
      </w:r>
      <w:r w:rsidRPr="00212D51">
        <w:rPr>
          <w:rFonts w:ascii="Times New Roman" w:eastAsia="Arial Unicode MS" w:hAnsi="Times New Roman" w:cs="Times New Roman"/>
          <w:color w:val="000000"/>
          <w:spacing w:val="4"/>
          <w:sz w:val="24"/>
          <w:szCs w:val="24"/>
          <w:u w:color="000000"/>
          <w:shd w:val="clear" w:color="auto" w:fill="FFFFFF"/>
          <w:lang w:eastAsia="ru-RU"/>
        </w:rPr>
        <w:t>вотного лечения основываются на том, в какую категорию эметогенного потенциала входит цитостатик. Эметогенный потенциал препаратов для внутривенного введения определяется, как правило, для режима однодневного введения, то есть определяется эметогенность разовой дозы. В основу эметогенной классификации таблетированных препаратов положен учет эметогенности полного курса лечения. Эметогенность комбинированного режима ХТ определяется, как правило, препаратом, обладающим наибольшим эметогенным потенциалом. Это положение является абсолютно верным для режимов, включающих высокоэметогенные цитостатики. Комбинация средне-эметогенных цитостатиков может повышать эмето</w:t>
      </w:r>
      <w:r w:rsidR="00234A68">
        <w:rPr>
          <w:rFonts w:ascii="Times New Roman" w:eastAsia="Arial Unicode MS" w:hAnsi="Times New Roman" w:cs="Times New Roman"/>
          <w:color w:val="000000"/>
          <w:spacing w:val="4"/>
          <w:sz w:val="24"/>
          <w:szCs w:val="24"/>
          <w:u w:color="000000"/>
          <w:shd w:val="clear" w:color="auto" w:fill="FFFFFF"/>
          <w:lang w:eastAsia="ru-RU"/>
        </w:rPr>
        <w:t>генность режима в целом.</w:t>
      </w:r>
      <w:r w:rsidR="00354B20">
        <w:rPr>
          <w:rFonts w:ascii="Times New Roman" w:eastAsia="Arial Unicode MS" w:hAnsi="Times New Roman" w:cs="Times New Roman"/>
          <w:color w:val="000000"/>
          <w:spacing w:val="4"/>
          <w:sz w:val="24"/>
          <w:szCs w:val="24"/>
          <w:u w:color="000000"/>
          <w:shd w:val="clear" w:color="auto" w:fill="FFFFFF"/>
          <w:lang w:eastAsia="ru-RU"/>
        </w:rPr>
        <w:fldChar w:fldCharType="begin" w:fldLock="1"/>
      </w:r>
      <w:r w:rsidR="007368BF">
        <w:rPr>
          <w:rFonts w:ascii="Times New Roman" w:eastAsia="Arial Unicode MS" w:hAnsi="Times New Roman" w:cs="Times New Roman"/>
          <w:color w:val="000000"/>
          <w:spacing w:val="4"/>
          <w:sz w:val="24"/>
          <w:szCs w:val="24"/>
          <w:u w:color="000000"/>
          <w:shd w:val="clear" w:color="auto" w:fill="FFFFFF"/>
          <w:lang w:eastAsia="ru-RU"/>
        </w:rPr>
        <w:instrText>ADDIN CSL_CITATION {"citationItems":[{"id":"ITEM-1","itemData":{"DOI":"10.1200/JCO.2010.34.4614","ISSN":"1527-7755","PMID":"21947834","abstract":"PURPOSE To update the American Society of Clinical Oncology (ASCO) guideline for antiemetics in oncology. METHODS A systematic review of the medical literature was completed to inform this update. MEDLINE, the Cochrane Collaboration Library, and meeting materials from ASCO and the Multinational Association for Supportive Care in Cancer were all searched. Primary outcomes of interest were complete response and rates of any vomiting or nausea. RESULTS Thirty-seven trials met prespecified inclusion and exclusion criteria for this systematic review. Two systematic reviews from the Cochrane Collaboration were identified; one surveyed the pediatric literature. The other compared the relative efficacy of the 5-hydroxytryptamine-3 (5-HT(3)) receptor antagonists. RECOMMENDATIONS Combined anthracycline and cyclophosphamide regimens were reclassified as highly emetic. Patients who receive this combination or any highly emetic agents should receive a 5-HT(3) receptor antagonist, dexamethasone, and a neurokinin 1 (NK(1)) receptor antagonist. A large trial validated the equivalency of fosaprepitant, a single-day intravenous formulation, with aprepitant; either therapy is appropriate. Preferential use of palonosetron is recommended for moderate emetic risk regimens, combined with dexamethasone. For low-risk agents, patients can be offered dexamethasone before the first dose of chemotherapy. Patients undergoing high emetic risk radiation therapy should receive a 5-HT(3) receptor antagonist before each fraction and for 24 hours after treatment and may receive a 5-day course of dexamethasone during fractions 1 to 5. The Update Committee noted the importance of continued symptom monitoring throughout therapy. Clinicians underestimate the incidence of nausea, which is not as well controlled as emesis.","author":[{"dropping-particle":"","family":"Basch","given":"Ethan","non-dropping-particle":"","parse-names":false,"suffix":""},{"dropping-particle":"","family":"Prestrud","given":"Ann Alexis","non-dropping-particle":"","parse-names":false,"suffix":""},{"dropping-particle":"","family":"Hesketh","given":"Paul J","non-dropping-particle":"","parse-names":false,"suffix":""},{"dropping-particle":"","family":"Kris","given":"Mark G","non-dropping-particle":"","parse-names":false,"suffix":""},{"dropping-particle":"","family":"Feyer","given":"Petra C","non-dropping-particle":"","parse-names":false,"suffix":""},{"dropping-particle":"","family":"Somerfield","given":"Mark R","non-dropping-particle":"","parse-names":false,"suffix":""},{"dropping-particle":"","family":"Chesney","given":"Maurice","non-dropping-particle":"","parse-names":false,"suffix":""},{"dropping-particle":"","family":"Clark-Snow","given":"Rebecca Anne","non-dropping-particle":"","parse-names":false,"suffix":""},{"dropping-particle":"","family":"Flaherty","given":"Anne Marie","non-dropping-particle":"","parse-names":false,"suffix":""},{"dropping-particle":"","family":"Freundlich","given":"Barbara","non-dropping-particle":"","parse-names":false,"suffix":""},{"dropping-particle":"","family":"Morrow","given":"Gary","non-dropping-particle":"","parse-names":false,"suffix":""},{"dropping-particle":"V","family":"Rao","given":"Kamakshi","non-dropping-particle":"","parse-names":false,"suffix":""},{"dropping-particle":"","family":"Schwartz","given":"Rowena N","non-dropping-particle":"","parse-names":false,"suffix":""},{"dropping-particle":"","family":"Lyman","given":"Gary H","non-dropping-particle":"","parse-names":false,"suffix":""},{"dropping-particle":"","family":"American Society of Clinical Oncology","given":"","non-dropping-particle":"","parse-names":false,"suffix":""}],"container-title":"Journal of clinical oncology : official journal of the American Society of Clinical Oncology","id":"ITEM-1","issue":"31","issued":{"date-parts":[["2011","11","1"]]},"page":"4189-98","publisher":"J Clin Oncol","title":"Antiemetics: American Society of Clinical Oncology clinical practice guideline update.","type":"article-journal","volume":"29"},"uris":["http://www.mendeley.com/documents/?uuid=0930ca8a-5d4c-3a4f-afad-ff642aeb3b01"]}],"mendeley":{"formattedCitation":"[22]","plainTextFormattedCitation":"[22]","previouslyFormattedCitation":"[22]"},"properties":{"noteIndex":0},"schema":"https://github.com/citation-style-language/schema/raw/master/csl-citation.json"}</w:instrText>
      </w:r>
      <w:r w:rsidR="00354B20">
        <w:rPr>
          <w:rFonts w:ascii="Times New Roman" w:eastAsia="Arial Unicode MS" w:hAnsi="Times New Roman" w:cs="Times New Roman"/>
          <w:color w:val="000000"/>
          <w:spacing w:val="4"/>
          <w:sz w:val="24"/>
          <w:szCs w:val="24"/>
          <w:u w:color="000000"/>
          <w:shd w:val="clear" w:color="auto" w:fill="FFFFFF"/>
          <w:lang w:eastAsia="ru-RU"/>
        </w:rPr>
        <w:fldChar w:fldCharType="separate"/>
      </w:r>
      <w:r w:rsidR="007368BF" w:rsidRPr="007368BF">
        <w:rPr>
          <w:rFonts w:ascii="Times New Roman" w:eastAsia="Arial Unicode MS" w:hAnsi="Times New Roman" w:cs="Times New Roman"/>
          <w:noProof/>
          <w:color w:val="000000"/>
          <w:spacing w:val="4"/>
          <w:sz w:val="24"/>
          <w:szCs w:val="24"/>
          <w:u w:color="000000"/>
          <w:shd w:val="clear" w:color="auto" w:fill="FFFFFF"/>
          <w:lang w:eastAsia="ru-RU"/>
        </w:rPr>
        <w:t>[22]</w:t>
      </w:r>
      <w:r w:rsidR="00354B20">
        <w:rPr>
          <w:rFonts w:ascii="Times New Roman" w:eastAsia="Arial Unicode MS" w:hAnsi="Times New Roman" w:cs="Times New Roman"/>
          <w:color w:val="000000"/>
          <w:spacing w:val="4"/>
          <w:sz w:val="24"/>
          <w:szCs w:val="24"/>
          <w:u w:color="000000"/>
          <w:shd w:val="clear" w:color="auto" w:fill="FFFFFF"/>
          <w:lang w:eastAsia="ru-RU"/>
        </w:rPr>
        <w:fldChar w:fldCharType="end"/>
      </w:r>
    </w:p>
    <w:p w:rsidR="00212D51" w:rsidRPr="00234A68" w:rsidRDefault="00234A68" w:rsidP="00234A68">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shd w:val="clear" w:color="auto" w:fill="FFFFFF"/>
          <w:lang w:eastAsia="ru-RU"/>
        </w:rPr>
      </w:pPr>
      <w:r>
        <w:rPr>
          <w:rFonts w:ascii="Times New Roman" w:eastAsia="Arial Unicode MS" w:hAnsi="Times New Roman" w:cs="Times New Roman"/>
          <w:b/>
          <w:color w:val="000000"/>
          <w:spacing w:val="4"/>
          <w:sz w:val="24"/>
          <w:szCs w:val="24"/>
          <w:u w:color="000000"/>
          <w:shd w:val="clear" w:color="auto" w:fill="FFFFFF"/>
          <w:lang w:eastAsia="ru-RU"/>
        </w:rPr>
        <w:t xml:space="preserve">3.2.3 </w:t>
      </w:r>
      <w:r w:rsidR="00212D51" w:rsidRPr="00212D51">
        <w:rPr>
          <w:rFonts w:ascii="Times New Roman" w:eastAsia="Arial Unicode MS" w:hAnsi="Times New Roman" w:cs="Times New Roman"/>
          <w:b/>
          <w:color w:val="000000"/>
          <w:spacing w:val="4"/>
          <w:sz w:val="24"/>
          <w:szCs w:val="24"/>
          <w:u w:color="000000"/>
          <w:shd w:val="clear" w:color="auto" w:fill="FFFFFF"/>
          <w:lang w:eastAsia="ru-RU"/>
        </w:rPr>
        <w:t>Схемы противоопухолевого лечения, применяемые в гематологии</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 xml:space="preserve">Курсы ХТ, применяющиеся в онкогематологии, как правило, относятся к категории среднего и высокого эметогенного потенциала. </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 xml:space="preserve">Примерами курсов со средней эметогенностью может быть: 7+3 (идарубицин+цитарабин), </w:t>
      </w:r>
      <w:r w:rsidRPr="00212D51">
        <w:rPr>
          <w:rFonts w:ascii="Times New Roman" w:eastAsia="Arial Unicode MS" w:hAnsi="Times New Roman" w:cs="Times New Roman"/>
          <w:color w:val="000000"/>
          <w:spacing w:val="4"/>
          <w:sz w:val="24"/>
          <w:szCs w:val="24"/>
          <w:u w:color="000000"/>
          <w:shd w:val="clear" w:color="auto" w:fill="FFFFFF"/>
          <w:lang w:val="en-US" w:eastAsia="ru-RU"/>
        </w:rPr>
        <w:t>VCD</w:t>
      </w:r>
      <w:r w:rsidRPr="00212D51">
        <w:rPr>
          <w:rFonts w:ascii="Times New Roman" w:eastAsia="Arial Unicode MS" w:hAnsi="Times New Roman" w:cs="Times New Roman"/>
          <w:color w:val="000000"/>
          <w:spacing w:val="4"/>
          <w:sz w:val="24"/>
          <w:szCs w:val="24"/>
          <w:u w:color="000000"/>
          <w:shd w:val="clear" w:color="auto" w:fill="FFFFFF"/>
          <w:lang w:eastAsia="ru-RU"/>
        </w:rPr>
        <w:t>, комбинации с кармустином, комбинации с мелфаланом (в средних и низких дозах).</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shd w:val="clear" w:color="auto" w:fill="FFFFFF"/>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Примеры курсов с высокой эметогенностью: DHAP, ICE, ABVD, CHOP, даунорубицин + цитарабин, применение высоких доз мелфалана, циклофосфана</w:t>
      </w:r>
      <w:r w:rsidR="00234A68">
        <w:rPr>
          <w:rFonts w:ascii="Times New Roman" w:eastAsia="Arial Unicode MS" w:hAnsi="Times New Roman" w:cs="Times New Roman"/>
          <w:color w:val="000000"/>
          <w:spacing w:val="4"/>
          <w:sz w:val="24"/>
          <w:szCs w:val="24"/>
          <w:u w:color="000000"/>
          <w:shd w:val="clear" w:color="auto" w:fill="FFFFFF"/>
          <w:lang w:eastAsia="ru-RU"/>
        </w:rPr>
        <w:t>, все режимы предтрансплантационной подготовки.</w:t>
      </w:r>
    </w:p>
    <w:p w:rsidR="00212D51" w:rsidRPr="00212D51" w:rsidRDefault="00234A68" w:rsidP="00234A68">
      <w:pPr>
        <w:shd w:val="clear" w:color="auto" w:fill="FFFFFF"/>
        <w:tabs>
          <w:tab w:val="left" w:pos="0"/>
          <w:tab w:val="left" w:pos="394"/>
        </w:tabs>
        <w:spacing w:before="5" w:after="0" w:line="360" w:lineRule="auto"/>
        <w:ind w:firstLine="709"/>
        <w:rPr>
          <w:rFonts w:ascii="Times New Roman" w:eastAsia="Arial Unicode MS" w:hAnsi="Times New Roman" w:cs="Times New Roman"/>
          <w:b/>
          <w:color w:val="000000"/>
          <w:spacing w:val="4"/>
          <w:sz w:val="24"/>
          <w:szCs w:val="24"/>
          <w:u w:color="000000"/>
          <w:lang w:eastAsia="ru-RU"/>
        </w:rPr>
      </w:pPr>
      <w:r>
        <w:rPr>
          <w:rFonts w:ascii="Times New Roman" w:eastAsia="Arial Unicode MS" w:hAnsi="Times New Roman" w:cs="Times New Roman"/>
          <w:b/>
          <w:color w:val="000000"/>
          <w:spacing w:val="4"/>
          <w:sz w:val="24"/>
          <w:szCs w:val="24"/>
          <w:u w:color="000000"/>
          <w:lang w:eastAsia="ru-RU"/>
        </w:rPr>
        <w:t xml:space="preserve">3.2.4 </w:t>
      </w:r>
      <w:r w:rsidR="00212D51" w:rsidRPr="00212D51">
        <w:rPr>
          <w:rFonts w:ascii="Times New Roman" w:eastAsia="Arial Unicode MS" w:hAnsi="Times New Roman" w:cs="Times New Roman"/>
          <w:b/>
          <w:color w:val="000000"/>
          <w:spacing w:val="4"/>
          <w:sz w:val="24"/>
          <w:szCs w:val="24"/>
          <w:u w:color="000000"/>
          <w:lang w:eastAsia="ru-RU"/>
        </w:rPr>
        <w:t>Противорвотные препараты</w:t>
      </w:r>
    </w:p>
    <w:p w:rsidR="00212D51" w:rsidRPr="00212D51" w:rsidRDefault="00212D51" w:rsidP="00234A68">
      <w:pPr>
        <w:shd w:val="clear" w:color="auto" w:fill="FFFFFF"/>
        <w:tabs>
          <w:tab w:val="left" w:pos="0"/>
          <w:tab w:val="left" w:pos="394"/>
        </w:tabs>
        <w:spacing w:before="5" w:after="0" w:line="360" w:lineRule="auto"/>
        <w:ind w:left="10" w:firstLine="69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Для клинического применения используется 5 групп препаратов, обладающих противорвотным действием:</w:t>
      </w:r>
    </w:p>
    <w:p w:rsidR="00212D51" w:rsidRPr="00212D51" w:rsidRDefault="00212D51" w:rsidP="00780185">
      <w:pPr>
        <w:numPr>
          <w:ilvl w:val="0"/>
          <w:numId w:val="114"/>
        </w:numPr>
        <w:shd w:val="clear" w:color="auto" w:fill="FFFFFF"/>
        <w:tabs>
          <w:tab w:val="left" w:pos="0"/>
          <w:tab w:val="left" w:pos="394"/>
        </w:tabs>
        <w:spacing w:before="5" w:after="0" w:line="360" w:lineRule="auto"/>
        <w:ind w:hanging="10"/>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Антагонисты 5-HT3-рецепторов (</w:t>
      </w:r>
      <w:r w:rsidRPr="00212D51">
        <w:rPr>
          <w:rFonts w:ascii="Times New Roman" w:eastAsia="Arial Unicode MS" w:hAnsi="Times New Roman" w:cs="Times New Roman"/>
          <w:color w:val="000000"/>
          <w:spacing w:val="4"/>
          <w:sz w:val="24"/>
          <w:szCs w:val="24"/>
          <w:u w:color="000000"/>
          <w:lang w:val="en-US" w:eastAsia="ru-RU"/>
        </w:rPr>
        <w:t>HT</w:t>
      </w:r>
      <w:r w:rsidRPr="00212D51">
        <w:rPr>
          <w:rFonts w:ascii="Times New Roman" w:eastAsia="Arial Unicode MS" w:hAnsi="Times New Roman" w:cs="Times New Roman"/>
          <w:color w:val="000000"/>
          <w:spacing w:val="4"/>
          <w:sz w:val="24"/>
          <w:szCs w:val="24"/>
          <w:u w:color="000000"/>
          <w:lang w:eastAsia="ru-RU"/>
        </w:rPr>
        <w:t xml:space="preserve"> - гидрокситриптамин)</w:t>
      </w:r>
    </w:p>
    <w:p w:rsidR="00212D51" w:rsidRPr="00212D51" w:rsidRDefault="00212D51" w:rsidP="00780185">
      <w:pPr>
        <w:numPr>
          <w:ilvl w:val="0"/>
          <w:numId w:val="114"/>
        </w:numPr>
        <w:shd w:val="clear" w:color="auto" w:fill="FFFFFF"/>
        <w:tabs>
          <w:tab w:val="left" w:pos="0"/>
          <w:tab w:val="left" w:pos="394"/>
        </w:tabs>
        <w:spacing w:before="5" w:after="0" w:line="360" w:lineRule="auto"/>
        <w:ind w:hanging="10"/>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bCs/>
          <w:color w:val="000000"/>
          <w:spacing w:val="4"/>
          <w:sz w:val="24"/>
          <w:szCs w:val="24"/>
          <w:u w:color="000000"/>
          <w:lang w:eastAsia="ru-RU"/>
        </w:rPr>
        <w:lastRenderedPageBreak/>
        <w:t>Кортикостероиды</w:t>
      </w:r>
    </w:p>
    <w:p w:rsidR="00212D51" w:rsidRPr="00212D51" w:rsidRDefault="00212D51" w:rsidP="00780185">
      <w:pPr>
        <w:numPr>
          <w:ilvl w:val="0"/>
          <w:numId w:val="114"/>
        </w:numPr>
        <w:shd w:val="clear" w:color="auto" w:fill="FFFFFF"/>
        <w:tabs>
          <w:tab w:val="left" w:pos="0"/>
          <w:tab w:val="left" w:pos="394"/>
        </w:tabs>
        <w:spacing w:before="5" w:after="0" w:line="360" w:lineRule="auto"/>
        <w:ind w:hanging="10"/>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bCs/>
          <w:color w:val="000000"/>
          <w:spacing w:val="4"/>
          <w:sz w:val="24"/>
          <w:szCs w:val="24"/>
          <w:u w:color="000000"/>
          <w:lang w:eastAsia="ru-RU"/>
        </w:rPr>
        <w:t>Антагонисты NK1-рецепторов</w:t>
      </w:r>
    </w:p>
    <w:p w:rsidR="00212D51" w:rsidRPr="00212D51" w:rsidRDefault="00212D51" w:rsidP="00780185">
      <w:pPr>
        <w:numPr>
          <w:ilvl w:val="0"/>
          <w:numId w:val="114"/>
        </w:numPr>
        <w:shd w:val="clear" w:color="auto" w:fill="FFFFFF"/>
        <w:tabs>
          <w:tab w:val="left" w:pos="0"/>
          <w:tab w:val="left" w:pos="394"/>
        </w:tabs>
        <w:spacing w:before="5" w:after="0" w:line="360" w:lineRule="auto"/>
        <w:ind w:hanging="10"/>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bCs/>
          <w:color w:val="000000"/>
          <w:spacing w:val="4"/>
          <w:sz w:val="24"/>
          <w:szCs w:val="24"/>
          <w:u w:color="000000"/>
          <w:lang w:eastAsia="ru-RU"/>
        </w:rPr>
        <w:t>Блокаторы рецепторов допамина</w:t>
      </w:r>
    </w:p>
    <w:p w:rsidR="00212D51" w:rsidRPr="00212D51" w:rsidRDefault="00212D51" w:rsidP="00780185">
      <w:pPr>
        <w:numPr>
          <w:ilvl w:val="0"/>
          <w:numId w:val="114"/>
        </w:numPr>
        <w:shd w:val="clear" w:color="auto" w:fill="FFFFFF"/>
        <w:tabs>
          <w:tab w:val="left" w:pos="0"/>
          <w:tab w:val="left" w:pos="394"/>
        </w:tabs>
        <w:spacing w:before="5" w:after="0" w:line="360" w:lineRule="auto"/>
        <w:ind w:hanging="10"/>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bCs/>
          <w:color w:val="000000"/>
          <w:spacing w:val="4"/>
          <w:sz w:val="24"/>
          <w:szCs w:val="24"/>
          <w:u w:color="000000"/>
          <w:lang w:eastAsia="ru-RU"/>
        </w:rPr>
        <w:t>Нейролептики</w:t>
      </w:r>
    </w:p>
    <w:p w:rsidR="00212D51" w:rsidRPr="00212D51" w:rsidRDefault="00212D51" w:rsidP="00234A68">
      <w:pPr>
        <w:shd w:val="clear" w:color="auto" w:fill="FFFFFF"/>
        <w:tabs>
          <w:tab w:val="left" w:pos="0"/>
          <w:tab w:val="left" w:pos="394"/>
        </w:tabs>
        <w:spacing w:before="5" w:after="0" w:line="360" w:lineRule="auto"/>
        <w:ind w:left="10" w:firstLine="709"/>
        <w:jc w:val="center"/>
        <w:rPr>
          <w:rFonts w:ascii="Times New Roman" w:eastAsia="Arial Unicode MS" w:hAnsi="Times New Roman" w:cs="Times New Roman"/>
          <w:b/>
          <w:color w:val="000000"/>
          <w:spacing w:val="4"/>
          <w:sz w:val="24"/>
          <w:szCs w:val="24"/>
          <w:u w:color="000000"/>
          <w:lang w:eastAsia="ru-RU"/>
        </w:rPr>
      </w:pPr>
      <w:r w:rsidRPr="00212D51">
        <w:rPr>
          <w:rFonts w:ascii="Times New Roman" w:eastAsia="Arial Unicode MS" w:hAnsi="Times New Roman" w:cs="Times New Roman"/>
          <w:b/>
          <w:color w:val="000000"/>
          <w:spacing w:val="4"/>
          <w:sz w:val="24"/>
          <w:szCs w:val="24"/>
          <w:u w:color="000000"/>
          <w:lang w:eastAsia="ru-RU"/>
        </w:rPr>
        <w:t>Антагонисты 5-HT3-рецепторов</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 xml:space="preserve">В эту группу препаратов входят ондансетрон, гранисетрон, трописетрон, палоносетрон. Механизм действия обусловлен способностью селективно блокировать серотониновые 5-HT3-рецепторы. В возникновении тошноты и рвоты при проведении противоопухолевой терапии важную роль играет стимуляция афферентных волокон блуждающего нерва серотонином, выделяющимся из энтерохромаффинных клеток слизистой оболочки желудочно-кишечного тракта (ЖКТ). Блокируя 5-HT3-рецепторы, препараты этой группы предупреждают возникновение рвотного рефлекса. Кроме того, антагонисты 5-HT3-рецепторов угнетают центральные звенья рвотного рефлекса, блокируя 5-HT3-рецепторы дна IV желудочка. </w:t>
      </w:r>
    </w:p>
    <w:p w:rsidR="00212D51" w:rsidRPr="00212D51" w:rsidRDefault="00212D51" w:rsidP="00212D51">
      <w:pPr>
        <w:shd w:val="clear" w:color="auto" w:fill="FFFFFF"/>
        <w:tabs>
          <w:tab w:val="left" w:pos="0"/>
          <w:tab w:val="left" w:pos="394"/>
        </w:tabs>
        <w:spacing w:before="5" w:after="0" w:line="360" w:lineRule="auto"/>
        <w:ind w:left="10"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 xml:space="preserve">В таблице </w:t>
      </w:r>
      <w:r w:rsidR="003B2A99">
        <w:rPr>
          <w:rFonts w:ascii="Times New Roman" w:eastAsia="Arial Unicode MS" w:hAnsi="Times New Roman" w:cs="Times New Roman"/>
          <w:color w:val="000000"/>
          <w:spacing w:val="4"/>
          <w:sz w:val="24"/>
          <w:szCs w:val="24"/>
          <w:u w:color="000000"/>
          <w:lang w:eastAsia="ru-RU"/>
        </w:rPr>
        <w:t>1</w:t>
      </w:r>
      <w:r w:rsidR="00566401">
        <w:rPr>
          <w:rFonts w:ascii="Times New Roman" w:eastAsia="Arial Unicode MS" w:hAnsi="Times New Roman" w:cs="Times New Roman"/>
          <w:color w:val="000000"/>
          <w:spacing w:val="4"/>
          <w:sz w:val="24"/>
          <w:szCs w:val="24"/>
          <w:u w:color="000000"/>
          <w:lang w:eastAsia="ru-RU"/>
        </w:rPr>
        <w:t>0</w:t>
      </w:r>
      <w:r w:rsidRPr="00212D51">
        <w:rPr>
          <w:rFonts w:ascii="Times New Roman" w:eastAsia="Arial Unicode MS" w:hAnsi="Times New Roman" w:cs="Times New Roman"/>
          <w:color w:val="000000"/>
          <w:spacing w:val="4"/>
          <w:sz w:val="24"/>
          <w:szCs w:val="24"/>
          <w:u w:color="000000"/>
          <w:lang w:eastAsia="ru-RU"/>
        </w:rPr>
        <w:t xml:space="preserve"> указан режим дозирования антагонистов 5-HT3-рецепторов. Препараты назначаются за 30-60 минут до ХТ.</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b/>
          <w:color w:val="000000"/>
          <w:spacing w:val="4"/>
          <w:sz w:val="24"/>
          <w:szCs w:val="24"/>
          <w:u w:color="000000"/>
          <w:lang w:eastAsia="ru-RU"/>
        </w:rPr>
      </w:pPr>
      <w:r w:rsidRPr="00212D51">
        <w:rPr>
          <w:rFonts w:ascii="Times New Roman" w:eastAsia="Arial Unicode MS" w:hAnsi="Times New Roman" w:cs="Times New Roman"/>
          <w:b/>
          <w:color w:val="000000"/>
          <w:spacing w:val="4"/>
          <w:sz w:val="24"/>
          <w:szCs w:val="24"/>
          <w:u w:color="000000"/>
          <w:lang w:eastAsia="ru-RU"/>
        </w:rPr>
        <w:t xml:space="preserve">Таблица </w:t>
      </w:r>
      <w:r w:rsidR="003B2A99">
        <w:rPr>
          <w:rFonts w:ascii="Times New Roman" w:eastAsia="Arial Unicode MS" w:hAnsi="Times New Roman" w:cs="Times New Roman"/>
          <w:b/>
          <w:color w:val="000000"/>
          <w:spacing w:val="4"/>
          <w:sz w:val="24"/>
          <w:szCs w:val="24"/>
          <w:u w:color="000000"/>
          <w:lang w:eastAsia="ru-RU"/>
        </w:rPr>
        <w:t>1</w:t>
      </w:r>
      <w:r w:rsidR="00566401">
        <w:rPr>
          <w:rFonts w:ascii="Times New Roman" w:eastAsia="Arial Unicode MS" w:hAnsi="Times New Roman" w:cs="Times New Roman"/>
          <w:b/>
          <w:color w:val="000000"/>
          <w:spacing w:val="4"/>
          <w:sz w:val="24"/>
          <w:szCs w:val="24"/>
          <w:u w:color="000000"/>
          <w:lang w:eastAsia="ru-RU"/>
        </w:rPr>
        <w:t>0</w:t>
      </w:r>
      <w:r w:rsidRPr="00212D51">
        <w:rPr>
          <w:rFonts w:ascii="Times New Roman" w:eastAsia="Arial Unicode MS" w:hAnsi="Times New Roman" w:cs="Times New Roman"/>
          <w:b/>
          <w:color w:val="000000"/>
          <w:spacing w:val="4"/>
          <w:sz w:val="24"/>
          <w:szCs w:val="24"/>
          <w:u w:color="000000"/>
          <w:lang w:eastAsia="ru-RU"/>
        </w:rPr>
        <w:t xml:space="preserve"> . Режим дозирования антагонистов 5-HT3-рецепторов </w:t>
      </w:r>
    </w:p>
    <w:tbl>
      <w:tblPr>
        <w:tblStyle w:val="21"/>
        <w:tblW w:w="0" w:type="auto"/>
        <w:jc w:val="center"/>
        <w:tblLook w:val="04A0" w:firstRow="1" w:lastRow="0" w:firstColumn="1" w:lastColumn="0" w:noHBand="0" w:noVBand="1"/>
      </w:tblPr>
      <w:tblGrid>
        <w:gridCol w:w="2220"/>
        <w:gridCol w:w="2331"/>
        <w:gridCol w:w="3982"/>
      </w:tblGrid>
      <w:tr w:rsidR="00212D51" w:rsidRPr="00212D51" w:rsidTr="00234A68">
        <w:trPr>
          <w:jc w:val="center"/>
        </w:trPr>
        <w:tc>
          <w:tcPr>
            <w:tcW w:w="2220" w:type="dxa"/>
          </w:tcPr>
          <w:p w:rsidR="00212D51" w:rsidRPr="00212D51" w:rsidRDefault="00212D51" w:rsidP="00234A68">
            <w:pPr>
              <w:tabs>
                <w:tab w:val="left" w:pos="0"/>
              </w:tabs>
              <w:spacing w:line="360" w:lineRule="auto"/>
              <w:ind w:firstLine="48"/>
              <w:jc w:val="both"/>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Препарат</w:t>
            </w:r>
          </w:p>
        </w:tc>
        <w:tc>
          <w:tcPr>
            <w:tcW w:w="2331" w:type="dxa"/>
          </w:tcPr>
          <w:p w:rsidR="00212D51" w:rsidRPr="00212D51" w:rsidRDefault="00212D51" w:rsidP="00234A68">
            <w:pPr>
              <w:tabs>
                <w:tab w:val="left" w:pos="0"/>
              </w:tabs>
              <w:spacing w:line="360" w:lineRule="auto"/>
              <w:ind w:firstLine="96"/>
              <w:jc w:val="both"/>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Разовая доза, мг</w:t>
            </w:r>
          </w:p>
        </w:tc>
        <w:tc>
          <w:tcPr>
            <w:tcW w:w="3982" w:type="dxa"/>
          </w:tcPr>
          <w:p w:rsidR="00212D51" w:rsidRPr="00212D51" w:rsidRDefault="00212D51" w:rsidP="00234A68">
            <w:pPr>
              <w:tabs>
                <w:tab w:val="left" w:pos="0"/>
              </w:tabs>
              <w:spacing w:line="360" w:lineRule="auto"/>
              <w:ind w:firstLine="96"/>
              <w:jc w:val="both"/>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Режим дозирования</w:t>
            </w:r>
          </w:p>
        </w:tc>
      </w:tr>
      <w:tr w:rsidR="00212D51" w:rsidRPr="00212D51" w:rsidTr="00234A68">
        <w:trPr>
          <w:jc w:val="center"/>
        </w:trPr>
        <w:tc>
          <w:tcPr>
            <w:tcW w:w="2220" w:type="dxa"/>
          </w:tcPr>
          <w:p w:rsidR="00212D51" w:rsidRPr="00212D51" w:rsidRDefault="00212D51" w:rsidP="00234A68">
            <w:pPr>
              <w:tabs>
                <w:tab w:val="left" w:pos="0"/>
              </w:tabs>
              <w:spacing w:line="360" w:lineRule="auto"/>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Ондансетрон</w:t>
            </w:r>
          </w:p>
        </w:tc>
        <w:tc>
          <w:tcPr>
            <w:tcW w:w="2331" w:type="dxa"/>
          </w:tcPr>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8</w:t>
            </w:r>
          </w:p>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16 </w:t>
            </w:r>
          </w:p>
        </w:tc>
        <w:tc>
          <w:tcPr>
            <w:tcW w:w="3982" w:type="dxa"/>
          </w:tcPr>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в/в </w:t>
            </w:r>
          </w:p>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внутрь</w:t>
            </w:r>
          </w:p>
        </w:tc>
      </w:tr>
      <w:tr w:rsidR="00212D51" w:rsidRPr="00212D51" w:rsidTr="00234A68">
        <w:trPr>
          <w:jc w:val="center"/>
        </w:trPr>
        <w:tc>
          <w:tcPr>
            <w:tcW w:w="2220" w:type="dxa"/>
          </w:tcPr>
          <w:p w:rsidR="00212D51" w:rsidRPr="00212D51" w:rsidRDefault="00212D51" w:rsidP="00234A68">
            <w:pPr>
              <w:tabs>
                <w:tab w:val="left" w:pos="0"/>
              </w:tabs>
              <w:spacing w:line="360" w:lineRule="auto"/>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Гранисетрон</w:t>
            </w:r>
          </w:p>
        </w:tc>
        <w:tc>
          <w:tcPr>
            <w:tcW w:w="2331" w:type="dxa"/>
          </w:tcPr>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1-3</w:t>
            </w:r>
          </w:p>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2</w:t>
            </w:r>
          </w:p>
        </w:tc>
        <w:tc>
          <w:tcPr>
            <w:tcW w:w="3982" w:type="dxa"/>
          </w:tcPr>
          <w:p w:rsidR="00212D51" w:rsidRPr="00212D51" w:rsidRDefault="00234A68" w:rsidP="00212D51">
            <w:pPr>
              <w:tabs>
                <w:tab w:val="left" w:pos="0"/>
              </w:tabs>
              <w:spacing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в/в </w:t>
            </w:r>
          </w:p>
          <w:p w:rsidR="00212D51" w:rsidRPr="00212D51" w:rsidRDefault="00212D51" w:rsidP="00212D51">
            <w:pPr>
              <w:spacing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lang w:eastAsia="ru-RU"/>
              </w:rPr>
              <w:t>внутрь</w:t>
            </w:r>
          </w:p>
        </w:tc>
      </w:tr>
      <w:tr w:rsidR="00212D51" w:rsidRPr="00212D51" w:rsidTr="00234A68">
        <w:trPr>
          <w:jc w:val="center"/>
        </w:trPr>
        <w:tc>
          <w:tcPr>
            <w:tcW w:w="2220" w:type="dxa"/>
          </w:tcPr>
          <w:p w:rsidR="00212D51" w:rsidRPr="00212D51" w:rsidRDefault="00212D51" w:rsidP="00234A68">
            <w:pPr>
              <w:tabs>
                <w:tab w:val="left" w:pos="0"/>
              </w:tabs>
              <w:spacing w:line="360" w:lineRule="auto"/>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Трописетрон</w:t>
            </w:r>
          </w:p>
        </w:tc>
        <w:tc>
          <w:tcPr>
            <w:tcW w:w="2331" w:type="dxa"/>
          </w:tcPr>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5 </w:t>
            </w:r>
          </w:p>
        </w:tc>
        <w:tc>
          <w:tcPr>
            <w:tcW w:w="3982" w:type="dxa"/>
          </w:tcPr>
          <w:p w:rsidR="00212D51" w:rsidRPr="00212D51" w:rsidRDefault="00212D51" w:rsidP="00212D51">
            <w:pPr>
              <w:spacing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lang w:eastAsia="ru-RU"/>
              </w:rPr>
              <w:t>в/в или внутрь</w:t>
            </w:r>
          </w:p>
        </w:tc>
      </w:tr>
      <w:tr w:rsidR="00212D51" w:rsidRPr="00212D51" w:rsidTr="00234A68">
        <w:trPr>
          <w:jc w:val="center"/>
        </w:trPr>
        <w:tc>
          <w:tcPr>
            <w:tcW w:w="2220" w:type="dxa"/>
          </w:tcPr>
          <w:p w:rsidR="00212D51" w:rsidRPr="00212D51" w:rsidRDefault="00212D51" w:rsidP="00234A68">
            <w:pPr>
              <w:tabs>
                <w:tab w:val="left" w:pos="0"/>
              </w:tabs>
              <w:spacing w:line="360" w:lineRule="auto"/>
              <w:jc w:val="both"/>
              <w:rPr>
                <w:rFonts w:ascii="Times New Roman" w:hAnsi="Times New Roman" w:cs="Times New Roman"/>
                <w:sz w:val="24"/>
                <w:szCs w:val="24"/>
                <w:lang w:eastAsia="ru-RU"/>
              </w:rPr>
            </w:pPr>
            <w:r w:rsidRPr="00212D51">
              <w:rPr>
                <w:rFonts w:ascii="Times New Roman" w:hAnsi="Times New Roman" w:cs="Times New Roman"/>
                <w:sz w:val="24"/>
                <w:szCs w:val="24"/>
              </w:rPr>
              <w:t>Палоносетрон</w:t>
            </w:r>
          </w:p>
        </w:tc>
        <w:tc>
          <w:tcPr>
            <w:tcW w:w="2331" w:type="dxa"/>
          </w:tcPr>
          <w:p w:rsidR="00212D51" w:rsidRPr="00212D51" w:rsidRDefault="00212D51" w:rsidP="00212D51">
            <w:pPr>
              <w:tabs>
                <w:tab w:val="left" w:pos="0"/>
              </w:tabs>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0,25</w:t>
            </w:r>
          </w:p>
        </w:tc>
        <w:tc>
          <w:tcPr>
            <w:tcW w:w="3982" w:type="dxa"/>
          </w:tcPr>
          <w:p w:rsidR="00212D51" w:rsidRPr="00212D51" w:rsidRDefault="00212D51" w:rsidP="00212D51">
            <w:pPr>
              <w:spacing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lang w:eastAsia="ru-RU"/>
              </w:rPr>
              <w:t>в/в, однократно</w:t>
            </w:r>
          </w:p>
        </w:tc>
      </w:tr>
    </w:tbl>
    <w:p w:rsidR="00234A68" w:rsidRDefault="00212D51" w:rsidP="00234A68">
      <w:pPr>
        <w:spacing w:before="240" w:after="0"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Рекомендуется мониторинг ЭКГ, электролитов у больных с признаками кардиальных нарушений. Антагонисты 5-HT3-рецепторов могут удлинять интервал QT. </w:t>
      </w:r>
    </w:p>
    <w:p w:rsidR="00234A68" w:rsidRDefault="00212D51" w:rsidP="00234A68">
      <w:pPr>
        <w:spacing w:after="0"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У пациентов с врожденным синдромом удлинения QT следует избегать применения 5-HT3-антагонистов, за исключением палоносетрона, который не оказывает влияния на интервал QT. Палоносетрон является препаратом последнего поколения. </w:t>
      </w:r>
    </w:p>
    <w:p w:rsidR="00212D51" w:rsidRDefault="00212D51" w:rsidP="00234A68">
      <w:pPr>
        <w:spacing w:after="0"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Это высокоселективный антагонист серотониновых рецепторов, имеющий самый длительный период полувыведения (до 40 часов). Применяется однократно с 1-го дня 1-го цикла при однодневном курсе ХТ и через день - при многодневном курсе ХТ.</w:t>
      </w:r>
    </w:p>
    <w:p w:rsidR="003B2A99" w:rsidRDefault="003B2A99" w:rsidP="00234A68">
      <w:pPr>
        <w:spacing w:line="360" w:lineRule="auto"/>
        <w:ind w:left="709"/>
        <w:contextualSpacing/>
        <w:jc w:val="center"/>
        <w:rPr>
          <w:rFonts w:ascii="Times New Roman" w:hAnsi="Times New Roman" w:cs="Times New Roman"/>
          <w:b/>
          <w:sz w:val="24"/>
          <w:szCs w:val="24"/>
          <w:lang w:eastAsia="ru-RU"/>
        </w:rPr>
      </w:pPr>
    </w:p>
    <w:p w:rsidR="00212D51" w:rsidRPr="00212D51" w:rsidRDefault="00212D51" w:rsidP="00234A68">
      <w:pPr>
        <w:spacing w:line="360" w:lineRule="auto"/>
        <w:ind w:left="709"/>
        <w:contextualSpacing/>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lastRenderedPageBreak/>
        <w:t>Кортикостероиды - дексаметазон</w:t>
      </w:r>
    </w:p>
    <w:p w:rsidR="00212D51" w:rsidRPr="00212D51" w:rsidRDefault="00212D51" w:rsidP="00234A68">
      <w:pPr>
        <w:spacing w:after="0"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Если схема ХТ содержит кортикостероиды, дополнительного назначения дексаметазона с противорвотной целью не требуется. </w:t>
      </w:r>
    </w:p>
    <w:p w:rsidR="00212D51" w:rsidRPr="00212D51" w:rsidRDefault="00212D51" w:rsidP="00234A68">
      <w:pPr>
        <w:spacing w:after="0"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Добавление дексаметазона к антагонистам серотониновых рецепторов позволяет уменьшить риск появления острой тошноты и рвоты. Дексаметазон предотвращает развитие отсроченной тошноты и рвоты. Кроме того, он обладает самостоятельной противорвотной активностью и может использоваться в монотерапии для профилактики острой рвоты после введения низкоэметогенных цитостатиков. Назначается в дозе 12</w:t>
      </w:r>
      <w:r w:rsidRPr="00212D51">
        <w:rPr>
          <w:rFonts w:ascii="Times New Roman" w:hAnsi="Times New Roman" w:cs="Times New Roman"/>
          <w:sz w:val="24"/>
          <w:szCs w:val="24"/>
        </w:rPr>
        <w:t xml:space="preserve"> </w:t>
      </w:r>
      <w:r w:rsidRPr="00212D51">
        <w:rPr>
          <w:rFonts w:ascii="Times New Roman" w:hAnsi="Times New Roman" w:cs="Times New Roman"/>
          <w:sz w:val="24"/>
          <w:szCs w:val="24"/>
          <w:lang w:eastAsia="ru-RU"/>
        </w:rPr>
        <w:t>мг внутривенно однократно за 30–60 минут до ХТ. В случае высокоэметогенной терапии в последующие дни назначается внутрь в дозе 8 мг два раза в сутки, продолжительностью до 5 дней.</w:t>
      </w:r>
    </w:p>
    <w:p w:rsidR="00212D51" w:rsidRPr="00212D51" w:rsidRDefault="00212D51" w:rsidP="00234A68">
      <w:pPr>
        <w:ind w:left="709"/>
        <w:contextualSpacing/>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Антагонисты NK1-рецепторов</w:t>
      </w:r>
    </w:p>
    <w:p w:rsidR="00212D51" w:rsidRPr="00212D51" w:rsidRDefault="00212D51" w:rsidP="00234A68">
      <w:pPr>
        <w:spacing w:after="0" w:line="360" w:lineRule="auto"/>
        <w:ind w:firstLine="709"/>
        <w:jc w:val="both"/>
        <w:rPr>
          <w:rFonts w:ascii="Times New Roman" w:hAnsi="Times New Roman" w:cs="Times New Roman"/>
          <w:bCs/>
          <w:sz w:val="24"/>
          <w:szCs w:val="24"/>
        </w:rPr>
      </w:pPr>
      <w:r w:rsidRPr="00212D51">
        <w:rPr>
          <w:rFonts w:ascii="Times New Roman" w:hAnsi="Times New Roman" w:cs="Times New Roman"/>
          <w:sz w:val="24"/>
          <w:szCs w:val="24"/>
        </w:rPr>
        <w:t>В эту группу препаратов входят</w:t>
      </w:r>
      <w:r w:rsidRPr="00212D51">
        <w:rPr>
          <w:rFonts w:ascii="Times New Roman" w:hAnsi="Times New Roman" w:cs="Times New Roman"/>
          <w:bCs/>
          <w:sz w:val="24"/>
          <w:szCs w:val="24"/>
        </w:rPr>
        <w:t xml:space="preserve"> апрепитант и фосапрепитант. Активным метаболитом фосапрепитанта является апрепитант - селективный высокоаффинный антагонист рецепторов нейрокинина 1 субстанции Р. Избирательность связывания апрепитанта с NK1-рецепторами по крайней мере в 3000 раз выше, чем с другими ферментами, транспортными белками, ионными каналами и рецепторами, включая допаминовые и серотониновые рецепторы, которые являются мишенями существующих препаратов для предотвращения тошноты и рвоты при химиотерапии. В доклинических исследованиях показано, что антагонисты NK1-рецепторов предотвращают рвоту, вызванную химиотерапевтическими препаратами, за счет центрального механизма действия. По данным, полученным в исследованиях позитронно-эмиссионной томографией (ПЭТ), апрепитант проникает в головной мозг и связывается с NK1-рецепторами мозга. Центральное действие апрепитанта обладает большой продолжительностью, причем он ингибирует как острую, так и отсроченную фазы рвоты, а также повышает противорвотную активность антагонистов 5-НТ3-рецепторов (например, ондансетрона) и глюкокортикостероидов (дексаметазона) </w:t>
      </w:r>
      <w:r w:rsidR="00354B20">
        <w:rPr>
          <w:rFonts w:ascii="Times New Roman" w:hAnsi="Times New Roman" w:cs="Times New Roman"/>
          <w:bCs/>
          <w:sz w:val="24"/>
          <w:szCs w:val="24"/>
        </w:rPr>
        <w:fldChar w:fldCharType="begin" w:fldLock="1"/>
      </w:r>
      <w:r w:rsidR="009C1B46">
        <w:rPr>
          <w:rFonts w:ascii="Times New Roman" w:hAnsi="Times New Roman" w:cs="Times New Roman"/>
          <w:bCs/>
          <w:sz w:val="24"/>
          <w:szCs w:val="24"/>
        </w:rPr>
        <w:instrText>ADDIN CSL_CITATION {"citationItems":[{"id":"ITEM-1","itemData":{"DOI":"10.1111/bcp.13322","ISSN":"1365-2125","PMID":"28470980","abstract":"AIMS Aprepitant and fosaprepitant, commonly used for the prevention of chemotherapy-induced nausea and vomiting, alter cytochrome P450 activity. This systematic review evaluates clinically significant pharmacokinetic drug interactions with aprepitant and fosaprepitant and describes adverse events ascribed to drug interactions with aprepitant or fosaprepitant. METHODS We systematically reviewed the literature to September 11, 2016, to identify articles evaluating drug interactions involving aprepitant/fosaprepitant. The clinical significance of each reported pharmacokinetic drug interaction was evaluated based on the United States Food and Drug Administration guidance document on conducting drug interaction studies. The probability of an adverse event reported in case reports being due to a drug interaction with aprepitant/fosaprepitant was determined using the Drug Interaction Probability Scale. RESULTS A total of 4377 publications were identified. Of these, 64 met inclusion eligibility criteria: 34 described pharmacokinetic drug interactions and 30 described adverse events ascribed to a drug interaction. Clinically significant pharmacokinetic interactions between aprepitant/fosaprepitant and bosutinib PO, cabazitaxel IV, cyclophosphamide IV, dexamethasone PO, methylprednisolone IV, midazolam PO/IV, oxycodone PO and tolbutamide PO were identified, as were adverse events resulting from an interaction between aprepitant/fosaprepitant and alcohol, anthracyclines, ifosfamide, oxycodone, quetiapine, selective serotonin reuptake inhibitors/serotonin-norepinephrine reuptake inhibitors and warfarin. CONCLUSIONS The potential for a drug interaction with aprepitant and fosaprepitant should be considered when selecting antiemetic therapy.","author":[{"dropping-particle":"","family":"Patel","given":"Priya","non-dropping-particle":"","parse-names":false,"suffix":""},{"dropping-particle":"","family":"Leeder","given":"J Steven","non-dropping-particle":"","parse-names":false,"suffix":""},{"dropping-particle":"","family":"Piquette-Miller","given":"Micheline","non-dropping-particle":"","parse-names":false,"suffix":""},{"dropping-particle":"","family":"Dupuis","given":"L Lee","non-dropping-particle":"","parse-names":false,"suffix":""}],"container-title":"British journal of clinical pharmacology","id":"ITEM-1","issue":"10","issued":{"date-parts":[["2017","10"]]},"page":"2148-2162","publisher":"Br J Clin Pharmacol","title":"Aprepitant and fosaprepitant drug interactions: a systematic review.","type":"article-journal","volume":"83"},"uris":["http://www.mendeley.com/documents/?uuid=f6721b07-cca6-3d0a-8cbf-1dd38c7cc33f"]}],"mendeley":{"formattedCitation":"[61]","plainTextFormattedCitation":"[61]","previouslyFormattedCitation":"[60]"},"properties":{"noteIndex":0},"schema":"https://github.com/citation-style-language/schema/raw/master/csl-citation.json"}</w:instrText>
      </w:r>
      <w:r w:rsidR="00354B20">
        <w:rPr>
          <w:rFonts w:ascii="Times New Roman" w:hAnsi="Times New Roman" w:cs="Times New Roman"/>
          <w:bCs/>
          <w:sz w:val="24"/>
          <w:szCs w:val="24"/>
        </w:rPr>
        <w:fldChar w:fldCharType="separate"/>
      </w:r>
      <w:r w:rsidR="009C1B46" w:rsidRPr="009C1B46">
        <w:rPr>
          <w:rFonts w:ascii="Times New Roman" w:hAnsi="Times New Roman" w:cs="Times New Roman"/>
          <w:bCs/>
          <w:noProof/>
          <w:sz w:val="24"/>
          <w:szCs w:val="24"/>
        </w:rPr>
        <w:t>[61]</w:t>
      </w:r>
      <w:r w:rsidR="00354B20">
        <w:rPr>
          <w:rFonts w:ascii="Times New Roman" w:hAnsi="Times New Roman" w:cs="Times New Roman"/>
          <w:bCs/>
          <w:sz w:val="24"/>
          <w:szCs w:val="24"/>
        </w:rPr>
        <w:fldChar w:fldCharType="end"/>
      </w:r>
      <w:r w:rsidRPr="00212D51">
        <w:rPr>
          <w:rFonts w:ascii="Times New Roman" w:hAnsi="Times New Roman" w:cs="Times New Roman"/>
          <w:bCs/>
          <w:sz w:val="24"/>
          <w:szCs w:val="24"/>
        </w:rPr>
        <w:t xml:space="preserve">. Антагонисты NK1-рецепторов являются умеренными ингибиторами CYP3A4, что необходимо учитывать при одновременном использовании препаратов, метаболизируемых этой же системой (например, апрепитант снижает эффективность гормональных контрацептивов, в связи с чем, необходимо использовать альтернативные методы контрацепции). Апрепитант повышает концентрацию кортикостероидов. В комбинации с апрепитантом доза дексаметазона должна быть снижена приблизительно на 50%. У пациентов, поручающих варфарин, необходимо дополнительно контролировать уровень </w:t>
      </w:r>
      <w:r w:rsidRPr="00212D51">
        <w:rPr>
          <w:rFonts w:ascii="Times New Roman" w:hAnsi="Times New Roman" w:cs="Times New Roman"/>
          <w:bCs/>
          <w:sz w:val="24"/>
          <w:szCs w:val="24"/>
        </w:rPr>
        <w:lastRenderedPageBreak/>
        <w:t>международного нормализованного отношения в связи с влиянием апрепитанта/фосапрепитанта на активность цитохромов.</w:t>
      </w:r>
    </w:p>
    <w:p w:rsidR="00212D51" w:rsidRPr="00212D51" w:rsidRDefault="00212D51" w:rsidP="00212D51">
      <w:pPr>
        <w:spacing w:line="360" w:lineRule="auto"/>
        <w:ind w:firstLine="709"/>
        <w:jc w:val="both"/>
        <w:rPr>
          <w:rFonts w:ascii="Times New Roman" w:hAnsi="Times New Roman" w:cs="Times New Roman"/>
          <w:bCs/>
          <w:sz w:val="24"/>
          <w:szCs w:val="24"/>
        </w:rPr>
      </w:pPr>
      <w:r w:rsidRPr="00212D51">
        <w:rPr>
          <w:rFonts w:ascii="Times New Roman" w:hAnsi="Times New Roman" w:cs="Times New Roman"/>
          <w:bCs/>
          <w:sz w:val="24"/>
          <w:szCs w:val="24"/>
        </w:rPr>
        <w:t>Антагонисты NK1-рецепторов применяют по схеме в комбинации с кортикостероидами и антагонистами серотониновых 5-НТ</w:t>
      </w:r>
      <w:r w:rsidRPr="00212D51">
        <w:rPr>
          <w:rFonts w:ascii="Times New Roman" w:hAnsi="Times New Roman" w:cs="Times New Roman"/>
          <w:bCs/>
          <w:sz w:val="24"/>
          <w:szCs w:val="24"/>
          <w:vertAlign w:val="subscript"/>
        </w:rPr>
        <w:t>3</w:t>
      </w:r>
      <w:r w:rsidRPr="00212D51">
        <w:rPr>
          <w:rFonts w:ascii="Times New Roman" w:hAnsi="Times New Roman" w:cs="Times New Roman"/>
          <w:bCs/>
          <w:sz w:val="24"/>
          <w:szCs w:val="24"/>
        </w:rPr>
        <w:t xml:space="preserve">-рецепторов. Апрепитант принимается за час до ХТ, фосапрепитант вводится за 30 минут до ХТ в дозах, представленных в таблице </w:t>
      </w:r>
      <w:r w:rsidR="003B2A99">
        <w:rPr>
          <w:rFonts w:ascii="Times New Roman" w:hAnsi="Times New Roman" w:cs="Times New Roman"/>
          <w:bCs/>
          <w:sz w:val="24"/>
          <w:szCs w:val="24"/>
        </w:rPr>
        <w:t>1</w:t>
      </w:r>
      <w:r w:rsidR="00566401">
        <w:rPr>
          <w:rFonts w:ascii="Times New Roman" w:hAnsi="Times New Roman" w:cs="Times New Roman"/>
          <w:bCs/>
          <w:sz w:val="24"/>
          <w:szCs w:val="24"/>
        </w:rPr>
        <w:t>1</w:t>
      </w:r>
      <w:r w:rsidRPr="00212D51">
        <w:rPr>
          <w:rFonts w:ascii="Times New Roman" w:hAnsi="Times New Roman" w:cs="Times New Roman"/>
          <w:bCs/>
          <w:sz w:val="24"/>
          <w:szCs w:val="24"/>
        </w:rPr>
        <w:t xml:space="preserve">. </w:t>
      </w:r>
    </w:p>
    <w:p w:rsidR="00212D51" w:rsidRPr="00212D51" w:rsidRDefault="00212D51" w:rsidP="00212D51">
      <w:pPr>
        <w:ind w:firstLine="709"/>
        <w:contextualSpacing/>
        <w:jc w:val="both"/>
        <w:rPr>
          <w:rFonts w:ascii="Times New Roman" w:hAnsi="Times New Roman" w:cs="Times New Roman"/>
          <w:b/>
          <w:sz w:val="24"/>
          <w:szCs w:val="24"/>
          <w:lang w:eastAsia="ru-RU"/>
        </w:rPr>
      </w:pPr>
      <w:r w:rsidRPr="00212D51">
        <w:rPr>
          <w:rFonts w:ascii="Times New Roman" w:hAnsi="Times New Roman" w:cs="Times New Roman"/>
          <w:b/>
          <w:sz w:val="24"/>
          <w:szCs w:val="24"/>
        </w:rPr>
        <w:t xml:space="preserve">Таблица </w:t>
      </w:r>
      <w:r w:rsidR="003B2A99">
        <w:rPr>
          <w:rFonts w:ascii="Times New Roman" w:hAnsi="Times New Roman" w:cs="Times New Roman"/>
          <w:b/>
          <w:sz w:val="24"/>
          <w:szCs w:val="24"/>
        </w:rPr>
        <w:t>1</w:t>
      </w:r>
      <w:r w:rsidR="00566401">
        <w:rPr>
          <w:rFonts w:ascii="Times New Roman" w:hAnsi="Times New Roman" w:cs="Times New Roman"/>
          <w:b/>
          <w:sz w:val="24"/>
          <w:szCs w:val="24"/>
        </w:rPr>
        <w:t>1</w:t>
      </w:r>
      <w:r w:rsidRPr="00212D51">
        <w:rPr>
          <w:rFonts w:ascii="Times New Roman" w:hAnsi="Times New Roman" w:cs="Times New Roman"/>
          <w:b/>
          <w:sz w:val="24"/>
          <w:szCs w:val="24"/>
        </w:rPr>
        <w:t xml:space="preserve"> . Режим дозирования антагонистов </w:t>
      </w:r>
      <w:r w:rsidRPr="00212D51">
        <w:rPr>
          <w:rFonts w:ascii="Times New Roman" w:hAnsi="Times New Roman" w:cs="Times New Roman"/>
          <w:b/>
          <w:sz w:val="24"/>
          <w:szCs w:val="24"/>
          <w:lang w:eastAsia="ru-RU"/>
        </w:rPr>
        <w:t>NK1-рецепторов</w:t>
      </w:r>
    </w:p>
    <w:tbl>
      <w:tblPr>
        <w:tblStyle w:val="21"/>
        <w:tblW w:w="0" w:type="auto"/>
        <w:jc w:val="center"/>
        <w:tblLook w:val="04A0" w:firstRow="1" w:lastRow="0" w:firstColumn="1" w:lastColumn="0" w:noHBand="0" w:noVBand="1"/>
      </w:tblPr>
      <w:tblGrid>
        <w:gridCol w:w="2220"/>
        <w:gridCol w:w="1857"/>
        <w:gridCol w:w="3734"/>
      </w:tblGrid>
      <w:tr w:rsidR="00212D51" w:rsidRPr="00212D51" w:rsidTr="00234A68">
        <w:trPr>
          <w:jc w:val="center"/>
        </w:trPr>
        <w:tc>
          <w:tcPr>
            <w:tcW w:w="2220" w:type="dxa"/>
          </w:tcPr>
          <w:p w:rsidR="00212D51" w:rsidRPr="00212D51" w:rsidRDefault="00212D51" w:rsidP="00234A68">
            <w:pPr>
              <w:tabs>
                <w:tab w:val="left" w:pos="0"/>
              </w:tabs>
              <w:spacing w:line="360" w:lineRule="auto"/>
              <w:ind w:firstLine="48"/>
              <w:jc w:val="both"/>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Препарат</w:t>
            </w:r>
          </w:p>
        </w:tc>
        <w:tc>
          <w:tcPr>
            <w:tcW w:w="1857" w:type="dxa"/>
          </w:tcPr>
          <w:p w:rsidR="00212D51" w:rsidRPr="00212D51" w:rsidRDefault="00212D51" w:rsidP="00234A68">
            <w:pPr>
              <w:tabs>
                <w:tab w:val="left" w:pos="0"/>
              </w:tabs>
              <w:spacing w:line="360" w:lineRule="auto"/>
              <w:ind w:firstLine="96"/>
              <w:jc w:val="both"/>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Разовая доза, мг</w:t>
            </w:r>
          </w:p>
        </w:tc>
        <w:tc>
          <w:tcPr>
            <w:tcW w:w="3734" w:type="dxa"/>
          </w:tcPr>
          <w:p w:rsidR="00212D51" w:rsidRPr="00212D51" w:rsidRDefault="00212D51" w:rsidP="00234A68">
            <w:pPr>
              <w:tabs>
                <w:tab w:val="left" w:pos="0"/>
              </w:tabs>
              <w:spacing w:line="360" w:lineRule="auto"/>
              <w:jc w:val="both"/>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Режим дозирования</w:t>
            </w:r>
          </w:p>
        </w:tc>
      </w:tr>
      <w:tr w:rsidR="00212D51" w:rsidRPr="00212D51" w:rsidTr="00234A68">
        <w:trPr>
          <w:jc w:val="center"/>
        </w:trPr>
        <w:tc>
          <w:tcPr>
            <w:tcW w:w="2220" w:type="dxa"/>
          </w:tcPr>
          <w:p w:rsidR="00212D51" w:rsidRPr="00212D51" w:rsidRDefault="00212D51" w:rsidP="00234A68">
            <w:pPr>
              <w:tabs>
                <w:tab w:val="left" w:pos="0"/>
              </w:tabs>
              <w:spacing w:line="360" w:lineRule="auto"/>
              <w:ind w:firstLine="48"/>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Апрепитант</w:t>
            </w:r>
          </w:p>
        </w:tc>
        <w:tc>
          <w:tcPr>
            <w:tcW w:w="1857" w:type="dxa"/>
          </w:tcPr>
          <w:p w:rsidR="00212D51" w:rsidRPr="00212D51" w:rsidRDefault="00212D51" w:rsidP="00234A68">
            <w:pPr>
              <w:tabs>
                <w:tab w:val="left" w:pos="0"/>
              </w:tabs>
              <w:spacing w:line="360" w:lineRule="auto"/>
              <w:ind w:firstLine="96"/>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125  </w:t>
            </w:r>
          </w:p>
          <w:p w:rsidR="00212D51" w:rsidRPr="00212D51" w:rsidRDefault="00212D51" w:rsidP="00234A68">
            <w:pPr>
              <w:tabs>
                <w:tab w:val="left" w:pos="0"/>
              </w:tabs>
              <w:spacing w:line="360" w:lineRule="auto"/>
              <w:ind w:firstLine="96"/>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80 </w:t>
            </w:r>
          </w:p>
        </w:tc>
        <w:tc>
          <w:tcPr>
            <w:tcW w:w="3734" w:type="dxa"/>
          </w:tcPr>
          <w:p w:rsidR="00212D51" w:rsidRPr="00212D51" w:rsidRDefault="00212D51" w:rsidP="00234A68">
            <w:pPr>
              <w:tabs>
                <w:tab w:val="left" w:pos="0"/>
              </w:tabs>
              <w:spacing w:line="360" w:lineRule="auto"/>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Внутрь в 1 день</w:t>
            </w:r>
          </w:p>
          <w:p w:rsidR="00212D51" w:rsidRPr="00212D51" w:rsidRDefault="00212D51" w:rsidP="00234A68">
            <w:pPr>
              <w:tabs>
                <w:tab w:val="left" w:pos="0"/>
              </w:tabs>
              <w:spacing w:line="360" w:lineRule="auto"/>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Внутрь во 2</w:t>
            </w:r>
            <w:r w:rsidRPr="00212D51">
              <w:rPr>
                <w:rFonts w:ascii="Times New Roman" w:hAnsi="Times New Roman" w:cs="Times New Roman"/>
                <w:sz w:val="24"/>
                <w:szCs w:val="24"/>
                <w:vertAlign w:val="superscript"/>
                <w:lang w:eastAsia="ru-RU"/>
              </w:rPr>
              <w:t>ой</w:t>
            </w:r>
            <w:r w:rsidRPr="00212D51">
              <w:rPr>
                <w:rFonts w:ascii="Times New Roman" w:hAnsi="Times New Roman" w:cs="Times New Roman"/>
                <w:sz w:val="24"/>
                <w:szCs w:val="24"/>
                <w:lang w:eastAsia="ru-RU"/>
              </w:rPr>
              <w:t xml:space="preserve"> и 3</w:t>
            </w:r>
            <w:r w:rsidRPr="00212D51">
              <w:rPr>
                <w:rFonts w:ascii="Times New Roman" w:hAnsi="Times New Roman" w:cs="Times New Roman"/>
                <w:sz w:val="24"/>
                <w:szCs w:val="24"/>
                <w:vertAlign w:val="superscript"/>
                <w:lang w:eastAsia="ru-RU"/>
              </w:rPr>
              <w:t>ий</w:t>
            </w:r>
            <w:r w:rsidR="00234A68">
              <w:rPr>
                <w:rFonts w:ascii="Times New Roman" w:hAnsi="Times New Roman" w:cs="Times New Roman"/>
                <w:sz w:val="24"/>
                <w:szCs w:val="24"/>
                <w:lang w:eastAsia="ru-RU"/>
              </w:rPr>
              <w:t xml:space="preserve"> </w:t>
            </w:r>
            <w:r w:rsidRPr="00212D51">
              <w:rPr>
                <w:rFonts w:ascii="Times New Roman" w:hAnsi="Times New Roman" w:cs="Times New Roman"/>
                <w:sz w:val="24"/>
                <w:szCs w:val="24"/>
                <w:lang w:eastAsia="ru-RU"/>
              </w:rPr>
              <w:t>дни ХТ</w:t>
            </w:r>
          </w:p>
        </w:tc>
      </w:tr>
      <w:tr w:rsidR="00212D51" w:rsidRPr="00212D51" w:rsidTr="00234A68">
        <w:trPr>
          <w:jc w:val="center"/>
        </w:trPr>
        <w:tc>
          <w:tcPr>
            <w:tcW w:w="2220" w:type="dxa"/>
          </w:tcPr>
          <w:p w:rsidR="00212D51" w:rsidRPr="00212D51" w:rsidRDefault="00212D51" w:rsidP="00234A68">
            <w:pPr>
              <w:tabs>
                <w:tab w:val="left" w:pos="0"/>
              </w:tabs>
              <w:spacing w:line="360" w:lineRule="auto"/>
              <w:ind w:firstLine="48"/>
              <w:jc w:val="both"/>
              <w:rPr>
                <w:rFonts w:ascii="Times New Roman" w:hAnsi="Times New Roman" w:cs="Times New Roman"/>
                <w:sz w:val="24"/>
                <w:szCs w:val="24"/>
                <w:lang w:eastAsia="ru-RU"/>
              </w:rPr>
            </w:pPr>
            <w:r w:rsidRPr="00212D51">
              <w:rPr>
                <w:rFonts w:ascii="Times New Roman" w:hAnsi="Times New Roman" w:cs="Times New Roman"/>
                <w:bCs/>
                <w:sz w:val="24"/>
                <w:szCs w:val="24"/>
              </w:rPr>
              <w:t>Фосапрепитант</w:t>
            </w:r>
          </w:p>
        </w:tc>
        <w:tc>
          <w:tcPr>
            <w:tcW w:w="1857" w:type="dxa"/>
          </w:tcPr>
          <w:p w:rsidR="00212D51" w:rsidRPr="00212D51" w:rsidRDefault="00212D51" w:rsidP="00234A68">
            <w:pPr>
              <w:tabs>
                <w:tab w:val="left" w:pos="0"/>
              </w:tabs>
              <w:spacing w:line="360" w:lineRule="auto"/>
              <w:ind w:firstLine="96"/>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150</w:t>
            </w:r>
          </w:p>
        </w:tc>
        <w:tc>
          <w:tcPr>
            <w:tcW w:w="3734" w:type="dxa"/>
          </w:tcPr>
          <w:p w:rsidR="00212D51" w:rsidRPr="00212D51" w:rsidRDefault="00212D51" w:rsidP="00234A68">
            <w:pPr>
              <w:tabs>
                <w:tab w:val="left" w:pos="0"/>
              </w:tabs>
              <w:spacing w:line="360" w:lineRule="auto"/>
              <w:jc w:val="both"/>
              <w:rPr>
                <w:rFonts w:ascii="Times New Roman" w:hAnsi="Times New Roman" w:cs="Times New Roman"/>
                <w:sz w:val="24"/>
                <w:szCs w:val="24"/>
              </w:rPr>
            </w:pPr>
            <w:r w:rsidRPr="00212D51">
              <w:rPr>
                <w:rFonts w:ascii="Times New Roman" w:hAnsi="Times New Roman" w:cs="Times New Roman"/>
                <w:sz w:val="24"/>
                <w:szCs w:val="24"/>
                <w:lang w:eastAsia="ru-RU"/>
              </w:rPr>
              <w:t>В/в однократно</w:t>
            </w:r>
          </w:p>
        </w:tc>
      </w:tr>
    </w:tbl>
    <w:p w:rsidR="00234A68" w:rsidRDefault="00234A68" w:rsidP="00234A68">
      <w:pPr>
        <w:tabs>
          <w:tab w:val="left" w:pos="0"/>
        </w:tabs>
        <w:spacing w:line="360" w:lineRule="auto"/>
        <w:ind w:left="709"/>
        <w:contextualSpacing/>
        <w:jc w:val="both"/>
        <w:rPr>
          <w:rFonts w:ascii="Times New Roman" w:hAnsi="Times New Roman" w:cs="Times New Roman"/>
          <w:b/>
          <w:sz w:val="24"/>
          <w:szCs w:val="24"/>
        </w:rPr>
      </w:pPr>
    </w:p>
    <w:p w:rsidR="00212D51" w:rsidRPr="00212D51" w:rsidRDefault="00212D51" w:rsidP="00234A68">
      <w:pPr>
        <w:tabs>
          <w:tab w:val="left" w:pos="0"/>
        </w:tabs>
        <w:spacing w:line="360" w:lineRule="auto"/>
        <w:ind w:left="709"/>
        <w:contextualSpacing/>
        <w:jc w:val="center"/>
        <w:rPr>
          <w:rFonts w:ascii="Times New Roman" w:hAnsi="Times New Roman" w:cs="Times New Roman"/>
          <w:b/>
          <w:sz w:val="24"/>
          <w:szCs w:val="24"/>
        </w:rPr>
      </w:pPr>
      <w:r w:rsidRPr="00212D51">
        <w:rPr>
          <w:rFonts w:ascii="Times New Roman" w:hAnsi="Times New Roman" w:cs="Times New Roman"/>
          <w:b/>
          <w:sz w:val="24"/>
          <w:szCs w:val="24"/>
        </w:rPr>
        <w:t>Блокаторы рецепторов допамина</w:t>
      </w:r>
    </w:p>
    <w:p w:rsidR="00212D51" w:rsidRPr="00212D51" w:rsidRDefault="00212D51" w:rsidP="00234A68">
      <w:pPr>
        <w:tabs>
          <w:tab w:val="left" w:pos="0"/>
        </w:tabs>
        <w:spacing w:after="0"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rPr>
        <w:t>В эту группу входят бензамиды (метоклопрамид, итоприд), фенотиазины (хлорпромазин или аминазин, прометазин, метопемазин), бутирофеноны (дроперидол, галоперидол), бензодиазепины (диазепам, лоразепам, альпрозолам). Препараты обладают седативными и анксиолитическими свойствами.</w:t>
      </w:r>
    </w:p>
    <w:p w:rsidR="00212D51" w:rsidRPr="00212D51" w:rsidRDefault="00212D51" w:rsidP="00234A68">
      <w:pPr>
        <w:tabs>
          <w:tab w:val="left" w:pos="0"/>
        </w:tabs>
        <w:spacing w:after="0"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rPr>
        <w:t>Метоклопрамид, широко использовавшийся ранее в высоких дозах для профилактики острой тошноты и рвоты после высоко- и среднеэметогенной ХТ, в настоящее время применяется реже, так как при сопоставимой эффективности с антагонистами серотониновых рецепторов имеет значительное количество выраженных побочных эффектов. Согласно международным рекомендациям, использование метоклопрамида допустимо в стандартных дозах для профилактики острой тошноты и рвоты после низкоэметогенной химиотерапии, для профилактики отсроченной рвоты в комбинации с дексаметазоном. Режим дозирования – 10 мг 1 - 4 раза в сутки внутривенно или внутрь.</w:t>
      </w:r>
    </w:p>
    <w:p w:rsidR="00212D51" w:rsidRPr="00212D51" w:rsidRDefault="00212D51" w:rsidP="00234A68">
      <w:pPr>
        <w:tabs>
          <w:tab w:val="left" w:pos="0"/>
        </w:tabs>
        <w:spacing w:after="0" w:line="360" w:lineRule="auto"/>
        <w:ind w:firstLine="567"/>
        <w:jc w:val="both"/>
        <w:rPr>
          <w:rFonts w:ascii="Times New Roman" w:hAnsi="Times New Roman" w:cs="Times New Roman"/>
          <w:sz w:val="24"/>
          <w:szCs w:val="24"/>
        </w:rPr>
      </w:pPr>
      <w:r w:rsidRPr="00212D51">
        <w:rPr>
          <w:rFonts w:ascii="Times New Roman" w:hAnsi="Times New Roman" w:cs="Times New Roman"/>
          <w:sz w:val="24"/>
          <w:szCs w:val="24"/>
        </w:rPr>
        <w:t xml:space="preserve">Добавление блокаторов рецепторов допамина к схеме противорвотной терапии проводится по показаниям на усмотрение лечащего врача. </w:t>
      </w:r>
    </w:p>
    <w:p w:rsidR="00212D51" w:rsidRPr="00212D51" w:rsidRDefault="00212D51" w:rsidP="00234A68">
      <w:pPr>
        <w:tabs>
          <w:tab w:val="left" w:pos="0"/>
        </w:tabs>
        <w:spacing w:line="360" w:lineRule="auto"/>
        <w:ind w:left="567"/>
        <w:contextualSpacing/>
        <w:jc w:val="center"/>
        <w:rPr>
          <w:rFonts w:ascii="Times New Roman" w:hAnsi="Times New Roman" w:cs="Times New Roman"/>
          <w:b/>
          <w:sz w:val="24"/>
          <w:szCs w:val="24"/>
        </w:rPr>
      </w:pPr>
      <w:r w:rsidRPr="00212D51">
        <w:rPr>
          <w:rFonts w:ascii="Times New Roman" w:hAnsi="Times New Roman" w:cs="Times New Roman"/>
          <w:b/>
          <w:sz w:val="24"/>
          <w:szCs w:val="24"/>
        </w:rPr>
        <w:t>Нейролептики</w:t>
      </w:r>
    </w:p>
    <w:p w:rsidR="00212D51" w:rsidRPr="00212D51" w:rsidRDefault="00212D51" w:rsidP="00234A68">
      <w:pPr>
        <w:tabs>
          <w:tab w:val="left" w:pos="0"/>
        </w:tabs>
        <w:spacing w:after="0" w:line="360" w:lineRule="auto"/>
        <w:ind w:firstLine="567"/>
        <w:jc w:val="both"/>
        <w:rPr>
          <w:rFonts w:ascii="Times New Roman" w:hAnsi="Times New Roman" w:cs="Times New Roman"/>
          <w:sz w:val="24"/>
          <w:szCs w:val="24"/>
        </w:rPr>
      </w:pPr>
      <w:r w:rsidRPr="00212D51">
        <w:rPr>
          <w:rFonts w:ascii="Times New Roman" w:hAnsi="Times New Roman" w:cs="Times New Roman"/>
          <w:sz w:val="24"/>
          <w:szCs w:val="24"/>
        </w:rPr>
        <w:t xml:space="preserve">Оланзапин 5–10 мг в сутки внутрь. </w:t>
      </w:r>
    </w:p>
    <w:p w:rsidR="00212D51" w:rsidRPr="00212D51" w:rsidRDefault="00212D51" w:rsidP="00212D51">
      <w:pPr>
        <w:tabs>
          <w:tab w:val="left" w:pos="0"/>
        </w:tabs>
        <w:spacing w:line="360" w:lineRule="auto"/>
        <w:ind w:firstLine="567"/>
        <w:jc w:val="both"/>
        <w:rPr>
          <w:rFonts w:ascii="Times New Roman" w:hAnsi="Times New Roman" w:cs="Times New Roman"/>
          <w:sz w:val="24"/>
          <w:szCs w:val="24"/>
        </w:rPr>
      </w:pPr>
      <w:r w:rsidRPr="00212D51">
        <w:rPr>
          <w:rFonts w:ascii="Times New Roman" w:hAnsi="Times New Roman" w:cs="Times New Roman"/>
          <w:sz w:val="24"/>
          <w:szCs w:val="24"/>
        </w:rPr>
        <w:t xml:space="preserve">Добавление нейролептиков к схеме противорвотной терапии проводится по показаниям на усмотрение лечащего врача (например, при возникновении неконтролируемой тошноты и рвоты). </w:t>
      </w:r>
    </w:p>
    <w:p w:rsidR="00212D51" w:rsidRPr="00234A68" w:rsidRDefault="00212D51" w:rsidP="00780185">
      <w:pPr>
        <w:pStyle w:val="a3"/>
        <w:numPr>
          <w:ilvl w:val="2"/>
          <w:numId w:val="126"/>
        </w:numPr>
        <w:tabs>
          <w:tab w:val="left" w:pos="0"/>
        </w:tabs>
        <w:spacing w:line="360" w:lineRule="auto"/>
        <w:jc w:val="both"/>
        <w:rPr>
          <w:rFonts w:ascii="Times New Roman" w:hAnsi="Times New Roman" w:cs="Times New Roman"/>
          <w:sz w:val="24"/>
          <w:szCs w:val="24"/>
        </w:rPr>
      </w:pPr>
      <w:r w:rsidRPr="00234A68">
        <w:rPr>
          <w:rFonts w:ascii="Times New Roman" w:hAnsi="Times New Roman" w:cs="Times New Roman"/>
          <w:b/>
          <w:sz w:val="24"/>
          <w:szCs w:val="24"/>
        </w:rPr>
        <w:lastRenderedPageBreak/>
        <w:t xml:space="preserve">Принципы профилактики и терапии тошноты и рвоты. </w:t>
      </w:r>
    </w:p>
    <w:p w:rsidR="00212D51" w:rsidRPr="00212D51" w:rsidRDefault="00212D51" w:rsidP="00212D51">
      <w:pPr>
        <w:tabs>
          <w:tab w:val="left" w:pos="0"/>
        </w:tabs>
        <w:spacing w:line="360" w:lineRule="auto"/>
        <w:ind w:firstLine="567"/>
        <w:jc w:val="both"/>
        <w:rPr>
          <w:rFonts w:ascii="Times New Roman" w:hAnsi="Times New Roman" w:cs="Times New Roman"/>
          <w:sz w:val="24"/>
          <w:szCs w:val="24"/>
        </w:rPr>
      </w:pPr>
      <w:r w:rsidRPr="00212D51">
        <w:rPr>
          <w:rFonts w:ascii="Times New Roman" w:hAnsi="Times New Roman" w:cs="Times New Roman"/>
          <w:sz w:val="24"/>
          <w:szCs w:val="24"/>
        </w:rPr>
        <w:t>Эксперты Международной ассоциации по поддерживающему лечению в онкологии (MASCC) разработали п</w:t>
      </w:r>
      <w:r w:rsidR="00354B20">
        <w:rPr>
          <w:rFonts w:ascii="Times New Roman" w:hAnsi="Times New Roman" w:cs="Times New Roman"/>
          <w:sz w:val="24"/>
          <w:szCs w:val="24"/>
        </w:rPr>
        <w:t xml:space="preserve">ринципы антиэметической терапии </w:t>
      </w:r>
      <w:r w:rsidR="00354B20">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{"citationItems":[{"id":"ITEM-1","itemData":{"DOI":"10.1007/s00520-018-4464-y","ISSN":"1433-7339","PMID":"30284039","abstract":"Chemotherapy-induced nausea and vomiting (CINV) is a common toxicity that may impair the quality of life of patients with a variety of early- and end-stage malignancies. In light of recent changes in the optimal management of CINV, we undertook this narrative review to compare the latest guidelines published by ASCO (2017), NCCN (2018), and MASCC/ESMO (2016). The processes undertaken by each organization to evaluate existing literature were also described. Although ASCO, NCCN, and MASCC/ESMO guidelines for the treatment and prevention of CINV share many fundamental similarities, literature surrounding low and minimal emetic risk regimens is lacking. Data regarding the use of complementary alternative medicine for CINV is particularly scarce and in need of further investigation.","author":[{"dropping-particle":"","family":"Razvi","given":"Yasmeen","non-dropping-particle":"","parse-names":false,"suffix":""},{"dropping-particle":"","family":"Chan","given":"Stephanie","non-dropping-particle":"","parse-names":false,"suffix":""},{"dropping-particle":"","family":"McFarlane","given":"Thomas","non-dropping-particle":"","parse-names":false,"suffix":""},{"dropping-particle":"","family":"McKenzie","given":"Erin","non-dropping-particle":"","parse-names":false,"suffix":""},{"dropping-particle":"","family":"Zaki","given":"Pearl","non-dropping-particle":"","parse-names":false,"suffix":""},{"dropping-particle":"","family":"DeAngelis","given":"Carlo","non-dropping-particle":"","parse-names":false,"suffix":""},{"dropping-particle":"","family":"Pidduck","given":"William","non-dropping-particle":"","parse-names":false,"suffix":""},{"dropping-particle":"","family":"Bushehri","given":"Ahmad","non-dropping-particle":"","parse-names":false,"suffix":""},{"dropping-particle":"","family":"Chow","given":"Edward","non-dropping-particle":"","parse-names":false,"suffix":""},{"dropping-particle":"","family":"Jerzak","given":"Katarzyna Joanna","non-dropping-particle":"","parse-names":false,"suffix":""}],"container-title":"Supportive care in cancer : official journal of the Multinational Association of Supportive Care in Cancer","id":"ITEM-1","issue":"1","issued":{"date-parts":[["2019","1"]]},"page":"87-95","publisher":"Support Care Cancer","title":"ASCO, NCCN, MASCC/ESMO: a comparison of antiemetic guidelines for the treatment of chemotherapy-induced nausea and vomiting in adult patients.","type":"article-journal","volume":"27"},"uris":["http://www.mendeley.com/documents/?uuid=4b7b3e50-2d53-3c24-9c66-fb3a1df49b1d"]}],"mendeley":{"formattedCitation":"[64]","plainTextFormattedCitation":"[64]","previouslyFormattedCitation":"[63]"},"properties":{"noteIndex":0},"schema":"https://github.com/citation-style-language/schema/raw/master/csl-citation.json"}</w:instrText>
      </w:r>
      <w:r w:rsidR="00354B20">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[64]</w:t>
      </w:r>
      <w:r w:rsidR="00354B20">
        <w:rPr>
          <w:rFonts w:ascii="Times New Roman" w:hAnsi="Times New Roman" w:cs="Times New Roman"/>
          <w:sz w:val="24"/>
          <w:szCs w:val="24"/>
        </w:rPr>
        <w:fldChar w:fldCharType="end"/>
      </w:r>
      <w:r w:rsidR="00354B20">
        <w:rPr>
          <w:rFonts w:ascii="Times New Roman" w:hAnsi="Times New Roman" w:cs="Times New Roman"/>
          <w:sz w:val="24"/>
          <w:szCs w:val="24"/>
        </w:rPr>
        <w:t>.</w:t>
      </w:r>
    </w:p>
    <w:p w:rsidR="00212D51" w:rsidRPr="00212D51" w:rsidRDefault="00212D51" w:rsidP="00212D51">
      <w:pPr>
        <w:tabs>
          <w:tab w:val="left" w:pos="0"/>
        </w:tabs>
        <w:spacing w:line="360" w:lineRule="auto"/>
        <w:ind w:firstLine="567"/>
        <w:contextualSpacing/>
        <w:jc w:val="both"/>
        <w:rPr>
          <w:rFonts w:ascii="Times New Roman" w:hAnsi="Times New Roman" w:cs="Times New Roman"/>
          <w:b/>
          <w:sz w:val="24"/>
          <w:szCs w:val="24"/>
        </w:rPr>
      </w:pPr>
      <w:r w:rsidRPr="00212D51">
        <w:rPr>
          <w:rFonts w:ascii="Times New Roman" w:hAnsi="Times New Roman" w:cs="Times New Roman"/>
          <w:b/>
          <w:sz w:val="24"/>
          <w:szCs w:val="24"/>
        </w:rPr>
        <w:t>Алгоритм профилактики и терапии тошноты и рвоты</w:t>
      </w:r>
    </w:p>
    <w:p w:rsidR="00212D51" w:rsidRPr="00212D51" w:rsidRDefault="00212D51" w:rsidP="00780185">
      <w:pPr>
        <w:numPr>
          <w:ilvl w:val="0"/>
          <w:numId w:val="120"/>
        </w:numPr>
        <w:tabs>
          <w:tab w:val="left" w:pos="0"/>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 xml:space="preserve">Определить эметогенный потенциал назначенного режима ХТ </w:t>
      </w:r>
    </w:p>
    <w:p w:rsidR="00212D51" w:rsidRPr="00212D51" w:rsidRDefault="00212D51" w:rsidP="00780185">
      <w:pPr>
        <w:numPr>
          <w:ilvl w:val="0"/>
          <w:numId w:val="120"/>
        </w:numPr>
        <w:tabs>
          <w:tab w:val="left" w:pos="0"/>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Назначить профилактическую терапию, исходя из эметогенности режима ХТ, начиная с первого курса</w:t>
      </w:r>
    </w:p>
    <w:p w:rsidR="00212D51" w:rsidRPr="00212D51" w:rsidRDefault="00212D51" w:rsidP="00780185">
      <w:pPr>
        <w:numPr>
          <w:ilvl w:val="0"/>
          <w:numId w:val="120"/>
        </w:numPr>
        <w:tabs>
          <w:tab w:val="left" w:pos="0"/>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Назначить лечение в случае развития тошноты и рвоты на фоне профилактической терапии</w:t>
      </w:r>
    </w:p>
    <w:p w:rsidR="00212D51" w:rsidRPr="00212D51" w:rsidRDefault="00212D51" w:rsidP="00780185">
      <w:pPr>
        <w:numPr>
          <w:ilvl w:val="0"/>
          <w:numId w:val="120"/>
        </w:numPr>
        <w:tabs>
          <w:tab w:val="left" w:pos="0"/>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В случае развития тошноты и рвоты внести изменения в профилактическую терапию на последующих циклах ХТ</w:t>
      </w:r>
    </w:p>
    <w:p w:rsidR="00212D51" w:rsidRPr="00212D51" w:rsidRDefault="00212D51" w:rsidP="00780185">
      <w:pPr>
        <w:numPr>
          <w:ilvl w:val="0"/>
          <w:numId w:val="120"/>
        </w:numPr>
        <w:tabs>
          <w:tab w:val="left" w:pos="0"/>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Критерием эффективности противорвотной терапии является полное отсутствие (полный контроль) рвоты и тошноты в течение 24 часов (период развития острой рвоты) с момента введения противоопухолевых препаратов.</w:t>
      </w:r>
    </w:p>
    <w:p w:rsidR="00212D51" w:rsidRPr="00212D51" w:rsidRDefault="00212D51" w:rsidP="00234A68">
      <w:pPr>
        <w:tabs>
          <w:tab w:val="left" w:pos="0"/>
        </w:tabs>
        <w:spacing w:line="360" w:lineRule="auto"/>
        <w:ind w:firstLine="567"/>
        <w:contextualSpacing/>
        <w:jc w:val="center"/>
        <w:rPr>
          <w:rFonts w:ascii="Times New Roman" w:hAnsi="Times New Roman" w:cs="Times New Roman"/>
          <w:b/>
          <w:sz w:val="24"/>
          <w:szCs w:val="24"/>
        </w:rPr>
      </w:pPr>
      <w:r w:rsidRPr="00212D51">
        <w:rPr>
          <w:rFonts w:ascii="Times New Roman" w:hAnsi="Times New Roman" w:cs="Times New Roman"/>
          <w:b/>
          <w:sz w:val="24"/>
          <w:szCs w:val="24"/>
        </w:rPr>
        <w:t>Профилактика острой и отсроченной тошноты и рвоты при высоко-эметогенной однодневной ХТ</w:t>
      </w:r>
    </w:p>
    <w:p w:rsidR="00212D51" w:rsidRPr="00212D51" w:rsidRDefault="00212D51" w:rsidP="00780185">
      <w:pPr>
        <w:numPr>
          <w:ilvl w:val="0"/>
          <w:numId w:val="119"/>
        </w:numPr>
        <w:tabs>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 xml:space="preserve">Профилактика тошноты и рвоты должна начинаться до начала ХТ и проводиться не менее 3 дней после ее окончания. </w:t>
      </w:r>
    </w:p>
    <w:p w:rsidR="00212D51" w:rsidRPr="00212D51" w:rsidRDefault="00212D51" w:rsidP="00780185">
      <w:pPr>
        <w:numPr>
          <w:ilvl w:val="0"/>
          <w:numId w:val="119"/>
        </w:numPr>
        <w:tabs>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В настоящее время наиболее эффективной антиэметической комбинацией является комбинация противорвотных препаратов, включающая антагонист NK1-рецепторов + антагонист рецепторов серотонина (5-HT3) + дексаметазон</w:t>
      </w:r>
    </w:p>
    <w:p w:rsidR="00212D51" w:rsidRPr="00212D51" w:rsidRDefault="00212D51" w:rsidP="00780185">
      <w:pPr>
        <w:numPr>
          <w:ilvl w:val="0"/>
          <w:numId w:val="119"/>
        </w:numPr>
        <w:tabs>
          <w:tab w:val="left" w:pos="426"/>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Добавление бензодиазепинов проводится по показаниям на усмотрение лечащего врача</w:t>
      </w:r>
    </w:p>
    <w:p w:rsidR="00212D51" w:rsidRPr="00212D51" w:rsidRDefault="00212D51" w:rsidP="00234A68">
      <w:pPr>
        <w:tabs>
          <w:tab w:val="left" w:pos="0"/>
          <w:tab w:val="left" w:pos="567"/>
        </w:tabs>
        <w:spacing w:line="360" w:lineRule="auto"/>
        <w:contextualSpacing/>
        <w:jc w:val="center"/>
        <w:rPr>
          <w:rFonts w:ascii="Times New Roman" w:hAnsi="Times New Roman" w:cs="Times New Roman"/>
          <w:b/>
          <w:sz w:val="24"/>
          <w:szCs w:val="24"/>
        </w:rPr>
      </w:pPr>
      <w:r w:rsidRPr="00212D51">
        <w:rPr>
          <w:rFonts w:ascii="Times New Roman" w:hAnsi="Times New Roman" w:cs="Times New Roman"/>
          <w:b/>
          <w:sz w:val="24"/>
          <w:szCs w:val="24"/>
        </w:rPr>
        <w:t>Профилактика острой и отсроченной тошноты и рвоты при умеренно-эметогенной однодневной ХТ</w:t>
      </w:r>
    </w:p>
    <w:p w:rsidR="00212D51" w:rsidRPr="00212D51" w:rsidRDefault="00212D51" w:rsidP="00780185">
      <w:pPr>
        <w:numPr>
          <w:ilvl w:val="0"/>
          <w:numId w:val="121"/>
        </w:numPr>
        <w:tabs>
          <w:tab w:val="left" w:pos="0"/>
          <w:tab w:val="left" w:pos="567"/>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Профилактика тошноты и рвоты должна начинаться до начала ХТ и проводиться не менее 3 дней после ее окончания.</w:t>
      </w:r>
    </w:p>
    <w:p w:rsidR="00212D51" w:rsidRPr="00212D51" w:rsidRDefault="00212D51" w:rsidP="00780185">
      <w:pPr>
        <w:numPr>
          <w:ilvl w:val="0"/>
          <w:numId w:val="121"/>
        </w:numPr>
        <w:tabs>
          <w:tab w:val="left" w:pos="0"/>
          <w:tab w:val="left" w:pos="567"/>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 xml:space="preserve"> В настоящее время наиболее эффективной антиэметической комбинацией является комбинация противорвотных препаратов, включающая антагонист рецепторов серотонина (5-HT3) + дексаметазон</w:t>
      </w:r>
    </w:p>
    <w:p w:rsidR="00212D51" w:rsidRPr="00212D51" w:rsidRDefault="00212D51" w:rsidP="00780185">
      <w:pPr>
        <w:numPr>
          <w:ilvl w:val="0"/>
          <w:numId w:val="121"/>
        </w:numPr>
        <w:tabs>
          <w:tab w:val="left" w:pos="0"/>
          <w:tab w:val="left" w:pos="567"/>
        </w:tabs>
        <w:spacing w:line="360" w:lineRule="auto"/>
        <w:ind w:left="0" w:firstLine="0"/>
        <w:contextualSpacing/>
        <w:jc w:val="both"/>
        <w:rPr>
          <w:rFonts w:ascii="Times New Roman" w:hAnsi="Times New Roman" w:cs="Times New Roman"/>
          <w:sz w:val="24"/>
          <w:szCs w:val="24"/>
        </w:rPr>
      </w:pPr>
      <w:r w:rsidRPr="00212D51">
        <w:rPr>
          <w:rFonts w:ascii="Times New Roman" w:hAnsi="Times New Roman" w:cs="Times New Roman"/>
          <w:sz w:val="24"/>
          <w:szCs w:val="24"/>
        </w:rPr>
        <w:t>При некоторых умеренноэметогенных режимах, включающих карбоплатин, рекомендовано назначение апрепитанта/фосапрепитанта в комбинации с 5-НТ3-антагонистом и дексаметазоном.</w:t>
      </w:r>
    </w:p>
    <w:p w:rsidR="00212D51" w:rsidRPr="00212D51" w:rsidRDefault="00212D51" w:rsidP="00234A68">
      <w:pPr>
        <w:tabs>
          <w:tab w:val="left" w:pos="0"/>
        </w:tabs>
        <w:spacing w:line="360" w:lineRule="auto"/>
        <w:contextualSpacing/>
        <w:jc w:val="center"/>
        <w:rPr>
          <w:rFonts w:ascii="Times New Roman" w:hAnsi="Times New Roman" w:cs="Times New Roman"/>
          <w:b/>
          <w:sz w:val="24"/>
          <w:szCs w:val="24"/>
        </w:rPr>
      </w:pPr>
      <w:r w:rsidRPr="00212D51">
        <w:rPr>
          <w:rFonts w:ascii="Times New Roman" w:hAnsi="Times New Roman" w:cs="Times New Roman"/>
          <w:b/>
          <w:sz w:val="24"/>
          <w:szCs w:val="24"/>
        </w:rPr>
        <w:lastRenderedPageBreak/>
        <w:t>Профилактика тошноты и рвоты при многодневной ХТ с высоким риском эметогенности</w:t>
      </w:r>
    </w:p>
    <w:p w:rsidR="00212D51" w:rsidRPr="00212D51" w:rsidRDefault="00212D51" w:rsidP="00212D51">
      <w:pPr>
        <w:tabs>
          <w:tab w:val="left" w:pos="0"/>
        </w:tabs>
        <w:spacing w:line="360" w:lineRule="auto"/>
        <w:ind w:firstLine="567"/>
        <w:jc w:val="both"/>
        <w:rPr>
          <w:rFonts w:ascii="Times New Roman" w:hAnsi="Times New Roman" w:cs="Times New Roman"/>
          <w:sz w:val="24"/>
          <w:szCs w:val="24"/>
        </w:rPr>
      </w:pPr>
      <w:r w:rsidRPr="00212D51">
        <w:rPr>
          <w:rFonts w:ascii="Times New Roman" w:hAnsi="Times New Roman" w:cs="Times New Roman"/>
          <w:sz w:val="24"/>
          <w:szCs w:val="24"/>
        </w:rPr>
        <w:t>Профилактика тошноты и рвоты должна проводиться с 1-го дня цикла ХТ и еще в течение 2–3 дней после его окончания. Антиэметики назначают ежедневно (исключение – палоносетрон – через день) на основе эметогенного потенциала цитостатиков, вводимых в тот или иной день. Выбор противорвотной комбинации осуществляется на основе препарата, обладающего наибольшей эметогенностью.</w:t>
      </w:r>
    </w:p>
    <w:p w:rsidR="00212D51" w:rsidRPr="00212D51" w:rsidRDefault="00212D51" w:rsidP="00234A68">
      <w:pPr>
        <w:tabs>
          <w:tab w:val="left" w:pos="0"/>
        </w:tabs>
        <w:spacing w:line="360" w:lineRule="auto"/>
        <w:contextualSpacing/>
        <w:jc w:val="center"/>
        <w:rPr>
          <w:rFonts w:ascii="Times New Roman" w:hAnsi="Times New Roman" w:cs="Times New Roman"/>
          <w:sz w:val="24"/>
          <w:szCs w:val="24"/>
        </w:rPr>
      </w:pPr>
      <w:r w:rsidRPr="00212D51">
        <w:rPr>
          <w:rFonts w:ascii="Times New Roman" w:eastAsia="GaramondC-Light" w:hAnsi="Times New Roman" w:cs="Times New Roman"/>
          <w:b/>
          <w:color w:val="000000"/>
          <w:sz w:val="24"/>
          <w:szCs w:val="24"/>
        </w:rPr>
        <w:t>Терапия неконтролируемой тошноты и рвоты</w:t>
      </w:r>
    </w:p>
    <w:p w:rsidR="00212D51" w:rsidRPr="00212D51" w:rsidRDefault="00212D51" w:rsidP="00780185">
      <w:pPr>
        <w:numPr>
          <w:ilvl w:val="0"/>
          <w:numId w:val="122"/>
        </w:numPr>
        <w:tabs>
          <w:tab w:val="left" w:pos="709"/>
        </w:tabs>
        <w:spacing w:after="0" w:line="360" w:lineRule="auto"/>
        <w:ind w:left="0" w:firstLine="0"/>
        <w:contextualSpacing/>
        <w:jc w:val="both"/>
        <w:rPr>
          <w:rFonts w:ascii="Times New Roman" w:hAnsi="Times New Roman" w:cs="Times New Roman"/>
          <w:sz w:val="24"/>
          <w:szCs w:val="24"/>
        </w:rPr>
      </w:pPr>
      <w:r w:rsidRPr="00212D51">
        <w:rPr>
          <w:rFonts w:ascii="Times New Roman" w:eastAsia="GaramondC-Light" w:hAnsi="Times New Roman" w:cs="Times New Roman"/>
          <w:color w:val="000000"/>
          <w:sz w:val="24"/>
          <w:szCs w:val="24"/>
        </w:rPr>
        <w:t>При возникновении неконтролируемой тошноты и рвоты, несмотря на плановое назначение стандартной для эметогенности данного режима ХТ антиэметической схемы, необходимо исключить причины, не связанные с непосредственным назначением цитостатиков.</w:t>
      </w:r>
    </w:p>
    <w:p w:rsidR="00212D51" w:rsidRPr="00212D51" w:rsidRDefault="00212D51" w:rsidP="00780185">
      <w:pPr>
        <w:numPr>
          <w:ilvl w:val="0"/>
          <w:numId w:val="115"/>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В случае их исключения необходимо перевести пациента на схему профилактики: с низко-эметогенного потенциала на умеренно -эметогенный и с умеренно- эметогенного на высоко-эметогенный.</w:t>
      </w:r>
    </w:p>
    <w:p w:rsidR="00212D51" w:rsidRPr="00212D51" w:rsidRDefault="00212D51" w:rsidP="00780185">
      <w:pPr>
        <w:numPr>
          <w:ilvl w:val="0"/>
          <w:numId w:val="115"/>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 xml:space="preserve">При возникновении неконтролируемой тошноты и рвоты на фоне стандартных противорвотных схем (без использования апрепитанта или фосапрепитанта) необходимо при последующих курсах ввести в противорвотный режим апрепитант или фосапрепитант. </w:t>
      </w:r>
    </w:p>
    <w:p w:rsidR="00212D51" w:rsidRPr="00212D51" w:rsidRDefault="00212D51" w:rsidP="00780185">
      <w:pPr>
        <w:numPr>
          <w:ilvl w:val="0"/>
          <w:numId w:val="115"/>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При возникновении неконтролируемой тошноты и рвоты на фоне трехкомпонентной противорвотной схемы стандартного подхода нет. Следует рассмотреть добавление препаратов иного класса из резервного списка:</w:t>
      </w:r>
    </w:p>
    <w:p w:rsidR="00212D51" w:rsidRPr="00212D51" w:rsidRDefault="00212D51" w:rsidP="00234A68">
      <w:pPr>
        <w:tabs>
          <w:tab w:val="left" w:pos="709"/>
        </w:tabs>
        <w:autoSpaceDE w:val="0"/>
        <w:autoSpaceDN w:val="0"/>
        <w:adjustRightInd w:val="0"/>
        <w:spacing w:after="0" w:line="360" w:lineRule="auto"/>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 бензодиазепины (лоразепам по 0,5–2 мг каждые 4–6 ч);</w:t>
      </w:r>
    </w:p>
    <w:p w:rsidR="00212D51" w:rsidRPr="00212D51" w:rsidRDefault="00212D51" w:rsidP="00234A68">
      <w:pPr>
        <w:tabs>
          <w:tab w:val="left" w:pos="709"/>
        </w:tabs>
        <w:autoSpaceDE w:val="0"/>
        <w:autoSpaceDN w:val="0"/>
        <w:adjustRightInd w:val="0"/>
        <w:spacing w:after="0" w:line="360" w:lineRule="auto"/>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 блокаторы рецепторов допамина (метоклопрамид по 20 мг каждые 6 ч);</w:t>
      </w:r>
    </w:p>
    <w:p w:rsidR="00212D51" w:rsidRPr="00212D51" w:rsidRDefault="00212D51" w:rsidP="00234A68">
      <w:pPr>
        <w:tabs>
          <w:tab w:val="left" w:pos="709"/>
        </w:tabs>
        <w:autoSpaceDE w:val="0"/>
        <w:autoSpaceDN w:val="0"/>
        <w:adjustRightInd w:val="0"/>
        <w:spacing w:after="0" w:line="360" w:lineRule="auto"/>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 фенотиазины (аминазин 25 мг 4 раза в сутки);</w:t>
      </w:r>
    </w:p>
    <w:p w:rsidR="00212D51" w:rsidRPr="00212D51" w:rsidRDefault="00212D51" w:rsidP="00234A68">
      <w:pPr>
        <w:tabs>
          <w:tab w:val="left" w:pos="709"/>
        </w:tabs>
        <w:autoSpaceDE w:val="0"/>
        <w:autoSpaceDN w:val="0"/>
        <w:adjustRightInd w:val="0"/>
        <w:spacing w:after="0" w:line="360" w:lineRule="auto"/>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 бутирофеноны (галоперидол 1–2 мг каждые 4–6 ч).</w:t>
      </w:r>
    </w:p>
    <w:p w:rsidR="00212D51" w:rsidRPr="00212D51" w:rsidRDefault="00212D51" w:rsidP="00780185">
      <w:pPr>
        <w:numPr>
          <w:ilvl w:val="0"/>
          <w:numId w:val="116"/>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В связи с тем, что антагонисты 5-HT3-рецепторов имеют различный метаболизм в печени, у ряда пациентов с так называемым сверхбыстрым метаболическим фенотипом может наблюдаться ускоренное выведение трописетрона из организма, следовательно – развитие неконтролируемой или рефрактерной рвоты. В данной ситуации целесообразна смена 5-HT3-блокатора другим представителем данного класса препаратов.</w:t>
      </w:r>
    </w:p>
    <w:p w:rsidR="00212D51" w:rsidRPr="00212D51" w:rsidRDefault="00212D51" w:rsidP="00234A68">
      <w:pPr>
        <w:tabs>
          <w:tab w:val="left" w:pos="709"/>
        </w:tabs>
        <w:autoSpaceDE w:val="0"/>
        <w:autoSpaceDN w:val="0"/>
        <w:adjustRightInd w:val="0"/>
        <w:spacing w:after="0" w:line="360" w:lineRule="auto"/>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Кроме того, следует выполнять ряд общих принципов профилактики и лечения тошноты и рвоты:</w:t>
      </w:r>
    </w:p>
    <w:p w:rsidR="00212D51" w:rsidRPr="00212D51" w:rsidRDefault="00212D51" w:rsidP="00780185">
      <w:pPr>
        <w:numPr>
          <w:ilvl w:val="0"/>
          <w:numId w:val="116"/>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Назначать антиэметики строго по часам, а не при появлении тошноты или рвоты.</w:t>
      </w:r>
    </w:p>
    <w:p w:rsidR="00212D51" w:rsidRPr="00212D51" w:rsidRDefault="00212D51" w:rsidP="00780185">
      <w:pPr>
        <w:numPr>
          <w:ilvl w:val="0"/>
          <w:numId w:val="116"/>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lastRenderedPageBreak/>
        <w:t xml:space="preserve">Предпочтительным является парентеральный путь введения препаратов либо введение в ректальных свечах. </w:t>
      </w:r>
    </w:p>
    <w:p w:rsidR="00212D51" w:rsidRPr="00212D51" w:rsidRDefault="00212D51" w:rsidP="00780185">
      <w:pPr>
        <w:numPr>
          <w:ilvl w:val="0"/>
          <w:numId w:val="116"/>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Осуществлять адекватную гидратацию и коррекцию электролитов.</w:t>
      </w:r>
    </w:p>
    <w:p w:rsidR="00212D51" w:rsidRPr="00212D51" w:rsidRDefault="00212D51" w:rsidP="00780185">
      <w:pPr>
        <w:numPr>
          <w:ilvl w:val="0"/>
          <w:numId w:val="116"/>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При диспепсии добавить Н2-блокаторы или блокаторы протонной помпы.</w:t>
      </w:r>
    </w:p>
    <w:p w:rsidR="00212D51" w:rsidRPr="00212D51" w:rsidRDefault="00212D51" w:rsidP="00234A68">
      <w:pPr>
        <w:tabs>
          <w:tab w:val="left" w:pos="709"/>
        </w:tabs>
        <w:autoSpaceDE w:val="0"/>
        <w:autoSpaceDN w:val="0"/>
        <w:adjustRightInd w:val="0"/>
        <w:spacing w:after="0" w:line="360" w:lineRule="auto"/>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Возможно также использование альтернативного варианта профилактики тошноты и рвоты:</w:t>
      </w:r>
    </w:p>
    <w:p w:rsidR="00212D51" w:rsidRPr="00212D51" w:rsidRDefault="00212D51" w:rsidP="00780185">
      <w:pPr>
        <w:numPr>
          <w:ilvl w:val="0"/>
          <w:numId w:val="118"/>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оланзапин 5–10 мг в сутки внутрь с 1 по 3 дни;</w:t>
      </w:r>
    </w:p>
    <w:p w:rsidR="00212D51" w:rsidRPr="00212D51" w:rsidRDefault="00212D51" w:rsidP="00780185">
      <w:pPr>
        <w:numPr>
          <w:ilvl w:val="0"/>
          <w:numId w:val="118"/>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палоносетрон 0,25 мг в/в за 60 минут до ХТ в 1 день однократно;</w:t>
      </w:r>
    </w:p>
    <w:p w:rsidR="00212D51" w:rsidRPr="00212D51" w:rsidRDefault="00212D51" w:rsidP="00780185">
      <w:pPr>
        <w:numPr>
          <w:ilvl w:val="0"/>
          <w:numId w:val="118"/>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дексаметазон 20 мг в/в за 30 минут до ХТ в 1 день.</w:t>
      </w:r>
    </w:p>
    <w:p w:rsidR="00212D51" w:rsidRPr="00212D51" w:rsidRDefault="00212D51" w:rsidP="002E6BF7">
      <w:pPr>
        <w:tabs>
          <w:tab w:val="left" w:pos="0"/>
        </w:tabs>
        <w:autoSpaceDE w:val="0"/>
        <w:autoSpaceDN w:val="0"/>
        <w:adjustRightInd w:val="0"/>
        <w:spacing w:after="0" w:line="360" w:lineRule="auto"/>
        <w:contextualSpacing/>
        <w:jc w:val="center"/>
        <w:rPr>
          <w:rFonts w:ascii="Times New Roman" w:eastAsia="GaramondC-Light" w:hAnsi="Times New Roman" w:cs="Times New Roman"/>
          <w:b/>
          <w:color w:val="000000"/>
          <w:sz w:val="24"/>
          <w:szCs w:val="24"/>
        </w:rPr>
      </w:pPr>
      <w:r w:rsidRPr="00212D51">
        <w:rPr>
          <w:rFonts w:ascii="Times New Roman" w:eastAsia="GaramondC-Light" w:hAnsi="Times New Roman" w:cs="Times New Roman"/>
          <w:b/>
          <w:color w:val="000000"/>
          <w:sz w:val="24"/>
          <w:szCs w:val="24"/>
        </w:rPr>
        <w:t>Профилактика и терапия условно-рефлекторной рвоты</w:t>
      </w:r>
    </w:p>
    <w:p w:rsidR="00212D51" w:rsidRPr="00212D51" w:rsidRDefault="00212D51" w:rsidP="002E6BF7">
      <w:pPr>
        <w:tabs>
          <w:tab w:val="left" w:pos="709"/>
        </w:tabs>
        <w:autoSpaceDE w:val="0"/>
        <w:autoSpaceDN w:val="0"/>
        <w:adjustRightInd w:val="0"/>
        <w:spacing w:after="0" w:line="360" w:lineRule="auto"/>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Для профилактики и лечения условно-рефлекторной тошноты и рвоты применяются:</w:t>
      </w:r>
    </w:p>
    <w:p w:rsidR="00212D51" w:rsidRPr="00212D51" w:rsidRDefault="00212D51" w:rsidP="00780185">
      <w:pPr>
        <w:numPr>
          <w:ilvl w:val="0"/>
          <w:numId w:val="117"/>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Оптимальная профилактика тошноты и рвоты при каждом цикле ХТ.</w:t>
      </w:r>
    </w:p>
    <w:p w:rsidR="00212D51" w:rsidRPr="00212D51" w:rsidRDefault="00212D51" w:rsidP="00780185">
      <w:pPr>
        <w:numPr>
          <w:ilvl w:val="0"/>
          <w:numId w:val="117"/>
        </w:numPr>
        <w:tabs>
          <w:tab w:val="left" w:pos="709"/>
        </w:tabs>
        <w:autoSpaceDE w:val="0"/>
        <w:autoSpaceDN w:val="0"/>
        <w:adjustRightInd w:val="0"/>
        <w:spacing w:after="0" w:line="360" w:lineRule="auto"/>
        <w:ind w:left="0" w:firstLine="0"/>
        <w:contextualSpacing/>
        <w:jc w:val="both"/>
        <w:rPr>
          <w:rFonts w:ascii="Times New Roman" w:eastAsia="GaramondC-Light" w:hAnsi="Times New Roman" w:cs="Times New Roman"/>
          <w:color w:val="000000"/>
          <w:sz w:val="24"/>
          <w:szCs w:val="24"/>
        </w:rPr>
      </w:pPr>
      <w:r w:rsidRPr="00212D51">
        <w:rPr>
          <w:rFonts w:ascii="Times New Roman" w:eastAsia="GaramondC-Light" w:hAnsi="Times New Roman" w:cs="Times New Roman"/>
          <w:color w:val="000000"/>
          <w:sz w:val="24"/>
          <w:szCs w:val="24"/>
        </w:rPr>
        <w:t>Бензодиазепины: лоразепам по 0,5-2 мг на ночь накануне и утром перед ХТ.</w:t>
      </w:r>
    </w:p>
    <w:p w:rsidR="00212D51" w:rsidRPr="00212D51" w:rsidRDefault="00212D51" w:rsidP="00780185">
      <w:pPr>
        <w:numPr>
          <w:ilvl w:val="0"/>
          <w:numId w:val="117"/>
        </w:numPr>
        <w:tabs>
          <w:tab w:val="left" w:pos="709"/>
        </w:tabs>
        <w:autoSpaceDE w:val="0"/>
        <w:autoSpaceDN w:val="0"/>
        <w:adjustRightInd w:val="0"/>
        <w:spacing w:line="360" w:lineRule="auto"/>
        <w:ind w:left="0" w:firstLine="0"/>
        <w:contextualSpacing/>
        <w:jc w:val="both"/>
        <w:rPr>
          <w:rFonts w:ascii="Times New Roman" w:hAnsi="Times New Roman" w:cs="Times New Roman"/>
          <w:sz w:val="24"/>
          <w:szCs w:val="24"/>
        </w:rPr>
      </w:pPr>
      <w:r w:rsidRPr="00212D51">
        <w:rPr>
          <w:rFonts w:ascii="Times New Roman" w:eastAsia="GaramondC-Light" w:hAnsi="Times New Roman" w:cs="Times New Roman"/>
          <w:color w:val="000000"/>
          <w:sz w:val="24"/>
          <w:szCs w:val="24"/>
        </w:rPr>
        <w:t>Психотерапия, гипноз, системная десенсибилизация.</w:t>
      </w:r>
    </w:p>
    <w:p w:rsidR="00635E72" w:rsidRDefault="00635E72" w:rsidP="00780185">
      <w:pPr>
        <w:pStyle w:val="1"/>
        <w:numPr>
          <w:ilvl w:val="1"/>
          <w:numId w:val="112"/>
        </w:numPr>
        <w:spacing w:before="0" w:after="240"/>
        <w:ind w:left="0" w:firstLine="709"/>
        <w:jc w:val="center"/>
        <w:rPr>
          <w:rFonts w:ascii="Times New Roman" w:hAnsi="Times New Roman" w:cs="Times New Roman"/>
          <w:color w:val="auto"/>
          <w:sz w:val="24"/>
        </w:rPr>
      </w:pPr>
      <w:bookmarkStart w:id="39" w:name="_Toc44926636"/>
      <w:r w:rsidRPr="000C13B2">
        <w:rPr>
          <w:rFonts w:ascii="Times New Roman" w:hAnsi="Times New Roman" w:cs="Times New Roman"/>
          <w:color w:val="auto"/>
          <w:sz w:val="24"/>
        </w:rPr>
        <w:t>Профилактика тромбозов</w:t>
      </w:r>
      <w:bookmarkEnd w:id="39"/>
    </w:p>
    <w:p w:rsidR="00163277" w:rsidRPr="00163277" w:rsidRDefault="00163277" w:rsidP="00163277">
      <w:pPr>
        <w:spacing w:after="0" w:line="360" w:lineRule="auto"/>
        <w:ind w:firstLine="709"/>
        <w:jc w:val="both"/>
        <w:rPr>
          <w:rFonts w:ascii="Times New Roman" w:eastAsia="GaramondC-Light" w:hAnsi="Times New Roman" w:cs="Times New Roman"/>
          <w:color w:val="000000"/>
          <w:sz w:val="24"/>
          <w:szCs w:val="24"/>
        </w:rPr>
      </w:pPr>
      <w:r w:rsidRPr="00163277">
        <w:rPr>
          <w:rFonts w:ascii="Times New Roman" w:eastAsia="GaramondC-Light" w:hAnsi="Times New Roman" w:cs="Times New Roman"/>
          <w:color w:val="000000"/>
          <w:sz w:val="24"/>
          <w:szCs w:val="24"/>
        </w:rPr>
        <w:t xml:space="preserve">Введение химиотерапевтических препаратов в больших дозах перед ауто-ТГСК, наличие ЦВК являются факторами риска повышенного тромбообразования. С целью профилактики тромботических осложнений до начала предтрансплантационной подготовки назначается антикоагулянтная терапия. Проводится круглосуточное введение гепарина через инфузомат в начальной дозе 12 000 ЕД / сут. В дальнейшем доза гепарина корректируется в зависимости от показателей АЧТВ (рекомендовано поддержание АЧТВ в рамках 1,5-2 норм или 45-75 сек.), степени выраженности тромбоцитопении. На фоне терапии гепарином в ранний посттрансплантационный период необходим регулярный контроль гемограммы, коагулограммы. При развитии геморрагического синдрома введение гепарина приостанавливается. Гепарин отменяют на +14 день после ауто-ТГСК. </w:t>
      </w:r>
    </w:p>
    <w:p w:rsidR="00163277" w:rsidRPr="00163277" w:rsidRDefault="00163277" w:rsidP="00163277">
      <w:pPr>
        <w:spacing w:after="0" w:line="360" w:lineRule="auto"/>
        <w:ind w:firstLine="709"/>
        <w:jc w:val="both"/>
        <w:rPr>
          <w:rFonts w:ascii="Times New Roman" w:eastAsia="GaramondC-Light" w:hAnsi="Times New Roman" w:cs="Times New Roman"/>
          <w:color w:val="000000"/>
          <w:sz w:val="24"/>
          <w:szCs w:val="24"/>
        </w:rPr>
      </w:pPr>
      <w:r w:rsidRPr="00163277">
        <w:rPr>
          <w:rFonts w:ascii="Times New Roman" w:eastAsia="GaramondC-Light" w:hAnsi="Times New Roman" w:cs="Times New Roman"/>
          <w:color w:val="000000"/>
          <w:sz w:val="24"/>
          <w:szCs w:val="24"/>
        </w:rPr>
        <w:t>При развитии тромботических осложнений в период восстановления показателей гемограммы используются низкомолекулярные гепар</w:t>
      </w:r>
      <w:r w:rsidR="00515760">
        <w:rPr>
          <w:rFonts w:ascii="Times New Roman" w:eastAsia="GaramondC-Light" w:hAnsi="Times New Roman" w:cs="Times New Roman"/>
          <w:color w:val="000000"/>
          <w:sz w:val="24"/>
          <w:szCs w:val="24"/>
        </w:rPr>
        <w:t xml:space="preserve">ины - НМГ (эноксапарин натрия, </w:t>
      </w:r>
      <w:r w:rsidRPr="00163277">
        <w:rPr>
          <w:rFonts w:ascii="Times New Roman" w:eastAsia="GaramondC-Light" w:hAnsi="Times New Roman" w:cs="Times New Roman"/>
          <w:color w:val="000000"/>
          <w:sz w:val="24"/>
          <w:szCs w:val="24"/>
        </w:rPr>
        <w:t xml:space="preserve">надропарин кальция, далтепарин натрия в соответствующих дозах). НМГ вводятся подкожно 1-2 раза в день. Правильность подбора дозы проверяется по анти-Ха активности, которую исследуют через 2-3 часа после введения препарата; она должна составлять 0,3-0,7 анти-Ха МЕ/мл. Больным с нарушением функции почек требуется коррекция дозы НМГ. Если СКФ менее 30 мл/мин, доза НМГ подбирается в соответствии с анти-Ха активностью в диапазоне 0,2-0,3 анти-Ха МЕ/мл. </w:t>
      </w:r>
    </w:p>
    <w:p w:rsidR="00163277" w:rsidRPr="00163277" w:rsidRDefault="00163277" w:rsidP="00400966">
      <w:pPr>
        <w:spacing w:line="360" w:lineRule="auto"/>
        <w:ind w:firstLine="709"/>
        <w:jc w:val="both"/>
        <w:rPr>
          <w:rFonts w:ascii="Times New Roman" w:eastAsia="GaramondC-Light" w:hAnsi="Times New Roman" w:cs="Times New Roman"/>
          <w:color w:val="000000"/>
          <w:sz w:val="24"/>
          <w:szCs w:val="24"/>
        </w:rPr>
      </w:pPr>
      <w:r w:rsidRPr="00163277">
        <w:rPr>
          <w:rFonts w:ascii="Times New Roman" w:eastAsia="GaramondC-Light" w:hAnsi="Times New Roman" w:cs="Times New Roman"/>
          <w:color w:val="000000"/>
          <w:sz w:val="24"/>
          <w:szCs w:val="24"/>
        </w:rPr>
        <w:lastRenderedPageBreak/>
        <w:t>При применении гепаринов может развиться резистентность к ним, что чаще всего обусловлено дефицитом антитромбина III. Причинами дефицита антитромбина III являются его повышенное потребление, патология печени, длительная гепаринотерапия, действие лекарственных препаратов. Для коррекции дефицита антитромбина III используется свежезамороженная плазма (СЗП) или концентрат антитромбина III.</w:t>
      </w:r>
    </w:p>
    <w:p w:rsidR="00635E72" w:rsidRDefault="00635E72" w:rsidP="00780185">
      <w:pPr>
        <w:pStyle w:val="1"/>
        <w:numPr>
          <w:ilvl w:val="1"/>
          <w:numId w:val="112"/>
        </w:numPr>
        <w:spacing w:before="0" w:after="240"/>
        <w:ind w:left="0" w:firstLine="709"/>
        <w:jc w:val="center"/>
        <w:rPr>
          <w:rFonts w:ascii="Times New Roman" w:hAnsi="Times New Roman" w:cs="Times New Roman"/>
          <w:color w:val="auto"/>
          <w:sz w:val="24"/>
        </w:rPr>
      </w:pPr>
      <w:bookmarkStart w:id="40" w:name="_Toc44926637"/>
      <w:r w:rsidRPr="000C13B2">
        <w:rPr>
          <w:rFonts w:ascii="Times New Roman" w:hAnsi="Times New Roman" w:cs="Times New Roman"/>
          <w:color w:val="auto"/>
          <w:sz w:val="24"/>
        </w:rPr>
        <w:t>Антисекреторная терапия</w:t>
      </w:r>
      <w:bookmarkEnd w:id="40"/>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shd w:val="clear" w:color="auto" w:fill="FFFFFF"/>
          <w:lang w:eastAsia="ru-RU"/>
        </w:rPr>
        <w:t>В настоящее время с антисекреторной целью применяются два класса п</w:t>
      </w:r>
      <w:r w:rsidRPr="00212D51">
        <w:rPr>
          <w:rFonts w:ascii="Times New Roman" w:eastAsia="Arial Unicode MS" w:hAnsi="Times New Roman" w:cs="Times New Roman"/>
          <w:color w:val="000000"/>
          <w:spacing w:val="4"/>
          <w:sz w:val="24"/>
          <w:szCs w:val="24"/>
          <w:u w:color="000000"/>
          <w:lang w:eastAsia="ru-RU"/>
        </w:rPr>
        <w:t>репаратов: ингибиторы протонной помпы и блокаторы Н2-гистаминовых рецепторов</w:t>
      </w:r>
      <w:r w:rsidR="00400966">
        <w:rPr>
          <w:rFonts w:ascii="Times New Roman" w:eastAsia="Arial Unicode MS" w:hAnsi="Times New Roman" w:cs="Times New Roman"/>
          <w:color w:val="000000"/>
          <w:spacing w:val="4"/>
          <w:sz w:val="24"/>
          <w:szCs w:val="24"/>
          <w:u w:color="000000"/>
          <w:lang w:eastAsia="ru-RU"/>
        </w:rPr>
        <w:t xml:space="preserve"> </w:t>
      </w:r>
      <w:r w:rsidR="00400966">
        <w:rPr>
          <w:rFonts w:ascii="Times New Roman" w:eastAsia="Arial Unicode MS" w:hAnsi="Times New Roman" w:cs="Times New Roman"/>
          <w:color w:val="000000"/>
          <w:spacing w:val="4"/>
          <w:sz w:val="24"/>
          <w:szCs w:val="24"/>
          <w:u w:color="000000"/>
          <w:lang w:eastAsia="ru-RU"/>
        </w:rPr>
        <w:fldChar w:fldCharType="begin" w:fldLock="1"/>
      </w:r>
      <w:r w:rsidR="009C1B46">
        <w:rPr>
          <w:rFonts w:ascii="Times New Roman" w:eastAsia="Arial Unicode MS" w:hAnsi="Times New Roman" w:cs="Times New Roman"/>
          <w:color w:val="000000"/>
          <w:spacing w:val="4"/>
          <w:sz w:val="24"/>
          <w:szCs w:val="24"/>
          <w:u w:color="000000"/>
          <w:lang w:eastAsia="ru-RU"/>
        </w:rPr>
        <w:instrText>ADDIN CSL_CITATION {"citationItems":[{"id":"ITEM-1","itemData":{"DOI":"10.1136/bmjopen-2013-004587","ISSN":"2044-6055","PMID":"24833682","abstract":"OBJECTIVE To assess whether corticosteroids are associated with increased risk of gastrointestinal bleeding or perforation. DESIGN Systematic review and meta-analysis of randomised, double-blind, controlled trials comparing a corticosteroid to placebo for any medical condition or in healthy participants. Studies with steroids given either locally, as a single dose, or in crossover studies were excluded. DATA SOURCES Literature search using MEDLINE, EMBASE and Cochrane Database of Systematic Reviews between 1983 and 22 May 2013. OUTCOME MEASURE Outcome measures were the occurrence of gastrointestinal bleeding or perforation. Predefined subgroup analyses were carried out for disease severity, use of non-steroidal anti-inflammatory drugs (NSAIDs) or gastroprotective drugs, and history of peptic ulcer. RESULTS 159 studies (N=33 253) were included. In total, 804 (2.4%) patients had a gastrointestinal bleeding or perforation (2.9% and 2.0% for corticosteroids and placebo). Corticosteroids increased the risk of gastrointestinal bleeding or perforation by 40% (OR 1.43, 95% CI 1.22 to 1.66). The risk was increased for hospitalised patients (OR 1.42, 95% CI 1.22 to 1.66). For patients in ambulatory care, the increased risk was not statistically significant (OR 1.63, 95% CI 0.42 to 6.34). Only 11 gastrointestinal bleeds or perforations occurred among 8651 patients in ambulatory care (0.13%). Increased risk was still present in subgroup analyses (studies with NSAID use excluded; OR 1.44, 95% CI 1.20 to 1.71, peptic ulcer as an exclusion criterion excluded; OR 1.47, 95% CI 1.21 to 1.78, and use of gastroprotective drugs excluded; OR 1.42, 95% CI 1.21 to 1.67). CONCLUSIONS Corticosteroid use was associated with increased risk of gastrointestinal bleeding and perforation. The increased risk was statistically significant for hospitalised patients only. For patients in ambulatory care, the total occurrence of bleeding or perforation was very low, and the increased risk was not statistically significant.","author":[{"dropping-particle":"","family":"Narum","given":"Sigrid","non-dropping-particle":"","parse-names":false,"suffix":""},{"dropping-particle":"","family":"Westergren","given":"Tone","non-dropping-particle":"","parse-names":false,"suffix":""},{"dropping-particle":"","family":"Klemp","given":"Marianne","non-dropping-particle":"","parse-names":false,"suffix":""}],"container-title":"BMJ open","id":"ITEM-1","issue":"5","issued":{"date-parts":[["2014","5","15"]]},"page":"e004587","publisher":"BMJ Open","title":"Corticosteroids and risk of gastrointestinal bleeding: a systematic review and meta-analysis.","type":"article-journal","volume":"4"},"uris":["http://www.mendeley.com/documents/?uuid=a786ea9e-ec1c-3dba-a452-3e7c2e6bbdd7"]},{"id":"ITEM-2","itemData":{"DOI":"10.1111/j.1365-2796.1994.tb00855.x","ISSN":"0954-6820","PMID":"7989897","abstract":"OBJECTIVES This meta-analysis was performed to determine whether corticosteroid therapy induces the development of peptic ulcer and other putative complications of steroid therapy. DESIGN A retrospective investigation in which we analysed all the randomized, double-blind, controlled trials (RDBCT) in which steroids had been administered that we were able to identify. The number of episodes of peptic ulcer, dermatological effects, sepsis, diabetes, hypertension, osteoporosis, psychosis and tuberculosis reported in both the placebo and steroid groups were compared. SETTING The international medical literature was analysed for any RDBCT in which any steroid or ACTH had been administered in any dosage for any duration, and any putative complication of steroid therapy was reported. SUBJECTS Of 1857 articles, 93 satisfied our requirements and were analysed by the meta-analytic techniques of Peto, DerSimonian and Laird. A total of 6602 patients were included. MAIN OUTCOME MEASURES The relative frequencies of each of these eight 'complications' were compared in the placebo and steroid groups using conventional statistics and meta-analysis. The relative frequencies of 'annualized' subgroups of patients who received treatment for 1 to 7 days, 1 week to 1 month, 1 to 3 months and more than 3 months, were similarly analysed. RESULTS Nine of 3267 patients in the placebo group (0.3%) and 13 of 3335 patients in the steroid group (0.4%) were reported to develop peptic ulcer (P &gt; 0.05). The dermatological cosmetic effects of steroid therapy were observed more frequently in the steroid group (P &lt; 0.001), as was diabetes (P &lt; 0.001), hypertension (P &lt; 0.01) and psychosis (P &lt; 0.001). Sepsis, osteoporosis and tuberculosis all occurred more frequently in the steroid than in the placebo group, but the differences are not statistically significant. CONCLUSIONS Peptic ulcer is a rare complication of corticosteroid therapy that should not be considered a contraindication when steroid therapy is indicated.","author":[{"dropping-particle":"","family":"Conn","given":"H O","non-dropping-particle":"","parse-names":false,"suffix":""},{"dropping-particle":"","family":"Poynard","given":"T","non-dropping-particle":"","parse-names":false,"suffix":""}],"container-title":"Journal of internal medicine","id":"ITEM-2","issue":"6","issued":{"date-parts":[["1994","12"]]},"page":"619-32","publisher":"J Intern Med","title":"Corticosteroids and peptic ulcer: meta-analysis of adverse events during steroid therapy.","type":"article-journal","volume":"236"},"uris":["http://www.mendeley.com/documents/?uuid=e7d087f7-3e27-37c6-80a9-ebf8b0bb1469"]}],"mendeley":{"formattedCitation":"[30, 55]","plainTextFormattedCitation":"[30, 55]","previouslyFormattedCitation":"[30, 54]"},"properties":{"noteIndex":0},"schema":"https://github.com/citation-style-language/schema/raw/master/csl-citation.json"}</w:instrText>
      </w:r>
      <w:r w:rsidR="00400966">
        <w:rPr>
          <w:rFonts w:ascii="Times New Roman" w:eastAsia="Arial Unicode MS" w:hAnsi="Times New Roman" w:cs="Times New Roman"/>
          <w:color w:val="000000"/>
          <w:spacing w:val="4"/>
          <w:sz w:val="24"/>
          <w:szCs w:val="24"/>
          <w:u w:color="000000"/>
          <w:lang w:eastAsia="ru-RU"/>
        </w:rPr>
        <w:fldChar w:fldCharType="separate"/>
      </w:r>
      <w:r w:rsidR="009C1B46" w:rsidRPr="009C1B46">
        <w:rPr>
          <w:rFonts w:ascii="Times New Roman" w:eastAsia="Arial Unicode MS" w:hAnsi="Times New Roman" w:cs="Times New Roman"/>
          <w:noProof/>
          <w:color w:val="000000"/>
          <w:spacing w:val="4"/>
          <w:sz w:val="24"/>
          <w:szCs w:val="24"/>
          <w:u w:color="000000"/>
          <w:lang w:eastAsia="ru-RU"/>
        </w:rPr>
        <w:t>[30, 55]</w:t>
      </w:r>
      <w:r w:rsidR="00400966">
        <w:rPr>
          <w:rFonts w:ascii="Times New Roman" w:eastAsia="Arial Unicode MS" w:hAnsi="Times New Roman" w:cs="Times New Roman"/>
          <w:color w:val="000000"/>
          <w:spacing w:val="4"/>
          <w:sz w:val="24"/>
          <w:szCs w:val="24"/>
          <w:u w:color="000000"/>
          <w:lang w:eastAsia="ru-RU"/>
        </w:rPr>
        <w:fldChar w:fldCharType="end"/>
      </w:r>
      <w:r w:rsidRPr="00212D51">
        <w:rPr>
          <w:rFonts w:ascii="Times New Roman" w:eastAsia="Arial Unicode MS" w:hAnsi="Times New Roman" w:cs="Times New Roman"/>
          <w:color w:val="000000"/>
          <w:spacing w:val="4"/>
          <w:sz w:val="24"/>
          <w:szCs w:val="24"/>
          <w:u w:color="000000"/>
          <w:lang w:eastAsia="ru-RU"/>
        </w:rPr>
        <w:t>.</w:t>
      </w:r>
    </w:p>
    <w:p w:rsidR="00212D51" w:rsidRPr="00212D51" w:rsidRDefault="002E6BF7" w:rsidP="002E6BF7">
      <w:pPr>
        <w:shd w:val="clear" w:color="auto" w:fill="FFFFFF"/>
        <w:tabs>
          <w:tab w:val="left" w:pos="0"/>
          <w:tab w:val="left" w:pos="394"/>
        </w:tabs>
        <w:spacing w:before="5" w:after="0" w:line="360" w:lineRule="auto"/>
        <w:ind w:left="709"/>
        <w:jc w:val="both"/>
        <w:rPr>
          <w:rFonts w:ascii="Times New Roman" w:eastAsia="Arial Unicode MS" w:hAnsi="Times New Roman" w:cs="Times New Roman"/>
          <w:b/>
          <w:color w:val="000000"/>
          <w:spacing w:val="4"/>
          <w:sz w:val="24"/>
          <w:szCs w:val="24"/>
          <w:u w:color="000000"/>
          <w:lang w:eastAsia="ru-RU"/>
        </w:rPr>
      </w:pPr>
      <w:r>
        <w:rPr>
          <w:rFonts w:ascii="Times New Roman" w:eastAsia="Arial Unicode MS" w:hAnsi="Times New Roman" w:cs="Times New Roman"/>
          <w:b/>
          <w:color w:val="000000"/>
          <w:spacing w:val="4"/>
          <w:sz w:val="24"/>
          <w:szCs w:val="24"/>
          <w:u w:color="000000"/>
          <w:lang w:eastAsia="ru-RU"/>
        </w:rPr>
        <w:t xml:space="preserve">3.4.1 </w:t>
      </w:r>
      <w:r w:rsidR="00212D51" w:rsidRPr="00212D51">
        <w:rPr>
          <w:rFonts w:ascii="Times New Roman" w:eastAsia="Arial Unicode MS" w:hAnsi="Times New Roman" w:cs="Times New Roman"/>
          <w:b/>
          <w:color w:val="000000"/>
          <w:spacing w:val="4"/>
          <w:sz w:val="24"/>
          <w:szCs w:val="24"/>
          <w:u w:color="000000"/>
          <w:lang w:eastAsia="ru-RU"/>
        </w:rPr>
        <w:t>Ингибиторы протонной помпы (ИПП)</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b/>
          <w:color w:val="000000"/>
          <w:spacing w:val="4"/>
          <w:sz w:val="24"/>
          <w:szCs w:val="24"/>
          <w:u w:color="000000"/>
          <w:lang w:eastAsia="ru-RU"/>
        </w:rPr>
      </w:pPr>
      <w:r w:rsidRPr="00212D51">
        <w:rPr>
          <w:rFonts w:ascii="Times New Roman" w:eastAsia="Arial Unicode MS" w:hAnsi="Times New Roman" w:cs="Times New Roman"/>
          <w:b/>
          <w:color w:val="000000"/>
          <w:spacing w:val="4"/>
          <w:sz w:val="24"/>
          <w:szCs w:val="24"/>
          <w:u w:color="000000"/>
          <w:lang w:eastAsia="ru-RU"/>
        </w:rPr>
        <w:t xml:space="preserve">Фармакологическое действие </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Ингибиторы протоновой помпы (ингибиторы протонового насоса, блокаторы протонного насоса, блокаторы Н+/К+-АТФазы, блокаторы водородной помпы) — антисекреторные лекарственные препараты, блокирующие Н+/К+-АТФазу обкладочных (париетальных) клеток слизистой оболочки желудка и уменьш</w:t>
      </w:r>
      <w:r w:rsidR="00400966">
        <w:rPr>
          <w:rFonts w:ascii="Times New Roman" w:eastAsia="Arial Unicode MS" w:hAnsi="Times New Roman" w:cs="Times New Roman"/>
          <w:color w:val="000000"/>
          <w:spacing w:val="4"/>
          <w:sz w:val="24"/>
          <w:szCs w:val="24"/>
          <w:u w:color="000000"/>
          <w:lang w:eastAsia="ru-RU"/>
        </w:rPr>
        <w:t>ающие секрецию соляной кислоты.</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ИПП, после прохождения желудка, попадают в тонкую кишку, где растворяются, после чего по кровотоку поступают в печень, а затем проникают через мембрану в париетальные клетки слизистой оболочки желудка, где концентрируются в секреторных канальцах. Здесь, при кислом значении рН, ингибиторы протонного насоса активируются. В этой форме ИПП образуют прочные ковалентные связи с меркаптогруппами цистеиновых остатков Н+/К+-АТФазы, что блокирует действие протонной помпы, она становится необратимо исключенной из процесса секреции соляной кислоты. Влияние ИПП на последнюю стадию процесса образования соляной кислоты в желудке является дозозависимым и обеспечивает высокоэффективное ингибирование базальной и стимулированной секреции соляной кислоты независимо от фактора его вызывающего</w:t>
      </w:r>
      <w:r w:rsidR="00400966">
        <w:rPr>
          <w:rFonts w:ascii="Times New Roman" w:eastAsia="Arial Unicode MS" w:hAnsi="Times New Roman" w:cs="Times New Roman"/>
          <w:color w:val="000000"/>
          <w:spacing w:val="4"/>
          <w:sz w:val="24"/>
          <w:szCs w:val="24"/>
          <w:u w:color="000000"/>
          <w:lang w:eastAsia="ru-RU"/>
        </w:rPr>
        <w:fldChar w:fldCharType="begin" w:fldLock="1"/>
      </w:r>
      <w:r w:rsidR="007368BF">
        <w:rPr>
          <w:rFonts w:ascii="Times New Roman" w:eastAsia="Arial Unicode MS" w:hAnsi="Times New Roman" w:cs="Times New Roman"/>
          <w:color w:val="000000"/>
          <w:spacing w:val="4"/>
          <w:sz w:val="24"/>
          <w:szCs w:val="24"/>
          <w:u w:color="000000"/>
          <w:lang w:eastAsia="ru-RU"/>
        </w:rPr>
        <w:instrText>ADDIN CSL_CITATION {"citationItems":[{"id":"ITEM-1","itemData":{"DOI":"10.22416/1382-4376-2020-30-1-49-70","abstract":"Aim . These clinical recommendations present up-to-date methods for the diagnosis and treatment of peptic ulcer. The recommendations are intended for gastroenterologists and general practitioners. General provisions. Peptic ulcer (PU) represents a chronic relapsing disease occurring with alternating periods of exacerbation and remission. The main manifestation of the disease is the formation of a defect (ulcer) in the wall of the stomach and duodenum. Most cases of peptic ulcer are pathogenetically associated with the infection of H. pylori . PU can be an independent disease or represent symptomatic ulcers of the stomach and duodenum (medicinal, as a result of stress or endocrine pathologies, associated with chronic diseases of internal organs). In the absence of contraindications, esophagogastroduodenoscopy is recommended for all patients with suspected ulcer with the purpose of confirming the diagnosis. In order to determine indications for eradication therapy, all ulcer patients should be tested for the presence of H. pylori using a 13 C-breath test or a stool antigen test. In the case of simultaneous endoscopy, rapid urease test can be used. For the prevention of subsequent relapses of ulcer, all PU patients with confirmed H. pylori should undergo eradication therapy. In addition, in order to achieve ulcer healing, 4–6 week antisecretory therapy with proton pump inhibitors is recommended. Clinical recommendations contain criteria for assessing the quality of medical care, an algorithm of the doctor’s actions, as well as information for patients. Conclusions . These clinical recommendations present modern ideas about the etiology and pathogenesis of peptic ulcer disease, its clinical manifestations, methods of laboratory and instrumental diagnostics and basic approaches to conservative and surgical treatment.","author":[{"dropping-particle":"","family":"Ивашкин В.Т., Маев И.В., Царьков П.В., Королев М.П., Андреев Д.Н., Баранская Е.К.","given":"и др","non-dropping-particle":"","parse-names":false,"suffix":""}],"container-title":"Российский журнал гастроэнтерологии, гепатологии, колопроктологии.","id":"ITEM-1","issue":"1","issued":{"date-parts":[["2020","4","8"]]},"note":"a","page":"49-70","title":"Диагностика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type":"article-journal","volume":"30"},"uris":["http://www.mendeley.com/documents/?uuid=ab3a0581-e018-3d69-adb1-1d0fc56ea062"]}],"mendeley":{"formattedCitation":"[5]","plainTextFormattedCitation":"[5]","previouslyFormattedCitation":"[5]"},"properties":{"noteIndex":0},"schema":"https://github.com/citation-style-language/schema/raw/master/csl-citation.json"}</w:instrText>
      </w:r>
      <w:r w:rsidR="00400966">
        <w:rPr>
          <w:rFonts w:ascii="Times New Roman" w:eastAsia="Arial Unicode MS" w:hAnsi="Times New Roman" w:cs="Times New Roman"/>
          <w:color w:val="000000"/>
          <w:spacing w:val="4"/>
          <w:sz w:val="24"/>
          <w:szCs w:val="24"/>
          <w:u w:color="000000"/>
          <w:lang w:eastAsia="ru-RU"/>
        </w:rPr>
        <w:fldChar w:fldCharType="separate"/>
      </w:r>
      <w:r w:rsidR="007368BF" w:rsidRPr="007368BF">
        <w:rPr>
          <w:rFonts w:ascii="Times New Roman" w:eastAsia="Arial Unicode MS" w:hAnsi="Times New Roman" w:cs="Times New Roman"/>
          <w:noProof/>
          <w:color w:val="000000"/>
          <w:spacing w:val="4"/>
          <w:sz w:val="24"/>
          <w:szCs w:val="24"/>
          <w:u w:color="000000"/>
          <w:lang w:eastAsia="ru-RU"/>
        </w:rPr>
        <w:t>[5]</w:t>
      </w:r>
      <w:r w:rsidR="00400966">
        <w:rPr>
          <w:rFonts w:ascii="Times New Roman" w:eastAsia="Arial Unicode MS" w:hAnsi="Times New Roman" w:cs="Times New Roman"/>
          <w:color w:val="000000"/>
          <w:spacing w:val="4"/>
          <w:sz w:val="24"/>
          <w:szCs w:val="24"/>
          <w:u w:color="000000"/>
          <w:lang w:eastAsia="ru-RU"/>
        </w:rPr>
        <w:fldChar w:fldCharType="end"/>
      </w:r>
      <w:r w:rsidRPr="00212D51">
        <w:rPr>
          <w:rFonts w:ascii="Times New Roman" w:eastAsia="Arial Unicode MS" w:hAnsi="Times New Roman" w:cs="Times New Roman"/>
          <w:color w:val="000000"/>
          <w:spacing w:val="4"/>
          <w:sz w:val="24"/>
          <w:szCs w:val="24"/>
          <w:u w:color="000000"/>
          <w:lang w:eastAsia="ru-RU"/>
        </w:rPr>
        <w:t>.</w:t>
      </w:r>
    </w:p>
    <w:p w:rsidR="00212D51" w:rsidRPr="00212D51" w:rsidRDefault="00212D51" w:rsidP="002E6BF7">
      <w:pPr>
        <w:shd w:val="clear" w:color="auto" w:fill="FFFFFF"/>
        <w:tabs>
          <w:tab w:val="left" w:pos="0"/>
          <w:tab w:val="left" w:pos="394"/>
        </w:tabs>
        <w:spacing w:before="5" w:after="0" w:line="360" w:lineRule="auto"/>
        <w:ind w:left="709"/>
        <w:jc w:val="both"/>
        <w:rPr>
          <w:rFonts w:ascii="Times New Roman" w:eastAsia="Arial Unicode MS" w:hAnsi="Times New Roman" w:cs="Times New Roman"/>
          <w:b/>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Показания</w:t>
      </w:r>
    </w:p>
    <w:p w:rsidR="00212D51" w:rsidRPr="00212D51" w:rsidRDefault="00212D51" w:rsidP="00780185">
      <w:pPr>
        <w:numPr>
          <w:ilvl w:val="0"/>
          <w:numId w:val="124"/>
        </w:numPr>
        <w:tabs>
          <w:tab w:val="left" w:pos="0"/>
        </w:tabs>
        <w:spacing w:line="360" w:lineRule="auto"/>
        <w:ind w:left="0" w:firstLine="709"/>
        <w:contextualSpacing/>
        <w:jc w:val="both"/>
        <w:rPr>
          <w:rFonts w:ascii="Times New Roman" w:hAnsi="Times New Roman" w:cs="Times New Roman"/>
          <w:sz w:val="24"/>
          <w:szCs w:val="24"/>
        </w:rPr>
      </w:pPr>
      <w:r w:rsidRPr="00212D51">
        <w:rPr>
          <w:rFonts w:ascii="Times New Roman" w:hAnsi="Times New Roman" w:cs="Times New Roman"/>
          <w:sz w:val="24"/>
          <w:szCs w:val="24"/>
        </w:rPr>
        <w:t>Профилактика/лечение язвенной болезни желудка</w:t>
      </w:r>
      <w:r w:rsidRPr="00212D51">
        <w:rPr>
          <w:rFonts w:cs="Times New Roman"/>
        </w:rPr>
        <w:t xml:space="preserve"> </w:t>
      </w:r>
      <w:r w:rsidRPr="00212D51">
        <w:rPr>
          <w:rFonts w:ascii="Times New Roman" w:hAnsi="Times New Roman" w:cs="Times New Roman"/>
          <w:sz w:val="24"/>
          <w:szCs w:val="24"/>
        </w:rPr>
        <w:t>и двенадцатиперстной кишки, в том числе на фоне терапии глюкокортикостероидами</w:t>
      </w:r>
    </w:p>
    <w:p w:rsidR="00212D51" w:rsidRPr="00400966" w:rsidRDefault="00212D51" w:rsidP="002E6BF7">
      <w:pPr>
        <w:shd w:val="clear" w:color="auto" w:fill="FFFFFF"/>
        <w:tabs>
          <w:tab w:val="left" w:pos="0"/>
          <w:tab w:val="left" w:pos="394"/>
        </w:tabs>
        <w:spacing w:before="5" w:after="0" w:line="360" w:lineRule="auto"/>
        <w:ind w:left="709"/>
        <w:jc w:val="both"/>
        <w:rPr>
          <w:rFonts w:ascii="Times New Roman" w:eastAsia="Arial Unicode MS" w:hAnsi="Times New Roman" w:cs="Times New Roman"/>
          <w:b/>
          <w:color w:val="000000"/>
          <w:spacing w:val="4"/>
          <w:sz w:val="24"/>
          <w:szCs w:val="24"/>
          <w:u w:color="000000"/>
          <w:lang w:eastAsia="ru-RU"/>
        </w:rPr>
      </w:pPr>
      <w:r w:rsidRPr="00400966">
        <w:rPr>
          <w:rFonts w:ascii="Times New Roman" w:eastAsia="Arial Unicode MS" w:hAnsi="Times New Roman" w:cs="Times New Roman"/>
          <w:b/>
          <w:color w:val="000000"/>
          <w:spacing w:val="4"/>
          <w:sz w:val="24"/>
          <w:szCs w:val="24"/>
          <w:u w:color="000000"/>
          <w:shd w:val="clear" w:color="auto" w:fill="FFFFFF"/>
          <w:lang w:eastAsia="ru-RU"/>
        </w:rPr>
        <w:t>Режим дозирования</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 xml:space="preserve">Пациентам во время проведения курсов специфической противоопухолевой терапии, рекомендован прием ИПП в указанных в таблице </w:t>
      </w:r>
      <w:r w:rsidR="003B2A99">
        <w:rPr>
          <w:rFonts w:ascii="Times New Roman" w:eastAsia="Arial Unicode MS" w:hAnsi="Times New Roman" w:cs="Times New Roman"/>
          <w:color w:val="000000"/>
          <w:spacing w:val="4"/>
          <w:sz w:val="24"/>
          <w:szCs w:val="24"/>
          <w:u w:color="000000"/>
          <w:lang w:eastAsia="ru-RU"/>
        </w:rPr>
        <w:t>1</w:t>
      </w:r>
      <w:r w:rsidR="00566401">
        <w:rPr>
          <w:rFonts w:ascii="Times New Roman" w:eastAsia="Arial Unicode MS" w:hAnsi="Times New Roman" w:cs="Times New Roman"/>
          <w:color w:val="000000"/>
          <w:spacing w:val="4"/>
          <w:sz w:val="24"/>
          <w:szCs w:val="24"/>
          <w:u w:color="000000"/>
          <w:lang w:eastAsia="ru-RU"/>
        </w:rPr>
        <w:t>2</w:t>
      </w:r>
      <w:r w:rsidRPr="00212D51">
        <w:rPr>
          <w:rFonts w:ascii="Times New Roman" w:eastAsia="Arial Unicode MS" w:hAnsi="Times New Roman" w:cs="Times New Roman"/>
          <w:color w:val="000000"/>
          <w:spacing w:val="4"/>
          <w:sz w:val="24"/>
          <w:szCs w:val="24"/>
          <w:u w:color="000000"/>
          <w:lang w:eastAsia="ru-RU"/>
        </w:rPr>
        <w:t xml:space="preserve"> дозах. </w:t>
      </w: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b/>
          <w:color w:val="000000"/>
          <w:spacing w:val="4"/>
          <w:sz w:val="24"/>
          <w:szCs w:val="24"/>
          <w:u w:color="000000"/>
          <w:lang w:eastAsia="ru-RU"/>
        </w:rPr>
      </w:pPr>
      <w:r w:rsidRPr="00212D51">
        <w:rPr>
          <w:rFonts w:ascii="Times New Roman" w:eastAsia="Arial Unicode MS" w:hAnsi="Times New Roman" w:cs="Times New Roman"/>
          <w:b/>
          <w:color w:val="000000"/>
          <w:spacing w:val="4"/>
          <w:sz w:val="24"/>
          <w:szCs w:val="24"/>
          <w:u w:color="000000"/>
          <w:lang w:eastAsia="ru-RU"/>
        </w:rPr>
        <w:lastRenderedPageBreak/>
        <w:t xml:space="preserve">Таблица </w:t>
      </w:r>
      <w:r w:rsidR="003B2A99">
        <w:rPr>
          <w:rFonts w:ascii="Times New Roman" w:eastAsia="Arial Unicode MS" w:hAnsi="Times New Roman" w:cs="Times New Roman"/>
          <w:b/>
          <w:color w:val="000000"/>
          <w:spacing w:val="4"/>
          <w:sz w:val="24"/>
          <w:szCs w:val="24"/>
          <w:u w:color="000000"/>
          <w:lang w:eastAsia="ru-RU"/>
        </w:rPr>
        <w:t>1</w:t>
      </w:r>
      <w:r w:rsidR="00566401">
        <w:rPr>
          <w:rFonts w:ascii="Times New Roman" w:eastAsia="Arial Unicode MS" w:hAnsi="Times New Roman" w:cs="Times New Roman"/>
          <w:b/>
          <w:color w:val="000000"/>
          <w:spacing w:val="4"/>
          <w:sz w:val="24"/>
          <w:szCs w:val="24"/>
          <w:u w:color="000000"/>
          <w:lang w:eastAsia="ru-RU"/>
        </w:rPr>
        <w:t>2</w:t>
      </w:r>
      <w:r w:rsidRPr="00212D51">
        <w:rPr>
          <w:rFonts w:ascii="Times New Roman" w:eastAsia="Arial Unicode MS" w:hAnsi="Times New Roman" w:cs="Times New Roman"/>
          <w:b/>
          <w:color w:val="000000"/>
          <w:spacing w:val="4"/>
          <w:sz w:val="24"/>
          <w:szCs w:val="24"/>
          <w:u w:color="000000"/>
          <w:lang w:eastAsia="ru-RU"/>
        </w:rPr>
        <w:t xml:space="preserve"> . Режим дозирования ИПП с </w:t>
      </w:r>
      <w:r w:rsidR="002E6BF7">
        <w:rPr>
          <w:rFonts w:ascii="Times New Roman" w:eastAsia="Arial Unicode MS" w:hAnsi="Times New Roman" w:cs="Times New Roman"/>
          <w:b/>
          <w:color w:val="000000"/>
          <w:spacing w:val="4"/>
          <w:sz w:val="24"/>
          <w:szCs w:val="24"/>
          <w:u w:color="000000"/>
          <w:lang w:eastAsia="ru-RU"/>
        </w:rPr>
        <w:t>профилактической целью</w:t>
      </w:r>
    </w:p>
    <w:tbl>
      <w:tblPr>
        <w:tblStyle w:val="3"/>
        <w:tblW w:w="0" w:type="auto"/>
        <w:jc w:val="center"/>
        <w:tblLook w:val="04A0" w:firstRow="1" w:lastRow="0" w:firstColumn="1" w:lastColumn="0" w:noHBand="0" w:noVBand="1"/>
      </w:tblPr>
      <w:tblGrid>
        <w:gridCol w:w="2220"/>
        <w:gridCol w:w="1857"/>
        <w:gridCol w:w="4200"/>
      </w:tblGrid>
      <w:tr w:rsidR="00212D51" w:rsidRPr="00212D51" w:rsidTr="002718E0">
        <w:trPr>
          <w:jc w:val="center"/>
        </w:trPr>
        <w:tc>
          <w:tcPr>
            <w:tcW w:w="2220" w:type="dxa"/>
          </w:tcPr>
          <w:p w:rsidR="00212D51" w:rsidRPr="00212D51" w:rsidRDefault="00212D51" w:rsidP="002E6BF7">
            <w:pPr>
              <w:tabs>
                <w:tab w:val="left" w:pos="0"/>
              </w:tabs>
              <w:spacing w:line="360" w:lineRule="auto"/>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Препарат</w:t>
            </w:r>
          </w:p>
        </w:tc>
        <w:tc>
          <w:tcPr>
            <w:tcW w:w="1857" w:type="dxa"/>
          </w:tcPr>
          <w:p w:rsidR="00212D51" w:rsidRPr="00212D51" w:rsidRDefault="00212D51" w:rsidP="002E6BF7">
            <w:pPr>
              <w:tabs>
                <w:tab w:val="left" w:pos="0"/>
              </w:tabs>
              <w:spacing w:line="360" w:lineRule="auto"/>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Суточная доза, мг</w:t>
            </w:r>
          </w:p>
        </w:tc>
        <w:tc>
          <w:tcPr>
            <w:tcW w:w="4200" w:type="dxa"/>
          </w:tcPr>
          <w:p w:rsidR="00212D51" w:rsidRPr="00212D51" w:rsidRDefault="00212D51" w:rsidP="002E6BF7">
            <w:pPr>
              <w:tabs>
                <w:tab w:val="left" w:pos="0"/>
              </w:tabs>
              <w:spacing w:line="360" w:lineRule="auto"/>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Режим дозирования</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Омепразол</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20 </w:t>
            </w:r>
          </w:p>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40</w:t>
            </w:r>
          </w:p>
        </w:tc>
        <w:tc>
          <w:tcPr>
            <w:tcW w:w="420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Внутрь, 1 раз в сутки;</w:t>
            </w:r>
          </w:p>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 в/в, 1 раз в сутки</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Лансопразол</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30 </w:t>
            </w:r>
          </w:p>
        </w:tc>
        <w:tc>
          <w:tcPr>
            <w:tcW w:w="4200" w:type="dxa"/>
          </w:tcPr>
          <w:p w:rsidR="00212D51" w:rsidRPr="00212D51" w:rsidRDefault="00212D51" w:rsidP="002E6BF7">
            <w:pPr>
              <w:spacing w:line="360" w:lineRule="auto"/>
            </w:pPr>
            <w:r w:rsidRPr="00212D51">
              <w:rPr>
                <w:rFonts w:ascii="Times New Roman" w:hAnsi="Times New Roman" w:cs="Times New Roman"/>
                <w:sz w:val="24"/>
                <w:szCs w:val="24"/>
                <w:lang w:eastAsia="ru-RU"/>
              </w:rPr>
              <w:t>Внутрь, 1 раз в сутки</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Пантопразол</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40 </w:t>
            </w:r>
          </w:p>
        </w:tc>
        <w:tc>
          <w:tcPr>
            <w:tcW w:w="4200" w:type="dxa"/>
          </w:tcPr>
          <w:p w:rsidR="00212D51" w:rsidRPr="00212D51" w:rsidRDefault="00212D51" w:rsidP="002E6BF7">
            <w:pPr>
              <w:spacing w:line="360" w:lineRule="auto"/>
            </w:pPr>
            <w:r w:rsidRPr="00212D51">
              <w:rPr>
                <w:rFonts w:ascii="Times New Roman" w:hAnsi="Times New Roman" w:cs="Times New Roman"/>
                <w:sz w:val="24"/>
                <w:szCs w:val="24"/>
                <w:lang w:eastAsia="ru-RU"/>
              </w:rPr>
              <w:t>Внутрь, 1 раз в сутки</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rPr>
              <w:t>Рабепразол</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20</w:t>
            </w:r>
          </w:p>
        </w:tc>
        <w:tc>
          <w:tcPr>
            <w:tcW w:w="4200" w:type="dxa"/>
          </w:tcPr>
          <w:p w:rsidR="00212D51" w:rsidRPr="00212D51" w:rsidRDefault="00212D51" w:rsidP="002E6BF7">
            <w:pPr>
              <w:spacing w:line="360" w:lineRule="auto"/>
            </w:pPr>
            <w:r w:rsidRPr="00212D51">
              <w:rPr>
                <w:rFonts w:ascii="Times New Roman" w:hAnsi="Times New Roman" w:cs="Times New Roman"/>
                <w:sz w:val="24"/>
                <w:szCs w:val="24"/>
                <w:lang w:eastAsia="ru-RU"/>
              </w:rPr>
              <w:t>Внутрь, 1 раз в сутки</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rPr>
            </w:pPr>
            <w:r w:rsidRPr="00212D51">
              <w:rPr>
                <w:rFonts w:ascii="Times New Roman" w:hAnsi="Times New Roman" w:cs="Times New Roman"/>
                <w:sz w:val="24"/>
                <w:szCs w:val="24"/>
              </w:rPr>
              <w:t>Эзомепразол</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20</w:t>
            </w:r>
          </w:p>
        </w:tc>
        <w:tc>
          <w:tcPr>
            <w:tcW w:w="4200" w:type="dxa"/>
          </w:tcPr>
          <w:p w:rsidR="00212D51" w:rsidRPr="00212D51" w:rsidRDefault="00212D51" w:rsidP="002E6BF7">
            <w:pPr>
              <w:spacing w:line="360" w:lineRule="auto"/>
            </w:pPr>
            <w:r w:rsidRPr="00212D51">
              <w:rPr>
                <w:rFonts w:ascii="Times New Roman" w:hAnsi="Times New Roman" w:cs="Times New Roman"/>
                <w:sz w:val="24"/>
                <w:szCs w:val="24"/>
                <w:lang w:eastAsia="ru-RU"/>
              </w:rPr>
              <w:t>Внутрь или в/в, 1 раз в сутки</w:t>
            </w:r>
          </w:p>
        </w:tc>
      </w:tr>
    </w:tbl>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lang w:eastAsia="ru-RU"/>
        </w:rPr>
      </w:pPr>
    </w:p>
    <w:p w:rsidR="00212D51" w:rsidRPr="00212D51" w:rsidRDefault="00212D51" w:rsidP="00212D51">
      <w:pPr>
        <w:shd w:val="clear" w:color="auto" w:fill="FFFFFF"/>
        <w:tabs>
          <w:tab w:val="left" w:pos="0"/>
          <w:tab w:val="left" w:pos="394"/>
        </w:tabs>
        <w:spacing w:before="5" w:after="0" w:line="360" w:lineRule="auto"/>
        <w:ind w:firstLine="709"/>
        <w:jc w:val="both"/>
        <w:rPr>
          <w:rFonts w:ascii="Times New Roman" w:eastAsia="Arial Unicode MS" w:hAnsi="Times New Roman" w:cs="Times New Roman"/>
          <w:color w:val="000000"/>
          <w:spacing w:val="4"/>
          <w:sz w:val="24"/>
          <w:szCs w:val="24"/>
          <w:u w:color="000000"/>
          <w:lang w:eastAsia="ru-RU"/>
        </w:rPr>
      </w:pPr>
      <w:r w:rsidRPr="00212D51">
        <w:rPr>
          <w:rFonts w:ascii="Times New Roman" w:eastAsia="Arial Unicode MS" w:hAnsi="Times New Roman" w:cs="Times New Roman"/>
          <w:color w:val="000000"/>
          <w:spacing w:val="4"/>
          <w:sz w:val="24"/>
          <w:szCs w:val="24"/>
          <w:u w:color="000000"/>
          <w:lang w:eastAsia="ru-RU"/>
        </w:rPr>
        <w:t>Время суток и прием пищи не влияют на активность ИПП. Коррекции дозы при почечной недостаточности не требуется. При невозможности перорального приема ИПП вводятся внутривенно.</w:t>
      </w:r>
    </w:p>
    <w:p w:rsidR="00212D51" w:rsidRPr="00212D51" w:rsidRDefault="00212D51" w:rsidP="00400966">
      <w:pPr>
        <w:spacing w:after="0"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В 1990 г. Burget и соавторы опубликовали результаты мета-анализа 300 работ, установившего, что язвы желудка и двенадцатиперстной кишки рубцуются практически во всех случаях, если рН внутрижелудочного содержимого поддерживается более 3 в течение суток на протяжении 18 часов </w:t>
      </w:r>
      <w:r w:rsidR="00400966">
        <w:rPr>
          <w:rFonts w:ascii="Times New Roman" w:hAnsi="Times New Roman" w:cs="Times New Roman"/>
          <w:sz w:val="24"/>
          <w:szCs w:val="24"/>
          <w:lang w:eastAsia="ru-RU"/>
        </w:rPr>
        <w:fldChar w:fldCharType="begin" w:fldLock="1"/>
      </w:r>
      <w:r w:rsidR="007368BF">
        <w:rPr>
          <w:rFonts w:ascii="Times New Roman" w:hAnsi="Times New Roman" w:cs="Times New Roman"/>
          <w:sz w:val="24"/>
          <w:szCs w:val="24"/>
          <w:lang w:eastAsia="ru-RU"/>
        </w:rPr>
        <w:instrText>ADDIN CSL_CITATION {"citationItems":[{"id":"ITEM-1","itemData":{"DOI":"10.1016/0016-5085(90)91015-x","ISSN":"0016-5085","PMID":"2142113","abstract":"The optimal degree and duration of suppression of gastric acidity required for the healing of peptic ulcers has never been established. Although very potent inhibitors of acid secretion are now available, the need for this degree of suppression has not been shown, and there is a possibility of adverse effects because of pronounced acid inhibition. Therefore, a model has been constructed that defines the relationship between duodenal ulcer healing and antisecretory therapy. Acid suppression data were obtained directly from investigators as raw data from 24-hour studies of acid secretion. Twenty-one experiments from seven investigators provided 490 24-hour studies using 19 different treatment regimens. Healing data were collected from a metaanalysis of published clinical trials of duodenal ulcer healing. A total of 144 published trials in 14,208 patients provided healing data at several endoscopic endpoints for the 19 drug regimens for which acidity data were provided. Weighted least-squares polynomial regression analysis was used to define those parameters of antisecretory therapy that contributed most to duodenal ulcer healing and to define the shape of the response surface. A highly significant correlation (r = 0.9814) was found between healing and the degree of acid suppression, the duration of acid suppression, and the length of therapy. The shape of the contour expression this relationship shows that healing increases as the duration of suppression increases and as gastric pH increases. However, suppression that increased pH beyond 3.0 was not found to increase ulcer healing further. It is concluded that a longer duration of antisecretory effect and/or a longer duration of therapy are of greater importance than potency for duodenal ulcer healing.","author":[{"dropping-particle":"","family":"Burget","given":"D W","non-dropping-particle":"","parse-names":false,"suffix":""},{"dropping-particle":"","family":"Chiverton","given":"S G","non-dropping-particle":"","parse-names":false,"suffix":""},{"dropping-particle":"","family":"Hunt","given":"R H","non-dropping-particle":"","parse-names":false,"suffix":""}],"container-title":"Gastroenterology","id":"ITEM-1","issue":"2","issued":{"date-parts":[["1990","8"]]},"page":"345-51","publisher":"Gastroenterology","title":"Is there an optimal degree of acid suppression for healing of duodenal ulcers? A model of the relationship between ulcer healing and acid suppression.","type":"article-journal","volume":"99"},"uris":["http://www.mendeley.com/documents/?uuid=1f833764-4302-3003-854c-62d5e13ef134"]}],"mendeley":{"formattedCitation":"[25]","plainTextFormattedCitation":"[25]","previouslyFormattedCitation":"[25]"},"properties":{"noteIndex":0},"schema":"https://github.com/citation-style-language/schema/raw/master/csl-citation.json"}</w:instrText>
      </w:r>
      <w:r w:rsidR="00400966">
        <w:rPr>
          <w:rFonts w:ascii="Times New Roman" w:hAnsi="Times New Roman" w:cs="Times New Roman"/>
          <w:sz w:val="24"/>
          <w:szCs w:val="24"/>
          <w:lang w:eastAsia="ru-RU"/>
        </w:rPr>
        <w:fldChar w:fldCharType="separate"/>
      </w:r>
      <w:r w:rsidR="007368BF" w:rsidRPr="007368BF">
        <w:rPr>
          <w:rFonts w:ascii="Times New Roman" w:hAnsi="Times New Roman" w:cs="Times New Roman"/>
          <w:noProof/>
          <w:sz w:val="24"/>
          <w:szCs w:val="24"/>
          <w:lang w:eastAsia="ru-RU"/>
        </w:rPr>
        <w:t>[25]</w:t>
      </w:r>
      <w:r w:rsidR="00400966">
        <w:rPr>
          <w:rFonts w:ascii="Times New Roman" w:hAnsi="Times New Roman" w:cs="Times New Roman"/>
          <w:sz w:val="24"/>
          <w:szCs w:val="24"/>
          <w:lang w:eastAsia="ru-RU"/>
        </w:rPr>
        <w:fldChar w:fldCharType="end"/>
      </w:r>
      <w:r w:rsidRPr="00212D51">
        <w:rPr>
          <w:rFonts w:ascii="Times New Roman" w:hAnsi="Times New Roman" w:cs="Times New Roman"/>
          <w:sz w:val="24"/>
          <w:szCs w:val="24"/>
          <w:lang w:eastAsia="ru-RU"/>
        </w:rPr>
        <w:t>. С учетом указанного правила в качестве противоязвенной терапии в настоящее время могут рассматриваться антациды, Н2-блокаторы и ИПП. Согласно одному из последних мета-анализов, при использовании ИПП или Н2-блокаторов достоверно эффективнее достигается рубцевание язвенного дефекта</w:t>
      </w:r>
      <w:r w:rsidRPr="00212D51">
        <w:rPr>
          <w:rFonts w:ascii="Times New Roman" w:hAnsi="Times New Roman" w:cs="Times New Roman"/>
          <w:sz w:val="24"/>
          <w:szCs w:val="24"/>
        </w:rPr>
        <w:t>, а также с</w:t>
      </w:r>
      <w:r w:rsidRPr="00212D51">
        <w:rPr>
          <w:rFonts w:ascii="Times New Roman" w:hAnsi="Times New Roman" w:cs="Times New Roman"/>
          <w:sz w:val="24"/>
          <w:szCs w:val="24"/>
          <w:lang w:eastAsia="ru-RU"/>
        </w:rPr>
        <w:t>нижается риск повторного кровотечения, по сравнению с плацебо</w:t>
      </w:r>
      <w:r w:rsidR="00400966">
        <w:rPr>
          <w:rFonts w:ascii="Times New Roman" w:hAnsi="Times New Roman" w:cs="Times New Roman"/>
          <w:sz w:val="24"/>
          <w:szCs w:val="24"/>
          <w:lang w:eastAsia="ru-RU"/>
        </w:rPr>
        <w:t xml:space="preserve"> </w:t>
      </w:r>
      <w:r w:rsidR="00400966">
        <w:rPr>
          <w:rFonts w:ascii="Times New Roman" w:hAnsi="Times New Roman" w:cs="Times New Roman"/>
          <w:sz w:val="24"/>
          <w:szCs w:val="24"/>
          <w:lang w:eastAsia="ru-RU"/>
        </w:rPr>
        <w:fldChar w:fldCharType="begin" w:fldLock="1"/>
      </w:r>
      <w:r w:rsidR="009C1B46">
        <w:rPr>
          <w:rFonts w:ascii="Times New Roman" w:hAnsi="Times New Roman" w:cs="Times New Roman"/>
          <w:sz w:val="24"/>
          <w:szCs w:val="24"/>
          <w:lang w:eastAsia="ru-RU"/>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use …","author":[{"dropping-particle":"","family":"Scally","given":"Benjamin","non-dropping-particle":"","parse-names":false,"suffix":""},{"dropping-particle":"","family":"Emberson","given":"Jonathan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&amp; hepatology","id":"ITEM-1","issue":"4","issued":{"date-parts":[["2018"]]},"page":"231-241","publisher":"Lancet Gastroenterol Hepatol","title":"Effects of gastroprotectant drugs for the prevention and treatment of peptic ulcer disease and its complications: a meta-analysis of randomised trials.","type":"article-journal","volume":"3"},"uris":["http://www.mendeley.com/documents/?uuid=817fd238-c394-316c-8e6f-4afc8f68b509"]}],"mendeley":{"formattedCitation":"[66]","plainTextFormattedCitation":"[66]","previouslyFormattedCitation":"[65]"},"properties":{"noteIndex":0},"schema":"https://github.com/citation-style-language/schema/raw/master/csl-citation.json"}</w:instrText>
      </w:r>
      <w:r w:rsidR="00400966">
        <w:rPr>
          <w:rFonts w:ascii="Times New Roman" w:hAnsi="Times New Roman" w:cs="Times New Roman"/>
          <w:sz w:val="24"/>
          <w:szCs w:val="24"/>
          <w:lang w:eastAsia="ru-RU"/>
        </w:rPr>
        <w:fldChar w:fldCharType="separate"/>
      </w:r>
      <w:r w:rsidR="009C1B46" w:rsidRPr="009C1B46">
        <w:rPr>
          <w:rFonts w:ascii="Times New Roman" w:hAnsi="Times New Roman" w:cs="Times New Roman"/>
          <w:noProof/>
          <w:sz w:val="24"/>
          <w:szCs w:val="24"/>
          <w:lang w:eastAsia="ru-RU"/>
        </w:rPr>
        <w:t>[66]</w:t>
      </w:r>
      <w:r w:rsidR="00400966">
        <w:rPr>
          <w:rFonts w:ascii="Times New Roman" w:hAnsi="Times New Roman" w:cs="Times New Roman"/>
          <w:sz w:val="24"/>
          <w:szCs w:val="24"/>
          <w:lang w:eastAsia="ru-RU"/>
        </w:rPr>
        <w:fldChar w:fldCharType="end"/>
      </w:r>
      <w:r w:rsidRPr="00212D51">
        <w:rPr>
          <w:rFonts w:ascii="Times New Roman" w:hAnsi="Times New Roman" w:cs="Times New Roman"/>
          <w:sz w:val="24"/>
          <w:szCs w:val="24"/>
          <w:lang w:eastAsia="ru-RU"/>
        </w:rPr>
        <w:t xml:space="preserve">. Лишь препараты этих двух групп позволяют достигать и поддерживать необходимую рН-среду желудка, при которой происходит заживление гастродуоденальных язв. </w:t>
      </w:r>
    </w:p>
    <w:p w:rsidR="00212D51" w:rsidRPr="00212D51" w:rsidRDefault="00212D51" w:rsidP="00212D51">
      <w:pPr>
        <w:spacing w:line="360" w:lineRule="auto"/>
        <w:ind w:firstLine="709"/>
        <w:jc w:val="both"/>
        <w:rPr>
          <w:rFonts w:ascii="Times New Roman" w:hAnsi="Times New Roman" w:cs="Times New Roman"/>
          <w:sz w:val="24"/>
          <w:szCs w:val="24"/>
          <w:lang w:eastAsia="ru-RU"/>
        </w:rPr>
      </w:pPr>
      <w:r w:rsidRPr="00212D51">
        <w:rPr>
          <w:rFonts w:ascii="Times New Roman" w:hAnsi="Times New Roman" w:cs="Times New Roman"/>
          <w:sz w:val="24"/>
          <w:szCs w:val="24"/>
          <w:lang w:eastAsia="ru-RU"/>
        </w:rPr>
        <w:t>В настоящее время ИПП являются средством базисной терапии. Результаты рандомизированных сравнительных исследований свидетельствуют о высокой эффективности ИП</w:t>
      </w:r>
      <w:r w:rsidR="00400966">
        <w:rPr>
          <w:rFonts w:ascii="Times New Roman" w:hAnsi="Times New Roman" w:cs="Times New Roman"/>
          <w:sz w:val="24"/>
          <w:szCs w:val="24"/>
          <w:lang w:eastAsia="ru-RU"/>
        </w:rPr>
        <w:t xml:space="preserve">П по сравнению с Н2-блокаторами </w:t>
      </w:r>
      <w:r w:rsidR="00400966">
        <w:rPr>
          <w:rFonts w:ascii="Times New Roman" w:hAnsi="Times New Roman" w:cs="Times New Roman"/>
          <w:sz w:val="24"/>
          <w:szCs w:val="24"/>
          <w:lang w:eastAsia="ru-RU"/>
        </w:rPr>
        <w:fldChar w:fldCharType="begin" w:fldLock="1"/>
      </w:r>
      <w:r w:rsidR="009C1B46">
        <w:rPr>
          <w:rFonts w:ascii="Times New Roman" w:hAnsi="Times New Roman" w:cs="Times New Roman"/>
          <w:sz w:val="24"/>
          <w:szCs w:val="24"/>
          <w:lang w:eastAsia="ru-RU"/>
        </w:rPr>
        <w:instrText>ADDIN CSL_CITATION {"citationItems":[{"id":"ITEM-1","itemData":{"DOI":"10.4103/1319-3767.199117","ISSN":"1998-4049","PMID":"28139495","abstract":"BACKGROUND/AIM To compare the efficacy and tolerance of different proton pump inhibitors (PPIs) in different doses for patients with duodenal ulcers. MATERIALS AND METHODS An electronic database was searched to collect all randomized clinical trials (RCTs), and a pairwise and network meta-analysis were performed. RESULTS A total of 24 RCTs involving 6188 patients were included. The network meta-analysis showed that there were no significant differences for the 4-week healing rate of duodenal ulcer treated with different PPI regimens except pantoprazle 40 mg/d versus lansoprazole 15 mg/d [Relative risk (RR) = 3.57; 95% confidence interval (CI) = 1.36-10.31)] and lansoprazole 30 mg/d versus lansoprazole 15 mg/d (RR = 2.45; 95% CI = 1.01-6.14). In comparison with H2receptor antagonists (H2RA), pantoprazole 40 mg/d and lansoprazole 30 mg/d significantly increase the healing rate (RR = 2.96; 95% CI = 1.78-5.14 and RR = 2.04; 95% CI = 1.13-3.53, respectively). There was no significant difference for the rate of adverse events between different regimens, including H2RA for a duration of 4-week of follow up. CONCLUSION There was no significant difference for the efficacy and tolerance between the ordinary doses of different PPIs with the exception of lansoprazle 15 mg/d.","author":[{"dropping-particle":"","family":"Hu","given":"Zhan-Hong","non-dropping-particle":"","parse-names":false,"suffix":""},{"dropping-particle":"","family":"Shi","given":"Ai-Ming","non-dropping-particle":"","parse-names":false,"suffix":""},{"dropping-particle":"","family":"Hu","given":"Duan-Min","non-dropping-particle":"","parse-names":false,"suffix":""},{"dropping-particle":"","family":"Bao","given":"Jun-Jie","non-dropping-particle":"","parse-names":false,"suffix":""}],"container-title":"Saudi journal of gastroenterology : official journal of the Saudi Gastroenterology Association","id":"ITEM-1","issue":"1","issued":{"date-parts":[["2017"]]},"page":"11-19","publisher":"Saudi J Gastroenterol","title":"Efficacy of proton pump inhibitors for patients with duodenal ulcers: A pairwise and network meta-analysis of randomized controlled trials.","type":"article-journal","volume":"23"},"uris":["http://www.mendeley.com/documents/?uuid=c3586db8-8108-3abc-9cf1-1e6f979fbbb1"]}],"mendeley":{"formattedCitation":"[45]","plainTextFormattedCitation":"[45]","previouslyFormattedCitation":"[44]"},"properties":{"noteIndex":0},"schema":"https://github.com/citation-style-language/schema/raw/master/csl-citation.json"}</w:instrText>
      </w:r>
      <w:r w:rsidR="00400966">
        <w:rPr>
          <w:rFonts w:ascii="Times New Roman" w:hAnsi="Times New Roman" w:cs="Times New Roman"/>
          <w:sz w:val="24"/>
          <w:szCs w:val="24"/>
          <w:lang w:eastAsia="ru-RU"/>
        </w:rPr>
        <w:fldChar w:fldCharType="separate"/>
      </w:r>
      <w:r w:rsidR="009C1B46" w:rsidRPr="009C1B46">
        <w:rPr>
          <w:rFonts w:ascii="Times New Roman" w:hAnsi="Times New Roman" w:cs="Times New Roman"/>
          <w:noProof/>
          <w:sz w:val="24"/>
          <w:szCs w:val="24"/>
          <w:lang w:eastAsia="ru-RU"/>
        </w:rPr>
        <w:t>[45]</w:t>
      </w:r>
      <w:r w:rsidR="00400966">
        <w:rPr>
          <w:rFonts w:ascii="Times New Roman" w:hAnsi="Times New Roman" w:cs="Times New Roman"/>
          <w:sz w:val="24"/>
          <w:szCs w:val="24"/>
          <w:lang w:eastAsia="ru-RU"/>
        </w:rPr>
        <w:fldChar w:fldCharType="end"/>
      </w:r>
      <w:r w:rsidRPr="00212D51">
        <w:rPr>
          <w:rFonts w:ascii="Times New Roman" w:hAnsi="Times New Roman" w:cs="Times New Roman"/>
          <w:sz w:val="24"/>
          <w:szCs w:val="24"/>
          <w:lang w:eastAsia="ru-RU"/>
        </w:rPr>
        <w:t>. ИПП практически в 1,5 раза эффективнее Н2-блокаторов в отношении</w:t>
      </w:r>
      <w:r w:rsidR="00400966">
        <w:rPr>
          <w:rFonts w:ascii="Times New Roman" w:hAnsi="Times New Roman" w:cs="Times New Roman"/>
          <w:sz w:val="24"/>
          <w:szCs w:val="24"/>
          <w:lang w:eastAsia="ru-RU"/>
        </w:rPr>
        <w:t xml:space="preserve"> эпителизации язвенного дефекта</w:t>
      </w:r>
      <w:r w:rsidR="00400966">
        <w:rPr>
          <w:rFonts w:ascii="Times New Roman" w:hAnsi="Times New Roman" w:cs="Times New Roman"/>
          <w:sz w:val="24"/>
          <w:szCs w:val="24"/>
          <w:lang w:eastAsia="ru-RU"/>
        </w:rPr>
        <w:fldChar w:fldCharType="begin" w:fldLock="1"/>
      </w:r>
      <w:r w:rsidR="009C1B46">
        <w:rPr>
          <w:rFonts w:ascii="Times New Roman" w:hAnsi="Times New Roman" w:cs="Times New Roman"/>
          <w:sz w:val="24"/>
          <w:szCs w:val="24"/>
          <w:lang w:eastAsia="ru-RU"/>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use …","author":[{"dropping-particle":"","family":"Scally","given":"Benjamin","non-dropping-particle":"","parse-names":false,"suffix":""},{"dropping-particle":"","family":"Emberson","given":"Jonathan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&amp; hepatology","id":"ITEM-1","issue":"4","issued":{"date-parts":[["2018"]]},"page":"231-241","publisher":"Lancet Gastroenterol Hepatol","title":"Effects of gastroprotectant drugs for the prevention and treatment of peptic ulcer disease and its complications: a meta-analysis of randomised trials.","type":"article-journal","volume":"3"},"uris":["http://www.mendeley.com/documents/?uuid=817fd238-c394-316c-8e6f-4afc8f68b509"]}],"mendeley":{"formattedCitation":"[66]","plainTextFormattedCitation":"[66]","previouslyFormattedCitation":"[65]"},"properties":{"noteIndex":0},"schema":"https://github.com/citation-style-language/schema/raw/master/csl-citation.json"}</w:instrText>
      </w:r>
      <w:r w:rsidR="00400966">
        <w:rPr>
          <w:rFonts w:ascii="Times New Roman" w:hAnsi="Times New Roman" w:cs="Times New Roman"/>
          <w:sz w:val="24"/>
          <w:szCs w:val="24"/>
          <w:lang w:eastAsia="ru-RU"/>
        </w:rPr>
        <w:fldChar w:fldCharType="separate"/>
      </w:r>
      <w:r w:rsidR="009C1B46" w:rsidRPr="009C1B46">
        <w:rPr>
          <w:rFonts w:ascii="Times New Roman" w:hAnsi="Times New Roman" w:cs="Times New Roman"/>
          <w:noProof/>
          <w:sz w:val="24"/>
          <w:szCs w:val="24"/>
          <w:lang w:eastAsia="ru-RU"/>
        </w:rPr>
        <w:t>[66]</w:t>
      </w:r>
      <w:r w:rsidR="00400966">
        <w:rPr>
          <w:rFonts w:ascii="Times New Roman" w:hAnsi="Times New Roman" w:cs="Times New Roman"/>
          <w:sz w:val="24"/>
          <w:szCs w:val="24"/>
          <w:lang w:eastAsia="ru-RU"/>
        </w:rPr>
        <w:fldChar w:fldCharType="end"/>
      </w:r>
      <w:r w:rsidRPr="00212D51">
        <w:rPr>
          <w:rFonts w:ascii="Times New Roman" w:hAnsi="Times New Roman" w:cs="Times New Roman"/>
          <w:sz w:val="24"/>
          <w:szCs w:val="24"/>
          <w:lang w:eastAsia="ru-RU"/>
        </w:rPr>
        <w:t>.</w:t>
      </w:r>
    </w:p>
    <w:p w:rsidR="00212D51" w:rsidRPr="00212D51" w:rsidRDefault="002E6BF7" w:rsidP="00212D51">
      <w:pPr>
        <w:tabs>
          <w:tab w:val="left" w:pos="0"/>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3.4.2 </w:t>
      </w:r>
      <w:r w:rsidR="00212D51" w:rsidRPr="00212D51">
        <w:rPr>
          <w:rFonts w:ascii="Times New Roman" w:hAnsi="Times New Roman" w:cs="Times New Roman"/>
          <w:b/>
          <w:sz w:val="24"/>
          <w:szCs w:val="24"/>
        </w:rPr>
        <w:t xml:space="preserve">Блокаторы Н2-гистаминовых рецепторов </w:t>
      </w:r>
    </w:p>
    <w:p w:rsidR="00212D51" w:rsidRPr="00212D51" w:rsidRDefault="00212D51" w:rsidP="002E6BF7">
      <w:pPr>
        <w:tabs>
          <w:tab w:val="left" w:pos="0"/>
        </w:tabs>
        <w:spacing w:after="0" w:line="360" w:lineRule="auto"/>
        <w:ind w:firstLine="709"/>
        <w:jc w:val="both"/>
        <w:rPr>
          <w:rFonts w:ascii="Times New Roman" w:hAnsi="Times New Roman" w:cs="Times New Roman"/>
          <w:b/>
          <w:sz w:val="24"/>
          <w:szCs w:val="24"/>
        </w:rPr>
      </w:pPr>
      <w:r w:rsidRPr="00212D51">
        <w:rPr>
          <w:rFonts w:ascii="Times New Roman" w:hAnsi="Times New Roman" w:cs="Times New Roman"/>
          <w:b/>
          <w:sz w:val="24"/>
          <w:szCs w:val="24"/>
        </w:rPr>
        <w:t>Фармакологическое действие</w:t>
      </w:r>
    </w:p>
    <w:p w:rsidR="00212D51" w:rsidRPr="00212D51" w:rsidRDefault="00212D51" w:rsidP="002E6BF7">
      <w:pPr>
        <w:tabs>
          <w:tab w:val="left" w:pos="0"/>
        </w:tabs>
        <w:spacing w:after="0"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rPr>
        <w:t xml:space="preserve">Препараты, блокирующие гистаминовые Н2-рецепторы – лекарственные средства, устраняющие физиологические эффекты гистамина, блокируя рецепторы чувствительных к нему клеток. </w:t>
      </w:r>
    </w:p>
    <w:p w:rsidR="00212D51" w:rsidRPr="00212D51" w:rsidRDefault="00212D51" w:rsidP="00212D51">
      <w:pPr>
        <w:tabs>
          <w:tab w:val="left" w:pos="0"/>
        </w:tabs>
        <w:spacing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rPr>
        <w:lastRenderedPageBreak/>
        <w:t xml:space="preserve">Популяция гистаминорецепторов состоит из 2-х подтипов, названных Н (Н1- и Н2-гистаминорецепторы). Секреторные реакции желудка при действии экзогенного или эндогенного гистамина реализуются через Н2-гистаминорецепторы. Блокаторы гистаминовых Н2-рецепторов являются конкурентными антагонистами гистамина. Наиболее выраженный эффект ассоциирован с влиянием на секрецию желез слизистой оболочки желудка. Препараты воздействуют на гистаминовые Н2-рецепторы париетальных клеток и значительно уменьшают вызванную различными раздражителями секрецию соляной кислоты. </w:t>
      </w:r>
    </w:p>
    <w:p w:rsidR="00212D51" w:rsidRPr="00212D51" w:rsidRDefault="00212D51" w:rsidP="002E6BF7">
      <w:pPr>
        <w:tabs>
          <w:tab w:val="left" w:pos="0"/>
        </w:tabs>
        <w:spacing w:after="0" w:line="360" w:lineRule="auto"/>
        <w:ind w:firstLine="709"/>
        <w:jc w:val="both"/>
        <w:rPr>
          <w:rFonts w:ascii="Times New Roman" w:hAnsi="Times New Roman" w:cs="Times New Roman"/>
          <w:b/>
          <w:sz w:val="24"/>
          <w:szCs w:val="24"/>
        </w:rPr>
      </w:pPr>
      <w:r w:rsidRPr="00212D51">
        <w:rPr>
          <w:rFonts w:ascii="Times New Roman" w:hAnsi="Times New Roman" w:cs="Times New Roman"/>
          <w:b/>
          <w:sz w:val="24"/>
          <w:szCs w:val="24"/>
        </w:rPr>
        <w:t>Показания</w:t>
      </w:r>
    </w:p>
    <w:p w:rsidR="00212D51" w:rsidRPr="00212D51" w:rsidRDefault="00212D51" w:rsidP="00780185">
      <w:pPr>
        <w:numPr>
          <w:ilvl w:val="0"/>
          <w:numId w:val="124"/>
        </w:numPr>
        <w:tabs>
          <w:tab w:val="left" w:pos="0"/>
        </w:tabs>
        <w:spacing w:line="360" w:lineRule="auto"/>
        <w:ind w:left="0" w:firstLine="709"/>
        <w:contextualSpacing/>
        <w:jc w:val="both"/>
        <w:rPr>
          <w:rFonts w:ascii="Times New Roman" w:hAnsi="Times New Roman" w:cs="Times New Roman"/>
          <w:sz w:val="24"/>
          <w:szCs w:val="24"/>
        </w:rPr>
      </w:pPr>
      <w:r w:rsidRPr="00212D51">
        <w:rPr>
          <w:rFonts w:ascii="Times New Roman" w:hAnsi="Times New Roman" w:cs="Times New Roman"/>
          <w:sz w:val="24"/>
          <w:szCs w:val="24"/>
        </w:rPr>
        <w:t>Профилактика/лечение язвенной болезни желудка</w:t>
      </w:r>
      <w:r w:rsidRPr="00212D51">
        <w:rPr>
          <w:rFonts w:cs="Times New Roman"/>
        </w:rPr>
        <w:t xml:space="preserve"> </w:t>
      </w:r>
      <w:r w:rsidRPr="00212D51">
        <w:rPr>
          <w:rFonts w:ascii="Times New Roman" w:hAnsi="Times New Roman" w:cs="Times New Roman"/>
          <w:sz w:val="24"/>
          <w:szCs w:val="24"/>
        </w:rPr>
        <w:t xml:space="preserve">и двенадцатиперстной кишки, в том числе на фоне </w:t>
      </w:r>
      <w:r w:rsidR="002E6BF7">
        <w:rPr>
          <w:rFonts w:ascii="Times New Roman" w:hAnsi="Times New Roman" w:cs="Times New Roman"/>
          <w:sz w:val="24"/>
          <w:szCs w:val="24"/>
        </w:rPr>
        <w:t>высокодозной химиотерапии</w:t>
      </w:r>
    </w:p>
    <w:p w:rsidR="00212D51" w:rsidRPr="00212D51" w:rsidRDefault="00212D51" w:rsidP="002E6BF7">
      <w:pPr>
        <w:tabs>
          <w:tab w:val="left" w:pos="0"/>
        </w:tabs>
        <w:spacing w:after="0" w:line="360" w:lineRule="auto"/>
        <w:ind w:firstLine="709"/>
        <w:jc w:val="both"/>
        <w:rPr>
          <w:rFonts w:ascii="Times New Roman" w:hAnsi="Times New Roman" w:cs="Times New Roman"/>
          <w:b/>
          <w:sz w:val="24"/>
          <w:szCs w:val="24"/>
        </w:rPr>
      </w:pPr>
      <w:r w:rsidRPr="00212D51">
        <w:rPr>
          <w:rFonts w:ascii="Times New Roman" w:hAnsi="Times New Roman" w:cs="Times New Roman"/>
          <w:b/>
          <w:sz w:val="24"/>
          <w:szCs w:val="24"/>
        </w:rPr>
        <w:t>5.3. Режим дозирования</w:t>
      </w:r>
    </w:p>
    <w:p w:rsidR="00212D51" w:rsidRPr="00212D51" w:rsidRDefault="00212D51" w:rsidP="00212D51">
      <w:pPr>
        <w:tabs>
          <w:tab w:val="left" w:pos="0"/>
        </w:tabs>
        <w:spacing w:line="360" w:lineRule="auto"/>
        <w:ind w:firstLine="709"/>
        <w:jc w:val="both"/>
        <w:rPr>
          <w:rFonts w:ascii="Times New Roman" w:hAnsi="Times New Roman" w:cs="Times New Roman"/>
          <w:sz w:val="24"/>
          <w:szCs w:val="24"/>
        </w:rPr>
      </w:pPr>
      <w:r w:rsidRPr="00212D51">
        <w:rPr>
          <w:rFonts w:ascii="Times New Roman" w:hAnsi="Times New Roman" w:cs="Times New Roman"/>
          <w:sz w:val="24"/>
          <w:szCs w:val="24"/>
        </w:rPr>
        <w:t xml:space="preserve">Пациентам во время проведения курсов специфической противоопухолевой терапии, </w:t>
      </w:r>
      <w:r w:rsidR="002E6BF7">
        <w:rPr>
          <w:rFonts w:ascii="Times New Roman" w:hAnsi="Times New Roman" w:cs="Times New Roman"/>
          <w:sz w:val="24"/>
          <w:szCs w:val="24"/>
        </w:rPr>
        <w:t xml:space="preserve">с профилактической целью </w:t>
      </w:r>
      <w:r w:rsidRPr="00212D51">
        <w:rPr>
          <w:rFonts w:ascii="Times New Roman" w:hAnsi="Times New Roman" w:cs="Times New Roman"/>
          <w:sz w:val="24"/>
          <w:szCs w:val="24"/>
        </w:rPr>
        <w:t xml:space="preserve">рекомендован прием блокаторов Н2-гистаминовых рецепторов в указанных в таблице </w:t>
      </w:r>
      <w:r w:rsidR="003B2A99">
        <w:rPr>
          <w:rFonts w:ascii="Times New Roman" w:hAnsi="Times New Roman" w:cs="Times New Roman"/>
          <w:sz w:val="24"/>
          <w:szCs w:val="24"/>
        </w:rPr>
        <w:t>1</w:t>
      </w:r>
      <w:r w:rsidR="00566401">
        <w:rPr>
          <w:rFonts w:ascii="Times New Roman" w:hAnsi="Times New Roman" w:cs="Times New Roman"/>
          <w:sz w:val="24"/>
          <w:szCs w:val="24"/>
        </w:rPr>
        <w:t>3</w:t>
      </w:r>
      <w:r w:rsidRPr="00212D51">
        <w:rPr>
          <w:rFonts w:ascii="Times New Roman" w:hAnsi="Times New Roman" w:cs="Times New Roman"/>
          <w:sz w:val="24"/>
          <w:szCs w:val="24"/>
        </w:rPr>
        <w:t xml:space="preserve"> дозах.</w:t>
      </w:r>
    </w:p>
    <w:p w:rsidR="00212D51" w:rsidRPr="00212D51" w:rsidRDefault="00212D51" w:rsidP="002E6BF7">
      <w:pPr>
        <w:tabs>
          <w:tab w:val="left" w:pos="0"/>
        </w:tabs>
        <w:spacing w:after="0" w:line="360" w:lineRule="auto"/>
        <w:ind w:firstLine="709"/>
        <w:jc w:val="both"/>
        <w:rPr>
          <w:rFonts w:ascii="Times New Roman" w:hAnsi="Times New Roman" w:cs="Times New Roman"/>
          <w:b/>
          <w:sz w:val="24"/>
          <w:szCs w:val="24"/>
        </w:rPr>
      </w:pPr>
      <w:r w:rsidRPr="00212D51">
        <w:rPr>
          <w:rFonts w:ascii="Times New Roman" w:hAnsi="Times New Roman" w:cs="Times New Roman"/>
          <w:b/>
          <w:sz w:val="24"/>
          <w:szCs w:val="24"/>
        </w:rPr>
        <w:t xml:space="preserve">Таблица </w:t>
      </w:r>
      <w:r w:rsidR="003B2A99">
        <w:rPr>
          <w:rFonts w:ascii="Times New Roman" w:hAnsi="Times New Roman" w:cs="Times New Roman"/>
          <w:b/>
          <w:sz w:val="24"/>
          <w:szCs w:val="24"/>
        </w:rPr>
        <w:t>1</w:t>
      </w:r>
      <w:r w:rsidR="00566401">
        <w:rPr>
          <w:rFonts w:ascii="Times New Roman" w:hAnsi="Times New Roman" w:cs="Times New Roman"/>
          <w:b/>
          <w:sz w:val="24"/>
          <w:szCs w:val="24"/>
        </w:rPr>
        <w:t>3</w:t>
      </w:r>
      <w:r w:rsidRPr="00212D51">
        <w:rPr>
          <w:rFonts w:ascii="Times New Roman" w:hAnsi="Times New Roman" w:cs="Times New Roman"/>
          <w:b/>
          <w:sz w:val="24"/>
          <w:szCs w:val="24"/>
        </w:rPr>
        <w:t xml:space="preserve"> . Режим дозирования блокаторов Н2-гистаминовых рецепторов </w:t>
      </w:r>
    </w:p>
    <w:tbl>
      <w:tblPr>
        <w:tblStyle w:val="3"/>
        <w:tblW w:w="0" w:type="auto"/>
        <w:jc w:val="center"/>
        <w:tblLook w:val="04A0" w:firstRow="1" w:lastRow="0" w:firstColumn="1" w:lastColumn="0" w:noHBand="0" w:noVBand="1"/>
      </w:tblPr>
      <w:tblGrid>
        <w:gridCol w:w="2220"/>
        <w:gridCol w:w="1857"/>
        <w:gridCol w:w="3491"/>
      </w:tblGrid>
      <w:tr w:rsidR="00212D51" w:rsidRPr="00212D51" w:rsidTr="002718E0">
        <w:trPr>
          <w:jc w:val="center"/>
        </w:trPr>
        <w:tc>
          <w:tcPr>
            <w:tcW w:w="2220" w:type="dxa"/>
          </w:tcPr>
          <w:p w:rsidR="00212D51" w:rsidRPr="00212D51" w:rsidRDefault="00212D51" w:rsidP="002E6BF7">
            <w:pPr>
              <w:tabs>
                <w:tab w:val="left" w:pos="0"/>
              </w:tabs>
              <w:spacing w:line="360" w:lineRule="auto"/>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Препараты</w:t>
            </w:r>
          </w:p>
        </w:tc>
        <w:tc>
          <w:tcPr>
            <w:tcW w:w="1857" w:type="dxa"/>
          </w:tcPr>
          <w:p w:rsidR="00212D51" w:rsidRPr="00212D51" w:rsidRDefault="00212D51" w:rsidP="002E6BF7">
            <w:pPr>
              <w:tabs>
                <w:tab w:val="left" w:pos="0"/>
              </w:tabs>
              <w:spacing w:line="360" w:lineRule="auto"/>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Суточная доза, мг</w:t>
            </w:r>
          </w:p>
        </w:tc>
        <w:tc>
          <w:tcPr>
            <w:tcW w:w="3491" w:type="dxa"/>
          </w:tcPr>
          <w:p w:rsidR="00212D51" w:rsidRPr="00212D51" w:rsidRDefault="00212D51" w:rsidP="002E6BF7">
            <w:pPr>
              <w:tabs>
                <w:tab w:val="left" w:pos="0"/>
              </w:tabs>
              <w:spacing w:line="360" w:lineRule="auto"/>
              <w:jc w:val="center"/>
              <w:rPr>
                <w:rFonts w:ascii="Times New Roman" w:hAnsi="Times New Roman" w:cs="Times New Roman"/>
                <w:b/>
                <w:sz w:val="24"/>
                <w:szCs w:val="24"/>
                <w:lang w:eastAsia="ru-RU"/>
              </w:rPr>
            </w:pPr>
            <w:r w:rsidRPr="00212D51">
              <w:rPr>
                <w:rFonts w:ascii="Times New Roman" w:hAnsi="Times New Roman" w:cs="Times New Roman"/>
                <w:b/>
                <w:sz w:val="24"/>
                <w:szCs w:val="24"/>
                <w:lang w:eastAsia="ru-RU"/>
              </w:rPr>
              <w:t>Режим дозирования</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Ранитидин</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150</w:t>
            </w:r>
          </w:p>
        </w:tc>
        <w:tc>
          <w:tcPr>
            <w:tcW w:w="3491"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Внутрь, 1 раз в сутки, на ночь</w:t>
            </w:r>
          </w:p>
        </w:tc>
      </w:tr>
      <w:tr w:rsidR="00212D51" w:rsidRPr="00212D51" w:rsidTr="002718E0">
        <w:trPr>
          <w:jc w:val="center"/>
        </w:trPr>
        <w:tc>
          <w:tcPr>
            <w:tcW w:w="2220"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Фамотидин</w:t>
            </w:r>
          </w:p>
        </w:tc>
        <w:tc>
          <w:tcPr>
            <w:tcW w:w="1857" w:type="dxa"/>
          </w:tcPr>
          <w:p w:rsidR="00212D51" w:rsidRPr="00212D51" w:rsidRDefault="00212D51" w:rsidP="002E6BF7">
            <w:pPr>
              <w:tabs>
                <w:tab w:val="left" w:pos="0"/>
              </w:tabs>
              <w:spacing w:line="360" w:lineRule="auto"/>
              <w:rPr>
                <w:rFonts w:ascii="Times New Roman" w:hAnsi="Times New Roman" w:cs="Times New Roman"/>
                <w:sz w:val="24"/>
                <w:szCs w:val="24"/>
                <w:lang w:eastAsia="ru-RU"/>
              </w:rPr>
            </w:pPr>
            <w:r w:rsidRPr="00212D51">
              <w:rPr>
                <w:rFonts w:ascii="Times New Roman" w:hAnsi="Times New Roman" w:cs="Times New Roman"/>
                <w:sz w:val="24"/>
                <w:szCs w:val="24"/>
                <w:lang w:eastAsia="ru-RU"/>
              </w:rPr>
              <w:t xml:space="preserve">20 </w:t>
            </w:r>
          </w:p>
        </w:tc>
        <w:tc>
          <w:tcPr>
            <w:tcW w:w="3491" w:type="dxa"/>
          </w:tcPr>
          <w:p w:rsidR="00212D51" w:rsidRPr="00212D51" w:rsidRDefault="00212D51" w:rsidP="002E6BF7">
            <w:pPr>
              <w:spacing w:line="360" w:lineRule="auto"/>
            </w:pPr>
            <w:r w:rsidRPr="00212D51">
              <w:rPr>
                <w:rFonts w:ascii="Times New Roman" w:hAnsi="Times New Roman" w:cs="Times New Roman"/>
                <w:sz w:val="24"/>
                <w:szCs w:val="24"/>
                <w:lang w:eastAsia="ru-RU"/>
              </w:rPr>
              <w:t>Внутрь, 1 раз в сутки, на ночь</w:t>
            </w:r>
          </w:p>
        </w:tc>
      </w:tr>
    </w:tbl>
    <w:p w:rsidR="00212D51" w:rsidRPr="00212D51" w:rsidRDefault="00212D51" w:rsidP="002E6BF7">
      <w:pPr>
        <w:autoSpaceDE w:val="0"/>
        <w:autoSpaceDN w:val="0"/>
        <w:adjustRightInd w:val="0"/>
        <w:spacing w:before="240" w:after="0" w:line="360" w:lineRule="auto"/>
        <w:ind w:firstLine="709"/>
        <w:jc w:val="both"/>
        <w:rPr>
          <w:rFonts w:ascii="Times New Roman" w:hAnsi="Times New Roman" w:cs="Times New Roman"/>
          <w:iCs/>
          <w:sz w:val="24"/>
          <w:szCs w:val="24"/>
        </w:rPr>
      </w:pPr>
      <w:r w:rsidRPr="00212D51">
        <w:rPr>
          <w:rFonts w:ascii="Times New Roman" w:hAnsi="Times New Roman" w:cs="Times New Roman"/>
          <w:iCs/>
          <w:sz w:val="24"/>
          <w:szCs w:val="24"/>
        </w:rPr>
        <w:t>Н2-блокаторы гистамина подавляют секрецию соляной кислоты за счет вытеснения гистамина из связи с Н2-рецепторами париетальных клеток. Препараты этой группы поддерживают показатели внутрижелудочного рН &gt; 3 на протяжении суток. Проведенные исследования показали, что применение Н2-блокаторов в течение 1-1,5 месяца приводит к рубцеванию язвенного дефекта у 70–80 % пациентов с дуоденальными язвами и у 55–</w:t>
      </w:r>
      <w:r w:rsidR="00400966">
        <w:rPr>
          <w:rFonts w:ascii="Times New Roman" w:hAnsi="Times New Roman" w:cs="Times New Roman"/>
          <w:iCs/>
          <w:sz w:val="24"/>
          <w:szCs w:val="24"/>
        </w:rPr>
        <w:t xml:space="preserve">60 % пациентов с язвами желудка </w:t>
      </w:r>
      <w:r w:rsidR="00400966">
        <w:rPr>
          <w:rFonts w:ascii="Times New Roman" w:hAnsi="Times New Roman" w:cs="Times New Roman"/>
          <w:iCs/>
          <w:sz w:val="24"/>
          <w:szCs w:val="24"/>
        </w:rPr>
        <w:fldChar w:fldCharType="begin" w:fldLock="1"/>
      </w:r>
      <w:r w:rsidR="009C1B46">
        <w:rPr>
          <w:rFonts w:ascii="Times New Roman" w:hAnsi="Times New Roman" w:cs="Times New Roman"/>
          <w:iCs/>
          <w:sz w:val="24"/>
          <w:szCs w:val="24"/>
        </w:rPr>
        <w:instrText>ADDIN CSL_CITATION {"citationItems":[{"id":"ITEM-1","itemData":{"DOI":"10.1016/S0140-6736(16)32404-7","ISSN":"1474-547X","PMID":"28242110","abstract":"The rapidly declining prevalence of Helicobacter pylori infection and widespread use of potent anti-secretory drugs means peptic ulcer disease has become substantially less prevalent than it was two decades ago. Management has, however, become more challenging than ever because of the threat of increasing antimicrobial resistance worldwide and widespread use of complex anti-thrombotic therapy in the ageing population. Peptic ulcers not associated with H pylori infection or the use of non-steroidal anti-inflammatory drugs are now also imposing substantial diagnostic and therapeutic challenges. This Seminar aims to provide a balanced overview of the latest advances in the pathogenetic mechanisms of peptic ulcers, guidelines on therapies targeting H pylori infection, approaches to treatment of peptic ulcer complications associated with anti-inflammatory analgesics and anti-thrombotic agents, and the unmet needs in terms of our knowledge and management of this increasingly challenging condition.","author":[{"dropping-particle":"","family":"Lanas","given":"Angel","non-dropping-particle":"","parse-names":false,"suffix":""},{"dropping-particle":"","family":"Chan","given":"Francis K L","non-dropping-particle":"","parse-names":false,"suffix":""}],"container-title":"Lancet (London, England)","id":"ITEM-1","issue":"10094","issued":{"date-parts":[["2017"]]},"page":"613-624","publisher":"Lancet","title":"Peptic ulcer disease.","type":"article-journal","volume":"390"},"uris":["http://www.mendeley.com/documents/?uuid=dcbc625a-2314-3bed-910d-92b1cdf9da49"]}],"mendeley":{"formattedCitation":"[50]","plainTextFormattedCitation":"[50]","previouslyFormattedCitation":"[49]"},"properties":{"noteIndex":0},"schema":"https://github.com/citation-style-language/schema/raw/master/csl-citation.json"}</w:instrText>
      </w:r>
      <w:r w:rsidR="00400966">
        <w:rPr>
          <w:rFonts w:ascii="Times New Roman" w:hAnsi="Times New Roman" w:cs="Times New Roman"/>
          <w:iCs/>
          <w:sz w:val="24"/>
          <w:szCs w:val="24"/>
        </w:rPr>
        <w:fldChar w:fldCharType="separate"/>
      </w:r>
      <w:r w:rsidR="009C1B46" w:rsidRPr="009C1B46">
        <w:rPr>
          <w:rFonts w:ascii="Times New Roman" w:hAnsi="Times New Roman" w:cs="Times New Roman"/>
          <w:iCs/>
          <w:noProof/>
          <w:sz w:val="24"/>
          <w:szCs w:val="24"/>
        </w:rPr>
        <w:t>[50]</w:t>
      </w:r>
      <w:r w:rsidR="00400966">
        <w:rPr>
          <w:rFonts w:ascii="Times New Roman" w:hAnsi="Times New Roman" w:cs="Times New Roman"/>
          <w:iCs/>
          <w:sz w:val="24"/>
          <w:szCs w:val="24"/>
        </w:rPr>
        <w:fldChar w:fldCharType="end"/>
      </w:r>
      <w:r w:rsidRPr="00212D51">
        <w:rPr>
          <w:rFonts w:ascii="Times New Roman" w:hAnsi="Times New Roman" w:cs="Times New Roman"/>
          <w:iCs/>
          <w:sz w:val="24"/>
          <w:szCs w:val="24"/>
        </w:rPr>
        <w:t>. Н2-блокаторы значительно эффективнее плацебо в достижении рубцевания язвенного дефекта</w:t>
      </w:r>
      <w:r w:rsidR="00400966">
        <w:rPr>
          <w:rFonts w:ascii="Times New Roman" w:hAnsi="Times New Roman" w:cs="Times New Roman"/>
          <w:iCs/>
          <w:sz w:val="24"/>
          <w:szCs w:val="24"/>
        </w:rPr>
        <w:t xml:space="preserve"> </w:t>
      </w:r>
      <w:r w:rsidR="00400966">
        <w:rPr>
          <w:rFonts w:ascii="Times New Roman" w:hAnsi="Times New Roman" w:cs="Times New Roman"/>
          <w:iCs/>
          <w:sz w:val="24"/>
          <w:szCs w:val="24"/>
        </w:rPr>
        <w:fldChar w:fldCharType="begin" w:fldLock="1"/>
      </w:r>
      <w:r w:rsidR="009C1B46">
        <w:rPr>
          <w:rFonts w:ascii="Times New Roman" w:hAnsi="Times New Roman" w:cs="Times New Roman"/>
          <w:iCs/>
          <w:sz w:val="24"/>
          <w:szCs w:val="24"/>
        </w:rPr>
        <w:instrText>ADDIN CSL_CITATION {"citationItems":[{"id":"ITEM-1","itemData":{"DOI":"10.1016/S2468-1253(18)30037-2","ISSN":"2468-1253","PMID":"29475806","abstract":"BACKGROUND Gastroprotectant drugs are used for the prevention and treatment of peptic ulcer disease and might reduce its associated complications, but reliable estimates of the effects of gastroprotectants in different clinical settings are scarce. We aimed to examine the effects of proton-pump inhibitors (PPIs), prostaglandin analogues, and histamine-2 receptor antagonists (H2RAs) in different clinical circumstances by doing meta-analyses of tabular data from all relevant unconfounded randomised trials of gastroprotectant drugs. METHODS We searched MEDLINE and Embase from Jan 1, 1950, to Dec 31, 2015, to identify unconfounded, randomised trials of a gastroprotectant drug (defined as a PPI, prostaglandin analogue, or H2RA) versus control, or versus another gastroprotectant. Two independent researchers reviewed the search results and extracted the prespecified outcomes and key characteristics for each trial. We did meta-analyses of the effects of gastroprotectant drugs on ulcer development, bleeding, and mortality overall, according to the class of gastroprotectant, and according to the individual drug within a gastroprotectant class. FINDINGS We identified comparisons of gastroprotectant versus control in 849 trials (142 485 participants): 580 prevention trials (110 626 participants), 233 healing trials (24 033 participants), and 36 trials for the treatment of acute upper gastrointestinal bleeding (7826 participants). Comparisons of one gastroprotectant drug versus another were available in 345 trials (64 905 participants), comprising 160 prevention trials (32 959 participants), 167 healing trials (28 306 participants), and 18 trials for treatment of acute upper gastrointestinal bleeding (3640 participants). The median number of patients in each trial was 78 (IQR 44·0-210·5) and the median duration was 1·4 months (0·9-2·8). In prevention trials, gastroprotectant drugs reduced development of endoscopic ulcers (odds ratio [OR] 0·27, 95% CI 0·25-0·29; p&lt;0·0001), symptomatic ulcers (0·25, 0·22-0·29; p&lt;0·0001), and upper gastrointestinal bleeding (0·40, 0·32-0·50; p&lt;0·0001), but did not significantly reduce mortality (0·85, 0·69-1·04; p=0·11). Larger proportional reductions in upper gastrointestinal bleeding were observed for PPIs than for other gastroprotectant drugs (PPIs 0·21, 99% CI 0·12-0·36; prostaglandin analogues 0·63, 0·35-1·12; H2RAs 0·49, 0·30-0·80; phet=0·0005). Gastroprotectant drugs were effective in preventing bleeding irrespective of the use …","author":[{"dropping-particle":"","family":"Scally","given":"Benjamin","non-dropping-particle":"","parse-names":false,"suffix":""},{"dropping-particle":"","family":"Emberson","given":"Jonathan R","non-dropping-particle":"","parse-names":false,"suffix":""},{"dropping-particle":"","family":"Spata","given":"Enti","non-dropping-particle":"","parse-names":false,"suffix":""},{"dropping-particle":"","family":"Reith","given":"Christina","non-dropping-particle":"","parse-names":false,"suffix":""},{"dropping-particle":"","family":"Davies","given":"Kelly","non-dropping-particle":"","parse-names":false,"suffix":""},{"dropping-particle":"","family":"Halls","given":"Heather","non-dropping-particle":"","parse-names":false,"suffix":""},{"dropping-particle":"","family":"Holland","given":"Lisa","non-dropping-particle":"","parse-names":false,"suffix":""},{"dropping-particle":"","family":"Wilson","given":"Kate","non-dropping-particle":"","parse-names":false,"suffix":""},{"dropping-particle":"","family":"Bhala","given":"Neeraj","non-dropping-particle":"","parse-names":false,"suffix":""},{"dropping-particle":"","family":"Hawkey","given":"Christopher","non-dropping-particle":"","parse-names":false,"suffix":""},{"dropping-particle":"","family":"Hochberg","given":"Marc","non-dropping-particle":"","parse-names":false,"suffix":""},{"dropping-particle":"","family":"Hunt","given":"Richard","non-dropping-particle":"","parse-names":false,"suffix":""},{"dropping-particle":"","family":"Laine","given":"Loren","non-dropping-particle":"","parse-names":false,"suffix":""},{"dropping-particle":"","family":"Lanas","given":"Angel","non-dropping-particle":"","parse-names":false,"suffix":""},{"dropping-particle":"","family":"Patrono","given":"Carlo","non-dropping-particle":"","parse-names":false,"suffix":""},{"dropping-particle":"","family":"Baigent","given":"Colin","non-dropping-particle":"","parse-names":false,"suffix":""}],"container-title":"The lancet. Gastroenterology &amp; hepatology","id":"ITEM-1","issue":"4","issued":{"date-parts":[["2018"]]},"page":"231-241","publisher":"Lancet Gastroenterol Hepatol","title":"Effects of gastroprotectant drugs for the prevention and treatment of peptic ulcer disease and its complications: a meta-analysis of randomised trials.","type":"article-journal","volume":"3"},"uris":["http://www.mendeley.com/documents/?uuid=817fd238-c394-316c-8e6f-4afc8f68b509"]}],"mendeley":{"formattedCitation":"[66]","plainTextFormattedCitation":"[66]","previouslyFormattedCitation":"[65]"},"properties":{"noteIndex":0},"schema":"https://github.com/citation-style-language/schema/raw/master/csl-citation.json"}</w:instrText>
      </w:r>
      <w:r w:rsidR="00400966">
        <w:rPr>
          <w:rFonts w:ascii="Times New Roman" w:hAnsi="Times New Roman" w:cs="Times New Roman"/>
          <w:iCs/>
          <w:sz w:val="24"/>
          <w:szCs w:val="24"/>
        </w:rPr>
        <w:fldChar w:fldCharType="separate"/>
      </w:r>
      <w:r w:rsidR="009C1B46" w:rsidRPr="009C1B46">
        <w:rPr>
          <w:rFonts w:ascii="Times New Roman" w:hAnsi="Times New Roman" w:cs="Times New Roman"/>
          <w:iCs/>
          <w:noProof/>
          <w:sz w:val="24"/>
          <w:szCs w:val="24"/>
        </w:rPr>
        <w:t>[66]</w:t>
      </w:r>
      <w:r w:rsidR="00400966">
        <w:rPr>
          <w:rFonts w:ascii="Times New Roman" w:hAnsi="Times New Roman" w:cs="Times New Roman"/>
          <w:iCs/>
          <w:sz w:val="24"/>
          <w:szCs w:val="24"/>
        </w:rPr>
        <w:fldChar w:fldCharType="end"/>
      </w:r>
      <w:r w:rsidRPr="00212D51">
        <w:rPr>
          <w:rFonts w:ascii="Times New Roman" w:hAnsi="Times New Roman" w:cs="Times New Roman"/>
          <w:iCs/>
          <w:sz w:val="24"/>
          <w:szCs w:val="24"/>
        </w:rPr>
        <w:t>. Тем не менее, после внедрения ИПП в клиническую практику в качестве базисной антисекреторной терапии, Н2-блокаторы применяются реже, главным образом при невозможности применения ИПП.</w:t>
      </w:r>
    </w:p>
    <w:p w:rsidR="00DB1FCB" w:rsidRPr="000C13B2" w:rsidRDefault="00DB1FCB" w:rsidP="00780185">
      <w:pPr>
        <w:pStyle w:val="1"/>
        <w:numPr>
          <w:ilvl w:val="1"/>
          <w:numId w:val="112"/>
        </w:numPr>
        <w:spacing w:after="240"/>
        <w:jc w:val="center"/>
        <w:rPr>
          <w:rFonts w:ascii="Times New Roman" w:hAnsi="Times New Roman" w:cs="Times New Roman"/>
          <w:color w:val="auto"/>
          <w:sz w:val="24"/>
        </w:rPr>
      </w:pPr>
      <w:bookmarkStart w:id="41" w:name="_Toc44926638"/>
      <w:r w:rsidRPr="000C13B2">
        <w:rPr>
          <w:rFonts w:ascii="Times New Roman" w:hAnsi="Times New Roman" w:cs="Times New Roman"/>
          <w:color w:val="auto"/>
          <w:sz w:val="24"/>
        </w:rPr>
        <w:lastRenderedPageBreak/>
        <w:t>Антимикробная терапия</w:t>
      </w:r>
      <w:bookmarkEnd w:id="41"/>
    </w:p>
    <w:p w:rsidR="00DB1FCB" w:rsidRPr="00DB1FCB"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Применение высокодозной химиотерапии с </w:t>
      </w:r>
      <w:r w:rsidR="002E6BF7">
        <w:rPr>
          <w:rFonts w:ascii="Times New Roman" w:hAnsi="Times New Roman" w:cs="Times New Roman"/>
          <w:sz w:val="24"/>
          <w:szCs w:val="24"/>
        </w:rPr>
        <w:t>последующей</w:t>
      </w:r>
      <w:r w:rsidRPr="00DB1FCB">
        <w:rPr>
          <w:rFonts w:ascii="Times New Roman" w:hAnsi="Times New Roman" w:cs="Times New Roman"/>
          <w:sz w:val="24"/>
          <w:szCs w:val="24"/>
        </w:rPr>
        <w:t xml:space="preserve"> трансплантацией аутологичных стволовых клеток крови </w:t>
      </w:r>
      <w:r w:rsidR="00A64221">
        <w:rPr>
          <w:rFonts w:ascii="Times New Roman" w:hAnsi="Times New Roman" w:cs="Times New Roman"/>
          <w:sz w:val="24"/>
          <w:szCs w:val="24"/>
        </w:rPr>
        <w:t>по данным различных авторов приводит к развитию инфекционных осложнений более чем у 9</w:t>
      </w:r>
      <w:r w:rsidRPr="00DB1FCB">
        <w:rPr>
          <w:rFonts w:ascii="Times New Roman" w:hAnsi="Times New Roman" w:cs="Times New Roman"/>
          <w:sz w:val="24"/>
          <w:szCs w:val="24"/>
        </w:rPr>
        <w:t>0</w:t>
      </w:r>
      <w:r w:rsidR="00A64221">
        <w:rPr>
          <w:rFonts w:ascii="Times New Roman" w:hAnsi="Times New Roman" w:cs="Times New Roman"/>
          <w:sz w:val="24"/>
          <w:szCs w:val="24"/>
        </w:rPr>
        <w:t xml:space="preserve"> </w:t>
      </w:r>
      <w:r w:rsidRPr="00DB1FCB">
        <w:rPr>
          <w:rFonts w:ascii="Times New Roman" w:hAnsi="Times New Roman" w:cs="Times New Roman"/>
          <w:sz w:val="24"/>
          <w:szCs w:val="24"/>
        </w:rPr>
        <w:t xml:space="preserve">% </w:t>
      </w:r>
      <w:r w:rsidR="00A64221">
        <w:rPr>
          <w:rFonts w:ascii="Times New Roman" w:hAnsi="Times New Roman" w:cs="Times New Roman"/>
          <w:sz w:val="24"/>
          <w:szCs w:val="24"/>
        </w:rPr>
        <w:t xml:space="preserve">больных </w:t>
      </w:r>
      <w:r w:rsidR="00A64221">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{"citationItems":[{"id":"ITEM-1","itemData":{"DOI":"10.1007/s00277-002-0484-1","ISSN":"09395555","abstract":"It is yet undetermined whether patients with different hematological malignancies have different pro-pensities to infectious complications after high-dose chemotherapy (HDC) and autologous hematopoietic stem cell transplantation (HSCT). We retrospectively analyzed 136 cycles of HDC and autologous HSCT in 114 patients with acute myeloid leukemia (AML, 24 cycles), non-Hodgkin's lymphoma/Hodgkin's disease (NHL/HD, 55 cycles), and multiple myeloma (MM, 57 cycles) with respect to early infectious complications. Median duration of neutropenia was longer in patients with AML and NHL/HD than in patients with MM (11 days vs 8 days) and after conditioning including total body irradiation (TBI) compared with chemotherapy only preparative regimens (11 days vs 7 days). Fever requiring antimicrobial therapy was observed in 88% of cycles, with fever of unknown origin (FUO) accounting for 60% of febrile episodes. There was no proven fungal infection, but one case of probable invasive pulmonary aspergillosis. Microbiologically documented infections were seen in 29% and clinically documented infections in 11%. Response to first-line empirical antibiotic therapy was better for FUO than for documented infections (70% vs 40%). Patients with TBI as part of their conditioning regimen had more overall infections than patients without TBI (96% vs 82%). There were no differences with respect to the type or incidence of infections between patients with AML, NHL/HD, and MM. Patients with different hematological malignancies have similar rates of early infectious complications after HDC and autologous HSCT. TBI may be associated with an increased risk for infections in the early post-transplant period.","author":[{"dropping-particle":"","family":"Auner","given":"H. W.","non-dropping-particle":"","parse-names":false,"suffix":""},{"dropping-particle":"","family":"Sill","given":"H.","non-dropping-particle":"","parse-names":false,"suffix":""},{"dropping-particle":"","family":"Mulabecirovic","given":"A.","non-dropping-particle":"","parse-names":false,"suffix":""},{"dropping-particle":"","family":"Linkesch","given":"W.","non-dropping-particle":"","parse-names":false,"suffix":""},{"dropping-particle":"","family":"Krause","given":"R.","non-dropping-particle":"","parse-names":false,"suffix":""}],"container-title":"Annals of Hematology","id":"ITEM-1","issue":"7","issued":{"date-parts":[["2002"]]},"page":"374-377","publisher":"Ann Hematol","title":"Infectious complications after autologous hematopoietic stem cell transplantation: Comparison of patients with acute myeloid leukemia, malignant lymphoma, and multiple myeloma","type":"article-journal","volume":"81"},"uris":["http://www.mendeley.com/documents/?uuid=f1a86368-84b1-3c12-a8de-28ac6a6f005c","http://www.mendeley.com/documents/?uuid=4fdc9fd0-5eb8-4b96-b6b8-9b8085bef2b6","http://www.mendeley.com/documents/?uuid=81487a63-368f-45a3-96bd-a065db655523","http://www.mendeley.com/documents/?uuid=3f2b3f0f-80f0-426a-b243-a2231ace928a","http://www.mendeley.com/documents/?uuid=9ea48387-c84f-41f8-868e-392b32d4973d","http://www.mendeley.com/documents/?uuid=214eabb8-c545-489f-ad37-bd70dd8865a6","http://www.mendeley.com/documents/?uuid=f9b66049-e8d5-49d2-9034-b13f690ee446"]},{"id":"ITEM-2","itemData":{"DOI":"10.1007/s15010-007-6350-2","ISSN":"03008126","abstract":"Background: Infectious complications occur in most of the patients receiving high-dose therapy (HDT) and autologous hematopoietic stem cell transplantation (HSCT). The objective of the study was to analyze of the type and incidence of infectious complications during neutropenia after HDT and autologous HSCT with respect to risk factors related to stem cell transplant setting in patients treated for hematological malignancies in a single center. Patients and Methods: A total number of 314 patients diagnosed for Hodgkin's disease (HD), non-Hodgkin's lymphoma (NHL), acute myeloid leukemia (AML), multiple myeloma (MM) or acute lymphoblastic leukemia (ALL) were included in the study. Analysis of risk factors and outcome of infections after HDT and autologous HSCT was performed. Results: Infectious complications during neutropenia after HDT occurred in 92.3% patients. Microbiologically documented infections (MDI) accounted for 38.9% of febrile episodes, clinically documented infections (CDI) for 9.3%, and fever of unknown origin (FUO) for 51.7% cases. Median time to defervescence with antibiotic therapy was seven days for FUO and nine days for documented infections (p &lt; 0.001). Duration of infection correlated with the length of very severe neutropenia (p &lt; 0.001). Response to first-line antibiotic therapy was seen in 34% patients. Infections were fatal in 12 (3.8%) patients. The highest probability of infection was observed for ALL and AML patients, especially these conditioned with total body irradiation (TBI). Conclusion: Patients at high risk of infection after autologous HSCT were identified as those with acute leukemia and those after conditioning with TBI, all with prolonged neutropenia. We suggest that newer prophylactic strategies should be administered to these groups of patients. © 2007 Urban &amp; Vogel.","author":[{"dropping-particle":"","family":"Gil","given":"L.","non-dropping-particle":"","parse-names":false,"suffix":""},{"dropping-particle":"","family":"Styczynski","given":"J.","non-dropping-particle":"","parse-names":false,"suffix":""},{"dropping-particle":"","family":"Komarnicki","given":"M.","non-dropping-particle":"","parse-names":false,"suffix":""}],"container-title":"Infection","id":"ITEM-2","issue":"6","issued":{"date-parts":[["2007","12"]]},"page":"421-427","publisher":"Infection","title":"Infectious complication in 314 patients after high-dose therapy and autologous hematopoietic stem cell transplantation: Risk factors analysis and outcome","type":"article-journal","volume":"35"},"uris":["http://www.mendeley.com/documents/?uuid=2484101e-8b0b-3a5f-a697-4baf2d1f00ec","http://www.mendeley.com/documents/?uuid=4b9974a2-0e3e-44ce-ac02-f3dad90354f7","http://www.mendeley.com/documents/?uuid=621597e4-9f72-47a3-98b8-f1cb6c6ec284","http://www.mendeley.com/documents/?uuid=2a53cc22-2809-49ef-869c-a3d053a9fe19","http://www.mendeley.com/documents/?uuid=9f0564c3-3b67-41ba-875e-02194c8b103f","http://www.mendeley.com/documents/?uuid=02c86a55-b501-43b0-aca1-e8355618aa56","http://www.mendeley.com/documents/?uuid=aa713873-711b-4840-84ae-7ab465fc9da8"]},{"id":"ITEM-3","itemData":{"DOI":"10.1002/ajh.21855","ISSN":"03618609","abstract":"One hundred and fifty-seven patients undergoing high-dose chemotherapy (HDT) and autologous stem-cell transplantation (ASCT) for hematopoietic malignancies and solid tumors were randomly assigned to receive (Group A) or not (Group B) prophylaxis with ciprofloxacin, orally, and vancomycin, intravenously. Prophylactic antibiotics were given from day 0 until resolution of neutropenia or the appearance of a febrile event. Furthermore, patients in both groups received once a day fluconazole, orally. The primary end-point of our study was the incidence of neutropenic febrile episodes attributed to infection. One hundred and twelve (71.3%) patients developed neutropenic fever, 50 (56.2%) in Group A and 62 (91.2%) in Group B (P &lt; 0.001) with the majority (82%) of patients developing fever of unknown origin. Patients on prophylactic antibiotics had a significantly lower rate of bacteremias (5.6%) than did those randomized to no prophylaxis (29.4%) (P = 0.005) and, when developing neutropenic fever, they had a lower probability of response to first-line empirical antibiotics (P = 0.025). Prophylactic administration of ciprofloxacin and vancomycin reduced the incidence of neutropenic fever in patients receiving HDT with ASCT, however, without affecting the total interval of hospitalization, time to engraftment, or all-cause mortality. Therefore, our results do not support the use of antibiotic prophylaxis for patients undergoing HDT and ASCT. © 2010 Wiley-Liss, Inc.","author":[{"dropping-particle":"","family":"Eleutherakis-Papaiakovou","given":"Evangelos","non-dropping-particle":"","parse-names":false,"suffix":""},{"dropping-particle":"","family":"Kostis","given":"Evangelos","non-dropping-particle":"","parse-names":false,"suffix":""},{"dropping-particle":"","family":"Migkou","given":"Magda","non-dropping-particle":"","parse-names":false,"suffix":""},{"dropping-particle":"","family":"Christoulas","given":"Dimitrios","non-dropping-particle":"","parse-names":false,"suffix":""},{"dropping-particle":"","family":"Terpos","given":"Evangelos","non-dropping-particle":"","parse-names":false,"suffix":""},{"dropping-particle":"","family":"Gavriatopoulou","given":"Maria","non-dropping-particle":"","parse-names":false,"suffix":""},{"dropping-particle":"","family":"Roussou","given":"Maria","non-dropping-particle":"","parse-names":false,"suffix":""},{"dropping-particle":"","family":"Bournakis","given":"Evangelos","non-dropping-particle":"","parse-names":false,"suffix":""},{"dropping-particle":"","family":"Kastritis","given":"Efstathios","non-dropping-particle":"","parse-names":false,"suffix":""},{"dropping-particle":"","family":"Efstathiou","given":"Eleni","non-dropping-particle":"","parse-names":false,"suffix":""},{"dropping-particle":"","family":"Dimopoulos","given":"Meletios A.","non-dropping-particle":"","parse-names":false,"suffix":""},{"dropping-particle":"","family":"Papadimitriou","given":"Christos A.","non-dropping-particle":"","parse-names":false,"suffix":""}],"container-title":"American Journal of Hematology","id":"ITEM-3","issue":"11","issued":{"date-parts":[["2010","11"]]},"page":"863-867","publisher":"Am J Hematol","title":"Prophylactic antibiotics for the prevention of neutropenic fever in patients undergoing autologous stem-cell transplantation: Results of a single institution, randomized phase 2 trial","type":"article-journal","volume":"85"},"uris":["http://www.mendeley.com/documents/?uuid=e9c8d6a3-bf24-3a10-be69-dbf56d33e220","http://www.mendeley.com/documents/?uuid=53d1d1c5-dcbb-4103-80be-837e10537355","http://www.mendeley.com/documents/?uuid=6e7642af-251b-4056-bc76-4c25fd6ab0e5","http://www.mendeley.com/documents/?uuid=16f62455-5dc2-4a1d-b988-18db9ac13408","http://www.mendeley.com/documents/?uuid=4c4353f2-c724-4054-bfb5-29023200ae81","http://www.mendeley.com/documents/?uuid=9a4fea57-5691-4c44-8c79-67124536a57e","http://www.mendeley.com/documents/?uuid=dc975761-e88a-4365-8582-efe82fb0848d"]},{"id":"ITEM-4","itemData":{"DOI":"10.1007/s00277-013-1698-0","ISSN":"09395555","abstract":"Bacterial infections are the most common cause for treatment-related mortality in patients with neutropenia after chemotherapy. Here, we discuss the use of antibacterial prophylaxis against bacteria and Pneumocystis pneumonia (PCP) in neutropenic cancer patients and offer guidance towards the choice of drug. A literature search was performed to screen all articles published between September 2000 and January 2012 on antibiotic prophylaxis in neutropenic cancer patients. The authors assembled original reports and meta-analysis from the literature and drew conclusions, which were discussed and approved in a consensus conference of the Infectious Disease Working Party of the German Society of Hematology and Oncology (AGIHO). Antibacterial prophylaxis has led to a reduction of febrile events and infections. A significant reduction of overall mortality could only be shown in a meta-analysis. Fluoroquinolones are preferred for antibacterial and trimethoprim-sulfamethoxazole for PCP prophylaxis. Due to serious concerns about an increase of resistant pathogens, only patients at high risk of severe infections should be considered for antibiotic prophylaxis. Risk factors of individual patients and local resistance patterns must be taken into account. Risk factors, choice of drug for antibacterial and PCP prophylaxis and concerns regarding the use of prophylactic antibiotics are discussed in the review. © 2013 The Author(s).","author":[{"dropping-particle":"","family":"Neumann","given":"S.","non-dropping-particle":"","parse-names":false,"suffix":""},{"dropping-particle":"","family":"Krause","given":"S. W.","non-dropping-particle":"","parse-names":false,"suffix":""},{"dropping-particle":"","family":"Maschmeyer","given":"G.","non-dropping-particle":"","parse-names":false,"suffix":""},{"dropping-particle":"","family":"Schiel","given":"X.","non-dropping-particle":"","parse-names":false,"suffix":""},{"dropping-particle":"","family":"Lilienfeld-Toal","given":"M.","non-dropping-particle":"Von","parse-names":false,"suffix":""}],"container-title":"Annals of Hematology","id":"ITEM-4","issue":"4","issued":{"date-parts":[["2013","4"]]},"page":"433-442","publisher":"Ann Hematol","title":"Primary prophylaxis of bacterial infections and Pneumocystis jirovecii pneumonia in patients with hematological malignancies and solid tumors: Guidelines of the Infectious Diseases Working Party (AGIHO) of the German Society of Hematology and Oncology (DG","type":"article","volume":"92"},"uris":["http://www.mendeley.com/documents/?uuid=5d017807-56d5-3c29-9e5b-06adbcf241d7","http://www.mendeley.com/documents/?uuid=0c431f2d-f131-4475-bc03-927c20fc8427","http://www.mendeley.com/documents/?uuid=cb8a28f6-34d3-47b6-aac5-75eae4c6597a","http://www.mendeley.com/documents/?uuid=1da004eb-c4a8-438d-8229-3b75c2c05578","http://www.mendeley.com/documents/?uuid=447ce80b-5ffd-4f72-a842-6d050b4c0058","http://www.mendeley.com/documents/?uuid=75718eaf-f3e7-47ed-a437-a0877b2432c4","http://www.mendeley.com/documents/?uuid=92ffaa87-61f2-4a29-ab3b-0229b7e2d3b0"]},{"id":"ITEM-5","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-5","issue":"6","issued":{"date-parts":[["2018"]]},"publisher":"Urban und Vogel GmbH","title":"Bacteraemia post-autologous haematopoietic stem cell transplantation in the absence of antibacterial prophylaxis: a decade’s experience from Lebanon","type":"article-journal","volume":"46"},"uris":["http://www.mendeley.com/documents/?uuid=ae672191-2fc7-35b4-bb6f-de9083ec561f","http://www.mendeley.com/documents/?uuid=3eb7eca1-f810-48f1-8c56-0b2d965d8011","http://www.mendeley.com/documents/?uuid=5ebcf890-5e16-4450-9634-3c05a12d76c0","http://www.mendeley.com/documents/?uuid=853c0c3e-4b77-4603-bf23-18587d4490b6","http://www.mendeley.com/documents/?uuid=26920eda-53a6-4a84-9487-903994067277","http://www.mendeley.com/documents/?uuid=dd8b341d-4c23-4bd9-9d5d-3dceeb3afe7c","http://www.mendeley.com/documents/?uuid=994064a7-7ad5-46d6-af07-2b010e03da9d"]}],"mendeley":{"formattedCitation":"[20, 36, 40, 53, 57]","plainTextFormattedCitation":"[20, 36, 40, 53, 57]","previouslyFormattedCitation":"[20, 35, 39, 52, 56]"},"properties":{"noteIndex":0},"schema":"https://github.com/citation-style-language/schema/raw/master/csl-citation.json"}</w:instrText>
      </w:r>
      <w:r w:rsidR="00A64221">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[20, 36, 40, 53, 57]</w:t>
      </w:r>
      <w:r w:rsidR="00A64221">
        <w:rPr>
          <w:rFonts w:ascii="Times New Roman" w:hAnsi="Times New Roman" w:cs="Times New Roman"/>
          <w:sz w:val="24"/>
          <w:szCs w:val="24"/>
        </w:rPr>
        <w:fldChar w:fldCharType="end"/>
      </w:r>
      <w:r w:rsidRPr="00A64221">
        <w:rPr>
          <w:rFonts w:ascii="Times New Roman" w:hAnsi="Times New Roman" w:cs="Times New Roman"/>
          <w:sz w:val="24"/>
          <w:szCs w:val="24"/>
        </w:rPr>
        <w:t>.</w:t>
      </w:r>
    </w:p>
    <w:p w:rsidR="002E6BF7"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Основными факторами, определяющими развитие инфекций у иммунокомпрометированных больных, являются нейтропения (глубина, длительность и быстрота развития), нарушения клеточного и гуморального иммунитета, повреждение слизистой желудочно-кишечного тракта, наличие централ</w:t>
      </w:r>
      <w:r w:rsidR="002E6BF7">
        <w:rPr>
          <w:rFonts w:ascii="Times New Roman" w:hAnsi="Times New Roman" w:cs="Times New Roman"/>
          <w:sz w:val="24"/>
          <w:szCs w:val="24"/>
        </w:rPr>
        <w:t>ьного венозного катетера (ЦВК).</w:t>
      </w:r>
    </w:p>
    <w:p w:rsidR="00DB1FCB" w:rsidRPr="00DB1FCB"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Наиболее высокая частота инфекционных осложнений наблюдается у больных с длительностью нейтропении от 10 дней и более </w:t>
      </w:r>
      <w:r w:rsidRPr="00DB1FCB">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{"citationItems":[{"id":"ITEM-1","itemData":{"DOI":"10.1007/s15010-018-1200-y","ISSN":"14390973","abstract":"Purpose: In this study, we assessed the incidence, contributing factors and outcome of prolonged neutropenia above 7 days and of bacteraemia in patients with lymphoma and multiple myeloma who underwent autologous haematopoietic stem cell transplantation (AHSCT) without antibacterial prophylaxis. Methods: This is a retrospective chart review of 190 adult patients who underwent AHSCT between 2005 and 2015 at a Lebanese hospital. Results: Neutropenia of 7 days duration and longer was documented in 66% of the patient population. Through univariate analysis, patients with lymphoma were significantly more likely to have prolonged neutropenia (≥ 7 days) compared to those with myeloma. Mucositis above grade 3, diarrhoea and fever were more likely to occur in patients with prolonged neutropenia. Bacteraemia was documented in 12.6% of the patients. Total mortality rate was 3.7%, and that attributed to bacteraemia was 12.5% in the bacteraemia subgroup. Among bacterial isolates recovered from clinical specimens (89 isolates), 70% were Gram-negative, of which 57% were fluoroquinolone susceptible. Ninety-five percent of the Gram-negative bacteria causing bacteraemia were susceptible to fluoroquinolones. Conclusion: Bacterial pathogens causing bacteraemia were still highly susceptible to fluoroquinolones, despite the high prevalence of fluoroquinolone-resistant strains in the general bacterial ecology. Accordingly, the pertinence of fluoroquinolone prophylaxis in the AHSCT setting warrants further investigation. Moreover, continuous surveillance of local antibiograms in this patient population has become a must in an era of preponderant antibiotic resistance.","author":[{"dropping-particle":"","family":"Moghnieh","given":"Rima","non-dropping-particle":"","parse-names":false,"suffix":""},{"dropping-particle":"","family":"Abdallah","given":"Dania","non-dropping-particle":"","parse-names":false,"suffix":""},{"dropping-particle":"","family":"Awad","given":"Lyn","non-dropping-particle":"","parse-names":false,"suffix":""},{"dropping-particle":"","family":"Jisr","given":"Tamima","non-dropping-particle":"","parse-names":false,"suffix":""},{"dropping-particle":"","family":"Mugharbil","given":"Anas","non-dropping-particle":"","parse-names":false,"suffix":""},{"dropping-particle":"","family":"Youssef","given":"Ali","non-dropping-particle":"","parse-names":false,"suffix":""},{"dropping-particle":"","family":"Tamim","given":"Hani","non-dropping-particle":"","parse-names":false,"suffix":""},{"dropping-particle":"","family":"Khaldieh","given":"Samer","non-dropping-particle":"","parse-names":false,"suffix":""},{"dropping-particle":"","family":"Massri","given":"Oula","non-dropping-particle":"","parse-names":false,"suffix":""},{"dropping-particle":"","family":"Rashini","given":"Najat","non-dropping-particle":"","parse-names":false,"suffix":""},{"dropping-particle":"","family":"Hamdan","given":"Youssef","non-dropping-particle":"","parse-names":false,"suffix":""},{"dropping-particle":"","family":"Ibrahim","given":"Ahmad","non-dropping-particle":"","parse-names":false,"suffix":""}],"container-title":"Infection","id":"ITEM-1","issue":"6","issued":{"date-parts":[["2018"]]},"publisher":"Urban und Vogel GmbH","title":"Bacteraemia post-autologous haematopoietic stem cell transplantation in the absence of antibacterial prophylaxis: a decade’s experience from Lebanon","type":"article-journal","volume":"46"},"uris":["http://www.mendeley.com/documents/?uuid=994064a7-7ad5-46d6-af07-2b010e03da9d","http://www.mendeley.com/documents/?uuid=dd8b341d-4c23-4bd9-9d5d-3dceeb3afe7c","http://www.mendeley.com/documents/?uuid=26920eda-53a6-4a84-9487-903994067277","http://www.mendeley.com/documents/?uuid=853c0c3e-4b77-4603-bf23-18587d4490b6","http://www.mendeley.com/documents/?uuid=5ebcf890-5e16-4450-9634-3c05a12d76c0","http://www.mendeley.com/documents/?uuid=3eb7eca1-f810-48f1-8c56-0b2d965d8011","http://www.mendeley.com/documents/?uuid=ae672191-2fc7-35b4-bb6f-de9083ec561f"]}],"mendeley":{"formattedCitation":"[53]","plainTextFormattedCitation":"[53]","previouslyFormattedCitation":"[52]"},"properties":{"noteIndex":0},"schema":"https://github.com/citation-style-language/schema/raw/master/csl-citation.json"}</w:instrText>
      </w:r>
      <w:r w:rsidRPr="00DB1FCB">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[53]</w:t>
      </w:r>
      <w:r w:rsidRPr="00DB1FCB">
        <w:rPr>
          <w:rFonts w:ascii="Times New Roman" w:hAnsi="Times New Roman" w:cs="Times New Roman"/>
          <w:sz w:val="24"/>
          <w:szCs w:val="24"/>
        </w:rPr>
        <w:fldChar w:fldCharType="end"/>
      </w:r>
      <w:r w:rsidR="00A64221">
        <w:rPr>
          <w:rFonts w:ascii="Times New Roman" w:hAnsi="Times New Roman" w:cs="Times New Roman"/>
          <w:sz w:val="24"/>
          <w:szCs w:val="24"/>
        </w:rPr>
        <w:t>.</w:t>
      </w:r>
    </w:p>
    <w:p w:rsidR="002E6BF7"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Клинические проявления инфекционного процесса у этой категории пациентов, особенно в период нейтропении, крайне скудные. Ранее лихорадка неясной этиологии (повышение температуры тела без каких-либо других проявлений инфекции) являлась наиболее частым проявлением фебрильной нейтропении (≈ 50% случаев) </w:t>
      </w:r>
      <w:r w:rsidRPr="00DB1FCB">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{"citationItems":[{"id":"ITEM-1","itemData":{"author":[{"dropping-particle":"","family":"Клясова Г.А., Савченко В.Г.","given":"Паровичникова Е.Н. и др.","non-dropping-particle":"","parse-names":false,"suffix":""}],"container-title":"Терапевтический архив","id":"ITEM-1","issue":"7","issued":{"date-parts":[["1998"]]},"note":"a","page":"15-21","title":"Эмпирическая антимикробная терапия у больных острыми лейкозами: итоги многоцентрового исследования.","type":"article-journal","volume":"70"},"uris":["http://www.mendeley.com/documents/?uuid=7cd3738c-391c-4e54-98c7-f09b12e205b9","http://www.mendeley.com/documents/?uuid=a607dc1d-2dda-4ce5-8546-f28b3595c179","http://www.mendeley.com/documents/?uuid=5d6b934f-66d9-4794-9cb3-9fde26e9561f","http://www.mendeley.com/documents/?uuid=8272b78e-d03d-4e55-9dfd-a46dc9005296","http://www.mendeley.com/documents/?uuid=2312258f-25d7-400b-a29b-3c8f2ac89f64","http://www.mendeley.com/documents/?uuid=5366d741-c8ef-477d-b414-f399c7c67062","http://www.mendeley.com/documents/?uuid=9749805f-6b33-47f4-ab80-87dd98dac10f"]}],"mendeley":{"formattedCitation":"[6]","plainTextFormattedCitation":"[6]","previouslyFormattedCitation":"[6]"},"properties":{"noteIndex":0},"schema":"https://github.com/citation-style-language/schema/raw/master/csl-citation.json"}</w:instrText>
      </w:r>
      <w:r w:rsidRPr="00DB1FCB">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[6]</w:t>
      </w:r>
      <w:r w:rsidRPr="00DB1FCB">
        <w:rPr>
          <w:rFonts w:ascii="Times New Roman" w:hAnsi="Times New Roman" w:cs="Times New Roman"/>
          <w:sz w:val="24"/>
          <w:szCs w:val="24"/>
        </w:rPr>
        <w:fldChar w:fldCharType="end"/>
      </w:r>
      <w:r w:rsidR="002E6BF7">
        <w:rPr>
          <w:rFonts w:ascii="Times New Roman" w:hAnsi="Times New Roman" w:cs="Times New Roman"/>
          <w:sz w:val="24"/>
          <w:szCs w:val="24"/>
        </w:rPr>
        <w:t>.</w:t>
      </w:r>
    </w:p>
    <w:p w:rsidR="00DB1FCB" w:rsidRPr="00DB1FCB"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Микробиологически и клинически доказанные инфекции встречались реже. К клинически доказанным инфекциям относят те, которые удается верифицировать с помощью физикальных или инструментальных методов диагностики при отсутствии микробиологического подтверждения. Микробиологическим подтверждением наличия инфекции в период гранулоцитопении в большинстве случаев является выделение микроорганизмов из гемокультуры. </w:t>
      </w:r>
    </w:p>
    <w:p w:rsidR="002E6BF7"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В последнее время возможности по диагностике инфекционных осложнений существенно расширились как за счет внедрения новых и совершенствования ранее используемых методов, так и сокращения времени исследования в микробиологии благодаря введению в лабораторную практику автоматических анализаторов и новых технологий дли идентификации микроорганизмов. </w:t>
      </w:r>
    </w:p>
    <w:p w:rsidR="00DB1FCB" w:rsidRPr="00DB1FCB" w:rsidRDefault="00DB1FCB" w:rsidP="00A64221">
      <w:pPr>
        <w:tabs>
          <w:tab w:val="left" w:pos="0"/>
          <w:tab w:val="left" w:pos="567"/>
        </w:tabs>
        <w:spacing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В первые сутки, как правило, единственным симптомом бывает лишь повышение температуры,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больных с фебрильной нейтропенией 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w:t>
      </w:r>
      <w:r w:rsidRPr="00DB1FCB">
        <w:rPr>
          <w:rFonts w:ascii="Times New Roman" w:hAnsi="Times New Roman" w:cs="Times New Roman"/>
          <w:sz w:val="24"/>
          <w:szCs w:val="24"/>
        </w:rPr>
        <w:lastRenderedPageBreak/>
        <w:t xml:space="preserve">препаратов определяется ретроспективным анализом верифицированных возбудителей и их антибиотикочувствительностью. </w:t>
      </w:r>
    </w:p>
    <w:p w:rsidR="00DB1FCB" w:rsidRPr="002E6BF7" w:rsidRDefault="00DB1FCB" w:rsidP="00780185">
      <w:pPr>
        <w:pStyle w:val="a3"/>
        <w:numPr>
          <w:ilvl w:val="2"/>
          <w:numId w:val="127"/>
        </w:numPr>
        <w:tabs>
          <w:tab w:val="left" w:pos="0"/>
          <w:tab w:val="left" w:pos="567"/>
        </w:tabs>
        <w:spacing w:line="360" w:lineRule="auto"/>
        <w:jc w:val="center"/>
        <w:rPr>
          <w:rFonts w:ascii="Times New Roman" w:hAnsi="Times New Roman" w:cs="Times New Roman"/>
          <w:b/>
          <w:sz w:val="24"/>
          <w:szCs w:val="24"/>
        </w:rPr>
      </w:pPr>
      <w:r w:rsidRPr="002E6BF7">
        <w:rPr>
          <w:rFonts w:ascii="Times New Roman" w:hAnsi="Times New Roman" w:cs="Times New Roman"/>
          <w:b/>
          <w:sz w:val="24"/>
          <w:szCs w:val="24"/>
        </w:rPr>
        <w:t xml:space="preserve">Диагностические исследования, проводимые при лихорадке у больных гемобластозами </w:t>
      </w:r>
      <w:r w:rsidRPr="002E6BF7">
        <w:rPr>
          <w:rFonts w:ascii="Times New Roman" w:hAnsi="Times New Roman" w:cs="Times New Roman"/>
          <w:b/>
          <w:sz w:val="24"/>
          <w:szCs w:val="24"/>
        </w:rPr>
        <w:fldChar w:fldCharType="begin" w:fldLock="1"/>
      </w:r>
      <w:r w:rsidR="007368BF">
        <w:rPr>
          <w:rFonts w:ascii="Times New Roman" w:hAnsi="Times New Roman" w:cs="Times New Roman"/>
          <w:b/>
          <w:sz w:val="24"/>
          <w:szCs w:val="24"/>
        </w:rPr>
        <w:instrText>ADDIN CSL_CITATION {"citationItems":[{"id":"ITEM-1","itemData":{"author":[{"dropping-particle":"","family":"Савченко В.Г. и др","given":"","non-dropping-particle":"","parse-names":false,"suffix":""}],"id":"ITEM-1","issued":{"date-parts":[["2018"]]},"note":"a","number-of-pages":"1008","publisher":"Практика","publisher-place":"Москва","title":"Алгоритмы диагностики и протоколы лечения заболеваний системы крови.","type":"book"},"uris":["http://www.mendeley.com/documents/?uuid=c0eae3a3-34ee-40e1-8813-566cb7fa2b4a","http://www.mendeley.com/documents/?uuid=9cac36ab-7685-4894-b1cb-f141a1797526","http://www.mendeley.com/documents/?uuid=478d6ce1-e425-4912-87db-adfee39f1ce9","http://www.mendeley.com/documents/?uuid=a1e2f5d6-ef05-4351-9481-13fad4fd103b","http://www.mendeley.com/documents/?uuid=26da25a5-bd21-4509-8e88-e4e6744fab98","http://www.mendeley.com/documents/?uuid=fe583573-532c-46dc-b4f4-f9d01345e27c","http://www.mendeley.com/documents/?uuid=2cd270b2-efaf-4da9-a95d-66324661ea35"]}],"mendeley":{"formattedCitation":"[9]","plainTextFormattedCitation":"[9]","previouslyFormattedCitation":"[9]"},"properties":{"noteIndex":0},"schema":"https://github.com/citation-style-language/schema/raw/master/csl-citation.json"}</w:instrText>
      </w:r>
      <w:r w:rsidRPr="002E6BF7">
        <w:rPr>
          <w:rFonts w:ascii="Times New Roman" w:hAnsi="Times New Roman" w:cs="Times New Roman"/>
          <w:b/>
          <w:sz w:val="24"/>
          <w:szCs w:val="24"/>
        </w:rPr>
        <w:fldChar w:fldCharType="separate"/>
      </w:r>
      <w:r w:rsidR="007368BF" w:rsidRPr="007368BF">
        <w:rPr>
          <w:rFonts w:ascii="Times New Roman" w:hAnsi="Times New Roman" w:cs="Times New Roman"/>
          <w:noProof/>
          <w:sz w:val="24"/>
          <w:szCs w:val="24"/>
        </w:rPr>
        <w:t>[9]</w:t>
      </w:r>
      <w:r w:rsidRPr="002E6BF7">
        <w:rPr>
          <w:rFonts w:ascii="Times New Roman" w:hAnsi="Times New Roman" w:cs="Times New Roman"/>
          <w:sz w:val="24"/>
          <w:szCs w:val="24"/>
        </w:rPr>
        <w:fldChar w:fldCharType="end"/>
      </w:r>
    </w:p>
    <w:p w:rsidR="00DB1FCB" w:rsidRPr="00DB1FCB"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Во всех случаях инфекционного процесса следует активно проводить диагностику, направленную на выявление, как очагов инфекции</w:t>
      </w:r>
      <w:r w:rsidR="002E6BF7">
        <w:rPr>
          <w:rFonts w:ascii="Times New Roman" w:hAnsi="Times New Roman" w:cs="Times New Roman"/>
          <w:sz w:val="24"/>
          <w:szCs w:val="24"/>
        </w:rPr>
        <w:t>, так и этиологических агентов.</w:t>
      </w:r>
    </w:p>
    <w:p w:rsidR="007A7B76"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При подозрении на инфекцию образцы клинического материала от больных должны быть взяты незамедлительно. Особо следует подчеркнуть необходимость пристального внимания и проведения тщательных микробиологических исследований у больных, принимающих глюкокортико</w:t>
      </w:r>
      <w:r w:rsidR="00A64221">
        <w:rPr>
          <w:rFonts w:ascii="Times New Roman" w:hAnsi="Times New Roman" w:cs="Times New Roman"/>
          <w:sz w:val="24"/>
          <w:szCs w:val="24"/>
        </w:rPr>
        <w:t>иды, и у лиц пожилого возраста.</w:t>
      </w:r>
    </w:p>
    <w:p w:rsidR="00DB1FCB" w:rsidRPr="00DB1FCB" w:rsidRDefault="00DB1FCB" w:rsidP="002E6BF7">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У этой группы пациентов септицемия может протекать без температуры, что бывает у 70% тяжелобольных в возрасте от 66 лет и старше, или лихорадка может быть лишь субфебрильной.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Ежедневный осмотр пациента</w:t>
      </w:r>
    </w:p>
    <w:p w:rsidR="00DB1FCB" w:rsidRPr="00DB1FCB" w:rsidRDefault="00DB1FCB" w:rsidP="007A7B76">
      <w:pPr>
        <w:tabs>
          <w:tab w:val="left" w:pos="0"/>
          <w:tab w:val="left" w:pos="567"/>
        </w:tabs>
        <w:spacing w:after="0" w:line="360" w:lineRule="auto"/>
        <w:ind w:firstLine="709"/>
        <w:jc w:val="both"/>
        <w:rPr>
          <w:rFonts w:ascii="Times New Roman" w:hAnsi="Times New Roman" w:cs="Times New Roman"/>
          <w:sz w:val="24"/>
          <w:szCs w:val="24"/>
        </w:rPr>
      </w:pPr>
      <w:r w:rsidRPr="00DB1FCB">
        <w:rPr>
          <w:rFonts w:ascii="Times New Roman" w:hAnsi="Times New Roman" w:cs="Times New Roman"/>
          <w:sz w:val="24"/>
          <w:szCs w:val="24"/>
        </w:rPr>
        <w:t xml:space="preserve">При нейтропении ежедневно проводят тщательный осмотр пациента, который наряду с обычными терапевтическими стандартами обследования больных включает следующие подходы. </w:t>
      </w:r>
    </w:p>
    <w:p w:rsidR="00DB1FCB" w:rsidRPr="00DB1FCB" w:rsidRDefault="00DB1FCB" w:rsidP="00780185">
      <w:pPr>
        <w:numPr>
          <w:ilvl w:val="0"/>
          <w:numId w:val="1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Активный опрос больного относительно возможных симптомов инфекции, включая наличие болей п</w:t>
      </w:r>
      <w:r w:rsidR="007A7B76">
        <w:rPr>
          <w:rFonts w:ascii="Times New Roman" w:hAnsi="Times New Roman" w:cs="Times New Roman"/>
          <w:sz w:val="24"/>
          <w:szCs w:val="24"/>
        </w:rPr>
        <w:t>о ходу пищевода, в промежности.</w:t>
      </w:r>
    </w:p>
    <w:p w:rsidR="00DB1FCB" w:rsidRPr="00DB1FCB" w:rsidRDefault="00DB1FCB" w:rsidP="00780185">
      <w:pPr>
        <w:numPr>
          <w:ilvl w:val="0"/>
          <w:numId w:val="1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p>
    <w:p w:rsidR="00DB1FCB" w:rsidRPr="00DB1FCB" w:rsidRDefault="00DB1FCB" w:rsidP="00780185">
      <w:pPr>
        <w:numPr>
          <w:ilvl w:val="0"/>
          <w:numId w:val="1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Осмотр кожи в отношении возможного появления септикопиемических очагов при лихорадке, даже в отсутствие жалоб больного. При лечении глюкокортикоидами септикопиемические очаги могут быт</w:t>
      </w:r>
      <w:r w:rsidR="007A7B76">
        <w:rPr>
          <w:rFonts w:ascii="Times New Roman" w:hAnsi="Times New Roman" w:cs="Times New Roman"/>
          <w:sz w:val="24"/>
          <w:szCs w:val="24"/>
        </w:rPr>
        <w:t>ь и при нормальной температуре.</w:t>
      </w:r>
    </w:p>
    <w:p w:rsidR="00DB1FCB" w:rsidRPr="00DB1FCB" w:rsidRDefault="00DB1FCB" w:rsidP="00780185">
      <w:pPr>
        <w:numPr>
          <w:ilvl w:val="0"/>
          <w:numId w:val="1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Осмотр места установки венозного катетера. </w:t>
      </w:r>
    </w:p>
    <w:p w:rsidR="00DB1FCB" w:rsidRPr="00DB1FCB" w:rsidRDefault="00DB1FCB" w:rsidP="00780185">
      <w:pPr>
        <w:numPr>
          <w:ilvl w:val="0"/>
          <w:numId w:val="1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Внимательная аускультация грудной клетки. Жесткое дыхание в отсутствие хрипов, минимальное количество влажных хрипов на ограниченном участке могут быть начальным проявлением пневмонии. </w:t>
      </w:r>
    </w:p>
    <w:p w:rsidR="00DB1FCB" w:rsidRDefault="00DB1FCB" w:rsidP="00780185">
      <w:pPr>
        <w:numPr>
          <w:ilvl w:val="0"/>
          <w:numId w:val="1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Тщательная пальпация живота. Первые симптомы псевдомембранозного колита — это появление боли или «урчание» при пальпации в правой подвздошной </w:t>
      </w:r>
      <w:r w:rsidR="00C17B4D">
        <w:rPr>
          <w:rFonts w:ascii="Times New Roman" w:hAnsi="Times New Roman" w:cs="Times New Roman"/>
          <w:sz w:val="24"/>
          <w:szCs w:val="24"/>
        </w:rPr>
        <w:t>области (область слепой кишки).</w:t>
      </w:r>
    </w:p>
    <w:p w:rsidR="00A64221" w:rsidRPr="00DB1FCB" w:rsidRDefault="00A64221" w:rsidP="00A64221">
      <w:pPr>
        <w:tabs>
          <w:tab w:val="left" w:pos="0"/>
          <w:tab w:val="left" w:pos="567"/>
        </w:tabs>
        <w:spacing w:after="0" w:line="360" w:lineRule="auto"/>
        <w:jc w:val="both"/>
        <w:rPr>
          <w:rFonts w:ascii="Times New Roman" w:hAnsi="Times New Roman" w:cs="Times New Roman"/>
          <w:sz w:val="24"/>
          <w:szCs w:val="24"/>
        </w:rPr>
      </w:pPr>
    </w:p>
    <w:p w:rsidR="00DB1FCB" w:rsidRPr="00DB1FCB" w:rsidRDefault="007A7B76" w:rsidP="007A7B76">
      <w:pPr>
        <w:tabs>
          <w:tab w:val="left" w:pos="0"/>
          <w:tab w:val="left" w:pos="567"/>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3.5.2. </w:t>
      </w:r>
      <w:r w:rsidR="00DB1FCB" w:rsidRPr="00DB1FCB">
        <w:rPr>
          <w:rFonts w:ascii="Times New Roman" w:hAnsi="Times New Roman" w:cs="Times New Roman"/>
          <w:b/>
          <w:sz w:val="24"/>
          <w:szCs w:val="24"/>
        </w:rPr>
        <w:t>Микробиологические исследования</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крови</w:t>
      </w:r>
    </w:p>
    <w:p w:rsidR="00DB1FCB" w:rsidRPr="00DB1FCB" w:rsidRDefault="00DB1FCB" w:rsidP="00780185">
      <w:pPr>
        <w:numPr>
          <w:ilvl w:val="0"/>
          <w:numId w:val="2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температура ≥ 38°С или наличие септикопиемических очагов на коже. </w:t>
      </w:r>
    </w:p>
    <w:p w:rsidR="00DB1FCB" w:rsidRPr="007A7B76" w:rsidRDefault="00DB1FCB" w:rsidP="00780185">
      <w:pPr>
        <w:numPr>
          <w:ilvl w:val="0"/>
          <w:numId w:val="1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Кровь из вены берут до введения антибиотиков в два флакона (аэробы/анаэробы или аэробы/аэробы) одновременно из вены и из ЦВК или из разных вен; при перитоните или абдоминальной операции в два разных флакона (для аэробов и для анаэробов); при бактериальном эндокардите — 3 раза с интервалом 1—2 часа; при подозрении на катетер-ассоциированную инфекцию — одновременно из вены и из ЦВК во флаконы для автоматического бактериологического анализатора гемокультур (Bactek или другие автоматические анализаторы). </w:t>
      </w:r>
      <w:r w:rsidRPr="007A7B76">
        <w:rPr>
          <w:rFonts w:ascii="Times New Roman" w:hAnsi="Times New Roman" w:cs="Times New Roman"/>
          <w:sz w:val="24"/>
          <w:szCs w:val="24"/>
        </w:rPr>
        <w:t xml:space="preserve">На основании разницы во времени (2 часа и более) появления роста микроорганизмов можно предположить инфицирование венозного катетера. При катетер-ассоциированной инфекции положительная гемокультура из ЦВК опережает на 2 часа и более положительную гемокультуру из вены. </w:t>
      </w:r>
    </w:p>
    <w:p w:rsidR="00DB1FCB" w:rsidRPr="00DB1FCB" w:rsidRDefault="00DB1FCB" w:rsidP="00780185">
      <w:pPr>
        <w:numPr>
          <w:ilvl w:val="0"/>
          <w:numId w:val="1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Взятие крови для микробиологического исследования следует проводить в период повышения температуры (≥ 38°С) с максимальным соблюдением правил асептики, чтобы исключить вероятность контаминации культуральной среды микробами с кожи. Медсестра должна проводить взятие крови в перчатках и в маске; кожа больного в месте венепункции тщательно обрабатывается дезинфицирующим раствором (дезинфицирующий раствор должен высохнуть); после обработки кожи дезинфицирующим раствором не проводят повторную пальпацию вены для определения места венепункции. </w:t>
      </w:r>
    </w:p>
    <w:p w:rsidR="00DB1FCB" w:rsidRPr="00DB1FCB" w:rsidRDefault="00DB1FCB" w:rsidP="00780185">
      <w:pPr>
        <w:numPr>
          <w:ilvl w:val="0"/>
          <w:numId w:val="1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Крайне важным является взятие достаточного количества крови для гемокультуры – за одно исследование у взрослых суммарно берут 20-30 мл крови в 2-3 флакона (по 10 мл каждый флакон). </w:t>
      </w:r>
    </w:p>
    <w:p w:rsidR="00DB1FCB" w:rsidRPr="00DB1FCB" w:rsidRDefault="00DB1FCB" w:rsidP="00780185">
      <w:pPr>
        <w:numPr>
          <w:ilvl w:val="0"/>
          <w:numId w:val="1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Не направляют в лабораторию на исследование гемокультуру и</w:t>
      </w:r>
      <w:r w:rsidR="007A7B76">
        <w:rPr>
          <w:rFonts w:ascii="Times New Roman" w:hAnsi="Times New Roman" w:cs="Times New Roman"/>
          <w:sz w:val="24"/>
          <w:szCs w:val="24"/>
        </w:rPr>
        <w:t>з ЦВК без гемокультуры из вены.</w:t>
      </w:r>
    </w:p>
    <w:p w:rsidR="00DB1FCB" w:rsidRPr="00DB1FCB" w:rsidRDefault="00DB1FCB" w:rsidP="00780185">
      <w:pPr>
        <w:numPr>
          <w:ilvl w:val="0"/>
          <w:numId w:val="1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Нельзя флаконы с гемок</w:t>
      </w:r>
      <w:r w:rsidR="007A7B76">
        <w:rPr>
          <w:rFonts w:ascii="Times New Roman" w:hAnsi="Times New Roman" w:cs="Times New Roman"/>
          <w:sz w:val="24"/>
          <w:szCs w:val="24"/>
        </w:rPr>
        <w:t>ультурой ставить в холодильник.</w:t>
      </w:r>
    </w:p>
    <w:p w:rsidR="00DB1FCB" w:rsidRPr="00DB1FCB" w:rsidRDefault="00DB1FCB" w:rsidP="007A7B76">
      <w:pPr>
        <w:tabs>
          <w:tab w:val="left" w:pos="0"/>
          <w:tab w:val="left" w:pos="567"/>
        </w:tabs>
        <w:spacing w:after="0" w:line="360" w:lineRule="auto"/>
        <w:ind w:firstLine="567"/>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Выделение коагулазанегативных стафилококков (основную долю которых составляет </w:t>
      </w:r>
      <w:r w:rsidRPr="00DB1FCB">
        <w:rPr>
          <w:rFonts w:ascii="Times New Roman" w:hAnsi="Times New Roman" w:cs="Times New Roman"/>
          <w:i/>
          <w:sz w:val="24"/>
          <w:szCs w:val="24"/>
        </w:rPr>
        <w:t>Staphylococcus epidermidis</w:t>
      </w:r>
      <w:r w:rsidRPr="00DB1FCB">
        <w:rPr>
          <w:rFonts w:ascii="Times New Roman" w:hAnsi="Times New Roman" w:cs="Times New Roman"/>
          <w:sz w:val="24"/>
          <w:szCs w:val="24"/>
        </w:rPr>
        <w:t xml:space="preserve">) должно быть подтверждено двумя гемокультурами, поскольку высока вероятность контаминации этими микроорганизмами исследуемых образцов крови (облигатная микрофлора). Это относится и к </w:t>
      </w:r>
      <w:r w:rsidRPr="00DB1FCB">
        <w:rPr>
          <w:rFonts w:ascii="Times New Roman" w:hAnsi="Times New Roman" w:cs="Times New Roman"/>
          <w:i/>
          <w:sz w:val="24"/>
          <w:szCs w:val="24"/>
        </w:rPr>
        <w:t>Corynebacterium spp</w:t>
      </w:r>
      <w:r w:rsidRPr="00DB1FCB">
        <w:rPr>
          <w:rFonts w:ascii="Times New Roman" w:hAnsi="Times New Roman" w:cs="Times New Roman"/>
          <w:sz w:val="24"/>
          <w:szCs w:val="24"/>
        </w:rPr>
        <w:t xml:space="preserve">. Повторное исследование проводится максимально близко по времени к первому исследованию.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lastRenderedPageBreak/>
        <w:t>Микробиологическое исследование крови, взятой одновременно из вены и из центрального венозного катетера, при подозрении на катетер-ассоциированную инфекцию</w:t>
      </w:r>
    </w:p>
    <w:p w:rsidR="00DB1FCB" w:rsidRPr="00DB1FCB" w:rsidRDefault="00DB1FCB" w:rsidP="00780185">
      <w:pPr>
        <w:numPr>
          <w:ilvl w:val="0"/>
          <w:numId w:val="1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2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Гиперемия (инфильтрат) в месте установки катетера. </w:t>
      </w:r>
    </w:p>
    <w:p w:rsidR="00DB1FCB" w:rsidRPr="00DB1FCB" w:rsidRDefault="00DB1FCB" w:rsidP="00780185">
      <w:pPr>
        <w:numPr>
          <w:ilvl w:val="0"/>
          <w:numId w:val="2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Повышение температуры сопряжено с инфузиями в катетер. </w:t>
      </w:r>
    </w:p>
    <w:p w:rsidR="00DB1FCB" w:rsidRPr="00DB1FCB" w:rsidRDefault="00DB1FCB" w:rsidP="00780185">
      <w:pPr>
        <w:numPr>
          <w:ilvl w:val="0"/>
          <w:numId w:val="2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Плохая проходимость катетера (проблемы при промывании или заборе крови из катетера). </w:t>
      </w:r>
    </w:p>
    <w:p w:rsidR="00DB1FCB" w:rsidRPr="00DB1FCB" w:rsidRDefault="00DB1FCB" w:rsidP="00780185">
      <w:pPr>
        <w:numPr>
          <w:ilvl w:val="0"/>
          <w:numId w:val="2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Возникновение температуры &gt; 38°С при восстановлении числа нейтрофилов (число гранулоцитов &gt; 0,5 × 10</w:t>
      </w:r>
      <w:r w:rsidRPr="00DB1FCB">
        <w:rPr>
          <w:rFonts w:ascii="Times New Roman" w:hAnsi="Times New Roman" w:cs="Times New Roman"/>
          <w:sz w:val="24"/>
          <w:szCs w:val="24"/>
          <w:vertAlign w:val="superscript"/>
        </w:rPr>
        <w:t>9</w:t>
      </w:r>
      <w:r w:rsidRPr="00DB1FCB">
        <w:rPr>
          <w:rFonts w:ascii="Times New Roman" w:hAnsi="Times New Roman" w:cs="Times New Roman"/>
          <w:sz w:val="24"/>
          <w:szCs w:val="24"/>
        </w:rPr>
        <w:t xml:space="preserve"> /л). </w:t>
      </w:r>
    </w:p>
    <w:p w:rsidR="00DB1FCB" w:rsidRPr="00DB1FCB" w:rsidRDefault="00DB1FCB" w:rsidP="00780185">
      <w:pPr>
        <w:numPr>
          <w:ilvl w:val="0"/>
          <w:numId w:val="2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Возникновение температуры &gt; 38°С вне нейтропении (число гранулоцитов &gt; 0,5 × 10</w:t>
      </w:r>
      <w:r w:rsidRPr="00DB1FCB">
        <w:rPr>
          <w:rFonts w:ascii="Times New Roman" w:hAnsi="Times New Roman" w:cs="Times New Roman"/>
          <w:sz w:val="24"/>
          <w:szCs w:val="24"/>
          <w:vertAlign w:val="superscript"/>
        </w:rPr>
        <w:t>9</w:t>
      </w:r>
      <w:r w:rsidRPr="00DB1FCB">
        <w:rPr>
          <w:rFonts w:ascii="Times New Roman" w:hAnsi="Times New Roman" w:cs="Times New Roman"/>
          <w:sz w:val="24"/>
          <w:szCs w:val="24"/>
        </w:rPr>
        <w:t xml:space="preserve"> /л) и наличие центрального венозного катетера, давность установки которого ≥ 7 дней.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Чаще всего катетер-ассоциированная инфекция развивается вне периода нейтропении или в период восстановления числа нейтрофилов. </w:t>
      </w:r>
    </w:p>
    <w:p w:rsidR="00DB1FCB" w:rsidRPr="00DB1FCB" w:rsidRDefault="00DB1FCB" w:rsidP="00780185">
      <w:pPr>
        <w:numPr>
          <w:ilvl w:val="0"/>
          <w:numId w:val="2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При сохраняющейся температуре (≥ 38°С) посевы крови проводят каждые 4—5 дней.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центрального внутривенного катетера</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Катетер удаляют и направляют на исследование в бактериологическую лабораторию.</w:t>
      </w:r>
    </w:p>
    <w:p w:rsidR="00DB1FCB" w:rsidRPr="00DB1FCB" w:rsidRDefault="00DB1FCB" w:rsidP="00780185">
      <w:pPr>
        <w:numPr>
          <w:ilvl w:val="0"/>
          <w:numId w:val="2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2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Подозрение на катетер-ассоциированную инфекцию. </w:t>
      </w:r>
    </w:p>
    <w:p w:rsidR="00DB1FCB" w:rsidRPr="00DB1FCB" w:rsidRDefault="00DB1FCB" w:rsidP="00780185">
      <w:pPr>
        <w:numPr>
          <w:ilvl w:val="0"/>
          <w:numId w:val="2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Выделение дрожжевых или мицелиальных грибов из крови. </w:t>
      </w:r>
    </w:p>
    <w:p w:rsidR="00DB1FCB" w:rsidRPr="00DB1FCB" w:rsidRDefault="00DB1FCB" w:rsidP="00780185">
      <w:pPr>
        <w:numPr>
          <w:ilvl w:val="0"/>
          <w:numId w:val="2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Перевод больного из другого стационара с ЦВК. </w:t>
      </w:r>
    </w:p>
    <w:p w:rsidR="00DB1FCB" w:rsidRPr="00DB1FCB" w:rsidRDefault="00DB1FCB" w:rsidP="00780185">
      <w:pPr>
        <w:numPr>
          <w:ilvl w:val="0"/>
          <w:numId w:val="2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Восстановление числа гранулоцитов у больных сепсисом, обусловленным грамотрицательными бактериями.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Если больной переведен из другого стационара с ЦВК, то катетер удаляют в день поступления в др</w:t>
      </w:r>
      <w:r w:rsidR="007A7B76">
        <w:rPr>
          <w:rFonts w:ascii="Times New Roman" w:hAnsi="Times New Roman" w:cs="Times New Roman"/>
          <w:sz w:val="24"/>
          <w:szCs w:val="24"/>
        </w:rPr>
        <w:t>угую клинику.</w:t>
      </w:r>
    </w:p>
    <w:p w:rsidR="00DB1FCB" w:rsidRPr="00DB1FCB" w:rsidRDefault="00DB1FCB" w:rsidP="00780185">
      <w:pPr>
        <w:numPr>
          <w:ilvl w:val="0"/>
          <w:numId w:val="2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Для бактериологического исследования используется асептически удаленный дистальный отрезок катетера длиной 5—6 см. Удаленный отрезок катетера кладут в чашку Петри или другую стерильную емкость и сразу же доставляют в лабораторию для исследования. Хранение и последующее исследование удаленного катетера недопустимо. </w:t>
      </w:r>
    </w:p>
    <w:p w:rsidR="00DB1FCB" w:rsidRPr="00DB1FCB" w:rsidRDefault="00DB1FCB" w:rsidP="00780185">
      <w:pPr>
        <w:numPr>
          <w:ilvl w:val="0"/>
          <w:numId w:val="2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Исследование проводят полуколичественным (метод Маки) или количественным методом. Диагностически значимым (подтверждает инфицирование катетера) при полуколичественном исследовании является выделение микроорганизмов в количестве ≥ 15 КОЕ, при количественном — ≥ 10</w:t>
      </w:r>
      <w:r w:rsidRPr="00DB1FCB">
        <w:rPr>
          <w:rFonts w:ascii="Times New Roman" w:hAnsi="Times New Roman" w:cs="Times New Roman"/>
          <w:sz w:val="24"/>
          <w:szCs w:val="24"/>
          <w:vertAlign w:val="superscript"/>
        </w:rPr>
        <w:t>3</w:t>
      </w:r>
      <w:r w:rsidRPr="00DB1FCB">
        <w:rPr>
          <w:rFonts w:ascii="Times New Roman" w:hAnsi="Times New Roman" w:cs="Times New Roman"/>
          <w:sz w:val="24"/>
          <w:szCs w:val="24"/>
        </w:rPr>
        <w:t xml:space="preserve"> КОЕ/мл. Для постановки диагноза катетер-</w:t>
      </w:r>
      <w:r w:rsidRPr="00DB1FCB">
        <w:rPr>
          <w:rFonts w:ascii="Times New Roman" w:hAnsi="Times New Roman" w:cs="Times New Roman"/>
          <w:sz w:val="24"/>
          <w:szCs w:val="24"/>
        </w:rPr>
        <w:lastRenderedPageBreak/>
        <w:t xml:space="preserve">ассоциированной инфекции, кроме выделения микроорганизмов в диагностически значимых количествах при исследовании удаленного катетера, необходимо выделение того же микроорганизма из крови. </w:t>
      </w:r>
    </w:p>
    <w:p w:rsidR="00DB1FCB" w:rsidRPr="00DB1FCB" w:rsidRDefault="00DB1FCB" w:rsidP="00780185">
      <w:pPr>
        <w:numPr>
          <w:ilvl w:val="0"/>
          <w:numId w:val="2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При появлении признаков воспаления и отделяемого в месте установки венозного катетера необходимо провести микробиологическое исследование отделяемого, а если эти изменения сохраняются или приобретают хронический характер, выполнить исследование на наличие нетуберкулезных микобактерий. </w:t>
      </w:r>
    </w:p>
    <w:p w:rsidR="00DB1FCB" w:rsidRPr="00DB1FCB" w:rsidRDefault="00DB1FCB" w:rsidP="00780185">
      <w:pPr>
        <w:numPr>
          <w:ilvl w:val="0"/>
          <w:numId w:val="2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Не проводят рутинное исследование всех удаленных катетеров.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мочи</w:t>
      </w:r>
    </w:p>
    <w:p w:rsidR="00DB1FCB" w:rsidRPr="00DB1FCB" w:rsidRDefault="00DB1FCB" w:rsidP="00780185">
      <w:pPr>
        <w:numPr>
          <w:ilvl w:val="0"/>
          <w:numId w:val="2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2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Симптомы инфекции мочевыводящих путей. </w:t>
      </w:r>
    </w:p>
    <w:p w:rsidR="00DB1FCB" w:rsidRPr="00DB1FCB" w:rsidRDefault="00DB1FCB" w:rsidP="00780185">
      <w:pPr>
        <w:numPr>
          <w:ilvl w:val="0"/>
          <w:numId w:val="2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Лейкоцитурия. </w:t>
      </w:r>
    </w:p>
    <w:p w:rsidR="00DB1FCB" w:rsidRPr="00DB1FCB" w:rsidRDefault="00DB1FCB" w:rsidP="00780185">
      <w:pPr>
        <w:numPr>
          <w:ilvl w:val="0"/>
          <w:numId w:val="2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Длительная лихорадка неясной этиологии.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Для исследования направляют утреннюю среднюю порцию мочи; доставку мочи в лабораторию проводят немедленно, максимально допустимое время с момента забора до доставки в лабораторию — 2 часа.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Микробиологическое исследование мочи, взятой из катетера Фоли, мочесборных мешков, не проводят из-за контаминации пластика. Исследование мочи в этих случаях проводят в день постановки мочевого катетера. Микробиологическое исследование удаленного катетера Фоли также не проводят. </w:t>
      </w:r>
    </w:p>
    <w:p w:rsidR="00DB1FCB" w:rsidRPr="00A64221"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Бактериурия является диагностически значимой, если выделен </w:t>
      </w:r>
      <w:r w:rsidRPr="00A64221">
        <w:rPr>
          <w:rFonts w:ascii="Times New Roman" w:hAnsi="Times New Roman" w:cs="Times New Roman"/>
          <w:sz w:val="24"/>
          <w:szCs w:val="24"/>
        </w:rPr>
        <w:t>один микроорганизм в количестве ≥ 10</w:t>
      </w:r>
      <w:r w:rsidRPr="00A64221">
        <w:rPr>
          <w:rFonts w:ascii="Times New Roman" w:hAnsi="Times New Roman" w:cs="Times New Roman"/>
          <w:sz w:val="24"/>
          <w:szCs w:val="24"/>
          <w:vertAlign w:val="superscript"/>
        </w:rPr>
        <w:t>3</w:t>
      </w:r>
      <w:r w:rsidRPr="00A64221">
        <w:rPr>
          <w:rFonts w:ascii="Times New Roman" w:hAnsi="Times New Roman" w:cs="Times New Roman"/>
          <w:sz w:val="24"/>
          <w:szCs w:val="24"/>
        </w:rPr>
        <w:t xml:space="preserve"> КОЕ/мл.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Если выделены два микроорганизма в количестве ≥ 10</w:t>
      </w:r>
      <w:r w:rsidRPr="00DB1FCB">
        <w:rPr>
          <w:rFonts w:ascii="Times New Roman" w:hAnsi="Times New Roman" w:cs="Times New Roman"/>
          <w:sz w:val="24"/>
          <w:szCs w:val="24"/>
          <w:vertAlign w:val="superscript"/>
        </w:rPr>
        <w:t>3</w:t>
      </w:r>
      <w:r w:rsidRPr="00DB1FCB">
        <w:rPr>
          <w:rFonts w:ascii="Times New Roman" w:hAnsi="Times New Roman" w:cs="Times New Roman"/>
          <w:sz w:val="24"/>
          <w:szCs w:val="24"/>
        </w:rPr>
        <w:t xml:space="preserve"> КОЕ/мл, то микробиологическое исследование мочи повторяют на следующий день. Повторное выделение тех же микроорганизмов (за исключением бактерий, указанных в примечании) подтверждает инфекцию мочевыводящих путей.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Любое количество бактерий в моче, полученной путем надлобковой пункции мочевого пузыря, является значимой бактериурией.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Бактериурию считают бессимптомной, если в двух последовательных образцах, взятых с интервалом более 24 часов, обнаруживается один и тот же патогенный микроорганизм в количестве ≥ 10</w:t>
      </w:r>
      <w:r w:rsidRPr="00DB1FCB">
        <w:rPr>
          <w:rFonts w:ascii="Times New Roman" w:hAnsi="Times New Roman" w:cs="Times New Roman"/>
          <w:sz w:val="24"/>
          <w:szCs w:val="24"/>
          <w:vertAlign w:val="superscript"/>
        </w:rPr>
        <w:t>5</w:t>
      </w:r>
      <w:r w:rsidRPr="00DB1FCB">
        <w:rPr>
          <w:rFonts w:ascii="Times New Roman" w:hAnsi="Times New Roman" w:cs="Times New Roman"/>
          <w:sz w:val="24"/>
          <w:szCs w:val="24"/>
        </w:rPr>
        <w:t xml:space="preserve"> КОЕ/мл.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i/>
          <w:sz w:val="24"/>
          <w:szCs w:val="24"/>
        </w:rPr>
      </w:pPr>
      <w:r w:rsidRPr="00DB1FCB">
        <w:rPr>
          <w:rFonts w:ascii="Times New Roman" w:hAnsi="Times New Roman" w:cs="Times New Roman"/>
          <w:sz w:val="24"/>
          <w:szCs w:val="24"/>
        </w:rPr>
        <w:t xml:space="preserve">Наиболее частые возбудители инфекции мочевыводящих путей — это энтеробактерии, в составе которых преобладают </w:t>
      </w:r>
      <w:r w:rsidRPr="00DB1FCB">
        <w:rPr>
          <w:rFonts w:ascii="Times New Roman" w:hAnsi="Times New Roman" w:cs="Times New Roman"/>
          <w:i/>
          <w:sz w:val="24"/>
          <w:szCs w:val="24"/>
        </w:rPr>
        <w:t>Escherichia coli</w:t>
      </w:r>
      <w:r w:rsidRPr="00DB1FCB">
        <w:rPr>
          <w:rFonts w:ascii="Times New Roman" w:hAnsi="Times New Roman" w:cs="Times New Roman"/>
          <w:sz w:val="24"/>
          <w:szCs w:val="24"/>
        </w:rPr>
        <w:t xml:space="preserve">, далее </w:t>
      </w:r>
      <w:r w:rsidRPr="00DB1FCB">
        <w:rPr>
          <w:rFonts w:ascii="Times New Roman" w:hAnsi="Times New Roman" w:cs="Times New Roman"/>
          <w:i/>
          <w:sz w:val="24"/>
          <w:szCs w:val="24"/>
        </w:rPr>
        <w:t>Staphylococcus saprophyticus</w:t>
      </w:r>
      <w:r w:rsidRPr="00DB1FCB">
        <w:rPr>
          <w:rFonts w:ascii="Times New Roman" w:hAnsi="Times New Roman" w:cs="Times New Roman"/>
          <w:sz w:val="24"/>
          <w:szCs w:val="24"/>
        </w:rPr>
        <w:t xml:space="preserve"> (чаще у молодых женщин), </w:t>
      </w:r>
      <w:r w:rsidRPr="00DB1FCB">
        <w:rPr>
          <w:rFonts w:ascii="Times New Roman" w:hAnsi="Times New Roman" w:cs="Times New Roman"/>
          <w:i/>
          <w:sz w:val="24"/>
          <w:szCs w:val="24"/>
        </w:rPr>
        <w:t xml:space="preserve">Enterococcus spp., Pseudomonas aeruginosa.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i/>
          <w:sz w:val="24"/>
          <w:szCs w:val="24"/>
        </w:rPr>
      </w:pPr>
      <w:r w:rsidRPr="00DB1FCB">
        <w:rPr>
          <w:rFonts w:ascii="Times New Roman" w:hAnsi="Times New Roman" w:cs="Times New Roman"/>
          <w:sz w:val="24"/>
          <w:szCs w:val="24"/>
        </w:rPr>
        <w:lastRenderedPageBreak/>
        <w:t>При выделении из мочи коагулазанегативных стафилококков в монокультуре (≥ 10</w:t>
      </w:r>
      <w:r w:rsidRPr="00DB1FCB">
        <w:rPr>
          <w:rFonts w:ascii="Times New Roman" w:hAnsi="Times New Roman" w:cs="Times New Roman"/>
          <w:sz w:val="24"/>
          <w:szCs w:val="24"/>
          <w:vertAlign w:val="superscript"/>
        </w:rPr>
        <w:t>4</w:t>
      </w:r>
      <w:r w:rsidRPr="00DB1FCB">
        <w:rPr>
          <w:rFonts w:ascii="Times New Roman" w:hAnsi="Times New Roman" w:cs="Times New Roman"/>
          <w:sz w:val="24"/>
          <w:szCs w:val="24"/>
        </w:rPr>
        <w:t xml:space="preserve"> КОЕ/мл) проводят дополнительное исследование для идентификации </w:t>
      </w:r>
      <w:r w:rsidRPr="00DB1FCB">
        <w:rPr>
          <w:rFonts w:ascii="Times New Roman" w:hAnsi="Times New Roman" w:cs="Times New Roman"/>
          <w:i/>
          <w:sz w:val="24"/>
          <w:szCs w:val="24"/>
        </w:rPr>
        <w:t xml:space="preserve">Staphylococcus saprophyticus.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Высокое содержание </w:t>
      </w:r>
      <w:r w:rsidRPr="00DB1FCB">
        <w:rPr>
          <w:rFonts w:ascii="Times New Roman" w:hAnsi="Times New Roman" w:cs="Times New Roman"/>
          <w:i/>
          <w:sz w:val="24"/>
          <w:szCs w:val="24"/>
        </w:rPr>
        <w:t>Staphylococcus epidermidis</w:t>
      </w:r>
      <w:r w:rsidRPr="00DB1FCB">
        <w:rPr>
          <w:rFonts w:ascii="Times New Roman" w:hAnsi="Times New Roman" w:cs="Times New Roman"/>
          <w:sz w:val="24"/>
          <w:szCs w:val="24"/>
        </w:rPr>
        <w:t xml:space="preserve"> (≥ 10</w:t>
      </w:r>
      <w:r w:rsidRPr="00DB1FCB">
        <w:rPr>
          <w:rFonts w:ascii="Times New Roman" w:hAnsi="Times New Roman" w:cs="Times New Roman"/>
          <w:sz w:val="24"/>
          <w:szCs w:val="24"/>
          <w:vertAlign w:val="superscript"/>
        </w:rPr>
        <w:t>5</w:t>
      </w:r>
      <w:r w:rsidRPr="00DB1FCB">
        <w:rPr>
          <w:rFonts w:ascii="Times New Roman" w:hAnsi="Times New Roman" w:cs="Times New Roman"/>
          <w:sz w:val="24"/>
          <w:szCs w:val="24"/>
        </w:rPr>
        <w:t xml:space="preserve"> КОЕ/мл) является диагностически значимым. </w:t>
      </w:r>
    </w:p>
    <w:p w:rsidR="00DB1FCB" w:rsidRPr="00DB1FCB" w:rsidRDefault="00DB1FCB" w:rsidP="00780185">
      <w:pPr>
        <w:numPr>
          <w:ilvl w:val="0"/>
          <w:numId w:val="2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Неоднократное выделение из мочи </w:t>
      </w:r>
      <w:r w:rsidRPr="00DB1FCB">
        <w:rPr>
          <w:rFonts w:ascii="Times New Roman" w:hAnsi="Times New Roman" w:cs="Times New Roman"/>
          <w:i/>
          <w:sz w:val="24"/>
          <w:szCs w:val="24"/>
        </w:rPr>
        <w:t>Сandida spp</w:t>
      </w:r>
      <w:r w:rsidRPr="00DB1FCB">
        <w:rPr>
          <w:rFonts w:ascii="Times New Roman" w:hAnsi="Times New Roman" w:cs="Times New Roman"/>
          <w:sz w:val="24"/>
          <w:szCs w:val="24"/>
        </w:rPr>
        <w:t xml:space="preserve">. у больных с фебрильной нейтропенией, не имеющих мочевого катетера, свидетельствует о высокой вероятности наличия диссеминированного инвазивного кандидоза.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Выделение из мочи таких микроорганизмов, как дифтероиды, стрептококки группы </w:t>
      </w:r>
      <w:r w:rsidRPr="00DB1FCB">
        <w:rPr>
          <w:rFonts w:ascii="Times New Roman" w:hAnsi="Times New Roman" w:cs="Times New Roman"/>
          <w:i/>
          <w:sz w:val="24"/>
          <w:szCs w:val="24"/>
        </w:rPr>
        <w:t>viridans</w:t>
      </w:r>
      <w:r w:rsidRPr="00DB1FCB">
        <w:rPr>
          <w:rFonts w:ascii="Times New Roman" w:hAnsi="Times New Roman" w:cs="Times New Roman"/>
          <w:sz w:val="24"/>
          <w:szCs w:val="24"/>
        </w:rPr>
        <w:t xml:space="preserve">, лактобактерии, коагулазанегативные стафилококки (исключение составляет </w:t>
      </w:r>
      <w:r w:rsidRPr="00DB1FCB">
        <w:rPr>
          <w:rFonts w:ascii="Times New Roman" w:hAnsi="Times New Roman" w:cs="Times New Roman"/>
          <w:i/>
          <w:sz w:val="24"/>
          <w:szCs w:val="24"/>
        </w:rPr>
        <w:t>Staphylococcus saprophyticus</w:t>
      </w:r>
      <w:r w:rsidRPr="00DB1FCB">
        <w:rPr>
          <w:rFonts w:ascii="Times New Roman" w:hAnsi="Times New Roman" w:cs="Times New Roman"/>
          <w:sz w:val="24"/>
          <w:szCs w:val="24"/>
        </w:rPr>
        <w:t>), свидетельствует о контаминации образцов мочи (кожа, влагалище).</w:t>
      </w:r>
    </w:p>
    <w:p w:rsidR="00DB1FCB" w:rsidRPr="00DB1FCB" w:rsidRDefault="00DB1FCB" w:rsidP="007A7B76">
      <w:pPr>
        <w:tabs>
          <w:tab w:val="left" w:pos="0"/>
          <w:tab w:val="left" w:pos="567"/>
        </w:tabs>
        <w:spacing w:after="0" w:line="360" w:lineRule="auto"/>
        <w:jc w:val="center"/>
        <w:rPr>
          <w:rFonts w:ascii="Times New Roman" w:hAnsi="Times New Roman" w:cs="Times New Roman"/>
          <w:sz w:val="24"/>
          <w:szCs w:val="24"/>
        </w:rPr>
      </w:pPr>
      <w:r w:rsidRPr="00DB1FCB">
        <w:rPr>
          <w:rFonts w:ascii="Times New Roman" w:hAnsi="Times New Roman" w:cs="Times New Roman"/>
          <w:b/>
          <w:sz w:val="24"/>
          <w:szCs w:val="24"/>
        </w:rPr>
        <w:t>Микробиологическое исследование спинномозговой жидкости</w:t>
      </w:r>
    </w:p>
    <w:p w:rsidR="00DB1FCB" w:rsidRPr="00DB1FCB" w:rsidRDefault="00DB1FCB" w:rsidP="00780185">
      <w:pPr>
        <w:numPr>
          <w:ilvl w:val="0"/>
          <w:numId w:val="2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w:t>
      </w:r>
    </w:p>
    <w:p w:rsidR="00DB1FCB" w:rsidRPr="00DB1FCB" w:rsidRDefault="00DB1FCB" w:rsidP="00780185">
      <w:pPr>
        <w:numPr>
          <w:ilvl w:val="0"/>
          <w:numId w:val="3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Симптомы менингита. </w:t>
      </w:r>
    </w:p>
    <w:p w:rsidR="00DB1FCB" w:rsidRPr="00DB1FCB" w:rsidRDefault="00DB1FCB" w:rsidP="00780185">
      <w:pPr>
        <w:numPr>
          <w:ilvl w:val="0"/>
          <w:numId w:val="3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«Мозговая» симптоматика на фоне лихорадки и нейтропении. </w:t>
      </w:r>
    </w:p>
    <w:p w:rsidR="00DB1FCB" w:rsidRPr="00DB1FCB" w:rsidRDefault="00DB1FCB" w:rsidP="00780185">
      <w:pPr>
        <w:numPr>
          <w:ilvl w:val="0"/>
          <w:numId w:val="3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Обнаружение очага (очагов) в головном мозге при КТ или МРТ. </w:t>
      </w:r>
    </w:p>
    <w:p w:rsidR="00DB1FCB" w:rsidRPr="00DB1FCB" w:rsidRDefault="00DB1FCB" w:rsidP="00780185">
      <w:pPr>
        <w:numPr>
          <w:ilvl w:val="0"/>
          <w:numId w:val="2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Доставка материала в лабораторию должна быть </w:t>
      </w:r>
      <w:r w:rsidRPr="00A64221">
        <w:rPr>
          <w:rFonts w:ascii="Times New Roman" w:hAnsi="Times New Roman" w:cs="Times New Roman"/>
          <w:sz w:val="24"/>
          <w:szCs w:val="24"/>
        </w:rPr>
        <w:t>немедленной</w:t>
      </w:r>
      <w:r w:rsidRPr="00DB1FCB">
        <w:rPr>
          <w:rFonts w:ascii="Times New Roman" w:hAnsi="Times New Roman" w:cs="Times New Roman"/>
          <w:b/>
          <w:sz w:val="24"/>
          <w:szCs w:val="24"/>
        </w:rPr>
        <w:t xml:space="preserve"> </w:t>
      </w:r>
      <w:r w:rsidRPr="00DB1FCB">
        <w:rPr>
          <w:rFonts w:ascii="Times New Roman" w:hAnsi="Times New Roman" w:cs="Times New Roman"/>
          <w:sz w:val="24"/>
          <w:szCs w:val="24"/>
        </w:rPr>
        <w:t xml:space="preserve">в стерильной пробирке или в шприце с закрытым наконечником. </w:t>
      </w:r>
    </w:p>
    <w:p w:rsidR="00DB1FCB" w:rsidRPr="00DB1FCB" w:rsidRDefault="00DB1FCB" w:rsidP="00780185">
      <w:pPr>
        <w:numPr>
          <w:ilvl w:val="0"/>
          <w:numId w:val="2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Не помещают образцы СМЖ в холодильник. </w:t>
      </w:r>
    </w:p>
    <w:p w:rsidR="00DB1FCB" w:rsidRPr="00DB1FCB" w:rsidRDefault="00DB1FCB" w:rsidP="00780185">
      <w:pPr>
        <w:numPr>
          <w:ilvl w:val="0"/>
          <w:numId w:val="2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Для полного исследования (бактерии, грибы, антигены) необходимо 2 мл СМЖ. Минимальное количество жидкости, необходимое для микробиологического исследования, составляет 0,5-1 мл.</w:t>
      </w:r>
    </w:p>
    <w:p w:rsidR="00DB1FCB" w:rsidRPr="00DB1FCB" w:rsidRDefault="00DB1FCB" w:rsidP="00780185">
      <w:pPr>
        <w:numPr>
          <w:ilvl w:val="0"/>
          <w:numId w:val="2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Не направляют в лабораторию образец СМЖ, полученный в первой пробирке пункции, поскольку имеется высокая вероятность контаминации образца микроорганизмами с кожи и, вполне определенно, будут возникать проблемы в интерпретации результатов исследования в случае выделения коагулозанегативных стафилококков. Первый образец СМЖ может быть использован для цитологического исследования.  </w:t>
      </w:r>
    </w:p>
    <w:p w:rsidR="00DB1FCB" w:rsidRPr="00DB1FCB" w:rsidRDefault="00DB1FCB" w:rsidP="00780185">
      <w:pPr>
        <w:numPr>
          <w:ilvl w:val="0"/>
          <w:numId w:val="2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СМЖ исследуют на бактерии (микроскопия, посев, определение антигенов), микобактерии (микроскопия, определение ДНК микобактерий), вирусы (определение ДНК вирусов</w:t>
      </w:r>
      <w:r w:rsidR="00A64221">
        <w:rPr>
          <w:rFonts w:ascii="Times New Roman" w:hAnsi="Times New Roman" w:cs="Times New Roman"/>
          <w:sz w:val="24"/>
          <w:szCs w:val="24"/>
        </w:rPr>
        <w:t xml:space="preserve"> герпетической группы, ЦМВ</w:t>
      </w:r>
      <w:r w:rsidRPr="00DB1FCB">
        <w:rPr>
          <w:rFonts w:ascii="Times New Roman" w:hAnsi="Times New Roman" w:cs="Times New Roman"/>
          <w:sz w:val="24"/>
          <w:szCs w:val="24"/>
        </w:rPr>
        <w:t xml:space="preserve">), грибы (микроскопия, посев, антигены), определяют антигены </w:t>
      </w:r>
      <w:r w:rsidRPr="00DB1FCB">
        <w:rPr>
          <w:rFonts w:ascii="Times New Roman" w:hAnsi="Times New Roman" w:cs="Times New Roman"/>
          <w:i/>
          <w:sz w:val="24"/>
          <w:szCs w:val="24"/>
        </w:rPr>
        <w:t>Cryptococcus spp., Aspergillus spp.</w:t>
      </w:r>
      <w:r w:rsidRPr="00DB1FCB">
        <w:rPr>
          <w:rFonts w:ascii="Times New Roman" w:hAnsi="Times New Roman" w:cs="Times New Roman"/>
          <w:sz w:val="24"/>
          <w:szCs w:val="24"/>
        </w:rPr>
        <w:t xml:space="preserve"> – при наличии инвазиного аспергиллеза легких или придаточных пазух носа, при необходимости — антигены </w:t>
      </w:r>
      <w:r w:rsidRPr="00DB1FCB">
        <w:rPr>
          <w:rFonts w:ascii="Times New Roman" w:hAnsi="Times New Roman" w:cs="Times New Roman"/>
          <w:sz w:val="24"/>
          <w:szCs w:val="24"/>
        </w:rPr>
        <w:lastRenderedPageBreak/>
        <w:t>бактерий (</w:t>
      </w:r>
      <w:r w:rsidRPr="00DB1FCB">
        <w:rPr>
          <w:rFonts w:ascii="Times New Roman" w:hAnsi="Times New Roman" w:cs="Times New Roman"/>
          <w:i/>
          <w:sz w:val="24"/>
          <w:szCs w:val="24"/>
        </w:rPr>
        <w:t>Streptococcus pneumoniae, Haemophilus influenzae, Neisseria meningitides</w:t>
      </w:r>
      <w:r w:rsidRPr="00DB1FCB">
        <w:rPr>
          <w:rFonts w:ascii="Times New Roman" w:hAnsi="Times New Roman" w:cs="Times New Roman"/>
          <w:sz w:val="24"/>
          <w:szCs w:val="24"/>
        </w:rPr>
        <w:t xml:space="preserve">, стрептококки группы В - </w:t>
      </w:r>
      <w:r w:rsidRPr="00DB1FCB">
        <w:rPr>
          <w:rFonts w:ascii="Times New Roman" w:hAnsi="Times New Roman" w:cs="Times New Roman"/>
          <w:i/>
          <w:sz w:val="24"/>
          <w:szCs w:val="24"/>
        </w:rPr>
        <w:t>Streptococcus agalactiae</w:t>
      </w:r>
      <w:r w:rsidRPr="00DB1FCB">
        <w:rPr>
          <w:rFonts w:ascii="Times New Roman" w:hAnsi="Times New Roman" w:cs="Times New Roman"/>
          <w:sz w:val="24"/>
          <w:szCs w:val="24"/>
        </w:rPr>
        <w:t xml:space="preserve">). У больных, имеющих очаги в головном мозге и выраженный иммунодефицит (при длительной нейтропении), следует в определять СМЖ ДНК </w:t>
      </w:r>
      <w:r w:rsidRPr="00DB1FCB">
        <w:rPr>
          <w:rFonts w:ascii="Times New Roman" w:hAnsi="Times New Roman" w:cs="Times New Roman"/>
          <w:i/>
          <w:sz w:val="24"/>
          <w:szCs w:val="24"/>
        </w:rPr>
        <w:t>Toxoplasma gondii</w:t>
      </w:r>
      <w:r w:rsidRPr="00DB1FCB">
        <w:rPr>
          <w:rFonts w:ascii="Times New Roman" w:hAnsi="Times New Roman" w:cs="Times New Roman"/>
          <w:sz w:val="24"/>
          <w:szCs w:val="24"/>
        </w:rPr>
        <w:t xml:space="preserve"> (ПЦР).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кала</w:t>
      </w:r>
    </w:p>
    <w:p w:rsidR="00DB1FCB" w:rsidRPr="00DB1FCB" w:rsidRDefault="00DB1FCB" w:rsidP="00780185">
      <w:pPr>
        <w:numPr>
          <w:ilvl w:val="0"/>
          <w:numId w:val="3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диарея. </w:t>
      </w:r>
    </w:p>
    <w:p w:rsidR="00DB1FCB" w:rsidRPr="00DB1FCB" w:rsidRDefault="00DB1FCB" w:rsidP="00780185">
      <w:pPr>
        <w:numPr>
          <w:ilvl w:val="0"/>
          <w:numId w:val="31"/>
        </w:numPr>
        <w:tabs>
          <w:tab w:val="left" w:pos="0"/>
          <w:tab w:val="left" w:pos="567"/>
        </w:tabs>
        <w:spacing w:after="0" w:line="360" w:lineRule="auto"/>
        <w:ind w:left="0" w:firstLine="0"/>
        <w:jc w:val="both"/>
        <w:rPr>
          <w:rFonts w:ascii="Times New Roman" w:hAnsi="Times New Roman" w:cs="Times New Roman"/>
          <w:i/>
          <w:sz w:val="24"/>
          <w:szCs w:val="24"/>
        </w:rPr>
      </w:pPr>
      <w:r w:rsidRPr="00DB1FCB">
        <w:rPr>
          <w:rFonts w:ascii="Times New Roman" w:hAnsi="Times New Roman" w:cs="Times New Roman"/>
          <w:sz w:val="24"/>
          <w:szCs w:val="24"/>
        </w:rPr>
        <w:t xml:space="preserve">Во всех случаях следует провести тест на токсин </w:t>
      </w:r>
      <w:r w:rsidRPr="00DB1FCB">
        <w:rPr>
          <w:rFonts w:ascii="Times New Roman" w:hAnsi="Times New Roman" w:cs="Times New Roman"/>
          <w:i/>
          <w:sz w:val="24"/>
          <w:szCs w:val="24"/>
        </w:rPr>
        <w:t xml:space="preserve">Clostridium difficile. </w:t>
      </w:r>
    </w:p>
    <w:p w:rsidR="00DB1FCB" w:rsidRPr="00DB1FCB" w:rsidRDefault="00DB1FCB" w:rsidP="00780185">
      <w:pPr>
        <w:numPr>
          <w:ilvl w:val="0"/>
          <w:numId w:val="3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DB1FCB">
        <w:rPr>
          <w:rFonts w:ascii="Times New Roman" w:hAnsi="Times New Roman" w:cs="Times New Roman"/>
          <w:i/>
          <w:sz w:val="24"/>
          <w:szCs w:val="24"/>
        </w:rPr>
        <w:t>Сryptosporidium parvum, Salmonella spp., Shigella spp., Listeria spp., Yersenia spp.</w:t>
      </w:r>
      <w:r w:rsidRPr="00DB1FCB">
        <w:rPr>
          <w:rFonts w:ascii="Times New Roman" w:hAnsi="Times New Roman" w:cs="Times New Roman"/>
          <w:sz w:val="24"/>
          <w:szCs w:val="24"/>
        </w:rPr>
        <w:t xml:space="preserve">, вирусы (ротавирусы, аденовирусы). Энтероколиты могут быть обусловлены </w:t>
      </w:r>
      <w:r w:rsidRPr="00DB1FCB">
        <w:rPr>
          <w:rFonts w:ascii="Times New Roman" w:hAnsi="Times New Roman" w:cs="Times New Roman"/>
          <w:i/>
          <w:sz w:val="24"/>
          <w:szCs w:val="24"/>
        </w:rPr>
        <w:t>Candida spp</w:t>
      </w:r>
      <w:r w:rsidRPr="00DB1FCB">
        <w:rPr>
          <w:rFonts w:ascii="Times New Roman" w:hAnsi="Times New Roman" w:cs="Times New Roman"/>
          <w:sz w:val="24"/>
          <w:szCs w:val="24"/>
        </w:rPr>
        <w:t xml:space="preserve">. При количественном исследовании кала следует обращать внимание на выделение штаммов </w:t>
      </w:r>
      <w:r w:rsidRPr="00DB1FCB">
        <w:rPr>
          <w:rFonts w:ascii="Times New Roman" w:hAnsi="Times New Roman" w:cs="Times New Roman"/>
          <w:i/>
          <w:sz w:val="24"/>
          <w:szCs w:val="24"/>
        </w:rPr>
        <w:t>Pseudomonas aeruginosa</w:t>
      </w:r>
      <w:r w:rsidRPr="00DB1FCB">
        <w:rPr>
          <w:rFonts w:ascii="Times New Roman" w:hAnsi="Times New Roman" w:cs="Times New Roman"/>
          <w:sz w:val="24"/>
          <w:szCs w:val="24"/>
        </w:rPr>
        <w:t>, энтеробактерий (</w:t>
      </w:r>
      <w:r w:rsidRPr="00DB1FCB">
        <w:rPr>
          <w:rFonts w:ascii="Times New Roman" w:hAnsi="Times New Roman" w:cs="Times New Roman"/>
          <w:i/>
          <w:sz w:val="24"/>
          <w:szCs w:val="24"/>
        </w:rPr>
        <w:t>Escherichia coli, Klebsiella spp.),</w:t>
      </w:r>
      <w:r w:rsidRPr="00DB1FCB">
        <w:rPr>
          <w:rFonts w:ascii="Times New Roman" w:hAnsi="Times New Roman" w:cs="Times New Roman"/>
          <w:sz w:val="24"/>
          <w:szCs w:val="24"/>
        </w:rPr>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Исследование на дисбактериоз кишечника у больных без диареи относится к исследованиям, которые приняты лишь в России, оно трудоемко и малоинформативно, особенно у больных вне нейтропении.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мазка со слизистой оболочки ротоглотки</w:t>
      </w:r>
    </w:p>
    <w:p w:rsidR="00DB1FCB" w:rsidRPr="00DB1FCB" w:rsidRDefault="00DB1FCB" w:rsidP="00780185">
      <w:pPr>
        <w:numPr>
          <w:ilvl w:val="0"/>
          <w:numId w:val="3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наличие признаков стоматита. </w:t>
      </w:r>
    </w:p>
    <w:p w:rsidR="00DB1FCB" w:rsidRPr="00DB1FCB" w:rsidRDefault="00DB1FCB" w:rsidP="00780185">
      <w:pPr>
        <w:numPr>
          <w:ilvl w:val="0"/>
          <w:numId w:val="3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При нейтропении обращают внимание на выделение </w:t>
      </w:r>
      <w:r w:rsidRPr="00DB1FCB">
        <w:rPr>
          <w:rFonts w:ascii="Times New Roman" w:hAnsi="Times New Roman" w:cs="Times New Roman"/>
          <w:i/>
          <w:sz w:val="24"/>
          <w:szCs w:val="24"/>
        </w:rPr>
        <w:t>Candida spp</w:t>
      </w:r>
      <w:r w:rsidRPr="00DB1FCB">
        <w:rPr>
          <w:rFonts w:ascii="Times New Roman" w:hAnsi="Times New Roman" w:cs="Times New Roman"/>
          <w:sz w:val="24"/>
          <w:szCs w:val="24"/>
        </w:rPr>
        <w:t xml:space="preserve">., грамотрицательных бактерий, особенно </w:t>
      </w:r>
      <w:r w:rsidRPr="00DB1FCB">
        <w:rPr>
          <w:rFonts w:ascii="Times New Roman" w:hAnsi="Times New Roman" w:cs="Times New Roman"/>
          <w:i/>
          <w:sz w:val="24"/>
          <w:szCs w:val="24"/>
        </w:rPr>
        <w:t>Pseudomonas aeruginosa</w:t>
      </w:r>
      <w:r w:rsidRPr="00DB1FCB">
        <w:rPr>
          <w:rFonts w:ascii="Times New Roman" w:hAnsi="Times New Roman" w:cs="Times New Roman"/>
          <w:sz w:val="24"/>
          <w:szCs w:val="24"/>
        </w:rPr>
        <w:t xml:space="preserve"> или </w:t>
      </w:r>
      <w:r w:rsidRPr="00DB1FCB">
        <w:rPr>
          <w:rFonts w:ascii="Times New Roman" w:hAnsi="Times New Roman" w:cs="Times New Roman"/>
          <w:i/>
          <w:sz w:val="24"/>
          <w:szCs w:val="24"/>
          <w:lang w:val="en-US"/>
        </w:rPr>
        <w:t>Stenotrophomonas</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maltophilia</w:t>
      </w:r>
      <w:r w:rsidRPr="00DB1FCB">
        <w:rPr>
          <w:rFonts w:ascii="Times New Roman" w:hAnsi="Times New Roman" w:cs="Times New Roman"/>
          <w:sz w:val="24"/>
          <w:szCs w:val="24"/>
        </w:rPr>
        <w:t>, энтеробактерий (</w:t>
      </w:r>
      <w:r w:rsidRPr="00DB1FCB">
        <w:rPr>
          <w:rFonts w:ascii="Times New Roman" w:hAnsi="Times New Roman" w:cs="Times New Roman"/>
          <w:i/>
          <w:sz w:val="24"/>
          <w:szCs w:val="24"/>
        </w:rPr>
        <w:t>Escherichia coli, Klebsiella spp</w:t>
      </w:r>
      <w:r w:rsidRPr="00DB1FCB">
        <w:rPr>
          <w:rFonts w:ascii="Times New Roman" w:hAnsi="Times New Roman" w:cs="Times New Roman"/>
          <w:sz w:val="24"/>
          <w:szCs w:val="24"/>
        </w:rPr>
        <w:t xml:space="preserve">.), продуцирующих БЛРС или карбапенемазы. </w:t>
      </w:r>
    </w:p>
    <w:p w:rsidR="00DB1FCB" w:rsidRPr="00DB1FCB" w:rsidRDefault="00DB1FCB" w:rsidP="00780185">
      <w:pPr>
        <w:numPr>
          <w:ilvl w:val="0"/>
          <w:numId w:val="3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Следует помнить, что такие бактерии, как </w:t>
      </w:r>
      <w:r w:rsidRPr="00DB1FCB">
        <w:rPr>
          <w:rFonts w:ascii="Times New Roman" w:hAnsi="Times New Roman" w:cs="Times New Roman"/>
          <w:i/>
          <w:sz w:val="24"/>
          <w:szCs w:val="24"/>
        </w:rPr>
        <w:t>Enterococcus spp.</w:t>
      </w:r>
      <w:r w:rsidRPr="00DB1FCB">
        <w:rPr>
          <w:rFonts w:ascii="Times New Roman" w:hAnsi="Times New Roman" w:cs="Times New Roman"/>
          <w:sz w:val="24"/>
          <w:szCs w:val="24"/>
        </w:rPr>
        <w:t xml:space="preserve"> и стрептококки группы </w:t>
      </w:r>
      <w:r w:rsidRPr="00DB1FCB">
        <w:rPr>
          <w:rFonts w:ascii="Times New Roman" w:hAnsi="Times New Roman" w:cs="Times New Roman"/>
          <w:i/>
          <w:sz w:val="24"/>
          <w:szCs w:val="24"/>
        </w:rPr>
        <w:t>viridans</w:t>
      </w:r>
      <w:r w:rsidRPr="00DB1FCB">
        <w:rPr>
          <w:rFonts w:ascii="Times New Roman" w:hAnsi="Times New Roman" w:cs="Times New Roman"/>
          <w:sz w:val="24"/>
          <w:szCs w:val="24"/>
        </w:rPr>
        <w:t xml:space="preserve">, являются нормальными представителями микрофлоры ротоглотки. На основании выделения этих бактерий не следует добавлять </w:t>
      </w:r>
      <w:r w:rsidRPr="00A64221">
        <w:rPr>
          <w:rFonts w:ascii="Times New Roman" w:hAnsi="Times New Roman" w:cs="Times New Roman"/>
          <w:sz w:val="24"/>
          <w:szCs w:val="24"/>
        </w:rPr>
        <w:t>ванкомицин</w:t>
      </w:r>
      <w:r w:rsidRPr="00DB1FCB">
        <w:rPr>
          <w:rFonts w:ascii="Times New Roman" w:hAnsi="Times New Roman" w:cs="Times New Roman"/>
          <w:sz w:val="24"/>
          <w:szCs w:val="24"/>
        </w:rPr>
        <w:t xml:space="preserve"> при фебрильной нейтропении в отсутствие признаков мукозита.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Дрожжевые грибы рода </w:t>
      </w:r>
      <w:r w:rsidRPr="00DB1FCB">
        <w:rPr>
          <w:rFonts w:ascii="Times New Roman" w:hAnsi="Times New Roman" w:cs="Times New Roman"/>
          <w:i/>
          <w:sz w:val="24"/>
          <w:szCs w:val="24"/>
        </w:rPr>
        <w:t>Candida</w:t>
      </w:r>
      <w:r w:rsidRPr="00DB1FCB">
        <w:rPr>
          <w:rFonts w:ascii="Times New Roman" w:hAnsi="Times New Roman" w:cs="Times New Roman"/>
          <w:sz w:val="24"/>
          <w:szCs w:val="24"/>
        </w:rPr>
        <w:t xml:space="preserve"> обнаруживают у 30% здоровых людей.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материала со слизистой оболочки пищевода</w:t>
      </w:r>
    </w:p>
    <w:p w:rsidR="00DB1FCB" w:rsidRPr="00DB1FCB" w:rsidRDefault="00DB1FCB" w:rsidP="00780185">
      <w:pPr>
        <w:numPr>
          <w:ilvl w:val="0"/>
          <w:numId w:val="5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боль по ходу пищевода. </w:t>
      </w:r>
    </w:p>
    <w:p w:rsidR="00DB1FCB" w:rsidRPr="00DB1FCB" w:rsidRDefault="00DB1FCB" w:rsidP="00780185">
      <w:pPr>
        <w:numPr>
          <w:ilvl w:val="0"/>
          <w:numId w:val="5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Выполняется эзофагоскопия (число тромбоцитов должно быть не менее 50 × 10</w:t>
      </w:r>
      <w:r w:rsidRPr="00DB1FCB">
        <w:rPr>
          <w:rFonts w:ascii="Times New Roman" w:hAnsi="Times New Roman" w:cs="Times New Roman"/>
          <w:sz w:val="24"/>
          <w:szCs w:val="24"/>
          <w:vertAlign w:val="superscript"/>
        </w:rPr>
        <w:t>9</w:t>
      </w:r>
      <w:r w:rsidRPr="00DB1FCB">
        <w:rPr>
          <w:rFonts w:ascii="Times New Roman" w:hAnsi="Times New Roman" w:cs="Times New Roman"/>
          <w:sz w:val="24"/>
          <w:szCs w:val="24"/>
        </w:rPr>
        <w:t xml:space="preserve"> /л). </w:t>
      </w:r>
    </w:p>
    <w:p w:rsidR="00DB1FCB" w:rsidRPr="00DB1FCB" w:rsidRDefault="00DB1FCB" w:rsidP="00780185">
      <w:pPr>
        <w:numPr>
          <w:ilvl w:val="0"/>
          <w:numId w:val="5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Проводится соскоб со слизистой пищевода (браш-методом при нейтропении) или биопсия (вне нейтропении). </w:t>
      </w:r>
    </w:p>
    <w:p w:rsidR="00DB1FCB" w:rsidRPr="00DB1FCB" w:rsidRDefault="00DB1FCB" w:rsidP="00780185">
      <w:pPr>
        <w:numPr>
          <w:ilvl w:val="0"/>
          <w:numId w:val="5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 xml:space="preserve">Исследуют образцы в микробиологической (бактерии, грибы), вирусологической (ДНК вируса простого герпеса, ЦМВ) и гистологической лаборатории.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мазка со слизистой оболочки прямой кишки</w:t>
      </w:r>
    </w:p>
    <w:p w:rsidR="00DB1FCB" w:rsidRPr="00DB1FCB" w:rsidRDefault="00DB1FCB" w:rsidP="00780185">
      <w:pPr>
        <w:numPr>
          <w:ilvl w:val="0"/>
          <w:numId w:val="3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5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Воспаление или повреждение слизистой (трещина, парапроктит и др.) прямой кишки. </w:t>
      </w:r>
    </w:p>
    <w:p w:rsidR="00DB1FCB" w:rsidRPr="00DB1FCB" w:rsidRDefault="00DB1FCB" w:rsidP="00780185">
      <w:pPr>
        <w:numPr>
          <w:ilvl w:val="0"/>
          <w:numId w:val="5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У больных с фебрильной нейтропенией более 3-4 дней. </w:t>
      </w:r>
    </w:p>
    <w:p w:rsidR="00DB1FCB" w:rsidRPr="00DB1FCB" w:rsidRDefault="00DB1FCB" w:rsidP="00780185">
      <w:pPr>
        <w:numPr>
          <w:ilvl w:val="0"/>
          <w:numId w:val="3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На основании выделенных микроорганизмов может быть проведена коррекция антимикробной терапии при сохраняющейся фебрильной нейтропении в случаях отсутствия диагностически значимых результатов исследований из клинически значимых образцов. </w:t>
      </w:r>
    </w:p>
    <w:p w:rsidR="00DB1FCB" w:rsidRPr="00DB1FCB" w:rsidRDefault="00DB1FCB" w:rsidP="00780185">
      <w:pPr>
        <w:numPr>
          <w:ilvl w:val="0"/>
          <w:numId w:val="3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Обращают внимание, прежде всего на выделение полирезистентных грамотрицаетельных бактерий - </w:t>
      </w:r>
      <w:r w:rsidRPr="00DB1FCB">
        <w:rPr>
          <w:rFonts w:ascii="Times New Roman" w:hAnsi="Times New Roman" w:cs="Times New Roman"/>
          <w:i/>
          <w:sz w:val="24"/>
          <w:szCs w:val="24"/>
        </w:rPr>
        <w:t>Pseudomonas aeruginosa</w:t>
      </w:r>
      <w:r w:rsidRPr="00DB1FCB">
        <w:rPr>
          <w:rFonts w:ascii="Times New Roman" w:hAnsi="Times New Roman" w:cs="Times New Roman"/>
          <w:sz w:val="24"/>
          <w:szCs w:val="24"/>
        </w:rPr>
        <w:t>, энтеробактерий (</w:t>
      </w:r>
      <w:r w:rsidRPr="00DB1FCB">
        <w:rPr>
          <w:rFonts w:ascii="Times New Roman" w:hAnsi="Times New Roman" w:cs="Times New Roman"/>
          <w:i/>
          <w:sz w:val="24"/>
          <w:szCs w:val="24"/>
        </w:rPr>
        <w:t>Escherichia coli, Klebsiella spp.</w:t>
      </w:r>
      <w:r w:rsidRPr="00DB1FCB">
        <w:rPr>
          <w:rFonts w:ascii="Times New Roman" w:hAnsi="Times New Roman" w:cs="Times New Roman"/>
          <w:sz w:val="24"/>
          <w:szCs w:val="24"/>
        </w:rPr>
        <w:t xml:space="preserve">), продуцирующих БЛРС или карбапенемаз.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со слизистой оболочки носовых ходов</w:t>
      </w:r>
    </w:p>
    <w:p w:rsidR="00DB1FCB" w:rsidRPr="00DB1FCB" w:rsidRDefault="00DB1FCB" w:rsidP="00780185">
      <w:pPr>
        <w:numPr>
          <w:ilvl w:val="0"/>
          <w:numId w:val="5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наличие некроза слизистой оболочки носового хода. </w:t>
      </w:r>
    </w:p>
    <w:p w:rsidR="00DB1FCB" w:rsidRPr="00DB1FCB" w:rsidRDefault="00DB1FCB" w:rsidP="00780185">
      <w:pPr>
        <w:numPr>
          <w:ilvl w:val="0"/>
          <w:numId w:val="5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проводят только на плесневые (мицелиальные) грибы.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Рутинное исследование материала, взятого из носоглотки, ротоглотки, прямой кишки, а также посев мочи в отсутствие признаков поражения не представляет большой клинической ценности.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Микробиологическое исследование биоптатов кожи</w:t>
      </w:r>
    </w:p>
    <w:p w:rsidR="00DB1FCB" w:rsidRPr="00DB1FCB" w:rsidRDefault="00DB1FCB" w:rsidP="00780185">
      <w:pPr>
        <w:numPr>
          <w:ilvl w:val="0"/>
          <w:numId w:val="3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наличие септикопиемических очагов (инфильтраты в толще кожи — в дерме — любых размеров, болезненные при пальпации, возникшие при лихорадке) или других образований на коже. </w:t>
      </w:r>
    </w:p>
    <w:p w:rsidR="00DB1FCB" w:rsidRPr="00DB1FCB" w:rsidRDefault="00DB1FCB" w:rsidP="00780185">
      <w:pPr>
        <w:numPr>
          <w:ilvl w:val="0"/>
          <w:numId w:val="3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Проводят биопсию тех образований, давность которых составляет 1—2 суток. Биопсию проводят с захватом дермы. </w:t>
      </w:r>
    </w:p>
    <w:p w:rsidR="00DB1FCB" w:rsidRPr="00DB1FCB" w:rsidRDefault="00DB1FCB" w:rsidP="00780185">
      <w:pPr>
        <w:numPr>
          <w:ilvl w:val="0"/>
          <w:numId w:val="3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Проводят гистологическое и микробиологическое исследование на наличие бактерий, включая микобактерии, и грибов. Кроме культурального исследования проводят микроскопию всех образцов (окраска по Граму, Цилю— Нильсену, калькофлюором белым).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Компьютерная томография легких</w:t>
      </w:r>
    </w:p>
    <w:p w:rsidR="00DB1FCB" w:rsidRPr="00DB1FCB" w:rsidRDefault="00DB1FCB" w:rsidP="00780185">
      <w:pPr>
        <w:numPr>
          <w:ilvl w:val="0"/>
          <w:numId w:val="3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3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Лихорадка неясной этиологии ≥ 5 дней в период нейтропении при нормальной физикальной картине в легких. </w:t>
      </w:r>
    </w:p>
    <w:p w:rsidR="00DB1FCB" w:rsidRPr="00DB1FCB" w:rsidRDefault="00DB1FCB" w:rsidP="00780185">
      <w:pPr>
        <w:numPr>
          <w:ilvl w:val="0"/>
          <w:numId w:val="3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 xml:space="preserve">Контроль выявленных изменений в легких (первое контрольное исследование проводят через 7 дней от момента диагностики пневмонии и начала антибактериальной или противогрибковой терапии, далее — по мере необходимости). </w:t>
      </w:r>
    </w:p>
    <w:p w:rsidR="00DB1FCB" w:rsidRPr="00DB1FCB" w:rsidRDefault="00DB1FCB" w:rsidP="00780185">
      <w:pPr>
        <w:numPr>
          <w:ilvl w:val="0"/>
          <w:numId w:val="3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КТ легких следует проводить без предварительной рентгенографии грудной клетки. </w:t>
      </w:r>
    </w:p>
    <w:p w:rsidR="00DB1FCB" w:rsidRPr="00DB1FCB" w:rsidRDefault="00DB1FCB" w:rsidP="00780185">
      <w:pPr>
        <w:numPr>
          <w:ilvl w:val="0"/>
          <w:numId w:val="3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КТ легких при лихорадке в период нейтропении проводят независимо от аускультативной картины легких.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Рентгенография органов грудной клетки при нейтропении малоинформативна. С ее помощью нельзя своевременно диагностировать инвазивный аспергиллез, интерстициальные поражения легких (вирусные, грибковые). У больных с нейтропенией этот вид исследования, направленный на поиск инфекционного процесса в легких, необходимо исключить.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Бронхоальвеолярный лаваж</w:t>
      </w:r>
    </w:p>
    <w:p w:rsidR="00DB1FCB" w:rsidRDefault="00DB1FCB" w:rsidP="00780185">
      <w:pPr>
        <w:numPr>
          <w:ilvl w:val="0"/>
          <w:numId w:val="3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r w:rsidR="007A7B76">
        <w:rPr>
          <w:rFonts w:ascii="Times New Roman" w:hAnsi="Times New Roman" w:cs="Times New Roman"/>
          <w:sz w:val="24"/>
          <w:szCs w:val="24"/>
        </w:rPr>
        <w:t xml:space="preserve"> и</w:t>
      </w:r>
      <w:r w:rsidR="00674B7A">
        <w:rPr>
          <w:rFonts w:ascii="Times New Roman" w:hAnsi="Times New Roman" w:cs="Times New Roman"/>
          <w:sz w:val="24"/>
          <w:szCs w:val="24"/>
        </w:rPr>
        <w:t>зменения в легких по данным КТ.</w:t>
      </w:r>
    </w:p>
    <w:p w:rsidR="007A7B76" w:rsidRPr="007A7B76" w:rsidRDefault="007A7B76" w:rsidP="007A7B76">
      <w:pPr>
        <w:tabs>
          <w:tab w:val="left" w:pos="0"/>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Перечень диагностических тестов:</w:t>
      </w:r>
    </w:p>
    <w:p w:rsidR="00DB1FCB" w:rsidRPr="00DB1FCB" w:rsidRDefault="00DB1FCB" w:rsidP="00780185">
      <w:pPr>
        <w:numPr>
          <w:ilvl w:val="0"/>
          <w:numId w:val="4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Исследование жидкости бронхоальвеолярного лаважа (БАЛ):</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Цитология мазков.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Микроскопия мазков (окраска по Граму, Цилю—Нильсену).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Флюоресцентная микроскопия на грибы с калькофлуором белым.</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Микробиологическое исследование (посев) на бактерии, включая нокардии, и грибы (обязательно на мицелиальные — посев на среду Чапека).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Микробиологическое исследование (посев) на </w:t>
      </w:r>
      <w:r w:rsidRPr="00DB1FCB">
        <w:rPr>
          <w:rFonts w:ascii="Times New Roman" w:hAnsi="Times New Roman" w:cs="Times New Roman"/>
          <w:i/>
          <w:sz w:val="24"/>
          <w:szCs w:val="24"/>
          <w:lang w:val="en-US"/>
        </w:rPr>
        <w:t>Legionella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spp</w:t>
      </w:r>
      <w:r w:rsidRPr="00DB1FCB">
        <w:rPr>
          <w:rFonts w:ascii="Times New Roman" w:hAnsi="Times New Roman" w:cs="Times New Roman"/>
          <w:i/>
          <w:sz w:val="24"/>
          <w:szCs w:val="24"/>
        </w:rPr>
        <w:t>.</w:t>
      </w:r>
      <w:r w:rsidRPr="00DB1FCB">
        <w:rPr>
          <w:rFonts w:ascii="Times New Roman" w:hAnsi="Times New Roman" w:cs="Times New Roman"/>
          <w:sz w:val="24"/>
          <w:szCs w:val="24"/>
        </w:rPr>
        <w:t xml:space="preserve">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на микобактерии (ПЦР).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i/>
          <w:sz w:val="24"/>
          <w:szCs w:val="24"/>
        </w:rPr>
      </w:pPr>
      <w:r w:rsidRPr="00DB1FCB">
        <w:rPr>
          <w:rFonts w:ascii="Times New Roman" w:hAnsi="Times New Roman" w:cs="Times New Roman"/>
          <w:sz w:val="24"/>
          <w:szCs w:val="24"/>
        </w:rPr>
        <w:t xml:space="preserve">Флюоресцентная микроскопия на </w:t>
      </w:r>
      <w:r w:rsidRPr="00DB1FCB">
        <w:rPr>
          <w:rFonts w:ascii="Times New Roman" w:hAnsi="Times New Roman" w:cs="Times New Roman"/>
          <w:i/>
          <w:sz w:val="24"/>
          <w:szCs w:val="24"/>
        </w:rPr>
        <w:t xml:space="preserve">Pneumocystis jiroveci.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ДНК </w:t>
      </w:r>
      <w:r w:rsidRPr="00DB1FCB">
        <w:rPr>
          <w:rFonts w:ascii="Times New Roman" w:hAnsi="Times New Roman" w:cs="Times New Roman"/>
          <w:i/>
          <w:sz w:val="24"/>
          <w:szCs w:val="24"/>
          <w:lang w:val="en-US"/>
        </w:rPr>
        <w:t>Pneumocystis</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jirovecii</w:t>
      </w:r>
      <w:r w:rsidRPr="00DB1FCB">
        <w:rPr>
          <w:rFonts w:ascii="Times New Roman" w:hAnsi="Times New Roman" w:cs="Times New Roman"/>
          <w:sz w:val="24"/>
          <w:szCs w:val="24"/>
        </w:rPr>
        <w:t xml:space="preserve"> (ПЦР).</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антигена </w:t>
      </w:r>
      <w:r w:rsidRPr="00DB1FCB">
        <w:rPr>
          <w:rFonts w:ascii="Times New Roman" w:hAnsi="Times New Roman" w:cs="Times New Roman"/>
          <w:i/>
          <w:sz w:val="24"/>
          <w:szCs w:val="24"/>
        </w:rPr>
        <w:t>Aspergillus</w:t>
      </w:r>
      <w:r w:rsidRPr="00DB1FCB">
        <w:rPr>
          <w:rFonts w:ascii="Times New Roman" w:hAnsi="Times New Roman" w:cs="Times New Roman"/>
          <w:sz w:val="24"/>
          <w:szCs w:val="24"/>
        </w:rPr>
        <w:t xml:space="preserve"> (галактоманнан) в жидкости БАЛ.</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антигена </w:t>
      </w:r>
      <w:r w:rsidRPr="00DB1FCB">
        <w:rPr>
          <w:rFonts w:ascii="Times New Roman" w:hAnsi="Times New Roman" w:cs="Times New Roman"/>
          <w:i/>
          <w:sz w:val="24"/>
          <w:szCs w:val="24"/>
          <w:lang w:val="en-US"/>
        </w:rPr>
        <w:t>Legionella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pneumophilia</w:t>
      </w:r>
      <w:r w:rsidRPr="00DB1FCB">
        <w:rPr>
          <w:rFonts w:ascii="Times New Roman" w:hAnsi="Times New Roman" w:cs="Times New Roman"/>
          <w:sz w:val="24"/>
          <w:szCs w:val="24"/>
        </w:rPr>
        <w:t xml:space="preserve"> в моче.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ДНК </w:t>
      </w:r>
      <w:r w:rsidRPr="00DB1FCB">
        <w:rPr>
          <w:rFonts w:ascii="Times New Roman" w:hAnsi="Times New Roman" w:cs="Times New Roman"/>
          <w:i/>
          <w:sz w:val="24"/>
          <w:szCs w:val="24"/>
          <w:lang w:val="en-US"/>
        </w:rPr>
        <w:t>Mycoplasma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pneumonia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Chlamydophila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pneumoniae</w:t>
      </w:r>
      <w:r w:rsidR="00674B7A">
        <w:rPr>
          <w:rFonts w:ascii="Times New Roman" w:hAnsi="Times New Roman" w:cs="Times New Roman"/>
          <w:sz w:val="24"/>
          <w:szCs w:val="24"/>
        </w:rPr>
        <w:t xml:space="preserve"> в жидкости БАЛ. </w:t>
      </w:r>
    </w:p>
    <w:p w:rsidR="00DB1FCB" w:rsidRPr="00DB1FCB" w:rsidRDefault="00DB1FCB" w:rsidP="00780185">
      <w:pPr>
        <w:numPr>
          <w:ilvl w:val="0"/>
          <w:numId w:val="4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ДНК вирусов (ЦМВ, вирусов гриппа, парагриппа, респираторного синтициального вируса, короновирусов, метапнемовируса человека, герпесвируса человека 6 типа) в жидкости БАЛ (ПЦР).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Определение антигенов грибов</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 xml:space="preserve">Антиген </w:t>
      </w:r>
      <w:r w:rsidRPr="00DB1FCB">
        <w:rPr>
          <w:rFonts w:ascii="Times New Roman" w:hAnsi="Times New Roman" w:cs="Times New Roman"/>
          <w:b/>
          <w:i/>
          <w:sz w:val="24"/>
          <w:szCs w:val="24"/>
        </w:rPr>
        <w:t>Aspergillus</w:t>
      </w:r>
      <w:r w:rsidRPr="00DB1FCB">
        <w:rPr>
          <w:rFonts w:ascii="Times New Roman" w:hAnsi="Times New Roman" w:cs="Times New Roman"/>
          <w:b/>
          <w:sz w:val="24"/>
          <w:szCs w:val="24"/>
        </w:rPr>
        <w:t xml:space="preserve"> (галактоманнан) </w:t>
      </w:r>
    </w:p>
    <w:p w:rsidR="00DB1FCB" w:rsidRPr="00DB1FCB" w:rsidRDefault="00DB1FCB" w:rsidP="00780185">
      <w:pPr>
        <w:numPr>
          <w:ilvl w:val="0"/>
          <w:numId w:val="4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 xml:space="preserve">Обнаружение антигена </w:t>
      </w:r>
      <w:r w:rsidRPr="00DB1FCB">
        <w:rPr>
          <w:rFonts w:ascii="Times New Roman" w:hAnsi="Times New Roman" w:cs="Times New Roman"/>
          <w:i/>
          <w:sz w:val="24"/>
          <w:szCs w:val="24"/>
        </w:rPr>
        <w:t>Aspergillus</w:t>
      </w:r>
      <w:r w:rsidRPr="00DB1FCB">
        <w:rPr>
          <w:rFonts w:ascii="Times New Roman" w:hAnsi="Times New Roman" w:cs="Times New Roman"/>
          <w:sz w:val="24"/>
          <w:szCs w:val="24"/>
        </w:rPr>
        <w:t xml:space="preserve"> включено в критерии диагностики инвазивного аспергиллеза.</w:t>
      </w:r>
    </w:p>
    <w:p w:rsidR="00DB1FCB" w:rsidRPr="00DB1FCB" w:rsidRDefault="00DB1FCB" w:rsidP="00780185">
      <w:pPr>
        <w:numPr>
          <w:ilvl w:val="0"/>
          <w:numId w:val="4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Образцы для исследования: </w:t>
      </w:r>
    </w:p>
    <w:p w:rsidR="00DB1FCB" w:rsidRPr="00DB1FCB" w:rsidRDefault="00DB1FCB" w:rsidP="00780185">
      <w:pPr>
        <w:numPr>
          <w:ilvl w:val="0"/>
          <w:numId w:val="4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кровь; </w:t>
      </w:r>
    </w:p>
    <w:p w:rsidR="00DB1FCB" w:rsidRPr="00DB1FCB" w:rsidRDefault="00DB1FCB" w:rsidP="00780185">
      <w:pPr>
        <w:numPr>
          <w:ilvl w:val="0"/>
          <w:numId w:val="4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жидкость БАЛ; </w:t>
      </w:r>
    </w:p>
    <w:p w:rsidR="00DB1FCB" w:rsidRPr="00DB1FCB" w:rsidRDefault="00DB1FCB" w:rsidP="00780185">
      <w:pPr>
        <w:numPr>
          <w:ilvl w:val="0"/>
          <w:numId w:val="4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СМЖ. </w:t>
      </w:r>
    </w:p>
    <w:p w:rsidR="00DB1FCB" w:rsidRPr="00DB1FCB" w:rsidRDefault="00DB1FCB" w:rsidP="00780185">
      <w:pPr>
        <w:numPr>
          <w:ilvl w:val="0"/>
          <w:numId w:val="4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Результат определения антигена </w:t>
      </w:r>
      <w:r w:rsidRPr="00DB1FCB">
        <w:rPr>
          <w:rFonts w:ascii="Times New Roman" w:hAnsi="Times New Roman" w:cs="Times New Roman"/>
          <w:i/>
          <w:sz w:val="24"/>
          <w:szCs w:val="24"/>
        </w:rPr>
        <w:t xml:space="preserve">Aspergillus </w:t>
      </w:r>
      <w:r w:rsidRPr="00DB1FCB">
        <w:rPr>
          <w:rFonts w:ascii="Times New Roman" w:hAnsi="Times New Roman" w:cs="Times New Roman"/>
          <w:sz w:val="24"/>
          <w:szCs w:val="24"/>
        </w:rPr>
        <w:t>считают положительным в крови при индексе оптической плотности ≥ 0,5, в жидкости БАЛ ≥ 1,0, в СМЖ ≥ 0,5.</w:t>
      </w:r>
    </w:p>
    <w:p w:rsidR="00DB1FCB" w:rsidRPr="00DB1FCB" w:rsidRDefault="00DB1FCB" w:rsidP="00780185">
      <w:pPr>
        <w:numPr>
          <w:ilvl w:val="0"/>
          <w:numId w:val="4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Проводят </w:t>
      </w:r>
      <w:r w:rsidRPr="00674B7A">
        <w:rPr>
          <w:rFonts w:ascii="Times New Roman" w:hAnsi="Times New Roman" w:cs="Times New Roman"/>
          <w:sz w:val="24"/>
          <w:szCs w:val="24"/>
        </w:rPr>
        <w:t xml:space="preserve">определение антигена </w:t>
      </w:r>
      <w:r w:rsidRPr="00674B7A">
        <w:rPr>
          <w:rFonts w:ascii="Times New Roman" w:hAnsi="Times New Roman" w:cs="Times New Roman"/>
          <w:i/>
          <w:sz w:val="24"/>
          <w:szCs w:val="24"/>
        </w:rPr>
        <w:t>Aspergillus</w:t>
      </w:r>
      <w:r w:rsidRPr="00674B7A">
        <w:rPr>
          <w:rFonts w:ascii="Times New Roman" w:hAnsi="Times New Roman" w:cs="Times New Roman"/>
          <w:sz w:val="24"/>
          <w:szCs w:val="24"/>
        </w:rPr>
        <w:t xml:space="preserve"> у больных с клиническими признаками (или факторами риска) возможного инвазивного</w:t>
      </w:r>
      <w:r w:rsidRPr="00DB1FCB">
        <w:rPr>
          <w:rFonts w:ascii="Times New Roman" w:hAnsi="Times New Roman" w:cs="Times New Roman"/>
          <w:sz w:val="24"/>
          <w:szCs w:val="24"/>
        </w:rPr>
        <w:t xml:space="preserve"> микоза.</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Определение антигена Aspergillus</w:t>
      </w:r>
    </w:p>
    <w:p w:rsidR="00DB1FCB" w:rsidRPr="00DB1FCB" w:rsidRDefault="00DB1FCB" w:rsidP="00780185">
      <w:pPr>
        <w:numPr>
          <w:ilvl w:val="0"/>
          <w:numId w:val="4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антигена Aspergillus (галактоманнана) показано больным лимфомой, множественной миеломой, реципиентам аутологичных стволовых клеток крови при подозрении у них инвазивного аспергиллеза на основании изменений в легких на КТ и наличия факторов риска, индуцирующих развитие инвазивного аспергиллеза (нейтропения от 10 дней и более, прием глюкокортикоидов, терапия флударабином или алемтузумабом). </w:t>
      </w:r>
    </w:p>
    <w:p w:rsidR="00DB1FCB" w:rsidRPr="00DB1FCB" w:rsidRDefault="00DB1FCB" w:rsidP="00780185">
      <w:pPr>
        <w:numPr>
          <w:ilvl w:val="0"/>
          <w:numId w:val="4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 этих случаях проводят однократное определение антигена </w:t>
      </w:r>
      <w:r w:rsidRPr="00DB1FCB">
        <w:rPr>
          <w:rFonts w:ascii="Times New Roman" w:hAnsi="Times New Roman" w:cs="Times New Roman"/>
          <w:i/>
          <w:sz w:val="24"/>
          <w:szCs w:val="24"/>
        </w:rPr>
        <w:t>Aspergillus</w:t>
      </w:r>
      <w:r w:rsidRPr="00DB1FCB">
        <w:rPr>
          <w:rFonts w:ascii="Times New Roman" w:hAnsi="Times New Roman" w:cs="Times New Roman"/>
          <w:sz w:val="24"/>
          <w:szCs w:val="24"/>
        </w:rPr>
        <w:t xml:space="preserve"> в жидкости БАЛ или, если у больного нейтропения (гранулоцитов &lt; 0,5 × 10</w:t>
      </w:r>
      <w:r w:rsidRPr="00DB1FCB">
        <w:rPr>
          <w:rFonts w:ascii="Times New Roman" w:hAnsi="Times New Roman" w:cs="Times New Roman"/>
          <w:sz w:val="24"/>
          <w:szCs w:val="24"/>
          <w:vertAlign w:val="superscript"/>
        </w:rPr>
        <w:t>9</w:t>
      </w:r>
      <w:r w:rsidRPr="00DB1FCB">
        <w:rPr>
          <w:rFonts w:ascii="Times New Roman" w:hAnsi="Times New Roman" w:cs="Times New Roman"/>
          <w:sz w:val="24"/>
          <w:szCs w:val="24"/>
        </w:rPr>
        <w:t xml:space="preserve"> /л), определяют антиген </w:t>
      </w:r>
      <w:r w:rsidRPr="00DB1FCB">
        <w:rPr>
          <w:rFonts w:ascii="Times New Roman" w:hAnsi="Times New Roman" w:cs="Times New Roman"/>
          <w:i/>
          <w:sz w:val="24"/>
          <w:szCs w:val="24"/>
        </w:rPr>
        <w:t>Aspergillus</w:t>
      </w:r>
      <w:r w:rsidRPr="00DB1FCB">
        <w:rPr>
          <w:rFonts w:ascii="Times New Roman" w:hAnsi="Times New Roman" w:cs="Times New Roman"/>
          <w:sz w:val="24"/>
          <w:szCs w:val="24"/>
        </w:rPr>
        <w:t xml:space="preserve"> в 2-3 образцах </w:t>
      </w:r>
      <w:r w:rsidRPr="00674B7A">
        <w:rPr>
          <w:rFonts w:ascii="Times New Roman" w:hAnsi="Times New Roman" w:cs="Times New Roman"/>
          <w:sz w:val="24"/>
          <w:szCs w:val="24"/>
        </w:rPr>
        <w:t>крови (не в одном!), взятых в течение</w:t>
      </w:r>
      <w:r w:rsidRPr="00DB1FCB">
        <w:rPr>
          <w:rFonts w:ascii="Times New Roman" w:hAnsi="Times New Roman" w:cs="Times New Roman"/>
          <w:sz w:val="24"/>
          <w:szCs w:val="24"/>
        </w:rPr>
        <w:t xml:space="preserve"> суток или течение 2 дней.</w:t>
      </w:r>
    </w:p>
    <w:p w:rsidR="00DB1FCB" w:rsidRPr="00DB1FCB" w:rsidRDefault="00DB1FCB" w:rsidP="00780185">
      <w:pPr>
        <w:numPr>
          <w:ilvl w:val="0"/>
          <w:numId w:val="45"/>
        </w:numPr>
        <w:tabs>
          <w:tab w:val="left" w:pos="0"/>
          <w:tab w:val="left" w:pos="567"/>
        </w:tabs>
        <w:spacing w:after="0" w:line="360" w:lineRule="auto"/>
        <w:ind w:left="0" w:firstLine="0"/>
        <w:jc w:val="both"/>
        <w:rPr>
          <w:rFonts w:ascii="Times New Roman" w:hAnsi="Times New Roman" w:cs="Times New Roman"/>
          <w:b/>
          <w:sz w:val="24"/>
          <w:szCs w:val="24"/>
        </w:rPr>
      </w:pPr>
      <w:r w:rsidRPr="00DB1FCB">
        <w:rPr>
          <w:rFonts w:ascii="Times New Roman" w:hAnsi="Times New Roman" w:cs="Times New Roman"/>
          <w:sz w:val="24"/>
          <w:szCs w:val="24"/>
        </w:rPr>
        <w:t xml:space="preserve">Исследование антигена </w:t>
      </w:r>
      <w:r w:rsidRPr="00DB1FCB">
        <w:rPr>
          <w:rFonts w:ascii="Times New Roman" w:hAnsi="Times New Roman" w:cs="Times New Roman"/>
          <w:i/>
          <w:sz w:val="24"/>
          <w:szCs w:val="24"/>
        </w:rPr>
        <w:t>Aspergillus</w:t>
      </w:r>
      <w:r w:rsidRPr="00DB1FCB">
        <w:rPr>
          <w:rFonts w:ascii="Times New Roman" w:hAnsi="Times New Roman" w:cs="Times New Roman"/>
          <w:sz w:val="24"/>
          <w:szCs w:val="24"/>
        </w:rPr>
        <w:t xml:space="preserve"> проводят до назначения противогрибковых препаратов, активных в отношении мицелиальных грибов.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У категории больных (при лимфомах, множественной миеломе, у реципиентов аутологичных стволовых клеток крови) вероятность развития инвазивного аспергиллеза составляет 1—5%.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 xml:space="preserve">Антиген </w:t>
      </w:r>
      <w:r w:rsidRPr="00DB1FCB">
        <w:rPr>
          <w:rFonts w:ascii="Times New Roman" w:hAnsi="Times New Roman" w:cs="Times New Roman"/>
          <w:b/>
          <w:i/>
          <w:sz w:val="24"/>
          <w:szCs w:val="24"/>
        </w:rPr>
        <w:t>Candida</w:t>
      </w:r>
      <w:r w:rsidRPr="00DB1FCB">
        <w:rPr>
          <w:rFonts w:ascii="Times New Roman" w:hAnsi="Times New Roman" w:cs="Times New Roman"/>
          <w:b/>
          <w:sz w:val="24"/>
          <w:szCs w:val="24"/>
        </w:rPr>
        <w:t xml:space="preserve"> (маннан) и антитела к </w:t>
      </w:r>
      <w:r w:rsidRPr="00DB1FCB">
        <w:rPr>
          <w:rFonts w:ascii="Times New Roman" w:hAnsi="Times New Roman" w:cs="Times New Roman"/>
          <w:b/>
          <w:i/>
          <w:sz w:val="24"/>
          <w:szCs w:val="24"/>
        </w:rPr>
        <w:t>Candida</w:t>
      </w:r>
      <w:r w:rsidRPr="00DB1FCB">
        <w:rPr>
          <w:rFonts w:ascii="Times New Roman" w:hAnsi="Times New Roman" w:cs="Times New Roman"/>
          <w:b/>
          <w:sz w:val="24"/>
          <w:szCs w:val="24"/>
        </w:rPr>
        <w:t xml:space="preserve"> (антиманнан)</w:t>
      </w:r>
    </w:p>
    <w:p w:rsidR="00DB1FCB" w:rsidRPr="00DB1FCB" w:rsidRDefault="00DB1FCB" w:rsidP="00780185">
      <w:pPr>
        <w:numPr>
          <w:ilvl w:val="0"/>
          <w:numId w:val="4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Обнаружение антигена </w:t>
      </w:r>
      <w:r w:rsidRPr="00DB1FCB">
        <w:rPr>
          <w:rFonts w:ascii="Times New Roman" w:hAnsi="Times New Roman" w:cs="Times New Roman"/>
          <w:i/>
          <w:sz w:val="24"/>
          <w:szCs w:val="24"/>
        </w:rPr>
        <w:t>Candida</w:t>
      </w:r>
      <w:r w:rsidRPr="00DB1FCB">
        <w:rPr>
          <w:rFonts w:ascii="Times New Roman" w:hAnsi="Times New Roman" w:cs="Times New Roman"/>
          <w:sz w:val="24"/>
          <w:szCs w:val="24"/>
        </w:rPr>
        <w:t xml:space="preserve"> и антител к </w:t>
      </w:r>
      <w:r w:rsidRPr="00DB1FCB">
        <w:rPr>
          <w:rFonts w:ascii="Times New Roman" w:hAnsi="Times New Roman" w:cs="Times New Roman"/>
          <w:i/>
          <w:sz w:val="24"/>
          <w:szCs w:val="24"/>
        </w:rPr>
        <w:t>Candida</w:t>
      </w:r>
      <w:r w:rsidRPr="00DB1FCB">
        <w:rPr>
          <w:rFonts w:ascii="Times New Roman" w:hAnsi="Times New Roman" w:cs="Times New Roman"/>
          <w:sz w:val="24"/>
          <w:szCs w:val="24"/>
        </w:rPr>
        <w:t xml:space="preserve"> не включено в критерии диагностики инвазивного кандидоза. </w:t>
      </w:r>
    </w:p>
    <w:p w:rsidR="00DB1FCB" w:rsidRPr="00DB1FCB" w:rsidRDefault="00DB1FCB" w:rsidP="00780185">
      <w:pPr>
        <w:numPr>
          <w:ilvl w:val="0"/>
          <w:numId w:val="4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Образец для исследования — кровь. </w:t>
      </w:r>
    </w:p>
    <w:p w:rsidR="00DB1FCB" w:rsidRPr="00DB1FCB" w:rsidRDefault="00DB1FCB" w:rsidP="00780185">
      <w:pPr>
        <w:numPr>
          <w:ilvl w:val="0"/>
          <w:numId w:val="4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Результат определения считается положительным при следующих значениях: </w:t>
      </w:r>
    </w:p>
    <w:p w:rsidR="00DB1FCB" w:rsidRPr="00DB1FCB" w:rsidRDefault="00DB1FCB" w:rsidP="00780185">
      <w:pPr>
        <w:numPr>
          <w:ilvl w:val="0"/>
          <w:numId w:val="4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антиген </w:t>
      </w:r>
      <w:r w:rsidRPr="00DB1FCB">
        <w:rPr>
          <w:rFonts w:ascii="Times New Roman" w:hAnsi="Times New Roman" w:cs="Times New Roman"/>
          <w:i/>
          <w:sz w:val="24"/>
          <w:szCs w:val="24"/>
        </w:rPr>
        <w:t>Candida</w:t>
      </w:r>
      <w:r w:rsidRPr="00DB1FCB">
        <w:rPr>
          <w:rFonts w:ascii="Times New Roman" w:hAnsi="Times New Roman" w:cs="Times New Roman"/>
          <w:sz w:val="24"/>
          <w:szCs w:val="24"/>
        </w:rPr>
        <w:t xml:space="preserve"> (маннан): ≥ 125 пг/мл; </w:t>
      </w:r>
    </w:p>
    <w:p w:rsidR="00DB1FCB" w:rsidRPr="00DB1FCB" w:rsidRDefault="00DB1FCB" w:rsidP="00780185">
      <w:pPr>
        <w:numPr>
          <w:ilvl w:val="0"/>
          <w:numId w:val="4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антитела к </w:t>
      </w:r>
      <w:r w:rsidRPr="00DB1FCB">
        <w:rPr>
          <w:rFonts w:ascii="Times New Roman" w:hAnsi="Times New Roman" w:cs="Times New Roman"/>
          <w:i/>
          <w:sz w:val="24"/>
          <w:szCs w:val="24"/>
        </w:rPr>
        <w:t>Candida</w:t>
      </w:r>
      <w:r w:rsidRPr="00DB1FCB">
        <w:rPr>
          <w:rFonts w:ascii="Times New Roman" w:hAnsi="Times New Roman" w:cs="Times New Roman"/>
          <w:sz w:val="24"/>
          <w:szCs w:val="24"/>
        </w:rPr>
        <w:t xml:space="preserve"> (антиманнан): ≥ 10 ME. </w:t>
      </w:r>
    </w:p>
    <w:p w:rsidR="00DB1FCB" w:rsidRPr="00DB1FCB" w:rsidRDefault="00DB1FCB" w:rsidP="00780185">
      <w:pPr>
        <w:numPr>
          <w:ilvl w:val="0"/>
          <w:numId w:val="4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к проведению исследования: </w:t>
      </w:r>
    </w:p>
    <w:p w:rsidR="00DB1FCB" w:rsidRPr="00DB1FCB" w:rsidRDefault="00DB1FCB" w:rsidP="00780185">
      <w:pPr>
        <w:numPr>
          <w:ilvl w:val="0"/>
          <w:numId w:val="4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 xml:space="preserve">множественные очаги в печени и/или селезенке (подозрение на гепатолиенальный кандидоз); </w:t>
      </w:r>
    </w:p>
    <w:p w:rsidR="00DB1FCB" w:rsidRPr="00DB1FCB" w:rsidRDefault="00DB1FCB" w:rsidP="00780185">
      <w:pPr>
        <w:numPr>
          <w:ilvl w:val="0"/>
          <w:numId w:val="4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предполагаемый инвазивный кандидоз.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Чувствительность и специфичность исследования составляют около 50—60%. Интерпретация результатов должна быть осторожной, поскольку высока частота ложноположительных результатов. У больных с колонизацией слизистых оболочек кандидами выявляются положительные результаты определения антиманнана.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 xml:space="preserve">Антиген </w:t>
      </w:r>
      <w:r w:rsidRPr="00DB1FCB">
        <w:rPr>
          <w:rFonts w:ascii="Times New Roman" w:hAnsi="Times New Roman" w:cs="Times New Roman"/>
          <w:b/>
          <w:i/>
          <w:sz w:val="24"/>
          <w:szCs w:val="24"/>
        </w:rPr>
        <w:t>Cryptococcus</w:t>
      </w:r>
      <w:r w:rsidRPr="00DB1FCB">
        <w:rPr>
          <w:rFonts w:ascii="Times New Roman" w:hAnsi="Times New Roman" w:cs="Times New Roman"/>
          <w:b/>
          <w:sz w:val="24"/>
          <w:szCs w:val="24"/>
        </w:rPr>
        <w:t xml:space="preserve"> (глюкуроноксиломаннан)</w:t>
      </w:r>
    </w:p>
    <w:p w:rsidR="00DB1FCB" w:rsidRPr="00DB1FCB" w:rsidRDefault="00DB1FCB" w:rsidP="00780185">
      <w:pPr>
        <w:numPr>
          <w:ilvl w:val="0"/>
          <w:numId w:val="4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Обнаружение антигена </w:t>
      </w:r>
      <w:r w:rsidRPr="00DB1FCB">
        <w:rPr>
          <w:rFonts w:ascii="Times New Roman" w:hAnsi="Times New Roman" w:cs="Times New Roman"/>
          <w:i/>
          <w:sz w:val="24"/>
          <w:szCs w:val="24"/>
        </w:rPr>
        <w:t>Cryptococcus</w:t>
      </w:r>
      <w:r w:rsidRPr="00DB1FCB">
        <w:rPr>
          <w:rFonts w:ascii="Times New Roman" w:hAnsi="Times New Roman" w:cs="Times New Roman"/>
          <w:sz w:val="24"/>
          <w:szCs w:val="24"/>
        </w:rPr>
        <w:t xml:space="preserve"> (глюкуроноксиломаннана) включено в критерии диагностики инвазивного криптоккоза. </w:t>
      </w:r>
    </w:p>
    <w:p w:rsidR="00DB1FCB" w:rsidRPr="00DB1FCB" w:rsidRDefault="00DB1FCB" w:rsidP="00780185">
      <w:pPr>
        <w:numPr>
          <w:ilvl w:val="0"/>
          <w:numId w:val="4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Образцы для исследования: </w:t>
      </w:r>
    </w:p>
    <w:p w:rsidR="00DB1FCB" w:rsidRPr="00DB1FCB" w:rsidRDefault="00DB1FCB" w:rsidP="00780185">
      <w:pPr>
        <w:numPr>
          <w:ilvl w:val="0"/>
          <w:numId w:val="5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кровь; </w:t>
      </w:r>
    </w:p>
    <w:p w:rsidR="00DB1FCB" w:rsidRPr="00DB1FCB" w:rsidRDefault="00DB1FCB" w:rsidP="00780185">
      <w:pPr>
        <w:numPr>
          <w:ilvl w:val="0"/>
          <w:numId w:val="5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жидкость БАЛ; </w:t>
      </w:r>
    </w:p>
    <w:p w:rsidR="00DB1FCB" w:rsidRPr="00DB1FCB" w:rsidRDefault="00DB1FCB" w:rsidP="00780185">
      <w:pPr>
        <w:numPr>
          <w:ilvl w:val="0"/>
          <w:numId w:val="5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СМЖ; </w:t>
      </w:r>
    </w:p>
    <w:p w:rsidR="00DB1FCB" w:rsidRPr="00DB1FCB" w:rsidRDefault="00DB1FCB" w:rsidP="00780185">
      <w:pPr>
        <w:numPr>
          <w:ilvl w:val="0"/>
          <w:numId w:val="5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моча. </w:t>
      </w:r>
    </w:p>
    <w:p w:rsidR="00DB1FCB" w:rsidRPr="00DB1FCB" w:rsidRDefault="00DB1FCB" w:rsidP="00780185">
      <w:pPr>
        <w:numPr>
          <w:ilvl w:val="0"/>
          <w:numId w:val="5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Высокой чувствительностью и специфичностью обладает латекс-тест (анализ качественный - положительный или отрицательный). </w:t>
      </w:r>
    </w:p>
    <w:p w:rsidR="00DB1FCB" w:rsidRPr="00DB1FCB" w:rsidRDefault="00DB1FCB" w:rsidP="00780185">
      <w:pPr>
        <w:numPr>
          <w:ilvl w:val="0"/>
          <w:numId w:val="5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к определению антигена </w:t>
      </w:r>
      <w:r w:rsidRPr="00DB1FCB">
        <w:rPr>
          <w:rFonts w:ascii="Times New Roman" w:hAnsi="Times New Roman" w:cs="Times New Roman"/>
          <w:i/>
          <w:sz w:val="24"/>
          <w:szCs w:val="24"/>
        </w:rPr>
        <w:t>Cryptococcus</w:t>
      </w:r>
      <w:r w:rsidRPr="00DB1FCB">
        <w:rPr>
          <w:rFonts w:ascii="Times New Roman" w:hAnsi="Times New Roman" w:cs="Times New Roman"/>
          <w:sz w:val="24"/>
          <w:szCs w:val="24"/>
        </w:rPr>
        <w:t xml:space="preserve"> (глюкуроноксиломаннан): </w:t>
      </w:r>
    </w:p>
    <w:p w:rsidR="00DB1FCB" w:rsidRPr="00DB1FCB" w:rsidRDefault="00DB1FCB" w:rsidP="00780185">
      <w:pPr>
        <w:numPr>
          <w:ilvl w:val="0"/>
          <w:numId w:val="5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всех первых образцов СМЖ при симптомах инфекции ЦНС у больных опухолями системы крови; </w:t>
      </w:r>
    </w:p>
    <w:p w:rsidR="00DB1FCB" w:rsidRPr="00DB1FCB" w:rsidRDefault="00DB1FCB" w:rsidP="00780185">
      <w:pPr>
        <w:numPr>
          <w:ilvl w:val="0"/>
          <w:numId w:val="5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второго образца спинномозговой жидкости при некупируемой инфекции ЦНС; </w:t>
      </w:r>
    </w:p>
    <w:p w:rsidR="00DB1FCB" w:rsidRPr="00DB1FCB" w:rsidRDefault="00DB1FCB" w:rsidP="00780185">
      <w:pPr>
        <w:numPr>
          <w:ilvl w:val="0"/>
          <w:numId w:val="5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антигена </w:t>
      </w:r>
      <w:r w:rsidRPr="00DB1FCB">
        <w:rPr>
          <w:rFonts w:ascii="Times New Roman" w:hAnsi="Times New Roman" w:cs="Times New Roman"/>
          <w:i/>
          <w:sz w:val="24"/>
          <w:szCs w:val="24"/>
        </w:rPr>
        <w:t>Cryptococcus</w:t>
      </w:r>
      <w:r w:rsidRPr="00DB1FCB">
        <w:rPr>
          <w:rFonts w:ascii="Times New Roman" w:hAnsi="Times New Roman" w:cs="Times New Roman"/>
          <w:sz w:val="24"/>
          <w:szCs w:val="24"/>
        </w:rPr>
        <w:t xml:space="preserve"> (глюкуроноксиломаннан) в крови в случае предполагаемой криптококковой инфекции.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Криптококкоз развивается, прежде всего, у больных с Т-клеточным иммунодефицитом (лимфома, хронический лимфолейкоз). Группу риска составляют больные, которые получают лечение глюкокортикоидами, флударабином, алемтузумабом, циклоспорином.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 xml:space="preserve">Исследование крови на антитела к </w:t>
      </w:r>
      <w:r w:rsidRPr="00DB1FCB">
        <w:rPr>
          <w:rFonts w:ascii="Times New Roman" w:hAnsi="Times New Roman" w:cs="Times New Roman"/>
          <w:b/>
          <w:i/>
          <w:sz w:val="24"/>
          <w:szCs w:val="24"/>
        </w:rPr>
        <w:t>Мycoplasma pneumoniae</w:t>
      </w:r>
      <w:r w:rsidRPr="00DB1FCB">
        <w:rPr>
          <w:rFonts w:ascii="Times New Roman" w:hAnsi="Times New Roman" w:cs="Times New Roman"/>
          <w:b/>
          <w:sz w:val="24"/>
          <w:szCs w:val="24"/>
        </w:rPr>
        <w:t xml:space="preserve"> (IgM, IgG), </w:t>
      </w:r>
      <w:r w:rsidRPr="00DB1FCB">
        <w:rPr>
          <w:rFonts w:ascii="Times New Roman" w:hAnsi="Times New Roman" w:cs="Times New Roman"/>
          <w:b/>
          <w:i/>
          <w:sz w:val="24"/>
          <w:szCs w:val="24"/>
        </w:rPr>
        <w:t>Chlamydia pneumoniae</w:t>
      </w:r>
      <w:r w:rsidRPr="00DB1FCB">
        <w:rPr>
          <w:rFonts w:ascii="Times New Roman" w:hAnsi="Times New Roman" w:cs="Times New Roman"/>
          <w:b/>
          <w:sz w:val="24"/>
          <w:szCs w:val="24"/>
        </w:rPr>
        <w:t xml:space="preserve"> (IgM, IgG) в крови</w:t>
      </w:r>
    </w:p>
    <w:p w:rsidR="00DB1FCB" w:rsidRPr="00DB1FCB" w:rsidRDefault="00DB1FCB" w:rsidP="00780185">
      <w:pPr>
        <w:numPr>
          <w:ilvl w:val="0"/>
          <w:numId w:val="5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Показания — пневмония. </w:t>
      </w:r>
    </w:p>
    <w:p w:rsid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При положительных результатах определения IgG и наличии лихорадки исследование повторяют через 10—14 дней. </w:t>
      </w:r>
    </w:p>
    <w:p w:rsidR="00674B7A" w:rsidRPr="00DB1FCB" w:rsidRDefault="00674B7A" w:rsidP="002E6BF7">
      <w:pPr>
        <w:tabs>
          <w:tab w:val="left" w:pos="0"/>
          <w:tab w:val="left" w:pos="567"/>
        </w:tabs>
        <w:spacing w:after="0" w:line="360" w:lineRule="auto"/>
        <w:jc w:val="both"/>
        <w:rPr>
          <w:rFonts w:ascii="Times New Roman" w:hAnsi="Times New Roman" w:cs="Times New Roman"/>
          <w:sz w:val="24"/>
          <w:szCs w:val="24"/>
        </w:rPr>
      </w:pP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lastRenderedPageBreak/>
        <w:t>МРТ головного мозга</w:t>
      </w:r>
    </w:p>
    <w:p w:rsidR="00DB1FCB" w:rsidRPr="00DB1FCB" w:rsidRDefault="00DB1FCB" w:rsidP="00780185">
      <w:pPr>
        <w:numPr>
          <w:ilvl w:val="0"/>
          <w:numId w:val="101"/>
        </w:numPr>
        <w:tabs>
          <w:tab w:val="left" w:pos="0"/>
          <w:tab w:val="left" w:pos="567"/>
        </w:tabs>
        <w:spacing w:after="0" w:line="360" w:lineRule="auto"/>
        <w:ind w:left="0" w:firstLine="0"/>
        <w:jc w:val="both"/>
        <w:rPr>
          <w:rFonts w:ascii="Times New Roman" w:hAnsi="Times New Roman" w:cs="Times New Roman"/>
          <w:b/>
          <w:sz w:val="24"/>
          <w:szCs w:val="24"/>
        </w:rPr>
      </w:pPr>
      <w:r w:rsidRPr="00DB1FCB">
        <w:rPr>
          <w:rFonts w:ascii="Times New Roman" w:hAnsi="Times New Roman" w:cs="Times New Roman"/>
          <w:sz w:val="24"/>
          <w:szCs w:val="24"/>
        </w:rPr>
        <w:t xml:space="preserve">Показания – появление неврологической симптоматики, симптомов менингита. Развитие на фоне фебрильной нейтропении мозговой симптоматики. </w:t>
      </w:r>
    </w:p>
    <w:p w:rsidR="00DB1FCB" w:rsidRPr="00DB1FCB" w:rsidRDefault="00DB1FCB" w:rsidP="00780185">
      <w:pPr>
        <w:numPr>
          <w:ilvl w:val="0"/>
          <w:numId w:val="101"/>
        </w:numPr>
        <w:tabs>
          <w:tab w:val="left" w:pos="0"/>
          <w:tab w:val="left" w:pos="567"/>
        </w:tabs>
        <w:spacing w:line="360" w:lineRule="auto"/>
        <w:ind w:left="0" w:firstLine="0"/>
        <w:jc w:val="both"/>
        <w:rPr>
          <w:rFonts w:ascii="Times New Roman" w:hAnsi="Times New Roman" w:cs="Times New Roman"/>
          <w:b/>
          <w:sz w:val="24"/>
          <w:szCs w:val="24"/>
        </w:rPr>
      </w:pPr>
      <w:r w:rsidRPr="00DB1FCB">
        <w:rPr>
          <w:rFonts w:ascii="Times New Roman" w:hAnsi="Times New Roman" w:cs="Times New Roman"/>
          <w:sz w:val="24"/>
          <w:szCs w:val="24"/>
        </w:rPr>
        <w:t xml:space="preserve">При выявлении очага (очагов) в веществе головного мозга необходимо выполнение люмбальной пункции с последующими цитологическим и микробиологическими исследованиями. </w:t>
      </w:r>
    </w:p>
    <w:p w:rsidR="00DB1FCB" w:rsidRPr="00DB1FCB" w:rsidRDefault="00DB1FCB" w:rsidP="007A7B76">
      <w:pPr>
        <w:tabs>
          <w:tab w:val="left" w:pos="0"/>
          <w:tab w:val="left" w:pos="567"/>
        </w:tabs>
        <w:spacing w:after="0" w:line="360" w:lineRule="auto"/>
        <w:jc w:val="center"/>
        <w:rPr>
          <w:rFonts w:ascii="Times New Roman" w:hAnsi="Times New Roman" w:cs="Times New Roman"/>
          <w:sz w:val="24"/>
          <w:szCs w:val="24"/>
        </w:rPr>
      </w:pPr>
      <w:r w:rsidRPr="00DB1FCB">
        <w:rPr>
          <w:rFonts w:ascii="Times New Roman" w:hAnsi="Times New Roman" w:cs="Times New Roman"/>
          <w:b/>
          <w:sz w:val="24"/>
          <w:szCs w:val="24"/>
        </w:rPr>
        <w:t>Ультразвуковое исследование или компьютерная томография органов брюшной полости</w:t>
      </w:r>
    </w:p>
    <w:p w:rsidR="00DB1FCB" w:rsidRPr="00DB1FCB" w:rsidRDefault="00DB1FCB" w:rsidP="00780185">
      <w:pPr>
        <w:numPr>
          <w:ilvl w:val="0"/>
          <w:numId w:val="5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 — сохраняющаяся лихорадка (колебания температуры в течение суток от 37 до 39°С) при восстановлении числа нейтрофилов (число гранулоцитов &gt; 0,5 × 10</w:t>
      </w:r>
      <w:r w:rsidRPr="00DB1FCB">
        <w:rPr>
          <w:rFonts w:ascii="Times New Roman" w:hAnsi="Times New Roman" w:cs="Times New Roman"/>
          <w:sz w:val="24"/>
          <w:szCs w:val="24"/>
          <w:vertAlign w:val="superscript"/>
        </w:rPr>
        <w:t>9</w:t>
      </w:r>
      <w:r w:rsidRPr="00DB1FCB">
        <w:rPr>
          <w:rFonts w:ascii="Times New Roman" w:hAnsi="Times New Roman" w:cs="Times New Roman"/>
          <w:sz w:val="24"/>
          <w:szCs w:val="24"/>
        </w:rPr>
        <w:t xml:space="preserve"> /л).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i/>
          <w:sz w:val="24"/>
          <w:szCs w:val="24"/>
        </w:rPr>
        <w:t>Примечание.</w:t>
      </w:r>
      <w:r w:rsidRPr="00DB1FCB">
        <w:rPr>
          <w:rFonts w:ascii="Times New Roman" w:hAnsi="Times New Roman" w:cs="Times New Roman"/>
          <w:sz w:val="24"/>
          <w:szCs w:val="24"/>
        </w:rPr>
        <w:t xml:space="preserve"> УЗИ и КТ при гепатолиенальном кандидозе не являются взаимоисключающими диагностическими процедурами. У части больных очаги в печени и/или селезенке могут быть обнаружены только при УЗИ, у других — только при КТ. Наибольшее диагностическое значение имеет МРТ печени и селезенки. </w:t>
      </w:r>
    </w:p>
    <w:p w:rsidR="00DB1FCB" w:rsidRPr="00DB1FCB" w:rsidRDefault="00DB1FCB" w:rsidP="00780185">
      <w:pPr>
        <w:numPr>
          <w:ilvl w:val="0"/>
          <w:numId w:val="5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 диагностике гепатолиенального кандидоза контрольное исследование проводят не ранее чем через 3—4 недели терапии системными противогрибковыми препаратами ввиду крайне медленной регрессии очагов.</w:t>
      </w:r>
    </w:p>
    <w:p w:rsidR="00DB1FCB" w:rsidRPr="00DB1FCB" w:rsidRDefault="00DB1FCB" w:rsidP="00780185">
      <w:pPr>
        <w:numPr>
          <w:ilvl w:val="0"/>
          <w:numId w:val="5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Оценивать состояние очагов (размеры, плотность) в печени и селезенке необходимо всегда при числе гранулоцитов &gt; 0,5 × 10</w:t>
      </w:r>
      <w:r w:rsidRPr="00A64221">
        <w:rPr>
          <w:rFonts w:ascii="Times New Roman" w:hAnsi="Times New Roman" w:cs="Times New Roman"/>
          <w:i/>
          <w:sz w:val="24"/>
          <w:szCs w:val="24"/>
          <w:vertAlign w:val="superscript"/>
        </w:rPr>
        <w:t>9</w:t>
      </w:r>
      <w:r w:rsidRPr="00DB1FCB">
        <w:rPr>
          <w:rFonts w:ascii="Times New Roman" w:hAnsi="Times New Roman" w:cs="Times New Roman"/>
          <w:sz w:val="24"/>
          <w:szCs w:val="24"/>
        </w:rPr>
        <w:t xml:space="preserve"> /л. Проведение исследования в период нейтропении дает ложную информацию о меньшем размере очагов.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Дополнительные исследования</w:t>
      </w:r>
    </w:p>
    <w:p w:rsidR="00DB1FCB" w:rsidRPr="007A7B76" w:rsidRDefault="00DB1FCB" w:rsidP="007A7B76">
      <w:pPr>
        <w:tabs>
          <w:tab w:val="left" w:pos="0"/>
          <w:tab w:val="left" w:pos="567"/>
        </w:tabs>
        <w:spacing w:after="0" w:line="360" w:lineRule="auto"/>
        <w:ind w:firstLine="567"/>
        <w:jc w:val="both"/>
        <w:rPr>
          <w:rFonts w:ascii="Times New Roman" w:hAnsi="Times New Roman" w:cs="Times New Roman"/>
          <w:sz w:val="24"/>
          <w:szCs w:val="24"/>
        </w:rPr>
      </w:pPr>
      <w:r w:rsidRPr="007A7B76">
        <w:rPr>
          <w:rFonts w:ascii="Times New Roman" w:hAnsi="Times New Roman" w:cs="Times New Roman"/>
          <w:sz w:val="24"/>
          <w:szCs w:val="24"/>
        </w:rPr>
        <w:t>В случае внезапно развившейся нейтропении или тромбоцитопении либо длительно существующей необъяснимой нейтропении или тромбоцитопении необходимо провести исследования на ЦМВ (определение ДНК ЦМВ в крови), особенно у больных лифопролиферативными заболеваниями, а также у пациентов, длительно принимавших глюкокортикоиды.</w:t>
      </w:r>
    </w:p>
    <w:p w:rsidR="00DB1FCB" w:rsidRPr="007A7B76" w:rsidRDefault="00DB1FCB" w:rsidP="007A7B76">
      <w:pPr>
        <w:tabs>
          <w:tab w:val="left" w:pos="0"/>
          <w:tab w:val="left" w:pos="567"/>
        </w:tabs>
        <w:spacing w:after="0" w:line="360" w:lineRule="auto"/>
        <w:ind w:firstLine="567"/>
        <w:jc w:val="both"/>
        <w:rPr>
          <w:rFonts w:ascii="Times New Roman" w:hAnsi="Times New Roman" w:cs="Times New Roman"/>
          <w:sz w:val="24"/>
          <w:szCs w:val="24"/>
        </w:rPr>
      </w:pPr>
      <w:r w:rsidRPr="007A7B76">
        <w:rPr>
          <w:rFonts w:ascii="Times New Roman" w:hAnsi="Times New Roman" w:cs="Times New Roman"/>
          <w:sz w:val="24"/>
          <w:szCs w:val="24"/>
        </w:rPr>
        <w:t xml:space="preserve">При тяжелой инфекции, особенно при бактериемии, может изменяться содержание С-реактивного белка, интерлейкинов (ИЛ-6, ИЛ-8) и прокальцитонина. Однако повышение этих маркеров происходит не всегда, особенно при вирусной или грибковой инфекции. Обнаружение биологически активных соединений в крови или повышение их уровня не является основанием для назначения антимикробных препаратов или изменения терапии инфекционных осложнений при стабильной клинической ситуации в период нейтропении. Не следует определять прокальцитонин и другие маркеры в первые часы повышения температуры, так как в любом случае при фебрильной нейтропении будет </w:t>
      </w:r>
      <w:r w:rsidRPr="007A7B76">
        <w:rPr>
          <w:rFonts w:ascii="Times New Roman" w:hAnsi="Times New Roman" w:cs="Times New Roman"/>
          <w:sz w:val="24"/>
          <w:szCs w:val="24"/>
        </w:rPr>
        <w:lastRenderedPageBreak/>
        <w:t xml:space="preserve">назначен антибиотик, и значения прокальцитонина не влияют на выбор антимикробного препарата. </w:t>
      </w:r>
    </w:p>
    <w:p w:rsidR="00DB1FCB" w:rsidRPr="007A7B76" w:rsidRDefault="00DB1FCB" w:rsidP="00780185">
      <w:pPr>
        <w:pStyle w:val="a3"/>
        <w:numPr>
          <w:ilvl w:val="2"/>
          <w:numId w:val="128"/>
        </w:numPr>
        <w:tabs>
          <w:tab w:val="left" w:pos="0"/>
          <w:tab w:val="left" w:pos="567"/>
        </w:tabs>
        <w:spacing w:after="0" w:line="360" w:lineRule="auto"/>
        <w:jc w:val="center"/>
        <w:rPr>
          <w:rFonts w:ascii="Times New Roman" w:hAnsi="Times New Roman" w:cs="Times New Roman"/>
          <w:b/>
          <w:sz w:val="24"/>
          <w:szCs w:val="24"/>
        </w:rPr>
      </w:pPr>
      <w:r w:rsidRPr="007A7B76">
        <w:rPr>
          <w:rFonts w:ascii="Times New Roman" w:hAnsi="Times New Roman" w:cs="Times New Roman"/>
          <w:b/>
          <w:sz w:val="24"/>
          <w:szCs w:val="24"/>
        </w:rPr>
        <w:t>Порядок назначения антимикробной терапии</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Показания к назначению антибиотиков первого этапа</w:t>
      </w:r>
    </w:p>
    <w:p w:rsidR="00DB1FCB" w:rsidRPr="00DB1FCB" w:rsidRDefault="00DB1FCB" w:rsidP="00780185">
      <w:pPr>
        <w:numPr>
          <w:ilvl w:val="0"/>
          <w:numId w:val="5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Повышение температуры ≥ 38,0°С (измерение в подмышечных впадинах), сохраняющееся в течение 2 часов и не связанное с введением пирогенных препаратов (например, компонентов крови, факторов роста и др.) </w:t>
      </w:r>
      <w:r w:rsidRPr="00DB1FCB">
        <w:rPr>
          <w:rFonts w:ascii="Times New Roman" w:hAnsi="Times New Roman" w:cs="Times New Roman"/>
          <w:i/>
          <w:sz w:val="24"/>
          <w:szCs w:val="24"/>
        </w:rPr>
        <w:t>и/или</w:t>
      </w:r>
    </w:p>
    <w:p w:rsidR="00DB1FCB" w:rsidRPr="00674B7A" w:rsidRDefault="00DB1FCB" w:rsidP="00780185">
      <w:pPr>
        <w:numPr>
          <w:ilvl w:val="0"/>
          <w:numId w:val="5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Наличие очага инфекции (например, пневмония, парапроктит и др.). </w:t>
      </w:r>
      <w:r w:rsidRPr="00674B7A">
        <w:rPr>
          <w:rFonts w:ascii="Times New Roman" w:hAnsi="Times New Roman" w:cs="Times New Roman"/>
          <w:sz w:val="24"/>
          <w:szCs w:val="24"/>
        </w:rPr>
        <w:t>При наличии очага инфекции уровень лихорадки не является определяющим для назначения антибиотиков.</w:t>
      </w:r>
    </w:p>
    <w:p w:rsidR="00DB1FCB" w:rsidRPr="00674B7A" w:rsidRDefault="00DB1FCB" w:rsidP="002E6BF7">
      <w:pPr>
        <w:tabs>
          <w:tab w:val="left" w:pos="0"/>
          <w:tab w:val="left" w:pos="567"/>
        </w:tabs>
        <w:spacing w:after="0" w:line="360" w:lineRule="auto"/>
        <w:jc w:val="both"/>
        <w:rPr>
          <w:rFonts w:ascii="Times New Roman" w:hAnsi="Times New Roman" w:cs="Times New Roman"/>
          <w:sz w:val="24"/>
          <w:szCs w:val="24"/>
        </w:rPr>
      </w:pPr>
      <w:r w:rsidRPr="00674B7A">
        <w:rPr>
          <w:rFonts w:ascii="Times New Roman" w:hAnsi="Times New Roman" w:cs="Times New Roman"/>
          <w:i/>
          <w:sz w:val="24"/>
          <w:szCs w:val="24"/>
        </w:rPr>
        <w:t>Примечание.</w:t>
      </w:r>
      <w:r w:rsidRPr="00674B7A">
        <w:rPr>
          <w:rFonts w:ascii="Times New Roman" w:hAnsi="Times New Roman" w:cs="Times New Roman"/>
          <w:sz w:val="24"/>
          <w:szCs w:val="24"/>
        </w:rPr>
        <w:t xml:space="preserve"> Сама по себе нейтропения (даже при числе нейтрофилов ≤ 0,1 × 10</w:t>
      </w:r>
      <w:r w:rsidRPr="00674B7A">
        <w:rPr>
          <w:rFonts w:ascii="Times New Roman" w:hAnsi="Times New Roman" w:cs="Times New Roman"/>
          <w:sz w:val="24"/>
          <w:szCs w:val="24"/>
          <w:vertAlign w:val="superscript"/>
        </w:rPr>
        <w:t>9</w:t>
      </w:r>
      <w:r w:rsidRPr="00674B7A">
        <w:rPr>
          <w:rFonts w:ascii="Times New Roman" w:hAnsi="Times New Roman" w:cs="Times New Roman"/>
          <w:sz w:val="24"/>
          <w:szCs w:val="24"/>
        </w:rPr>
        <w:t>/л) без лихорадки и очага инфекции не является показанием к назначению антибактериальных препаратов.</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Основные принципы эмпирической терапии при лихорадке периода нейтропении</w:t>
      </w:r>
    </w:p>
    <w:p w:rsidR="00DB1FCB" w:rsidRPr="00DB1FCB" w:rsidRDefault="00DB1FCB" w:rsidP="00780185">
      <w:pPr>
        <w:numPr>
          <w:ilvl w:val="0"/>
          <w:numId w:val="6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Немедленное назначение антибиотиков при лихорадке или очагах инфекции, не дожидаясь результатов бактериологического исследования.</w:t>
      </w:r>
    </w:p>
    <w:p w:rsidR="00DB1FCB" w:rsidRPr="00DB1FCB" w:rsidRDefault="00DB1FCB" w:rsidP="00780185">
      <w:pPr>
        <w:numPr>
          <w:ilvl w:val="0"/>
          <w:numId w:val="6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Применение на первом этапе антимикробных препаратов, проявляющих активность в отношении грамотрицательных бактерий, включая синегнойную палочку.</w:t>
      </w:r>
    </w:p>
    <w:p w:rsidR="00DB1FCB" w:rsidRPr="00DB1FCB" w:rsidRDefault="00DB1FCB" w:rsidP="00780185">
      <w:pPr>
        <w:numPr>
          <w:ilvl w:val="0"/>
          <w:numId w:val="6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Назначение на первом этапе наиболее активных антибиотиков (при выборе антибиотиков опираются на результаты последнего ретроспективного анализа).</w:t>
      </w:r>
    </w:p>
    <w:p w:rsidR="00DB1FCB" w:rsidRPr="00DB1FCB" w:rsidRDefault="00DB1FCB" w:rsidP="00780185">
      <w:pPr>
        <w:numPr>
          <w:ilvl w:val="0"/>
          <w:numId w:val="6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Введение антимикробных препаратов только внутривенно.</w:t>
      </w:r>
    </w:p>
    <w:p w:rsidR="00DB1FCB" w:rsidRPr="00DB1FCB" w:rsidRDefault="00DB1FCB" w:rsidP="00780185">
      <w:pPr>
        <w:numPr>
          <w:ilvl w:val="0"/>
          <w:numId w:val="6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Модификация, при необходимости, антимикробной терапии согласно результатам микробиологического исследования.</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 xml:space="preserve">Для стартовой терапии фебрильной нейтропении назначают один антибиотик (монотерапия): </w:t>
      </w:r>
    </w:p>
    <w:p w:rsidR="00DB1FCB" w:rsidRPr="00DB1FCB" w:rsidRDefault="00DB1FCB" w:rsidP="00780185">
      <w:pPr>
        <w:numPr>
          <w:ilvl w:val="0"/>
          <w:numId w:val="6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Цефоперазон/сульбактам </w:t>
      </w:r>
    </w:p>
    <w:p w:rsidR="00DB1FCB" w:rsidRPr="00DB1FCB" w:rsidRDefault="00DB1FCB" w:rsidP="00780185">
      <w:pPr>
        <w:numPr>
          <w:ilvl w:val="0"/>
          <w:numId w:val="6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Дозирование: по 4 г 2 раза в сутки. </w:t>
      </w:r>
    </w:p>
    <w:p w:rsidR="00DB1FCB" w:rsidRPr="00DB1FCB" w:rsidRDefault="00DB1FCB" w:rsidP="00780185">
      <w:pPr>
        <w:numPr>
          <w:ilvl w:val="0"/>
          <w:numId w:val="6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Пиперациллин/тазобактам </w:t>
      </w:r>
    </w:p>
    <w:p w:rsidR="00DB1FCB" w:rsidRPr="00DB1FCB" w:rsidRDefault="00DB1FCB" w:rsidP="00780185">
      <w:pPr>
        <w:numPr>
          <w:ilvl w:val="0"/>
          <w:numId w:val="6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Дозирование: по 4,5 г 3 раза в сутки. </w:t>
      </w:r>
    </w:p>
    <w:p w:rsidR="00DB1FCB" w:rsidRPr="00DB1FCB" w:rsidRDefault="00DB1FCB" w:rsidP="00780185">
      <w:pPr>
        <w:numPr>
          <w:ilvl w:val="0"/>
          <w:numId w:val="6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Цефепим </w:t>
      </w:r>
    </w:p>
    <w:p w:rsidR="00DB1FCB" w:rsidRPr="00DB1FCB" w:rsidRDefault="00DB1FCB" w:rsidP="00780185">
      <w:pPr>
        <w:numPr>
          <w:ilvl w:val="0"/>
          <w:numId w:val="6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Дозирование: по 2 г 2 раза в сутки. </w:t>
      </w:r>
    </w:p>
    <w:p w:rsidR="00DB1FCB" w:rsidRPr="00DB1FCB" w:rsidRDefault="00DB1FCB" w:rsidP="00780185">
      <w:pPr>
        <w:numPr>
          <w:ilvl w:val="0"/>
          <w:numId w:val="6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Цефтазидим </w:t>
      </w:r>
    </w:p>
    <w:p w:rsidR="00DB1FCB" w:rsidRPr="00DB1FCB" w:rsidRDefault="00DB1FCB" w:rsidP="00780185">
      <w:pPr>
        <w:numPr>
          <w:ilvl w:val="0"/>
          <w:numId w:val="6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Дозирование: по 2 г 3 раза в сутки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lastRenderedPageBreak/>
        <w:t>При развитии септического шока на первом этапе эмпирической терапии рекомендовано карбапенемов:</w:t>
      </w:r>
    </w:p>
    <w:p w:rsidR="00DB1FCB" w:rsidRPr="00DB1FCB" w:rsidRDefault="00DB1FCB" w:rsidP="00780185">
      <w:pPr>
        <w:numPr>
          <w:ilvl w:val="0"/>
          <w:numId w:val="6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Имипенем/циластатин</w:t>
      </w:r>
    </w:p>
    <w:p w:rsidR="00DB1FCB" w:rsidRPr="00DB1FCB" w:rsidRDefault="00DB1FCB" w:rsidP="00780185">
      <w:pPr>
        <w:numPr>
          <w:ilvl w:val="0"/>
          <w:numId w:val="6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Дозировка: по 0,5 г 4 раза в сутки.</w:t>
      </w:r>
    </w:p>
    <w:p w:rsidR="00DB1FCB" w:rsidRPr="00DB1FCB" w:rsidRDefault="00DB1FCB" w:rsidP="00780185">
      <w:pPr>
        <w:numPr>
          <w:ilvl w:val="0"/>
          <w:numId w:val="6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Меропенем</w:t>
      </w:r>
    </w:p>
    <w:p w:rsidR="00DB1FCB" w:rsidRPr="00DB1FCB" w:rsidRDefault="00DB1FCB" w:rsidP="00780185">
      <w:pPr>
        <w:numPr>
          <w:ilvl w:val="0"/>
          <w:numId w:val="6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Дозировка: по 1 г 3 раза в сутки.</w:t>
      </w:r>
    </w:p>
    <w:p w:rsidR="00DB1FCB" w:rsidRPr="00DB1FCB" w:rsidRDefault="00DB1FCB" w:rsidP="00780185">
      <w:pPr>
        <w:numPr>
          <w:ilvl w:val="0"/>
          <w:numId w:val="6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Дорипенем</w:t>
      </w:r>
    </w:p>
    <w:p w:rsidR="00DB1FCB" w:rsidRPr="00DB1FCB" w:rsidRDefault="00DB1FCB" w:rsidP="00780185">
      <w:pPr>
        <w:numPr>
          <w:ilvl w:val="0"/>
          <w:numId w:val="6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Дозировка: по 0,5 г 3 раза в сутки.</w:t>
      </w:r>
    </w:p>
    <w:p w:rsidR="00DB1FCB" w:rsidRPr="00DB1FCB" w:rsidRDefault="00DB1FCB" w:rsidP="00674B7A">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Оценка эффективности и модификация антимикробной терапии</w:t>
      </w:r>
    </w:p>
    <w:p w:rsidR="00DB1FCB" w:rsidRPr="00DB1FCB" w:rsidRDefault="00DB1FCB" w:rsidP="007A7B76">
      <w:pPr>
        <w:tabs>
          <w:tab w:val="left" w:pos="0"/>
          <w:tab w:val="left" w:pos="567"/>
        </w:tabs>
        <w:spacing w:after="0" w:line="360" w:lineRule="auto"/>
        <w:ind w:firstLine="567"/>
        <w:jc w:val="both"/>
        <w:rPr>
          <w:rFonts w:ascii="Times New Roman" w:hAnsi="Times New Roman" w:cs="Times New Roman"/>
          <w:sz w:val="24"/>
          <w:szCs w:val="24"/>
        </w:rPr>
      </w:pPr>
      <w:r w:rsidRPr="00DB1FCB">
        <w:rPr>
          <w:rFonts w:ascii="Times New Roman" w:hAnsi="Times New Roman" w:cs="Times New Roman"/>
          <w:sz w:val="24"/>
          <w:szCs w:val="24"/>
        </w:rPr>
        <w:t xml:space="preserve">Следует помнить, что антибиотики не являются антипиретиками, и нормализация температуры на другой день после их назначения происходит крайне редко. Более того, при тяжелой инфекции температура становится нормальной лишь на 4—5-й день антибактериальной терапии. В то же время ожидание нормализации температуры в течение первых 4—5 дней антимикробной терапии не должно быть пассивным. У всех больных с лихорадкой во время нейтропении необходимо провести диагностические исследования в соответствии с алгоритмом обследования представленным ранее.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Модификация антимикробной терапии на 4—5-й день</w:t>
      </w:r>
    </w:p>
    <w:p w:rsidR="00DB1FCB" w:rsidRPr="00DB1FCB" w:rsidRDefault="00DB1FCB" w:rsidP="00780185">
      <w:pPr>
        <w:numPr>
          <w:ilvl w:val="0"/>
          <w:numId w:val="6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6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Стабильное соматическое состояние больного.</w:t>
      </w:r>
    </w:p>
    <w:p w:rsidR="00DB1FCB" w:rsidRPr="00DB1FCB" w:rsidRDefault="00DB1FCB" w:rsidP="00780185">
      <w:pPr>
        <w:numPr>
          <w:ilvl w:val="0"/>
          <w:numId w:val="6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Отрицательные результаты диагностических исследований.</w:t>
      </w:r>
    </w:p>
    <w:p w:rsidR="00DB1FCB" w:rsidRPr="00DB1FCB" w:rsidRDefault="00DB1FCB" w:rsidP="00780185">
      <w:pPr>
        <w:numPr>
          <w:ilvl w:val="0"/>
          <w:numId w:val="6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Отсутствие новых симптомов инфекции после назначения антибиотиков.</w:t>
      </w:r>
    </w:p>
    <w:p w:rsidR="00DB1FCB" w:rsidRPr="00DB1FCB" w:rsidRDefault="00DB1FCB" w:rsidP="00780185">
      <w:pPr>
        <w:numPr>
          <w:ilvl w:val="0"/>
          <w:numId w:val="7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Возможные причины длительной лихорадки (более 4 суток):</w:t>
      </w:r>
    </w:p>
    <w:p w:rsidR="00DB1FCB" w:rsidRPr="00DB1FCB" w:rsidRDefault="00DB1FCB" w:rsidP="00780185">
      <w:pPr>
        <w:numPr>
          <w:ilvl w:val="0"/>
          <w:numId w:val="7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Не обнаружен очаг инфекции.</w:t>
      </w:r>
    </w:p>
    <w:p w:rsidR="00DB1FCB" w:rsidRPr="00DB1FCB" w:rsidRDefault="00DB1FCB" w:rsidP="00780185">
      <w:pPr>
        <w:numPr>
          <w:ilvl w:val="0"/>
          <w:numId w:val="7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Наличие инфекции, вызванной другими возбудителями (не бактериями).</w:t>
      </w:r>
    </w:p>
    <w:p w:rsidR="00DB1FCB" w:rsidRPr="00DB1FCB" w:rsidRDefault="00DB1FCB" w:rsidP="00780185">
      <w:pPr>
        <w:numPr>
          <w:ilvl w:val="0"/>
          <w:numId w:val="7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Бактериальная инфекция, вызванная резистентными микроорганизмами.</w:t>
      </w:r>
    </w:p>
    <w:p w:rsidR="00DB1FCB" w:rsidRPr="00DB1FCB" w:rsidRDefault="00DB1FCB" w:rsidP="00780185">
      <w:pPr>
        <w:numPr>
          <w:ilvl w:val="0"/>
          <w:numId w:val="7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Присоединение вторичной инфекции.</w:t>
      </w:r>
    </w:p>
    <w:p w:rsidR="00DB1FCB" w:rsidRPr="00DB1FCB" w:rsidRDefault="00DB1FCB" w:rsidP="00780185">
      <w:pPr>
        <w:numPr>
          <w:ilvl w:val="0"/>
          <w:numId w:val="7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Лекарственная лихорадка.</w:t>
      </w:r>
    </w:p>
    <w:p w:rsidR="00DB1FCB" w:rsidRPr="00DB1FCB" w:rsidRDefault="00DB1FCB" w:rsidP="00780185">
      <w:pPr>
        <w:numPr>
          <w:ilvl w:val="0"/>
          <w:numId w:val="7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Недостаточная пенетрация антибиотиков в очаг поражения (например, при абсцессе).</w:t>
      </w:r>
    </w:p>
    <w:p w:rsidR="00DB1FCB" w:rsidRPr="00DB1FCB" w:rsidRDefault="00DB1FCB" w:rsidP="00780185">
      <w:pPr>
        <w:numPr>
          <w:ilvl w:val="0"/>
          <w:numId w:val="7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 лихорадке неясного генеза длительностью более 4 суток повторяют диагностические исследования. Обязательным в этот период является проведение КТ легких.</w:t>
      </w:r>
    </w:p>
    <w:p w:rsidR="00DB1FCB" w:rsidRPr="00DB1FCB" w:rsidRDefault="00DB1FCB" w:rsidP="00780185">
      <w:pPr>
        <w:numPr>
          <w:ilvl w:val="0"/>
          <w:numId w:val="7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Варианты модификации антимикробной терапии на 4-5 день фебрильной нейтропении (микробиологические исследование отрицательные, пневмонии по данным КТ нет, состояние стабильное):</w:t>
      </w:r>
    </w:p>
    <w:p w:rsidR="00DB1FCB" w:rsidRPr="00DB1FCB" w:rsidRDefault="00DB1FCB" w:rsidP="00780185">
      <w:pPr>
        <w:numPr>
          <w:ilvl w:val="0"/>
          <w:numId w:val="7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Отменяют антибиотики первого этапа и назначают карбапенем (меропенем или имипенем/циластатин), если в течение всех 4—5 дней не было снижения температуры и имеется колонизация слизистой оболочки кишечника энтеробактериями с продукцией БЛРС. </w:t>
      </w:r>
    </w:p>
    <w:p w:rsidR="00DB1FCB" w:rsidRPr="00DB1FCB" w:rsidRDefault="00DB1FCB" w:rsidP="00780185">
      <w:pPr>
        <w:numPr>
          <w:ilvl w:val="0"/>
          <w:numId w:val="7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Добавляют ванкомицин, линезолид, тедизолид или даптомицин к антибиотикам первого этапа при симптомах мукозита </w:t>
      </w:r>
      <w:r w:rsidRPr="00DB1FCB">
        <w:rPr>
          <w:rFonts w:ascii="Times New Roman" w:hAnsi="Times New Roman" w:cs="Times New Roman"/>
          <w:sz w:val="24"/>
          <w:szCs w:val="24"/>
          <w:lang w:val="en-US"/>
        </w:rPr>
        <w:t>III</w:t>
      </w:r>
      <w:r w:rsidRPr="00DB1FCB">
        <w:rPr>
          <w:rFonts w:ascii="Times New Roman" w:hAnsi="Times New Roman" w:cs="Times New Roman"/>
          <w:sz w:val="24"/>
          <w:szCs w:val="24"/>
        </w:rPr>
        <w:t>-</w:t>
      </w:r>
      <w:r w:rsidRPr="00DB1FCB">
        <w:rPr>
          <w:rFonts w:ascii="Times New Roman" w:hAnsi="Times New Roman" w:cs="Times New Roman"/>
          <w:sz w:val="24"/>
          <w:szCs w:val="24"/>
          <w:lang w:val="en-US"/>
        </w:rPr>
        <w:t>IV</w:t>
      </w:r>
      <w:r w:rsidRPr="00DB1FCB">
        <w:rPr>
          <w:rFonts w:ascii="Times New Roman" w:hAnsi="Times New Roman" w:cs="Times New Roman"/>
          <w:sz w:val="24"/>
          <w:szCs w:val="24"/>
        </w:rPr>
        <w:t xml:space="preserve"> степени. </w:t>
      </w:r>
    </w:p>
    <w:p w:rsidR="00DB1FCB" w:rsidRPr="00DB1FCB" w:rsidRDefault="00DB1FCB" w:rsidP="00780185">
      <w:pPr>
        <w:numPr>
          <w:ilvl w:val="0"/>
          <w:numId w:val="7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Ванкомицин: по 1 г 2 раза в сутки.</w:t>
      </w:r>
    </w:p>
    <w:p w:rsidR="00DB1FCB" w:rsidRPr="00DB1FCB" w:rsidRDefault="00DB1FCB" w:rsidP="00780185">
      <w:pPr>
        <w:numPr>
          <w:ilvl w:val="0"/>
          <w:numId w:val="7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Тедизолид: по 0,2 г 1 раз в сутки.</w:t>
      </w:r>
    </w:p>
    <w:p w:rsidR="00DB1FCB" w:rsidRPr="00DB1FCB" w:rsidRDefault="00DB1FCB" w:rsidP="00780185">
      <w:pPr>
        <w:numPr>
          <w:ilvl w:val="0"/>
          <w:numId w:val="7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Даптомицин: по 8-10 мг/кг 1 раз в сутки.</w:t>
      </w:r>
    </w:p>
    <w:p w:rsidR="00DB1FCB" w:rsidRPr="00DB1FCB" w:rsidRDefault="00DB1FCB" w:rsidP="00780185">
      <w:pPr>
        <w:numPr>
          <w:ilvl w:val="0"/>
          <w:numId w:val="7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Добавляют каспофунгин (или микафунгин) к антибиотикам первого этапа, если наблюдалось снижение температуры до нормальных значений (исключить назначение анальгина и других жаропонижающих средств), а затем (на следующий день или через день) — вновь повышение до прежних высоких значений.</w:t>
      </w:r>
    </w:p>
    <w:p w:rsidR="00DB1FCB" w:rsidRPr="00DB1FCB" w:rsidRDefault="00DB1FCB" w:rsidP="00780185">
      <w:pPr>
        <w:numPr>
          <w:ilvl w:val="0"/>
          <w:numId w:val="7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Каспофунгин: в первый день 70 мг, далее по 50 мг 1 раз в сутки.</w:t>
      </w:r>
    </w:p>
    <w:p w:rsidR="00DB1FCB" w:rsidRPr="00DB1FCB" w:rsidRDefault="00DB1FCB" w:rsidP="00780185">
      <w:pPr>
        <w:numPr>
          <w:ilvl w:val="0"/>
          <w:numId w:val="7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Добавляют флуконазол при наличии орофарингиального кандидоза.</w:t>
      </w:r>
    </w:p>
    <w:p w:rsidR="00DB1FCB" w:rsidRPr="00DB1FCB" w:rsidRDefault="00DB1FCB" w:rsidP="00780185">
      <w:pPr>
        <w:numPr>
          <w:ilvl w:val="0"/>
          <w:numId w:val="7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Флуконазол: по 400 мг 1 раз в сутки.</w:t>
      </w:r>
    </w:p>
    <w:p w:rsidR="00DB1FCB" w:rsidRPr="00DB1FCB" w:rsidRDefault="00DB1FCB" w:rsidP="00780185">
      <w:pPr>
        <w:numPr>
          <w:ilvl w:val="0"/>
          <w:numId w:val="7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Добавляют каспофунгин (или микафунгин) больным с персистирующей фебрильной нейтропенией и выделением </w:t>
      </w:r>
      <w:r w:rsidRPr="00DB1FCB">
        <w:rPr>
          <w:rFonts w:ascii="Times New Roman" w:hAnsi="Times New Roman" w:cs="Times New Roman"/>
          <w:i/>
          <w:sz w:val="24"/>
          <w:szCs w:val="24"/>
        </w:rPr>
        <w:t>Candida spp.</w:t>
      </w:r>
      <w:r w:rsidRPr="00DB1FCB">
        <w:rPr>
          <w:rFonts w:ascii="Times New Roman" w:hAnsi="Times New Roman" w:cs="Times New Roman"/>
          <w:sz w:val="24"/>
          <w:szCs w:val="24"/>
        </w:rPr>
        <w:t xml:space="preserve"> со слизистой оболочки ротоглотки и кишечника или из мочи. </w:t>
      </w:r>
    </w:p>
    <w:p w:rsidR="00DB1FCB" w:rsidRPr="00DB1FCB" w:rsidRDefault="00DB1FCB" w:rsidP="00780185">
      <w:pPr>
        <w:numPr>
          <w:ilvl w:val="0"/>
          <w:numId w:val="7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Добавляют вориконазол при пневмонии, резистентной к лечению антибиотиками, больным с гранулоцитопенией длительностью более 10 дней или получающим глюкокортикоиды, если не выявлены другие потенциальные возбудители пневмонии.</w:t>
      </w:r>
    </w:p>
    <w:p w:rsidR="00DB1FCB" w:rsidRPr="00DB1FCB" w:rsidRDefault="00DB1FCB" w:rsidP="00780185">
      <w:pPr>
        <w:numPr>
          <w:ilvl w:val="0"/>
          <w:numId w:val="7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Вориконазол: в первый день 6 мг/кг 2 раза в сутки, далее по 3 мг/кг 2 раза в сутки</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Модификация антимикробной терапии в более ранние сроки</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Модификацию антимикробной терапии в более ранние сроки (2—3-й день эмпирической антимикробной терапии) проводят на основании клинических и/или микробиологических данных.</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Артериальная гипотония, клиника септического шока</w:t>
      </w:r>
    </w:p>
    <w:p w:rsidR="00DB1FCB" w:rsidRDefault="00DB1FCB" w:rsidP="00780185">
      <w:pPr>
        <w:numPr>
          <w:ilvl w:val="0"/>
          <w:numId w:val="7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Вместо цефалоспорина назначают карбапенем — меропенем, имипенем/циластатин или дорипенем.</w:t>
      </w:r>
    </w:p>
    <w:p w:rsidR="00674B7A" w:rsidRPr="00DB1FCB" w:rsidRDefault="00674B7A" w:rsidP="00674B7A">
      <w:pPr>
        <w:tabs>
          <w:tab w:val="left" w:pos="0"/>
          <w:tab w:val="left" w:pos="567"/>
        </w:tabs>
        <w:spacing w:after="0" w:line="360" w:lineRule="auto"/>
        <w:jc w:val="both"/>
        <w:rPr>
          <w:rFonts w:ascii="Times New Roman" w:hAnsi="Times New Roman" w:cs="Times New Roman"/>
          <w:sz w:val="24"/>
          <w:szCs w:val="24"/>
        </w:rPr>
      </w:pP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lastRenderedPageBreak/>
        <w:t>Развитие пневмонии в течение первых 2—3 дней фебрильной нейтропении</w:t>
      </w:r>
    </w:p>
    <w:p w:rsidR="00DB1FCB" w:rsidRPr="00DB1FCB" w:rsidRDefault="00DB1FCB" w:rsidP="00780185">
      <w:pPr>
        <w:numPr>
          <w:ilvl w:val="0"/>
          <w:numId w:val="7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 стабильной ситуации проводят БАЛ и дальнейшую модификацию антимикробной терапии осуществляют в соответствии с результатами микробиологического исследования.</w:t>
      </w:r>
    </w:p>
    <w:p w:rsidR="00DB1FCB" w:rsidRPr="00DB1FCB" w:rsidRDefault="00DB1FCB" w:rsidP="00780185">
      <w:pPr>
        <w:numPr>
          <w:ilvl w:val="0"/>
          <w:numId w:val="7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 нестабильном соматическом состоянии или невозможности выполнения БАЛ назначают карбапенем (меропенем, имипенем/циластатин илиьдорипенем) и отменяют антибиотики первого этапа.</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Появление септикопиемических очагов на коже</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Вместо цефалоспорина назначают карбапенем — меропенем, имипенем/циластатин или дорипенем.</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При выделении из крови грамотрицательных микробов (микроскопия)</w:t>
      </w:r>
    </w:p>
    <w:p w:rsidR="00DB1FCB" w:rsidRPr="00DB1FCB" w:rsidRDefault="00DB1FCB" w:rsidP="00780185">
      <w:pPr>
        <w:numPr>
          <w:ilvl w:val="0"/>
          <w:numId w:val="7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Оставляют прежние антибиотики при стабильном соматическом состоянии (нет ухудшения) до идентификации бактерий и определения их антибиотикочувствительности.</w:t>
      </w:r>
    </w:p>
    <w:p w:rsidR="00DB1FCB" w:rsidRPr="00DB1FCB" w:rsidRDefault="00DB1FCB" w:rsidP="00780185">
      <w:pPr>
        <w:numPr>
          <w:ilvl w:val="0"/>
          <w:numId w:val="7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Проводят замену на карбапенем (меропенем или имипенем/циластатин) при ухудшении клинического состояния (например, повышение температуры, появление ознобов, развитие пневмонии и др.).</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При выделении из крови грамположительных бактерий (микроскопия)</w:t>
      </w:r>
    </w:p>
    <w:p w:rsidR="00DB1FCB" w:rsidRPr="00DB1FCB" w:rsidRDefault="00DB1FCB" w:rsidP="00780185">
      <w:pPr>
        <w:numPr>
          <w:ilvl w:val="0"/>
          <w:numId w:val="8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Добавляют даптомицин (в дозе 10 мг/кг 1 раз в сутки) или ванкомицин при сепсисе, появлении септикопиемических отсевов на коже, ухудшении соматического состояния пациента, повторном выделении грамположительных бактерий из крови. Препаратом выбора в лечении инфекций кровотока, вызванных грамположительными бактериями, является даптомицин.</w:t>
      </w:r>
    </w:p>
    <w:p w:rsidR="00DB1FCB" w:rsidRPr="00DB1FCB" w:rsidRDefault="00DB1FCB" w:rsidP="00780185">
      <w:pPr>
        <w:numPr>
          <w:ilvl w:val="0"/>
          <w:numId w:val="8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Добавляют линезолид (по 600 мг 2 раза в сутки), если у больного выделены из гемокультуры стрептококки группы </w:t>
      </w:r>
      <w:r w:rsidRPr="00DB1FCB">
        <w:rPr>
          <w:rFonts w:ascii="Times New Roman" w:hAnsi="Times New Roman" w:cs="Times New Roman"/>
          <w:i/>
          <w:sz w:val="24"/>
          <w:szCs w:val="24"/>
        </w:rPr>
        <w:t xml:space="preserve">viridans </w:t>
      </w:r>
      <w:r w:rsidRPr="00DB1FCB">
        <w:rPr>
          <w:rFonts w:ascii="Times New Roman" w:hAnsi="Times New Roman" w:cs="Times New Roman"/>
          <w:sz w:val="24"/>
          <w:szCs w:val="24"/>
        </w:rPr>
        <w:t xml:space="preserve">и присоединилась пневмония. </w:t>
      </w:r>
    </w:p>
    <w:p w:rsidR="00DB1FCB" w:rsidRPr="00DB1FCB" w:rsidRDefault="00DB1FCB" w:rsidP="00780185">
      <w:pPr>
        <w:numPr>
          <w:ilvl w:val="0"/>
          <w:numId w:val="8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Оставляют антимикробную терапию прежней до получения результатов микробиологического исследования (идентификация вида возбудителя, определение его чувствительности к антибиотикам) при стабильном соматическом состоянии больного (температура прежняя).</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 xml:space="preserve">Инфекция, вызванная энтеробактериями с продукцией БЛРС </w:t>
      </w:r>
    </w:p>
    <w:p w:rsidR="00DB1FCB" w:rsidRPr="00DB1FCB" w:rsidRDefault="00DB1FCB" w:rsidP="00780185">
      <w:pPr>
        <w:numPr>
          <w:ilvl w:val="0"/>
          <w:numId w:val="8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Препарата выбора – карбапенем (меропенем, имипенем/циластатин или дорипенем).</w:t>
      </w:r>
    </w:p>
    <w:p w:rsidR="00DB1FCB" w:rsidRPr="00DB1FCB" w:rsidRDefault="00DB1FCB" w:rsidP="00780185">
      <w:pPr>
        <w:numPr>
          <w:ilvl w:val="0"/>
          <w:numId w:val="8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При неэффективности (появление септикопиемических очагов на коже или пневмонии или повышение температуры с ознобом) используют продленную инфузию или добавляют амикацин.</w:t>
      </w:r>
    </w:p>
    <w:p w:rsidR="00DB1FCB" w:rsidRPr="00DB1FCB" w:rsidRDefault="00DB1FCB" w:rsidP="00780185">
      <w:pPr>
        <w:numPr>
          <w:ilvl w:val="0"/>
          <w:numId w:val="8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Меропенем по 2 г 3 раза в сутки, введение каждой дозы в течение 3 часов. </w:t>
      </w:r>
    </w:p>
    <w:p w:rsidR="00DB1FCB" w:rsidRPr="00DB1FCB" w:rsidRDefault="00DB1FCB" w:rsidP="00780185">
      <w:pPr>
        <w:numPr>
          <w:ilvl w:val="0"/>
          <w:numId w:val="8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Амикацин: по 15 мг/кг 1 раз в сутки.</w:t>
      </w:r>
    </w:p>
    <w:p w:rsidR="00DB1FCB" w:rsidRPr="00DB1FCB" w:rsidRDefault="00DB1FCB" w:rsidP="00780185">
      <w:pPr>
        <w:numPr>
          <w:ilvl w:val="0"/>
          <w:numId w:val="8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Больным вне нейтропении, особенно при инфекции мочевыводящих путей, допустимо назначить эртапенем (в дозе 1 г 1 раз в сутки). </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Инфекция, вызванная энтеробактериями с продукцией карбапенемаз</w:t>
      </w:r>
    </w:p>
    <w:p w:rsidR="00DB1FCB" w:rsidRPr="00DB1FCB" w:rsidRDefault="00DB1FCB" w:rsidP="00780185">
      <w:pPr>
        <w:numPr>
          <w:ilvl w:val="0"/>
          <w:numId w:val="8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Характеризируются тяжелым течением, отсутствием эффективных препаратов, использованием комбинаций антибактериальных препаратов, высокой летальностью. </w:t>
      </w:r>
    </w:p>
    <w:p w:rsidR="00DB1FCB" w:rsidRPr="00DB1FCB" w:rsidRDefault="00DB1FCB" w:rsidP="00780185">
      <w:pPr>
        <w:numPr>
          <w:ilvl w:val="0"/>
          <w:numId w:val="8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Используемые антимикробные препараты:</w:t>
      </w:r>
    </w:p>
    <w:p w:rsidR="00DB1FCB" w:rsidRPr="00DB1FCB" w:rsidRDefault="00DB1FCB" w:rsidP="00780185">
      <w:pPr>
        <w:numPr>
          <w:ilvl w:val="0"/>
          <w:numId w:val="8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Меропенем (продленная инфузия). </w:t>
      </w:r>
    </w:p>
    <w:p w:rsidR="00DB1FCB" w:rsidRPr="00DB1FCB" w:rsidRDefault="00DB1FCB" w:rsidP="00780185">
      <w:pPr>
        <w:numPr>
          <w:ilvl w:val="0"/>
          <w:numId w:val="8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Гентамицин по 5-7 мг/кг 1 раз в сутки или 1,5-2 мг/кг каждые 8 часов, при этом 1-ая доза составляет 2-3 мг/кг. Не применяют в монотерапии.</w:t>
      </w:r>
    </w:p>
    <w:p w:rsidR="00DB1FCB" w:rsidRPr="00DB1FCB" w:rsidRDefault="00DB1FCB" w:rsidP="00780185">
      <w:pPr>
        <w:numPr>
          <w:ilvl w:val="0"/>
          <w:numId w:val="8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Амикацин. Не применяют в монотерапии. </w:t>
      </w:r>
    </w:p>
    <w:p w:rsidR="00DB1FCB" w:rsidRPr="00DB1FCB" w:rsidRDefault="00DB1FCB" w:rsidP="00780185">
      <w:pPr>
        <w:numPr>
          <w:ilvl w:val="0"/>
          <w:numId w:val="8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Колистин  1-ый день 9 млн ЕД 1 раз в сутки, далее по 4,5 млн ЕД каждые 12 часов. </w:t>
      </w:r>
    </w:p>
    <w:p w:rsidR="00DB1FCB" w:rsidRPr="00DB1FCB" w:rsidRDefault="00DB1FCB" w:rsidP="00780185">
      <w:pPr>
        <w:numPr>
          <w:ilvl w:val="0"/>
          <w:numId w:val="8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Фосфомицин по 3 г 3 раза в сутки. </w:t>
      </w:r>
    </w:p>
    <w:p w:rsidR="00DB1FCB" w:rsidRPr="00DB1FCB" w:rsidRDefault="00DB1FCB" w:rsidP="00780185">
      <w:pPr>
        <w:numPr>
          <w:ilvl w:val="0"/>
          <w:numId w:val="8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Тигециклин: 1-ая доза 200 мг, далее по 100 мг, каждые 12 часов. </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Мукозит (слизистая оболочка рта отечная, рыхлая)</w:t>
      </w:r>
    </w:p>
    <w:p w:rsidR="00DB1FCB" w:rsidRPr="00DB1FCB" w:rsidRDefault="00DB1FCB" w:rsidP="00780185">
      <w:pPr>
        <w:numPr>
          <w:ilvl w:val="0"/>
          <w:numId w:val="8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Добавляют ванкомицин, даптомицин, линезолид или тедизолид при мукозите </w:t>
      </w:r>
      <w:r w:rsidRPr="00DB1FCB">
        <w:rPr>
          <w:rFonts w:ascii="Times New Roman" w:hAnsi="Times New Roman" w:cs="Times New Roman"/>
          <w:sz w:val="24"/>
          <w:szCs w:val="24"/>
          <w:lang w:val="en-US"/>
        </w:rPr>
        <w:t>III</w:t>
      </w:r>
      <w:r w:rsidRPr="00DB1FCB">
        <w:rPr>
          <w:rFonts w:ascii="Times New Roman" w:hAnsi="Times New Roman" w:cs="Times New Roman"/>
          <w:sz w:val="24"/>
          <w:szCs w:val="24"/>
        </w:rPr>
        <w:t>-</w:t>
      </w:r>
      <w:r w:rsidRPr="00DB1FCB">
        <w:rPr>
          <w:rFonts w:ascii="Times New Roman" w:hAnsi="Times New Roman" w:cs="Times New Roman"/>
          <w:sz w:val="24"/>
          <w:szCs w:val="24"/>
          <w:lang w:val="en-US"/>
        </w:rPr>
        <w:t>IV</w:t>
      </w:r>
      <w:r w:rsidRPr="00DB1FCB">
        <w:rPr>
          <w:rFonts w:ascii="Times New Roman" w:hAnsi="Times New Roman" w:cs="Times New Roman"/>
          <w:sz w:val="24"/>
          <w:szCs w:val="24"/>
        </w:rPr>
        <w:t xml:space="preserve"> степени, если выделены только грамположительные бактерии (высокая вероятность развития сепсиса, обусловленного стрептококками группы </w:t>
      </w:r>
      <w:r w:rsidRPr="00DB1FCB">
        <w:rPr>
          <w:rFonts w:ascii="Times New Roman" w:hAnsi="Times New Roman" w:cs="Times New Roman"/>
          <w:i/>
          <w:sz w:val="24"/>
          <w:szCs w:val="24"/>
        </w:rPr>
        <w:t>viridans</w:t>
      </w:r>
      <w:r w:rsidRPr="00DB1FCB">
        <w:rPr>
          <w:rFonts w:ascii="Times New Roman" w:hAnsi="Times New Roman" w:cs="Times New Roman"/>
          <w:sz w:val="24"/>
          <w:szCs w:val="24"/>
        </w:rPr>
        <w:t>). Проводят исследования на вирусы (определение ДНК герпесвирусов).</w:t>
      </w:r>
    </w:p>
    <w:p w:rsidR="00DB1FCB" w:rsidRPr="00DB1FCB" w:rsidRDefault="00DB1FCB" w:rsidP="00780185">
      <w:pPr>
        <w:numPr>
          <w:ilvl w:val="0"/>
          <w:numId w:val="8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Добавляют флуконазол, если со слизистой оболочки выделены </w:t>
      </w:r>
      <w:r w:rsidRPr="00DB1FCB">
        <w:rPr>
          <w:rFonts w:ascii="Times New Roman" w:hAnsi="Times New Roman" w:cs="Times New Roman"/>
          <w:i/>
          <w:sz w:val="24"/>
          <w:szCs w:val="24"/>
        </w:rPr>
        <w:t>Candida spp</w:t>
      </w:r>
      <w:r w:rsidRPr="00DB1FCB">
        <w:rPr>
          <w:rFonts w:ascii="Times New Roman" w:hAnsi="Times New Roman" w:cs="Times New Roman"/>
          <w:sz w:val="24"/>
          <w:szCs w:val="24"/>
        </w:rPr>
        <w:t xml:space="preserve">.; в отсутствие эффекта дополнительно назначают в/в ванкомицин, или даптомицин, или линезолид, или тедизолид при мукозите </w:t>
      </w:r>
      <w:r w:rsidRPr="00DB1FCB">
        <w:rPr>
          <w:rFonts w:ascii="Times New Roman" w:hAnsi="Times New Roman" w:cs="Times New Roman"/>
          <w:sz w:val="24"/>
          <w:szCs w:val="24"/>
          <w:lang w:val="en-US"/>
        </w:rPr>
        <w:t>III</w:t>
      </w:r>
      <w:r w:rsidRPr="00DB1FCB">
        <w:rPr>
          <w:rFonts w:ascii="Times New Roman" w:hAnsi="Times New Roman" w:cs="Times New Roman"/>
          <w:sz w:val="24"/>
          <w:szCs w:val="24"/>
        </w:rPr>
        <w:t>-</w:t>
      </w:r>
      <w:r w:rsidRPr="00DB1FCB">
        <w:rPr>
          <w:rFonts w:ascii="Times New Roman" w:hAnsi="Times New Roman" w:cs="Times New Roman"/>
          <w:sz w:val="24"/>
          <w:szCs w:val="24"/>
          <w:lang w:val="en-US"/>
        </w:rPr>
        <w:t>IV</w:t>
      </w:r>
      <w:r w:rsidRPr="00DB1FCB">
        <w:rPr>
          <w:rFonts w:ascii="Times New Roman" w:hAnsi="Times New Roman" w:cs="Times New Roman"/>
          <w:sz w:val="24"/>
          <w:szCs w:val="24"/>
        </w:rPr>
        <w:t xml:space="preserve"> степени и проводят вирусологическое исследование (определение ДНК герпесвирусов). </w:t>
      </w:r>
    </w:p>
    <w:p w:rsidR="00DB1FCB" w:rsidRPr="00DB1FCB" w:rsidRDefault="00DB1FCB" w:rsidP="00780185">
      <w:pPr>
        <w:numPr>
          <w:ilvl w:val="0"/>
          <w:numId w:val="8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Добавляют ципрофлоксацин (по 0,5 г 2 раза в сутки) при выделении со слизистой оболочки рта </w:t>
      </w:r>
      <w:r w:rsidRPr="00DB1FCB">
        <w:rPr>
          <w:rFonts w:ascii="Times New Roman" w:hAnsi="Times New Roman" w:cs="Times New Roman"/>
          <w:i/>
          <w:sz w:val="24"/>
          <w:szCs w:val="24"/>
        </w:rPr>
        <w:t>Pseudomonas aeruginosa</w:t>
      </w:r>
      <w:r w:rsidRPr="00DB1FCB">
        <w:rPr>
          <w:rFonts w:ascii="Times New Roman" w:hAnsi="Times New Roman" w:cs="Times New Roman"/>
          <w:sz w:val="24"/>
          <w:szCs w:val="24"/>
        </w:rPr>
        <w:t>, если состояние пациента стабильное. При тяжелом состоянии проводят замену антибиотиков согласно результатам определения чувствительности возбудителя (препараты вводят внутривенно).</w:t>
      </w:r>
    </w:p>
    <w:p w:rsidR="00DB1FCB" w:rsidRPr="00DB1FCB" w:rsidRDefault="00DB1FCB" w:rsidP="00780185">
      <w:pPr>
        <w:numPr>
          <w:ilvl w:val="0"/>
          <w:numId w:val="8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Модификация антимикробной терапии при выделении других грамотрицательных бактерий (энтеробактерий, продуцирующих БЛРС, </w:t>
      </w:r>
      <w:r w:rsidRPr="00DB1FCB">
        <w:rPr>
          <w:rFonts w:ascii="Times New Roman" w:hAnsi="Times New Roman" w:cs="Times New Roman"/>
          <w:i/>
          <w:sz w:val="24"/>
          <w:szCs w:val="24"/>
          <w:lang w:val="en-US"/>
        </w:rPr>
        <w:t>Acinetobacter</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baumannii</w:t>
      </w:r>
      <w:r w:rsidRPr="00DB1FCB">
        <w:rPr>
          <w:rFonts w:ascii="Times New Roman" w:hAnsi="Times New Roman" w:cs="Times New Roman"/>
          <w:sz w:val="24"/>
          <w:szCs w:val="24"/>
        </w:rPr>
        <w:t xml:space="preserve">, </w:t>
      </w:r>
      <w:r w:rsidRPr="00DB1FCB">
        <w:rPr>
          <w:rFonts w:ascii="Times New Roman" w:hAnsi="Times New Roman" w:cs="Times New Roman"/>
          <w:i/>
          <w:sz w:val="24"/>
          <w:szCs w:val="24"/>
          <w:lang w:val="en-US"/>
        </w:rPr>
        <w:t>Stenotrophomonas</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maltophilia</w:t>
      </w:r>
      <w:r w:rsidRPr="00DB1FCB">
        <w:rPr>
          <w:rFonts w:ascii="Times New Roman" w:hAnsi="Times New Roman" w:cs="Times New Roman"/>
          <w:sz w:val="24"/>
          <w:szCs w:val="24"/>
        </w:rPr>
        <w:t>) в соответствии с результатами определения чувствительности к антибиотикам.</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Парапроктит</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Схемы антимикробной терапии должны включать препараты с активностью против грамотрицательных и анаэробных бактерий.</w:t>
      </w:r>
    </w:p>
    <w:p w:rsidR="00DB1FCB" w:rsidRPr="00DB1FCB" w:rsidRDefault="00DB1FCB" w:rsidP="00780185">
      <w:pPr>
        <w:numPr>
          <w:ilvl w:val="0"/>
          <w:numId w:val="8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Если назначен цефоперазон/сульбактам, то к нему добавляют амикацин.</w:t>
      </w:r>
    </w:p>
    <w:p w:rsidR="00DB1FCB" w:rsidRPr="00DB1FCB" w:rsidRDefault="00DB1FCB" w:rsidP="00780185">
      <w:pPr>
        <w:numPr>
          <w:ilvl w:val="0"/>
          <w:numId w:val="8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Если назначен цефепим, то к нему добавляют амикацин и метронидазол.</w:t>
      </w:r>
    </w:p>
    <w:p w:rsidR="00DB1FCB" w:rsidRPr="00DB1FCB" w:rsidRDefault="00DB1FCB" w:rsidP="00780185">
      <w:pPr>
        <w:numPr>
          <w:ilvl w:val="0"/>
          <w:numId w:val="8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Метронидазол: по 500 мг 3 раза в сутки.</w:t>
      </w:r>
    </w:p>
    <w:p w:rsidR="00DB1FCB" w:rsidRPr="00DB1FCB" w:rsidRDefault="00DB1FCB" w:rsidP="00780185">
      <w:pPr>
        <w:numPr>
          <w:ilvl w:val="0"/>
          <w:numId w:val="8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 отсутствие эффекта проводят коррекцию терапии согласно результатам микробиологического исследования (посев мазка со слизистой прямой кишки). Если это невозможно сделать, то добавляют ванкомицин или телаванцин (по 10 мг/кг 1 раз в сутки), затем флуконазол. Если инфекционный процесс усугубляется, то проводят замену ванкомицина на линезолид или тедизолид. </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Пневмония, которая появилась или прогрессирует (новые очаги) на фоне лечения антибиотиками широкого спектра при нейтропении длительностью более 10 дней или приема глюкокортикоидов</w:t>
      </w:r>
    </w:p>
    <w:p w:rsidR="00DB1FCB" w:rsidRPr="00DB1FCB" w:rsidRDefault="00DB1FCB" w:rsidP="00780185">
      <w:pPr>
        <w:numPr>
          <w:ilvl w:val="0"/>
          <w:numId w:val="8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Вориконазол (высокая вероятность инвазивного аспергиллеза) внутривенно, в первый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w:t>
      </w:r>
    </w:p>
    <w:p w:rsidR="00DB1FCB" w:rsidRPr="00DB1FCB" w:rsidRDefault="00DB1FCB" w:rsidP="00780185">
      <w:pPr>
        <w:numPr>
          <w:ilvl w:val="0"/>
          <w:numId w:val="8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Не следует назначать флуконазол пациентам с клиническими симптомами синусита или инфекцией нижних дыхательных путей. </w:t>
      </w:r>
    </w:p>
    <w:p w:rsidR="00DB1FCB" w:rsidRPr="00DB1FCB" w:rsidRDefault="00DB1FCB" w:rsidP="002E6BF7">
      <w:pPr>
        <w:tabs>
          <w:tab w:val="left" w:pos="0"/>
          <w:tab w:val="left" w:pos="567"/>
        </w:tabs>
        <w:spacing w:after="0" w:line="360" w:lineRule="auto"/>
        <w:jc w:val="both"/>
        <w:rPr>
          <w:rFonts w:ascii="Times New Roman" w:hAnsi="Times New Roman" w:cs="Times New Roman"/>
          <w:b/>
          <w:i/>
          <w:sz w:val="24"/>
          <w:szCs w:val="24"/>
        </w:rPr>
      </w:pPr>
      <w:r w:rsidRPr="00DB1FCB">
        <w:rPr>
          <w:rFonts w:ascii="Times New Roman" w:hAnsi="Times New Roman" w:cs="Times New Roman"/>
          <w:b/>
          <w:sz w:val="24"/>
          <w:szCs w:val="24"/>
        </w:rPr>
        <w:t xml:space="preserve">Инфекция, вызванная </w:t>
      </w:r>
      <w:r w:rsidRPr="00DB1FCB">
        <w:rPr>
          <w:rFonts w:ascii="Times New Roman" w:hAnsi="Times New Roman" w:cs="Times New Roman"/>
          <w:b/>
          <w:i/>
          <w:sz w:val="24"/>
          <w:szCs w:val="24"/>
          <w:lang w:val="en-US"/>
        </w:rPr>
        <w:t>Clostridium</w:t>
      </w:r>
      <w:r w:rsidRPr="00DB1FCB">
        <w:rPr>
          <w:rFonts w:ascii="Times New Roman" w:hAnsi="Times New Roman" w:cs="Times New Roman"/>
          <w:b/>
          <w:i/>
          <w:sz w:val="24"/>
          <w:szCs w:val="24"/>
        </w:rPr>
        <w:t xml:space="preserve"> </w:t>
      </w:r>
      <w:r w:rsidRPr="00DB1FCB">
        <w:rPr>
          <w:rFonts w:ascii="Times New Roman" w:hAnsi="Times New Roman" w:cs="Times New Roman"/>
          <w:b/>
          <w:i/>
          <w:sz w:val="24"/>
          <w:szCs w:val="24"/>
          <w:lang w:val="en-US"/>
        </w:rPr>
        <w:t>difficile</w:t>
      </w:r>
    </w:p>
    <w:p w:rsidR="00DB1FCB" w:rsidRPr="00DB1FCB" w:rsidRDefault="00DB1FCB" w:rsidP="00780185">
      <w:pPr>
        <w:numPr>
          <w:ilvl w:val="0"/>
          <w:numId w:val="92"/>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Вначале инфекционный процесс, вызванный </w:t>
      </w:r>
      <w:r w:rsidRPr="00DB1FCB">
        <w:rPr>
          <w:rFonts w:ascii="Times New Roman" w:hAnsi="Times New Roman" w:cs="Times New Roman"/>
          <w:i/>
          <w:sz w:val="24"/>
          <w:szCs w:val="24"/>
          <w:lang w:val="en-US"/>
        </w:rPr>
        <w:t>C</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difficile</w:t>
      </w:r>
      <w:r w:rsidRPr="00DB1FCB">
        <w:rPr>
          <w:rFonts w:ascii="Times New Roman" w:hAnsi="Times New Roman" w:cs="Times New Roman"/>
          <w:sz w:val="24"/>
          <w:szCs w:val="24"/>
        </w:rPr>
        <w:t>, ограничен толстой кишкой. Клинические проявления:</w:t>
      </w:r>
    </w:p>
    <w:p w:rsidR="00DB1FCB" w:rsidRPr="00DB1FCB" w:rsidRDefault="00DB1FCB" w:rsidP="00780185">
      <w:pPr>
        <w:numPr>
          <w:ilvl w:val="0"/>
          <w:numId w:val="9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Диарея, ассоциированная с </w:t>
      </w:r>
      <w:r w:rsidRPr="00DB1FCB">
        <w:rPr>
          <w:rFonts w:ascii="Times New Roman" w:hAnsi="Times New Roman" w:cs="Times New Roman"/>
          <w:i/>
          <w:sz w:val="24"/>
          <w:szCs w:val="24"/>
          <w:lang w:val="en-US"/>
        </w:rPr>
        <w:t>C</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difficile</w:t>
      </w:r>
      <w:r w:rsidRPr="00DB1FCB">
        <w:rPr>
          <w:rFonts w:ascii="Times New Roman" w:hAnsi="Times New Roman" w:cs="Times New Roman"/>
          <w:i/>
          <w:sz w:val="24"/>
          <w:szCs w:val="24"/>
        </w:rPr>
        <w:t xml:space="preserve"> </w:t>
      </w:r>
      <w:r w:rsidRPr="00DB1FCB">
        <w:rPr>
          <w:rFonts w:ascii="Times New Roman" w:hAnsi="Times New Roman" w:cs="Times New Roman"/>
          <w:sz w:val="24"/>
          <w:szCs w:val="24"/>
        </w:rPr>
        <w:t xml:space="preserve">(наличие диареи+ положительный токсин </w:t>
      </w:r>
      <w:r w:rsidRPr="00DB1FCB">
        <w:rPr>
          <w:rFonts w:ascii="Times New Roman" w:hAnsi="Times New Roman" w:cs="Times New Roman"/>
          <w:i/>
          <w:sz w:val="24"/>
          <w:szCs w:val="24"/>
          <w:lang w:val="en-US"/>
        </w:rPr>
        <w:t>C</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difficile</w:t>
      </w:r>
      <w:r w:rsidRPr="00DB1FCB">
        <w:rPr>
          <w:rFonts w:ascii="Times New Roman" w:hAnsi="Times New Roman" w:cs="Times New Roman"/>
          <w:sz w:val="24"/>
          <w:szCs w:val="24"/>
        </w:rPr>
        <w:t xml:space="preserve"> в кале).</w:t>
      </w:r>
    </w:p>
    <w:p w:rsidR="00DB1FCB" w:rsidRPr="00DB1FCB" w:rsidRDefault="00DB1FCB" w:rsidP="00780185">
      <w:pPr>
        <w:numPr>
          <w:ilvl w:val="0"/>
          <w:numId w:val="9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Псевдомембранозный колит (диагностика во время эндоскопии).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Исследуют только жидкий кал на наличие А и В токсинов </w:t>
      </w:r>
      <w:r w:rsidRPr="00DB1FCB">
        <w:rPr>
          <w:rFonts w:ascii="Times New Roman" w:hAnsi="Times New Roman" w:cs="Times New Roman"/>
          <w:i/>
          <w:sz w:val="24"/>
          <w:szCs w:val="24"/>
          <w:lang w:val="en-US"/>
        </w:rPr>
        <w:t>C</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difficile</w:t>
      </w:r>
      <w:r w:rsidRPr="00DB1FCB">
        <w:rPr>
          <w:rFonts w:ascii="Times New Roman" w:hAnsi="Times New Roman" w:cs="Times New Roman"/>
          <w:sz w:val="24"/>
          <w:szCs w:val="24"/>
        </w:rPr>
        <w:t xml:space="preserve"> и, желательно, бинарного токсина. Образцы кала для исследования на токсин направляют в течение 18 часов от появления диареи.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Не проводят повторное определение А и В токсинов с целью контроля над лечением. Критерий излечения – ликвидация симптомов. Допустимо только в случаях персистенции инфекции после 7 дней лечения.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Препарат выбора при нетяжелом течении инфекции (диарея, температура, боли в животе) – метронидазол.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Препарат выбора при тяжелом течении инфекции (повышение уровня креатинина на 50% и более от исходного значения, снижение уровня альбумина) – ванкомицин по 125 мг 4 раза в сутки перорально.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 xml:space="preserve">При рефрактерном течении инфекции используют комбинацию метронидазола с ванкомицином.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Метронидазол по 500 мг 3 раза в сутки + ванкомицин по 500 мг 4 раза в сутки через оро- или назогастральный зонд. </w:t>
      </w:r>
    </w:p>
    <w:p w:rsidR="00DB1FCB" w:rsidRPr="00DB1FCB" w:rsidRDefault="00DB1FCB" w:rsidP="00780185">
      <w:pPr>
        <w:numPr>
          <w:ilvl w:val="0"/>
          <w:numId w:val="93"/>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Длительность лечения составляет 10-14 дней и, помимо назначения антибиотиков, включает отмену или сокращение числа используемых антибиотиков широкого спектра действия, ингибиторов протонной помпы.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Критерии прекращения антимикробной терапии</w:t>
      </w:r>
    </w:p>
    <w:p w:rsidR="007A7B76" w:rsidRDefault="00DB1FCB" w:rsidP="007A7B76">
      <w:pPr>
        <w:tabs>
          <w:tab w:val="left" w:pos="0"/>
          <w:tab w:val="left" w:pos="567"/>
        </w:tabs>
        <w:spacing w:after="0" w:line="360" w:lineRule="auto"/>
        <w:ind w:firstLine="567"/>
        <w:jc w:val="both"/>
        <w:rPr>
          <w:rFonts w:ascii="Times New Roman" w:hAnsi="Times New Roman" w:cs="Times New Roman"/>
          <w:sz w:val="24"/>
          <w:szCs w:val="24"/>
        </w:rPr>
      </w:pPr>
      <w:r w:rsidRPr="00DB1FCB">
        <w:rPr>
          <w:rFonts w:ascii="Times New Roman" w:hAnsi="Times New Roman" w:cs="Times New Roman"/>
          <w:sz w:val="24"/>
          <w:szCs w:val="24"/>
        </w:rPr>
        <w:t xml:space="preserve">Длительность применения антимикробных препаратов зависит от характера инфекционного процесса. Факт наличия гранулоцитопении, независимо от степени ее проявления, не влияет на период применения антибиотиков. </w:t>
      </w:r>
    </w:p>
    <w:p w:rsidR="00DB1FCB" w:rsidRPr="00DB1FCB" w:rsidRDefault="00DB1FCB" w:rsidP="007A7B76">
      <w:pPr>
        <w:tabs>
          <w:tab w:val="left" w:pos="0"/>
          <w:tab w:val="left" w:pos="567"/>
        </w:tabs>
        <w:spacing w:after="0" w:line="360" w:lineRule="auto"/>
        <w:ind w:firstLine="567"/>
        <w:jc w:val="both"/>
        <w:rPr>
          <w:rFonts w:ascii="Times New Roman" w:hAnsi="Times New Roman" w:cs="Times New Roman"/>
          <w:sz w:val="24"/>
          <w:szCs w:val="24"/>
        </w:rPr>
      </w:pPr>
      <w:r w:rsidRPr="007A7B76">
        <w:rPr>
          <w:rFonts w:ascii="Times New Roman" w:hAnsi="Times New Roman" w:cs="Times New Roman"/>
          <w:sz w:val="24"/>
          <w:szCs w:val="24"/>
        </w:rPr>
        <w:t>При лихорадке неясной этиологии</w:t>
      </w:r>
      <w:r w:rsidRPr="00DB1FCB">
        <w:rPr>
          <w:rFonts w:ascii="Times New Roman" w:hAnsi="Times New Roman" w:cs="Times New Roman"/>
          <w:sz w:val="24"/>
          <w:szCs w:val="24"/>
        </w:rPr>
        <w:t xml:space="preserve"> в период гранулоцитопении антибиотики можно отменить через 72 часа, если у больного </w:t>
      </w:r>
    </w:p>
    <w:p w:rsidR="00DB1FCB" w:rsidRPr="00DB1FCB" w:rsidRDefault="00DB1FCB" w:rsidP="00780185">
      <w:pPr>
        <w:numPr>
          <w:ilvl w:val="0"/>
          <w:numId w:val="9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не было эпизода нестабильной гемодинамики в данный эпизод инфекции и</w:t>
      </w:r>
    </w:p>
    <w:p w:rsidR="00DB1FCB" w:rsidRPr="00DB1FCB" w:rsidRDefault="00DB1FCB" w:rsidP="00780185">
      <w:pPr>
        <w:numPr>
          <w:ilvl w:val="0"/>
          <w:numId w:val="9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нормальная температура отмечается в течение 48 ч. </w:t>
      </w:r>
    </w:p>
    <w:p w:rsidR="00DB1FCB" w:rsidRPr="00DB1FCB" w:rsidRDefault="00DB1FCB" w:rsidP="002E6BF7">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При клинически и микробиологически доказанной инфекции длительность применения антибиотиков должна составлять не менее 7 дней при условии, что:</w:t>
      </w:r>
    </w:p>
    <w:p w:rsidR="00DB1FCB" w:rsidRPr="00DB1FCB" w:rsidRDefault="00DB1FCB" w:rsidP="00780185">
      <w:pPr>
        <w:numPr>
          <w:ilvl w:val="0"/>
          <w:numId w:val="9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нормальная температура наблюдается не менее 4 дней;</w:t>
      </w:r>
    </w:p>
    <w:p w:rsidR="00DB1FCB" w:rsidRPr="00DB1FCB" w:rsidRDefault="00DB1FCB" w:rsidP="00780185">
      <w:pPr>
        <w:numPr>
          <w:ilvl w:val="0"/>
          <w:numId w:val="9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очаги инфекции полностью регрессировали;</w:t>
      </w:r>
    </w:p>
    <w:p w:rsidR="00DB1FCB" w:rsidRPr="00DB1FCB" w:rsidRDefault="00DB1FCB" w:rsidP="00780185">
      <w:pPr>
        <w:numPr>
          <w:ilvl w:val="0"/>
          <w:numId w:val="91"/>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достигнута (или предполагается) микробиологическая эрадикация возбудителя подтвержденной инфекции. </w:t>
      </w:r>
    </w:p>
    <w:p w:rsidR="007A7B76" w:rsidRDefault="00DB1FCB" w:rsidP="007A7B76">
      <w:pPr>
        <w:tabs>
          <w:tab w:val="left" w:pos="0"/>
          <w:tab w:val="left" w:pos="567"/>
        </w:tabs>
        <w:spacing w:after="0" w:line="360" w:lineRule="auto"/>
        <w:jc w:val="both"/>
        <w:rPr>
          <w:rFonts w:ascii="Times New Roman" w:hAnsi="Times New Roman" w:cs="Times New Roman"/>
          <w:sz w:val="24"/>
          <w:szCs w:val="24"/>
        </w:rPr>
      </w:pPr>
      <w:r w:rsidRPr="00DB1FCB">
        <w:rPr>
          <w:rFonts w:ascii="Times New Roman" w:hAnsi="Times New Roman" w:cs="Times New Roman"/>
          <w:sz w:val="24"/>
          <w:szCs w:val="24"/>
        </w:rPr>
        <w:t>После отмены антибиотиков у больного с гранулоцитопенией необходимо наблюдение за ним в течение последующих 24-48 ч, и в случае появления температуры следуе</w:t>
      </w:r>
      <w:r w:rsidR="007A7B76">
        <w:rPr>
          <w:rFonts w:ascii="Times New Roman" w:hAnsi="Times New Roman" w:cs="Times New Roman"/>
          <w:sz w:val="24"/>
          <w:szCs w:val="24"/>
        </w:rPr>
        <w:t xml:space="preserve">т вновь назначить антибиотики. </w:t>
      </w:r>
    </w:p>
    <w:p w:rsidR="00DB1FCB" w:rsidRPr="007A7B76" w:rsidRDefault="00DB1FCB" w:rsidP="007A7B76">
      <w:pPr>
        <w:tabs>
          <w:tab w:val="left" w:pos="0"/>
          <w:tab w:val="left" w:pos="567"/>
        </w:tabs>
        <w:spacing w:after="0" w:line="360" w:lineRule="auto"/>
        <w:jc w:val="center"/>
        <w:rPr>
          <w:rFonts w:ascii="Times New Roman" w:hAnsi="Times New Roman" w:cs="Times New Roman"/>
          <w:sz w:val="24"/>
          <w:szCs w:val="24"/>
        </w:rPr>
      </w:pPr>
      <w:r w:rsidRPr="00DB1FCB">
        <w:rPr>
          <w:rFonts w:ascii="Times New Roman" w:hAnsi="Times New Roman" w:cs="Times New Roman"/>
          <w:b/>
          <w:sz w:val="24"/>
          <w:szCs w:val="24"/>
        </w:rPr>
        <w:t>Профилактика инфекционных осложнений</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b/>
          <w:sz w:val="24"/>
          <w:szCs w:val="24"/>
        </w:rPr>
        <w:t xml:space="preserve">Противогрибковая профилактика </w:t>
      </w:r>
      <w:r w:rsidRPr="00DB1FCB">
        <w:rPr>
          <w:rFonts w:ascii="Times New Roman" w:hAnsi="Times New Roman" w:cs="Times New Roman"/>
          <w:b/>
          <w:sz w:val="24"/>
          <w:szCs w:val="24"/>
        </w:rPr>
        <w:fldChar w:fldCharType="begin" w:fldLock="1"/>
      </w:r>
      <w:r w:rsidR="007368BF">
        <w:rPr>
          <w:rFonts w:ascii="Times New Roman" w:hAnsi="Times New Roman" w:cs="Times New Roman"/>
          <w:b/>
          <w:sz w:val="24"/>
          <w:szCs w:val="24"/>
        </w:rPr>
        <w:instrText>ADDIN CSL_CITATION {"citationItems":[{"id":"ITEM-1","itemData":{"author":[{"dropping-particle":"","family":"Савченко В.Г. и др","given":"","non-dropping-particle":"","parse-names":false,"suffix":""}],"id":"ITEM-1","issued":{"date-parts":[["2018"]]},"note":"a","number-of-pages":"1008","publisher":"Практика","publisher-place":"Москва","title":"Алгоритмы диагностики и протоколы лечения заболеваний системы крови.","type":"book"},"uris":["http://www.mendeley.com/documents/?uuid=2cd270b2-efaf-4da9-a95d-66324661ea35","http://www.mendeley.com/documents/?uuid=fe583573-532c-46dc-b4f4-f9d01345e27c","http://www.mendeley.com/documents/?uuid=26da25a5-bd21-4509-8e88-e4e6744fab98","http://www.mendeley.com/documents/?uuid=a1e2f5d6-ef05-4351-9481-13fad4fd103b","http://www.mendeley.com/documents/?uuid=478d6ce1-e425-4912-87db-adfee39f1ce9","http://www.mendeley.com/documents/?uuid=9cac36ab-7685-4894-b1cb-f141a1797526","http://www.mendeley.com/documents/?uuid=c0eae3a3-34ee-40e1-8813-566cb7fa2b4a"]}],"mendeley":{"formattedCitation":"[9]","plainTextFormattedCitation":"[9]","previouslyFormattedCitation":"[9]"},"properties":{"noteIndex":0},"schema":"https://github.com/citation-style-language/schema/raw/master/csl-citation.json"}</w:instrText>
      </w:r>
      <w:r w:rsidRPr="00DB1FCB">
        <w:rPr>
          <w:rFonts w:ascii="Times New Roman" w:hAnsi="Times New Roman" w:cs="Times New Roman"/>
          <w:b/>
          <w:sz w:val="24"/>
          <w:szCs w:val="24"/>
        </w:rPr>
        <w:fldChar w:fldCharType="separate"/>
      </w:r>
      <w:r w:rsidR="007368BF" w:rsidRPr="007368BF">
        <w:rPr>
          <w:rFonts w:ascii="Times New Roman" w:hAnsi="Times New Roman" w:cs="Times New Roman"/>
          <w:noProof/>
          <w:sz w:val="24"/>
          <w:szCs w:val="24"/>
        </w:rPr>
        <w:t>[9]</w:t>
      </w:r>
      <w:r w:rsidRPr="00DB1FCB">
        <w:rPr>
          <w:rFonts w:ascii="Times New Roman" w:hAnsi="Times New Roman" w:cs="Times New Roman"/>
          <w:sz w:val="24"/>
          <w:szCs w:val="24"/>
        </w:rPr>
        <w:fldChar w:fldCharType="end"/>
      </w:r>
    </w:p>
    <w:p w:rsidR="00DB1FCB" w:rsidRPr="00DB1FCB" w:rsidRDefault="00DB1FCB" w:rsidP="00780185">
      <w:pPr>
        <w:numPr>
          <w:ilvl w:val="0"/>
          <w:numId w:val="9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Проводится пациентам с отягощенным анамнезом (острый диссеминированный кандидоз, хронический диссеминированный кандидоз, мукормикоз или инвазивный аспергиллез).</w:t>
      </w:r>
    </w:p>
    <w:p w:rsidR="00DB1FCB" w:rsidRPr="00DB1FCB" w:rsidRDefault="00DB1FCB" w:rsidP="00780185">
      <w:pPr>
        <w:numPr>
          <w:ilvl w:val="0"/>
          <w:numId w:val="9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Назначают препарат, при использовании которого было достигнуто излечение от инвазивного микоза. </w:t>
      </w:r>
    </w:p>
    <w:p w:rsidR="00DB1FCB" w:rsidRPr="00DB1FCB" w:rsidRDefault="00DB1FCB" w:rsidP="00780185">
      <w:pPr>
        <w:numPr>
          <w:ilvl w:val="0"/>
          <w:numId w:val="9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Пациенты с наличием в анамнезе острого или хронического диссеминированного кандидоза</w:t>
      </w:r>
      <w:r w:rsidR="00674B7A">
        <w:rPr>
          <w:rFonts w:ascii="Times New Roman" w:hAnsi="Times New Roman" w:cs="Times New Roman"/>
          <w:sz w:val="24"/>
          <w:szCs w:val="24"/>
        </w:rPr>
        <w:t xml:space="preserve"> (обычно один препарат из перечня)</w:t>
      </w:r>
      <w:r w:rsidRPr="00DB1FCB">
        <w:rPr>
          <w:rFonts w:ascii="Times New Roman" w:hAnsi="Times New Roman" w:cs="Times New Roman"/>
          <w:sz w:val="24"/>
          <w:szCs w:val="24"/>
        </w:rPr>
        <w:t>:</w:t>
      </w:r>
    </w:p>
    <w:p w:rsidR="00DB1FCB" w:rsidRPr="00DB1FCB" w:rsidRDefault="00DB1FCB" w:rsidP="00780185">
      <w:pPr>
        <w:numPr>
          <w:ilvl w:val="0"/>
          <w:numId w:val="9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Флуконазол, по 400 мг в сутки, внутривенно или внутрь.</w:t>
      </w:r>
    </w:p>
    <w:p w:rsidR="00DB1FCB" w:rsidRPr="00DB1FCB" w:rsidRDefault="00DB1FCB" w:rsidP="00780185">
      <w:pPr>
        <w:numPr>
          <w:ilvl w:val="0"/>
          <w:numId w:val="9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lastRenderedPageBreak/>
        <w:t>Каспофунгин, по 50 мг в сутки внутривенно.</w:t>
      </w:r>
    </w:p>
    <w:p w:rsidR="00DB1FCB" w:rsidRPr="00DB1FCB" w:rsidRDefault="00DB1FCB" w:rsidP="00780185">
      <w:pPr>
        <w:numPr>
          <w:ilvl w:val="0"/>
          <w:numId w:val="9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Микафунгин, по 100 мг в сутки внутривенно.</w:t>
      </w:r>
    </w:p>
    <w:p w:rsidR="00DB1FCB" w:rsidRPr="00DB1FCB" w:rsidRDefault="00DB1FCB" w:rsidP="00780185">
      <w:pPr>
        <w:numPr>
          <w:ilvl w:val="0"/>
          <w:numId w:val="97"/>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Анидулафунгин, по 100 мг в сутки внутривенно.</w:t>
      </w:r>
    </w:p>
    <w:p w:rsidR="00DB1FCB" w:rsidRPr="00DB1FCB" w:rsidRDefault="00DB1FCB" w:rsidP="00780185">
      <w:pPr>
        <w:numPr>
          <w:ilvl w:val="0"/>
          <w:numId w:val="9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Пациенты с наличием в анамнезе инвазивного аспергиллеза</w:t>
      </w:r>
      <w:r w:rsidR="00674B7A">
        <w:rPr>
          <w:rFonts w:ascii="Times New Roman" w:hAnsi="Times New Roman" w:cs="Times New Roman"/>
          <w:sz w:val="24"/>
          <w:szCs w:val="24"/>
        </w:rPr>
        <w:t xml:space="preserve"> (обычно один препарат из перечня)</w:t>
      </w:r>
      <w:r w:rsidRPr="00DB1FCB">
        <w:rPr>
          <w:rFonts w:ascii="Times New Roman" w:hAnsi="Times New Roman" w:cs="Times New Roman"/>
          <w:sz w:val="24"/>
          <w:szCs w:val="24"/>
        </w:rPr>
        <w:t>:</w:t>
      </w:r>
    </w:p>
    <w:p w:rsidR="00DB1FCB" w:rsidRPr="00DB1FCB" w:rsidRDefault="00DB1FCB" w:rsidP="00780185">
      <w:pPr>
        <w:numPr>
          <w:ilvl w:val="0"/>
          <w:numId w:val="9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Вориконазол, по 200 мг 2 раза в сутки внутрь (в таблетках, натощак) или внутривенно.</w:t>
      </w:r>
    </w:p>
    <w:p w:rsidR="00DB1FCB" w:rsidRPr="00DB1FCB" w:rsidRDefault="00DB1FCB" w:rsidP="00780185">
      <w:pPr>
        <w:numPr>
          <w:ilvl w:val="0"/>
          <w:numId w:val="9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Позаконазол (суспензия), по 200 мг 3 раза в сутки внутрь (после еды).</w:t>
      </w:r>
    </w:p>
    <w:p w:rsidR="00DB1FCB" w:rsidRPr="00DB1FCB" w:rsidRDefault="00DB1FCB" w:rsidP="00780185">
      <w:pPr>
        <w:numPr>
          <w:ilvl w:val="0"/>
          <w:numId w:val="98"/>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Итраконазол (суспензия), по 200 мг 2 раза в сутки внутрь (натощак).</w:t>
      </w:r>
    </w:p>
    <w:p w:rsidR="00DB1FCB" w:rsidRPr="00DB1FCB" w:rsidRDefault="00DB1FCB" w:rsidP="00780185">
      <w:pPr>
        <w:numPr>
          <w:ilvl w:val="0"/>
          <w:numId w:val="100"/>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Пациенты с наличием в анамнезе мукормикоза:</w:t>
      </w:r>
    </w:p>
    <w:p w:rsidR="00DB1FCB" w:rsidRPr="00DB1FCB" w:rsidRDefault="00DB1FCB" w:rsidP="002E6BF7">
      <w:pPr>
        <w:tabs>
          <w:tab w:val="left" w:pos="0"/>
          <w:tab w:val="left" w:pos="567"/>
        </w:tabs>
        <w:spacing w:after="0" w:line="360" w:lineRule="auto"/>
        <w:jc w:val="both"/>
        <w:rPr>
          <w:rFonts w:ascii="Times New Roman" w:hAnsi="Times New Roman" w:cs="Times New Roman"/>
          <w:b/>
          <w:sz w:val="24"/>
          <w:szCs w:val="24"/>
        </w:rPr>
      </w:pPr>
      <w:r w:rsidRPr="00DB1FCB">
        <w:rPr>
          <w:rFonts w:ascii="Times New Roman" w:hAnsi="Times New Roman" w:cs="Times New Roman"/>
          <w:sz w:val="24"/>
          <w:szCs w:val="24"/>
        </w:rPr>
        <w:t>Позаконазол (суспензия), по 200 мг 3 раза в сутки внутрь (после еды).</w:t>
      </w:r>
      <w:r w:rsidRPr="00DB1FCB">
        <w:rPr>
          <w:rFonts w:ascii="Times New Roman" w:hAnsi="Times New Roman" w:cs="Times New Roman"/>
          <w:b/>
          <w:sz w:val="24"/>
          <w:szCs w:val="24"/>
        </w:rPr>
        <w:t xml:space="preserve">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 xml:space="preserve">Противовирусная профилактика </w:t>
      </w:r>
      <w:r w:rsidRPr="00DB1FCB">
        <w:rPr>
          <w:rFonts w:ascii="Times New Roman" w:hAnsi="Times New Roman" w:cs="Times New Roman"/>
          <w:b/>
          <w:sz w:val="24"/>
          <w:szCs w:val="24"/>
        </w:rPr>
        <w:fldChar w:fldCharType="begin" w:fldLock="1"/>
      </w:r>
      <w:r w:rsidR="009C1B46">
        <w:rPr>
          <w:rFonts w:ascii="Times New Roman" w:hAnsi="Times New Roman" w:cs="Times New Roman"/>
          <w:b/>
          <w:sz w:val="24"/>
          <w:szCs w:val="24"/>
        </w:rPr>
        <w:instrText>ADDIN CSL_CITATION {"citationItems":[{"id":"ITEM-1","itemData":{"DOI":"10.3324/haematol.2014.117176","ISSN":"15928721","PMID":"26432383","abstract":"The European Myeloma Network provides recommendations for the management of the most common complications of multiple myeloma. Whole body low-dose computed tomography is more sensitive than conventional radiography in depicting osteolytic disease and thus we recommend it as the novel standard for the detection of lytic lesions in myeloma (grade 1A). Myeloma patients with adequate renal function and bone disease at diagnosis should be treated with zoledronic acid or pamidronate (grade 1A). Symptomatic patients without lytic lesions on conventional radiography can be treated with zoledronic acid (grade 1B), but its advantage is not clear for patients with no bone involvement on computed tomography or magnetic resonance imaging. In asymptomatic myeloma, bisphosphonates are not recommended (grade 1A). Zoledronic acid should be given continuously, but it is not clear if patients who achieve at least a very good partial response benefit from its continuous use (grade 1B). Treatment with erythropoietic-stimulating agents may be initiated in patients with persistent symptomatic anemia (hemoglobin &lt;10g/dL) in whom other causes of anemia have been excluded (grade 1B). Erythropoietic agents should be stopped after 6-8 weeks if no adequate hemoglobin response is achieved. For renal impairment, bortezomib-based regimens are the current standard of care (grade 1A). For the management of treatment-induced peripheral neuropathy, drug modification is needed (grade 1C). Vaccination against influenza is recommended; vaccination against streptococcus pneumonia and hemophilus influenza is appropriate, but efficacy is not guaranteed due to suboptimal immune response (grade 1C). Prophylactic aciclovir (or valacyclovir) is recommended for patients receiving proteasome inhibitors, autologous or allogeneic transplantation (grade 1A).","author":[{"dropping-particle":"","family":"Terpos","given":"Evangelos","non-dropping-particle":"","parse-names":false,"suffix":""},{"dropping-particle":"","family":"Kleber","given":"Martina","non-dropping-particle":"","parse-names":false,"suffix":""},{"dropping-particle":"","family":"Engelhardt","given":"Monika","non-dropping-particle":"","parse-names":false,"suffix":""},{"dropping-particle":"","family":"Zweegman","given":"Sonja","non-dropping-particle":"","parse-names":false,"suffix":""},{"dropping-particle":"","family":"Gay","given":"Francesca","non-dropping-particle":"","parse-names":false,"suffix":""},{"dropping-particle":"","family":"Kastritis","given":"Efstathios","non-dropping-particle":"","parse-names":false,"suffix":""},{"dropping-particle":"","family":"Donk","given":"Niels W.C.J.","non-dropping-particle":"van de","parse-names":false,"suffix":""},{"dropping-particle":"","family":"Bruno","given":"Benedetto","non-dropping-particle":"","parse-names":false,"suffix":""},{"dropping-particle":"","family":"Sezer","given":"Orhan","non-dropping-particle":"","parse-names":false,"suffix":""},{"dropping-particle":"","family":"Broij","given":"Annemiek","non-dropping-particle":"","parse-names":false,"suffix":""},{"dropping-particle":"","family":"Bringhen","given":"Sara","non-dropping-particle":"","parse-names":false,"suffix":""},{"dropping-particle":"","family":"Beksac","given":"Meral","non-dropping-particle":"","parse-names":false,"suffix":""},{"dropping-particle":"","family":"Larocca","given":"Alessandra","non-dropping-particle":"","parse-names":false,"suffix":""},{"dropping-particle":"","family":"Hajek","given":"Roman","non-dropping-particle":"","parse-names":false,"suffix":""},{"dropping-particle":"","family":"Musto","given":"Pellegrino","non-dropping-particle":"","parse-names":false,"suffix":""},{"dropping-particle":"","family":"Johnsen","given":"Hans Erik","non-dropping-particle":"","parse-names":false,"suffix":""},{"dropping-particle":"","family":"Morabito","given":"Fortunato","non-dropping-particle":"","parse-names":false,"suffix":""},{"dropping-particle":"","family":"Ludwig","given":"Heinz","non-dropping-particle":"","parse-names":false,"suffix":""},{"dropping-particle":"","family":"Cavo","given":"Michele","non-dropping-particle":"","parse-names":false,"suffix":""},{"dropping-particle":"","family":"Einsele","given":"Hermann","non-dropping-particle":"","parse-names":false,"suffix":""},{"dropping-particle":"","family":"Sonneveld","given":"Pieter","non-dropping-particle":"","parse-names":false,"suffix":""},{"dropping-particle":"","family":"Dimopoulos","given":"Meletios A.","non-dropping-particle":"","parse-names":false,"suffix":""},{"dropping-particle":"","family":"Palumbo","given":"Antonio","non-dropping-particle":"","parse-names":false,"suffix":""}],"container-title":"Haematologica","id":"ITEM-1","issue":"10","issued":{"date-parts":[["2015","10"]]},"page":"1254-1266","publisher":"Ferrata Storti Foundation","title":"European myeloma network guidelines for the management of multiple myeloma-related complications","type":"article-journal","volume":"100"},"uris":["http://www.mendeley.com/documents/?uuid=aac7b897-8190-3c23-bc91-e35f2f0c34c2","http://www.mendeley.com/documents/?uuid=d764576b-b83c-433d-b5a2-7dad0d44d988","http://www.mendeley.com/documents/?uuid=ee597520-c0cc-44d1-88eb-388774bd8550","http://www.mendeley.com/documents/?uuid=c0612fc3-d7f0-4ab2-9abe-e086965714f4","http://www.mendeley.com/documents/?uuid=6d6938c8-1c2d-40c8-b1d1-d79df765c05d","http://www.mendeley.com/documents/?uuid=37f5270f-10ba-4092-bf91-5d27dd1c06ee","http://www.mendeley.com/documents/?uuid=b5a58553-9f9f-4514-b08b-dacb77967682"]}],"mendeley":{"formattedCitation":"[71]","plainTextFormattedCitation":"[71]","previouslyFormattedCitation":"[70]"},"properties":{"noteIndex":0},"schema":"https://github.com/citation-style-language/schema/raw/master/csl-citation.json"}</w:instrText>
      </w:r>
      <w:r w:rsidRPr="00DB1FCB">
        <w:rPr>
          <w:rFonts w:ascii="Times New Roman" w:hAnsi="Times New Roman" w:cs="Times New Roman"/>
          <w:b/>
          <w:sz w:val="24"/>
          <w:szCs w:val="24"/>
        </w:rPr>
        <w:fldChar w:fldCharType="separate"/>
      </w:r>
      <w:r w:rsidR="009C1B46" w:rsidRPr="009C1B46">
        <w:rPr>
          <w:rFonts w:ascii="Times New Roman" w:hAnsi="Times New Roman" w:cs="Times New Roman"/>
          <w:noProof/>
          <w:sz w:val="24"/>
          <w:szCs w:val="24"/>
        </w:rPr>
        <w:t>[71]</w:t>
      </w:r>
      <w:r w:rsidRPr="00DB1FCB">
        <w:rPr>
          <w:rFonts w:ascii="Times New Roman" w:hAnsi="Times New Roman" w:cs="Times New Roman"/>
          <w:sz w:val="24"/>
          <w:szCs w:val="24"/>
        </w:rPr>
        <w:fldChar w:fldCharType="end"/>
      </w:r>
    </w:p>
    <w:p w:rsidR="00DB1FCB" w:rsidRPr="00DB1FCB" w:rsidRDefault="00DB1FCB" w:rsidP="00780185">
      <w:pPr>
        <w:numPr>
          <w:ilvl w:val="0"/>
          <w:numId w:val="9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Показана пациентам, имеющим отягощенный анамнез (частые, рецидивирующие эпизоды герпетических инфекций). </w:t>
      </w:r>
    </w:p>
    <w:p w:rsidR="00DB1FCB" w:rsidRPr="00946E20" w:rsidRDefault="00DB1FCB" w:rsidP="00780185">
      <w:pPr>
        <w:numPr>
          <w:ilvl w:val="0"/>
          <w:numId w:val="95"/>
        </w:numPr>
        <w:tabs>
          <w:tab w:val="left" w:pos="0"/>
          <w:tab w:val="left" w:pos="567"/>
        </w:tabs>
        <w:spacing w:after="0" w:line="360" w:lineRule="auto"/>
        <w:ind w:left="0" w:firstLine="0"/>
        <w:jc w:val="both"/>
        <w:rPr>
          <w:rFonts w:ascii="Times New Roman" w:hAnsi="Times New Roman" w:cs="Times New Roman"/>
          <w:sz w:val="24"/>
          <w:szCs w:val="24"/>
        </w:rPr>
      </w:pPr>
      <w:r w:rsidRPr="00946E20">
        <w:rPr>
          <w:rFonts w:ascii="Times New Roman" w:hAnsi="Times New Roman" w:cs="Times New Roman"/>
          <w:sz w:val="24"/>
          <w:szCs w:val="24"/>
        </w:rPr>
        <w:t>Проводится пероральная профилактика валацикловиром в дозе 500 мг</w:t>
      </w:r>
      <w:r w:rsidR="00946E20" w:rsidRPr="00946E20">
        <w:rPr>
          <w:rFonts w:ascii="Times New Roman" w:hAnsi="Times New Roman" w:cs="Times New Roman"/>
          <w:sz w:val="24"/>
          <w:szCs w:val="24"/>
        </w:rPr>
        <w:t xml:space="preserve"> 2</w:t>
      </w:r>
      <w:r w:rsidRPr="00946E20">
        <w:rPr>
          <w:rFonts w:ascii="Times New Roman" w:hAnsi="Times New Roman" w:cs="Times New Roman"/>
          <w:sz w:val="24"/>
          <w:szCs w:val="24"/>
        </w:rPr>
        <w:t xml:space="preserve"> раз</w:t>
      </w:r>
      <w:r w:rsidR="00946E20" w:rsidRPr="00946E20">
        <w:rPr>
          <w:rFonts w:ascii="Times New Roman" w:hAnsi="Times New Roman" w:cs="Times New Roman"/>
          <w:sz w:val="24"/>
          <w:szCs w:val="24"/>
        </w:rPr>
        <w:t>а</w:t>
      </w:r>
      <w:r w:rsidRPr="00946E20">
        <w:rPr>
          <w:rFonts w:ascii="Times New Roman" w:hAnsi="Times New Roman" w:cs="Times New Roman"/>
          <w:sz w:val="24"/>
          <w:szCs w:val="24"/>
        </w:rPr>
        <w:t xml:space="preserve"> в сутки или ацикловиром 250 мг</w:t>
      </w:r>
      <w:r w:rsidR="00946E20" w:rsidRPr="00946E20">
        <w:rPr>
          <w:rFonts w:ascii="Times New Roman" w:hAnsi="Times New Roman" w:cs="Times New Roman"/>
          <w:sz w:val="24"/>
          <w:szCs w:val="24"/>
        </w:rPr>
        <w:t>/м</w:t>
      </w:r>
      <w:r w:rsidR="00946E20" w:rsidRPr="00946E20">
        <w:rPr>
          <w:rFonts w:ascii="Times New Roman" w:hAnsi="Times New Roman" w:cs="Times New Roman"/>
          <w:sz w:val="24"/>
          <w:szCs w:val="24"/>
          <w:vertAlign w:val="superscript"/>
        </w:rPr>
        <w:t>2</w:t>
      </w:r>
      <w:r w:rsidRPr="00946E20">
        <w:rPr>
          <w:rFonts w:ascii="Times New Roman" w:hAnsi="Times New Roman" w:cs="Times New Roman"/>
          <w:sz w:val="24"/>
          <w:szCs w:val="24"/>
        </w:rPr>
        <w:t xml:space="preserve"> </w:t>
      </w:r>
      <w:r w:rsidR="00946E20" w:rsidRPr="00946E20">
        <w:rPr>
          <w:rFonts w:ascii="Times New Roman" w:hAnsi="Times New Roman" w:cs="Times New Roman"/>
          <w:sz w:val="24"/>
          <w:szCs w:val="24"/>
        </w:rPr>
        <w:t xml:space="preserve">х </w:t>
      </w:r>
      <w:r w:rsidRPr="00946E20">
        <w:rPr>
          <w:rFonts w:ascii="Times New Roman" w:hAnsi="Times New Roman" w:cs="Times New Roman"/>
          <w:sz w:val="24"/>
          <w:szCs w:val="24"/>
        </w:rPr>
        <w:t xml:space="preserve">2 раза в сутки с момента начала предтрансплантационного кондиционирования. </w:t>
      </w:r>
    </w:p>
    <w:p w:rsidR="00DB1FCB" w:rsidRPr="00DB1FCB" w:rsidRDefault="00DB1FCB" w:rsidP="007A7B76">
      <w:pPr>
        <w:tabs>
          <w:tab w:val="left" w:pos="0"/>
          <w:tab w:val="left" w:pos="567"/>
        </w:tabs>
        <w:spacing w:after="0" w:line="360" w:lineRule="auto"/>
        <w:jc w:val="center"/>
        <w:rPr>
          <w:rFonts w:ascii="Times New Roman" w:hAnsi="Times New Roman" w:cs="Times New Roman"/>
          <w:b/>
          <w:sz w:val="24"/>
          <w:szCs w:val="24"/>
        </w:rPr>
      </w:pPr>
      <w:r w:rsidRPr="00DB1FCB">
        <w:rPr>
          <w:rFonts w:ascii="Times New Roman" w:hAnsi="Times New Roman" w:cs="Times New Roman"/>
          <w:b/>
          <w:sz w:val="24"/>
          <w:szCs w:val="24"/>
        </w:rPr>
        <w:t xml:space="preserve">Профилактика пневмоцистной пневмонии </w:t>
      </w:r>
      <w:r w:rsidRPr="00DB1FCB">
        <w:rPr>
          <w:rFonts w:ascii="Times New Roman" w:hAnsi="Times New Roman" w:cs="Times New Roman"/>
          <w:b/>
          <w:sz w:val="24"/>
          <w:szCs w:val="24"/>
          <w:lang w:val="en-US"/>
        </w:rPr>
        <w:fldChar w:fldCharType="begin" w:fldLock="1"/>
      </w:r>
      <w:r w:rsidR="007368BF">
        <w:rPr>
          <w:rFonts w:ascii="Times New Roman" w:hAnsi="Times New Roman" w:cs="Times New Roman"/>
          <w:b/>
          <w:sz w:val="24"/>
          <w:szCs w:val="24"/>
          <w:lang w:val="en-US"/>
        </w:rPr>
        <w:instrText>ADDIN</w:instrText>
      </w:r>
      <w:r w:rsidR="007368BF" w:rsidRPr="007368BF">
        <w:rPr>
          <w:rFonts w:ascii="Times New Roman" w:hAnsi="Times New Roman" w:cs="Times New Roman"/>
          <w:b/>
          <w:sz w:val="24"/>
          <w:szCs w:val="24"/>
        </w:rPr>
        <w:instrText xml:space="preserve"> </w:instrText>
      </w:r>
      <w:r w:rsidR="007368BF">
        <w:rPr>
          <w:rFonts w:ascii="Times New Roman" w:hAnsi="Times New Roman" w:cs="Times New Roman"/>
          <w:b/>
          <w:sz w:val="24"/>
          <w:szCs w:val="24"/>
          <w:lang w:val="en-US"/>
        </w:rPr>
        <w:instrText>CSL</w:instrText>
      </w:r>
      <w:r w:rsidR="007368BF" w:rsidRPr="007368BF">
        <w:rPr>
          <w:rFonts w:ascii="Times New Roman" w:hAnsi="Times New Roman" w:cs="Times New Roman"/>
          <w:b/>
          <w:sz w:val="24"/>
          <w:szCs w:val="24"/>
        </w:rPr>
        <w:instrText>_</w:instrText>
      </w:r>
      <w:r w:rsidR="007368BF">
        <w:rPr>
          <w:rFonts w:ascii="Times New Roman" w:hAnsi="Times New Roman" w:cs="Times New Roman"/>
          <w:b/>
          <w:sz w:val="24"/>
          <w:szCs w:val="24"/>
          <w:lang w:val="en-US"/>
        </w:rPr>
        <w:instrText>CITATION</w:instrText>
      </w:r>
      <w:r w:rsidR="007368BF" w:rsidRPr="007368BF">
        <w:rPr>
          <w:rFonts w:ascii="Times New Roman" w:hAnsi="Times New Roman" w:cs="Times New Roman"/>
          <w:b/>
          <w:sz w:val="24"/>
          <w:szCs w:val="24"/>
        </w:rPr>
        <w:instrText xml:space="preserve"> {"</w:instrText>
      </w:r>
      <w:r w:rsidR="007368BF">
        <w:rPr>
          <w:rFonts w:ascii="Times New Roman" w:hAnsi="Times New Roman" w:cs="Times New Roman"/>
          <w:b/>
          <w:sz w:val="24"/>
          <w:szCs w:val="24"/>
          <w:lang w:val="en-US"/>
        </w:rPr>
        <w:instrText>citationItems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id</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ITEM</w:instrText>
      </w:r>
      <w:r w:rsidR="007368BF" w:rsidRPr="007368BF">
        <w:rPr>
          <w:rFonts w:ascii="Times New Roman" w:hAnsi="Times New Roman" w:cs="Times New Roman"/>
          <w:b/>
          <w:sz w:val="24"/>
          <w:szCs w:val="24"/>
        </w:rPr>
        <w:instrText>-1","</w:instrText>
      </w:r>
      <w:r w:rsidR="007368BF">
        <w:rPr>
          <w:rFonts w:ascii="Times New Roman" w:hAnsi="Times New Roman" w:cs="Times New Roman"/>
          <w:b/>
          <w:sz w:val="24"/>
          <w:szCs w:val="24"/>
          <w:lang w:val="en-US"/>
        </w:rPr>
        <w:instrText>itemData</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author</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dropping</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particle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family</w:instrText>
      </w:r>
      <w:r w:rsidR="007368BF" w:rsidRPr="007368BF">
        <w:rPr>
          <w:rFonts w:ascii="Times New Roman" w:hAnsi="Times New Roman" w:cs="Times New Roman"/>
          <w:b/>
          <w:sz w:val="24"/>
          <w:szCs w:val="24"/>
        </w:rPr>
        <w:instrText>":"Савченко В.Г. и др","</w:instrText>
      </w:r>
      <w:r w:rsidR="007368BF">
        <w:rPr>
          <w:rFonts w:ascii="Times New Roman" w:hAnsi="Times New Roman" w:cs="Times New Roman"/>
          <w:b/>
          <w:sz w:val="24"/>
          <w:szCs w:val="24"/>
          <w:lang w:val="en-US"/>
        </w:rPr>
        <w:instrText>given</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non</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dropping</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particle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parse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names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false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suffix</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id</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ITEM</w:instrText>
      </w:r>
      <w:r w:rsidR="007368BF" w:rsidRPr="007368BF">
        <w:rPr>
          <w:rFonts w:ascii="Times New Roman" w:hAnsi="Times New Roman" w:cs="Times New Roman"/>
          <w:b/>
          <w:sz w:val="24"/>
          <w:szCs w:val="24"/>
        </w:rPr>
        <w:instrText>-1","</w:instrText>
      </w:r>
      <w:r w:rsidR="007368BF">
        <w:rPr>
          <w:rFonts w:ascii="Times New Roman" w:hAnsi="Times New Roman" w:cs="Times New Roman"/>
          <w:b/>
          <w:sz w:val="24"/>
          <w:szCs w:val="24"/>
          <w:lang w:val="en-US"/>
        </w:rPr>
        <w:instrText>issued</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date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parts</w:instrText>
      </w:r>
      <w:r w:rsidR="007368BF" w:rsidRPr="007368BF">
        <w:rPr>
          <w:rFonts w:ascii="Times New Roman" w:hAnsi="Times New Roman" w:cs="Times New Roman"/>
          <w:b/>
          <w:sz w:val="24"/>
          <w:szCs w:val="24"/>
        </w:rPr>
        <w:instrText>":[["2018"]]},"</w:instrText>
      </w:r>
      <w:r w:rsidR="007368BF">
        <w:rPr>
          <w:rFonts w:ascii="Times New Roman" w:hAnsi="Times New Roman" w:cs="Times New Roman"/>
          <w:b/>
          <w:sz w:val="24"/>
          <w:szCs w:val="24"/>
          <w:lang w:val="en-US"/>
        </w:rPr>
        <w:instrText>note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number</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of</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pages</w:instrText>
      </w:r>
      <w:r w:rsidR="007368BF" w:rsidRPr="007368BF">
        <w:rPr>
          <w:rFonts w:ascii="Times New Roman" w:hAnsi="Times New Roman" w:cs="Times New Roman"/>
          <w:b/>
          <w:sz w:val="24"/>
          <w:szCs w:val="24"/>
        </w:rPr>
        <w:instrText>":"1008","</w:instrText>
      </w:r>
      <w:r w:rsidR="007368BF">
        <w:rPr>
          <w:rFonts w:ascii="Times New Roman" w:hAnsi="Times New Roman" w:cs="Times New Roman"/>
          <w:b/>
          <w:sz w:val="24"/>
          <w:szCs w:val="24"/>
          <w:lang w:val="en-US"/>
        </w:rPr>
        <w:instrText>publisher</w:instrText>
      </w:r>
      <w:r w:rsidR="007368BF" w:rsidRPr="007368BF">
        <w:rPr>
          <w:rFonts w:ascii="Times New Roman" w:hAnsi="Times New Roman" w:cs="Times New Roman"/>
          <w:b/>
          <w:sz w:val="24"/>
          <w:szCs w:val="24"/>
        </w:rPr>
        <w:instrText>":"Практика","</w:instrText>
      </w:r>
      <w:r w:rsidR="007368BF">
        <w:rPr>
          <w:rFonts w:ascii="Times New Roman" w:hAnsi="Times New Roman" w:cs="Times New Roman"/>
          <w:b/>
          <w:sz w:val="24"/>
          <w:szCs w:val="24"/>
          <w:lang w:val="en-US"/>
        </w:rPr>
        <w:instrText>publisher</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place</w:instrText>
      </w:r>
      <w:r w:rsidR="007368BF" w:rsidRPr="007368BF">
        <w:rPr>
          <w:rFonts w:ascii="Times New Roman" w:hAnsi="Times New Roman" w:cs="Times New Roman"/>
          <w:b/>
          <w:sz w:val="24"/>
          <w:szCs w:val="24"/>
        </w:rPr>
        <w:instrText>":"Москва","</w:instrText>
      </w:r>
      <w:r w:rsidR="007368BF">
        <w:rPr>
          <w:rFonts w:ascii="Times New Roman" w:hAnsi="Times New Roman" w:cs="Times New Roman"/>
          <w:b/>
          <w:sz w:val="24"/>
          <w:szCs w:val="24"/>
          <w:lang w:val="en-US"/>
        </w:rPr>
        <w:instrText>title</w:instrText>
      </w:r>
      <w:r w:rsidR="007368BF" w:rsidRPr="007368BF">
        <w:rPr>
          <w:rFonts w:ascii="Times New Roman" w:hAnsi="Times New Roman" w:cs="Times New Roman"/>
          <w:b/>
          <w:sz w:val="24"/>
          <w:szCs w:val="24"/>
        </w:rPr>
        <w:instrText>":"Алгоритмы диагностики и протоколы лечения заболеваний системы крови.","</w:instrText>
      </w:r>
      <w:r w:rsidR="007368BF">
        <w:rPr>
          <w:rFonts w:ascii="Times New Roman" w:hAnsi="Times New Roman" w:cs="Times New Roman"/>
          <w:b/>
          <w:sz w:val="24"/>
          <w:szCs w:val="24"/>
          <w:lang w:val="en-US"/>
        </w:rPr>
        <w:instrText>type</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book</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uris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=2</w:instrText>
      </w:r>
      <w:r w:rsidR="007368BF">
        <w:rPr>
          <w:rFonts w:ascii="Times New Roman" w:hAnsi="Times New Roman" w:cs="Times New Roman"/>
          <w:b/>
          <w:sz w:val="24"/>
          <w:szCs w:val="24"/>
          <w:lang w:val="en-US"/>
        </w:rPr>
        <w:instrText>cd</w:instrText>
      </w:r>
      <w:r w:rsidR="007368BF" w:rsidRPr="007368BF">
        <w:rPr>
          <w:rFonts w:ascii="Times New Roman" w:hAnsi="Times New Roman" w:cs="Times New Roman"/>
          <w:b/>
          <w:sz w:val="24"/>
          <w:szCs w:val="24"/>
        </w:rPr>
        <w:instrText>270</w:instrText>
      </w:r>
      <w:r w:rsidR="007368BF">
        <w:rPr>
          <w:rFonts w:ascii="Times New Roman" w:hAnsi="Times New Roman" w:cs="Times New Roman"/>
          <w:b/>
          <w:sz w:val="24"/>
          <w:szCs w:val="24"/>
          <w:lang w:val="en-US"/>
        </w:rPr>
        <w:instrText>b</w:instrText>
      </w:r>
      <w:r w:rsidR="007368BF" w:rsidRPr="007368BF">
        <w:rPr>
          <w:rFonts w:ascii="Times New Roman" w:hAnsi="Times New Roman" w:cs="Times New Roman"/>
          <w:b/>
          <w:sz w:val="24"/>
          <w:szCs w:val="24"/>
        </w:rPr>
        <w:instrText>2-</w:instrText>
      </w:r>
      <w:r w:rsidR="007368BF">
        <w:rPr>
          <w:rFonts w:ascii="Times New Roman" w:hAnsi="Times New Roman" w:cs="Times New Roman"/>
          <w:b/>
          <w:sz w:val="24"/>
          <w:szCs w:val="24"/>
          <w:lang w:val="en-US"/>
        </w:rPr>
        <w:instrText>efaf</w:instrText>
      </w:r>
      <w:r w:rsidR="007368BF" w:rsidRPr="007368BF">
        <w:rPr>
          <w:rFonts w:ascii="Times New Roman" w:hAnsi="Times New Roman" w:cs="Times New Roman"/>
          <w:b/>
          <w:sz w:val="24"/>
          <w:szCs w:val="24"/>
        </w:rPr>
        <w:instrText>-4</w:instrText>
      </w:r>
      <w:r w:rsidR="007368BF">
        <w:rPr>
          <w:rFonts w:ascii="Times New Roman" w:hAnsi="Times New Roman" w:cs="Times New Roman"/>
          <w:b/>
          <w:sz w:val="24"/>
          <w:szCs w:val="24"/>
          <w:lang w:val="en-US"/>
        </w:rPr>
        <w:instrText>da</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95</w:instrText>
      </w:r>
      <w:r w:rsidR="007368BF">
        <w:rPr>
          <w:rFonts w:ascii="Times New Roman" w:hAnsi="Times New Roman" w:cs="Times New Roman"/>
          <w:b/>
          <w:sz w:val="24"/>
          <w:szCs w:val="24"/>
          <w:lang w:val="en-US"/>
        </w:rPr>
        <w:instrText>d</w:instrText>
      </w:r>
      <w:r w:rsidR="007368BF" w:rsidRPr="007368BF">
        <w:rPr>
          <w:rFonts w:ascii="Times New Roman" w:hAnsi="Times New Roman" w:cs="Times New Roman"/>
          <w:b/>
          <w:sz w:val="24"/>
          <w:szCs w:val="24"/>
        </w:rPr>
        <w:instrText>-66324661</w:instrText>
      </w:r>
      <w:r w:rsidR="007368BF">
        <w:rPr>
          <w:rFonts w:ascii="Times New Roman" w:hAnsi="Times New Roman" w:cs="Times New Roman"/>
          <w:b/>
          <w:sz w:val="24"/>
          <w:szCs w:val="24"/>
          <w:lang w:val="en-US"/>
        </w:rPr>
        <w:instrText>ea</w:instrText>
      </w:r>
      <w:r w:rsidR="007368BF" w:rsidRPr="007368BF">
        <w:rPr>
          <w:rFonts w:ascii="Times New Roman" w:hAnsi="Times New Roman" w:cs="Times New Roman"/>
          <w:b/>
          <w:sz w:val="24"/>
          <w:szCs w:val="24"/>
        </w:rPr>
        <w:instrText>35","</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fe</w:instrText>
      </w:r>
      <w:r w:rsidR="007368BF" w:rsidRPr="007368BF">
        <w:rPr>
          <w:rFonts w:ascii="Times New Roman" w:hAnsi="Times New Roman" w:cs="Times New Roman"/>
          <w:b/>
          <w:sz w:val="24"/>
          <w:szCs w:val="24"/>
        </w:rPr>
        <w:instrText>583573-532</w:instrText>
      </w:r>
      <w:r w:rsidR="007368BF">
        <w:rPr>
          <w:rFonts w:ascii="Times New Roman" w:hAnsi="Times New Roman" w:cs="Times New Roman"/>
          <w:b/>
          <w:sz w:val="24"/>
          <w:szCs w:val="24"/>
          <w:lang w:val="en-US"/>
        </w:rPr>
        <w:instrText>c</w:instrText>
      </w:r>
      <w:r w:rsidR="007368BF" w:rsidRPr="007368BF">
        <w:rPr>
          <w:rFonts w:ascii="Times New Roman" w:hAnsi="Times New Roman" w:cs="Times New Roman"/>
          <w:b/>
          <w:sz w:val="24"/>
          <w:szCs w:val="24"/>
        </w:rPr>
        <w:instrText>-46</w:instrText>
      </w:r>
      <w:r w:rsidR="007368BF">
        <w:rPr>
          <w:rFonts w:ascii="Times New Roman" w:hAnsi="Times New Roman" w:cs="Times New Roman"/>
          <w:b/>
          <w:sz w:val="24"/>
          <w:szCs w:val="24"/>
          <w:lang w:val="en-US"/>
        </w:rPr>
        <w:instrText>dc</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b</w:instrText>
      </w:r>
      <w:r w:rsidR="007368BF" w:rsidRPr="007368BF">
        <w:rPr>
          <w:rFonts w:ascii="Times New Roman" w:hAnsi="Times New Roman" w:cs="Times New Roman"/>
          <w:b/>
          <w:sz w:val="24"/>
          <w:szCs w:val="24"/>
        </w:rPr>
        <w:instrText>4</w:instrText>
      </w:r>
      <w:r w:rsidR="007368BF">
        <w:rPr>
          <w:rFonts w:ascii="Times New Roman" w:hAnsi="Times New Roman" w:cs="Times New Roman"/>
          <w:b/>
          <w:sz w:val="24"/>
          <w:szCs w:val="24"/>
          <w:lang w:val="en-US"/>
        </w:rPr>
        <w:instrText>f</w:instrText>
      </w:r>
      <w:r w:rsidR="007368BF" w:rsidRPr="007368BF">
        <w:rPr>
          <w:rFonts w:ascii="Times New Roman" w:hAnsi="Times New Roman" w:cs="Times New Roman"/>
          <w:b/>
          <w:sz w:val="24"/>
          <w:szCs w:val="24"/>
        </w:rPr>
        <w:instrText>4-</w:instrText>
      </w:r>
      <w:r w:rsidR="007368BF">
        <w:rPr>
          <w:rFonts w:ascii="Times New Roman" w:hAnsi="Times New Roman" w:cs="Times New Roman"/>
          <w:b/>
          <w:sz w:val="24"/>
          <w:szCs w:val="24"/>
          <w:lang w:val="en-US"/>
        </w:rPr>
        <w:instrText>f</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d</w:instrText>
      </w:r>
      <w:r w:rsidR="007368BF" w:rsidRPr="007368BF">
        <w:rPr>
          <w:rFonts w:ascii="Times New Roman" w:hAnsi="Times New Roman" w:cs="Times New Roman"/>
          <w:b/>
          <w:sz w:val="24"/>
          <w:szCs w:val="24"/>
        </w:rPr>
        <w:instrText>01345</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27</w:instrText>
      </w:r>
      <w:r w:rsidR="007368BF">
        <w:rPr>
          <w:rFonts w:ascii="Times New Roman" w:hAnsi="Times New Roman" w:cs="Times New Roman"/>
          <w:b/>
          <w:sz w:val="24"/>
          <w:szCs w:val="24"/>
          <w:lang w:val="en-US"/>
        </w:rPr>
        <w:instrText>c</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=26</w:instrText>
      </w:r>
      <w:r w:rsidR="007368BF">
        <w:rPr>
          <w:rFonts w:ascii="Times New Roman" w:hAnsi="Times New Roman" w:cs="Times New Roman"/>
          <w:b/>
          <w:sz w:val="24"/>
          <w:szCs w:val="24"/>
          <w:lang w:val="en-US"/>
        </w:rPr>
        <w:instrText>da</w:instrText>
      </w:r>
      <w:r w:rsidR="007368BF" w:rsidRPr="007368BF">
        <w:rPr>
          <w:rFonts w:ascii="Times New Roman" w:hAnsi="Times New Roman" w:cs="Times New Roman"/>
          <w:b/>
          <w:sz w:val="24"/>
          <w:szCs w:val="24"/>
        </w:rPr>
        <w:instrText>25</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5-</w:instrText>
      </w:r>
      <w:r w:rsidR="007368BF">
        <w:rPr>
          <w:rFonts w:ascii="Times New Roman" w:hAnsi="Times New Roman" w:cs="Times New Roman"/>
          <w:b/>
          <w:sz w:val="24"/>
          <w:szCs w:val="24"/>
          <w:lang w:val="en-US"/>
        </w:rPr>
        <w:instrText>bd</w:instrText>
      </w:r>
      <w:r w:rsidR="007368BF" w:rsidRPr="007368BF">
        <w:rPr>
          <w:rFonts w:ascii="Times New Roman" w:hAnsi="Times New Roman" w:cs="Times New Roman"/>
          <w:b/>
          <w:sz w:val="24"/>
          <w:szCs w:val="24"/>
        </w:rPr>
        <w:instrText>21-4509-8</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88-</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4</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6744</w:instrText>
      </w:r>
      <w:r w:rsidR="007368BF">
        <w:rPr>
          <w:rFonts w:ascii="Times New Roman" w:hAnsi="Times New Roman" w:cs="Times New Roman"/>
          <w:b/>
          <w:sz w:val="24"/>
          <w:szCs w:val="24"/>
          <w:lang w:val="en-US"/>
        </w:rPr>
        <w:instrText>fab</w:instrText>
      </w:r>
      <w:r w:rsidR="007368BF" w:rsidRPr="007368BF">
        <w:rPr>
          <w:rFonts w:ascii="Times New Roman" w:hAnsi="Times New Roman" w:cs="Times New Roman"/>
          <w:b/>
          <w:sz w:val="24"/>
          <w:szCs w:val="24"/>
        </w:rPr>
        <w:instrText>98","</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1</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2</w:instrText>
      </w:r>
      <w:r w:rsidR="007368BF">
        <w:rPr>
          <w:rFonts w:ascii="Times New Roman" w:hAnsi="Times New Roman" w:cs="Times New Roman"/>
          <w:b/>
          <w:sz w:val="24"/>
          <w:szCs w:val="24"/>
          <w:lang w:val="en-US"/>
        </w:rPr>
        <w:instrText>f</w:instrText>
      </w:r>
      <w:r w:rsidR="007368BF" w:rsidRPr="007368BF">
        <w:rPr>
          <w:rFonts w:ascii="Times New Roman" w:hAnsi="Times New Roman" w:cs="Times New Roman"/>
          <w:b/>
          <w:sz w:val="24"/>
          <w:szCs w:val="24"/>
        </w:rPr>
        <w:instrText>5</w:instrText>
      </w:r>
      <w:r w:rsidR="007368BF">
        <w:rPr>
          <w:rFonts w:ascii="Times New Roman" w:hAnsi="Times New Roman" w:cs="Times New Roman"/>
          <w:b/>
          <w:sz w:val="24"/>
          <w:szCs w:val="24"/>
          <w:lang w:val="en-US"/>
        </w:rPr>
        <w:instrText>d</w:instrText>
      </w:r>
      <w:r w:rsidR="007368BF" w:rsidRPr="007368BF">
        <w:rPr>
          <w:rFonts w:ascii="Times New Roman" w:hAnsi="Times New Roman" w:cs="Times New Roman"/>
          <w:b/>
          <w:sz w:val="24"/>
          <w:szCs w:val="24"/>
        </w:rPr>
        <w:instrText>6-</w:instrText>
      </w:r>
      <w:r w:rsidR="007368BF">
        <w:rPr>
          <w:rFonts w:ascii="Times New Roman" w:hAnsi="Times New Roman" w:cs="Times New Roman"/>
          <w:b/>
          <w:sz w:val="24"/>
          <w:szCs w:val="24"/>
          <w:lang w:val="en-US"/>
        </w:rPr>
        <w:instrText>ef</w:instrText>
      </w:r>
      <w:r w:rsidR="007368BF" w:rsidRPr="007368BF">
        <w:rPr>
          <w:rFonts w:ascii="Times New Roman" w:hAnsi="Times New Roman" w:cs="Times New Roman"/>
          <w:b/>
          <w:sz w:val="24"/>
          <w:szCs w:val="24"/>
        </w:rPr>
        <w:instrText>05-4351-9481-13</w:instrText>
      </w:r>
      <w:r w:rsidR="007368BF">
        <w:rPr>
          <w:rFonts w:ascii="Times New Roman" w:hAnsi="Times New Roman" w:cs="Times New Roman"/>
          <w:b/>
          <w:sz w:val="24"/>
          <w:szCs w:val="24"/>
          <w:lang w:val="en-US"/>
        </w:rPr>
        <w:instrText>fad</w:instrText>
      </w:r>
      <w:r w:rsidR="007368BF" w:rsidRPr="007368BF">
        <w:rPr>
          <w:rFonts w:ascii="Times New Roman" w:hAnsi="Times New Roman" w:cs="Times New Roman"/>
          <w:b/>
          <w:sz w:val="24"/>
          <w:szCs w:val="24"/>
        </w:rPr>
        <w:instrText>4</w:instrText>
      </w:r>
      <w:r w:rsidR="007368BF">
        <w:rPr>
          <w:rFonts w:ascii="Times New Roman" w:hAnsi="Times New Roman" w:cs="Times New Roman"/>
          <w:b/>
          <w:sz w:val="24"/>
          <w:szCs w:val="24"/>
          <w:lang w:val="en-US"/>
        </w:rPr>
        <w:instrText>fd</w:instrText>
      </w:r>
      <w:r w:rsidR="007368BF" w:rsidRPr="007368BF">
        <w:rPr>
          <w:rFonts w:ascii="Times New Roman" w:hAnsi="Times New Roman" w:cs="Times New Roman"/>
          <w:b/>
          <w:sz w:val="24"/>
          <w:szCs w:val="24"/>
        </w:rPr>
        <w:instrText>103</w:instrText>
      </w:r>
      <w:r w:rsidR="007368BF">
        <w:rPr>
          <w:rFonts w:ascii="Times New Roman" w:hAnsi="Times New Roman" w:cs="Times New Roman"/>
          <w:b/>
          <w:sz w:val="24"/>
          <w:szCs w:val="24"/>
          <w:lang w:val="en-US"/>
        </w:rPr>
        <w:instrText>b</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=478</w:instrText>
      </w:r>
      <w:r w:rsidR="007368BF">
        <w:rPr>
          <w:rFonts w:ascii="Times New Roman" w:hAnsi="Times New Roman" w:cs="Times New Roman"/>
          <w:b/>
          <w:sz w:val="24"/>
          <w:szCs w:val="24"/>
          <w:lang w:val="en-US"/>
        </w:rPr>
        <w:instrText>d</w:instrText>
      </w:r>
      <w:r w:rsidR="007368BF" w:rsidRPr="007368BF">
        <w:rPr>
          <w:rFonts w:ascii="Times New Roman" w:hAnsi="Times New Roman" w:cs="Times New Roman"/>
          <w:b/>
          <w:sz w:val="24"/>
          <w:szCs w:val="24"/>
        </w:rPr>
        <w:instrText>6</w:instrText>
      </w:r>
      <w:r w:rsidR="007368BF">
        <w:rPr>
          <w:rFonts w:ascii="Times New Roman" w:hAnsi="Times New Roman" w:cs="Times New Roman"/>
          <w:b/>
          <w:sz w:val="24"/>
          <w:szCs w:val="24"/>
          <w:lang w:val="en-US"/>
        </w:rPr>
        <w:instrText>ce</w:instrText>
      </w:r>
      <w:r w:rsidR="007368BF" w:rsidRPr="007368BF">
        <w:rPr>
          <w:rFonts w:ascii="Times New Roman" w:hAnsi="Times New Roman" w:cs="Times New Roman"/>
          <w:b/>
          <w:sz w:val="24"/>
          <w:szCs w:val="24"/>
        </w:rPr>
        <w:instrText>1-</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425-4912-87</w:instrText>
      </w:r>
      <w:r w:rsidR="007368BF">
        <w:rPr>
          <w:rFonts w:ascii="Times New Roman" w:hAnsi="Times New Roman" w:cs="Times New Roman"/>
          <w:b/>
          <w:sz w:val="24"/>
          <w:szCs w:val="24"/>
          <w:lang w:val="en-US"/>
        </w:rPr>
        <w:instrText>db</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adfee</w:instrText>
      </w:r>
      <w:r w:rsidR="007368BF" w:rsidRPr="007368BF">
        <w:rPr>
          <w:rFonts w:ascii="Times New Roman" w:hAnsi="Times New Roman" w:cs="Times New Roman"/>
          <w:b/>
          <w:sz w:val="24"/>
          <w:szCs w:val="24"/>
        </w:rPr>
        <w:instrText>39</w:instrText>
      </w:r>
      <w:r w:rsidR="007368BF">
        <w:rPr>
          <w:rFonts w:ascii="Times New Roman" w:hAnsi="Times New Roman" w:cs="Times New Roman"/>
          <w:b/>
          <w:sz w:val="24"/>
          <w:szCs w:val="24"/>
          <w:lang w:val="en-US"/>
        </w:rPr>
        <w:instrText>f</w:instrText>
      </w:r>
      <w:r w:rsidR="007368BF" w:rsidRPr="007368BF">
        <w:rPr>
          <w:rFonts w:ascii="Times New Roman" w:hAnsi="Times New Roman" w:cs="Times New Roman"/>
          <w:b/>
          <w:sz w:val="24"/>
          <w:szCs w:val="24"/>
        </w:rPr>
        <w:instrText>1</w:instrText>
      </w:r>
      <w:r w:rsidR="007368BF">
        <w:rPr>
          <w:rFonts w:ascii="Times New Roman" w:hAnsi="Times New Roman" w:cs="Times New Roman"/>
          <w:b/>
          <w:sz w:val="24"/>
          <w:szCs w:val="24"/>
          <w:lang w:val="en-US"/>
        </w:rPr>
        <w:instrText>ce</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cac</w:instrText>
      </w:r>
      <w:r w:rsidR="007368BF" w:rsidRPr="007368BF">
        <w:rPr>
          <w:rFonts w:ascii="Times New Roman" w:hAnsi="Times New Roman" w:cs="Times New Roman"/>
          <w:b/>
          <w:sz w:val="24"/>
          <w:szCs w:val="24"/>
        </w:rPr>
        <w:instrText>36</w:instrText>
      </w:r>
      <w:r w:rsidR="007368BF">
        <w:rPr>
          <w:rFonts w:ascii="Times New Roman" w:hAnsi="Times New Roman" w:cs="Times New Roman"/>
          <w:b/>
          <w:sz w:val="24"/>
          <w:szCs w:val="24"/>
          <w:lang w:val="en-US"/>
        </w:rPr>
        <w:instrText>ab</w:instrText>
      </w:r>
      <w:r w:rsidR="007368BF" w:rsidRPr="007368BF">
        <w:rPr>
          <w:rFonts w:ascii="Times New Roman" w:hAnsi="Times New Roman" w:cs="Times New Roman"/>
          <w:b/>
          <w:sz w:val="24"/>
          <w:szCs w:val="24"/>
        </w:rPr>
        <w:instrText>-7685-4894-</w:instrText>
      </w:r>
      <w:r w:rsidR="007368BF">
        <w:rPr>
          <w:rFonts w:ascii="Times New Roman" w:hAnsi="Times New Roman" w:cs="Times New Roman"/>
          <w:b/>
          <w:sz w:val="24"/>
          <w:szCs w:val="24"/>
          <w:lang w:val="en-US"/>
        </w:rPr>
        <w:instrText>b</w:instrText>
      </w:r>
      <w:r w:rsidR="007368BF" w:rsidRPr="007368BF">
        <w:rPr>
          <w:rFonts w:ascii="Times New Roman" w:hAnsi="Times New Roman" w:cs="Times New Roman"/>
          <w:b/>
          <w:sz w:val="24"/>
          <w:szCs w:val="24"/>
        </w:rPr>
        <w:instrText>1</w:instrText>
      </w:r>
      <w:r w:rsidR="007368BF">
        <w:rPr>
          <w:rFonts w:ascii="Times New Roman" w:hAnsi="Times New Roman" w:cs="Times New Roman"/>
          <w:b/>
          <w:sz w:val="24"/>
          <w:szCs w:val="24"/>
          <w:lang w:val="en-US"/>
        </w:rPr>
        <w:instrText>cb</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f</w:instrText>
      </w:r>
      <w:r w:rsidR="007368BF" w:rsidRPr="007368BF">
        <w:rPr>
          <w:rFonts w:ascii="Times New Roman" w:hAnsi="Times New Roman" w:cs="Times New Roman"/>
          <w:b/>
          <w:sz w:val="24"/>
          <w:szCs w:val="24"/>
        </w:rPr>
        <w:instrText>141</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1797526","</w:instrText>
      </w:r>
      <w:r w:rsidR="007368BF">
        <w:rPr>
          <w:rFonts w:ascii="Times New Roman" w:hAnsi="Times New Roman" w:cs="Times New Roman"/>
          <w:b/>
          <w:sz w:val="24"/>
          <w:szCs w:val="24"/>
          <w:lang w:val="en-US"/>
        </w:rPr>
        <w:instrText>http</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www</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documents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uuid</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w:instrText>
      </w:r>
      <w:r w:rsidR="007368BF" w:rsidRPr="007368BF">
        <w:rPr>
          <w:rFonts w:ascii="Times New Roman" w:hAnsi="Times New Roman" w:cs="Times New Roman"/>
          <w:b/>
          <w:sz w:val="24"/>
          <w:szCs w:val="24"/>
        </w:rPr>
        <w:instrText>0</w:instrText>
      </w:r>
      <w:r w:rsidR="007368BF">
        <w:rPr>
          <w:rFonts w:ascii="Times New Roman" w:hAnsi="Times New Roman" w:cs="Times New Roman"/>
          <w:b/>
          <w:sz w:val="24"/>
          <w:szCs w:val="24"/>
          <w:lang w:val="en-US"/>
        </w:rPr>
        <w:instrText>eae</w:instrText>
      </w:r>
      <w:r w:rsidR="007368BF" w:rsidRPr="007368BF">
        <w:rPr>
          <w:rFonts w:ascii="Times New Roman" w:hAnsi="Times New Roman" w:cs="Times New Roman"/>
          <w:b/>
          <w:sz w:val="24"/>
          <w:szCs w:val="24"/>
        </w:rPr>
        <w:instrText>3</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3-34</w:instrText>
      </w:r>
      <w:r w:rsidR="007368BF">
        <w:rPr>
          <w:rFonts w:ascii="Times New Roman" w:hAnsi="Times New Roman" w:cs="Times New Roman"/>
          <w:b/>
          <w:sz w:val="24"/>
          <w:szCs w:val="24"/>
          <w:lang w:val="en-US"/>
        </w:rPr>
        <w:instrText>ee</w:instrText>
      </w:r>
      <w:r w:rsidR="007368BF" w:rsidRPr="007368BF">
        <w:rPr>
          <w:rFonts w:ascii="Times New Roman" w:hAnsi="Times New Roman" w:cs="Times New Roman"/>
          <w:b/>
          <w:sz w:val="24"/>
          <w:szCs w:val="24"/>
        </w:rPr>
        <w:instrText>-40</w:instrText>
      </w:r>
      <w:r w:rsidR="007368BF">
        <w:rPr>
          <w:rFonts w:ascii="Times New Roman" w:hAnsi="Times New Roman" w:cs="Times New Roman"/>
          <w:b/>
          <w:sz w:val="24"/>
          <w:szCs w:val="24"/>
          <w:lang w:val="en-US"/>
        </w:rPr>
        <w:instrText>e</w:instrText>
      </w:r>
      <w:r w:rsidR="007368BF" w:rsidRPr="007368BF">
        <w:rPr>
          <w:rFonts w:ascii="Times New Roman" w:hAnsi="Times New Roman" w:cs="Times New Roman"/>
          <w:b/>
          <w:sz w:val="24"/>
          <w:szCs w:val="24"/>
        </w:rPr>
        <w:instrText>1-8813-566</w:instrText>
      </w:r>
      <w:r w:rsidR="007368BF">
        <w:rPr>
          <w:rFonts w:ascii="Times New Roman" w:hAnsi="Times New Roman" w:cs="Times New Roman"/>
          <w:b/>
          <w:sz w:val="24"/>
          <w:szCs w:val="24"/>
          <w:lang w:val="en-US"/>
        </w:rPr>
        <w:instrText>cb</w:instrText>
      </w:r>
      <w:r w:rsidR="007368BF" w:rsidRPr="007368BF">
        <w:rPr>
          <w:rFonts w:ascii="Times New Roman" w:hAnsi="Times New Roman" w:cs="Times New Roman"/>
          <w:b/>
          <w:sz w:val="24"/>
          <w:szCs w:val="24"/>
        </w:rPr>
        <w:instrText>7</w:instrText>
      </w:r>
      <w:r w:rsidR="007368BF">
        <w:rPr>
          <w:rFonts w:ascii="Times New Roman" w:hAnsi="Times New Roman" w:cs="Times New Roman"/>
          <w:b/>
          <w:sz w:val="24"/>
          <w:szCs w:val="24"/>
          <w:lang w:val="en-US"/>
        </w:rPr>
        <w:instrText>fa</w:instrText>
      </w:r>
      <w:r w:rsidR="007368BF" w:rsidRPr="007368BF">
        <w:rPr>
          <w:rFonts w:ascii="Times New Roman" w:hAnsi="Times New Roman" w:cs="Times New Roman"/>
          <w:b/>
          <w:sz w:val="24"/>
          <w:szCs w:val="24"/>
        </w:rPr>
        <w:instrText>2</w:instrText>
      </w:r>
      <w:r w:rsidR="007368BF">
        <w:rPr>
          <w:rFonts w:ascii="Times New Roman" w:hAnsi="Times New Roman" w:cs="Times New Roman"/>
          <w:b/>
          <w:sz w:val="24"/>
          <w:szCs w:val="24"/>
          <w:lang w:val="en-US"/>
        </w:rPr>
        <w:instrText>b</w:instrText>
      </w:r>
      <w:r w:rsidR="007368BF" w:rsidRPr="007368BF">
        <w:rPr>
          <w:rFonts w:ascii="Times New Roman" w:hAnsi="Times New Roman" w:cs="Times New Roman"/>
          <w:b/>
          <w:sz w:val="24"/>
          <w:szCs w:val="24"/>
        </w:rPr>
        <w:instrText>4</w:instrText>
      </w:r>
      <w:r w:rsidR="007368BF">
        <w:rPr>
          <w:rFonts w:ascii="Times New Roman" w:hAnsi="Times New Roman" w:cs="Times New Roman"/>
          <w:b/>
          <w:sz w:val="24"/>
          <w:szCs w:val="24"/>
          <w:lang w:val="en-US"/>
        </w:rPr>
        <w:instrText>a</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mendeley</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formattedCitation</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plainTextFormattedCitation</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previouslyFormattedCitation</w:instrText>
      </w:r>
      <w:r w:rsidR="007368BF" w:rsidRPr="007368BF">
        <w:rPr>
          <w:rFonts w:ascii="Times New Roman" w:hAnsi="Times New Roman" w:cs="Times New Roman"/>
          <w:b/>
          <w:sz w:val="24"/>
          <w:szCs w:val="24"/>
        </w:rPr>
        <w:instrText>":"[9]"},"</w:instrText>
      </w:r>
      <w:r w:rsidR="007368BF">
        <w:rPr>
          <w:rFonts w:ascii="Times New Roman" w:hAnsi="Times New Roman" w:cs="Times New Roman"/>
          <w:b/>
          <w:sz w:val="24"/>
          <w:szCs w:val="24"/>
          <w:lang w:val="en-US"/>
        </w:rPr>
        <w:instrText>properties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noteIndex</w:instrText>
      </w:r>
      <w:r w:rsidR="007368BF" w:rsidRPr="007368BF">
        <w:rPr>
          <w:rFonts w:ascii="Times New Roman" w:hAnsi="Times New Roman" w:cs="Times New Roman"/>
          <w:b/>
          <w:sz w:val="24"/>
          <w:szCs w:val="24"/>
        </w:rPr>
        <w:instrText>":0},"</w:instrText>
      </w:r>
      <w:r w:rsidR="007368BF">
        <w:rPr>
          <w:rFonts w:ascii="Times New Roman" w:hAnsi="Times New Roman" w:cs="Times New Roman"/>
          <w:b/>
          <w:sz w:val="24"/>
          <w:szCs w:val="24"/>
          <w:lang w:val="en-US"/>
        </w:rPr>
        <w:instrText>schema</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https</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github</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com</w:instrText>
      </w:r>
      <w:r w:rsidR="007368BF" w:rsidRPr="007368BF">
        <w:rPr>
          <w:rFonts w:ascii="Times New Roman" w:hAnsi="Times New Roman" w:cs="Times New Roman"/>
          <w:b/>
          <w:sz w:val="24"/>
          <w:szCs w:val="24"/>
        </w:rPr>
        <w:instrText>/</w:instrText>
      </w:r>
      <w:r w:rsidR="007368BF">
        <w:rPr>
          <w:rFonts w:ascii="Times New Roman" w:hAnsi="Times New Roman" w:cs="Times New Roman"/>
          <w:b/>
          <w:sz w:val="24"/>
          <w:szCs w:val="24"/>
          <w:lang w:val="en-US"/>
        </w:rPr>
        <w:instrText>citation-style-language/schema/raw/master/csl-citation.json"}</w:instrText>
      </w:r>
      <w:r w:rsidRPr="00DB1FCB">
        <w:rPr>
          <w:rFonts w:ascii="Times New Roman" w:hAnsi="Times New Roman" w:cs="Times New Roman"/>
          <w:b/>
          <w:sz w:val="24"/>
          <w:szCs w:val="24"/>
          <w:lang w:val="en-US"/>
        </w:rPr>
        <w:fldChar w:fldCharType="separate"/>
      </w:r>
      <w:r w:rsidR="007368BF" w:rsidRPr="007368BF">
        <w:rPr>
          <w:rFonts w:ascii="Times New Roman" w:hAnsi="Times New Roman" w:cs="Times New Roman"/>
          <w:noProof/>
          <w:sz w:val="24"/>
          <w:szCs w:val="24"/>
        </w:rPr>
        <w:t>[9]</w:t>
      </w:r>
      <w:r w:rsidRPr="00DB1FCB">
        <w:rPr>
          <w:rFonts w:ascii="Times New Roman" w:hAnsi="Times New Roman" w:cs="Times New Roman"/>
          <w:sz w:val="24"/>
          <w:szCs w:val="24"/>
        </w:rPr>
        <w:fldChar w:fldCharType="end"/>
      </w:r>
      <w:r w:rsidRPr="00DB1FCB">
        <w:rPr>
          <w:rFonts w:ascii="Times New Roman" w:hAnsi="Times New Roman" w:cs="Times New Roman"/>
          <w:b/>
          <w:sz w:val="24"/>
          <w:szCs w:val="24"/>
        </w:rPr>
        <w:t xml:space="preserve"> </w:t>
      </w:r>
      <w:r w:rsidRPr="00DB1FCB">
        <w:rPr>
          <w:rFonts w:ascii="Times New Roman" w:hAnsi="Times New Roman" w:cs="Times New Roman"/>
          <w:b/>
          <w:sz w:val="24"/>
          <w:szCs w:val="24"/>
        </w:rPr>
        <w:fldChar w:fldCharType="begin" w:fldLock="1"/>
      </w:r>
      <w:r w:rsidR="009C1B46">
        <w:rPr>
          <w:rFonts w:ascii="Times New Roman" w:hAnsi="Times New Roman" w:cs="Times New Roman"/>
          <w:b/>
          <w:sz w:val="24"/>
          <w:szCs w:val="24"/>
        </w:rPr>
        <w:instrText>ADDIN CSL_CITATION {"citationItems":[{"id":"ITEM-1","itemData":{"DOI":"10.1093/jac/dkw157 LK  - http://rug.on.worldcat.org/atoztitles/link/?sid=EMBASE&amp;issn=14602091&amp;id=doi:10.1093%2Fjac%2Fdkw157&amp;atitle=ECIL+guidelines+for+preventing+Pneumocystis+jirovecii+pneumonia+in+patients+with+haematological+malignancies+and+stem+cell+transplant+recipients&amp;stitle=J.+Antimicrob.+Chemother.&amp;title=Journal+of+Antimicrobial+Chemotherapy&amp;volume=71&amp;issue=9&amp;spage=1&amp;epage=8&amp;aulast=Maertens&amp;aufirst=Johan&amp;auinit=J.&amp;aufull=Maertens+J.&amp;coden=JACHD&amp;isbn=&amp;pages=1-8&amp;date=2016&amp;auinit1=J&amp;auinit","ISSN":"1460-2091","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J.","given":"Maertens","non-dropping-particle":"","parse-names":false,"suffix":""},{"dropping-particle":"","family":"S.","given":"Cesaro","non-dropping-particle":"","parse-names":false,"suffix":""},{"dropping-particle":"","family":"G.","given":"Maschmeyer","non-dropping-particle":"","parse-names":false,"suffix":""},{"dropping-particle":"","family":"H.","given":"Einsele","non-dropping-particle":"","parse-names":false,"suffix":""},{"dropping-particle":"","family":"J.P.","given":"Donnelly","non-dropping-particle":"","parse-names":false,"suffix":""},{"dropping-particle":"","family":"A.","given":"Alanio","non-dropping-particle":"","parse-names":false,"suffix":""},{"dropping-particle":"","family":"P.M.","given":"Hauser","non-dropping-particle":"","parse-names":false,"suffix":""},{"dropping-particle":"","family":"K.","given":"Lagrou","non-dropping-particle":"","parse-names":false,"suffix":""},{"dropping-particle":"","family":"W.J.G.","given":"Melchers","non-dropping-particle":"","parse-names":false,"suffix":""},{"dropping-particle":"","family":"J.","given":"Helweg-Larsen","non-dropping-particle":"","parse-names":false,"suffix":""},{"dropping-particle":"","family":"O.","given":"Matos","non-dropping-particle":"","parse-names":false,"suffix":""},{"dropping-particle":"","family":"S.","given":"Bretagne","non-dropping-particle":"","parse-names":false,"suffix":""},{"dropping-particle":"","family":"C.","given":"Cordonnier","non-dropping-particle":"","parse-names":false,"suffix":""},{"dropping-particle":"","family":"S.","given":"Agrawal","non-dropping-particle":"","parse-names":false,"suffix":""},{"dropping-particle":"","family":"C.","given":"Kibbler","non-dropping-particle":"","parse-names":false,"suffix":""},{"dropping-particle":"","family":"A.","given":"Pagliuca","non-dropping-particle":"","parse-names":false,"suffix":""},{"dropping-particle":"","family":"K.","given":"Ward","non-dropping-particle":"","parse-names":false,"suffix":""},{"dropping-particle":"","family":"M.","given":"Akova","non-dropping-particle":"","parse-names":false,"suffix":""},{"dropping-particle":"","family":"R.","given":"Herbrecht","non-dropping-particle":"","parse-names":false,"suffix":""},{"dropping-particle":"","family":"V.","given":"Mallet","non-dropping-particle":"","parse-names":false,"suffix":""},{"dropping-particle":"","family":"P.","given":"Ribaud","non-dropping-particle":"","parse-names":false,"suffix":""},{"dropping-particle":"","family":"M.","given":"Aljurf","non-dropping-particle":"","parse-names":false,"suffix":""},{"dropping-particle":"","family":"D.","given":"Averbuch","non-dropping-particle":"","parse-names":false,"suffix":""},{"dropping-particle":"","family":"D.","given":"Engelhard","non-dropping-particle":"","parse-names":false,"suffix":""},{"dropping-particle":"","family":"T.","given":"Berg","non-dropping-particle":"","parse-names":false,"suffix":""},{"dropping-particle":"","family":"O.","given":"Cornely","non-dropping-particle":"","parse-names":false,"suffix":""},{"dropping-particle":"","family":"O.","given":"Penack","non-dropping-particle":"","parse-names":false,"suffix":""},{"dropping-particle":"","family":"F.","given":"van Boemmel","non-dropping-particle":"","parse-names":false,"suffix":""},{"dropping-particle":"","family":"M.","given":"von Lilienfeld-Toal","non-dropping-particle":"","parse-names":false,"suffix":""},{"dropping-particle":"","family":"O.","given":"Blennow","non-dropping-particle":"","parse-names":false,"suffix":""},{"dropping-particle":"","family":"P.","given":"Ljungman","non-dropping-particle":"","parse-names":false,"suffix":""},{"dropping-particle":"","family":"R.","given":"Bruggemann","non-dropping-particle":"","parse-names":false,"suffix":""},{"dropping-particle":"","family":"P.","given":"Donnelly","non-dropping-particle":"","parse-names":false,"suffix":""},{"dropping-particle":"","family":"B.-J.","given":"Kullberg","non-dropping-particle":"","parse-names":false,"suffix":""},{"dropping-particle":"","family":"W.","given":"Melchers","non-dropping-particle":"","parse-names":false,"suffix":""},{"dropping-particle":"","family":"T.","given":"Calandra","non-dropping-particle":"","parse-names":false,"suffix":""},{"dropping-particle":"","family":"H.","given":"Hirsch","non-dropping-particle":"","parse-names":false,"suffix":""},{"dropping-particle":"","family":"O.","given":"Marchetti","non-dropping-particle":"","parse-names":false,"suffix":""},{"dropping-particle":"","family":"C.","given":"Orasch","non-dropping-particle":"","parse-names":false,"suffix":""},{"dropping-particle":"","family":"F.","given":"Tissot","non-dropping-particle":"","parse-names":false,"suffix":""},{"dropping-particle":"","family":"E.","given":"Castagnola","non-dropping-particle":"","parse-names":false,"suffix":""},{"dropping-particle":"","family":"C.","given":"Girmenia","non-dropping-particle":"","parse-names":false,"suffix":""},{"dropping-particle":"","family":"M.","given":"Mikulska","non-dropping-particle":"","parse-names":false,"suffix":""},{"dropping-particle":"","family":"L.","given":"Pagano","non-dropping-particle":"","parse-names":false,"suffix":""},{"dropping-particle":"","family":"C.","given":"Viscoli","non-dropping-particle":"","parse-names":false,"suffix":""},{"dropping-particle":"","family":"R.","given":"De La Camara","non-dropping-particle":"","parse-names":false,"suffix":""},{"dropping-particle":"","family":"R.","given":"Duarte","non-dropping-particle":"","parse-names":false,"suffix":""},{"dropping-particle":"","family":"P.","given":"Munoz","non-dropping-particle":"","parse-names":false,"suffix":""},{"dropping-particle":"","family":"L.","given":"Drgona","non-dropping-particle":"","parse-names":false,"suffix":""},{"dropping-particle":"","family":"R.","given":"Hargreaves","non-dropping-particle":"","parse-names":false,"suffix":""},{"dropping-particle":"","family":"P.","given":"Hubacek","non-dropping-particle":"","parse-names":false,"suffix":""},{"dropping-particle":"","family":"M.","given":"Kouba","non-dropping-particle":"","parse-names":false,"suffix":""},{"dropping-particle":"","family":"Z.","given":"Racil","non-dropping-particle":"","parse-names":false,"suffix":""},{"dropping-particle":"","family":"G.","given":"Klyasova","non-dropping-particle":"","parse-names":false,"suffix":""},{"dropping-particle":"","family":"G.","given":"Pettrikos","non-dropping-particle":"","parse-names":false,"suffix":""},{"dropping-particle":"","family":"E.","given":"Roilides","non-dropping-particle":"","parse-names":false,"suffix":""},{"dropping-particle":"","family":"A.","given":"Skiada","non-dropping-particle":"","parse-names":false,"suffix":""},{"dropping-particle":"","family":"V.","given":"Rizzi-Puechal","non-dropping-particle":"","parse-names":false,"suffix":""},{"dropping-particle":"","family":"J.","given":"Sinko","non-dropping-particle":"","parse-names":false,"suffix":""},{"dropping-particle":"","family":"M.","given":"Slavin","non-dropping-particle":"","parse-names":false,"suffix":""},{"dropping-particle":"","family":"J.","given":"Styczynski","non-dropping-particle":"","parse-names":false,"suffix":""},{"dropping-particle":"","family":"L.","given":"Tweddle","non-dropping-particle":"","parse-names":false,"suffix":""},{"dropping-particle":"","family":"C.","given":"Wood","non-dropping-particle":"","parse-names":false,"suffix":""}],"container-title":"Journal of Antimicrobial Chemotherapy","id":"ITEM-1","issued":{"date-parts":[["2016"]]},"title":"ECIL guidelines for preventing Pneumocystis jirovecii pneumonia in patients with haematological malignancies and stem cell transplant recipients","type":"article-journal"},"uris":["http://www.mendeley.com/documents/?uuid=9c7a401f-4312-4ee4-9a91-cb4dc05b1a8b","http://www.mendeley.com/documents/?uuid=432c4a63-eeff-4716-9bd2-7dafff7c9e49","http://www.mendeley.com/documents/?uuid=81507a67-4e5d-4519-a331-ca24cd066853","http://www.mendeley.com/documents/?uuid=02248e01-7925-499b-976f-af52cf75668f","http://www.mendeley.com/documents/?uuid=5eb13410-90ce-4305-bff0-16b816eefa2c","http://www.mendeley.com/documents/?uuid=53e0413c-28c9-42a7-821c-907d113790fd","http://www.mendeley.com/documents/?uuid=0bb08efd-3608-4f4f-965a-dd3ebe45222a"]}],"mendeley":{"formattedCitation":"[47]","plainTextFormattedCitation":"[47]","previouslyFormattedCitation":"[46]"},"properties":{"noteIndex":0},"schema":"https://github.com/citation-style-language/schema/raw/master/csl-citation.json"}</w:instrText>
      </w:r>
      <w:r w:rsidRPr="00DB1FCB">
        <w:rPr>
          <w:rFonts w:ascii="Times New Roman" w:hAnsi="Times New Roman" w:cs="Times New Roman"/>
          <w:b/>
          <w:sz w:val="24"/>
          <w:szCs w:val="24"/>
        </w:rPr>
        <w:fldChar w:fldCharType="separate"/>
      </w:r>
      <w:r w:rsidR="009C1B46" w:rsidRPr="009C1B46">
        <w:rPr>
          <w:rFonts w:ascii="Times New Roman" w:hAnsi="Times New Roman" w:cs="Times New Roman"/>
          <w:noProof/>
          <w:sz w:val="24"/>
          <w:szCs w:val="24"/>
        </w:rPr>
        <w:t>[47]</w:t>
      </w:r>
      <w:r w:rsidRPr="00DB1FCB">
        <w:rPr>
          <w:rFonts w:ascii="Times New Roman" w:hAnsi="Times New Roman" w:cs="Times New Roman"/>
          <w:sz w:val="24"/>
          <w:szCs w:val="24"/>
        </w:rPr>
        <w:fldChar w:fldCharType="end"/>
      </w:r>
    </w:p>
    <w:p w:rsidR="00DB1FCB" w:rsidRPr="00DB1FCB" w:rsidRDefault="00DB1FCB" w:rsidP="00780185">
      <w:pPr>
        <w:numPr>
          <w:ilvl w:val="0"/>
          <w:numId w:val="16"/>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Показания:</w:t>
      </w:r>
    </w:p>
    <w:p w:rsidR="00DB1FCB" w:rsidRPr="00DB1FCB" w:rsidRDefault="00DB1FCB" w:rsidP="00780185">
      <w:pPr>
        <w:numPr>
          <w:ilvl w:val="0"/>
          <w:numId w:val="5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Терапия глюкокортикоидами. </w:t>
      </w:r>
    </w:p>
    <w:p w:rsidR="00DB1FCB" w:rsidRPr="00DB1FCB" w:rsidRDefault="00DB1FCB" w:rsidP="00780185">
      <w:pPr>
        <w:numPr>
          <w:ilvl w:val="0"/>
          <w:numId w:val="5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Лечение препаратами, приводящими к снижению числа лимфоцитов CD4.</w:t>
      </w:r>
    </w:p>
    <w:p w:rsidR="00DB1FCB" w:rsidRPr="00DB1FCB" w:rsidRDefault="00DB1FCB" w:rsidP="00780185">
      <w:pPr>
        <w:numPr>
          <w:ilvl w:val="0"/>
          <w:numId w:val="5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Пациенты, имеющие в анамнезе пневмоцистную пневмонию.</w:t>
      </w:r>
    </w:p>
    <w:p w:rsidR="00DB1FCB" w:rsidRPr="00DB1FCB" w:rsidRDefault="00DB1FCB" w:rsidP="00780185">
      <w:pPr>
        <w:numPr>
          <w:ilvl w:val="0"/>
          <w:numId w:val="55"/>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Назначают один из следующих препаратов:</w:t>
      </w:r>
    </w:p>
    <w:p w:rsidR="00DB1FCB" w:rsidRPr="00DB1FCB" w:rsidRDefault="00DB1FCB" w:rsidP="00780185">
      <w:pPr>
        <w:numPr>
          <w:ilvl w:val="0"/>
          <w:numId w:val="5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Триметоприм/сульфаметоксазол назначают по 480 мг ежедневно. </w:t>
      </w:r>
    </w:p>
    <w:p w:rsidR="00DB1FCB" w:rsidRPr="00DB1FCB" w:rsidRDefault="00DB1FCB" w:rsidP="00780185">
      <w:pPr>
        <w:numPr>
          <w:ilvl w:val="0"/>
          <w:numId w:val="5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Дапсон, 100 мг внутрь ежедневно.</w:t>
      </w:r>
    </w:p>
    <w:p w:rsidR="00DB1FCB" w:rsidRPr="00DB1FCB" w:rsidRDefault="00DB1FCB" w:rsidP="00780185">
      <w:pPr>
        <w:numPr>
          <w:ilvl w:val="0"/>
          <w:numId w:val="54"/>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Пентамидин, 300 мг в виде аэрозоля через респираторный ингалятор или внутривенно каждые 3—4 недели.</w:t>
      </w:r>
    </w:p>
    <w:p w:rsidR="00DB1FCB" w:rsidRPr="00DB1FCB" w:rsidRDefault="00DB1FCB" w:rsidP="00780185">
      <w:pPr>
        <w:numPr>
          <w:ilvl w:val="0"/>
          <w:numId w:val="9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Препараты применяют в период цитостатической терапии и в течение всего периода нейтропении.</w:t>
      </w:r>
    </w:p>
    <w:p w:rsidR="00DB1FCB" w:rsidRPr="00DB1FCB" w:rsidRDefault="00DB1FCB" w:rsidP="00780185">
      <w:pPr>
        <w:numPr>
          <w:ilvl w:val="0"/>
          <w:numId w:val="99"/>
        </w:numPr>
        <w:tabs>
          <w:tab w:val="left" w:pos="0"/>
          <w:tab w:val="left" w:pos="567"/>
        </w:tabs>
        <w:spacing w:after="0" w:line="360" w:lineRule="auto"/>
        <w:ind w:left="0" w:firstLine="0"/>
        <w:jc w:val="both"/>
        <w:rPr>
          <w:rFonts w:ascii="Times New Roman" w:hAnsi="Times New Roman" w:cs="Times New Roman"/>
          <w:sz w:val="24"/>
          <w:szCs w:val="24"/>
        </w:rPr>
      </w:pPr>
      <w:r w:rsidRPr="00DB1FCB">
        <w:rPr>
          <w:rFonts w:ascii="Times New Roman" w:hAnsi="Times New Roman" w:cs="Times New Roman"/>
          <w:sz w:val="24"/>
          <w:szCs w:val="24"/>
        </w:rPr>
        <w:t xml:space="preserve">Использование триметоприма/сульфаметоксазола одновременно предупреждает инфекции, вызываемые </w:t>
      </w:r>
      <w:r w:rsidRPr="00DB1FCB">
        <w:rPr>
          <w:rFonts w:ascii="Times New Roman" w:hAnsi="Times New Roman" w:cs="Times New Roman"/>
          <w:i/>
          <w:sz w:val="24"/>
          <w:szCs w:val="24"/>
        </w:rPr>
        <w:t>Toxoplasma gondii, Listeria monocytogenes, Nocardia asteroides</w:t>
      </w:r>
      <w:r w:rsidRPr="00DB1FCB">
        <w:rPr>
          <w:rFonts w:ascii="Times New Roman" w:hAnsi="Times New Roman" w:cs="Times New Roman"/>
          <w:sz w:val="24"/>
          <w:szCs w:val="24"/>
        </w:rPr>
        <w:t xml:space="preserve">. </w:t>
      </w:r>
    </w:p>
    <w:p w:rsidR="00674B7A" w:rsidRDefault="00DB1FCB" w:rsidP="00674B7A">
      <w:pPr>
        <w:tabs>
          <w:tab w:val="left" w:pos="0"/>
          <w:tab w:val="left" w:pos="284"/>
        </w:tabs>
        <w:spacing w:after="0" w:line="360" w:lineRule="auto"/>
        <w:jc w:val="both"/>
        <w:rPr>
          <w:rFonts w:ascii="Times New Roman" w:hAnsi="Times New Roman" w:cs="Times New Roman"/>
          <w:b/>
          <w:sz w:val="24"/>
          <w:szCs w:val="24"/>
        </w:rPr>
      </w:pPr>
      <w:r w:rsidRPr="00515760">
        <w:rPr>
          <w:rFonts w:ascii="Times New Roman" w:hAnsi="Times New Roman" w:cs="Times New Roman"/>
          <w:sz w:val="24"/>
          <w:szCs w:val="24"/>
        </w:rPr>
        <w:t xml:space="preserve">Пациенты, инфицированные </w:t>
      </w:r>
      <w:r w:rsidRPr="00515760">
        <w:rPr>
          <w:rFonts w:ascii="Times New Roman" w:hAnsi="Times New Roman" w:cs="Times New Roman"/>
          <w:i/>
          <w:sz w:val="24"/>
          <w:szCs w:val="24"/>
        </w:rPr>
        <w:t>Pneumocystis jiroveci</w:t>
      </w:r>
      <w:r w:rsidRPr="00515760">
        <w:rPr>
          <w:rFonts w:ascii="Times New Roman" w:hAnsi="Times New Roman" w:cs="Times New Roman"/>
          <w:sz w:val="24"/>
          <w:szCs w:val="24"/>
        </w:rPr>
        <w:t>, не должны находиться в одной палате с другими иммунокомпрометированными больными.</w:t>
      </w:r>
      <w:r w:rsidRPr="00515760">
        <w:rPr>
          <w:rFonts w:ascii="Times New Roman" w:hAnsi="Times New Roman" w:cs="Times New Roman"/>
          <w:sz w:val="24"/>
          <w:szCs w:val="24"/>
        </w:rPr>
        <w:cr/>
      </w:r>
    </w:p>
    <w:p w:rsidR="00163277" w:rsidRPr="00515760" w:rsidRDefault="00163277" w:rsidP="000E023B">
      <w:pPr>
        <w:tabs>
          <w:tab w:val="left" w:pos="0"/>
          <w:tab w:val="left" w:pos="567"/>
        </w:tabs>
        <w:spacing w:line="360" w:lineRule="auto"/>
        <w:jc w:val="center"/>
        <w:rPr>
          <w:rFonts w:ascii="Times New Roman" w:hAnsi="Times New Roman" w:cs="Times New Roman"/>
          <w:b/>
          <w:sz w:val="24"/>
        </w:rPr>
      </w:pPr>
      <w:r w:rsidRPr="00515760">
        <w:rPr>
          <w:rFonts w:ascii="Times New Roman" w:hAnsi="Times New Roman" w:cs="Times New Roman"/>
          <w:b/>
          <w:sz w:val="24"/>
        </w:rPr>
        <w:lastRenderedPageBreak/>
        <w:t>Иммуноглобулин человеческий</w:t>
      </w:r>
    </w:p>
    <w:p w:rsidR="00674B7A" w:rsidRDefault="00163277" w:rsidP="00674B7A">
      <w:pPr>
        <w:pStyle w:val="a3"/>
        <w:spacing w:line="360" w:lineRule="auto"/>
        <w:ind w:left="0" w:firstLine="709"/>
        <w:jc w:val="both"/>
      </w:pPr>
      <w:r w:rsidRPr="00163277">
        <w:rPr>
          <w:rFonts w:ascii="Times New Roman" w:hAnsi="Times New Roman" w:cs="Times New Roman"/>
          <w:sz w:val="24"/>
        </w:rPr>
        <w:t xml:space="preserve">У пациентов после ауто-ТГСК развивается вторичный иммунодефицит. Для коррекции гипогаммаглобулинемии применяют препараты человеческого иммуноглобулина. Человеческий иммуноглобулин, восполняя дефицит антител, снижает риск развития инфекций у больных со вторичным иммунодефицитом. </w:t>
      </w:r>
    </w:p>
    <w:p w:rsidR="00163277" w:rsidRPr="00674B7A" w:rsidRDefault="00163277" w:rsidP="00674B7A">
      <w:pPr>
        <w:pStyle w:val="a3"/>
        <w:spacing w:line="360" w:lineRule="auto"/>
        <w:ind w:left="0" w:firstLine="709"/>
        <w:jc w:val="both"/>
      </w:pPr>
      <w:r w:rsidRPr="000C7299">
        <w:rPr>
          <w:rFonts w:ascii="Times New Roman" w:hAnsi="Times New Roman" w:cs="Times New Roman"/>
          <w:sz w:val="24"/>
        </w:rPr>
        <w:t>До выхода больного из МТА рекомендовано введение препарата внутривенно капельно в дозе 0,4 г/кг еженедельно. При тяжелых бактериальных и вирусных инфекциях рекомендовано 0.4-1 г/кг ежедневно</w:t>
      </w:r>
      <w:r w:rsidRPr="00163277">
        <w:rPr>
          <w:rFonts w:ascii="Times New Roman" w:hAnsi="Times New Roman" w:cs="Times New Roman"/>
          <w:sz w:val="24"/>
        </w:rPr>
        <w:t xml:space="preserve"> в течение 1-4 дней. Перед введением препарат следует согреть до комнатной температуры или температуры тела. Начальная скорость инфузии - 30 кап/мин (1.65 мл/мин), через 10 мин скорость увеличивают до 40 кап/мин (2.2 мл/мин).</w:t>
      </w:r>
    </w:p>
    <w:p w:rsidR="00635E72" w:rsidRDefault="00C17B4D" w:rsidP="00780185">
      <w:pPr>
        <w:pStyle w:val="1"/>
        <w:numPr>
          <w:ilvl w:val="1"/>
          <w:numId w:val="112"/>
        </w:numPr>
        <w:spacing w:before="0" w:after="240"/>
        <w:jc w:val="center"/>
        <w:rPr>
          <w:rFonts w:ascii="Times New Roman" w:hAnsi="Times New Roman" w:cs="Times New Roman"/>
          <w:color w:val="auto"/>
          <w:sz w:val="24"/>
        </w:rPr>
      </w:pPr>
      <w:r>
        <w:rPr>
          <w:rFonts w:ascii="Times New Roman" w:hAnsi="Times New Roman" w:cs="Times New Roman"/>
          <w:color w:val="auto"/>
          <w:sz w:val="24"/>
        </w:rPr>
        <w:t xml:space="preserve"> </w:t>
      </w:r>
      <w:bookmarkStart w:id="42" w:name="_Toc44926639"/>
      <w:r w:rsidR="00635E72" w:rsidRPr="00FA7541">
        <w:rPr>
          <w:rFonts w:ascii="Times New Roman" w:hAnsi="Times New Roman" w:cs="Times New Roman"/>
          <w:color w:val="auto"/>
          <w:sz w:val="24"/>
        </w:rPr>
        <w:t>Трансфузионная терапия</w:t>
      </w:r>
      <w:bookmarkEnd w:id="42"/>
    </w:p>
    <w:p w:rsidR="00163277" w:rsidRPr="00163277" w:rsidRDefault="00163277" w:rsidP="000E023B">
      <w:pPr>
        <w:spacing w:after="0" w:line="360" w:lineRule="auto"/>
        <w:ind w:firstLine="709"/>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В ранний пострансплантационный период в связи с развитием анемии, тромбоцитопении, геморрагического синдрома пациентам требуется заместительная терапия компонентами крови. Чаще всего используются эритроцитная масса, тромбоконцентрат, СЗП</w:t>
      </w:r>
    </w:p>
    <w:p w:rsidR="00163277" w:rsidRPr="00163277" w:rsidRDefault="00163277" w:rsidP="000E023B">
      <w:pPr>
        <w:spacing w:after="0" w:line="360" w:lineRule="auto"/>
        <w:ind w:firstLine="709"/>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Показания к переливанию эритроцитсодержащих сред при ауто-ТГСК:</w:t>
      </w:r>
    </w:p>
    <w:p w:rsidR="00163277" w:rsidRPr="00163277" w:rsidRDefault="00B5291B" w:rsidP="00780185">
      <w:pPr>
        <w:numPr>
          <w:ilvl w:val="0"/>
          <w:numId w:val="130"/>
        </w:numPr>
        <w:spacing w:after="0" w:line="36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Пациентам при значимом снижении гемоглобина </w:t>
      </w:r>
      <w:r w:rsidR="00163277" w:rsidRPr="00163277">
        <w:rPr>
          <w:rFonts w:ascii="Times New Roman" w:eastAsia="Calibri" w:hAnsi="Times New Roman" w:cs="Times New Roman"/>
          <w:sz w:val="24"/>
          <w:szCs w:val="24"/>
        </w:rPr>
        <w:t>и наличии анемических жалоб рекомендованы заместительные трансфузии эритроцитов;</w:t>
      </w:r>
    </w:p>
    <w:p w:rsidR="00163277" w:rsidRPr="00163277" w:rsidRDefault="00163277" w:rsidP="00780185">
      <w:pPr>
        <w:numPr>
          <w:ilvl w:val="0"/>
          <w:numId w:val="130"/>
        </w:numPr>
        <w:spacing w:line="360" w:lineRule="auto"/>
        <w:ind w:left="0" w:firstLine="709"/>
        <w:contextualSpacing/>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При активном кровотечении трансфузии эритроцитов показаны при уровне гемоглобина менее 70-90 г/л;</w:t>
      </w:r>
    </w:p>
    <w:p w:rsidR="00163277" w:rsidRPr="00163277" w:rsidRDefault="00163277" w:rsidP="00780185">
      <w:pPr>
        <w:numPr>
          <w:ilvl w:val="0"/>
          <w:numId w:val="130"/>
        </w:numPr>
        <w:spacing w:line="360" w:lineRule="auto"/>
        <w:ind w:left="0" w:firstLine="709"/>
        <w:contextualSpacing/>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Пациентам с тяжелыми инфекционными осложнениями (сепсис, пневмония), кардиопатиями (ИБС, миокардит), субарахноидальным кровоизлиянием,  больным старше 60 лет трансфузии эритроцитов рекомендованы при уровне гемоглобина менее 100 г/л;</w:t>
      </w:r>
    </w:p>
    <w:p w:rsidR="00163277" w:rsidRPr="00163277" w:rsidRDefault="00163277" w:rsidP="00780185">
      <w:pPr>
        <w:numPr>
          <w:ilvl w:val="0"/>
          <w:numId w:val="130"/>
        </w:numPr>
        <w:spacing w:line="360" w:lineRule="auto"/>
        <w:ind w:left="0" w:firstLine="709"/>
        <w:contextualSpacing/>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Пациентам с хронической анемией трансфузии эритроцитов рекомендованы при уровне гемоглобина менее 60 г/л</w:t>
      </w:r>
    </w:p>
    <w:p w:rsidR="00163277" w:rsidRPr="00163277" w:rsidRDefault="00163277" w:rsidP="000E023B">
      <w:pPr>
        <w:spacing w:after="0" w:line="360" w:lineRule="auto"/>
        <w:ind w:firstLine="709"/>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Показания к переливанию концентратата тромбоцитов при ауто-ТГСК:</w:t>
      </w:r>
    </w:p>
    <w:p w:rsidR="00163277" w:rsidRPr="00A64221" w:rsidRDefault="00163277" w:rsidP="00780185">
      <w:pPr>
        <w:numPr>
          <w:ilvl w:val="0"/>
          <w:numId w:val="131"/>
        </w:numPr>
        <w:spacing w:line="360" w:lineRule="auto"/>
        <w:ind w:left="0" w:firstLine="709"/>
        <w:contextualSpacing/>
        <w:jc w:val="both"/>
        <w:rPr>
          <w:rFonts w:ascii="Times New Roman" w:eastAsia="Calibri" w:hAnsi="Times New Roman" w:cs="Times New Roman"/>
          <w:sz w:val="24"/>
          <w:szCs w:val="24"/>
        </w:rPr>
      </w:pPr>
      <w:r w:rsidRPr="00A64221">
        <w:rPr>
          <w:rFonts w:ascii="Times New Roman" w:eastAsia="Calibri" w:hAnsi="Times New Roman" w:cs="Times New Roman"/>
          <w:sz w:val="24"/>
          <w:szCs w:val="24"/>
        </w:rPr>
        <w:t>Снижение тромбоцитов крови менее 20 ×10</w:t>
      </w:r>
      <w:r w:rsidRPr="00A64221">
        <w:rPr>
          <w:rFonts w:ascii="Times New Roman" w:eastAsia="Calibri" w:hAnsi="Times New Roman" w:cs="Times New Roman"/>
          <w:sz w:val="24"/>
          <w:szCs w:val="24"/>
          <w:vertAlign w:val="superscript"/>
        </w:rPr>
        <w:t>9</w:t>
      </w:r>
      <w:r w:rsidRPr="00A64221">
        <w:rPr>
          <w:rFonts w:ascii="Times New Roman" w:eastAsia="Calibri" w:hAnsi="Times New Roman" w:cs="Times New Roman"/>
          <w:sz w:val="24"/>
          <w:szCs w:val="24"/>
        </w:rPr>
        <w:t>/л</w:t>
      </w:r>
    </w:p>
    <w:p w:rsidR="00163277" w:rsidRPr="00163277" w:rsidRDefault="00163277" w:rsidP="00780185">
      <w:pPr>
        <w:numPr>
          <w:ilvl w:val="0"/>
          <w:numId w:val="131"/>
        </w:numPr>
        <w:spacing w:line="360" w:lineRule="auto"/>
        <w:ind w:left="0" w:firstLine="709"/>
        <w:contextualSpacing/>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При необходимости выполнения диагностической люмбальной пункции, малоинвазивного вмешательства (эзофагогастродуоденоскопия, бронхоскопия) трансфузия тромбоконцентрата показана при снижении тромбоцитов крови менее 50 ×10</w:t>
      </w:r>
      <w:r w:rsidRPr="00163277">
        <w:rPr>
          <w:rFonts w:ascii="Times New Roman" w:eastAsia="Calibri" w:hAnsi="Times New Roman" w:cs="Times New Roman"/>
          <w:sz w:val="24"/>
          <w:szCs w:val="24"/>
          <w:vertAlign w:val="superscript"/>
        </w:rPr>
        <w:t>9</w:t>
      </w:r>
      <w:r w:rsidRPr="00163277">
        <w:rPr>
          <w:rFonts w:ascii="Times New Roman" w:eastAsia="Calibri" w:hAnsi="Times New Roman" w:cs="Times New Roman"/>
          <w:sz w:val="24"/>
          <w:szCs w:val="24"/>
        </w:rPr>
        <w:t>/л</w:t>
      </w:r>
    </w:p>
    <w:p w:rsidR="00163277" w:rsidRPr="00163277" w:rsidRDefault="00163277" w:rsidP="00780185">
      <w:pPr>
        <w:numPr>
          <w:ilvl w:val="0"/>
          <w:numId w:val="131"/>
        </w:numPr>
        <w:spacing w:line="360" w:lineRule="auto"/>
        <w:ind w:left="0" w:firstLine="709"/>
        <w:contextualSpacing/>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lastRenderedPageBreak/>
        <w:t>Наличие геморрагического синдрома – прямое показание к переливанию тромбоконцентрата независимо от лабораторных показателей;</w:t>
      </w:r>
    </w:p>
    <w:p w:rsidR="00163277" w:rsidRPr="00163277" w:rsidRDefault="00163277" w:rsidP="000E023B">
      <w:pPr>
        <w:spacing w:line="360" w:lineRule="auto"/>
        <w:ind w:firstLine="709"/>
        <w:jc w:val="both"/>
        <w:rPr>
          <w:rFonts w:ascii="Times New Roman" w:eastAsia="Calibri" w:hAnsi="Times New Roman" w:cs="Times New Roman"/>
          <w:sz w:val="24"/>
          <w:szCs w:val="24"/>
        </w:rPr>
      </w:pPr>
      <w:r w:rsidRPr="00163277">
        <w:rPr>
          <w:rFonts w:ascii="Times New Roman" w:eastAsia="Calibri" w:hAnsi="Times New Roman" w:cs="Times New Roman"/>
          <w:sz w:val="24"/>
          <w:szCs w:val="24"/>
        </w:rPr>
        <w:t xml:space="preserve">СЗП является универсальным препаратом для восполнения дефицита факторов свертывания. Показания к применению СЗП при ауто-ТГСК: </w:t>
      </w:r>
    </w:p>
    <w:p w:rsidR="00163277" w:rsidRPr="00163277" w:rsidRDefault="00163277" w:rsidP="00780185">
      <w:pPr>
        <w:numPr>
          <w:ilvl w:val="0"/>
          <w:numId w:val="132"/>
        </w:numPr>
        <w:spacing w:line="360" w:lineRule="auto"/>
        <w:ind w:left="0" w:firstLine="709"/>
        <w:contextualSpacing/>
        <w:jc w:val="both"/>
        <w:rPr>
          <w:rFonts w:ascii="Times New Roman" w:eastAsia="Calibri" w:hAnsi="Times New Roman" w:cs="Times New Roman"/>
          <w:sz w:val="24"/>
        </w:rPr>
      </w:pPr>
      <w:r w:rsidRPr="00163277">
        <w:rPr>
          <w:rFonts w:ascii="Times New Roman" w:eastAsia="Calibri" w:hAnsi="Times New Roman" w:cs="Times New Roman"/>
          <w:sz w:val="24"/>
        </w:rPr>
        <w:t>Коррекция дефицита известного фактора свертывания, при отсутствии специфического концентрата фактора. Требуется переливание СЗП из расчета 10-15 мл/кг.</w:t>
      </w:r>
    </w:p>
    <w:p w:rsidR="00163277" w:rsidRPr="00163277" w:rsidRDefault="00163277" w:rsidP="00780185">
      <w:pPr>
        <w:numPr>
          <w:ilvl w:val="0"/>
          <w:numId w:val="132"/>
        </w:numPr>
        <w:spacing w:line="360" w:lineRule="auto"/>
        <w:ind w:left="0" w:firstLine="709"/>
        <w:contextualSpacing/>
        <w:jc w:val="both"/>
        <w:rPr>
          <w:rFonts w:ascii="Times New Roman" w:eastAsia="Calibri" w:hAnsi="Times New Roman" w:cs="Times New Roman"/>
          <w:sz w:val="24"/>
        </w:rPr>
      </w:pPr>
      <w:r w:rsidRPr="00163277">
        <w:rPr>
          <w:rFonts w:ascii="Times New Roman" w:eastAsia="Calibri" w:hAnsi="Times New Roman" w:cs="Times New Roman"/>
          <w:sz w:val="24"/>
        </w:rPr>
        <w:t>Коррекция геморрагического синдрома</w:t>
      </w:r>
    </w:p>
    <w:p w:rsidR="000E023B" w:rsidRDefault="00163277" w:rsidP="000E023B">
      <w:pPr>
        <w:spacing w:after="0" w:line="360" w:lineRule="auto"/>
        <w:ind w:firstLine="709"/>
        <w:jc w:val="both"/>
        <w:rPr>
          <w:rFonts w:ascii="Times New Roman" w:eastAsia="Calibri" w:hAnsi="Times New Roman" w:cs="Times New Roman"/>
          <w:sz w:val="24"/>
        </w:rPr>
      </w:pPr>
      <w:r w:rsidRPr="00163277">
        <w:rPr>
          <w:rFonts w:ascii="Times New Roman" w:eastAsia="Calibri" w:hAnsi="Times New Roman" w:cs="Times New Roman"/>
          <w:sz w:val="24"/>
          <w:szCs w:val="24"/>
        </w:rPr>
        <w:t>Основным показанием к применению криопреципитата при ауто-ТГСК является г</w:t>
      </w:r>
      <w:r w:rsidRPr="00163277">
        <w:rPr>
          <w:rFonts w:ascii="Times New Roman" w:eastAsia="Calibri" w:hAnsi="Times New Roman" w:cs="Times New Roman"/>
          <w:sz w:val="24"/>
        </w:rPr>
        <w:t>ипофибриногенемия (фибриноген менее 1 г/л).</w:t>
      </w:r>
      <w:r w:rsidR="000E023B">
        <w:rPr>
          <w:rFonts w:ascii="Times New Roman" w:eastAsia="Calibri" w:hAnsi="Times New Roman" w:cs="Times New Roman"/>
          <w:sz w:val="24"/>
        </w:rPr>
        <w:t xml:space="preserve"> </w:t>
      </w:r>
    </w:p>
    <w:p w:rsidR="00163277" w:rsidRPr="00163277" w:rsidRDefault="00163277" w:rsidP="000E023B">
      <w:pPr>
        <w:spacing w:after="0" w:line="360" w:lineRule="auto"/>
        <w:ind w:firstLine="709"/>
        <w:jc w:val="both"/>
        <w:rPr>
          <w:rFonts w:ascii="Times New Roman" w:eastAsia="Calibri" w:hAnsi="Times New Roman" w:cs="Times New Roman"/>
          <w:sz w:val="24"/>
        </w:rPr>
      </w:pPr>
      <w:r w:rsidRPr="00163277">
        <w:rPr>
          <w:rFonts w:ascii="Times New Roman" w:eastAsia="Calibri" w:hAnsi="Times New Roman" w:cs="Times New Roman"/>
          <w:sz w:val="24"/>
        </w:rPr>
        <w:t>Принимая во внимание, что пациенты с онкогематологическими заболеваниями нуждаются в многократных трансфузиях компонентов крови, с целью профилактики нежелательных реакций и посттрансфузионных осложнений рекомендовано использование компонентов крови со следующими характеристиками:</w:t>
      </w:r>
    </w:p>
    <w:p w:rsidR="00163277" w:rsidRPr="00163277" w:rsidRDefault="00163277" w:rsidP="00780185">
      <w:pPr>
        <w:numPr>
          <w:ilvl w:val="0"/>
          <w:numId w:val="133"/>
        </w:numPr>
        <w:spacing w:line="360" w:lineRule="auto"/>
        <w:ind w:left="0" w:firstLine="709"/>
        <w:contextualSpacing/>
        <w:jc w:val="both"/>
        <w:rPr>
          <w:rFonts w:ascii="Times New Roman" w:eastAsia="Calibri" w:hAnsi="Times New Roman" w:cs="Times New Roman"/>
          <w:sz w:val="24"/>
        </w:rPr>
      </w:pPr>
      <w:r w:rsidRPr="00163277">
        <w:rPr>
          <w:rFonts w:ascii="Times New Roman" w:eastAsia="Calibri" w:hAnsi="Times New Roman" w:cs="Times New Roman"/>
          <w:sz w:val="24"/>
        </w:rPr>
        <w:t>Лейкоредуциорванные среды;</w:t>
      </w:r>
    </w:p>
    <w:p w:rsidR="00163277" w:rsidRPr="00163277" w:rsidRDefault="00163277" w:rsidP="00780185">
      <w:pPr>
        <w:numPr>
          <w:ilvl w:val="0"/>
          <w:numId w:val="133"/>
        </w:numPr>
        <w:spacing w:line="360" w:lineRule="auto"/>
        <w:ind w:left="0" w:firstLine="709"/>
        <w:contextualSpacing/>
        <w:jc w:val="both"/>
        <w:rPr>
          <w:rFonts w:ascii="Times New Roman" w:eastAsia="Calibri" w:hAnsi="Times New Roman" w:cs="Times New Roman"/>
          <w:sz w:val="24"/>
        </w:rPr>
      </w:pPr>
      <w:r w:rsidRPr="00163277">
        <w:rPr>
          <w:rFonts w:ascii="Times New Roman" w:eastAsia="Calibri" w:hAnsi="Times New Roman" w:cs="Times New Roman"/>
          <w:sz w:val="24"/>
        </w:rPr>
        <w:t>Облученные эритроциты и тромбоциты (гамма-излучение или рентгеновское излучение в дозе 25-50 Гр)</w:t>
      </w:r>
    </w:p>
    <w:p w:rsidR="00163277" w:rsidRDefault="00163277" w:rsidP="00780185">
      <w:pPr>
        <w:numPr>
          <w:ilvl w:val="0"/>
          <w:numId w:val="133"/>
        </w:numPr>
        <w:spacing w:line="360" w:lineRule="auto"/>
        <w:ind w:left="0" w:firstLine="709"/>
        <w:contextualSpacing/>
        <w:jc w:val="both"/>
        <w:rPr>
          <w:rFonts w:ascii="Times New Roman" w:eastAsia="Calibri" w:hAnsi="Times New Roman" w:cs="Times New Roman"/>
          <w:sz w:val="24"/>
        </w:rPr>
      </w:pPr>
      <w:r w:rsidRPr="00163277">
        <w:rPr>
          <w:rFonts w:ascii="Times New Roman" w:eastAsia="Calibri" w:hAnsi="Times New Roman" w:cs="Times New Roman"/>
          <w:sz w:val="24"/>
        </w:rPr>
        <w:t>Проведение инактивации патогенов в концентрате тромбоцитов.</w:t>
      </w:r>
    </w:p>
    <w:p w:rsidR="009D3DD0" w:rsidRDefault="009D3DD0" w:rsidP="009D3DD0">
      <w:pPr>
        <w:pStyle w:val="1"/>
        <w:numPr>
          <w:ilvl w:val="1"/>
          <w:numId w:val="112"/>
        </w:numPr>
        <w:spacing w:before="0" w:after="240"/>
        <w:jc w:val="center"/>
        <w:rPr>
          <w:rFonts w:ascii="Times New Roman" w:hAnsi="Times New Roman" w:cs="Times New Roman"/>
          <w:color w:val="auto"/>
          <w:sz w:val="24"/>
        </w:rPr>
      </w:pPr>
      <w:r>
        <w:rPr>
          <w:rFonts w:ascii="Times New Roman" w:hAnsi="Times New Roman" w:cs="Times New Roman"/>
          <w:color w:val="auto"/>
          <w:sz w:val="24"/>
        </w:rPr>
        <w:t xml:space="preserve"> </w:t>
      </w:r>
      <w:bookmarkStart w:id="43" w:name="_Toc44926640"/>
      <w:r>
        <w:rPr>
          <w:rFonts w:ascii="Times New Roman" w:hAnsi="Times New Roman" w:cs="Times New Roman"/>
          <w:color w:val="auto"/>
          <w:sz w:val="24"/>
        </w:rPr>
        <w:t>Лабораторный и инструментальный мониторинг в раннем посттрансплантационном периоде</w:t>
      </w:r>
      <w:bookmarkEnd w:id="43"/>
    </w:p>
    <w:p w:rsidR="009D3DD0" w:rsidRDefault="009D3DD0" w:rsidP="0063438B">
      <w:pPr>
        <w:spacing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Всем пациентам в раннем посттрансплантационном периоде проводится регулярное исследование общего анализ</w:t>
      </w:r>
      <w:r w:rsidR="00EB0A57">
        <w:rPr>
          <w:rFonts w:ascii="Times New Roman" w:eastAsia="Calibri" w:hAnsi="Times New Roman" w:cs="Times New Roman"/>
          <w:sz w:val="24"/>
        </w:rPr>
        <w:t>а</w:t>
      </w:r>
      <w:r>
        <w:rPr>
          <w:rFonts w:ascii="Times New Roman" w:eastAsia="Calibri" w:hAnsi="Times New Roman" w:cs="Times New Roman"/>
          <w:sz w:val="24"/>
        </w:rPr>
        <w:t xml:space="preserve"> крови (с целью коррекции анемии и тромбоцитопении), биохимических параметров (с целью коррекции электролитов, гипоальбуминемии), показателей коагулограммы с целью контроля гемостаза, общий анализ мочи, электрокардиограмма и др. методы исследования при необходимости, включая КТ легких, МРТ головного мозга, ХОЛТЕР-ЭКГ. </w:t>
      </w:r>
    </w:p>
    <w:p w:rsidR="009D3DD0" w:rsidRPr="009D3DD0" w:rsidRDefault="009D3DD0" w:rsidP="0063438B">
      <w:pPr>
        <w:spacing w:line="360" w:lineRule="auto"/>
        <w:ind w:firstLine="709"/>
        <w:contextualSpacing/>
        <w:jc w:val="both"/>
        <w:rPr>
          <w:rFonts w:ascii="Times New Roman" w:eastAsia="Calibri" w:hAnsi="Times New Roman" w:cs="Times New Roman"/>
          <w:sz w:val="24"/>
        </w:rPr>
      </w:pPr>
      <w:r>
        <w:rPr>
          <w:rFonts w:ascii="Times New Roman" w:eastAsia="Calibri" w:hAnsi="Times New Roman" w:cs="Times New Roman"/>
          <w:sz w:val="24"/>
        </w:rPr>
        <w:t xml:space="preserve">Частота </w:t>
      </w:r>
      <w:r w:rsidRPr="009D3DD0">
        <w:rPr>
          <w:rFonts w:ascii="Times New Roman" w:eastAsia="Calibri" w:hAnsi="Times New Roman" w:cs="Times New Roman"/>
          <w:sz w:val="24"/>
        </w:rPr>
        <w:t>исследования данных показателей может изменяться в зависимости от конкретной клинической ситуации.</w:t>
      </w:r>
    </w:p>
    <w:p w:rsidR="009D3DD0" w:rsidRPr="009D3DD0" w:rsidRDefault="009D3DD0" w:rsidP="009D3DD0">
      <w:pPr>
        <w:spacing w:line="360" w:lineRule="auto"/>
        <w:ind w:left="709" w:hanging="709"/>
        <w:contextualSpacing/>
        <w:jc w:val="both"/>
        <w:rPr>
          <w:rFonts w:ascii="Times New Roman" w:eastAsia="Calibri" w:hAnsi="Times New Roman" w:cs="Times New Roman"/>
          <w:sz w:val="24"/>
        </w:rPr>
      </w:pPr>
      <w:r w:rsidRPr="009D3DD0">
        <w:rPr>
          <w:rFonts w:ascii="Times New Roman" w:eastAsia="Calibri" w:hAnsi="Times New Roman" w:cs="Times New Roman"/>
          <w:sz w:val="24"/>
        </w:rPr>
        <w:t xml:space="preserve">• </w:t>
      </w:r>
      <w:r w:rsidR="0063438B">
        <w:rPr>
          <w:rFonts w:ascii="Times New Roman" w:eastAsia="Calibri" w:hAnsi="Times New Roman" w:cs="Times New Roman"/>
          <w:sz w:val="24"/>
        </w:rPr>
        <w:t>О</w:t>
      </w:r>
      <w:r>
        <w:rPr>
          <w:rFonts w:ascii="Times New Roman" w:eastAsia="Calibri" w:hAnsi="Times New Roman" w:cs="Times New Roman"/>
          <w:sz w:val="24"/>
        </w:rPr>
        <w:t>бщий анализ крови</w:t>
      </w:r>
      <w:r w:rsidRPr="009D3DD0">
        <w:rPr>
          <w:rFonts w:ascii="Times New Roman" w:eastAsia="Calibri" w:hAnsi="Times New Roman" w:cs="Times New Roman"/>
          <w:sz w:val="24"/>
        </w:rPr>
        <w:t xml:space="preserve"> 1 раз в </w:t>
      </w:r>
      <w:r>
        <w:rPr>
          <w:rFonts w:ascii="Times New Roman" w:eastAsia="Calibri" w:hAnsi="Times New Roman" w:cs="Times New Roman"/>
          <w:sz w:val="24"/>
        </w:rPr>
        <w:t>2</w:t>
      </w:r>
      <w:r w:rsidRPr="009D3DD0">
        <w:rPr>
          <w:rFonts w:ascii="Times New Roman" w:eastAsia="Calibri" w:hAnsi="Times New Roman" w:cs="Times New Roman"/>
          <w:sz w:val="24"/>
        </w:rPr>
        <w:t>–</w:t>
      </w:r>
      <w:r>
        <w:rPr>
          <w:rFonts w:ascii="Times New Roman" w:eastAsia="Calibri" w:hAnsi="Times New Roman" w:cs="Times New Roman"/>
          <w:sz w:val="24"/>
        </w:rPr>
        <w:t>3</w:t>
      </w:r>
      <w:r w:rsidRPr="009D3DD0">
        <w:rPr>
          <w:rFonts w:ascii="Times New Roman" w:eastAsia="Calibri" w:hAnsi="Times New Roman" w:cs="Times New Roman"/>
          <w:sz w:val="24"/>
        </w:rPr>
        <w:t xml:space="preserve"> дн</w:t>
      </w:r>
      <w:r>
        <w:rPr>
          <w:rFonts w:ascii="Times New Roman" w:eastAsia="Calibri" w:hAnsi="Times New Roman" w:cs="Times New Roman"/>
          <w:sz w:val="24"/>
        </w:rPr>
        <w:t>я</w:t>
      </w:r>
      <w:r w:rsidRPr="009D3DD0">
        <w:rPr>
          <w:rFonts w:ascii="Times New Roman" w:eastAsia="Calibri" w:hAnsi="Times New Roman" w:cs="Times New Roman"/>
          <w:sz w:val="24"/>
        </w:rPr>
        <w:t>.</w:t>
      </w:r>
    </w:p>
    <w:p w:rsidR="009D3DD0" w:rsidRPr="009D3DD0" w:rsidRDefault="009D3DD0" w:rsidP="009D3DD0">
      <w:pPr>
        <w:spacing w:line="360" w:lineRule="auto"/>
        <w:ind w:left="709" w:hanging="709"/>
        <w:contextualSpacing/>
        <w:jc w:val="both"/>
        <w:rPr>
          <w:rFonts w:ascii="Times New Roman" w:eastAsia="Calibri" w:hAnsi="Times New Roman" w:cs="Times New Roman"/>
          <w:sz w:val="24"/>
        </w:rPr>
      </w:pPr>
      <w:r w:rsidRPr="009D3DD0">
        <w:rPr>
          <w:rFonts w:ascii="Times New Roman" w:eastAsia="Calibri" w:hAnsi="Times New Roman" w:cs="Times New Roman"/>
          <w:sz w:val="24"/>
        </w:rPr>
        <w:t xml:space="preserve">• </w:t>
      </w:r>
      <w:r>
        <w:rPr>
          <w:rFonts w:ascii="Times New Roman" w:eastAsia="Calibri" w:hAnsi="Times New Roman" w:cs="Times New Roman"/>
          <w:sz w:val="24"/>
        </w:rPr>
        <w:t xml:space="preserve">Биохимический анализ крови </w:t>
      </w:r>
      <w:r w:rsidRPr="009D3DD0">
        <w:rPr>
          <w:rFonts w:ascii="Times New Roman" w:eastAsia="Calibri" w:hAnsi="Times New Roman" w:cs="Times New Roman"/>
          <w:sz w:val="24"/>
        </w:rPr>
        <w:t xml:space="preserve">1 раз в </w:t>
      </w:r>
      <w:r>
        <w:rPr>
          <w:rFonts w:ascii="Times New Roman" w:eastAsia="Calibri" w:hAnsi="Times New Roman" w:cs="Times New Roman"/>
          <w:sz w:val="24"/>
        </w:rPr>
        <w:t>2</w:t>
      </w:r>
      <w:r w:rsidRPr="009D3DD0">
        <w:rPr>
          <w:rFonts w:ascii="Times New Roman" w:eastAsia="Calibri" w:hAnsi="Times New Roman" w:cs="Times New Roman"/>
          <w:sz w:val="24"/>
        </w:rPr>
        <w:t>–</w:t>
      </w:r>
      <w:r>
        <w:rPr>
          <w:rFonts w:ascii="Times New Roman" w:eastAsia="Calibri" w:hAnsi="Times New Roman" w:cs="Times New Roman"/>
          <w:sz w:val="24"/>
        </w:rPr>
        <w:t>3</w:t>
      </w:r>
      <w:r w:rsidRPr="009D3DD0">
        <w:rPr>
          <w:rFonts w:ascii="Times New Roman" w:eastAsia="Calibri" w:hAnsi="Times New Roman" w:cs="Times New Roman"/>
          <w:sz w:val="24"/>
        </w:rPr>
        <w:t xml:space="preserve"> дн</w:t>
      </w:r>
      <w:r>
        <w:rPr>
          <w:rFonts w:ascii="Times New Roman" w:eastAsia="Calibri" w:hAnsi="Times New Roman" w:cs="Times New Roman"/>
          <w:sz w:val="24"/>
        </w:rPr>
        <w:t>я</w:t>
      </w:r>
      <w:r w:rsidRPr="009D3DD0">
        <w:rPr>
          <w:rFonts w:ascii="Times New Roman" w:eastAsia="Calibri" w:hAnsi="Times New Roman" w:cs="Times New Roman"/>
          <w:sz w:val="24"/>
        </w:rPr>
        <w:t>.</w:t>
      </w:r>
    </w:p>
    <w:p w:rsidR="0063438B" w:rsidRPr="009D3DD0" w:rsidRDefault="009D3DD0" w:rsidP="0063438B">
      <w:pPr>
        <w:spacing w:line="360" w:lineRule="auto"/>
        <w:ind w:left="709" w:hanging="709"/>
        <w:contextualSpacing/>
        <w:jc w:val="both"/>
        <w:rPr>
          <w:rFonts w:ascii="Times New Roman" w:eastAsia="Calibri" w:hAnsi="Times New Roman" w:cs="Times New Roman"/>
          <w:sz w:val="24"/>
        </w:rPr>
      </w:pPr>
      <w:r w:rsidRPr="009D3DD0">
        <w:rPr>
          <w:rFonts w:ascii="Times New Roman" w:eastAsia="Calibri" w:hAnsi="Times New Roman" w:cs="Times New Roman"/>
          <w:sz w:val="24"/>
        </w:rPr>
        <w:t xml:space="preserve">• </w:t>
      </w:r>
      <w:r>
        <w:rPr>
          <w:rFonts w:ascii="Times New Roman" w:eastAsia="Calibri" w:hAnsi="Times New Roman" w:cs="Times New Roman"/>
          <w:sz w:val="24"/>
        </w:rPr>
        <w:t xml:space="preserve">Коагулограмма </w:t>
      </w:r>
      <w:r w:rsidRPr="009D3DD0">
        <w:rPr>
          <w:rFonts w:ascii="Times New Roman" w:eastAsia="Calibri" w:hAnsi="Times New Roman" w:cs="Times New Roman"/>
          <w:sz w:val="24"/>
        </w:rPr>
        <w:t xml:space="preserve">1 раз в </w:t>
      </w:r>
      <w:r>
        <w:rPr>
          <w:rFonts w:ascii="Times New Roman" w:eastAsia="Calibri" w:hAnsi="Times New Roman" w:cs="Times New Roman"/>
          <w:sz w:val="24"/>
        </w:rPr>
        <w:t>3</w:t>
      </w:r>
      <w:r w:rsidRPr="009D3DD0">
        <w:rPr>
          <w:rFonts w:ascii="Times New Roman" w:eastAsia="Calibri" w:hAnsi="Times New Roman" w:cs="Times New Roman"/>
          <w:sz w:val="24"/>
        </w:rPr>
        <w:t>–</w:t>
      </w:r>
      <w:r>
        <w:rPr>
          <w:rFonts w:ascii="Times New Roman" w:eastAsia="Calibri" w:hAnsi="Times New Roman" w:cs="Times New Roman"/>
          <w:sz w:val="24"/>
        </w:rPr>
        <w:t>4</w:t>
      </w:r>
      <w:r w:rsidRPr="009D3DD0">
        <w:rPr>
          <w:rFonts w:ascii="Times New Roman" w:eastAsia="Calibri" w:hAnsi="Times New Roman" w:cs="Times New Roman"/>
          <w:sz w:val="24"/>
        </w:rPr>
        <w:t xml:space="preserve"> дн</w:t>
      </w:r>
      <w:r>
        <w:rPr>
          <w:rFonts w:ascii="Times New Roman" w:eastAsia="Calibri" w:hAnsi="Times New Roman" w:cs="Times New Roman"/>
          <w:sz w:val="24"/>
        </w:rPr>
        <w:t>я</w:t>
      </w:r>
      <w:r w:rsidRPr="009D3DD0">
        <w:rPr>
          <w:rFonts w:ascii="Times New Roman" w:eastAsia="Calibri" w:hAnsi="Times New Roman" w:cs="Times New Roman"/>
          <w:sz w:val="24"/>
        </w:rPr>
        <w:t>.</w:t>
      </w:r>
    </w:p>
    <w:p w:rsidR="00EB0A57" w:rsidRDefault="009D3DD0" w:rsidP="0063438B">
      <w:pPr>
        <w:spacing w:line="360" w:lineRule="auto"/>
        <w:ind w:left="709" w:hanging="709"/>
        <w:contextualSpacing/>
        <w:jc w:val="both"/>
        <w:rPr>
          <w:rFonts w:ascii="Times New Roman" w:eastAsia="Calibri" w:hAnsi="Times New Roman" w:cs="Times New Roman"/>
          <w:sz w:val="24"/>
        </w:rPr>
      </w:pPr>
      <w:r w:rsidRPr="009D3DD0">
        <w:rPr>
          <w:rFonts w:ascii="Times New Roman" w:eastAsia="Calibri" w:hAnsi="Times New Roman" w:cs="Times New Roman"/>
          <w:sz w:val="24"/>
        </w:rPr>
        <w:t xml:space="preserve">• </w:t>
      </w:r>
      <w:r w:rsidR="00EB0A57">
        <w:rPr>
          <w:rFonts w:ascii="Times New Roman" w:eastAsia="Calibri" w:hAnsi="Times New Roman" w:cs="Times New Roman"/>
          <w:sz w:val="24"/>
        </w:rPr>
        <w:t>Глюкоза крови</w:t>
      </w:r>
      <w:r w:rsidR="00EB0A57" w:rsidRPr="009D3DD0">
        <w:rPr>
          <w:rFonts w:ascii="Times New Roman" w:eastAsia="Calibri" w:hAnsi="Times New Roman" w:cs="Times New Roman"/>
          <w:sz w:val="24"/>
        </w:rPr>
        <w:t xml:space="preserve"> 1 раз в </w:t>
      </w:r>
      <w:r w:rsidR="00EB0A57">
        <w:rPr>
          <w:rFonts w:ascii="Times New Roman" w:eastAsia="Calibri" w:hAnsi="Times New Roman" w:cs="Times New Roman"/>
          <w:sz w:val="24"/>
        </w:rPr>
        <w:t>3</w:t>
      </w:r>
      <w:r w:rsidR="00EB0A57" w:rsidRPr="009D3DD0">
        <w:rPr>
          <w:rFonts w:ascii="Times New Roman" w:eastAsia="Calibri" w:hAnsi="Times New Roman" w:cs="Times New Roman"/>
          <w:sz w:val="24"/>
        </w:rPr>
        <w:t>–</w:t>
      </w:r>
      <w:r w:rsidR="00EB0A57">
        <w:rPr>
          <w:rFonts w:ascii="Times New Roman" w:eastAsia="Calibri" w:hAnsi="Times New Roman" w:cs="Times New Roman"/>
          <w:sz w:val="24"/>
        </w:rPr>
        <w:t>4</w:t>
      </w:r>
      <w:r w:rsidR="00EB0A57" w:rsidRPr="009D3DD0">
        <w:rPr>
          <w:rFonts w:ascii="Times New Roman" w:eastAsia="Calibri" w:hAnsi="Times New Roman" w:cs="Times New Roman"/>
          <w:sz w:val="24"/>
        </w:rPr>
        <w:t xml:space="preserve"> дн</w:t>
      </w:r>
      <w:r w:rsidR="00EB0A57">
        <w:rPr>
          <w:rFonts w:ascii="Times New Roman" w:eastAsia="Calibri" w:hAnsi="Times New Roman" w:cs="Times New Roman"/>
          <w:sz w:val="24"/>
        </w:rPr>
        <w:t>я</w:t>
      </w:r>
      <w:r w:rsidR="00EB0A57" w:rsidRPr="009D3DD0">
        <w:rPr>
          <w:rFonts w:ascii="Times New Roman" w:eastAsia="Calibri" w:hAnsi="Times New Roman" w:cs="Times New Roman"/>
          <w:sz w:val="24"/>
        </w:rPr>
        <w:t>.</w:t>
      </w:r>
    </w:p>
    <w:p w:rsidR="0063438B" w:rsidRDefault="00EB0A57" w:rsidP="00EB0A57">
      <w:pPr>
        <w:spacing w:line="360" w:lineRule="auto"/>
        <w:ind w:left="709" w:hanging="709"/>
        <w:contextualSpacing/>
        <w:jc w:val="both"/>
        <w:rPr>
          <w:rFonts w:ascii="Times New Roman" w:eastAsia="Calibri" w:hAnsi="Times New Roman" w:cs="Times New Roman"/>
          <w:sz w:val="24"/>
        </w:rPr>
      </w:pPr>
      <w:r w:rsidRPr="009D3DD0">
        <w:rPr>
          <w:rFonts w:ascii="Times New Roman" w:eastAsia="Calibri" w:hAnsi="Times New Roman" w:cs="Times New Roman"/>
          <w:sz w:val="24"/>
        </w:rPr>
        <w:t xml:space="preserve">• </w:t>
      </w:r>
      <w:r w:rsidR="0063438B">
        <w:rPr>
          <w:rFonts w:ascii="Times New Roman" w:eastAsia="Calibri" w:hAnsi="Times New Roman" w:cs="Times New Roman"/>
          <w:sz w:val="24"/>
        </w:rPr>
        <w:t>Общий анализ мочи - еженедельно.</w:t>
      </w:r>
    </w:p>
    <w:p w:rsidR="0063438B" w:rsidRDefault="0063438B" w:rsidP="0063438B">
      <w:pPr>
        <w:spacing w:line="360" w:lineRule="auto"/>
        <w:ind w:left="709" w:hanging="709"/>
        <w:contextualSpacing/>
        <w:jc w:val="both"/>
        <w:rPr>
          <w:rFonts w:ascii="Times New Roman" w:eastAsia="Calibri" w:hAnsi="Times New Roman" w:cs="Times New Roman"/>
          <w:sz w:val="24"/>
        </w:rPr>
      </w:pPr>
      <w:r w:rsidRPr="009D3DD0">
        <w:rPr>
          <w:rFonts w:ascii="Times New Roman" w:eastAsia="Calibri" w:hAnsi="Times New Roman" w:cs="Times New Roman"/>
          <w:sz w:val="24"/>
        </w:rPr>
        <w:t xml:space="preserve">• </w:t>
      </w:r>
      <w:r>
        <w:rPr>
          <w:rFonts w:ascii="Times New Roman" w:eastAsia="Calibri" w:hAnsi="Times New Roman" w:cs="Times New Roman"/>
          <w:sz w:val="24"/>
        </w:rPr>
        <w:t>Электрокардиограмма</w:t>
      </w:r>
      <w:r w:rsidRPr="009D3DD0">
        <w:rPr>
          <w:rFonts w:ascii="Times New Roman" w:eastAsia="Calibri" w:hAnsi="Times New Roman" w:cs="Times New Roman"/>
          <w:sz w:val="24"/>
        </w:rPr>
        <w:t xml:space="preserve"> </w:t>
      </w:r>
      <w:r>
        <w:rPr>
          <w:rFonts w:ascii="Times New Roman" w:eastAsia="Calibri" w:hAnsi="Times New Roman" w:cs="Times New Roman"/>
          <w:sz w:val="24"/>
        </w:rPr>
        <w:t>- еженедельно</w:t>
      </w:r>
      <w:r w:rsidRPr="009D3DD0">
        <w:rPr>
          <w:rFonts w:ascii="Times New Roman" w:eastAsia="Calibri" w:hAnsi="Times New Roman" w:cs="Times New Roman"/>
          <w:sz w:val="24"/>
        </w:rPr>
        <w:t>.</w:t>
      </w:r>
    </w:p>
    <w:p w:rsidR="009D3DD0" w:rsidRPr="009D3DD0" w:rsidRDefault="00635E72" w:rsidP="009D3DD0">
      <w:pPr>
        <w:pStyle w:val="1"/>
        <w:numPr>
          <w:ilvl w:val="1"/>
          <w:numId w:val="112"/>
        </w:numPr>
        <w:spacing w:before="0" w:after="240"/>
        <w:jc w:val="center"/>
        <w:rPr>
          <w:rFonts w:ascii="Times New Roman" w:hAnsi="Times New Roman" w:cs="Times New Roman"/>
          <w:color w:val="auto"/>
          <w:sz w:val="24"/>
        </w:rPr>
      </w:pPr>
      <w:bookmarkStart w:id="44" w:name="_Toc44926641"/>
      <w:r w:rsidRPr="00896142">
        <w:rPr>
          <w:rFonts w:ascii="Times New Roman" w:hAnsi="Times New Roman" w:cs="Times New Roman"/>
          <w:color w:val="auto"/>
          <w:sz w:val="24"/>
        </w:rPr>
        <w:lastRenderedPageBreak/>
        <w:t>Нутри</w:t>
      </w:r>
      <w:r w:rsidR="00A64A48" w:rsidRPr="00896142">
        <w:rPr>
          <w:rFonts w:ascii="Times New Roman" w:hAnsi="Times New Roman" w:cs="Times New Roman"/>
          <w:color w:val="auto"/>
          <w:sz w:val="24"/>
        </w:rPr>
        <w:t>тивная</w:t>
      </w:r>
      <w:r w:rsidRPr="00896142">
        <w:rPr>
          <w:rFonts w:ascii="Times New Roman" w:hAnsi="Times New Roman" w:cs="Times New Roman"/>
          <w:color w:val="auto"/>
          <w:sz w:val="24"/>
        </w:rPr>
        <w:t xml:space="preserve"> терапия</w:t>
      </w:r>
      <w:bookmarkEnd w:id="44"/>
    </w:p>
    <w:p w:rsidR="00896142" w:rsidRDefault="00896142" w:rsidP="0089614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Высокодозная химиотерапия с последующей ауто-ТГСК</w:t>
      </w:r>
      <w:r w:rsidRPr="00896142">
        <w:rPr>
          <w:rFonts w:ascii="Times New Roman" w:hAnsi="Times New Roman" w:cs="Times New Roman"/>
          <w:sz w:val="24"/>
          <w:szCs w:val="24"/>
        </w:rPr>
        <w:t xml:space="preserve">, длительный период гранулоцитопении, инфекционные осложнения, продолжительный период нахождения в стационаре – </w:t>
      </w:r>
      <w:r>
        <w:rPr>
          <w:rFonts w:ascii="Times New Roman" w:hAnsi="Times New Roman" w:cs="Times New Roman"/>
          <w:sz w:val="24"/>
          <w:szCs w:val="24"/>
        </w:rPr>
        <w:t>основные причины</w:t>
      </w:r>
      <w:r w:rsidRPr="00896142">
        <w:rPr>
          <w:rFonts w:ascii="Times New Roman" w:hAnsi="Times New Roman" w:cs="Times New Roman"/>
          <w:sz w:val="24"/>
          <w:szCs w:val="24"/>
        </w:rPr>
        <w:t>, приводящи</w:t>
      </w:r>
      <w:r>
        <w:rPr>
          <w:rFonts w:ascii="Times New Roman" w:hAnsi="Times New Roman" w:cs="Times New Roman"/>
          <w:sz w:val="24"/>
          <w:szCs w:val="24"/>
        </w:rPr>
        <w:t>е</w:t>
      </w:r>
      <w:r w:rsidRPr="00896142">
        <w:rPr>
          <w:rFonts w:ascii="Times New Roman" w:hAnsi="Times New Roman" w:cs="Times New Roman"/>
          <w:sz w:val="24"/>
          <w:szCs w:val="24"/>
        </w:rPr>
        <w:t xml:space="preserve"> к </w:t>
      </w:r>
      <w:r>
        <w:rPr>
          <w:rFonts w:ascii="Times New Roman" w:hAnsi="Times New Roman" w:cs="Times New Roman"/>
          <w:sz w:val="24"/>
          <w:szCs w:val="24"/>
        </w:rPr>
        <w:t xml:space="preserve">снижению поступления питательных веществ в организм и как следствие </w:t>
      </w:r>
      <w:r w:rsidRPr="00896142">
        <w:rPr>
          <w:rFonts w:ascii="Times New Roman" w:hAnsi="Times New Roman" w:cs="Times New Roman"/>
          <w:sz w:val="24"/>
          <w:szCs w:val="24"/>
        </w:rPr>
        <w:t xml:space="preserve">общей слабости, </w:t>
      </w:r>
      <w:r>
        <w:rPr>
          <w:rFonts w:ascii="Times New Roman" w:hAnsi="Times New Roman" w:cs="Times New Roman"/>
          <w:sz w:val="24"/>
          <w:szCs w:val="24"/>
        </w:rPr>
        <w:t>снижению</w:t>
      </w:r>
      <w:r w:rsidRPr="00896142">
        <w:rPr>
          <w:rFonts w:ascii="Times New Roman" w:hAnsi="Times New Roman" w:cs="Times New Roman"/>
          <w:sz w:val="24"/>
          <w:szCs w:val="24"/>
        </w:rPr>
        <w:t xml:space="preserve"> физической активности, значимому </w:t>
      </w:r>
      <w:r>
        <w:rPr>
          <w:rFonts w:ascii="Times New Roman" w:hAnsi="Times New Roman" w:cs="Times New Roman"/>
          <w:sz w:val="24"/>
          <w:szCs w:val="24"/>
        </w:rPr>
        <w:t>уменьшению массы тела.</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Не</w:t>
      </w:r>
      <w:r>
        <w:rPr>
          <w:rFonts w:ascii="Times New Roman" w:hAnsi="Times New Roman" w:cs="Times New Roman"/>
          <w:sz w:val="24"/>
          <w:szCs w:val="24"/>
        </w:rPr>
        <w:t>достаточным</w:t>
      </w:r>
      <w:r w:rsidRPr="00896142">
        <w:rPr>
          <w:rFonts w:ascii="Times New Roman" w:hAnsi="Times New Roman" w:cs="Times New Roman"/>
          <w:sz w:val="24"/>
          <w:szCs w:val="24"/>
        </w:rPr>
        <w:t xml:space="preserve"> следует считать питание, при котором пациент не может сам обеспечить поступление более </w:t>
      </w:r>
      <w:r>
        <w:rPr>
          <w:rFonts w:ascii="Times New Roman" w:hAnsi="Times New Roman" w:cs="Times New Roman"/>
          <w:sz w:val="24"/>
          <w:szCs w:val="24"/>
        </w:rPr>
        <w:t xml:space="preserve">чем </w:t>
      </w:r>
      <w:r w:rsidRPr="00896142">
        <w:rPr>
          <w:rFonts w:ascii="Times New Roman" w:hAnsi="Times New Roman" w:cs="Times New Roman"/>
          <w:sz w:val="24"/>
          <w:szCs w:val="24"/>
        </w:rPr>
        <w:t xml:space="preserve">60% от своих энергетических потребностей в течение 1–2 недель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1a841f7-cf41-3658-b869-ec5c58850b6d","http://www.mendeley.com/documents/?uuid=b7d0213d-9037-458b-9137-8ba92417f389","http://www.mendeley.com/documents/?uuid=09a52a75-b0e4-4371-af21-5958257d9c6b","http://www.mendeley.com/documents/?uuid=a93dd076-f883-470f-9078-09d5bea12d18","http://www.mendeley.com/documents/?uuid=260337e2-8643-4a98-b22a-51f427e64df0","http://www.mendeley.com/documents/?uuid=d8f4044a-9d39-4071-8266-cbd0ae05b0d9"]}],"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555471fe-b9e3-303f-adcc-eecf69d63698","http://www.mendeley.com/documents/?uuid=ed2f4812-c506-484a-afb7-1bb5dae57ffb","http://www.mendeley.com/documents/?uuid=ddeb6586-712b-4c69-81e8-8e7e497e2d57","http://www.mendeley.com/documents/?uuid=99911acc-feb8-4597-a8e1-899d1f00b719","http://www.mendeley.com/documents/?uuid=dc45015e-2bbd-4e0a-8302-25dcb06c3c4c","http://www.mendeley.com/documents/?uuid=4a1cad31-99e3-4cf2-93ad-17d966d60db9"]}],"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По данным ESPEN </w:t>
      </w:r>
      <w:r>
        <w:rPr>
          <w:rFonts w:ascii="Times New Roman" w:hAnsi="Times New Roman" w:cs="Times New Roman"/>
          <w:sz w:val="24"/>
          <w:szCs w:val="24"/>
        </w:rPr>
        <w:t>от 46 до 88%</w:t>
      </w:r>
      <w:r w:rsidRPr="00896142">
        <w:rPr>
          <w:rFonts w:ascii="Times New Roman" w:hAnsi="Times New Roman" w:cs="Times New Roman"/>
          <w:sz w:val="24"/>
          <w:szCs w:val="24"/>
        </w:rPr>
        <w:t xml:space="preserve"> </w:t>
      </w:r>
      <w:r>
        <w:rPr>
          <w:rFonts w:ascii="Times New Roman" w:hAnsi="Times New Roman" w:cs="Times New Roman"/>
          <w:sz w:val="24"/>
          <w:szCs w:val="24"/>
        </w:rPr>
        <w:t xml:space="preserve">больных онкологического профиля в процессе противоопухолевого лечения требуют дополнительной нутритивной поддержке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А.И.","non-dropping-particle":"","parse-names":false,"suffix":""}],"id":"ITEM-1","issued":{"date-parts":[["2014"]]},"note":"a","title":"Клинические рекомендации по нутритивной поддержке при химиотерапии и/или лучевой терапии","type":"report"},"uris":["http://www.mendeley.com/documents/?uuid=fa470355-bcfd-3bef-a7a1-086215509c2d","http://www.mendeley.com/documents/?uuid=2da28a52-fa64-480f-9c45-312b59a7027b","http://www.mendeley.com/documents/?uuid=17acaf09-3d29-4b25-b43e-598e8835165d","http://www.mendeley.com/documents/?uuid=113bc17a-cb71-4ba2-afb9-083757d46c9b","http://www.mendeley.com/documents/?uuid=2db47854-c914-42bd-bd4d-a19b47e78e0d","http://www.mendeley.com/documents/?uuid=2475f28c-b7e0-408d-8d85-bd890e4862de"]}],"mendeley":{"formattedCitation":"[3]","plainTextFormattedCitation":"[3]","previouslyFormattedCitation":"[3]"},"properties":{"noteIndex":0},"schema":"https://github.com/citation-style-language/schema/raw/master/csl-citation.json"}</w:instrText>
      </w:r>
      <w:r w:rsidRPr="00896142">
        <w:rPr>
          <w:rFonts w:ascii="Times New Roman" w:hAnsi="Times New Roman" w:cs="Times New Roman"/>
          <w:sz w:val="24"/>
          <w:szCs w:val="24"/>
        </w:rPr>
        <w:fldChar w:fldCharType="separate"/>
      </w:r>
      <w:r w:rsidR="00856BAA" w:rsidRPr="00856BAA">
        <w:rPr>
          <w:rFonts w:ascii="Times New Roman" w:hAnsi="Times New Roman" w:cs="Times New Roman"/>
          <w:noProof/>
          <w:sz w:val="24"/>
          <w:szCs w:val="24"/>
        </w:rPr>
        <w:t>[3]</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Нутритивная поддержка – это способ обеспечения полноценного питания больных с использованием специальных средств, максимально сбалансированных в количественном и качественном соотношении. Нутритивная поддержка необходима не только для поддержания метаболических резервов организма, но и для повышения его устойчивости к проводимой терапии</w:t>
      </w:r>
      <w:r>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Nutrition","id":"ITEM-1","issue":"1","issued":{"date-parts":[["2017","2"]]},"page":"11-48","publisher":"Churchill Livingstone","title":"ESPEN guidelines on nutrition in cancer patients","type":"article-journal","volume":"36"},"uris":["http://www.mendeley.com/documents/?uuid=2a76c704-6c26-3663-97b2-de4da274aff7","http://www.mendeley.com/documents/?uuid=b37f7a4f-c193-47c9-8d52-643880058eba","http://www.mendeley.com/documents/?uuid=e6d2b792-474d-4443-8733-96188600ddfb","http://www.mendeley.com/documents/?uuid=d3f8f4e1-d953-4d1a-aa5d-79416736ad5c","http://www.mendeley.com/documents/?uuid=e630a116-d7ec-4a1c-b664-044aef3e48b1","http://www.mendeley.com/documents/?uuid=36077b4c-f370-4a6b-b0e1-4b1e9c1d43b5"]}],"mendeley":{"formattedCitation":"[19]","plainTextFormattedCitation":"[19]","previouslyFormattedCitation":"[19]"},"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[19]</w:t>
      </w:r>
      <w:r w:rsidRPr="00896142">
        <w:rPr>
          <w:rFonts w:ascii="Times New Roman" w:hAnsi="Times New Roman" w:cs="Times New Roman"/>
          <w:sz w:val="24"/>
          <w:szCs w:val="24"/>
        </w:rPr>
        <w:fldChar w:fldCharType="end"/>
      </w:r>
      <w:r>
        <w:rPr>
          <w:rFonts w:ascii="Times New Roman" w:hAnsi="Times New Roman" w:cs="Times New Roman"/>
          <w:sz w:val="24"/>
          <w:szCs w:val="24"/>
        </w:rPr>
        <w:t>.</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b/>
          <w:sz w:val="24"/>
          <w:szCs w:val="24"/>
        </w:rPr>
        <w:t>Цели нутритивной поддержки</w:t>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p>
    <w:p w:rsidR="00896142" w:rsidRPr="00896142" w:rsidRDefault="00896142" w:rsidP="00896142">
      <w:pPr>
        <w:spacing w:after="0" w:line="360" w:lineRule="auto"/>
        <w:ind w:firstLine="142"/>
        <w:jc w:val="both"/>
        <w:rPr>
          <w:rFonts w:ascii="Times New Roman" w:hAnsi="Times New Roman" w:cs="Times New Roman"/>
          <w:sz w:val="24"/>
          <w:szCs w:val="24"/>
        </w:rPr>
      </w:pPr>
      <w:r w:rsidRPr="00896142">
        <w:rPr>
          <w:rFonts w:ascii="Times New Roman" w:hAnsi="Times New Roman" w:cs="Times New Roman"/>
          <w:sz w:val="24"/>
          <w:szCs w:val="24"/>
        </w:rPr>
        <w:t>• Поддержание оптимальной массы тела.</w:t>
      </w:r>
    </w:p>
    <w:p w:rsidR="00896142" w:rsidRPr="00896142" w:rsidRDefault="00896142" w:rsidP="00896142">
      <w:pPr>
        <w:spacing w:after="0" w:line="360" w:lineRule="auto"/>
        <w:ind w:firstLine="142"/>
        <w:jc w:val="both"/>
        <w:rPr>
          <w:rFonts w:ascii="Times New Roman" w:hAnsi="Times New Roman" w:cs="Times New Roman"/>
          <w:sz w:val="24"/>
          <w:szCs w:val="24"/>
        </w:rPr>
      </w:pPr>
      <w:r w:rsidRPr="00896142">
        <w:rPr>
          <w:rFonts w:ascii="Times New Roman" w:hAnsi="Times New Roman" w:cs="Times New Roman"/>
          <w:sz w:val="24"/>
          <w:szCs w:val="24"/>
        </w:rPr>
        <w:t>• Предотвращение или коррекция дефицита макро- и микронутриентов.</w:t>
      </w:r>
    </w:p>
    <w:p w:rsidR="00896142" w:rsidRPr="00896142" w:rsidRDefault="00896142" w:rsidP="00896142">
      <w:pPr>
        <w:spacing w:after="0" w:line="360" w:lineRule="auto"/>
        <w:ind w:firstLine="142"/>
        <w:jc w:val="both"/>
        <w:rPr>
          <w:rFonts w:ascii="Times New Roman" w:hAnsi="Times New Roman" w:cs="Times New Roman"/>
          <w:sz w:val="24"/>
          <w:szCs w:val="24"/>
        </w:rPr>
      </w:pPr>
      <w:r w:rsidRPr="00896142">
        <w:rPr>
          <w:rFonts w:ascii="Times New Roman" w:hAnsi="Times New Roman" w:cs="Times New Roman"/>
          <w:sz w:val="24"/>
          <w:szCs w:val="24"/>
        </w:rPr>
        <w:t>• Повышение переносимости высокодозной ХТ.</w:t>
      </w:r>
    </w:p>
    <w:p w:rsidR="00896142" w:rsidRPr="00896142" w:rsidRDefault="00896142" w:rsidP="00896142">
      <w:pPr>
        <w:spacing w:after="0" w:line="360" w:lineRule="auto"/>
        <w:ind w:firstLine="142"/>
        <w:jc w:val="both"/>
        <w:rPr>
          <w:rFonts w:ascii="Times New Roman" w:hAnsi="Times New Roman" w:cs="Times New Roman"/>
          <w:sz w:val="24"/>
          <w:szCs w:val="24"/>
        </w:rPr>
      </w:pPr>
      <w:r w:rsidRPr="00896142">
        <w:rPr>
          <w:rFonts w:ascii="Times New Roman" w:hAnsi="Times New Roman" w:cs="Times New Roman"/>
          <w:sz w:val="24"/>
          <w:szCs w:val="24"/>
        </w:rPr>
        <w:t>• Снижение выраженности побочных эффектов ХТ.</w:t>
      </w:r>
    </w:p>
    <w:p w:rsidR="00896142" w:rsidRPr="00896142" w:rsidRDefault="00896142" w:rsidP="00896142">
      <w:pPr>
        <w:spacing w:after="0" w:line="360" w:lineRule="auto"/>
        <w:ind w:firstLine="142"/>
        <w:jc w:val="both"/>
        <w:rPr>
          <w:rFonts w:ascii="Times New Roman" w:hAnsi="Times New Roman" w:cs="Times New Roman"/>
          <w:sz w:val="24"/>
          <w:szCs w:val="24"/>
        </w:rPr>
      </w:pPr>
      <w:r w:rsidRPr="00896142">
        <w:rPr>
          <w:rFonts w:ascii="Times New Roman" w:hAnsi="Times New Roman" w:cs="Times New Roman"/>
          <w:sz w:val="24"/>
          <w:szCs w:val="24"/>
        </w:rPr>
        <w:t>• Повышение качества жизни.</w:t>
      </w:r>
    </w:p>
    <w:p w:rsidR="00896142" w:rsidRPr="00896142" w:rsidRDefault="00896142" w:rsidP="00896142">
      <w:pPr>
        <w:spacing w:after="0" w:line="360" w:lineRule="auto"/>
        <w:ind w:firstLine="851"/>
        <w:jc w:val="both"/>
        <w:rPr>
          <w:rFonts w:ascii="Times New Roman" w:hAnsi="Times New Roman" w:cs="Times New Roman"/>
          <w:b/>
          <w:sz w:val="24"/>
          <w:szCs w:val="24"/>
        </w:rPr>
      </w:pPr>
      <w:r w:rsidRPr="00896142">
        <w:rPr>
          <w:rFonts w:ascii="Times New Roman" w:hAnsi="Times New Roman" w:cs="Times New Roman"/>
          <w:b/>
          <w:sz w:val="24"/>
          <w:szCs w:val="24"/>
        </w:rPr>
        <w:t xml:space="preserve">Показания к нутритивной поддержке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Скрининг недостаточности питания должен проводиться на протяжении всего периода лечения. Для диагностики степени недостаточности питания предложено много критериев, основными из которых являются:</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индекс массы тела &lt; 20 кг/м2;</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темп потери массы тела;</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гипопротеинемия &lt; 60 г/л или гипоальбуминемия &lt; 30 г/л.;</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 xml:space="preserve">невозможность адекватного </w:t>
      </w:r>
      <w:r>
        <w:rPr>
          <w:rFonts w:ascii="Times New Roman" w:hAnsi="Times New Roman" w:cs="Times New Roman"/>
          <w:sz w:val="24"/>
          <w:szCs w:val="24"/>
        </w:rPr>
        <w:t>энтерального питания</w:t>
      </w:r>
      <w:r w:rsidRPr="00896142">
        <w:rPr>
          <w:rFonts w:ascii="Times New Roman" w:hAnsi="Times New Roman" w:cs="Times New Roman"/>
          <w:sz w:val="24"/>
          <w:szCs w:val="24"/>
        </w:rPr>
        <w:t>;</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 xml:space="preserve">побочные проявления высокодозной химиотерапии: </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тошнота,</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 xml:space="preserve">рвота, </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 xml:space="preserve">потеря аппетита, </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lastRenderedPageBreak/>
        <w:t xml:space="preserve">дисфагия, </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мукозиты различной степени тяжести,</w:t>
      </w:r>
    </w:p>
    <w:p w:rsidR="00896142" w:rsidRP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 xml:space="preserve">нарушения вкуса и обоняния, </w:t>
      </w:r>
    </w:p>
    <w:p w:rsidR="00896142" w:rsidRDefault="00896142" w:rsidP="00D32047">
      <w:pPr>
        <w:pStyle w:val="a3"/>
        <w:numPr>
          <w:ilvl w:val="0"/>
          <w:numId w:val="136"/>
        </w:numPr>
        <w:spacing w:after="0" w:line="360" w:lineRule="auto"/>
        <w:ind w:left="567" w:hanging="425"/>
        <w:jc w:val="both"/>
        <w:rPr>
          <w:rFonts w:ascii="Times New Roman" w:hAnsi="Times New Roman" w:cs="Times New Roman"/>
          <w:sz w:val="24"/>
          <w:szCs w:val="24"/>
        </w:rPr>
      </w:pPr>
      <w:r w:rsidRPr="00896142">
        <w:rPr>
          <w:rFonts w:ascii="Times New Roman" w:hAnsi="Times New Roman" w:cs="Times New Roman"/>
          <w:sz w:val="24"/>
          <w:szCs w:val="24"/>
        </w:rPr>
        <w:t>некротическая энтеропатия средней и тяжелой степени.</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Своевременное выявление пациентов из группы нутритивного риска позволяет защитить пациента от прогрессирующей потери массы тела и развития рефрактерной кахексии. Для первичного скрининга можно использовать хорошо зарекомендовавшие себя шкалы, такие как NRS-2002, ИНР (индекс нарушения питания по Buzby G.P.), бальную шкалу А.Б.В.Г. (ESMO, 2008), индекс массы тела по Кетле и другие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А.И.","non-dropping-particle":"","parse-names":false,"suffix":""}],"id":"ITEM-1","issued":{"date-parts":[["2014"]]},"note":"a","title":"Клинические рекомендации по нутритивной поддержке при химиотерапии и/или лучевой терапии","type":"report"},"uris":["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[3]","plainTextFormattedCitation":"[3]","previouslyFormattedCitation":"[3]"},"properties":{"noteIndex":0},"schema":"https://github.com/citation-style-language/schema/raw/master/csl-citation.json"}</w:instrText>
      </w:r>
      <w:r w:rsidRPr="00896142">
        <w:rPr>
          <w:rFonts w:ascii="Times New Roman" w:hAnsi="Times New Roman" w:cs="Times New Roman"/>
          <w:sz w:val="24"/>
          <w:szCs w:val="24"/>
        </w:rPr>
        <w:fldChar w:fldCharType="separate"/>
      </w:r>
      <w:r w:rsidR="00856BAA" w:rsidRPr="00856BAA">
        <w:rPr>
          <w:rFonts w:ascii="Times New Roman" w:hAnsi="Times New Roman" w:cs="Times New Roman"/>
          <w:noProof/>
          <w:sz w:val="24"/>
          <w:szCs w:val="24"/>
        </w:rPr>
        <w:t>[3]</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p>
    <w:p w:rsid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В том случае, если проведение энтерального питания невозможно или неэффективно, необходимо назначать парентеральное питание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{"citationItems":[{"id":"ITEM-1","itemData":{"DOI":"10.20960/nh.1361","ISSN":"0212-1611","abstract":"Introducción: La malnutrición es un problema médico frecuente de los pacientes oncológicos que impacta de forma negativa en la calidad de vida. Objetivo: analizar y dar respuesta a diferentes cuestiones a la hora de afrontar el manejo nutricional de un paciente oncológico en la práctica clínica. Métodos: Un grupo multidisciplinar de expertos en Oncología Médica, Farmacia y Nutrición elaboró una lista de temas relacionados con el estado nutricional del paciente oncológico, que fueron agrupados en tres bloques: soporte nutricional; nutrición parenteral (NP) y NP domiciliaria (NPD) en el paciente oncológico. Se realizó una revisión de la literatura que incluyó artículos publicados en español, inglés y francés hasta abril de 2017. El documento se estructuró como un cuestionario con aquellas preguntas que, según el criterio del panel, podrían generar mayor controversia o duda. Resultados: De las 17 cuestiones abordadas, 9 versaron sobre el soporte nutricional; 5 relacionadas con la NP y 3 trataron sobre la NPD. Dentro de las recomendaciones del panel destacar que, en el paciente oncológico, la NP está indicada principalmente cuando no es posible el uso del tubo digestivo y/o la alimentación oral y/o la nutrición enteral no es suficiente o posible. Además, el objetivo de la NPD es mejorar o mantener, el estado de nutrición de un paciente en el ámbito domiciliario. Conclusiones: Esta revisión constituye una herramienta para oncólogos y especialistas responsables del manejo nutricional del paciente con cáncer.","author":[{"dropping-particle":"","family":"Camblor-Álvarez","given":"Miguel","non-dropping-particle":"","parse-names":false,"suffix":""},{"dropping-particle":"","family":"Ocón-Bretón","given":"María Julia","non-dropping-particle":"","parse-names":false,"suffix":""},{"dropping-particle":"","family":"Luengo-Pérez","given":"Luis Miguel","non-dropping-particle":"","parse-names":false,"suffix":""},{"dropping-particle":"","family":"Viruzuela","given":"Juan Antonio","non-dropping-particle":"","parse-names":false,"suffix":""},{"dropping-particle":"","family":"Sendrós-Maroño","given":"María José","non-dropping-particle":"","parse-names":false,"suffix":""},{"dropping-particle":"","family":"Cervera-Peris","given":"Mercedes","non-dropping-particle":"","parse-names":false,"suffix":""},{"dropping-particle":"","family":"Grande","given":"Enrique","non-dropping-particle":"","parse-names":false,"suffix":""},{"dropping-particle":"","family":"Álvarez-Hernández","given":"Julia","non-dropping-particle":"","parse-names":false,"suffix":""},{"dropping-particle":"","family":"Jiménez-Fonseca","given":"Paula","non-dropping-particle":"","parse-names":false,"suffix":""}],"container-title":"Nutrición Hospitalaria","id":"ITEM-1","issue":"1","issued":{"date-parts":[["2018","1"]]},"publisher":"ARAN Ediciones","title":"Soporte nutricional y nutrición parenteral en el paciente oncológico: informe de consenso de un grupo de expertos","type":"article-journal","volume":"35"},"uris":["http://www.mendeley.com/documents/?uuid=2ba4ee95-2957-35dd-a5da-6ddc4066a510","http://www.mendeley.com/documents/?uuid=5fd60395-903b-4161-9de5-593401276b22","http://www.mendeley.com/documents/?uuid=77af6aa2-54a9-4922-85a6-2ba2782c1d0d","http://www.mendeley.com/documents/?uuid=15f2deaa-96e5-4d61-b18b-9ea61e38867f","http://www.mendeley.com/documents/?uuid=bb38c52a-b9be-49b0-b569-e7226cad9509","http://www.mendeley.com/documents/?uuid=cfbf8252-0ba3-48e8-9511-8226f1fa6b44"]}],"mendeley":{"formattedCitation":"[27]","plainTextFormattedCitation":"[27]","previouslyFormattedCitation":"[27]"},"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[27]</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Доставка белка должна быть не менее 1 г/кг/сут, однако при возможности нужно стремиться к 1,5 г/кг/сут.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У больных с сопутствующей хронической почечной недостаточностью белковое обеспечение не должно превышать 1–1,2 г/кг/сут. Энергетическое обеспечение больного с онкологическим заболеванием следует поддерживать на уровне 25–30 ккал/кг/сут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b/>
          <w:sz w:val="24"/>
          <w:szCs w:val="24"/>
        </w:rPr>
        <w:t>Виды нутритивной поддержки</w:t>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Nutrition","id":"ITEM-1","issue":"1","issued":{"date-parts":[["2017","2"]]},"page":"11-48","publisher":"Churchill Livingstone","title":"ESPEN guidelines on nutrition in cancer patients","type":"article-journal","volume":"36"},"uris":["http://www.mendeley.com/documents/?uuid=36077b4c-f370-4a6b-b0e1-4b1e9c1d43b5","http://www.mendeley.com/documents/?uuid=e630a116-d7ec-4a1c-b664-044aef3e48b1","http://www.mendeley.com/documents/?uuid=d3f8f4e1-d953-4d1a-aa5d-79416736ad5c","http://www.mendeley.com/documents/?uuid=e6d2b792-474d-4443-8733-96188600ddfb","http://www.mendeley.com/documents/?uuid=b37f7a4f-c193-47c9-8d52-643880058eba","http://www.mendeley.com/documents/?uuid=2a76c704-6c26-3663-97b2-de4da274aff7"]}],"mendeley":{"formattedCitation":"[19]","plainTextFormattedCitation":"[19]","previouslyFormattedCitation":"[19]"},"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[19]</w:t>
      </w:r>
      <w:r w:rsidRPr="00896142">
        <w:rPr>
          <w:rFonts w:ascii="Times New Roman" w:hAnsi="Times New Roman" w:cs="Times New Roman"/>
          <w:sz w:val="24"/>
          <w:szCs w:val="24"/>
        </w:rPr>
        <w:fldChar w:fldCharType="end"/>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Выделяют три вида нутритивной поддержки: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дополнение к пероральному питанию (сипинг) – пероральный прием лечебного (специализированного) питания маленькими глотками;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энтеральное питание – возможно через назогастральный/назоинтестинальный зонд или через стому (чрескожную, эндоскопическую, лапароскопическую, лапаротомную); </w:t>
      </w:r>
    </w:p>
    <w:p w:rsid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парентеральное питание.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Энтеральное питание </w:t>
      </w:r>
      <w:r>
        <w:rPr>
          <w:rFonts w:ascii="Times New Roman" w:hAnsi="Times New Roman" w:cs="Times New Roman"/>
          <w:sz w:val="24"/>
          <w:szCs w:val="24"/>
        </w:rPr>
        <w:t>я</w:t>
      </w:r>
      <w:r w:rsidRPr="00896142">
        <w:rPr>
          <w:rFonts w:ascii="Times New Roman" w:hAnsi="Times New Roman" w:cs="Times New Roman"/>
          <w:sz w:val="24"/>
          <w:szCs w:val="24"/>
        </w:rPr>
        <w:t>вляется предпочтительным способом нутритивной поддержки за счет его физиологичности, способности поддерживать функцию кишечника, уменьшать гиперметаболический ответ на повреждение, уменьшать транслокацию бактерий и токсинов из кишечника.</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Энтеральное питание может проводиться при наличии хотя бы частичной функции ЖКТ. Отсутствие выслушиваемой перистальтики не является противопоказанием для энтерального питания.</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Классификация смесей для энтерального питания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полимерные: состоят из неизмененных белков, жиров и углеводов;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олигомерные (полуэлементные): состоят из расщепленных белков и простых углеводов и содержат масла среднецепочечных триглицеридов;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lastRenderedPageBreak/>
        <w:t xml:space="preserve">• смеси для определенных состояний, изготовленные с учетом потребностей конкретного пациента, страдающего тем или иным заболеванием (сахарный диабет, заболевания почек, печени, легких).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Противопоказания к энтеральному питанию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А.И.","non-dropping-particle":"","parse-names":false,"suffix":""}],"id":"ITEM-1","issued":{"date-parts":[["2014"]]},"note":"a","title":"Клинические рекомендации по нутритивной поддержке при химиотерапии и/или лучевой терапии","type":"report"},"uris":["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[3]","plainTextFormattedCitation":"[3]","previouslyFormattedCitation":"[3]"},"properties":{"noteIndex":0},"schema":"https://github.com/citation-style-language/schema/raw/master/csl-citation.json"}</w:instrText>
      </w:r>
      <w:r w:rsidRPr="00896142">
        <w:rPr>
          <w:rFonts w:ascii="Times New Roman" w:hAnsi="Times New Roman" w:cs="Times New Roman"/>
          <w:sz w:val="24"/>
          <w:szCs w:val="24"/>
        </w:rPr>
        <w:fldChar w:fldCharType="separate"/>
      </w:r>
      <w:r w:rsidR="00856BAA" w:rsidRPr="00856BAA">
        <w:rPr>
          <w:rFonts w:ascii="Times New Roman" w:hAnsi="Times New Roman" w:cs="Times New Roman"/>
          <w:noProof/>
          <w:sz w:val="24"/>
          <w:szCs w:val="24"/>
        </w:rPr>
        <w:t>[3]</w:t>
      </w:r>
      <w:r w:rsidRPr="00896142">
        <w:rPr>
          <w:rFonts w:ascii="Times New Roman" w:hAnsi="Times New Roman" w:cs="Times New Roman"/>
          <w:sz w:val="24"/>
          <w:szCs w:val="24"/>
        </w:rPr>
        <w:fldChar w:fldCharType="end"/>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механическая кишечная непроходимость;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выраженная тошнота и рвота, не купирующаяся антиэметической терапией;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гипоксия (раО2 70 мм рт. ст.). </w:t>
      </w:r>
    </w:p>
    <w:p w:rsidR="00896142" w:rsidRPr="00896142" w:rsidRDefault="00896142" w:rsidP="00896142">
      <w:pPr>
        <w:spacing w:after="0" w:line="360" w:lineRule="auto"/>
        <w:jc w:val="center"/>
        <w:rPr>
          <w:rFonts w:ascii="Times New Roman" w:hAnsi="Times New Roman" w:cs="Times New Roman"/>
          <w:b/>
          <w:sz w:val="24"/>
          <w:szCs w:val="24"/>
        </w:rPr>
      </w:pPr>
      <w:r w:rsidRPr="00896142">
        <w:rPr>
          <w:rFonts w:ascii="Times New Roman" w:hAnsi="Times New Roman" w:cs="Times New Roman"/>
          <w:b/>
          <w:sz w:val="24"/>
          <w:szCs w:val="24"/>
        </w:rPr>
        <w:t>Парентеральное питание</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Показанием к парентеральному питанию является невозможность адекватного энтерального питания более 3 суток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В зависимости от продолжительности парентеральное питание подразделяется на:</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краткосрочное ПП (10–15 суток):</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острый и тяжелый мукозит, илеус, некупируемая рвота;</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длительное (более 30 суток):</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тяжелая мальабсорбция;</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подострый или хронический энтерит;</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тяжелая энтеропатия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10.1001/jama.2019.4410","ISSN":"15383598","PMID":"31162570","author":[{"dropping-particle":"","family":"Baiu","given":"Ioana","non-dropping-particle":"","parse-names":false,"suffix":""},{"dropping-particle":"","family":"Spain","given":"David A.","non-dropping-particle":"","parse-names":false,"suffix":""}],"container-title":"JAMA - Journal of the American Medical Association","id":"ITEM-1","issue":"21","issued":{"date-parts":[["2019","6"]]},"page":"2142","publisher":"American Medical Association","title":"Parenteral Nutrition","type":"article","volume":"321"},"uris":["http://www.mendeley.com/documents/?uuid=319ff49c-9a97-32da-a348-b9d79eca400b","http://www.mendeley.com/documents/?uuid=03649143-9c16-417d-8fce-a095e89ff015","http://www.mendeley.com/documents/?uuid=8d92b52e-0af0-435c-9547-6d9170d6c9cc","http://www.mendeley.com/documents/?uuid=49bd1d62-adbc-4b20-8d75-34e8045f6cca","http://www.mendeley.com/documents/?uuid=f45d6235-29b7-40a1-9ebd-0275ed3b5ca7","http://www.mendeley.com/documents/?uuid=34664a84-1020-4ffd-981d-6f9624985d2e"]}],"mendeley":{"formattedCitation":"[21]","plainTextFormattedCitation":"[21]","previouslyFormattedCitation":"[21]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[21]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Необходимые организму нутриенты вводятся непосредственно в кровь. Основными составляющими парентерального питания являются: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источники энергии: 10–20% растворы углеводов, жировые эмульсии;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источники пластического материала: растворы кристаллических аминокислот; </w:t>
      </w:r>
    </w:p>
    <w:p w:rsidR="00896142" w:rsidRPr="00896142" w:rsidRDefault="00896142" w:rsidP="00896142">
      <w:pPr>
        <w:spacing w:after="0" w:line="360" w:lineRule="auto"/>
        <w:ind w:firstLine="567"/>
        <w:jc w:val="both"/>
        <w:rPr>
          <w:rFonts w:ascii="Times New Roman" w:hAnsi="Times New Roman" w:cs="Times New Roman"/>
          <w:sz w:val="24"/>
          <w:szCs w:val="24"/>
        </w:rPr>
      </w:pPr>
      <w:r w:rsidRPr="00896142">
        <w:rPr>
          <w:rFonts w:ascii="Times New Roman" w:hAnsi="Times New Roman" w:cs="Times New Roman"/>
          <w:sz w:val="24"/>
          <w:szCs w:val="24"/>
        </w:rPr>
        <w:t xml:space="preserve">• поливитаминные комплексы для парентерального введения: – препараты водорастворимых витаминов; – препараты жирорастворимых витаминов; – препараты водо- и жирорастворимых витаминов; – комплексы микроэлементов для парентерального введения </w:t>
      </w:r>
      <w:r w:rsidRPr="00896142">
        <w:rPr>
          <w:rFonts w:ascii="Times New Roman" w:hAnsi="Times New Roman" w:cs="Times New Roman"/>
          <w:sz w:val="24"/>
          <w:szCs w:val="24"/>
        </w:rPr>
        <w:fldChar w:fldCharType="begin" w:fldLock="1"/>
      </w:r>
      <w:r w:rsidR="009C1B46">
        <w:rPr>
          <w:rFonts w:ascii="Times New Roman" w:hAnsi="Times New Roman" w:cs="Times New Roman"/>
          <w:sz w:val="24"/>
          <w:szCs w:val="24"/>
        </w:rPr>
        <w:instrText>ADDIN CSL_CITATION {"citationItems":[{"id":"ITEM-1","itemData":{"DOI":"10.1007/s12094-017-1757-4","ISSN":"16993055","PMID":"29043569","abstract":"Background: Malnutrition is a frequent medical problem of cancer patients that negatively impacts their quality of life. Methods: A multidisciplinary group of experts in Medical Oncology, Pharmacy, and Nutrition convened to discuss the management of the nutritional support in cancer patients. Results: Of the 18 questions addressed, 9 focused on nutritional support, 5 were related to parenteral nutrition (PN) and 4 about home PN (HPN). The panel of experts recommends using nutritional screening routinely, at diagnosis and throughout the disease course, for detecting the risk of malnutrition and, if it is positive, to perform a complete nutritional assessment, to diagnose malnutrition. Currently, there are different screening tools and methods that allow us to detect nutritional risk. Based on the evidence and experience, the panel stated that PN is indicated mainly when it is not possible to use the digestive tract and/or oral feeding and/or enteral nutrition is not sufficient or possible. The nutritional needs of the cancer patients, except in those cases where individualized measures are required, should be considered similar to healthy individuals (25–30 kcal/kg/day). The panel considers that the nutritional monitoring of the cancer patient should be multidisciplinary and adapted to the characteristics of each center. Additionally, the objective of the HPN is to improve or maintain the nutritional status of a patient at home. Conclusions: This document seeks to lay down a set of recommendations and to identify key issues that may be useful for the nutritional management of cancer patients.","author":[{"dropping-particle":"","family":"Virizuela","given":"J. A.","non-dropping-particle":"","parse-names":false,"suffix":""},{"dropping-particle":"","family":"Camblor-Álvarez","given":"M.","non-dropping-particle":"","parse-names":false,"suffix":""},{"dropping-particle":"","family":"Luengo-Pérez","given":"L. M.","non-dropping-particle":"","parse-names":false,"suffix":""},{"dropping-particle":"","family":"Grande","given":"E.","non-dropping-particle":"","parse-names":false,"suffix":""},{"dropping-particle":"","family":"Álvarez-Hernández","given":"J.","non-dropping-particle":"","parse-names":false,"suffix":""},{"dropping-particle":"","family":"Sendrós-Madroño","given":"M. J.","non-dropping-particle":"","parse-names":false,"suffix":""},{"dropping-particle":"","family":"Jiménez-Fonseca","given":"P.","non-dropping-particle":"","parse-names":false,"suffix":""},{"dropping-particle":"","family":"Cervera-Peris","given":"M.","non-dropping-particle":"","parse-names":false,"suffix":""},{"dropping-particle":"","family":"Ocón-Bretón","given":"M. J.","non-dropping-particle":"","parse-names":false,"suffix":""}],"container-title":"Clinical and Translational Oncology","id":"ITEM-1","issue":"5","issued":{"date-parts":[["2018","5"]]},"page":"619-629","publisher":"Springer-Verlag Italia s.r.l.","title":"Nutritional support and parenteral nutrition in cancer patients: an expert consensus report","type":"article-journal","volume":"20"},"uris":["http://www.mendeley.com/documents/?uuid=4a1cad31-99e3-4cf2-93ad-17d966d60db9","http://www.mendeley.com/documents/?uuid=dc45015e-2bbd-4e0a-8302-25dcb06c3c4c","http://www.mendeley.com/documents/?uuid=99911acc-feb8-4597-a8e1-899d1f00b719","http://www.mendeley.com/documents/?uuid=ddeb6586-712b-4c69-81e8-8e7e497e2d57","http://www.mendeley.com/documents/?uuid=ed2f4812-c506-484a-afb7-1bb5dae57ffb","http://www.mendeley.com/documents/?uuid=555471fe-b9e3-303f-adcc-eecf69d63698"]}],"mendeley":{"formattedCitation":"[72]","plainTextFormattedCitation":"[72]","previouslyFormattedCitation":"[71]"},"properties":{"noteIndex":0},"schema":"https://github.com/citation-style-language/schema/raw/master/csl-citation.json"}</w:instrText>
      </w:r>
      <w:r w:rsidRPr="00896142">
        <w:rPr>
          <w:rFonts w:ascii="Times New Roman" w:hAnsi="Times New Roman" w:cs="Times New Roman"/>
          <w:sz w:val="24"/>
          <w:szCs w:val="24"/>
        </w:rPr>
        <w:fldChar w:fldCharType="separate"/>
      </w:r>
      <w:r w:rsidR="009C1B46" w:rsidRPr="009C1B46">
        <w:rPr>
          <w:rFonts w:ascii="Times New Roman" w:hAnsi="Times New Roman" w:cs="Times New Roman"/>
          <w:noProof/>
          <w:sz w:val="24"/>
          <w:szCs w:val="24"/>
        </w:rPr>
        <w:t>[72]</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Системы парентерального питания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Nutrition","id":"ITEM-1","issue":"1","issued":{"date-parts":[["2017","2"]]},"page":"11-48","publisher":"Churchill Livingstone","title":"ESPEN guidelines on nutrition in cancer patients","type":"article-journal","volume":"36"},"uris":["http://www.mendeley.com/documents/?uuid=36077b4c-f370-4a6b-b0e1-4b1e9c1d43b5","http://www.mendeley.com/documents/?uuid=e630a116-d7ec-4a1c-b664-044aef3e48b1","http://www.mendeley.com/documents/?uuid=d3f8f4e1-d953-4d1a-aa5d-79416736ad5c","http://www.mendeley.com/documents/?uuid=e6d2b792-474d-4443-8733-96188600ddfb","http://www.mendeley.com/documents/?uuid=b37f7a4f-c193-47c9-8d52-643880058eba","http://www.mendeley.com/documents/?uuid=2a76c704-6c26-3663-97b2-de4da274aff7"]}],"mendeley":{"formattedCitation":"[19]","plainTextFormattedCitation":"[19]","previouslyFormattedCitation":"[19]"},"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[19]</w:t>
      </w:r>
      <w:r w:rsidRPr="00896142">
        <w:rPr>
          <w:rFonts w:ascii="Times New Roman" w:hAnsi="Times New Roman" w:cs="Times New Roman"/>
          <w:sz w:val="24"/>
          <w:szCs w:val="24"/>
        </w:rPr>
        <w:fldChar w:fldCharType="end"/>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 «модульная» – использование флаконов с аминокислотами, глюкозой, жировыми эмульсиями; (главным недостатком данного метода является различная скорость введения препаратов);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 система «все в одном» предполагает использование двух- и трехкомпонентных контейнеров с подобранным необходимым количеством и метаболически верным соотношением аминокислот, глюкозы, липидов и электролитов.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Противопоказания к парентеральному питанию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{"citationItems":[{"id":"ITEM-1","itemData":{"DOI":"10.1016/j.clnu.2016.07.015","ISSN":"15321983","PMID":"27637832","abstract":"Cancers are among the leading causes of morbidity and mortality worldwide, and the number of new cases is expected to rise significantly over the next decades. At the same time, all types of cancer treatment, such as surgery, radiation therapy, and pharmacological therapies are improving in sophistication, precision and in the power to target specific characteristics of individual cancers. Thus, while many cancers may still not be cured they may be converted to chronic diseases. All of these treatments, however, are impeded or precluded by the frequent development of malnutrition and metabolic derangements in cancer patients, induced by the tumor or by its treatment. These evidence-based guidelines were developed to translate current best evidence and expert opinion into recommendations for multi-disciplinary teams responsible for identification, prevention, and treatment of reversible elements of malnutrition in adult cancer patients. The guidelines were commissioned and financially supported by ESPEN and by the European Partnership for Action Against Cancer (EPAAC), an EU level initiative. Members of the guideline group were selected by ESPEN to include a range of professions and fields of expertise. We searched for meta-analyses, systematic reviews and comparative studies based on clinical questions according to the PICO format. The evidence was evaluated and merged to develop clinical recommendations using the GRADE method. Due to the deficits in the available evidence, relevant still open questions were listed and should be addressed by future studies. Malnutrition and a loss of muscle mass are frequent in cancer patients and have a negative effect on clinical outcome. They may be driven by inadequate food intake, decreased physical activity and catabolic metabolic derangements. To screen for, prevent, assess in detail, monitor and treat malnutrition standard operating procedures, responsibilities and a quality control process should be established at each institution involved in treating cancer patients. All cancer patients should be screened regularly for the risk or the presence of malnutrition. In all patients – with the exception of end of life care – energy and substrate requirements should be met by offering in a step-wise manner nutritional interventions from counseling to parenteral nutrition. However, benefits and risks of nutritional interventions have to be balanced with special consideration in patients with advanced disease. Nutrition…","author":[{"dropping-particle":"","family":"Arends","given":"Jann","non-dropping-particle":"","parse-names":false,"suffix":""},{"dropping-particle":"","family":"Bachmann","given":"Patrick","non-dropping-particle":"","parse-names":false,"suffix":""},{"dropping-particle":"","family":"Baracos","given":"Vickie","non-dropping-particle":"","parse-names":false,"suffix":""},{"dropping-particle":"","family":"Barthelemy","given":"Nicole","non-dropping-particle":"","parse-names":false,"suffix":""},{"dropping-particle":"","family":"Bertz","given":"Hartmut","non-dropping-particle":"","parse-names":false,"suffix":""},{"dropping-particle":"","family":"Bozzetti","given":"Federico","non-dropping-particle":"","parse-names":false,"suffix":""},{"dropping-particle":"","family":"Fearon","given":"Ken","non-dropping-particle":"","parse-names":false,"suffix":""},{"dropping-particle":"","family":"Hütterer","given":"Elisabeth","non-dropping-particle":"","parse-names":false,"suffix":""},{"dropping-particle":"","family":"Isenring","given":"Elizabeth","non-dropping-particle":"","parse-names":false,"suffix":""},{"dropping-particle":"","family":"Kaasa","given":"Stein","non-dropping-particle":"","parse-names":false,"suffix":""},{"dropping-particle":"","family":"Krznaric","given":"Zeljko","non-dropping-particle":"","parse-names":false,"suffix":""},{"dropping-particle":"","family":"Laird","given":"Barry","non-dropping-particle":"","parse-names":false,"suffix":""},{"dropping-particle":"","family":"Larsson","given":"Maria","non-dropping-particle":"","parse-names":false,"suffix":""},{"dropping-particle":"","family":"Laviano","given":"Alessandro","non-dropping-particle":"","parse-names":false,"suffix":""},{"dropping-particle":"","family":"Mühlebach","given":"Stefan","non-dropping-particle":"","parse-names":false,"suffix":""},{"dropping-particle":"","family":"Muscaritoli","given":"Maurizio","non-dropping-particle":"","parse-names":false,"suffix":""},{"dropping-particle":"","family":"Oldervoll","given":"Line","non-dropping-particle":"","parse-names":false,"suffix":""},{"dropping-particle":"","family":"Ravasco","given":"Paula","non-dropping-particle":"","parse-names":false,"suffix":""},{"dropping-particle":"","family":"Solheim","given":"Tora","non-dropping-particle":"","parse-names":false,"suffix":""},{"dropping-particle":"","family":"Strasser","given":"Florian","non-dropping-particle":"","parse-names":false,"suffix":""},{"dropping-particle":"","family":"van der Schueren","given":"Marian","non-dropping-particle":"de","parse-names":false,"suffix":""},{"dropping-particle":"","family":"Preiser","given":"Jean Charles","non-dropping-particle":"","parse-names":false,"suffix":""}],"container-title":"Clinical Nutrition","id":"ITEM-1","issue":"1","issued":{"date-parts":[["2017","2"]]},"page":"11-48","publisher":"Churchill Livingstone","title":"ESPEN guidelines on nutrition in cancer patients","type":"article-journal","volume":"36"},"uris":["http://www.mendeley.com/documents/?uuid=36077b4c-f370-4a6b-b0e1-4b1e9c1d43b5","http://www.mendeley.com/documents/?uuid=e630a116-d7ec-4a1c-b664-044aef3e48b1","http://www.mendeley.com/documents/?uuid=d3f8f4e1-d953-4d1a-aa5d-79416736ad5c","http://www.mendeley.com/documents/?uuid=e6d2b792-474d-4443-8733-96188600ddfb","http://www.mendeley.com/documents/?uuid=b37f7a4f-c193-47c9-8d52-643880058eba","http://www.mendeley.com/documents/?uuid=2a76c704-6c26-3663-97b2-de4da274aff7"]}],"mendeley":{"formattedCitation":"[19]","plainTextFormattedCitation":"[19]","previouslyFormattedCitation":"[19]"},"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[19]</w:t>
      </w:r>
      <w:r w:rsidRPr="00896142">
        <w:rPr>
          <w:rFonts w:ascii="Times New Roman" w:hAnsi="Times New Roman" w:cs="Times New Roman"/>
          <w:sz w:val="24"/>
          <w:szCs w:val="24"/>
        </w:rPr>
        <w:fldChar w:fldCharType="end"/>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возможность энтерального питания;</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lastRenderedPageBreak/>
        <w:t xml:space="preserve">• невозможность обеспечения адекватного сосудистого доступа;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 отсутствие признаков белково-энергетической недостаточности;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 гипоксия (раО2 70 мм рт. ст., сывороточный лактат &gt; 3 ммоль/л);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 анурия или гипергидратация без диализа.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Смешанное питание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{"citationItems":[{"id":"ITEM-1","itemData":{"DOI":"10.18027/2224-5057-2017-7-3s2-524-532","author":[{"dropping-particle":"","family":"Сытов А.В., Лейдерман И.Н., Ломидзе С.В., Нехаев И.В.","given":"Хотеев А.Ж.;","non-dropping-particle":"","parse-names":false,"suffix":""}],"container-title":"RUSSCO","id":"ITEM-1","issued":{"date-parts":[["2017"]]},"note":"a","page":"524-532","title":"Практические рекомендации по нутритивной поддержке онкологических больных","type":"article-journal"},"uris":["http://www.mendeley.com/documents/?uuid=d8f4044a-9d39-4071-8266-cbd0ae05b0d9","http://www.mendeley.com/documents/?uuid=260337e2-8643-4a98-b22a-51f427e64df0","http://www.mendeley.com/documents/?uuid=a93dd076-f883-470f-9078-09d5bea12d18","http://www.mendeley.com/documents/?uuid=09a52a75-b0e4-4371-af21-5958257d9c6b","http://www.mendeley.com/documents/?uuid=b7d0213d-9037-458b-9137-8ba92417f389","http://www.mendeley.com/documents/?uuid=d1a841f7-cf41-3658-b869-ec5c58850b6d"]}],"mendeley":{"formattedCitation":"[11]","plainTextFormattedCitation":"[11]","previouslyFormattedCitation":"[11]"},"properties":{"noteIndex":0},"schema":"https://github.com/citation-style-language/schema/raw/master/csl-citation.json"}</w:instrText>
      </w:r>
      <w:r w:rsidRPr="00896142">
        <w:rPr>
          <w:rFonts w:ascii="Times New Roman" w:hAnsi="Times New Roman" w:cs="Times New Roman"/>
          <w:sz w:val="24"/>
          <w:szCs w:val="24"/>
        </w:rPr>
        <w:fldChar w:fldCharType="separate"/>
      </w:r>
      <w:r w:rsidR="007368BF" w:rsidRPr="007368BF">
        <w:rPr>
          <w:rFonts w:ascii="Times New Roman" w:hAnsi="Times New Roman" w:cs="Times New Roman"/>
          <w:noProof/>
          <w:sz w:val="24"/>
          <w:szCs w:val="24"/>
        </w:rPr>
        <w:t>[11]</w:t>
      </w:r>
      <w:r w:rsidRPr="00896142">
        <w:rPr>
          <w:rFonts w:ascii="Times New Roman" w:hAnsi="Times New Roman" w:cs="Times New Roman"/>
          <w:sz w:val="24"/>
          <w:szCs w:val="24"/>
        </w:rPr>
        <w:fldChar w:fldCharType="end"/>
      </w:r>
      <w:r w:rsidRPr="00896142">
        <w:rPr>
          <w:rFonts w:ascii="Times New Roman" w:hAnsi="Times New Roman" w:cs="Times New Roman"/>
          <w:sz w:val="24"/>
          <w:szCs w:val="24"/>
        </w:rPr>
        <w:t xml:space="preserve"> </w:t>
      </w:r>
      <w:r w:rsidRPr="00896142">
        <w:rPr>
          <w:rFonts w:ascii="Times New Roman" w:hAnsi="Times New Roman" w:cs="Times New Roman"/>
          <w:sz w:val="24"/>
          <w:szCs w:val="24"/>
        </w:rPr>
        <w:fldChar w:fldCharType="begin" w:fldLock="1"/>
      </w:r>
      <w:r w:rsidR="007368BF">
        <w:rPr>
          <w:rFonts w:ascii="Times New Roman" w:hAnsi="Times New Roman" w:cs="Times New Roman"/>
          <w:sz w:val="24"/>
          <w:szCs w:val="24"/>
        </w:rPr>
        <w:instrText>ADDIN CSL_CITATION {"citationItems":[{"id":"ITEM-1","itemData":{"author":[{"dropping-particle":"","family":"Бесова Н.С., Борисова Т.Н., Ларионова В.Б., Лейдерман И.Н., Обухова О.А., Попова Т.С., Салтанов А.И., Сельчук В.Ю., Снеговой А.В., Ткачев С.И., Тюляндин С.А.","given":"Шестопалов А.И.","non-dropping-particle":"","parse-names":false,"suffix":""}],"id":"ITEM-1","issued":{"date-parts":[["2014"]]},"note":"a","title":"Клинические рекомендации по нутритивной поддержке при химиотерапии и/или лучевой терапии","type":"report"},"uris":["http://www.mendeley.com/documents/?uuid=2475f28c-b7e0-408d-8d85-bd890e4862de","http://www.mendeley.com/documents/?uuid=2db47854-c914-42bd-bd4d-a19b47e78e0d","http://www.mendeley.com/documents/?uuid=113bc17a-cb71-4ba2-afb9-083757d46c9b","http://www.mendeley.com/documents/?uuid=17acaf09-3d29-4b25-b43e-598e8835165d","http://www.mendeley.com/documents/?uuid=2da28a52-fa64-480f-9c45-312b59a7027b","http://www.mendeley.com/documents/?uuid=fa470355-bcfd-3bef-a7a1-086215509c2d"]}],"mendeley":{"formattedCitation":"[3]","plainTextFormattedCitation":"[3]","previouslyFormattedCitation":"[3]"},"properties":{"noteIndex":0},"schema":"https://github.com/citation-style-language/schema/raw/master/csl-citation.json"}</w:instrText>
      </w:r>
      <w:r w:rsidRPr="00896142">
        <w:rPr>
          <w:rFonts w:ascii="Times New Roman" w:hAnsi="Times New Roman" w:cs="Times New Roman"/>
          <w:sz w:val="24"/>
          <w:szCs w:val="24"/>
        </w:rPr>
        <w:fldChar w:fldCharType="separate"/>
      </w:r>
      <w:r w:rsidR="00856BAA" w:rsidRPr="00856BAA">
        <w:rPr>
          <w:rFonts w:ascii="Times New Roman" w:hAnsi="Times New Roman" w:cs="Times New Roman"/>
          <w:noProof/>
          <w:sz w:val="24"/>
          <w:szCs w:val="24"/>
        </w:rPr>
        <w:t>[3]</w:t>
      </w:r>
      <w:r w:rsidRPr="00896142">
        <w:rPr>
          <w:rFonts w:ascii="Times New Roman" w:hAnsi="Times New Roman" w:cs="Times New Roman"/>
          <w:sz w:val="24"/>
          <w:szCs w:val="24"/>
        </w:rPr>
        <w:fldChar w:fldCharType="end"/>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Энтеральное и парентеральное питание может назначаться пациентам одновременно при недостаточной эффективности одного из этих методов (не позволяющем обеспечить более 60% от потребности в энергии).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xml:space="preserve">Мониторинг эффективности нутритивной поддержки </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Частота исследования данных показателей может изменяться в зависимости от конкретной клинической ситуации.</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Общий белок сыворотки крови 1 раз в 5–7 дней.</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Альбумин сыворотки крови 1 раз в 5–7 дней.</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Гемоглобин 1 раз в 5–7 дней.</w:t>
      </w:r>
    </w:p>
    <w:p w:rsidR="00896142" w:rsidRPr="00896142" w:rsidRDefault="00896142" w:rsidP="00896142">
      <w:pPr>
        <w:spacing w:after="0"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Лимфоциты периферической крови 1 раз в 5–7 дней.</w:t>
      </w:r>
    </w:p>
    <w:p w:rsidR="00896142" w:rsidRPr="00896142" w:rsidRDefault="00896142" w:rsidP="00C17B4D">
      <w:pPr>
        <w:spacing w:line="360" w:lineRule="auto"/>
        <w:ind w:firstLine="851"/>
        <w:jc w:val="both"/>
        <w:rPr>
          <w:rFonts w:ascii="Times New Roman" w:hAnsi="Times New Roman" w:cs="Times New Roman"/>
          <w:sz w:val="24"/>
          <w:szCs w:val="24"/>
        </w:rPr>
      </w:pPr>
      <w:r w:rsidRPr="00896142">
        <w:rPr>
          <w:rFonts w:ascii="Times New Roman" w:hAnsi="Times New Roman" w:cs="Times New Roman"/>
          <w:sz w:val="24"/>
          <w:szCs w:val="24"/>
        </w:rPr>
        <w:t>• Масса тела и ИМТ тела 1 раз в 7–10 дней.</w:t>
      </w:r>
    </w:p>
    <w:p w:rsidR="00635E72" w:rsidRDefault="00C17B4D" w:rsidP="00780185">
      <w:pPr>
        <w:pStyle w:val="1"/>
        <w:numPr>
          <w:ilvl w:val="1"/>
          <w:numId w:val="112"/>
        </w:numPr>
        <w:spacing w:before="0" w:after="240"/>
        <w:jc w:val="center"/>
        <w:rPr>
          <w:rFonts w:ascii="Times New Roman" w:hAnsi="Times New Roman" w:cs="Times New Roman"/>
          <w:color w:val="auto"/>
          <w:sz w:val="24"/>
        </w:rPr>
      </w:pPr>
      <w:r>
        <w:rPr>
          <w:rFonts w:ascii="Times New Roman" w:hAnsi="Times New Roman" w:cs="Times New Roman"/>
          <w:color w:val="auto"/>
          <w:sz w:val="24"/>
        </w:rPr>
        <w:t xml:space="preserve"> </w:t>
      </w:r>
      <w:bookmarkStart w:id="45" w:name="_Toc44926642"/>
      <w:r w:rsidR="00635E72" w:rsidRPr="00FA7541">
        <w:rPr>
          <w:rFonts w:ascii="Times New Roman" w:hAnsi="Times New Roman" w:cs="Times New Roman"/>
          <w:color w:val="auto"/>
          <w:sz w:val="24"/>
        </w:rPr>
        <w:t>Обезболивание в период нейтропении</w:t>
      </w:r>
      <w:bookmarkEnd w:id="45"/>
    </w:p>
    <w:p w:rsidR="000E023B" w:rsidRDefault="00163277" w:rsidP="001632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Интенсивный болевой синдром в полости рта и при глотании при мукозите </w:t>
      </w:r>
      <w:r>
        <w:rPr>
          <w:rFonts w:ascii="Times New Roman" w:hAnsi="Times New Roman" w:cs="Times New Roman"/>
          <w:sz w:val="24"/>
          <w:szCs w:val="24"/>
          <w:lang w:val="en-US"/>
        </w:rPr>
        <w:t>III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степени в период миелотоксического агранулоцитоза является показанием к назначению аналгети</w:t>
      </w:r>
      <w:r w:rsidR="00B02228">
        <w:rPr>
          <w:rFonts w:ascii="Times New Roman" w:hAnsi="Times New Roman" w:cs="Times New Roman"/>
          <w:sz w:val="24"/>
          <w:szCs w:val="24"/>
        </w:rPr>
        <w:t>ческой терапии. Применение несте</w:t>
      </w:r>
      <w:r>
        <w:rPr>
          <w:rFonts w:ascii="Times New Roman" w:hAnsi="Times New Roman" w:cs="Times New Roman"/>
          <w:sz w:val="24"/>
          <w:szCs w:val="24"/>
        </w:rPr>
        <w:t xml:space="preserve">роидных противовоспалительных средств (НПВС) не рекомендовано в период МТА. Механизм действия НПВС связан с угнетением активности циклооксигеназы (ЦОГ), катализирующей образование простагландинов из арахидоновой кислоты. Простагландины играют важную роль в патогенезе боли, воспаления и лихорадки. </w:t>
      </w:r>
    </w:p>
    <w:p w:rsidR="00163277" w:rsidRDefault="00163277" w:rsidP="001632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условиях нейтропении блокирование воспалительной реакции может привести к фатальным осложнениям, молниеносному развитию сепсиса и септического шока. Кроме того, в результате ингибирования ЦОГ-1 в тромбоцитах подавляется синтез эндогенного проагреганта тромбоксана. Антиагрегантное действие НПВС в условиях тромбоцитопении может провоцировать кровотечения. </w:t>
      </w:r>
    </w:p>
    <w:p w:rsidR="00470BE2" w:rsidRDefault="00163277" w:rsidP="000E023B">
      <w:pPr>
        <w:spacing w:after="0" w:line="360" w:lineRule="auto"/>
        <w:ind w:firstLine="851"/>
        <w:jc w:val="both"/>
        <w:rPr>
          <w:rFonts w:ascii="Times New Roman" w:eastAsiaTheme="majorEastAsia" w:hAnsi="Times New Roman" w:cs="Times New Roman"/>
          <w:b/>
          <w:bCs/>
          <w:sz w:val="24"/>
          <w:szCs w:val="24"/>
        </w:rPr>
      </w:pPr>
      <w:r>
        <w:rPr>
          <w:rFonts w:ascii="Times New Roman" w:hAnsi="Times New Roman" w:cs="Times New Roman"/>
          <w:sz w:val="24"/>
          <w:szCs w:val="24"/>
        </w:rPr>
        <w:t xml:space="preserve">В связи с этим в период МТА для обезболивания рекомендованы к применению наркотические аналгетики (промедол 10 мг в/в, трамадол 100 мг в/в, фентанил 25 мкг/час трансдермально). В связи с тем, что у части больных тяжелый мукозит сохраняется длительное время, может потребоваться многократное назначение указанных наркотических аналгетиков. </w:t>
      </w:r>
      <w:r w:rsidR="00470BE2">
        <w:rPr>
          <w:rFonts w:ascii="Times New Roman" w:eastAsiaTheme="majorEastAsia" w:hAnsi="Times New Roman" w:cs="Times New Roman"/>
          <w:b/>
          <w:bCs/>
          <w:sz w:val="24"/>
          <w:szCs w:val="24"/>
        </w:rPr>
        <w:br w:type="page"/>
      </w:r>
    </w:p>
    <w:p w:rsidR="00232B28" w:rsidRDefault="00232B28" w:rsidP="00232B28">
      <w:pPr>
        <w:pStyle w:val="1"/>
        <w:spacing w:after="240"/>
        <w:jc w:val="center"/>
        <w:rPr>
          <w:rFonts w:ascii="Times New Roman" w:hAnsi="Times New Roman" w:cs="Times New Roman"/>
          <w:color w:val="auto"/>
        </w:rPr>
      </w:pPr>
      <w:bookmarkStart w:id="46" w:name="_Toc44926643"/>
      <w:r w:rsidRPr="00232B28">
        <w:rPr>
          <w:rFonts w:ascii="Times New Roman" w:hAnsi="Times New Roman" w:cs="Times New Roman"/>
          <w:color w:val="auto"/>
        </w:rPr>
        <w:lastRenderedPageBreak/>
        <w:t>Приложения</w:t>
      </w:r>
      <w:bookmarkEnd w:id="46"/>
      <w:r w:rsidRPr="00232B28">
        <w:rPr>
          <w:rFonts w:ascii="Times New Roman" w:hAnsi="Times New Roman" w:cs="Times New Roman"/>
          <w:color w:val="auto"/>
        </w:rPr>
        <w:t xml:space="preserve"> </w:t>
      </w:r>
    </w:p>
    <w:p w:rsidR="003B2A99" w:rsidRPr="00DB1FCB" w:rsidRDefault="003B2A99" w:rsidP="003B2A9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Приложение 1.</w:t>
      </w:r>
      <w:r w:rsidRPr="00DB1FCB">
        <w:rPr>
          <w:rFonts w:ascii="Times New Roman" w:hAnsi="Times New Roman" w:cs="Times New Roman"/>
          <w:b/>
          <w:sz w:val="24"/>
          <w:szCs w:val="24"/>
        </w:rPr>
        <w:t xml:space="preserve"> Применение основных антимикробных препаратов</w:t>
      </w:r>
      <w:r>
        <w:rPr>
          <w:rFonts w:ascii="Times New Roman" w:hAnsi="Times New Roman" w:cs="Times New Roman"/>
          <w:b/>
          <w:sz w:val="24"/>
          <w:szCs w:val="24"/>
        </w:rPr>
        <w:t xml:space="preserve"> у больных гемобластозами в период ауто-ТГСК</w:t>
      </w:r>
      <w:r w:rsidRPr="00DB1FCB">
        <w:rPr>
          <w:rFonts w:ascii="Times New Roman" w:hAnsi="Times New Roman" w:cs="Times New Roman"/>
          <w:b/>
          <w:sz w:val="24"/>
          <w:szCs w:val="24"/>
        </w:rPr>
        <w:t xml:space="preserve">. </w:t>
      </w:r>
    </w:p>
    <w:tbl>
      <w:tblPr>
        <w:tblStyle w:val="ac"/>
        <w:tblW w:w="9356" w:type="dxa"/>
        <w:tblInd w:w="108" w:type="dxa"/>
        <w:tblLayout w:type="fixed"/>
        <w:tblLook w:val="04A0" w:firstRow="1" w:lastRow="0" w:firstColumn="1" w:lastColumn="0" w:noHBand="0" w:noVBand="1"/>
      </w:tblPr>
      <w:tblGrid>
        <w:gridCol w:w="2127"/>
        <w:gridCol w:w="1843"/>
        <w:gridCol w:w="2126"/>
        <w:gridCol w:w="3260"/>
      </w:tblGrid>
      <w:tr w:rsidR="003B2A99" w:rsidRPr="00DB1FCB" w:rsidTr="003B2A99">
        <w:tc>
          <w:tcPr>
            <w:tcW w:w="2127" w:type="dxa"/>
          </w:tcPr>
          <w:p w:rsidR="003B2A99" w:rsidRPr="0095427D"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Препарат</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Дозировка</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Температура тела</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Наличие очага инфекции</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Цефоперазон/ сульбактам</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4 г 2 р/сут</w:t>
            </w:r>
          </w:p>
        </w:tc>
        <w:tc>
          <w:tcPr>
            <w:tcW w:w="5386" w:type="dxa"/>
            <w:gridSpan w:val="2"/>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Фебрильная нейтропения, впервые возникшая</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 xml:space="preserve">Амикацин </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1 г 1 р/сут (15мг/кг)</w:t>
            </w: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Повторный вираж/отсутствие эффекта</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Парапроктит </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 xml:space="preserve">Меропенем </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1 г 3р/сут</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Фебрильная нейтропения в течении 4-5 дней /фебрильная лихорадка в дебюте + КК СШ</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Колонизация БЛРС/ пневмония (при невозможности БАЛ)/ Грам (–) инфекция кровотока + ухудшение КК/ септический шок (если в дебюте – то как 1 линия)/</w:t>
            </w: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септические отсевы на коже</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*Меропенем</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2 г 3р/сут</w:t>
            </w:r>
          </w:p>
        </w:tc>
        <w:tc>
          <w:tcPr>
            <w:tcW w:w="5386" w:type="dxa"/>
            <w:gridSpan w:val="2"/>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При неэффективности терапии в стандартной   дозировке/повторный вираж</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Имипенем/ циластатин</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500 мг 4р/сут</w:t>
            </w:r>
          </w:p>
        </w:tc>
        <w:tc>
          <w:tcPr>
            <w:tcW w:w="5386" w:type="dxa"/>
            <w:gridSpan w:val="2"/>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Те же показания, что и меропенема</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Ванкомицин</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1 г 2р/сут</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Фебрильная нейтропения</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Симптомы мукозита 3-4 ст./грам(+) инфекция кровотока/катетер-ассоциированная инфекция</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Флуконазол</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400 мг/сут</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Фебрильная нейтропения</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Симптомы мукозита 3-4 ст., если высеялась </w:t>
            </w:r>
            <w:r w:rsidRPr="00DB1FCB">
              <w:rPr>
                <w:rFonts w:ascii="Times New Roman" w:hAnsi="Times New Roman" w:cs="Times New Roman"/>
                <w:i/>
                <w:sz w:val="24"/>
                <w:szCs w:val="24"/>
                <w:lang w:val="en-US"/>
              </w:rPr>
              <w:t>Candida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spp</w:t>
            </w:r>
            <w:r w:rsidRPr="00DB1FCB">
              <w:rPr>
                <w:rFonts w:ascii="Times New Roman" w:hAnsi="Times New Roman" w:cs="Times New Roman"/>
                <w:i/>
                <w:sz w:val="24"/>
                <w:szCs w:val="24"/>
              </w:rPr>
              <w:t>.</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Каспофунгин</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Нагр. доза: 70 мг, потом 50 мг</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Если после снижения температуры до </w:t>
            </w:r>
            <w:r w:rsidRPr="00DB1FCB">
              <w:rPr>
                <w:rFonts w:ascii="Times New Roman" w:hAnsi="Times New Roman" w:cs="Times New Roman"/>
                <w:sz w:val="24"/>
                <w:szCs w:val="24"/>
                <w:lang w:val="en-US"/>
              </w:rPr>
              <w:t>N</w:t>
            </w:r>
            <w:r w:rsidRPr="00DB1FCB">
              <w:rPr>
                <w:rFonts w:ascii="Times New Roman" w:hAnsi="Times New Roman" w:cs="Times New Roman"/>
                <w:sz w:val="24"/>
                <w:szCs w:val="24"/>
              </w:rPr>
              <w:t xml:space="preserve"> значений, она вновь на след./через день </w:t>
            </w:r>
            <w:r w:rsidRPr="00DB1FCB">
              <w:rPr>
                <w:rFonts w:ascii="Times New Roman" w:hAnsi="Times New Roman" w:cs="Times New Roman"/>
                <w:sz w:val="24"/>
                <w:szCs w:val="24"/>
              </w:rPr>
              <w:lastRenderedPageBreak/>
              <w:t xml:space="preserve">повысилась или фебрильная нейтропения </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p w:rsidR="003B2A99" w:rsidRPr="00DB1FCB" w:rsidRDefault="003B2A99" w:rsidP="00946E20">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lastRenderedPageBreak/>
              <w:t xml:space="preserve">+ </w:t>
            </w:r>
            <w:r w:rsidR="00946E20">
              <w:rPr>
                <w:rFonts w:ascii="Times New Roman" w:hAnsi="Times New Roman" w:cs="Times New Roman"/>
                <w:sz w:val="24"/>
                <w:szCs w:val="24"/>
              </w:rPr>
              <w:t>и</w:t>
            </w:r>
            <w:r w:rsidRPr="00DB1FCB">
              <w:rPr>
                <w:rFonts w:ascii="Times New Roman" w:hAnsi="Times New Roman" w:cs="Times New Roman"/>
                <w:sz w:val="24"/>
                <w:szCs w:val="24"/>
              </w:rPr>
              <w:t xml:space="preserve">з зева/пр.кишки/ мочи высевается </w:t>
            </w:r>
            <w:r w:rsidRPr="00DB1FCB">
              <w:rPr>
                <w:rFonts w:ascii="Times New Roman" w:hAnsi="Times New Roman" w:cs="Times New Roman"/>
                <w:i/>
                <w:sz w:val="24"/>
                <w:szCs w:val="24"/>
                <w:lang w:val="en-US"/>
              </w:rPr>
              <w:t>Candida</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spp</w:t>
            </w:r>
            <w:r w:rsidRPr="00DB1FCB">
              <w:rPr>
                <w:rFonts w:ascii="Times New Roman" w:hAnsi="Times New Roman" w:cs="Times New Roman"/>
                <w:i/>
                <w:sz w:val="24"/>
                <w:szCs w:val="24"/>
              </w:rPr>
              <w:t>.</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lastRenderedPageBreak/>
              <w:t>Вориконазол</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Нагр. доза 6 мг/кг 2р/сут, затем 4 мг/кг 2 р/сут, затем </w:t>
            </w:r>
            <w:r w:rsidRPr="00DB1FCB">
              <w:rPr>
                <w:rFonts w:ascii="Times New Roman" w:hAnsi="Times New Roman" w:cs="Times New Roman"/>
                <w:sz w:val="24"/>
                <w:szCs w:val="24"/>
                <w:lang w:val="en-US"/>
              </w:rPr>
              <w:t>per</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os</w:t>
            </w:r>
            <w:r w:rsidRPr="00DB1FCB">
              <w:rPr>
                <w:rFonts w:ascii="Times New Roman" w:hAnsi="Times New Roman" w:cs="Times New Roman"/>
                <w:sz w:val="24"/>
                <w:szCs w:val="24"/>
              </w:rPr>
              <w:t xml:space="preserve"> по 200 мг 2р/сут натощак</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Агранулоцитоз ≥10 дней</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Пневмония, резистентная к а/б (или прием гкс)</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 xml:space="preserve">Даптомицин </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10 мг/кг 1 р/сут</w:t>
            </w: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Фебрильная лихорадка</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Грам (+) инфекция кровотока/ катетер-ассоциированная инфекция/</w:t>
            </w: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i/>
                <w:sz w:val="24"/>
                <w:szCs w:val="24"/>
              </w:rPr>
              <w:t>S. aureus</w:t>
            </w:r>
            <w:r w:rsidRPr="00DB1FCB">
              <w:rPr>
                <w:rFonts w:ascii="Times New Roman" w:hAnsi="Times New Roman" w:cs="Times New Roman"/>
                <w:sz w:val="24"/>
                <w:szCs w:val="24"/>
              </w:rPr>
              <w:t>-сепсис без пневмонии/эндокардит</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 xml:space="preserve">Линезолид </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По 600 мг 2 р/сут</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Фебрильная лихорадка</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Пневмония </w:t>
            </w:r>
            <w:r w:rsidRPr="00DB1FCB">
              <w:rPr>
                <w:rFonts w:ascii="Times New Roman" w:hAnsi="Times New Roman" w:cs="Times New Roman"/>
                <w:i/>
                <w:sz w:val="24"/>
                <w:szCs w:val="24"/>
                <w:lang w:val="en-US"/>
              </w:rPr>
              <w:t>S</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aureus</w:t>
            </w:r>
            <w:r w:rsidRPr="00DB1FCB">
              <w:rPr>
                <w:rFonts w:ascii="Times New Roman" w:hAnsi="Times New Roman" w:cs="Times New Roman"/>
                <w:i/>
                <w:sz w:val="24"/>
                <w:szCs w:val="24"/>
              </w:rPr>
              <w:t xml:space="preserve">/ </w:t>
            </w:r>
            <w:r w:rsidRPr="00DB1FCB">
              <w:rPr>
                <w:rFonts w:ascii="Times New Roman" w:hAnsi="Times New Roman" w:cs="Times New Roman"/>
                <w:sz w:val="24"/>
                <w:szCs w:val="24"/>
              </w:rPr>
              <w:t xml:space="preserve">стрептококк </w:t>
            </w:r>
            <w:r w:rsidRPr="00DB1FCB">
              <w:rPr>
                <w:rFonts w:ascii="Times New Roman" w:hAnsi="Times New Roman" w:cs="Times New Roman"/>
                <w:i/>
                <w:sz w:val="24"/>
                <w:szCs w:val="24"/>
                <w:lang w:val="en-US"/>
              </w:rPr>
              <w:t>viridans</w:t>
            </w:r>
            <w:r w:rsidRPr="00DB1FCB">
              <w:rPr>
                <w:rFonts w:ascii="Times New Roman" w:hAnsi="Times New Roman" w:cs="Times New Roman"/>
                <w:sz w:val="24"/>
                <w:szCs w:val="24"/>
              </w:rPr>
              <w:t>/ грам(+) + ухудшение КК/ грам(+)менингит, Грам(+)инфекция кровотока + нефротоксичность</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Тедизолид</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По 0,2 г 1 р/сут </w:t>
            </w:r>
          </w:p>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Инфекции кожи/мягких тканей</w:t>
            </w:r>
          </w:p>
        </w:tc>
      </w:tr>
      <w:tr w:rsidR="003B2A99" w:rsidRPr="00DB1FCB" w:rsidTr="003B2A99">
        <w:trPr>
          <w:gridAfter w:val="2"/>
          <w:wAfter w:w="5386" w:type="dxa"/>
        </w:trPr>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Бисептол</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lang w:val="en-US"/>
              </w:rPr>
            </w:pPr>
            <w:r w:rsidRPr="00DB1FCB">
              <w:rPr>
                <w:rFonts w:ascii="Times New Roman" w:hAnsi="Times New Roman" w:cs="Times New Roman"/>
                <w:sz w:val="24"/>
                <w:szCs w:val="24"/>
              </w:rPr>
              <w:t>По 480 мг/сут</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*Бисептол</w:t>
            </w:r>
          </w:p>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lang w:val="en-US"/>
              </w:rPr>
              <w:t xml:space="preserve">15-20 </w:t>
            </w:r>
            <w:r w:rsidRPr="00DB1FCB">
              <w:rPr>
                <w:rFonts w:ascii="Times New Roman" w:hAnsi="Times New Roman" w:cs="Times New Roman"/>
                <w:sz w:val="24"/>
                <w:szCs w:val="24"/>
              </w:rPr>
              <w:t>мг/кг (в 3 введения)</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Пневмоцистная пневмония, </w:t>
            </w:r>
            <w:r w:rsidRPr="00DB1FCB">
              <w:rPr>
                <w:rFonts w:ascii="Times New Roman" w:hAnsi="Times New Roman" w:cs="Times New Roman"/>
                <w:i/>
                <w:sz w:val="24"/>
                <w:szCs w:val="24"/>
                <w:lang w:val="en-US"/>
              </w:rPr>
              <w:t>Stenotrophomonas</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maltophilia</w:t>
            </w:r>
          </w:p>
        </w:tc>
      </w:tr>
      <w:tr w:rsidR="003B2A99" w:rsidRPr="00DB1FCB" w:rsidTr="003B2A99">
        <w:tc>
          <w:tcPr>
            <w:tcW w:w="2127" w:type="dxa"/>
          </w:tcPr>
          <w:p w:rsidR="003B2A99" w:rsidRPr="00DB1FCB" w:rsidRDefault="003B2A99" w:rsidP="003B2A99">
            <w:pPr>
              <w:tabs>
                <w:tab w:val="left" w:pos="3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 xml:space="preserve">Метронидазол </w:t>
            </w:r>
          </w:p>
        </w:tc>
        <w:tc>
          <w:tcPr>
            <w:tcW w:w="1843"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 xml:space="preserve">По 500 мг 3 р/сут </w:t>
            </w:r>
          </w:p>
        </w:tc>
        <w:tc>
          <w:tcPr>
            <w:tcW w:w="2126" w:type="dxa"/>
          </w:tcPr>
          <w:p w:rsidR="003B2A99" w:rsidRPr="00DB1FCB" w:rsidRDefault="003B2A99" w:rsidP="003B2A99">
            <w:pPr>
              <w:tabs>
                <w:tab w:val="left" w:pos="33"/>
              </w:tabs>
              <w:spacing w:line="360" w:lineRule="auto"/>
              <w:ind w:left="33"/>
              <w:jc w:val="both"/>
              <w:rPr>
                <w:rFonts w:ascii="Times New Roman" w:hAnsi="Times New Roman" w:cs="Times New Roman"/>
                <w:sz w:val="24"/>
                <w:szCs w:val="24"/>
              </w:rPr>
            </w:pPr>
            <w:r w:rsidRPr="00DB1FCB">
              <w:rPr>
                <w:rFonts w:ascii="Times New Roman" w:hAnsi="Times New Roman" w:cs="Times New Roman"/>
                <w:sz w:val="24"/>
                <w:szCs w:val="24"/>
              </w:rPr>
              <w:t>-</w:t>
            </w:r>
          </w:p>
        </w:tc>
        <w:tc>
          <w:tcPr>
            <w:tcW w:w="3260" w:type="dxa"/>
          </w:tcPr>
          <w:p w:rsidR="003B2A99" w:rsidRPr="00DB1FCB" w:rsidRDefault="003B2A99" w:rsidP="003B2A99">
            <w:pPr>
              <w:tabs>
                <w:tab w:val="left" w:pos="33"/>
              </w:tabs>
              <w:spacing w:line="360" w:lineRule="auto"/>
              <w:ind w:left="33"/>
              <w:jc w:val="both"/>
              <w:rPr>
                <w:rFonts w:ascii="Times New Roman" w:hAnsi="Times New Roman" w:cs="Times New Roman"/>
                <w:i/>
                <w:sz w:val="24"/>
                <w:szCs w:val="24"/>
              </w:rPr>
            </w:pPr>
            <w:r w:rsidRPr="00DB1FCB">
              <w:rPr>
                <w:rFonts w:ascii="Times New Roman" w:hAnsi="Times New Roman" w:cs="Times New Roman"/>
                <w:i/>
                <w:sz w:val="24"/>
                <w:szCs w:val="24"/>
                <w:lang w:val="en-US"/>
              </w:rPr>
              <w:t>Clostridium</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difficile</w:t>
            </w:r>
          </w:p>
        </w:tc>
      </w:tr>
      <w:tr w:rsidR="00EB0A57" w:rsidRPr="00DB1FCB" w:rsidTr="003B2A99">
        <w:tc>
          <w:tcPr>
            <w:tcW w:w="2127" w:type="dxa"/>
          </w:tcPr>
          <w:p w:rsidR="00EB0A57" w:rsidRPr="00DB1FCB" w:rsidRDefault="00EB0A57" w:rsidP="003B2A99">
            <w:pPr>
              <w:tabs>
                <w:tab w:val="left" w:pos="34"/>
              </w:tabs>
              <w:spacing w:line="360" w:lineRule="auto"/>
              <w:ind w:left="34"/>
              <w:jc w:val="both"/>
              <w:rPr>
                <w:rFonts w:ascii="Times New Roman" w:hAnsi="Times New Roman" w:cs="Times New Roman"/>
                <w:sz w:val="24"/>
                <w:szCs w:val="24"/>
              </w:rPr>
            </w:pPr>
            <w:r w:rsidRPr="00525F56">
              <w:rPr>
                <w:rFonts w:ascii="Times New Roman" w:hAnsi="Times New Roman" w:cs="Times New Roman"/>
                <w:sz w:val="24"/>
                <w:szCs w:val="24"/>
              </w:rPr>
              <w:t>Цефтазидим-авибактам</w:t>
            </w:r>
          </w:p>
        </w:tc>
        <w:tc>
          <w:tcPr>
            <w:tcW w:w="1843" w:type="dxa"/>
          </w:tcPr>
          <w:p w:rsidR="00EB0A57" w:rsidRPr="00DB1FCB" w:rsidRDefault="00EB0A57" w:rsidP="003B2A99">
            <w:pPr>
              <w:tabs>
                <w:tab w:val="left" w:pos="33"/>
              </w:tabs>
              <w:spacing w:line="360" w:lineRule="auto"/>
              <w:ind w:left="33"/>
              <w:jc w:val="both"/>
              <w:rPr>
                <w:rFonts w:ascii="Times New Roman" w:hAnsi="Times New Roman" w:cs="Times New Roman"/>
                <w:sz w:val="24"/>
                <w:szCs w:val="24"/>
              </w:rPr>
            </w:pPr>
            <w:r w:rsidRPr="00525F56">
              <w:rPr>
                <w:rFonts w:ascii="Times New Roman" w:hAnsi="Times New Roman" w:cs="Times New Roman"/>
                <w:sz w:val="24"/>
                <w:szCs w:val="24"/>
              </w:rPr>
              <w:t>2,5 г каждые 8 часов, длительность инфузии 2 часа</w:t>
            </w:r>
          </w:p>
        </w:tc>
        <w:tc>
          <w:tcPr>
            <w:tcW w:w="2126" w:type="dxa"/>
          </w:tcPr>
          <w:p w:rsidR="00EB0A57" w:rsidRPr="00DB1FCB" w:rsidRDefault="00EB0A57" w:rsidP="003B2A99">
            <w:pPr>
              <w:tabs>
                <w:tab w:val="left" w:pos="33"/>
              </w:tabs>
              <w:spacing w:line="360" w:lineRule="auto"/>
              <w:ind w:left="33"/>
              <w:jc w:val="both"/>
              <w:rPr>
                <w:rFonts w:ascii="Times New Roman" w:hAnsi="Times New Roman" w:cs="Times New Roman"/>
                <w:sz w:val="24"/>
                <w:szCs w:val="24"/>
              </w:rPr>
            </w:pPr>
          </w:p>
        </w:tc>
        <w:tc>
          <w:tcPr>
            <w:tcW w:w="3260" w:type="dxa"/>
          </w:tcPr>
          <w:p w:rsidR="00EB0A57" w:rsidRPr="00427073" w:rsidRDefault="00427073" w:rsidP="003B2A99">
            <w:pPr>
              <w:tabs>
                <w:tab w:val="left" w:pos="33"/>
              </w:tabs>
              <w:spacing w:line="360" w:lineRule="auto"/>
              <w:ind w:left="33"/>
              <w:jc w:val="both"/>
              <w:rPr>
                <w:rFonts w:ascii="Times New Roman" w:hAnsi="Times New Roman" w:cs="Times New Roman"/>
                <w:sz w:val="24"/>
                <w:szCs w:val="24"/>
              </w:rPr>
            </w:pPr>
            <w:r w:rsidRPr="00427073">
              <w:rPr>
                <w:rFonts w:ascii="Times New Roman" w:hAnsi="Times New Roman" w:cs="Times New Roman"/>
                <w:sz w:val="24"/>
                <w:szCs w:val="24"/>
              </w:rPr>
              <w:t>Лечение</w:t>
            </w:r>
            <w:r w:rsidR="00EB0A57" w:rsidRPr="00427073">
              <w:rPr>
                <w:rFonts w:ascii="Times New Roman" w:hAnsi="Times New Roman" w:cs="Times New Roman"/>
                <w:sz w:val="24"/>
                <w:szCs w:val="24"/>
              </w:rPr>
              <w:t xml:space="preserve"> инфекций, вызванных энтеробактериями с продукцией карбапенемаз</w:t>
            </w:r>
            <w:r w:rsidRPr="00427073">
              <w:rPr>
                <w:rFonts w:ascii="Times New Roman" w:hAnsi="Times New Roman" w:cs="Times New Roman"/>
                <w:sz w:val="24"/>
                <w:szCs w:val="24"/>
              </w:rPr>
              <w:t xml:space="preserve">, </w:t>
            </w:r>
            <w:r w:rsidRPr="00427073">
              <w:rPr>
                <w:rFonts w:ascii="Times New Roman" w:eastAsia="Calibri" w:hAnsi="Times New Roman" w:cs="Times New Roman"/>
              </w:rPr>
              <w:t>Pseudomonas aeruginosa.</w:t>
            </w:r>
          </w:p>
        </w:tc>
      </w:tr>
      <w:tr w:rsidR="00427073" w:rsidRPr="00DB1FCB" w:rsidTr="003B2A99">
        <w:tc>
          <w:tcPr>
            <w:tcW w:w="2127" w:type="dxa"/>
          </w:tcPr>
          <w:p w:rsidR="00427073" w:rsidRPr="00525F56" w:rsidRDefault="00427073" w:rsidP="003B2A99">
            <w:pPr>
              <w:tabs>
                <w:tab w:val="left" w:pos="34"/>
              </w:tabs>
              <w:spacing w:line="360" w:lineRule="auto"/>
              <w:ind w:left="34"/>
              <w:jc w:val="both"/>
              <w:rPr>
                <w:rFonts w:ascii="Times New Roman" w:hAnsi="Times New Roman" w:cs="Times New Roman"/>
                <w:sz w:val="24"/>
                <w:szCs w:val="24"/>
              </w:rPr>
            </w:pPr>
            <w:r w:rsidRPr="00E80E33">
              <w:rPr>
                <w:rFonts w:ascii="Times New Roman" w:eastAsia="Calibri" w:hAnsi="Times New Roman" w:cs="Times New Roman"/>
                <w:sz w:val="24"/>
                <w:szCs w:val="24"/>
              </w:rPr>
              <w:t>Цефтолозан/тазобактам</w:t>
            </w:r>
          </w:p>
        </w:tc>
        <w:tc>
          <w:tcPr>
            <w:tcW w:w="1843" w:type="dxa"/>
          </w:tcPr>
          <w:p w:rsidR="00427073" w:rsidRPr="00525F56" w:rsidRDefault="00427073" w:rsidP="003B2A99">
            <w:pPr>
              <w:tabs>
                <w:tab w:val="left" w:pos="33"/>
              </w:tabs>
              <w:spacing w:line="360" w:lineRule="auto"/>
              <w:ind w:left="33"/>
              <w:jc w:val="both"/>
              <w:rPr>
                <w:rFonts w:ascii="Times New Roman" w:hAnsi="Times New Roman" w:cs="Times New Roman"/>
                <w:sz w:val="24"/>
                <w:szCs w:val="24"/>
              </w:rPr>
            </w:pPr>
            <w:r>
              <w:rPr>
                <w:rFonts w:ascii="Times New Roman" w:eastAsia="Calibri" w:hAnsi="Times New Roman" w:cs="Times New Roman"/>
                <w:sz w:val="24"/>
                <w:szCs w:val="24"/>
              </w:rPr>
              <w:t>1,5 или 3</w:t>
            </w:r>
            <w:r w:rsidRPr="00E80E33">
              <w:rPr>
                <w:rFonts w:ascii="Times New Roman" w:eastAsia="Calibri" w:hAnsi="Times New Roman" w:cs="Times New Roman"/>
                <w:sz w:val="24"/>
                <w:szCs w:val="24"/>
              </w:rPr>
              <w:t xml:space="preserve"> г каждые 8 </w:t>
            </w:r>
            <w:r w:rsidRPr="00E80E33">
              <w:rPr>
                <w:rFonts w:ascii="Times New Roman" w:eastAsia="Calibri" w:hAnsi="Times New Roman" w:cs="Times New Roman"/>
                <w:sz w:val="24"/>
                <w:szCs w:val="24"/>
              </w:rPr>
              <w:lastRenderedPageBreak/>
              <w:t>часов, инфузия в течение 1 часа</w:t>
            </w:r>
            <w:r>
              <w:rPr>
                <w:rFonts w:ascii="Times New Roman" w:eastAsia="Calibri" w:hAnsi="Times New Roman" w:cs="Times New Roman"/>
                <w:sz w:val="24"/>
                <w:szCs w:val="24"/>
              </w:rPr>
              <w:t xml:space="preserve"> (при пневмонии по 3 г х 3 раза)</w:t>
            </w:r>
          </w:p>
        </w:tc>
        <w:tc>
          <w:tcPr>
            <w:tcW w:w="2126" w:type="dxa"/>
          </w:tcPr>
          <w:p w:rsidR="00427073" w:rsidRPr="00DB1FCB" w:rsidRDefault="00427073" w:rsidP="003B2A99">
            <w:pPr>
              <w:tabs>
                <w:tab w:val="left" w:pos="33"/>
              </w:tabs>
              <w:spacing w:line="360" w:lineRule="auto"/>
              <w:ind w:left="33"/>
              <w:jc w:val="both"/>
              <w:rPr>
                <w:rFonts w:ascii="Times New Roman" w:hAnsi="Times New Roman" w:cs="Times New Roman"/>
                <w:sz w:val="24"/>
                <w:szCs w:val="24"/>
              </w:rPr>
            </w:pPr>
          </w:p>
        </w:tc>
        <w:tc>
          <w:tcPr>
            <w:tcW w:w="3260" w:type="dxa"/>
          </w:tcPr>
          <w:p w:rsidR="00427073" w:rsidRPr="00427073" w:rsidRDefault="00427073" w:rsidP="003B2A99">
            <w:pPr>
              <w:tabs>
                <w:tab w:val="left" w:pos="33"/>
              </w:tabs>
              <w:spacing w:line="360" w:lineRule="auto"/>
              <w:ind w:left="33"/>
              <w:jc w:val="both"/>
              <w:rPr>
                <w:rFonts w:ascii="Times New Roman" w:hAnsi="Times New Roman" w:cs="Times New Roman"/>
                <w:sz w:val="24"/>
                <w:szCs w:val="24"/>
              </w:rPr>
            </w:pPr>
            <w:r w:rsidRPr="00427073">
              <w:rPr>
                <w:rFonts w:ascii="Times New Roman" w:hAnsi="Times New Roman" w:cs="Times New Roman"/>
                <w:sz w:val="24"/>
                <w:szCs w:val="24"/>
              </w:rPr>
              <w:t xml:space="preserve">Лечение инфекций, вызванных Pseudomonas </w:t>
            </w:r>
            <w:r w:rsidRPr="00427073">
              <w:rPr>
                <w:rFonts w:ascii="Times New Roman" w:hAnsi="Times New Roman" w:cs="Times New Roman"/>
                <w:sz w:val="24"/>
                <w:szCs w:val="24"/>
              </w:rPr>
              <w:lastRenderedPageBreak/>
              <w:t>aeruginosa</w:t>
            </w:r>
          </w:p>
        </w:tc>
      </w:tr>
    </w:tbl>
    <w:p w:rsidR="003B2A99" w:rsidRDefault="003B2A99" w:rsidP="003B2A99">
      <w:pPr>
        <w:tabs>
          <w:tab w:val="left" w:pos="284"/>
        </w:tabs>
        <w:spacing w:after="0" w:line="360" w:lineRule="auto"/>
        <w:ind w:left="284"/>
        <w:jc w:val="both"/>
        <w:rPr>
          <w:rFonts w:ascii="Times New Roman" w:hAnsi="Times New Roman" w:cs="Times New Roman"/>
          <w:sz w:val="24"/>
          <w:szCs w:val="24"/>
        </w:rPr>
      </w:pPr>
    </w:p>
    <w:p w:rsidR="003B2A99" w:rsidRPr="00DB1FCB" w:rsidRDefault="003B2A99" w:rsidP="003B2A99">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Pr="00DB1FCB">
        <w:rPr>
          <w:rFonts w:ascii="Times New Roman" w:hAnsi="Times New Roman" w:cs="Times New Roman"/>
          <w:b/>
          <w:sz w:val="24"/>
          <w:szCs w:val="24"/>
        </w:rPr>
        <w:t>2. Алгоритм диагностики инфекционных осложнений</w:t>
      </w:r>
      <w:r>
        <w:rPr>
          <w:rFonts w:ascii="Times New Roman" w:hAnsi="Times New Roman" w:cs="Times New Roman"/>
          <w:b/>
          <w:sz w:val="24"/>
          <w:szCs w:val="24"/>
        </w:rPr>
        <w:t xml:space="preserve"> у больных гемобластозами в период ауто-ТГСК.</w:t>
      </w:r>
    </w:p>
    <w:tbl>
      <w:tblPr>
        <w:tblStyle w:val="ac"/>
        <w:tblW w:w="0" w:type="auto"/>
        <w:tblInd w:w="108" w:type="dxa"/>
        <w:tblLook w:val="04A0" w:firstRow="1" w:lastRow="0" w:firstColumn="1" w:lastColumn="0" w:noHBand="0" w:noVBand="1"/>
      </w:tblPr>
      <w:tblGrid>
        <w:gridCol w:w="4677"/>
        <w:gridCol w:w="4786"/>
      </w:tblGrid>
      <w:tr w:rsidR="003B2A99" w:rsidRPr="00DB1FCB" w:rsidTr="003B2A99">
        <w:tc>
          <w:tcPr>
            <w:tcW w:w="4677" w:type="dxa"/>
          </w:tcPr>
          <w:p w:rsidR="003B2A99" w:rsidRPr="00DB1FCB" w:rsidRDefault="003B2A99" w:rsidP="003B2A99">
            <w:pPr>
              <w:tabs>
                <w:tab w:val="left" w:pos="176"/>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Показания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Исследование</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Температура ≥38</w:t>
            </w:r>
            <w:r w:rsidRPr="00DB1FCB">
              <w:rPr>
                <w:rFonts w:ascii="Times New Roman" w:hAnsi="Times New Roman" w:cs="Times New Roman"/>
                <w:sz w:val="24"/>
                <w:szCs w:val="24"/>
                <w:vertAlign w:val="superscript"/>
              </w:rPr>
              <w:t>о</w:t>
            </w:r>
            <w:r w:rsidRPr="00DB1FCB">
              <w:rPr>
                <w:rFonts w:ascii="Times New Roman" w:hAnsi="Times New Roman" w:cs="Times New Roman"/>
                <w:sz w:val="24"/>
                <w:szCs w:val="24"/>
              </w:rPr>
              <w:t>С, впервые возникшая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Взятие крови в 2 флакона для гемокультуры (вена-катетер или вена-вена).</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Температура ≥38</w:t>
            </w:r>
            <w:r w:rsidRPr="00DB1FCB">
              <w:rPr>
                <w:rFonts w:ascii="Times New Roman" w:hAnsi="Times New Roman" w:cs="Times New Roman"/>
                <w:sz w:val="24"/>
                <w:szCs w:val="24"/>
                <w:vertAlign w:val="superscript"/>
              </w:rPr>
              <w:t>о</w:t>
            </w:r>
            <w:r w:rsidRPr="00DB1FCB">
              <w:rPr>
                <w:rFonts w:ascii="Times New Roman" w:hAnsi="Times New Roman" w:cs="Times New Roman"/>
                <w:sz w:val="24"/>
                <w:szCs w:val="24"/>
              </w:rPr>
              <w:t>С в течение ≥5 дней и нейтропения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Повторное взятие крови для гемокультуры 1 раз в неделю.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Микробиологическое исследование мочи.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КТ легких.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Мазок со слизистой оболочки кишечника.</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Температура ≥38</w:t>
            </w:r>
            <w:r w:rsidRPr="00DB1FCB">
              <w:rPr>
                <w:rFonts w:ascii="Times New Roman" w:hAnsi="Times New Roman" w:cs="Times New Roman"/>
                <w:sz w:val="24"/>
                <w:szCs w:val="24"/>
                <w:vertAlign w:val="superscript"/>
              </w:rPr>
              <w:t>о</w:t>
            </w:r>
            <w:r w:rsidRPr="00DB1FCB">
              <w:rPr>
                <w:rFonts w:ascii="Times New Roman" w:hAnsi="Times New Roman" w:cs="Times New Roman"/>
                <w:sz w:val="24"/>
                <w:szCs w:val="24"/>
              </w:rPr>
              <w:t>С, длительная, сохраняется после выхода из нейтропении</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УЗИ брюшной полости.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Определение антигена </w:t>
            </w:r>
            <w:r w:rsidRPr="00DB1FCB">
              <w:rPr>
                <w:rFonts w:ascii="Times New Roman" w:hAnsi="Times New Roman" w:cs="Times New Roman"/>
                <w:i/>
                <w:sz w:val="24"/>
                <w:szCs w:val="24"/>
                <w:lang w:val="en-US"/>
              </w:rPr>
              <w:t>Candida</w:t>
            </w:r>
            <w:r w:rsidRPr="00DB1FCB">
              <w:rPr>
                <w:rFonts w:ascii="Times New Roman" w:hAnsi="Times New Roman" w:cs="Times New Roman"/>
                <w:sz w:val="24"/>
                <w:szCs w:val="24"/>
              </w:rPr>
              <w:t xml:space="preserve"> (маннан) и антител </w:t>
            </w:r>
            <w:r w:rsidRPr="00DB1FCB">
              <w:rPr>
                <w:rFonts w:ascii="Times New Roman" w:hAnsi="Times New Roman" w:cs="Times New Roman"/>
                <w:i/>
                <w:sz w:val="24"/>
                <w:szCs w:val="24"/>
                <w:lang w:val="en-US"/>
              </w:rPr>
              <w:t>Candida</w:t>
            </w:r>
            <w:r w:rsidRPr="00DB1FCB">
              <w:rPr>
                <w:rFonts w:ascii="Times New Roman" w:hAnsi="Times New Roman" w:cs="Times New Roman"/>
                <w:sz w:val="24"/>
                <w:szCs w:val="24"/>
              </w:rPr>
              <w:t xml:space="preserve"> (антиманнан) в крови.</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Катетер-ассоциированная инфекция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Взятие одновременно гемокультуры из вены и ЦВК.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При подтверждении необходимо удалить ЦВК .</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Нейтропения более 10 дней</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крови на антиген </w:t>
            </w:r>
            <w:r w:rsidRPr="00DB1FCB">
              <w:rPr>
                <w:rFonts w:ascii="Times New Roman" w:hAnsi="Times New Roman" w:cs="Times New Roman"/>
                <w:sz w:val="24"/>
                <w:szCs w:val="24"/>
                <w:lang w:val="en-US"/>
              </w:rPr>
              <w:t>Aspergillus</w:t>
            </w:r>
            <w:r w:rsidRPr="00DB1FCB">
              <w:rPr>
                <w:rFonts w:ascii="Times New Roman" w:hAnsi="Times New Roman" w:cs="Times New Roman"/>
                <w:sz w:val="24"/>
                <w:szCs w:val="24"/>
              </w:rPr>
              <w:t xml:space="preserve"> 2 раза в неделю.</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Стоматит</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Мазок со слизистой ротоглотки.</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Эзофагит</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Эзофагоскопия (тромбоцитов не менее 50 х 109/л).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Исследование – соскоб (браш-метод) со слизистой оболочки или биопсия.</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Некроз слизистой оболочки носового хода</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Мазок со слизистой оболочки носа</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Гайморит</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Исследование содержимого околоносовой пазухи, полученной при пункции.</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 xml:space="preserve">Симптомы инфекции мочевыводящих </w:t>
            </w:r>
            <w:r w:rsidRPr="00DB1FCB">
              <w:rPr>
                <w:rFonts w:ascii="Times New Roman" w:hAnsi="Times New Roman" w:cs="Times New Roman"/>
                <w:sz w:val="24"/>
                <w:szCs w:val="24"/>
              </w:rPr>
              <w:lastRenderedPageBreak/>
              <w:t>путей</w:t>
            </w:r>
          </w:p>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Лейкоцитурия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lastRenderedPageBreak/>
              <w:t>Микробиологическое исследование мочи.</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lastRenderedPageBreak/>
              <w:t>Пневмония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КТ легких.</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БАЛ после КТ легких.</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Полное исследование жидкости БАЛ.</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крови на антиген </w:t>
            </w:r>
            <w:r w:rsidRPr="00DB1FCB">
              <w:rPr>
                <w:rFonts w:ascii="Times New Roman" w:hAnsi="Times New Roman" w:cs="Times New Roman"/>
                <w:sz w:val="24"/>
                <w:szCs w:val="24"/>
                <w:lang w:val="en-US"/>
              </w:rPr>
              <w:t>Aspergillus</w:t>
            </w:r>
            <w:r w:rsidRPr="00DB1FCB">
              <w:rPr>
                <w:rFonts w:ascii="Times New Roman" w:hAnsi="Times New Roman" w:cs="Times New Roman"/>
                <w:sz w:val="24"/>
                <w:szCs w:val="24"/>
              </w:rPr>
              <w:t>.</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крови на антитела к </w:t>
            </w:r>
            <w:r w:rsidRPr="00DB1FCB">
              <w:rPr>
                <w:rFonts w:ascii="Times New Roman" w:hAnsi="Times New Roman" w:cs="Times New Roman"/>
                <w:sz w:val="24"/>
                <w:szCs w:val="24"/>
                <w:lang w:val="en-US"/>
              </w:rPr>
              <w:t>Mycoplasma</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pneumoniae</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IgM</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IgG</w:t>
            </w:r>
            <w:r w:rsidRPr="00DB1FCB">
              <w:rPr>
                <w:rFonts w:ascii="Times New Roman" w:hAnsi="Times New Roman" w:cs="Times New Roman"/>
                <w:sz w:val="24"/>
                <w:szCs w:val="24"/>
              </w:rPr>
              <w:t xml:space="preserve">).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крови на антитела к </w:t>
            </w:r>
            <w:r w:rsidRPr="00DB1FCB">
              <w:rPr>
                <w:rFonts w:ascii="Times New Roman" w:hAnsi="Times New Roman" w:cs="Times New Roman"/>
                <w:sz w:val="24"/>
                <w:szCs w:val="24"/>
                <w:lang w:val="en-US"/>
              </w:rPr>
              <w:t>Chlamydia</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pneumoniae</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IgM</w:t>
            </w:r>
            <w:r w:rsidRPr="00DB1FCB">
              <w:rPr>
                <w:rFonts w:ascii="Times New Roman" w:hAnsi="Times New Roman" w:cs="Times New Roman"/>
                <w:sz w:val="24"/>
                <w:szCs w:val="24"/>
              </w:rPr>
              <w:t xml:space="preserve">, </w:t>
            </w:r>
            <w:r w:rsidRPr="00DB1FCB">
              <w:rPr>
                <w:rFonts w:ascii="Times New Roman" w:hAnsi="Times New Roman" w:cs="Times New Roman"/>
                <w:sz w:val="24"/>
                <w:szCs w:val="24"/>
                <w:lang w:val="en-US"/>
              </w:rPr>
              <w:t>IgG</w:t>
            </w:r>
            <w:r w:rsidRPr="00DB1FCB">
              <w:rPr>
                <w:rFonts w:ascii="Times New Roman" w:hAnsi="Times New Roman" w:cs="Times New Roman"/>
                <w:sz w:val="24"/>
                <w:szCs w:val="24"/>
              </w:rPr>
              <w:t xml:space="preserve">). </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Симптомы менингита. Мозговая симптоматика на фоне фебрильной нейтропении. Обнаружение очага (очагов) в головном мозге</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Люмбальная пункция.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Полное исследование СМЖ. </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Диарея</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Исследование кала на токсин </w:t>
            </w:r>
            <w:r w:rsidRPr="00DB1FCB">
              <w:rPr>
                <w:rFonts w:ascii="Times New Roman" w:hAnsi="Times New Roman" w:cs="Times New Roman"/>
                <w:i/>
                <w:sz w:val="24"/>
                <w:szCs w:val="24"/>
                <w:lang w:val="en-US"/>
              </w:rPr>
              <w:t>Clostridium</w:t>
            </w:r>
            <w:r w:rsidRPr="00DB1FCB">
              <w:rPr>
                <w:rFonts w:ascii="Times New Roman" w:hAnsi="Times New Roman" w:cs="Times New Roman"/>
                <w:i/>
                <w:sz w:val="24"/>
                <w:szCs w:val="24"/>
              </w:rPr>
              <w:t xml:space="preserve"> </w:t>
            </w:r>
            <w:r w:rsidRPr="00DB1FCB">
              <w:rPr>
                <w:rFonts w:ascii="Times New Roman" w:hAnsi="Times New Roman" w:cs="Times New Roman"/>
                <w:i/>
                <w:sz w:val="24"/>
                <w:szCs w:val="24"/>
                <w:lang w:val="en-US"/>
              </w:rPr>
              <w:t>difficil</w:t>
            </w:r>
            <w:r w:rsidRPr="00DB1FCB">
              <w:rPr>
                <w:rFonts w:ascii="Times New Roman" w:hAnsi="Times New Roman" w:cs="Times New Roman"/>
                <w:i/>
                <w:sz w:val="24"/>
                <w:szCs w:val="24"/>
              </w:rPr>
              <w:t xml:space="preserve">е. </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Парапроктит</w:t>
            </w:r>
          </w:p>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Трещина в области прямой кишки</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Мазок со слизистой оболочки прямой кишки.</w:t>
            </w:r>
          </w:p>
        </w:tc>
      </w:tr>
      <w:tr w:rsidR="003B2A99" w:rsidRPr="00DB1FCB" w:rsidTr="003B2A99">
        <w:tc>
          <w:tcPr>
            <w:tcW w:w="4677" w:type="dxa"/>
          </w:tcPr>
          <w:p w:rsidR="003B2A99" w:rsidRPr="00DB1FCB" w:rsidRDefault="003B2A99" w:rsidP="003B2A99">
            <w:pPr>
              <w:tabs>
                <w:tab w:val="left" w:pos="176"/>
                <w:tab w:val="left" w:pos="284"/>
              </w:tabs>
              <w:spacing w:line="360" w:lineRule="auto"/>
              <w:ind w:left="34"/>
              <w:jc w:val="both"/>
              <w:rPr>
                <w:rFonts w:ascii="Times New Roman" w:hAnsi="Times New Roman" w:cs="Times New Roman"/>
                <w:sz w:val="24"/>
                <w:szCs w:val="24"/>
              </w:rPr>
            </w:pPr>
            <w:r w:rsidRPr="00DB1FCB">
              <w:rPr>
                <w:rFonts w:ascii="Times New Roman" w:hAnsi="Times New Roman" w:cs="Times New Roman"/>
                <w:sz w:val="24"/>
                <w:szCs w:val="24"/>
              </w:rPr>
              <w:t>Инфильтраты на коже</w:t>
            </w:r>
          </w:p>
        </w:tc>
        <w:tc>
          <w:tcPr>
            <w:tcW w:w="4786" w:type="dxa"/>
          </w:tcPr>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Биопсия. </w:t>
            </w:r>
          </w:p>
          <w:p w:rsidR="003B2A99" w:rsidRPr="00DB1FCB" w:rsidRDefault="003B2A99" w:rsidP="003B2A99">
            <w:pPr>
              <w:tabs>
                <w:tab w:val="left" w:pos="34"/>
              </w:tabs>
              <w:spacing w:line="360" w:lineRule="auto"/>
              <w:ind w:left="35"/>
              <w:jc w:val="both"/>
              <w:rPr>
                <w:rFonts w:ascii="Times New Roman" w:hAnsi="Times New Roman" w:cs="Times New Roman"/>
                <w:sz w:val="24"/>
                <w:szCs w:val="24"/>
              </w:rPr>
            </w:pPr>
            <w:r w:rsidRPr="00DB1FCB">
              <w:rPr>
                <w:rFonts w:ascii="Times New Roman" w:hAnsi="Times New Roman" w:cs="Times New Roman"/>
                <w:sz w:val="24"/>
                <w:szCs w:val="24"/>
              </w:rPr>
              <w:t xml:space="preserve">Микробиологическое и гистологическое исследование биоптата. </w:t>
            </w:r>
          </w:p>
        </w:tc>
      </w:tr>
    </w:tbl>
    <w:p w:rsidR="003B2A99" w:rsidRPr="00515760" w:rsidRDefault="003B2A99" w:rsidP="003B2A99">
      <w:pPr>
        <w:tabs>
          <w:tab w:val="left" w:pos="0"/>
          <w:tab w:val="left" w:pos="567"/>
        </w:tabs>
        <w:spacing w:after="0" w:line="360" w:lineRule="auto"/>
        <w:rPr>
          <w:rFonts w:ascii="Times New Roman" w:hAnsi="Times New Roman" w:cs="Times New Roman"/>
          <w:b/>
          <w:sz w:val="24"/>
        </w:rPr>
      </w:pPr>
    </w:p>
    <w:p w:rsidR="00232B28" w:rsidRDefault="00232B28" w:rsidP="00232B28"/>
    <w:p w:rsidR="00232B28" w:rsidRDefault="00232B28" w:rsidP="00232B28"/>
    <w:p w:rsidR="00232B28" w:rsidRDefault="00232B28" w:rsidP="00232B28"/>
    <w:p w:rsidR="00B2725D" w:rsidRDefault="00B2725D" w:rsidP="00232B28"/>
    <w:p w:rsidR="00B2725D" w:rsidRDefault="00B2725D" w:rsidP="00232B28"/>
    <w:p w:rsidR="00B2725D" w:rsidRDefault="00B2725D" w:rsidP="00232B28"/>
    <w:p w:rsidR="00B2725D" w:rsidRDefault="00B2725D" w:rsidP="00232B28"/>
    <w:p w:rsidR="00B2725D" w:rsidRDefault="00B2725D" w:rsidP="00232B28"/>
    <w:p w:rsidR="00B2725D" w:rsidRDefault="00B2725D" w:rsidP="00232B28"/>
    <w:p w:rsidR="00B2725D" w:rsidRDefault="00B2725D" w:rsidP="00232B28"/>
    <w:p w:rsidR="00150848" w:rsidRPr="00DB1FCB" w:rsidRDefault="00B2725D" w:rsidP="00B2725D">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3</w:t>
      </w:r>
      <w:r w:rsidRPr="00DB1FCB">
        <w:rPr>
          <w:rFonts w:ascii="Times New Roman" w:hAnsi="Times New Roman" w:cs="Times New Roman"/>
          <w:b/>
          <w:sz w:val="24"/>
          <w:szCs w:val="24"/>
        </w:rPr>
        <w:t xml:space="preserve">. </w:t>
      </w:r>
      <w:r>
        <w:rPr>
          <w:rFonts w:ascii="Times New Roman" w:hAnsi="Times New Roman" w:cs="Times New Roman"/>
          <w:b/>
          <w:sz w:val="24"/>
          <w:szCs w:val="24"/>
        </w:rPr>
        <w:t>Химиотерапевтические режимы, применяемые для мобилизаци</w:t>
      </w:r>
      <w:r w:rsidR="00150848">
        <w:rPr>
          <w:rFonts w:ascii="Times New Roman" w:hAnsi="Times New Roman" w:cs="Times New Roman"/>
          <w:b/>
          <w:sz w:val="24"/>
          <w:szCs w:val="24"/>
        </w:rPr>
        <w:t>и ГСК у больных гемобластозами.</w:t>
      </w:r>
    </w:p>
    <w:p w:rsidR="00150848" w:rsidRDefault="00150848" w:rsidP="00150848">
      <w:pPr>
        <w:spacing w:after="0"/>
        <w:jc w:val="center"/>
        <w:rPr>
          <w:rFonts w:ascii="Times New Roman" w:hAnsi="Times New Roman" w:cs="Times New Roman"/>
          <w:b/>
          <w:sz w:val="24"/>
        </w:rPr>
      </w:pPr>
      <w:r w:rsidRPr="007E43A1">
        <w:rPr>
          <w:rFonts w:ascii="Times New Roman" w:hAnsi="Times New Roman" w:cs="Times New Roman"/>
          <w:b/>
          <w:sz w:val="24"/>
        </w:rPr>
        <w:t xml:space="preserve">Схема 1. </w:t>
      </w:r>
      <w:r>
        <w:rPr>
          <w:rFonts w:ascii="Times New Roman" w:hAnsi="Times New Roman" w:cs="Times New Roman"/>
          <w:b/>
          <w:sz w:val="24"/>
        </w:rPr>
        <w:t xml:space="preserve">Схема мобилизации </w:t>
      </w:r>
      <w:r>
        <w:rPr>
          <w:rFonts w:ascii="Times New Roman" w:hAnsi="Times New Roman" w:cs="Times New Roman"/>
          <w:b/>
          <w:sz w:val="24"/>
          <w:lang w:val="en-US"/>
        </w:rPr>
        <w:t>CD</w:t>
      </w:r>
      <w:r w:rsidRPr="00227148">
        <w:rPr>
          <w:rFonts w:ascii="Times New Roman" w:hAnsi="Times New Roman" w:cs="Times New Roman"/>
          <w:b/>
          <w:sz w:val="24"/>
        </w:rPr>
        <w:t xml:space="preserve">34+ </w:t>
      </w:r>
      <w:r>
        <w:rPr>
          <w:rFonts w:ascii="Times New Roman" w:hAnsi="Times New Roman" w:cs="Times New Roman"/>
          <w:b/>
          <w:sz w:val="24"/>
        </w:rPr>
        <w:t xml:space="preserve">клеток: </w:t>
      </w:r>
    </w:p>
    <w:p w:rsidR="00150848" w:rsidRDefault="00150848" w:rsidP="00150848">
      <w:pPr>
        <w:spacing w:after="0"/>
        <w:jc w:val="center"/>
        <w:rPr>
          <w:rFonts w:ascii="Times New Roman" w:hAnsi="Times New Roman" w:cs="Times New Roman"/>
          <w:b/>
          <w:sz w:val="24"/>
        </w:rPr>
      </w:pPr>
      <w:r>
        <w:rPr>
          <w:rFonts w:ascii="Times New Roman" w:hAnsi="Times New Roman" w:cs="Times New Roman"/>
          <w:b/>
          <w:sz w:val="24"/>
        </w:rPr>
        <w:t>ВД ЦФ (высокодозный циклофосфамид) 4 г/м</w:t>
      </w:r>
      <w:r w:rsidRPr="000A2EE9">
        <w:rPr>
          <w:rFonts w:ascii="Times New Roman" w:hAnsi="Times New Roman" w:cs="Times New Roman"/>
          <w:b/>
          <w:sz w:val="24"/>
          <w:vertAlign w:val="superscript"/>
        </w:rPr>
        <w:t>2</w:t>
      </w:r>
      <w:r>
        <w:rPr>
          <w:rFonts w:ascii="Times New Roman" w:hAnsi="Times New Roman" w:cs="Times New Roman"/>
          <w:b/>
          <w:sz w:val="24"/>
          <w:vertAlign w:val="superscript"/>
        </w:rPr>
        <w:t xml:space="preserve"> </w:t>
      </w:r>
      <w:r>
        <w:rPr>
          <w:rFonts w:ascii="Times New Roman" w:hAnsi="Times New Roman" w:cs="Times New Roman"/>
          <w:b/>
          <w:sz w:val="24"/>
        </w:rPr>
        <w:t xml:space="preserve">+ Г-КСФ 5 мкг/кг </w:t>
      </w:r>
    </w:p>
    <w:p w:rsidR="00150848" w:rsidRDefault="00150848" w:rsidP="00150848">
      <w:pPr>
        <w:spacing w:after="0"/>
        <w:jc w:val="center"/>
        <w:rPr>
          <w:rFonts w:ascii="Times New Roman" w:hAnsi="Times New Roman" w:cs="Times New Roman"/>
          <w:b/>
          <w:sz w:val="24"/>
        </w:rPr>
      </w:pPr>
      <w:r>
        <w:rPr>
          <w:rFonts w:ascii="Times New Roman" w:hAnsi="Times New Roman" w:cs="Times New Roman"/>
          <w:b/>
          <w:sz w:val="24"/>
        </w:rPr>
        <w:t>с сопроводительной терапией.</w:t>
      </w:r>
    </w:p>
    <w:tbl>
      <w:tblPr>
        <w:tblStyle w:val="ac"/>
        <w:tblW w:w="0" w:type="auto"/>
        <w:tblLook w:val="04A0" w:firstRow="1" w:lastRow="0" w:firstColumn="1" w:lastColumn="0" w:noHBand="0" w:noVBand="1"/>
      </w:tblPr>
      <w:tblGrid>
        <w:gridCol w:w="2943"/>
        <w:gridCol w:w="3686"/>
        <w:gridCol w:w="2942"/>
      </w:tblGrid>
      <w:tr w:rsidR="00150848" w:rsidTr="00390F08">
        <w:tc>
          <w:tcPr>
            <w:tcW w:w="2943" w:type="dxa"/>
          </w:tcPr>
          <w:p w:rsidR="00150848" w:rsidRDefault="00150848" w:rsidP="00390F08">
            <w:pPr>
              <w:rPr>
                <w:rFonts w:ascii="Times New Roman" w:hAnsi="Times New Roman" w:cs="Times New Roman"/>
                <w:b/>
                <w:sz w:val="24"/>
              </w:rPr>
            </w:pPr>
            <w:r>
              <w:rPr>
                <w:rFonts w:ascii="Times New Roman" w:hAnsi="Times New Roman" w:cs="Times New Roman"/>
                <w:b/>
                <w:sz w:val="24"/>
              </w:rPr>
              <w:t xml:space="preserve">Препарат </w:t>
            </w:r>
          </w:p>
        </w:tc>
        <w:tc>
          <w:tcPr>
            <w:tcW w:w="3686" w:type="dxa"/>
          </w:tcPr>
          <w:p w:rsidR="00150848" w:rsidRDefault="00150848" w:rsidP="00390F08">
            <w:pPr>
              <w:rPr>
                <w:rFonts w:ascii="Times New Roman" w:hAnsi="Times New Roman" w:cs="Times New Roman"/>
                <w:b/>
                <w:sz w:val="24"/>
              </w:rPr>
            </w:pPr>
            <w:r>
              <w:rPr>
                <w:rFonts w:ascii="Times New Roman" w:hAnsi="Times New Roman" w:cs="Times New Roman"/>
                <w:b/>
                <w:sz w:val="24"/>
              </w:rPr>
              <w:t>Дозировка, путь введения</w:t>
            </w:r>
          </w:p>
        </w:tc>
        <w:tc>
          <w:tcPr>
            <w:tcW w:w="2942" w:type="dxa"/>
          </w:tcPr>
          <w:p w:rsidR="00150848" w:rsidRDefault="00150848" w:rsidP="00390F08">
            <w:pPr>
              <w:rPr>
                <w:rFonts w:ascii="Times New Roman" w:hAnsi="Times New Roman" w:cs="Times New Roman"/>
                <w:b/>
                <w:sz w:val="24"/>
              </w:rPr>
            </w:pPr>
            <w:r>
              <w:rPr>
                <w:rFonts w:ascii="Times New Roman" w:hAnsi="Times New Roman" w:cs="Times New Roman"/>
                <w:b/>
                <w:sz w:val="24"/>
              </w:rPr>
              <w:t>День введения</w:t>
            </w:r>
          </w:p>
        </w:tc>
      </w:tr>
      <w:tr w:rsidR="00150848" w:rsidTr="00390F08">
        <w:tc>
          <w:tcPr>
            <w:tcW w:w="2943" w:type="dxa"/>
          </w:tcPr>
          <w:p w:rsidR="00150848" w:rsidRDefault="00150848" w:rsidP="00390F08">
            <w:pPr>
              <w:rPr>
                <w:rFonts w:ascii="Times New Roman" w:hAnsi="Times New Roman" w:cs="Times New Roman"/>
                <w:sz w:val="24"/>
              </w:rPr>
            </w:pPr>
            <w:r>
              <w:rPr>
                <w:rFonts w:ascii="Times New Roman" w:hAnsi="Times New Roman" w:cs="Times New Roman"/>
                <w:sz w:val="24"/>
              </w:rPr>
              <w:t>Внутривенные инфузии:</w:t>
            </w:r>
          </w:p>
        </w:tc>
        <w:tc>
          <w:tcPr>
            <w:tcW w:w="6628" w:type="dxa"/>
            <w:gridSpan w:val="2"/>
          </w:tcPr>
          <w:p w:rsidR="00150848" w:rsidRPr="00B42755" w:rsidRDefault="00150848" w:rsidP="00390F08">
            <w:pPr>
              <w:rPr>
                <w:rFonts w:ascii="Times New Roman" w:hAnsi="Times New Roman" w:cs="Times New Roman"/>
                <w:sz w:val="24"/>
              </w:rPr>
            </w:pP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Циклофосфамид</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4 г/м</w:t>
            </w:r>
            <w:r w:rsidRPr="0019299C">
              <w:rPr>
                <w:rFonts w:ascii="Times New Roman" w:hAnsi="Times New Roman" w:cs="Times New Roman"/>
                <w:sz w:val="24"/>
                <w:vertAlign w:val="superscript"/>
              </w:rPr>
              <w:t>2</w:t>
            </w:r>
            <w:r>
              <w:rPr>
                <w:rFonts w:ascii="Times New Roman" w:hAnsi="Times New Roman" w:cs="Times New Roman"/>
                <w:sz w:val="24"/>
              </w:rPr>
              <w:t xml:space="preserve"> в/в капельно 5 раз в сутки (по 0,8 г/м</w:t>
            </w:r>
            <w:r w:rsidRPr="00A26F69">
              <w:rPr>
                <w:rFonts w:ascii="Times New Roman" w:hAnsi="Times New Roman" w:cs="Times New Roman"/>
                <w:sz w:val="24"/>
                <w:vertAlign w:val="superscript"/>
              </w:rPr>
              <w:t>2</w:t>
            </w:r>
            <w:r>
              <w:rPr>
                <w:rFonts w:ascii="Times New Roman" w:hAnsi="Times New Roman" w:cs="Times New Roman"/>
                <w:sz w:val="24"/>
              </w:rPr>
              <w:t>)</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Уромитексан</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2,4 мг/м</w:t>
            </w:r>
            <w:r w:rsidRPr="0019299C">
              <w:rPr>
                <w:rFonts w:ascii="Times New Roman" w:hAnsi="Times New Roman" w:cs="Times New Roman"/>
                <w:sz w:val="24"/>
                <w:vertAlign w:val="superscript"/>
              </w:rPr>
              <w:t>2</w:t>
            </w:r>
            <w:r>
              <w:rPr>
                <w:rFonts w:ascii="Times New Roman" w:hAnsi="Times New Roman" w:cs="Times New Roman"/>
                <w:sz w:val="24"/>
              </w:rPr>
              <w:t xml:space="preserve"> в/в через инфузомат на 24 часа</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2943" w:type="dxa"/>
          </w:tcPr>
          <w:p w:rsidR="00150848" w:rsidRPr="0019299C" w:rsidRDefault="00150848" w:rsidP="00390F08">
            <w:pPr>
              <w:rPr>
                <w:rFonts w:ascii="Times New Roman" w:hAnsi="Times New Roman" w:cs="Times New Roman"/>
                <w:sz w:val="24"/>
              </w:rPr>
            </w:pPr>
            <w:r>
              <w:rPr>
                <w:rFonts w:ascii="Times New Roman" w:hAnsi="Times New Roman" w:cs="Times New Roman"/>
                <w:sz w:val="24"/>
              </w:rPr>
              <w:t xml:space="preserve">Солевые растворы </w:t>
            </w:r>
          </w:p>
        </w:tc>
        <w:tc>
          <w:tcPr>
            <w:tcW w:w="3686" w:type="dxa"/>
          </w:tcPr>
          <w:p w:rsidR="00150848" w:rsidRPr="0019299C" w:rsidRDefault="00150848" w:rsidP="00390F08">
            <w:pPr>
              <w:rPr>
                <w:rFonts w:ascii="Times New Roman" w:hAnsi="Times New Roman" w:cs="Times New Roman"/>
                <w:sz w:val="24"/>
              </w:rPr>
            </w:pPr>
            <w:r>
              <w:rPr>
                <w:rFonts w:ascii="Times New Roman" w:hAnsi="Times New Roman" w:cs="Times New Roman"/>
                <w:sz w:val="24"/>
              </w:rPr>
              <w:t>3л/м</w:t>
            </w:r>
            <w:r w:rsidRPr="0019299C">
              <w:rPr>
                <w:rFonts w:ascii="Times New Roman" w:hAnsi="Times New Roman" w:cs="Times New Roman"/>
                <w:sz w:val="24"/>
                <w:vertAlign w:val="superscript"/>
              </w:rPr>
              <w:t>2</w:t>
            </w:r>
            <w:r>
              <w:rPr>
                <w:rFonts w:ascii="Times New Roman" w:hAnsi="Times New Roman" w:cs="Times New Roman"/>
                <w:sz w:val="24"/>
                <w:vertAlign w:val="superscript"/>
              </w:rPr>
              <w:t xml:space="preserve"> </w:t>
            </w:r>
            <w:r>
              <w:rPr>
                <w:rFonts w:ascii="Times New Roman" w:hAnsi="Times New Roman" w:cs="Times New Roman"/>
                <w:sz w:val="24"/>
              </w:rPr>
              <w:t>в/в капельно 4 раза в сутки</w:t>
            </w:r>
            <w:r w:rsidRPr="0019299C">
              <w:rPr>
                <w:rFonts w:ascii="Times New Roman" w:hAnsi="Times New Roman" w:cs="Times New Roman"/>
                <w:sz w:val="24"/>
                <w:vertAlign w:val="superscript"/>
              </w:rPr>
              <w:t>*</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+1 - +5 (далее по показаниям)</w:t>
            </w:r>
          </w:p>
        </w:tc>
      </w:tr>
      <w:tr w:rsidR="00150848" w:rsidTr="00390F08">
        <w:tc>
          <w:tcPr>
            <w:tcW w:w="2943" w:type="dxa"/>
          </w:tcPr>
          <w:p w:rsidR="00150848" w:rsidRDefault="00150848" w:rsidP="00390F08">
            <w:pPr>
              <w:rPr>
                <w:rFonts w:ascii="Times New Roman" w:hAnsi="Times New Roman" w:cs="Times New Roman"/>
                <w:sz w:val="24"/>
              </w:rPr>
            </w:pPr>
            <w:r>
              <w:rPr>
                <w:rFonts w:ascii="Times New Roman" w:hAnsi="Times New Roman" w:cs="Times New Roman"/>
                <w:sz w:val="24"/>
              </w:rPr>
              <w:t>Противорвотные средства:</w:t>
            </w:r>
          </w:p>
          <w:p w:rsidR="00150848" w:rsidRPr="00B42755" w:rsidRDefault="00150848" w:rsidP="00390F08">
            <w:pPr>
              <w:rPr>
                <w:rFonts w:ascii="Times New Roman" w:hAnsi="Times New Roman" w:cs="Times New Roman"/>
                <w:sz w:val="24"/>
              </w:rPr>
            </w:pPr>
            <w:r>
              <w:rPr>
                <w:rFonts w:ascii="Times New Roman" w:hAnsi="Times New Roman" w:cs="Times New Roman"/>
                <w:sz w:val="24"/>
              </w:rPr>
              <w:t xml:space="preserve">ондансетрон </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 xml:space="preserve">8 мг в/в капельно 3 раза в сутки </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-1 - +2 (далее по показаниям)</w:t>
            </w: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Гепарин</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12000 ЕД в/в через инфузомат на 24 часа</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 xml:space="preserve">-1 - +14 </w:t>
            </w: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Допамин 4%</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0,5 мг в/в через инфузомат на 24 часа</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-1 - +1</w:t>
            </w:r>
          </w:p>
        </w:tc>
      </w:tr>
      <w:tr w:rsidR="00150848" w:rsidTr="00390F08">
        <w:tc>
          <w:tcPr>
            <w:tcW w:w="2943" w:type="dxa"/>
          </w:tcPr>
          <w:p w:rsidR="00150848" w:rsidRDefault="00150848" w:rsidP="00390F08">
            <w:pPr>
              <w:rPr>
                <w:rFonts w:ascii="Times New Roman" w:hAnsi="Times New Roman" w:cs="Times New Roman"/>
                <w:sz w:val="24"/>
              </w:rPr>
            </w:pPr>
            <w:r>
              <w:rPr>
                <w:rFonts w:ascii="Times New Roman" w:hAnsi="Times New Roman" w:cs="Times New Roman"/>
                <w:sz w:val="24"/>
              </w:rPr>
              <w:t>Фуросемид</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20 мг в/в струйно 3 раза в сутки</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+1 - +3</w:t>
            </w: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Таблетированные препараты:</w:t>
            </w:r>
          </w:p>
        </w:tc>
        <w:tc>
          <w:tcPr>
            <w:tcW w:w="6628" w:type="dxa"/>
            <w:gridSpan w:val="2"/>
          </w:tcPr>
          <w:p w:rsidR="00150848" w:rsidRPr="00B42755" w:rsidRDefault="00150848" w:rsidP="00390F08">
            <w:pPr>
              <w:rPr>
                <w:rFonts w:ascii="Times New Roman" w:hAnsi="Times New Roman" w:cs="Times New Roman"/>
                <w:sz w:val="24"/>
              </w:rPr>
            </w:pP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Аллопуринол</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200 мг/м</w:t>
            </w:r>
            <w:r w:rsidRPr="00434A30">
              <w:rPr>
                <w:rFonts w:ascii="Times New Roman" w:hAnsi="Times New Roman" w:cs="Times New Roman"/>
                <w:sz w:val="24"/>
                <w:vertAlign w:val="superscript"/>
              </w:rPr>
              <w:t>2</w:t>
            </w:r>
            <w:r>
              <w:rPr>
                <w:rFonts w:ascii="Times New Roman" w:hAnsi="Times New Roman" w:cs="Times New Roman"/>
                <w:sz w:val="24"/>
              </w:rPr>
              <w:t xml:space="preserve"> внутрь </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 xml:space="preserve">+1 - +3 </w:t>
            </w:r>
          </w:p>
        </w:tc>
      </w:tr>
      <w:tr w:rsidR="00150848" w:rsidTr="00390F08">
        <w:tc>
          <w:tcPr>
            <w:tcW w:w="2943" w:type="dxa"/>
          </w:tcPr>
          <w:p w:rsidR="00150848" w:rsidRDefault="00150848" w:rsidP="00390F08">
            <w:pPr>
              <w:rPr>
                <w:rFonts w:ascii="Times New Roman" w:hAnsi="Times New Roman" w:cs="Times New Roman"/>
                <w:sz w:val="24"/>
              </w:rPr>
            </w:pPr>
            <w:r>
              <w:rPr>
                <w:rFonts w:ascii="Times New Roman" w:hAnsi="Times New Roman" w:cs="Times New Roman"/>
                <w:sz w:val="24"/>
              </w:rPr>
              <w:t>Противосудорожные средства:</w:t>
            </w:r>
          </w:p>
          <w:p w:rsidR="00150848" w:rsidRPr="00B42755" w:rsidRDefault="00150848" w:rsidP="00390F08">
            <w:pPr>
              <w:rPr>
                <w:rFonts w:ascii="Times New Roman" w:hAnsi="Times New Roman" w:cs="Times New Roman"/>
                <w:sz w:val="24"/>
              </w:rPr>
            </w:pPr>
            <w:r>
              <w:rPr>
                <w:rFonts w:ascii="Times New Roman" w:hAnsi="Times New Roman" w:cs="Times New Roman"/>
                <w:sz w:val="24"/>
              </w:rPr>
              <w:t>карбамазепин</w:t>
            </w:r>
          </w:p>
        </w:tc>
        <w:tc>
          <w:tcPr>
            <w:tcW w:w="3686" w:type="dxa"/>
          </w:tcPr>
          <w:p w:rsidR="00150848" w:rsidRDefault="00150848" w:rsidP="00390F08">
            <w:pPr>
              <w:rPr>
                <w:rFonts w:ascii="Times New Roman" w:hAnsi="Times New Roman" w:cs="Times New Roman"/>
                <w:sz w:val="24"/>
              </w:rPr>
            </w:pPr>
          </w:p>
          <w:p w:rsidR="00150848" w:rsidRDefault="00150848" w:rsidP="00390F08">
            <w:pPr>
              <w:rPr>
                <w:rFonts w:ascii="Times New Roman" w:hAnsi="Times New Roman" w:cs="Times New Roman"/>
                <w:sz w:val="24"/>
              </w:rPr>
            </w:pPr>
          </w:p>
          <w:p w:rsidR="00150848" w:rsidRPr="00B42755" w:rsidRDefault="00150848" w:rsidP="00390F08">
            <w:pPr>
              <w:rPr>
                <w:rFonts w:ascii="Times New Roman" w:hAnsi="Times New Roman" w:cs="Times New Roman"/>
                <w:sz w:val="24"/>
              </w:rPr>
            </w:pPr>
            <w:r>
              <w:rPr>
                <w:rFonts w:ascii="Times New Roman" w:hAnsi="Times New Roman" w:cs="Times New Roman"/>
                <w:sz w:val="24"/>
              </w:rPr>
              <w:t xml:space="preserve">200 мг внутрь на ночь </w:t>
            </w:r>
          </w:p>
        </w:tc>
        <w:tc>
          <w:tcPr>
            <w:tcW w:w="2942" w:type="dxa"/>
          </w:tcPr>
          <w:p w:rsidR="00150848" w:rsidRDefault="00150848" w:rsidP="00390F08">
            <w:pPr>
              <w:rPr>
                <w:rFonts w:ascii="Times New Roman" w:hAnsi="Times New Roman" w:cs="Times New Roman"/>
                <w:sz w:val="24"/>
              </w:rPr>
            </w:pPr>
          </w:p>
          <w:p w:rsidR="00150848" w:rsidRDefault="00150848" w:rsidP="00390F08">
            <w:pPr>
              <w:rPr>
                <w:rFonts w:ascii="Times New Roman" w:hAnsi="Times New Roman" w:cs="Times New Roman"/>
                <w:sz w:val="24"/>
              </w:rPr>
            </w:pPr>
          </w:p>
          <w:p w:rsidR="00150848" w:rsidRPr="00B42755" w:rsidRDefault="00150848" w:rsidP="00390F08">
            <w:pPr>
              <w:rPr>
                <w:rFonts w:ascii="Times New Roman" w:hAnsi="Times New Roman" w:cs="Times New Roman"/>
                <w:sz w:val="24"/>
              </w:rPr>
            </w:pPr>
            <w:r>
              <w:rPr>
                <w:rFonts w:ascii="Times New Roman" w:hAnsi="Times New Roman" w:cs="Times New Roman"/>
                <w:sz w:val="24"/>
              </w:rPr>
              <w:t>-1 - +1</w:t>
            </w: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 xml:space="preserve">Обработка полости рта растворами антисептиков </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многократно</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весь период мобилизации</w:t>
            </w: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Стимуляция:</w:t>
            </w:r>
          </w:p>
        </w:tc>
        <w:tc>
          <w:tcPr>
            <w:tcW w:w="6628" w:type="dxa"/>
            <w:gridSpan w:val="2"/>
          </w:tcPr>
          <w:p w:rsidR="00150848" w:rsidRPr="00B42755" w:rsidRDefault="00150848" w:rsidP="00390F08">
            <w:pPr>
              <w:rPr>
                <w:rFonts w:ascii="Times New Roman" w:hAnsi="Times New Roman" w:cs="Times New Roman"/>
                <w:sz w:val="24"/>
              </w:rPr>
            </w:pPr>
          </w:p>
        </w:tc>
      </w:tr>
      <w:tr w:rsidR="00150848" w:rsidTr="00390F08">
        <w:tc>
          <w:tcPr>
            <w:tcW w:w="2943"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Г-КСФ</w:t>
            </w:r>
          </w:p>
        </w:tc>
        <w:tc>
          <w:tcPr>
            <w:tcW w:w="3686"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5 мкг/кг в сутки подкожно</w:t>
            </w:r>
            <w:r w:rsidRPr="001F327B">
              <w:rPr>
                <w:rFonts w:ascii="Times New Roman" w:hAnsi="Times New Roman" w:cs="Times New Roman"/>
                <w:sz w:val="24"/>
                <w:vertAlign w:val="superscript"/>
              </w:rPr>
              <w:t>**</w:t>
            </w:r>
          </w:p>
        </w:tc>
        <w:tc>
          <w:tcPr>
            <w:tcW w:w="2942" w:type="dxa"/>
          </w:tcPr>
          <w:p w:rsidR="00150848" w:rsidRPr="00B42755" w:rsidRDefault="00150848" w:rsidP="00390F08">
            <w:pPr>
              <w:rPr>
                <w:rFonts w:ascii="Times New Roman" w:hAnsi="Times New Roman" w:cs="Times New Roman"/>
                <w:sz w:val="24"/>
              </w:rPr>
            </w:pPr>
            <w:r>
              <w:rPr>
                <w:rFonts w:ascii="Times New Roman" w:hAnsi="Times New Roman" w:cs="Times New Roman"/>
                <w:sz w:val="24"/>
              </w:rPr>
              <w:t>с момента снижения числа лейкоцитов менее 1х10</w:t>
            </w:r>
            <w:r w:rsidRPr="001F327B">
              <w:rPr>
                <w:rFonts w:ascii="Times New Roman" w:hAnsi="Times New Roman" w:cs="Times New Roman"/>
                <w:sz w:val="24"/>
                <w:vertAlign w:val="superscript"/>
              </w:rPr>
              <w:t>9</w:t>
            </w:r>
            <w:r>
              <w:rPr>
                <w:rFonts w:ascii="Times New Roman" w:hAnsi="Times New Roman" w:cs="Times New Roman"/>
                <w:sz w:val="24"/>
              </w:rPr>
              <w:t>/л.</w:t>
            </w:r>
          </w:p>
        </w:tc>
      </w:tr>
    </w:tbl>
    <w:p w:rsidR="00150848" w:rsidRDefault="00150848" w:rsidP="00150848">
      <w:pPr>
        <w:spacing w:after="0"/>
        <w:rPr>
          <w:rFonts w:ascii="Times New Roman" w:hAnsi="Times New Roman" w:cs="Times New Roman"/>
          <w:i/>
          <w:sz w:val="24"/>
        </w:rPr>
      </w:pPr>
    </w:p>
    <w:p w:rsidR="00150848" w:rsidRDefault="00150848" w:rsidP="00150848">
      <w:pPr>
        <w:spacing w:after="0"/>
        <w:rPr>
          <w:rFonts w:ascii="Times New Roman" w:hAnsi="Times New Roman" w:cs="Times New Roman"/>
          <w:sz w:val="24"/>
        </w:rPr>
      </w:pPr>
      <w:r w:rsidRPr="0019299C">
        <w:rPr>
          <w:rFonts w:ascii="Times New Roman" w:hAnsi="Times New Roman" w:cs="Times New Roman"/>
          <w:i/>
          <w:sz w:val="24"/>
        </w:rPr>
        <w:t xml:space="preserve">Примечание: </w:t>
      </w:r>
      <w:r w:rsidRPr="0019299C">
        <w:rPr>
          <w:rFonts w:ascii="Times New Roman" w:hAnsi="Times New Roman" w:cs="Times New Roman"/>
          <w:i/>
          <w:sz w:val="24"/>
          <w:vertAlign w:val="superscript"/>
        </w:rPr>
        <w:t>*</w:t>
      </w:r>
      <w:r>
        <w:rPr>
          <w:rFonts w:ascii="Times New Roman" w:hAnsi="Times New Roman" w:cs="Times New Roman"/>
          <w:i/>
          <w:sz w:val="24"/>
        </w:rPr>
        <w:t xml:space="preserve"> </w:t>
      </w:r>
      <w:r w:rsidRPr="0019299C">
        <w:rPr>
          <w:rFonts w:ascii="Times New Roman" w:hAnsi="Times New Roman" w:cs="Times New Roman"/>
          <w:sz w:val="24"/>
        </w:rPr>
        <w:t>с</w:t>
      </w:r>
      <w:r>
        <w:rPr>
          <w:rFonts w:ascii="Times New Roman" w:hAnsi="Times New Roman" w:cs="Times New Roman"/>
          <w:sz w:val="24"/>
        </w:rPr>
        <w:t xml:space="preserve"> +</w:t>
      </w:r>
      <w:r w:rsidRPr="0019299C">
        <w:rPr>
          <w:rFonts w:ascii="Times New Roman" w:hAnsi="Times New Roman" w:cs="Times New Roman"/>
          <w:sz w:val="24"/>
        </w:rPr>
        <w:t>3 дня терапии объем вводимых растворов уменьшается в 2 раза</w:t>
      </w:r>
      <w:r>
        <w:rPr>
          <w:rFonts w:ascii="Times New Roman" w:hAnsi="Times New Roman" w:cs="Times New Roman"/>
          <w:sz w:val="24"/>
        </w:rPr>
        <w:t xml:space="preserve">. </w:t>
      </w:r>
    </w:p>
    <w:p w:rsidR="00150848" w:rsidRDefault="00150848" w:rsidP="00150848">
      <w:pPr>
        <w:spacing w:after="0"/>
        <w:rPr>
          <w:rFonts w:ascii="Times New Roman" w:hAnsi="Times New Roman" w:cs="Times New Roman"/>
          <w:sz w:val="24"/>
        </w:rPr>
      </w:pPr>
      <w:r>
        <w:rPr>
          <w:rFonts w:ascii="Times New Roman" w:hAnsi="Times New Roman" w:cs="Times New Roman"/>
          <w:sz w:val="24"/>
        </w:rPr>
        <w:t xml:space="preserve">                       </w:t>
      </w:r>
      <w:r w:rsidRPr="001F327B">
        <w:rPr>
          <w:rFonts w:ascii="Times New Roman" w:hAnsi="Times New Roman" w:cs="Times New Roman"/>
          <w:sz w:val="24"/>
          <w:vertAlign w:val="superscript"/>
        </w:rPr>
        <w:t>**</w:t>
      </w:r>
      <w:r>
        <w:rPr>
          <w:rFonts w:ascii="Times New Roman" w:hAnsi="Times New Roman" w:cs="Times New Roman"/>
          <w:sz w:val="24"/>
        </w:rPr>
        <w:t xml:space="preserve"> при отсутствии снижения числа лейкоцитов возможно увеличение дозы </w:t>
      </w:r>
    </w:p>
    <w:p w:rsidR="00150848" w:rsidRDefault="00150848" w:rsidP="00150848">
      <w:pPr>
        <w:spacing w:after="0"/>
        <w:rPr>
          <w:rFonts w:ascii="Times New Roman" w:hAnsi="Times New Roman" w:cs="Times New Roman"/>
          <w:sz w:val="24"/>
        </w:rPr>
      </w:pPr>
      <w:r>
        <w:rPr>
          <w:rFonts w:ascii="Times New Roman" w:hAnsi="Times New Roman" w:cs="Times New Roman"/>
          <w:sz w:val="24"/>
        </w:rPr>
        <w:t>Г-КСФ до 10 мкг/кг/сут.</w:t>
      </w:r>
    </w:p>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rPr>
      </w:pPr>
      <w:r>
        <w:rPr>
          <w:rFonts w:ascii="Times New Roman" w:hAnsi="Times New Roman" w:cs="Times New Roman"/>
          <w:b/>
          <w:sz w:val="24"/>
        </w:rPr>
        <w:t xml:space="preserve">Схема 2. Программа </w:t>
      </w:r>
      <w:r>
        <w:rPr>
          <w:rFonts w:ascii="Times New Roman" w:hAnsi="Times New Roman" w:cs="Times New Roman"/>
          <w:b/>
          <w:sz w:val="24"/>
          <w:lang w:val="en-US"/>
        </w:rPr>
        <w:t>mNHL</w:t>
      </w:r>
      <w:r>
        <w:rPr>
          <w:rFonts w:ascii="Times New Roman" w:hAnsi="Times New Roman" w:cs="Times New Roman"/>
          <w:b/>
          <w:sz w:val="24"/>
        </w:rPr>
        <w:t>-</w:t>
      </w:r>
      <w:r>
        <w:rPr>
          <w:rFonts w:ascii="Times New Roman" w:hAnsi="Times New Roman" w:cs="Times New Roman"/>
          <w:b/>
          <w:sz w:val="24"/>
          <w:lang w:val="en-US"/>
        </w:rPr>
        <w:t>BFM</w:t>
      </w:r>
      <w:r>
        <w:rPr>
          <w:rFonts w:ascii="Times New Roman" w:hAnsi="Times New Roman" w:cs="Times New Roman"/>
          <w:b/>
          <w:sz w:val="24"/>
        </w:rPr>
        <w:t>-</w:t>
      </w:r>
      <w:r w:rsidRPr="007E43A1">
        <w:rPr>
          <w:rFonts w:ascii="Times New Roman" w:hAnsi="Times New Roman" w:cs="Times New Roman"/>
          <w:b/>
          <w:sz w:val="24"/>
        </w:rPr>
        <w:t>90</w:t>
      </w:r>
    </w:p>
    <w:tbl>
      <w:tblPr>
        <w:tblStyle w:val="ac"/>
        <w:tblW w:w="0" w:type="auto"/>
        <w:tblLook w:val="04A0" w:firstRow="1" w:lastRow="0" w:firstColumn="1" w:lastColumn="0" w:noHBand="0" w:noVBand="1"/>
      </w:tblPr>
      <w:tblGrid>
        <w:gridCol w:w="1951"/>
        <w:gridCol w:w="5245"/>
        <w:gridCol w:w="2375"/>
      </w:tblGrid>
      <w:tr w:rsidR="00150848" w:rsidTr="00390F08">
        <w:tc>
          <w:tcPr>
            <w:tcW w:w="1951" w:type="dxa"/>
          </w:tcPr>
          <w:p w:rsidR="00150848" w:rsidRDefault="00150848" w:rsidP="00390F08">
            <w:pPr>
              <w:rPr>
                <w:rFonts w:ascii="Times New Roman" w:hAnsi="Times New Roman" w:cs="Times New Roman"/>
                <w:b/>
                <w:sz w:val="24"/>
              </w:rPr>
            </w:pPr>
            <w:r>
              <w:rPr>
                <w:rFonts w:ascii="Times New Roman" w:hAnsi="Times New Roman" w:cs="Times New Roman"/>
                <w:b/>
                <w:sz w:val="24"/>
              </w:rPr>
              <w:t>Препарат</w:t>
            </w:r>
          </w:p>
        </w:tc>
        <w:tc>
          <w:tcPr>
            <w:tcW w:w="524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Дозировка, путь введения</w:t>
            </w:r>
          </w:p>
        </w:tc>
        <w:tc>
          <w:tcPr>
            <w:tcW w:w="237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День введения</w:t>
            </w:r>
          </w:p>
        </w:tc>
      </w:tr>
      <w:tr w:rsidR="00150848" w:rsidTr="00390F08">
        <w:tc>
          <w:tcPr>
            <w:tcW w:w="9571" w:type="dxa"/>
            <w:gridSpan w:val="3"/>
          </w:tcPr>
          <w:p w:rsidR="00150848" w:rsidRPr="00322734" w:rsidRDefault="00150848" w:rsidP="00390F08">
            <w:pPr>
              <w:rPr>
                <w:rFonts w:ascii="Times New Roman" w:hAnsi="Times New Roman" w:cs="Times New Roman"/>
                <w:b/>
                <w:sz w:val="24"/>
              </w:rPr>
            </w:pPr>
            <w:r w:rsidRPr="00322734">
              <w:rPr>
                <w:rFonts w:ascii="Times New Roman" w:hAnsi="Times New Roman" w:cs="Times New Roman"/>
                <w:b/>
                <w:sz w:val="24"/>
              </w:rPr>
              <w:t>Предфаза</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Циклофосфамид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200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1-3</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Дексаметазон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1-3</w:t>
            </w:r>
          </w:p>
        </w:tc>
      </w:tr>
      <w:tr w:rsidR="00150848" w:rsidTr="00390F08">
        <w:tc>
          <w:tcPr>
            <w:tcW w:w="9571" w:type="dxa"/>
            <w:gridSpan w:val="3"/>
          </w:tcPr>
          <w:p w:rsidR="00150848" w:rsidRPr="00322734" w:rsidRDefault="00150848" w:rsidP="00390F08">
            <w:pPr>
              <w:rPr>
                <w:rFonts w:ascii="Times New Roman" w:hAnsi="Times New Roman" w:cs="Times New Roman"/>
                <w:b/>
                <w:sz w:val="24"/>
              </w:rPr>
            </w:pPr>
            <w:r w:rsidRPr="00322734">
              <w:rPr>
                <w:rFonts w:ascii="Times New Roman" w:hAnsi="Times New Roman" w:cs="Times New Roman"/>
                <w:b/>
                <w:sz w:val="24"/>
              </w:rPr>
              <w:t>Блок А</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Ифосфамид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800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Метотрексат</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за 12 часов</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1951"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Ви</w:t>
            </w:r>
            <w:r w:rsidRPr="00DF590E">
              <w:rPr>
                <w:rFonts w:ascii="Times New Roman" w:hAnsi="Times New Roman" w:cs="Times New Roman"/>
                <w:sz w:val="24"/>
              </w:rPr>
              <w:t>нкристин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2 мг в/в струйно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Доксорубицин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25-50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за 20 минут </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1-2</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Цитарабин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по 100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2 раза в день каждые 12 часов</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4-5</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Этопозид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100-120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4-5</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Дексаметазон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Tr="00390F08">
        <w:tc>
          <w:tcPr>
            <w:tcW w:w="9571" w:type="dxa"/>
            <w:gridSpan w:val="3"/>
          </w:tcPr>
          <w:p w:rsidR="00150848" w:rsidRPr="00322734" w:rsidRDefault="00150848" w:rsidP="00390F08">
            <w:pPr>
              <w:rPr>
                <w:rFonts w:ascii="Times New Roman" w:hAnsi="Times New Roman" w:cs="Times New Roman"/>
                <w:b/>
                <w:sz w:val="24"/>
              </w:rPr>
            </w:pPr>
            <w:r w:rsidRPr="00322734">
              <w:rPr>
                <w:rFonts w:ascii="Times New Roman" w:hAnsi="Times New Roman" w:cs="Times New Roman"/>
                <w:b/>
                <w:sz w:val="24"/>
              </w:rPr>
              <w:t>Блок В</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Циклофосфамид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200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Метотрексат</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за 12 часов</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1951" w:type="dxa"/>
            <w:vMerge w:val="restart"/>
          </w:tcPr>
          <w:p w:rsidR="00150848" w:rsidRDefault="00150848" w:rsidP="00390F08">
            <w:pPr>
              <w:rPr>
                <w:rFonts w:ascii="Times New Roman" w:hAnsi="Times New Roman" w:cs="Times New Roman"/>
                <w:sz w:val="24"/>
              </w:rPr>
            </w:pPr>
            <w:r>
              <w:rPr>
                <w:rFonts w:ascii="Times New Roman" w:hAnsi="Times New Roman" w:cs="Times New Roman"/>
                <w:sz w:val="24"/>
              </w:rPr>
              <w:t xml:space="preserve">Винкристин </w:t>
            </w:r>
          </w:p>
          <w:p w:rsidR="00150848" w:rsidRDefault="00150848" w:rsidP="00390F08">
            <w:pPr>
              <w:rPr>
                <w:rFonts w:ascii="Times New Roman" w:hAnsi="Times New Roman" w:cs="Times New Roman"/>
                <w:sz w:val="24"/>
              </w:rPr>
            </w:pPr>
            <w:r>
              <w:rPr>
                <w:rFonts w:ascii="Times New Roman" w:hAnsi="Times New Roman" w:cs="Times New Roman"/>
                <w:sz w:val="24"/>
              </w:rPr>
              <w:t>или</w:t>
            </w:r>
          </w:p>
          <w:p w:rsidR="00150848" w:rsidRDefault="00150848" w:rsidP="00390F08">
            <w:pPr>
              <w:rPr>
                <w:rFonts w:ascii="Times New Roman" w:hAnsi="Times New Roman" w:cs="Times New Roman"/>
                <w:sz w:val="24"/>
              </w:rPr>
            </w:pPr>
            <w:r>
              <w:rPr>
                <w:rFonts w:ascii="Times New Roman" w:hAnsi="Times New Roman" w:cs="Times New Roman"/>
                <w:sz w:val="24"/>
              </w:rPr>
              <w:t>Винбластин</w:t>
            </w:r>
          </w:p>
        </w:tc>
        <w:tc>
          <w:tcPr>
            <w:tcW w:w="5245" w:type="dxa"/>
          </w:tcPr>
          <w:p w:rsidR="00150848" w:rsidRDefault="00150848" w:rsidP="00390F08">
            <w:pPr>
              <w:rPr>
                <w:rFonts w:ascii="Times New Roman" w:hAnsi="Times New Roman" w:cs="Times New Roman"/>
                <w:sz w:val="24"/>
              </w:rPr>
            </w:pPr>
            <w:r>
              <w:rPr>
                <w:rFonts w:ascii="Times New Roman" w:hAnsi="Times New Roman" w:cs="Times New Roman"/>
                <w:sz w:val="24"/>
              </w:rPr>
              <w:t xml:space="preserve">2 мг в/в струйно </w:t>
            </w:r>
          </w:p>
        </w:tc>
        <w:tc>
          <w:tcPr>
            <w:tcW w:w="2375" w:type="dxa"/>
          </w:tcPr>
          <w:p w:rsidR="00150848"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1951" w:type="dxa"/>
            <w:vMerge/>
          </w:tcPr>
          <w:p w:rsidR="00150848" w:rsidRDefault="00150848" w:rsidP="00390F08">
            <w:pPr>
              <w:rPr>
                <w:rFonts w:ascii="Times New Roman" w:hAnsi="Times New Roman" w:cs="Times New Roman"/>
                <w:sz w:val="24"/>
              </w:rPr>
            </w:pPr>
          </w:p>
        </w:tc>
        <w:tc>
          <w:tcPr>
            <w:tcW w:w="7620" w:type="dxa"/>
            <w:gridSpan w:val="2"/>
          </w:tcPr>
          <w:p w:rsidR="00150848" w:rsidRDefault="00150848" w:rsidP="00390F08">
            <w:pPr>
              <w:rPr>
                <w:rFonts w:ascii="Times New Roman" w:hAnsi="Times New Roman" w:cs="Times New Roman"/>
                <w:sz w:val="24"/>
              </w:rPr>
            </w:pPr>
          </w:p>
        </w:tc>
      </w:tr>
      <w:tr w:rsidR="00150848" w:rsidTr="00390F08">
        <w:tc>
          <w:tcPr>
            <w:tcW w:w="1951" w:type="dxa"/>
            <w:vMerge/>
          </w:tcPr>
          <w:p w:rsidR="00150848" w:rsidRPr="00DF590E" w:rsidRDefault="00150848" w:rsidP="00390F08">
            <w:pPr>
              <w:rPr>
                <w:rFonts w:ascii="Times New Roman" w:hAnsi="Times New Roman" w:cs="Times New Roman"/>
                <w:sz w:val="24"/>
              </w:rPr>
            </w:pP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 в/в струйно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Доксорубицин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25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за 20 минут</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4-5</w:t>
            </w:r>
          </w:p>
        </w:tc>
      </w:tr>
      <w:tr w:rsidR="00150848"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Дексаметазон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RPr="00DF590E" w:rsidTr="00390F08">
        <w:tc>
          <w:tcPr>
            <w:tcW w:w="9571" w:type="dxa"/>
            <w:gridSpan w:val="3"/>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Следующий курс начинают на 22-</w:t>
            </w:r>
            <w:r w:rsidR="00390F08">
              <w:rPr>
                <w:rFonts w:ascii="Times New Roman" w:hAnsi="Times New Roman" w:cs="Times New Roman"/>
                <w:sz w:val="24"/>
              </w:rPr>
              <w:t>й</w:t>
            </w:r>
            <w:r w:rsidRPr="00DF590E">
              <w:rPr>
                <w:rFonts w:ascii="Times New Roman" w:hAnsi="Times New Roman" w:cs="Times New Roman"/>
                <w:sz w:val="24"/>
              </w:rPr>
              <w:t xml:space="preserve"> день от начала предыдущего курса </w:t>
            </w:r>
          </w:p>
        </w:tc>
      </w:tr>
    </w:tbl>
    <w:p w:rsidR="00150848" w:rsidRDefault="00150848" w:rsidP="00150848">
      <w:pPr>
        <w:spacing w:after="0"/>
        <w:rPr>
          <w:rFonts w:ascii="Times New Roman" w:hAnsi="Times New Roman" w:cs="Times New Roman"/>
          <w:i/>
          <w:sz w:val="24"/>
        </w:rPr>
      </w:pPr>
    </w:p>
    <w:p w:rsidR="00150848" w:rsidRDefault="00150848" w:rsidP="00150848">
      <w:pPr>
        <w:rPr>
          <w:rFonts w:ascii="Times New Roman" w:hAnsi="Times New Roman" w:cs="Times New Roman"/>
          <w:sz w:val="24"/>
        </w:rPr>
      </w:pPr>
      <w:r w:rsidRPr="00A44BAE">
        <w:rPr>
          <w:rFonts w:ascii="Times New Roman" w:hAnsi="Times New Roman" w:cs="Times New Roman"/>
          <w:i/>
          <w:sz w:val="24"/>
        </w:rPr>
        <w:t>Примечание:</w:t>
      </w:r>
      <w:r>
        <w:rPr>
          <w:rFonts w:ascii="Times New Roman" w:hAnsi="Times New Roman" w:cs="Times New Roman"/>
          <w:sz w:val="24"/>
        </w:rPr>
        <w:t xml:space="preserve"> дозы препаратов зависят от варианта заболевания. </w:t>
      </w:r>
    </w:p>
    <w:p w:rsidR="00150848" w:rsidRDefault="00150848" w:rsidP="00150848">
      <w:pPr>
        <w:rPr>
          <w:rFonts w:ascii="Times New Roman" w:hAnsi="Times New Roman" w:cs="Times New Roman"/>
          <w:b/>
          <w:sz w:val="24"/>
        </w:rPr>
      </w:pPr>
      <w:r w:rsidRPr="00322734">
        <w:rPr>
          <w:rFonts w:ascii="Times New Roman" w:hAnsi="Times New Roman" w:cs="Times New Roman"/>
          <w:b/>
          <w:sz w:val="24"/>
        </w:rPr>
        <w:t>Схема 3. Программа</w:t>
      </w:r>
      <w:r>
        <w:rPr>
          <w:rFonts w:ascii="Times New Roman" w:hAnsi="Times New Roman" w:cs="Times New Roman"/>
          <w:b/>
          <w:sz w:val="24"/>
        </w:rPr>
        <w:t xml:space="preserve"> ЛБ-М-04</w:t>
      </w:r>
    </w:p>
    <w:tbl>
      <w:tblPr>
        <w:tblStyle w:val="ac"/>
        <w:tblW w:w="0" w:type="auto"/>
        <w:tblLook w:val="04A0" w:firstRow="1" w:lastRow="0" w:firstColumn="1" w:lastColumn="0" w:noHBand="0" w:noVBand="1"/>
      </w:tblPr>
      <w:tblGrid>
        <w:gridCol w:w="1951"/>
        <w:gridCol w:w="5245"/>
        <w:gridCol w:w="2375"/>
      </w:tblGrid>
      <w:tr w:rsidR="00150848" w:rsidTr="00390F08">
        <w:tc>
          <w:tcPr>
            <w:tcW w:w="1951" w:type="dxa"/>
          </w:tcPr>
          <w:p w:rsidR="00150848" w:rsidRDefault="00150848" w:rsidP="00390F08">
            <w:pPr>
              <w:rPr>
                <w:rFonts w:ascii="Times New Roman" w:hAnsi="Times New Roman" w:cs="Times New Roman"/>
                <w:b/>
                <w:sz w:val="24"/>
              </w:rPr>
            </w:pPr>
            <w:r>
              <w:rPr>
                <w:rFonts w:ascii="Times New Roman" w:hAnsi="Times New Roman" w:cs="Times New Roman"/>
                <w:b/>
                <w:sz w:val="24"/>
              </w:rPr>
              <w:t>Препарат</w:t>
            </w:r>
          </w:p>
        </w:tc>
        <w:tc>
          <w:tcPr>
            <w:tcW w:w="524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Дозировка, путь введения</w:t>
            </w:r>
          </w:p>
        </w:tc>
        <w:tc>
          <w:tcPr>
            <w:tcW w:w="237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День введения</w:t>
            </w:r>
          </w:p>
        </w:tc>
      </w:tr>
      <w:tr w:rsidR="00150848" w:rsidRPr="00322734" w:rsidTr="00390F08">
        <w:tc>
          <w:tcPr>
            <w:tcW w:w="9571" w:type="dxa"/>
            <w:gridSpan w:val="3"/>
          </w:tcPr>
          <w:p w:rsidR="00150848" w:rsidRPr="00322734" w:rsidRDefault="00150848" w:rsidP="00390F08">
            <w:pPr>
              <w:rPr>
                <w:rFonts w:ascii="Times New Roman" w:hAnsi="Times New Roman" w:cs="Times New Roman"/>
                <w:b/>
                <w:sz w:val="24"/>
              </w:rPr>
            </w:pPr>
            <w:r w:rsidRPr="00322734">
              <w:rPr>
                <w:rFonts w:ascii="Times New Roman" w:hAnsi="Times New Roman" w:cs="Times New Roman"/>
                <w:b/>
                <w:sz w:val="24"/>
              </w:rPr>
              <w:t>Предфаза</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Циклофосфамид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200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Дексаметазон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мг/м</w:t>
            </w:r>
            <w:r w:rsidRPr="00322734">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RPr="00322734" w:rsidTr="00390F08">
        <w:tc>
          <w:tcPr>
            <w:tcW w:w="9571" w:type="dxa"/>
            <w:gridSpan w:val="3"/>
          </w:tcPr>
          <w:p w:rsidR="00150848" w:rsidRPr="00322734" w:rsidRDefault="00150848" w:rsidP="00390F08">
            <w:pPr>
              <w:rPr>
                <w:rFonts w:ascii="Times New Roman" w:hAnsi="Times New Roman" w:cs="Times New Roman"/>
                <w:b/>
                <w:sz w:val="24"/>
              </w:rPr>
            </w:pPr>
            <w:r w:rsidRPr="00322734">
              <w:rPr>
                <w:rFonts w:ascii="Times New Roman" w:hAnsi="Times New Roman" w:cs="Times New Roman"/>
                <w:b/>
                <w:sz w:val="24"/>
              </w:rPr>
              <w:t>Блок А</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Ифосфамид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800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Метотрексат</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за 12 часов</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Ви</w:t>
            </w:r>
            <w:r w:rsidRPr="00DF590E">
              <w:rPr>
                <w:rFonts w:ascii="Times New Roman" w:hAnsi="Times New Roman" w:cs="Times New Roman"/>
                <w:sz w:val="24"/>
              </w:rPr>
              <w:t>нкристин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1,4-2 мг в/в струйно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Доксорубицин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50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3</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Цитарабин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по 150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2 раза в день </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4-5</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Этопозид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4-5</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Дексаметазон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r w:rsidR="00150848" w:rsidRPr="00322734" w:rsidTr="00390F08">
        <w:tc>
          <w:tcPr>
            <w:tcW w:w="9571" w:type="dxa"/>
            <w:gridSpan w:val="3"/>
          </w:tcPr>
          <w:p w:rsidR="00150848" w:rsidRPr="00322734" w:rsidRDefault="00150848" w:rsidP="00390F08">
            <w:pPr>
              <w:rPr>
                <w:rFonts w:ascii="Times New Roman" w:hAnsi="Times New Roman" w:cs="Times New Roman"/>
                <w:b/>
                <w:sz w:val="24"/>
              </w:rPr>
            </w:pPr>
            <w:r>
              <w:rPr>
                <w:rFonts w:ascii="Times New Roman" w:hAnsi="Times New Roman" w:cs="Times New Roman"/>
                <w:b/>
                <w:sz w:val="24"/>
              </w:rPr>
              <w:t>Блок С</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Метотрексат</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1500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за 12 часов</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Винбластин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5-10 мг в/в струйно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 xml:space="preserve">Цитарабин </w:t>
            </w:r>
          </w:p>
        </w:tc>
        <w:tc>
          <w:tcPr>
            <w:tcW w:w="5245" w:type="dxa"/>
          </w:tcPr>
          <w:p w:rsidR="00150848" w:rsidRDefault="00150848" w:rsidP="00390F08">
            <w:pPr>
              <w:rPr>
                <w:rFonts w:ascii="Times New Roman" w:hAnsi="Times New Roman" w:cs="Times New Roman"/>
                <w:sz w:val="24"/>
              </w:rPr>
            </w:pPr>
            <w:r>
              <w:rPr>
                <w:rFonts w:ascii="Times New Roman" w:hAnsi="Times New Roman" w:cs="Times New Roman"/>
                <w:sz w:val="24"/>
              </w:rPr>
              <w:t>по 2000 мг/м</w:t>
            </w:r>
            <w:r w:rsidRPr="00DF22A1">
              <w:rPr>
                <w:rFonts w:ascii="Times New Roman" w:hAnsi="Times New Roman" w:cs="Times New Roman"/>
                <w:sz w:val="24"/>
                <w:vertAlign w:val="superscript"/>
              </w:rPr>
              <w:t>2</w:t>
            </w:r>
            <w:r>
              <w:rPr>
                <w:rFonts w:ascii="Times New Roman" w:hAnsi="Times New Roman" w:cs="Times New Roman"/>
                <w:sz w:val="24"/>
              </w:rPr>
              <w:t xml:space="preserve"> в/в капельно 2 раза в сутки</w:t>
            </w:r>
          </w:p>
        </w:tc>
        <w:tc>
          <w:tcPr>
            <w:tcW w:w="2375" w:type="dxa"/>
          </w:tcPr>
          <w:p w:rsidR="00150848" w:rsidRDefault="00150848" w:rsidP="00390F08">
            <w:pPr>
              <w:rPr>
                <w:rFonts w:ascii="Times New Roman" w:hAnsi="Times New Roman" w:cs="Times New Roman"/>
                <w:sz w:val="24"/>
              </w:rPr>
            </w:pPr>
            <w:r>
              <w:rPr>
                <w:rFonts w:ascii="Times New Roman" w:hAnsi="Times New Roman" w:cs="Times New Roman"/>
                <w:sz w:val="24"/>
              </w:rPr>
              <w:t>2-3</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Этопозид</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 </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3-5</w:t>
            </w:r>
          </w:p>
        </w:tc>
      </w:tr>
      <w:tr w:rsidR="00150848" w:rsidRPr="00DF590E" w:rsidTr="00390F08">
        <w:tc>
          <w:tcPr>
            <w:tcW w:w="1951" w:type="dxa"/>
          </w:tcPr>
          <w:p w:rsidR="00150848" w:rsidRPr="00DF590E" w:rsidRDefault="00150848" w:rsidP="00390F08">
            <w:pPr>
              <w:rPr>
                <w:rFonts w:ascii="Times New Roman" w:hAnsi="Times New Roman" w:cs="Times New Roman"/>
                <w:sz w:val="24"/>
              </w:rPr>
            </w:pPr>
            <w:r w:rsidRPr="00DF590E">
              <w:rPr>
                <w:rFonts w:ascii="Times New Roman" w:hAnsi="Times New Roman" w:cs="Times New Roman"/>
                <w:sz w:val="24"/>
              </w:rPr>
              <w:t>Дексаметазон</w:t>
            </w:r>
          </w:p>
        </w:tc>
        <w:tc>
          <w:tcPr>
            <w:tcW w:w="524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10 мг/м</w:t>
            </w:r>
            <w:r w:rsidRPr="00DF590E">
              <w:rPr>
                <w:rFonts w:ascii="Times New Roman" w:hAnsi="Times New Roman" w:cs="Times New Roman"/>
                <w:sz w:val="24"/>
                <w:vertAlign w:val="superscript"/>
              </w:rPr>
              <w:t>2</w:t>
            </w:r>
            <w:r>
              <w:rPr>
                <w:rFonts w:ascii="Times New Roman" w:hAnsi="Times New Roman" w:cs="Times New Roman"/>
                <w:sz w:val="24"/>
              </w:rPr>
              <w:t xml:space="preserve"> в/в капельно</w:t>
            </w:r>
          </w:p>
        </w:tc>
        <w:tc>
          <w:tcPr>
            <w:tcW w:w="2375" w:type="dxa"/>
          </w:tcPr>
          <w:p w:rsidR="00150848" w:rsidRPr="00DF590E" w:rsidRDefault="00150848" w:rsidP="00390F08">
            <w:pPr>
              <w:rPr>
                <w:rFonts w:ascii="Times New Roman" w:hAnsi="Times New Roman" w:cs="Times New Roman"/>
                <w:sz w:val="24"/>
              </w:rPr>
            </w:pPr>
            <w:r>
              <w:rPr>
                <w:rFonts w:ascii="Times New Roman" w:hAnsi="Times New Roman" w:cs="Times New Roman"/>
                <w:sz w:val="24"/>
              </w:rPr>
              <w:t>1-5</w:t>
            </w:r>
          </w:p>
        </w:tc>
      </w:tr>
    </w:tbl>
    <w:p w:rsidR="00150848" w:rsidRDefault="00150848" w:rsidP="00150848">
      <w:pPr>
        <w:spacing w:after="0"/>
        <w:rPr>
          <w:rFonts w:ascii="Times New Roman" w:hAnsi="Times New Roman" w:cs="Times New Roman"/>
          <w:i/>
          <w:sz w:val="24"/>
        </w:rPr>
      </w:pPr>
    </w:p>
    <w:p w:rsidR="00150848" w:rsidRDefault="00150848" w:rsidP="00150848">
      <w:pPr>
        <w:rPr>
          <w:rFonts w:ascii="Times New Roman" w:hAnsi="Times New Roman" w:cs="Times New Roman"/>
          <w:sz w:val="24"/>
        </w:rPr>
      </w:pPr>
      <w:r w:rsidRPr="00A44BAE">
        <w:rPr>
          <w:rFonts w:ascii="Times New Roman" w:hAnsi="Times New Roman" w:cs="Times New Roman"/>
          <w:i/>
          <w:sz w:val="24"/>
        </w:rPr>
        <w:t>Примечание:</w:t>
      </w:r>
      <w:r>
        <w:rPr>
          <w:rFonts w:ascii="Times New Roman" w:hAnsi="Times New Roman" w:cs="Times New Roman"/>
          <w:sz w:val="24"/>
        </w:rPr>
        <w:t xml:space="preserve"> дозы препаратов зависят от варианта заболевания. </w:t>
      </w:r>
    </w:p>
    <w:p w:rsidR="00150848" w:rsidRDefault="00150848" w:rsidP="00150848">
      <w:pPr>
        <w:rPr>
          <w:rFonts w:ascii="Times New Roman" w:hAnsi="Times New Roman" w:cs="Times New Roman"/>
          <w:b/>
          <w:sz w:val="24"/>
        </w:rPr>
      </w:pPr>
      <w:r>
        <w:rPr>
          <w:rFonts w:ascii="Times New Roman" w:hAnsi="Times New Roman" w:cs="Times New Roman"/>
          <w:b/>
          <w:sz w:val="24"/>
        </w:rPr>
        <w:t xml:space="preserve">Схема 4. Программа </w:t>
      </w:r>
      <w:r>
        <w:rPr>
          <w:rFonts w:ascii="Times New Roman" w:hAnsi="Times New Roman" w:cs="Times New Roman"/>
          <w:b/>
          <w:sz w:val="24"/>
          <w:lang w:val="en-US"/>
        </w:rPr>
        <w:t>DHAP</w:t>
      </w:r>
    </w:p>
    <w:tbl>
      <w:tblPr>
        <w:tblStyle w:val="ac"/>
        <w:tblW w:w="0" w:type="auto"/>
        <w:tblLook w:val="04A0" w:firstRow="1" w:lastRow="0" w:firstColumn="1" w:lastColumn="0" w:noHBand="0" w:noVBand="1"/>
      </w:tblPr>
      <w:tblGrid>
        <w:gridCol w:w="1951"/>
        <w:gridCol w:w="5245"/>
        <w:gridCol w:w="2375"/>
      </w:tblGrid>
      <w:tr w:rsidR="00150848" w:rsidTr="00390F08">
        <w:tc>
          <w:tcPr>
            <w:tcW w:w="1951" w:type="dxa"/>
          </w:tcPr>
          <w:p w:rsidR="00150848" w:rsidRDefault="00150848" w:rsidP="00390F08">
            <w:pPr>
              <w:rPr>
                <w:rFonts w:ascii="Times New Roman" w:hAnsi="Times New Roman" w:cs="Times New Roman"/>
                <w:b/>
                <w:sz w:val="24"/>
              </w:rPr>
            </w:pPr>
            <w:r>
              <w:rPr>
                <w:rFonts w:ascii="Times New Roman" w:hAnsi="Times New Roman" w:cs="Times New Roman"/>
                <w:b/>
                <w:sz w:val="24"/>
              </w:rPr>
              <w:t xml:space="preserve">Препарат </w:t>
            </w:r>
          </w:p>
        </w:tc>
        <w:tc>
          <w:tcPr>
            <w:tcW w:w="524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Дозировка, путь введения</w:t>
            </w:r>
          </w:p>
        </w:tc>
        <w:tc>
          <w:tcPr>
            <w:tcW w:w="237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День введения</w:t>
            </w:r>
          </w:p>
        </w:tc>
      </w:tr>
      <w:tr w:rsidR="00150848" w:rsidTr="00390F08">
        <w:tc>
          <w:tcPr>
            <w:tcW w:w="1951" w:type="dxa"/>
          </w:tcPr>
          <w:p w:rsidR="00150848" w:rsidRPr="000A2EE9" w:rsidRDefault="00150848" w:rsidP="00390F08">
            <w:pPr>
              <w:rPr>
                <w:rFonts w:ascii="Times New Roman" w:hAnsi="Times New Roman" w:cs="Times New Roman"/>
                <w:sz w:val="24"/>
              </w:rPr>
            </w:pPr>
            <w:r w:rsidRPr="000A2EE9">
              <w:rPr>
                <w:rFonts w:ascii="Times New Roman" w:hAnsi="Times New Roman" w:cs="Times New Roman"/>
                <w:sz w:val="24"/>
              </w:rPr>
              <w:t>Цисплатин</w:t>
            </w:r>
          </w:p>
        </w:tc>
        <w:tc>
          <w:tcPr>
            <w:tcW w:w="5245" w:type="dxa"/>
          </w:tcPr>
          <w:p w:rsidR="00150848" w:rsidRPr="000A2EE9" w:rsidRDefault="00150848" w:rsidP="00390F08">
            <w:pPr>
              <w:rPr>
                <w:rFonts w:ascii="Times New Roman" w:hAnsi="Times New Roman" w:cs="Times New Roman"/>
                <w:sz w:val="24"/>
              </w:rPr>
            </w:pPr>
            <w:r w:rsidRPr="00E1529E">
              <w:rPr>
                <w:rFonts w:ascii="Times New Roman" w:hAnsi="Times New Roman" w:cs="Times New Roman"/>
                <w:sz w:val="24"/>
              </w:rPr>
              <w:t>100 мг/м</w:t>
            </w:r>
            <w:r w:rsidRPr="00E1529E">
              <w:rPr>
                <w:rFonts w:ascii="Times New Roman" w:hAnsi="Times New Roman" w:cs="Times New Roman"/>
                <w:sz w:val="24"/>
                <w:vertAlign w:val="superscript"/>
              </w:rPr>
              <w:t>2</w:t>
            </w:r>
            <w:r>
              <w:rPr>
                <w:rFonts w:ascii="Times New Roman" w:hAnsi="Times New Roman" w:cs="Times New Roman"/>
                <w:b/>
                <w:sz w:val="24"/>
                <w:vertAlign w:val="superscript"/>
              </w:rPr>
              <w:t xml:space="preserve"> </w:t>
            </w:r>
            <w:r>
              <w:rPr>
                <w:rFonts w:ascii="Times New Roman" w:hAnsi="Times New Roman" w:cs="Times New Roman"/>
                <w:sz w:val="24"/>
              </w:rPr>
              <w:t>в/в через инфузомат на 24 часа в 100</w:t>
            </w:r>
            <w:r w:rsidR="00390F08">
              <w:rPr>
                <w:rFonts w:ascii="Times New Roman" w:hAnsi="Times New Roman" w:cs="Times New Roman"/>
                <w:sz w:val="24"/>
              </w:rPr>
              <w:t>0</w:t>
            </w:r>
            <w:r>
              <w:rPr>
                <w:rFonts w:ascii="Times New Roman" w:hAnsi="Times New Roman" w:cs="Times New Roman"/>
                <w:sz w:val="24"/>
              </w:rPr>
              <w:t xml:space="preserve"> мл физиологического раствора </w:t>
            </w:r>
          </w:p>
        </w:tc>
        <w:tc>
          <w:tcPr>
            <w:tcW w:w="2375" w:type="dxa"/>
          </w:tcPr>
          <w:p w:rsidR="00150848" w:rsidRPr="000A2EE9" w:rsidRDefault="00150848" w:rsidP="00390F08">
            <w:pPr>
              <w:rPr>
                <w:rFonts w:ascii="Times New Roman" w:hAnsi="Times New Roman" w:cs="Times New Roman"/>
                <w:sz w:val="24"/>
              </w:rPr>
            </w:pPr>
            <w:r w:rsidRPr="000A2EE9">
              <w:rPr>
                <w:rFonts w:ascii="Times New Roman" w:hAnsi="Times New Roman" w:cs="Times New Roman"/>
                <w:sz w:val="24"/>
              </w:rPr>
              <w:t>День 1</w:t>
            </w:r>
          </w:p>
        </w:tc>
      </w:tr>
      <w:tr w:rsidR="00150848" w:rsidTr="00390F08">
        <w:tc>
          <w:tcPr>
            <w:tcW w:w="1951"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Цитарабин</w:t>
            </w:r>
          </w:p>
        </w:tc>
        <w:tc>
          <w:tcPr>
            <w:tcW w:w="524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2000 мг/м</w:t>
            </w:r>
            <w:r w:rsidRPr="00390F08">
              <w:rPr>
                <w:rFonts w:ascii="Times New Roman" w:hAnsi="Times New Roman" w:cs="Times New Roman"/>
                <w:sz w:val="24"/>
                <w:vertAlign w:val="superscript"/>
              </w:rPr>
              <w:t>2</w:t>
            </w:r>
            <w:r w:rsidR="00390F08" w:rsidRPr="00390F08">
              <w:rPr>
                <w:rFonts w:ascii="Times New Roman" w:hAnsi="Times New Roman" w:cs="Times New Roman"/>
                <w:sz w:val="24"/>
              </w:rPr>
              <w:t xml:space="preserve">/сутки, </w:t>
            </w:r>
            <w:r w:rsidRPr="00390F08">
              <w:rPr>
                <w:rFonts w:ascii="Times New Roman" w:hAnsi="Times New Roman" w:cs="Times New Roman"/>
                <w:sz w:val="24"/>
              </w:rPr>
              <w:t>в/в капельно в 1000 мл физиологического раствора 2 раза в сутки каждые 12 часов</w:t>
            </w:r>
          </w:p>
        </w:tc>
        <w:tc>
          <w:tcPr>
            <w:tcW w:w="2375" w:type="dxa"/>
          </w:tcPr>
          <w:p w:rsidR="00150848" w:rsidRPr="00E1529E" w:rsidRDefault="00150848" w:rsidP="00390F08">
            <w:pPr>
              <w:rPr>
                <w:rFonts w:ascii="Times New Roman" w:hAnsi="Times New Roman" w:cs="Times New Roman"/>
                <w:sz w:val="24"/>
              </w:rPr>
            </w:pPr>
            <w:r w:rsidRPr="00E1529E">
              <w:rPr>
                <w:rFonts w:ascii="Times New Roman" w:hAnsi="Times New Roman" w:cs="Times New Roman"/>
                <w:sz w:val="24"/>
              </w:rPr>
              <w:t>День 2</w:t>
            </w:r>
          </w:p>
        </w:tc>
      </w:tr>
      <w:tr w:rsidR="00150848" w:rsidTr="00390F08">
        <w:tc>
          <w:tcPr>
            <w:tcW w:w="1951" w:type="dxa"/>
          </w:tcPr>
          <w:p w:rsidR="00150848" w:rsidRPr="000A2EE9" w:rsidRDefault="00150848" w:rsidP="00390F08">
            <w:pPr>
              <w:rPr>
                <w:rFonts w:ascii="Times New Roman" w:hAnsi="Times New Roman" w:cs="Times New Roman"/>
                <w:sz w:val="24"/>
              </w:rPr>
            </w:pPr>
            <w:r w:rsidRPr="000A2EE9">
              <w:rPr>
                <w:rFonts w:ascii="Times New Roman" w:hAnsi="Times New Roman" w:cs="Times New Roman"/>
                <w:sz w:val="24"/>
              </w:rPr>
              <w:t>Дексаметазон</w:t>
            </w:r>
          </w:p>
        </w:tc>
        <w:tc>
          <w:tcPr>
            <w:tcW w:w="5245" w:type="dxa"/>
          </w:tcPr>
          <w:p w:rsidR="00150848" w:rsidRPr="00E1529E" w:rsidRDefault="00150848" w:rsidP="00390F08">
            <w:pPr>
              <w:rPr>
                <w:rFonts w:ascii="Times New Roman" w:hAnsi="Times New Roman" w:cs="Times New Roman"/>
                <w:sz w:val="24"/>
              </w:rPr>
            </w:pPr>
            <w:r>
              <w:rPr>
                <w:rFonts w:ascii="Times New Roman" w:hAnsi="Times New Roman" w:cs="Times New Roman"/>
                <w:sz w:val="24"/>
              </w:rPr>
              <w:t xml:space="preserve">40 мг внутрь или в/в </w:t>
            </w:r>
          </w:p>
        </w:tc>
        <w:tc>
          <w:tcPr>
            <w:tcW w:w="2375" w:type="dxa"/>
          </w:tcPr>
          <w:p w:rsidR="00150848" w:rsidRPr="00E1529E" w:rsidRDefault="00150848" w:rsidP="00390F08">
            <w:pPr>
              <w:rPr>
                <w:rFonts w:ascii="Times New Roman" w:hAnsi="Times New Roman" w:cs="Times New Roman"/>
                <w:sz w:val="24"/>
              </w:rPr>
            </w:pPr>
            <w:r w:rsidRPr="00E1529E">
              <w:rPr>
                <w:rFonts w:ascii="Times New Roman" w:hAnsi="Times New Roman" w:cs="Times New Roman"/>
                <w:sz w:val="24"/>
              </w:rPr>
              <w:t>Дни 1-4</w:t>
            </w:r>
          </w:p>
        </w:tc>
      </w:tr>
    </w:tbl>
    <w:p w:rsidR="00150848" w:rsidRDefault="00150848" w:rsidP="00150848">
      <w:pPr>
        <w:rPr>
          <w:rFonts w:ascii="Times New Roman" w:hAnsi="Times New Roman" w:cs="Times New Roman"/>
          <w:b/>
          <w:sz w:val="24"/>
        </w:rPr>
      </w:pPr>
    </w:p>
    <w:p w:rsidR="00150848" w:rsidRDefault="00150848" w:rsidP="00150848">
      <w:pPr>
        <w:rPr>
          <w:rFonts w:ascii="Times New Roman" w:hAnsi="Times New Roman" w:cs="Times New Roman"/>
          <w:b/>
          <w:sz w:val="24"/>
          <w:lang w:val="en-US"/>
        </w:rPr>
      </w:pPr>
      <w:r>
        <w:rPr>
          <w:rFonts w:ascii="Times New Roman" w:hAnsi="Times New Roman" w:cs="Times New Roman"/>
          <w:b/>
          <w:sz w:val="24"/>
        </w:rPr>
        <w:t xml:space="preserve">Схема </w:t>
      </w:r>
      <w:r w:rsidR="008148D1">
        <w:rPr>
          <w:rFonts w:ascii="Times New Roman" w:hAnsi="Times New Roman" w:cs="Times New Roman"/>
          <w:b/>
          <w:sz w:val="24"/>
        </w:rPr>
        <w:t>5</w:t>
      </w:r>
      <w:r>
        <w:rPr>
          <w:rFonts w:ascii="Times New Roman" w:hAnsi="Times New Roman" w:cs="Times New Roman"/>
          <w:b/>
          <w:sz w:val="24"/>
        </w:rPr>
        <w:t xml:space="preserve">. Программа </w:t>
      </w:r>
      <w:r>
        <w:rPr>
          <w:rFonts w:ascii="Times New Roman" w:hAnsi="Times New Roman" w:cs="Times New Roman"/>
          <w:b/>
          <w:sz w:val="24"/>
          <w:lang w:val="en-US"/>
        </w:rPr>
        <w:t>EPOCH</w:t>
      </w:r>
    </w:p>
    <w:tbl>
      <w:tblPr>
        <w:tblStyle w:val="ac"/>
        <w:tblW w:w="0" w:type="auto"/>
        <w:tblLook w:val="04A0" w:firstRow="1" w:lastRow="0" w:firstColumn="1" w:lastColumn="0" w:noHBand="0" w:noVBand="1"/>
      </w:tblPr>
      <w:tblGrid>
        <w:gridCol w:w="1951"/>
        <w:gridCol w:w="5245"/>
        <w:gridCol w:w="2375"/>
      </w:tblGrid>
      <w:tr w:rsidR="00150848" w:rsidTr="00390F08">
        <w:tc>
          <w:tcPr>
            <w:tcW w:w="1951" w:type="dxa"/>
          </w:tcPr>
          <w:p w:rsidR="00150848" w:rsidRPr="00117209" w:rsidRDefault="00150848" w:rsidP="00390F08">
            <w:pPr>
              <w:rPr>
                <w:rFonts w:ascii="Times New Roman" w:hAnsi="Times New Roman" w:cs="Times New Roman"/>
                <w:b/>
                <w:sz w:val="24"/>
              </w:rPr>
            </w:pPr>
            <w:r>
              <w:rPr>
                <w:rFonts w:ascii="Times New Roman" w:hAnsi="Times New Roman" w:cs="Times New Roman"/>
                <w:b/>
                <w:sz w:val="24"/>
              </w:rPr>
              <w:t>Препарат</w:t>
            </w:r>
          </w:p>
        </w:tc>
        <w:tc>
          <w:tcPr>
            <w:tcW w:w="524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Дозировка, путь введения</w:t>
            </w:r>
          </w:p>
        </w:tc>
        <w:tc>
          <w:tcPr>
            <w:tcW w:w="2375" w:type="dxa"/>
          </w:tcPr>
          <w:p w:rsidR="00150848" w:rsidRDefault="00150848" w:rsidP="00390F08">
            <w:pPr>
              <w:rPr>
                <w:rFonts w:ascii="Times New Roman" w:hAnsi="Times New Roman" w:cs="Times New Roman"/>
                <w:b/>
                <w:sz w:val="24"/>
              </w:rPr>
            </w:pPr>
            <w:r>
              <w:rPr>
                <w:rFonts w:ascii="Times New Roman" w:hAnsi="Times New Roman" w:cs="Times New Roman"/>
                <w:b/>
                <w:sz w:val="24"/>
              </w:rPr>
              <w:t>День введения</w:t>
            </w:r>
          </w:p>
        </w:tc>
      </w:tr>
      <w:tr w:rsidR="00150848" w:rsidTr="00390F08">
        <w:tc>
          <w:tcPr>
            <w:tcW w:w="1951"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Циклофосфамид</w:t>
            </w:r>
          </w:p>
        </w:tc>
        <w:tc>
          <w:tcPr>
            <w:tcW w:w="524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750 мг/м</w:t>
            </w:r>
            <w:r w:rsidRPr="00390F08">
              <w:rPr>
                <w:rFonts w:ascii="Times New Roman" w:hAnsi="Times New Roman" w:cs="Times New Roman"/>
                <w:sz w:val="24"/>
                <w:vertAlign w:val="superscript"/>
              </w:rPr>
              <w:t>2</w:t>
            </w:r>
            <w:r w:rsidRPr="00390F08">
              <w:rPr>
                <w:rFonts w:ascii="Times New Roman" w:hAnsi="Times New Roman" w:cs="Times New Roman"/>
                <w:sz w:val="24"/>
              </w:rPr>
              <w:t xml:space="preserve"> в/в капельно</w:t>
            </w:r>
          </w:p>
        </w:tc>
        <w:tc>
          <w:tcPr>
            <w:tcW w:w="237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5</w:t>
            </w:r>
          </w:p>
        </w:tc>
      </w:tr>
      <w:tr w:rsidR="00150848" w:rsidTr="00390F08">
        <w:tc>
          <w:tcPr>
            <w:tcW w:w="1951"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Этопозид</w:t>
            </w:r>
          </w:p>
        </w:tc>
        <w:tc>
          <w:tcPr>
            <w:tcW w:w="524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50 мг/м</w:t>
            </w:r>
            <w:r w:rsidRPr="00390F08">
              <w:rPr>
                <w:rFonts w:ascii="Times New Roman" w:hAnsi="Times New Roman" w:cs="Times New Roman"/>
                <w:sz w:val="24"/>
                <w:vertAlign w:val="superscript"/>
              </w:rPr>
              <w:t>2</w:t>
            </w:r>
            <w:r w:rsidRPr="00390F08">
              <w:rPr>
                <w:rFonts w:ascii="Times New Roman" w:hAnsi="Times New Roman" w:cs="Times New Roman"/>
                <w:sz w:val="24"/>
              </w:rPr>
              <w:t xml:space="preserve"> инфузия на 24 часа</w:t>
            </w:r>
          </w:p>
        </w:tc>
        <w:tc>
          <w:tcPr>
            <w:tcW w:w="237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1-4</w:t>
            </w:r>
          </w:p>
        </w:tc>
      </w:tr>
      <w:tr w:rsidR="00150848" w:rsidTr="00390F08">
        <w:tc>
          <w:tcPr>
            <w:tcW w:w="1951"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Доксорубицин</w:t>
            </w:r>
          </w:p>
        </w:tc>
        <w:tc>
          <w:tcPr>
            <w:tcW w:w="524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10-20 мг/м</w:t>
            </w:r>
            <w:r w:rsidRPr="00390F08">
              <w:rPr>
                <w:rFonts w:ascii="Times New Roman" w:hAnsi="Times New Roman" w:cs="Times New Roman"/>
                <w:sz w:val="24"/>
                <w:vertAlign w:val="superscript"/>
              </w:rPr>
              <w:t>2</w:t>
            </w:r>
            <w:r w:rsidRPr="00390F08">
              <w:rPr>
                <w:rFonts w:ascii="Times New Roman" w:hAnsi="Times New Roman" w:cs="Times New Roman"/>
                <w:sz w:val="24"/>
              </w:rPr>
              <w:t xml:space="preserve"> инфузия на 24 часа</w:t>
            </w:r>
          </w:p>
        </w:tc>
        <w:tc>
          <w:tcPr>
            <w:tcW w:w="237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1-4</w:t>
            </w:r>
          </w:p>
        </w:tc>
      </w:tr>
      <w:tr w:rsidR="00150848" w:rsidTr="00390F08">
        <w:tc>
          <w:tcPr>
            <w:tcW w:w="1951"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Винкристин</w:t>
            </w:r>
          </w:p>
        </w:tc>
        <w:tc>
          <w:tcPr>
            <w:tcW w:w="524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0,4-0,5 мг/м</w:t>
            </w:r>
            <w:r w:rsidRPr="00390F08">
              <w:rPr>
                <w:rFonts w:ascii="Times New Roman" w:hAnsi="Times New Roman" w:cs="Times New Roman"/>
                <w:sz w:val="24"/>
                <w:vertAlign w:val="superscript"/>
              </w:rPr>
              <w:t>2</w:t>
            </w:r>
            <w:r w:rsidRPr="00390F08">
              <w:rPr>
                <w:rFonts w:ascii="Times New Roman" w:hAnsi="Times New Roman" w:cs="Times New Roman"/>
                <w:sz w:val="24"/>
              </w:rPr>
              <w:t xml:space="preserve"> инфузия на 24 часа</w:t>
            </w:r>
          </w:p>
        </w:tc>
        <w:tc>
          <w:tcPr>
            <w:tcW w:w="237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1-4</w:t>
            </w:r>
          </w:p>
        </w:tc>
      </w:tr>
      <w:tr w:rsidR="00150848" w:rsidTr="00390F08">
        <w:tc>
          <w:tcPr>
            <w:tcW w:w="1951"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Преднизолон</w:t>
            </w:r>
          </w:p>
        </w:tc>
        <w:tc>
          <w:tcPr>
            <w:tcW w:w="524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40-60 мг/м</w:t>
            </w:r>
            <w:r w:rsidRPr="00390F08">
              <w:rPr>
                <w:rFonts w:ascii="Times New Roman" w:hAnsi="Times New Roman" w:cs="Times New Roman"/>
                <w:sz w:val="24"/>
                <w:vertAlign w:val="superscript"/>
              </w:rPr>
              <w:t>2</w:t>
            </w:r>
            <w:r w:rsidRPr="00390F08">
              <w:rPr>
                <w:rFonts w:ascii="Times New Roman" w:hAnsi="Times New Roman" w:cs="Times New Roman"/>
                <w:sz w:val="24"/>
              </w:rPr>
              <w:t xml:space="preserve"> внутрь или в/в капельно 2 раза в сутки</w:t>
            </w:r>
          </w:p>
        </w:tc>
        <w:tc>
          <w:tcPr>
            <w:tcW w:w="2375" w:type="dxa"/>
          </w:tcPr>
          <w:p w:rsidR="00150848" w:rsidRPr="00390F08" w:rsidRDefault="00150848" w:rsidP="00390F08">
            <w:pPr>
              <w:rPr>
                <w:rFonts w:ascii="Times New Roman" w:hAnsi="Times New Roman" w:cs="Times New Roman"/>
                <w:sz w:val="24"/>
              </w:rPr>
            </w:pPr>
            <w:r w:rsidRPr="00390F08">
              <w:rPr>
                <w:rFonts w:ascii="Times New Roman" w:hAnsi="Times New Roman" w:cs="Times New Roman"/>
                <w:sz w:val="24"/>
              </w:rPr>
              <w:t>1-5</w:t>
            </w:r>
          </w:p>
        </w:tc>
      </w:tr>
    </w:tbl>
    <w:p w:rsidR="00150848" w:rsidRDefault="00150848" w:rsidP="00150848">
      <w:pPr>
        <w:spacing w:after="0"/>
        <w:rPr>
          <w:rFonts w:ascii="Times New Roman" w:hAnsi="Times New Roman" w:cs="Times New Roman"/>
          <w:i/>
          <w:sz w:val="24"/>
        </w:rPr>
      </w:pPr>
    </w:p>
    <w:p w:rsidR="00150848" w:rsidRDefault="00150848" w:rsidP="00150848">
      <w:pPr>
        <w:rPr>
          <w:rFonts w:ascii="Times New Roman" w:hAnsi="Times New Roman" w:cs="Times New Roman"/>
          <w:sz w:val="24"/>
        </w:rPr>
      </w:pPr>
      <w:r w:rsidRPr="00A44BAE">
        <w:rPr>
          <w:rFonts w:ascii="Times New Roman" w:hAnsi="Times New Roman" w:cs="Times New Roman"/>
          <w:i/>
          <w:sz w:val="24"/>
        </w:rPr>
        <w:t>Примечание:</w:t>
      </w:r>
      <w:r>
        <w:rPr>
          <w:rFonts w:ascii="Times New Roman" w:hAnsi="Times New Roman" w:cs="Times New Roman"/>
          <w:sz w:val="24"/>
        </w:rPr>
        <w:t xml:space="preserve"> дозы препаратов зависят от варианта заболевания. </w:t>
      </w:r>
    </w:p>
    <w:p w:rsidR="00232B28" w:rsidRDefault="00232B28">
      <w:r>
        <w:br w:type="page"/>
      </w:r>
    </w:p>
    <w:p w:rsidR="009E4FFF" w:rsidRDefault="009E4FFF" w:rsidP="009E4FFF">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Приложение 4</w:t>
      </w:r>
      <w:r w:rsidRPr="00DB1FCB">
        <w:rPr>
          <w:rFonts w:ascii="Times New Roman" w:hAnsi="Times New Roman" w:cs="Times New Roman"/>
          <w:b/>
          <w:sz w:val="24"/>
          <w:szCs w:val="24"/>
        </w:rPr>
        <w:t xml:space="preserve">. </w:t>
      </w:r>
      <w:r>
        <w:rPr>
          <w:rFonts w:ascii="Times New Roman" w:hAnsi="Times New Roman" w:cs="Times New Roman"/>
          <w:b/>
          <w:sz w:val="24"/>
          <w:szCs w:val="24"/>
        </w:rPr>
        <w:t>Показания к трансплантации аутологичных гемопоэтических стволовых клеток</w:t>
      </w:r>
      <w:r w:rsidR="007D25FA">
        <w:rPr>
          <w:rFonts w:ascii="Times New Roman" w:hAnsi="Times New Roman" w:cs="Times New Roman"/>
          <w:b/>
          <w:sz w:val="24"/>
          <w:szCs w:val="24"/>
        </w:rPr>
        <w:t xml:space="preserve">, утвержденные </w:t>
      </w:r>
      <w:r w:rsidR="000C0C91" w:rsidRPr="000C0C91">
        <w:rPr>
          <w:rFonts w:ascii="Times New Roman" w:eastAsiaTheme="minorEastAsia" w:hAnsi="Times New Roman" w:cs="Times New Roman"/>
          <w:b/>
          <w:sz w:val="24"/>
          <w:szCs w:val="24"/>
          <w:lang w:eastAsia="ru-RU"/>
        </w:rPr>
        <w:t>ЕВМТ</w:t>
      </w:r>
      <w:r>
        <w:rPr>
          <w:rFonts w:ascii="Times New Roman" w:hAnsi="Times New Roman" w:cs="Times New Roman"/>
          <w:b/>
          <w:sz w:val="24"/>
          <w:szCs w:val="24"/>
        </w:rPr>
        <w:t>.</w:t>
      </w:r>
    </w:p>
    <w:p w:rsidR="009E4FFF" w:rsidRDefault="00884BE8" w:rsidP="009E4FFF">
      <w:pPr>
        <w:tabs>
          <w:tab w:val="left" w:pos="284"/>
        </w:tabs>
        <w:spacing w:after="0" w:line="360" w:lineRule="auto"/>
        <w:jc w:val="both"/>
        <w:rPr>
          <w:rFonts w:ascii="Times New Roman" w:eastAsiaTheme="minorEastAsia" w:hAnsi="Times New Roman" w:cs="Times New Roman"/>
          <w:sz w:val="24"/>
          <w:szCs w:val="24"/>
          <w:lang w:eastAsia="ru-RU"/>
        </w:rPr>
      </w:pPr>
      <w:r w:rsidRPr="007D4076">
        <w:rPr>
          <w:rFonts w:ascii="Times New Roman" w:eastAsiaTheme="minorEastAsia" w:hAnsi="Times New Roman" w:cs="Times New Roman"/>
          <w:sz w:val="24"/>
          <w:szCs w:val="24"/>
          <w:lang w:eastAsia="ru-RU"/>
        </w:rPr>
        <w:t>Европейское общество трансплантации клеток крови и костного мозга (ЕВМТ)</w:t>
      </w:r>
      <w:r w:rsidR="000C0C91">
        <w:rPr>
          <w:rFonts w:ascii="Times New Roman" w:eastAsiaTheme="minorEastAsia" w:hAnsi="Times New Roman" w:cs="Times New Roman"/>
          <w:sz w:val="24"/>
          <w:szCs w:val="24"/>
          <w:lang w:eastAsia="ru-RU"/>
        </w:rPr>
        <w:t xml:space="preserve"> в 2019г. обновило современные рекомендации по показаниям к ауто-ТГСК</w:t>
      </w:r>
      <w:r w:rsidR="009C1B46">
        <w:rPr>
          <w:rFonts w:ascii="Times New Roman" w:eastAsiaTheme="minorEastAsia" w:hAnsi="Times New Roman" w:cs="Times New Roman"/>
          <w:sz w:val="24"/>
          <w:szCs w:val="24"/>
          <w:lang w:eastAsia="ru-RU"/>
        </w:rPr>
        <w:t xml:space="preserve"> </w:t>
      </w:r>
      <w:r w:rsidR="009C1B46">
        <w:rPr>
          <w:rFonts w:ascii="Times New Roman" w:eastAsiaTheme="minorEastAsia" w:hAnsi="Times New Roman" w:cs="Times New Roman"/>
          <w:sz w:val="24"/>
          <w:szCs w:val="24"/>
          <w:lang w:eastAsia="ru-RU"/>
        </w:rPr>
        <w:fldChar w:fldCharType="begin" w:fldLock="1"/>
      </w:r>
      <w:r w:rsidR="009C1B46">
        <w:rPr>
          <w:rFonts w:ascii="Times New Roman" w:eastAsiaTheme="minorEastAsia" w:hAnsi="Times New Roman" w:cs="Times New Roman"/>
          <w:sz w:val="24"/>
          <w:szCs w:val="24"/>
          <w:lang w:eastAsia="ru-RU"/>
        </w:rPr>
        <w:instrText>ADDIN CSL_CITATION {"citationItems":[{"id":"ITEM-1","itemData":{"DOI":"10.1038/s41409-019-0516-2","ISSN":"0268-3369","abstract":"This is the seventh special EBMT report on the indications for haematopoietic stem cell transplantation for haematological diseases, solid tumours and immune disorders. Our aim is to provide general guidance on transplant indications according to prevailing clinical practice in EBMT countries and centres. In order to inform patient decisions, these recommendations must be considered together with the risk of the disease, the risk of the transplant procedure and the results of non-transplant strategies. In over two decades since the first report, the EBMT indications manuscripts have incorporated changes in transplant practice coming from scientific and technical developments in the field. In this same period, the establishment of JACIE accreditation has promoted high quality and led to improved outcomes of patient and donor care and laboratory performance in transplantation and cellular therapy. An updated report with operating definitions, revised indications and an additional set of data with overall survival at 1 year and non-relapse mortality at day 100 after transplant in the commonest standard-of-care indications is presented. Additional efforts are currently underway to enable EBMT member centres to benchmark their risk-adapted outcomes as part of the Registry upgrade Project 2020 against national and/or international outcome data.","author":[{"dropping-particle":"","family":"Duarte","given":"Rafael F.","non-dropping-particle":"","parse-names":false,"suffix":""},{"dropping-particle":"","family":"Labopin","given":"Myriam","non-dropping-particle":"","parse-names":false,"suffix":""},{"dropping-particle":"","family":"Bader","given":"Peter","non-dropping-particle":"","parse-names":false,"suffix":""},{"dropping-particle":"","family":"Basak","given":"Grzegorz W.","non-dropping-particle":"","parse-names":false,"suffix":""},{"dropping-particle":"","family":"Bonini","given":"Chiara","non-dropping-particle":"","parse-names":false,"suffix":""},{"dropping-particle":"","family":"Chabannon","given":"Christian","non-dropping-particle":"","parse-names":false,"suffix":""},{"dropping-particle":"","family":"Corbacioglu","given":"Selim","non-dropping-particle":"","parse-names":false,"suffix":""},{"dropping-particle":"","family":"Dreger","given":"Peter","non-dropping-particle":"","parse-names":false,"suffix":""},{"dropping-particle":"","family":"Dufour","given":"Carlo","non-dropping-particle":"","parse-names":false,"suffix":""},{"dropping-particle":"","family":"Gennery","given":"Andrew R.","non-dropping-particle":"","parse-names":false,"suffix":""},{"dropping-particle":"","family":"Kuball","given":"Jürgen","non-dropping-particle":"","parse-names":false,"suffix":""},{"dropping-particle":"","family":"Lankester","given":"Arjan C.","non-dropping-particle":"","parse-names":false,"suffix":""},{"dropping-particle":"","family":"Lanza","given":"Francesco","non-dropping-particle":"","parse-names":false,"suffix":""},{"dropping-particle":"","family":"Montoto","given":"Silvia","non-dropping-particle":"","parse-names":false,"suffix":""},{"dropping-particle":"","family":"Nagler","given":"Arnon","non-dropping-particle":"","parse-names":false,"suffix":""},{"dropping-particle":"","family":"Peffault de Latour","given":"Régis","non-dropping-particle":"","parse-names":false,"suffix":""},{"dropping-particle":"","family":"Snowden","given":"John A.","non-dropping-particle":"","parse-names":false,"suffix":""},{"dropping-particle":"","family":"Styczynski","given":"Jan","non-dropping-particle":"","parse-names":false,"suffix":""},{"dropping-particle":"","family":"Yakoub-Agha","given":"Ibrahim","non-dropping-particle":"","parse-names":false,"suffix":""},{"dropping-particle":"","family":"Kröger","given":"Nicolaus","non-dropping-particle":"","parse-names":false,"suffix":""},{"dropping-particle":"","family":"Mohty","given":"Mohamad","non-dropping-particle":"","parse-names":false,"suffix":""}],"container-title":"Bone Marrow Transplantation","id":"ITEM-1","issue":"10","issued":{"date-parts":[["2019","10","5"]]},"page":"1525-1552","publisher":"Nature Publishing Group","title":"Indications for haematopoietic stem cell transplantation for haematological diseases, solid tumours and immune disorders: current practice in Europe, 2019","type":"article-journal","volume":"54"},"uris":["http://www.mendeley.com/documents/?uuid=d579f98a-cf9f-3ae6-9756-e2800bdc68bf"]}],"mendeley":{"formattedCitation":"[35]","plainTextFormattedCitation":"[35]"},"properties":{"noteIndex":0},"schema":"https://github.com/citation-style-language/schema/raw/master/csl-citation.json"}</w:instrText>
      </w:r>
      <w:r w:rsidR="009C1B46">
        <w:rPr>
          <w:rFonts w:ascii="Times New Roman" w:eastAsiaTheme="minorEastAsia" w:hAnsi="Times New Roman" w:cs="Times New Roman"/>
          <w:sz w:val="24"/>
          <w:szCs w:val="24"/>
          <w:lang w:eastAsia="ru-RU"/>
        </w:rPr>
        <w:fldChar w:fldCharType="separate"/>
      </w:r>
      <w:r w:rsidR="009C1B46" w:rsidRPr="009C1B46">
        <w:rPr>
          <w:rFonts w:ascii="Times New Roman" w:eastAsiaTheme="minorEastAsia" w:hAnsi="Times New Roman" w:cs="Times New Roman"/>
          <w:noProof/>
          <w:sz w:val="24"/>
          <w:szCs w:val="24"/>
          <w:lang w:eastAsia="ru-RU"/>
        </w:rPr>
        <w:t>[35]</w:t>
      </w:r>
      <w:r w:rsidR="009C1B46">
        <w:rPr>
          <w:rFonts w:ascii="Times New Roman" w:eastAsiaTheme="minorEastAsia" w:hAnsi="Times New Roman" w:cs="Times New Roman"/>
          <w:sz w:val="24"/>
          <w:szCs w:val="24"/>
          <w:lang w:eastAsia="ru-RU"/>
        </w:rPr>
        <w:fldChar w:fldCharType="end"/>
      </w:r>
      <w:r w:rsidR="000C0C91">
        <w:rPr>
          <w:rFonts w:ascii="Times New Roman" w:eastAsiaTheme="minorEastAsia" w:hAnsi="Times New Roman" w:cs="Times New Roman"/>
          <w:sz w:val="24"/>
          <w:szCs w:val="24"/>
          <w:lang w:eastAsia="ru-RU"/>
        </w:rPr>
        <w:t xml:space="preserve">, перечень заболеваний и градации </w:t>
      </w:r>
      <w:r w:rsidR="009C1B46">
        <w:rPr>
          <w:rFonts w:ascii="Times New Roman" w:eastAsiaTheme="minorEastAsia" w:hAnsi="Times New Roman" w:cs="Times New Roman"/>
          <w:sz w:val="24"/>
          <w:szCs w:val="24"/>
          <w:lang w:eastAsia="ru-RU"/>
        </w:rPr>
        <w:t>представлены ниже.</w:t>
      </w:r>
    </w:p>
    <w:tbl>
      <w:tblPr>
        <w:tblStyle w:val="ac"/>
        <w:tblW w:w="0" w:type="auto"/>
        <w:tblLook w:val="04A0" w:firstRow="1" w:lastRow="0" w:firstColumn="1" w:lastColumn="0" w:noHBand="0" w:noVBand="1"/>
      </w:tblPr>
      <w:tblGrid>
        <w:gridCol w:w="5211"/>
        <w:gridCol w:w="4360"/>
      </w:tblGrid>
      <w:tr w:rsidR="000C0C91" w:rsidTr="000C0C91">
        <w:tc>
          <w:tcPr>
            <w:tcW w:w="5211" w:type="dxa"/>
          </w:tcPr>
          <w:p w:rsidR="000C0C91" w:rsidRDefault="000C0C91" w:rsidP="009E4FFF">
            <w:pPr>
              <w:tabs>
                <w:tab w:val="left" w:pos="2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Заболевание </w:t>
            </w:r>
          </w:p>
        </w:tc>
        <w:tc>
          <w:tcPr>
            <w:tcW w:w="4360" w:type="dxa"/>
          </w:tcPr>
          <w:p w:rsidR="000C0C91" w:rsidRDefault="000C0C91" w:rsidP="009E4FFF">
            <w:pPr>
              <w:tabs>
                <w:tab w:val="left" w:pos="2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Показания к ауто-ТГСК</w:t>
            </w:r>
          </w:p>
        </w:tc>
      </w:tr>
      <w:tr w:rsidR="000C0C91" w:rsidTr="000C0C91">
        <w:tc>
          <w:tcPr>
            <w:tcW w:w="5211"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Множественная миелома</w:t>
            </w:r>
            <w:r>
              <w:rPr>
                <w:rFonts w:ascii="Times New Roman" w:hAnsi="Times New Roman" w:cs="Times New Roman"/>
                <w:sz w:val="24"/>
                <w:szCs w:val="24"/>
                <w:lang w:val="en-US"/>
              </w:rPr>
              <w:t xml:space="preserve"> </w:t>
            </w:r>
            <w:r>
              <w:rPr>
                <w:rFonts w:ascii="Times New Roman" w:hAnsi="Times New Roman" w:cs="Times New Roman"/>
                <w:sz w:val="24"/>
                <w:szCs w:val="24"/>
              </w:rPr>
              <w:t>- первая линия</w:t>
            </w:r>
          </w:p>
        </w:tc>
        <w:tc>
          <w:tcPr>
            <w:tcW w:w="4360" w:type="dxa"/>
          </w:tcPr>
          <w:p w:rsidR="000C0C91" w:rsidRPr="000C0C91" w:rsidRDefault="000C0C91" w:rsidP="009E4FFF">
            <w:pPr>
              <w:tabs>
                <w:tab w:val="left" w:pos="28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Стандарт (</w:t>
            </w:r>
            <w:r>
              <w:rPr>
                <w:rFonts w:ascii="Times New Roman" w:hAnsi="Times New Roman" w:cs="Times New Roman"/>
                <w:sz w:val="24"/>
                <w:szCs w:val="24"/>
                <w:lang w:val="en-US"/>
              </w:rPr>
              <w:t>I)</w:t>
            </w:r>
          </w:p>
        </w:tc>
      </w:tr>
      <w:tr w:rsidR="000C0C91" w:rsidTr="000C0C91">
        <w:tc>
          <w:tcPr>
            <w:tcW w:w="5211" w:type="dxa"/>
          </w:tcPr>
          <w:p w:rsidR="000C0C91" w:rsidRPr="000C0C91" w:rsidRDefault="000C0C91" w:rsidP="000C0C91">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Множественная миелома -вторая линия</w:t>
            </w:r>
          </w:p>
        </w:tc>
        <w:tc>
          <w:tcPr>
            <w:tcW w:w="4360"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0C0C91" w:rsidTr="000C0C91">
        <w:tc>
          <w:tcPr>
            <w:tcW w:w="5211"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Множественная миелома</w:t>
            </w:r>
            <w:r w:rsidRPr="000C0C91">
              <w:rPr>
                <w:rFonts w:ascii="Times New Roman" w:hAnsi="Times New Roman" w:cs="Times New Roman"/>
                <w:sz w:val="24"/>
                <w:szCs w:val="24"/>
              </w:rPr>
              <w:t xml:space="preserve"> </w:t>
            </w:r>
            <w:r>
              <w:rPr>
                <w:rFonts w:ascii="Times New Roman" w:hAnsi="Times New Roman" w:cs="Times New Roman"/>
                <w:sz w:val="24"/>
                <w:szCs w:val="24"/>
              </w:rPr>
              <w:t>- рецидив прогрессия после ауто-ТГСК</w:t>
            </w:r>
          </w:p>
        </w:tc>
        <w:tc>
          <w:tcPr>
            <w:tcW w:w="4360"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w:t>
            </w:r>
            <w:r>
              <w:rPr>
                <w:rFonts w:ascii="Times New Roman" w:hAnsi="Times New Roman" w:cs="Times New Roman"/>
                <w:sz w:val="24"/>
                <w:szCs w:val="24"/>
              </w:rPr>
              <w:t>)</w:t>
            </w:r>
          </w:p>
        </w:tc>
      </w:tr>
      <w:tr w:rsidR="000C0C91" w:rsidTr="000C0C91">
        <w:tc>
          <w:tcPr>
            <w:tcW w:w="5211"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Системный </w:t>
            </w:r>
            <w:r>
              <w:rPr>
                <w:rFonts w:ascii="Times New Roman" w:hAnsi="Times New Roman" w:cs="Times New Roman"/>
                <w:sz w:val="24"/>
                <w:szCs w:val="24"/>
                <w:lang w:val="en-US"/>
              </w:rPr>
              <w:t>AL-</w:t>
            </w:r>
            <w:r>
              <w:rPr>
                <w:rFonts w:ascii="Times New Roman" w:hAnsi="Times New Roman" w:cs="Times New Roman"/>
                <w:sz w:val="24"/>
                <w:szCs w:val="24"/>
              </w:rPr>
              <w:t>амилоидоз</w:t>
            </w:r>
          </w:p>
        </w:tc>
        <w:tc>
          <w:tcPr>
            <w:tcW w:w="4360"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0C0C91" w:rsidTr="000C0C91">
        <w:tc>
          <w:tcPr>
            <w:tcW w:w="5211" w:type="dxa"/>
          </w:tcPr>
          <w:p w:rsidR="000C0C91" w:rsidRPr="000C0C91" w:rsidRDefault="000C0C91"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Макроглобулинемия Вальденстрема</w:t>
            </w:r>
          </w:p>
        </w:tc>
        <w:tc>
          <w:tcPr>
            <w:tcW w:w="4360" w:type="dxa"/>
          </w:tcPr>
          <w:p w:rsidR="000C0C91" w:rsidRPr="000C0C91" w:rsidRDefault="00DC63FA"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w:t>
            </w:r>
            <w:r>
              <w:rPr>
                <w:rFonts w:ascii="Times New Roman" w:hAnsi="Times New Roman" w:cs="Times New Roman"/>
                <w:sz w:val="24"/>
                <w:szCs w:val="24"/>
              </w:rPr>
              <w:t>)</w:t>
            </w:r>
          </w:p>
        </w:tc>
      </w:tr>
      <w:tr w:rsidR="000C0C91" w:rsidTr="000C0C91">
        <w:tc>
          <w:tcPr>
            <w:tcW w:w="5211" w:type="dxa"/>
          </w:tcPr>
          <w:p w:rsidR="000C0C91" w:rsidRPr="000C0C91" w:rsidRDefault="00DC63FA"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Лимфома Ходжкина - 1 ремиссия </w:t>
            </w:r>
          </w:p>
        </w:tc>
        <w:tc>
          <w:tcPr>
            <w:tcW w:w="4360" w:type="dxa"/>
          </w:tcPr>
          <w:p w:rsidR="000C0C91" w:rsidRPr="000C0C91" w:rsidRDefault="00DC63FA"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w:t>
            </w:r>
            <w:r w:rsidR="00CC6386">
              <w:rPr>
                <w:rFonts w:ascii="Times New Roman" w:hAnsi="Times New Roman" w:cs="Times New Roman"/>
                <w:sz w:val="24"/>
                <w:szCs w:val="24"/>
              </w:rPr>
              <w:t>о (</w:t>
            </w:r>
            <w:r w:rsidR="00CC6386">
              <w:rPr>
                <w:rFonts w:ascii="Times New Roman" w:hAnsi="Times New Roman" w:cs="Times New Roman"/>
                <w:sz w:val="24"/>
                <w:szCs w:val="24"/>
                <w:lang w:val="en-US"/>
              </w:rPr>
              <w:t>I</w:t>
            </w:r>
            <w:r w:rsidR="00CC6386">
              <w:rPr>
                <w:rFonts w:ascii="Times New Roman" w:hAnsi="Times New Roman" w:cs="Times New Roman"/>
                <w:sz w:val="24"/>
                <w:szCs w:val="24"/>
              </w:rPr>
              <w:t>)</w:t>
            </w:r>
          </w:p>
        </w:tc>
      </w:tr>
      <w:tr w:rsidR="000C0C91" w:rsidTr="000C0C91">
        <w:tc>
          <w:tcPr>
            <w:tcW w:w="5211" w:type="dxa"/>
          </w:tcPr>
          <w:p w:rsidR="000C0C91" w:rsidRPr="000C0C91" w:rsidRDefault="00DC63FA"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Лимфома Ходжкина - химиочувствительный рецидив без ауто-ТГСК в анамнезе</w:t>
            </w:r>
          </w:p>
        </w:tc>
        <w:tc>
          <w:tcPr>
            <w:tcW w:w="4360" w:type="dxa"/>
          </w:tcPr>
          <w:p w:rsidR="000C0C91" w:rsidRPr="00DC63FA"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w:t>
            </w:r>
            <w:r w:rsidR="00DC63FA">
              <w:rPr>
                <w:rFonts w:ascii="Times New Roman" w:hAnsi="Times New Roman" w:cs="Times New Roman"/>
                <w:sz w:val="24"/>
                <w:szCs w:val="24"/>
              </w:rPr>
              <w:t xml:space="preserve"> (</w:t>
            </w:r>
            <w:r w:rsidR="00DC63FA">
              <w:rPr>
                <w:rFonts w:ascii="Times New Roman" w:hAnsi="Times New Roman" w:cs="Times New Roman"/>
                <w:sz w:val="24"/>
                <w:szCs w:val="24"/>
                <w:lang w:val="en-US"/>
              </w:rPr>
              <w:t>I)</w:t>
            </w:r>
          </w:p>
        </w:tc>
      </w:tr>
      <w:tr w:rsidR="00DC63FA" w:rsidTr="000C0C91">
        <w:tc>
          <w:tcPr>
            <w:tcW w:w="5211" w:type="dxa"/>
          </w:tcPr>
          <w:p w:rsidR="00DC63FA" w:rsidRDefault="00DC63FA"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Лимфома Ходжкина - химиочувствительный рецидив после ауто-ТГСК</w:t>
            </w:r>
          </w:p>
        </w:tc>
        <w:tc>
          <w:tcPr>
            <w:tcW w:w="4360" w:type="dxa"/>
          </w:tcPr>
          <w:p w:rsidR="00DC63FA" w:rsidRDefault="00DC63FA"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DC63FA" w:rsidTr="000C0C91">
        <w:tc>
          <w:tcPr>
            <w:tcW w:w="5211" w:type="dxa"/>
          </w:tcPr>
          <w:p w:rsidR="00DC63FA" w:rsidRDefault="00DC63FA"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Лимфома Ходжкина - рефрактерность</w:t>
            </w:r>
          </w:p>
        </w:tc>
        <w:tc>
          <w:tcPr>
            <w:tcW w:w="4360" w:type="dxa"/>
          </w:tcPr>
          <w:p w:rsidR="00DC63FA" w:rsidRDefault="00DC63FA"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DC63FA" w:rsidTr="000C0C91">
        <w:tc>
          <w:tcPr>
            <w:tcW w:w="5211" w:type="dxa"/>
          </w:tcPr>
          <w:p w:rsidR="00DC63FA" w:rsidRDefault="00DC63FA"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Мантийноклеточная лимфома - 1 ремиссия (низкий риск)</w:t>
            </w:r>
          </w:p>
        </w:tc>
        <w:tc>
          <w:tcPr>
            <w:tcW w:w="4360" w:type="dxa"/>
          </w:tcPr>
          <w:p w:rsidR="00DC63FA" w:rsidRDefault="00DC63FA"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w:t>
            </w:r>
          </w:p>
        </w:tc>
      </w:tr>
      <w:tr w:rsidR="00DC63FA" w:rsidTr="000C0C91">
        <w:tc>
          <w:tcPr>
            <w:tcW w:w="5211" w:type="dxa"/>
          </w:tcPr>
          <w:p w:rsidR="00DC63FA" w:rsidRDefault="00DC63FA"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Мантийноклеточная лимфома - 2 и более полная или частичная ремиссия без ауто-ТГСК в анамнезе</w:t>
            </w:r>
          </w:p>
        </w:tc>
        <w:tc>
          <w:tcPr>
            <w:tcW w:w="4360" w:type="dxa"/>
          </w:tcPr>
          <w:p w:rsidR="00DC63FA" w:rsidRDefault="00DC63FA"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II)</w:t>
            </w:r>
          </w:p>
        </w:tc>
      </w:tr>
      <w:tr w:rsidR="00DC63FA" w:rsidTr="000C0C91">
        <w:tc>
          <w:tcPr>
            <w:tcW w:w="5211" w:type="dxa"/>
          </w:tcPr>
          <w:p w:rsidR="00DC63FA" w:rsidRDefault="00DC63FA"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Мантийноклеточная лимфома - 2 и более полная или частичная ремиссия после ауто-ТГСК</w:t>
            </w:r>
          </w:p>
        </w:tc>
        <w:tc>
          <w:tcPr>
            <w:tcW w:w="4360" w:type="dxa"/>
          </w:tcPr>
          <w:p w:rsidR="00DC63FA"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w:t>
            </w:r>
          </w:p>
        </w:tc>
      </w:tr>
      <w:tr w:rsidR="00DC63FA" w:rsidTr="000C0C91">
        <w:tc>
          <w:tcPr>
            <w:tcW w:w="5211" w:type="dxa"/>
          </w:tcPr>
          <w:p w:rsidR="00DC63FA" w:rsidRDefault="00CC6386"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Мантийноклеточная лимфома - рецидив</w:t>
            </w:r>
          </w:p>
        </w:tc>
        <w:tc>
          <w:tcPr>
            <w:tcW w:w="4360" w:type="dxa"/>
          </w:tcPr>
          <w:p w:rsidR="00DC63FA"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w:t>
            </w:r>
          </w:p>
        </w:tc>
      </w:tr>
      <w:tr w:rsidR="00CC6386" w:rsidTr="000C0C91">
        <w:tc>
          <w:tcPr>
            <w:tcW w:w="5211" w:type="dxa"/>
          </w:tcPr>
          <w:p w:rsidR="00CC6386" w:rsidRDefault="00CC6386"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Первичная Т-клеточная лимфома - 1 ремиссия</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Первичная Т-клеточная лимфома - 2 и более полная ремиссия, химиочувствительный рецидив</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w:t>
            </w:r>
          </w:p>
        </w:tc>
      </w:tr>
      <w:tr w:rsidR="00CC6386" w:rsidTr="000C0C91">
        <w:tc>
          <w:tcPr>
            <w:tcW w:w="5211" w:type="dxa"/>
          </w:tcPr>
          <w:p w:rsidR="00CC6386" w:rsidRDefault="00CC6386"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Первичная Т-клеточная лимфома - резистентность</w:t>
            </w:r>
          </w:p>
        </w:tc>
        <w:tc>
          <w:tcPr>
            <w:tcW w:w="4360"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Pr="00CC6386" w:rsidRDefault="00CC6386" w:rsidP="00DC63F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Первичная кожная Т-клеточная лимфома </w:t>
            </w:r>
            <w:r>
              <w:rPr>
                <w:rFonts w:ascii="Times New Roman" w:hAnsi="Times New Roman" w:cs="Times New Roman"/>
                <w:sz w:val="24"/>
                <w:szCs w:val="24"/>
                <w:lang w:val="en-US"/>
              </w:rPr>
              <w:t>EORTC</w:t>
            </w:r>
            <w:r w:rsidRPr="00CC6386">
              <w:rPr>
                <w:rFonts w:ascii="Times New Roman" w:hAnsi="Times New Roman" w:cs="Times New Roman"/>
                <w:sz w:val="24"/>
                <w:szCs w:val="24"/>
              </w:rPr>
              <w:t>/</w:t>
            </w:r>
            <w:r>
              <w:rPr>
                <w:rFonts w:ascii="Times New Roman" w:hAnsi="Times New Roman" w:cs="Times New Roman"/>
                <w:sz w:val="24"/>
                <w:szCs w:val="24"/>
                <w:lang w:val="en-US"/>
              </w:rPr>
              <w:t>ISCL</w:t>
            </w:r>
            <w:r w:rsidRPr="00CC6386">
              <w:rPr>
                <w:rFonts w:ascii="Times New Roman" w:hAnsi="Times New Roman" w:cs="Times New Roman"/>
                <w:sz w:val="24"/>
                <w:szCs w:val="24"/>
              </w:rPr>
              <w:t xml:space="preserve"> </w:t>
            </w:r>
            <w:r>
              <w:rPr>
                <w:rFonts w:ascii="Times New Roman" w:hAnsi="Times New Roman" w:cs="Times New Roman"/>
                <w:sz w:val="24"/>
                <w:szCs w:val="24"/>
              </w:rPr>
              <w:t xml:space="preserve">стадии </w:t>
            </w:r>
            <w:r>
              <w:rPr>
                <w:rFonts w:ascii="Times New Roman" w:hAnsi="Times New Roman" w:cs="Times New Roman"/>
                <w:sz w:val="24"/>
                <w:szCs w:val="24"/>
                <w:lang w:val="en-US"/>
              </w:rPr>
              <w:t>I</w:t>
            </w:r>
            <w:r w:rsidRPr="00CC6386">
              <w:rPr>
                <w:rFonts w:ascii="Times New Roman" w:hAnsi="Times New Roman" w:cs="Times New Roman"/>
                <w:sz w:val="24"/>
                <w:szCs w:val="24"/>
              </w:rPr>
              <w:t>-</w:t>
            </w:r>
            <w:r>
              <w:rPr>
                <w:rFonts w:ascii="Times New Roman" w:hAnsi="Times New Roman" w:cs="Times New Roman"/>
                <w:sz w:val="24"/>
                <w:szCs w:val="24"/>
                <w:lang w:val="en-US"/>
              </w:rPr>
              <w:t>IIA</w:t>
            </w:r>
          </w:p>
        </w:tc>
        <w:tc>
          <w:tcPr>
            <w:tcW w:w="4360"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P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Первичная кожная Т-клеточная лимфома </w:t>
            </w:r>
            <w:r>
              <w:rPr>
                <w:rFonts w:ascii="Times New Roman" w:hAnsi="Times New Roman" w:cs="Times New Roman"/>
                <w:sz w:val="24"/>
                <w:szCs w:val="24"/>
                <w:lang w:val="en-US"/>
              </w:rPr>
              <w:t>EORTC</w:t>
            </w:r>
            <w:r w:rsidRPr="00CC6386">
              <w:rPr>
                <w:rFonts w:ascii="Times New Roman" w:hAnsi="Times New Roman" w:cs="Times New Roman"/>
                <w:sz w:val="24"/>
                <w:szCs w:val="24"/>
              </w:rPr>
              <w:t>/</w:t>
            </w:r>
            <w:r>
              <w:rPr>
                <w:rFonts w:ascii="Times New Roman" w:hAnsi="Times New Roman" w:cs="Times New Roman"/>
                <w:sz w:val="24"/>
                <w:szCs w:val="24"/>
                <w:lang w:val="en-US"/>
              </w:rPr>
              <w:t>ISCL</w:t>
            </w:r>
            <w:r w:rsidRPr="00CC6386">
              <w:rPr>
                <w:rFonts w:ascii="Times New Roman" w:hAnsi="Times New Roman" w:cs="Times New Roman"/>
                <w:sz w:val="24"/>
                <w:szCs w:val="24"/>
              </w:rPr>
              <w:t xml:space="preserve"> </w:t>
            </w:r>
            <w:r>
              <w:rPr>
                <w:rFonts w:ascii="Times New Roman" w:hAnsi="Times New Roman" w:cs="Times New Roman"/>
                <w:sz w:val="24"/>
                <w:szCs w:val="24"/>
              </w:rPr>
              <w:t xml:space="preserve">стадии </w:t>
            </w:r>
            <w:r>
              <w:rPr>
                <w:rFonts w:ascii="Times New Roman" w:hAnsi="Times New Roman" w:cs="Times New Roman"/>
                <w:sz w:val="24"/>
                <w:szCs w:val="24"/>
                <w:lang w:val="en-US"/>
              </w:rPr>
              <w:t>II</w:t>
            </w:r>
            <w:r>
              <w:rPr>
                <w:rFonts w:ascii="Times New Roman" w:hAnsi="Times New Roman" w:cs="Times New Roman"/>
                <w:sz w:val="24"/>
                <w:szCs w:val="24"/>
              </w:rPr>
              <w:t>В-</w:t>
            </w:r>
            <w:r>
              <w:rPr>
                <w:rFonts w:ascii="Times New Roman" w:hAnsi="Times New Roman" w:cs="Times New Roman"/>
                <w:sz w:val="24"/>
                <w:szCs w:val="24"/>
                <w:lang w:val="en-US"/>
              </w:rPr>
              <w:t>IV</w:t>
            </w:r>
          </w:p>
        </w:tc>
        <w:tc>
          <w:tcPr>
            <w:tcW w:w="4360"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Фолликулярная лимфома - 1 ремиссия без трансформации</w:t>
            </w:r>
          </w:p>
        </w:tc>
        <w:tc>
          <w:tcPr>
            <w:tcW w:w="4360"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Фолликулярная лимфома - 1 ремиссия с трансформацией</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Фолликулярная лимфома - химиочувствительный рецидив, 2-я и более полная ремиссия</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II)</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Фолликулярная лимфома - 2-я и более полная ремиссия после ауто-ТГСК в анамнезе</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Фолликулярная лимфома - резистентность</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P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Диффузная В-клеточная крупноклеточная лимфома - полный ответ 1 промежуточный и высокий риск </w:t>
            </w:r>
            <w:r>
              <w:rPr>
                <w:rFonts w:ascii="Times New Roman" w:hAnsi="Times New Roman" w:cs="Times New Roman"/>
                <w:sz w:val="24"/>
                <w:szCs w:val="24"/>
                <w:lang w:val="en-US"/>
              </w:rPr>
              <w:t>IPI</w:t>
            </w:r>
            <w:r w:rsidRPr="00CC6386">
              <w:rPr>
                <w:rFonts w:ascii="Times New Roman" w:hAnsi="Times New Roman" w:cs="Times New Roman"/>
                <w:sz w:val="24"/>
                <w:szCs w:val="24"/>
              </w:rPr>
              <w:t xml:space="preserve"> </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Диффузная В-клеточная крупноклеточная лимфома - химиочувствительный рецидив, 2 и более полный ответ </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w:t>
            </w:r>
          </w:p>
        </w:tc>
      </w:tr>
      <w:tr w:rsidR="00CC6386" w:rsidTr="000C0C91">
        <w:tc>
          <w:tcPr>
            <w:tcW w:w="5211" w:type="dxa"/>
          </w:tcPr>
          <w:p w:rsidR="00CC6386" w:rsidRDefault="00CC6386"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Диффузная В-клеточная крупноклеточная лимфома - химиочувствительный рецидив после ауто-ТГСК</w:t>
            </w:r>
          </w:p>
        </w:tc>
        <w:tc>
          <w:tcPr>
            <w:tcW w:w="4360" w:type="dxa"/>
          </w:tcPr>
          <w:p w:rsidR="00CC6386" w:rsidRDefault="00CC6386"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CC6386" w:rsidTr="000C0C91">
        <w:tc>
          <w:tcPr>
            <w:tcW w:w="5211" w:type="dxa"/>
          </w:tcPr>
          <w:p w:rsidR="00CC6386" w:rsidRDefault="00940FB8"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Диффузная В-клеточная крупноклеточная лимфома - рефрактерность</w:t>
            </w:r>
          </w:p>
        </w:tc>
        <w:tc>
          <w:tcPr>
            <w:tcW w:w="4360" w:type="dxa"/>
          </w:tcPr>
          <w:p w:rsidR="00CC6386"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II)</w:t>
            </w:r>
          </w:p>
        </w:tc>
      </w:tr>
      <w:tr w:rsidR="00CC6386" w:rsidTr="000C0C91">
        <w:tc>
          <w:tcPr>
            <w:tcW w:w="5211" w:type="dxa"/>
          </w:tcPr>
          <w:p w:rsidR="00CC6386" w:rsidRDefault="00940FB8"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Первичная лимфома ЦНС</w:t>
            </w:r>
          </w:p>
        </w:tc>
        <w:tc>
          <w:tcPr>
            <w:tcW w:w="4360" w:type="dxa"/>
          </w:tcPr>
          <w:p w:rsidR="00CC6386"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w:t>
            </w:r>
          </w:p>
        </w:tc>
      </w:tr>
      <w:tr w:rsidR="00CC6386" w:rsidTr="000C0C91">
        <w:tc>
          <w:tcPr>
            <w:tcW w:w="5211" w:type="dxa"/>
          </w:tcPr>
          <w:p w:rsidR="00CC6386" w:rsidRPr="00940FB8" w:rsidRDefault="00940FB8"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лимфобластный лейкоз - </w:t>
            </w:r>
            <w:r>
              <w:rPr>
                <w:rFonts w:ascii="Times New Roman" w:hAnsi="Times New Roman" w:cs="Times New Roman"/>
                <w:sz w:val="24"/>
                <w:szCs w:val="24"/>
                <w:lang w:val="en-US"/>
              </w:rPr>
              <w:t>Ph</w:t>
            </w:r>
            <w:r w:rsidRPr="00940FB8">
              <w:rPr>
                <w:rFonts w:ascii="Times New Roman" w:hAnsi="Times New Roman" w:cs="Times New Roman"/>
                <w:sz w:val="24"/>
                <w:szCs w:val="24"/>
              </w:rPr>
              <w:t xml:space="preserve">(-) </w:t>
            </w:r>
            <w:r>
              <w:rPr>
                <w:rFonts w:ascii="Times New Roman" w:hAnsi="Times New Roman" w:cs="Times New Roman"/>
                <w:sz w:val="24"/>
                <w:szCs w:val="24"/>
              </w:rPr>
              <w:t>1 ремиссия стандартный риск и МОБ (-)</w:t>
            </w:r>
          </w:p>
        </w:tc>
        <w:tc>
          <w:tcPr>
            <w:tcW w:w="4360" w:type="dxa"/>
          </w:tcPr>
          <w:p w:rsidR="00CC6386"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лимфобластный лейкоз - </w:t>
            </w:r>
            <w:r>
              <w:rPr>
                <w:rFonts w:ascii="Times New Roman" w:hAnsi="Times New Roman" w:cs="Times New Roman"/>
                <w:sz w:val="24"/>
                <w:szCs w:val="24"/>
                <w:lang w:val="en-US"/>
              </w:rPr>
              <w:t>Ph</w:t>
            </w:r>
            <w:r w:rsidRPr="00940FB8">
              <w:rPr>
                <w:rFonts w:ascii="Times New Roman" w:hAnsi="Times New Roman" w:cs="Times New Roman"/>
                <w:sz w:val="24"/>
                <w:szCs w:val="24"/>
              </w:rPr>
              <w:t xml:space="preserve">(-) </w:t>
            </w:r>
            <w:r>
              <w:rPr>
                <w:rFonts w:ascii="Times New Roman" w:hAnsi="Times New Roman" w:cs="Times New Roman"/>
                <w:sz w:val="24"/>
                <w:szCs w:val="24"/>
              </w:rPr>
              <w:t>1 ремиссия стандартный риск и МОБ (+)</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лимфобластный лейкоз - </w:t>
            </w:r>
            <w:r>
              <w:rPr>
                <w:rFonts w:ascii="Times New Roman" w:hAnsi="Times New Roman" w:cs="Times New Roman"/>
                <w:sz w:val="24"/>
                <w:szCs w:val="24"/>
                <w:lang w:val="en-US"/>
              </w:rPr>
              <w:t>Ph</w:t>
            </w:r>
            <w:r w:rsidRPr="00940FB8">
              <w:rPr>
                <w:rFonts w:ascii="Times New Roman" w:hAnsi="Times New Roman" w:cs="Times New Roman"/>
                <w:sz w:val="24"/>
                <w:szCs w:val="24"/>
              </w:rPr>
              <w:t xml:space="preserve">(-) </w:t>
            </w:r>
            <w:r>
              <w:rPr>
                <w:rFonts w:ascii="Times New Roman" w:hAnsi="Times New Roman" w:cs="Times New Roman"/>
                <w:sz w:val="24"/>
                <w:szCs w:val="24"/>
              </w:rPr>
              <w:t>1 ремиссия высокий риск</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лимфобластный лейкоз - </w:t>
            </w:r>
            <w:r>
              <w:rPr>
                <w:rFonts w:ascii="Times New Roman" w:hAnsi="Times New Roman" w:cs="Times New Roman"/>
                <w:sz w:val="24"/>
                <w:szCs w:val="24"/>
                <w:lang w:val="en-US"/>
              </w:rPr>
              <w:t>Ph</w:t>
            </w:r>
            <w:r w:rsidRPr="00940FB8">
              <w:rPr>
                <w:rFonts w:ascii="Times New Roman" w:hAnsi="Times New Roman" w:cs="Times New Roman"/>
                <w:sz w:val="24"/>
                <w:szCs w:val="24"/>
              </w:rPr>
              <w:t>(</w:t>
            </w:r>
            <w:r>
              <w:rPr>
                <w:rFonts w:ascii="Times New Roman" w:hAnsi="Times New Roman" w:cs="Times New Roman"/>
                <w:sz w:val="24"/>
                <w:szCs w:val="24"/>
              </w:rPr>
              <w:t>+</w:t>
            </w:r>
            <w:r w:rsidRPr="00940FB8">
              <w:rPr>
                <w:rFonts w:ascii="Times New Roman" w:hAnsi="Times New Roman" w:cs="Times New Roman"/>
                <w:sz w:val="24"/>
                <w:szCs w:val="24"/>
              </w:rPr>
              <w:t xml:space="preserve">) </w:t>
            </w:r>
            <w:r>
              <w:rPr>
                <w:rFonts w:ascii="Times New Roman" w:hAnsi="Times New Roman" w:cs="Times New Roman"/>
                <w:sz w:val="24"/>
                <w:szCs w:val="24"/>
              </w:rPr>
              <w:t>1 ремиссия и МОБ (-)</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лимфобластный лейкоз - </w:t>
            </w:r>
            <w:r>
              <w:rPr>
                <w:rFonts w:ascii="Times New Roman" w:hAnsi="Times New Roman" w:cs="Times New Roman"/>
                <w:sz w:val="24"/>
                <w:szCs w:val="24"/>
                <w:lang w:val="en-US"/>
              </w:rPr>
              <w:t>Ph</w:t>
            </w:r>
            <w:r w:rsidRPr="00940FB8">
              <w:rPr>
                <w:rFonts w:ascii="Times New Roman" w:hAnsi="Times New Roman" w:cs="Times New Roman"/>
                <w:sz w:val="24"/>
                <w:szCs w:val="24"/>
              </w:rPr>
              <w:t>(</w:t>
            </w:r>
            <w:r>
              <w:rPr>
                <w:rFonts w:ascii="Times New Roman" w:hAnsi="Times New Roman" w:cs="Times New Roman"/>
                <w:sz w:val="24"/>
                <w:szCs w:val="24"/>
              </w:rPr>
              <w:t>+</w:t>
            </w:r>
            <w:r w:rsidRPr="00940FB8">
              <w:rPr>
                <w:rFonts w:ascii="Times New Roman" w:hAnsi="Times New Roman" w:cs="Times New Roman"/>
                <w:sz w:val="24"/>
                <w:szCs w:val="24"/>
              </w:rPr>
              <w:t xml:space="preserve">) </w:t>
            </w:r>
            <w:r>
              <w:rPr>
                <w:rFonts w:ascii="Times New Roman" w:hAnsi="Times New Roman" w:cs="Times New Roman"/>
                <w:sz w:val="24"/>
                <w:szCs w:val="24"/>
              </w:rPr>
              <w:t>1 ремиссия и МОБ (+)</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w:t>
            </w:r>
            <w:r>
              <w:rPr>
                <w:rFonts w:ascii="Times New Roman" w:hAnsi="Times New Roman" w:cs="Times New Roman"/>
                <w:sz w:val="24"/>
                <w:szCs w:val="24"/>
              </w:rPr>
              <w:t>)</w:t>
            </w:r>
          </w:p>
        </w:tc>
      </w:tr>
      <w:tr w:rsidR="00940FB8" w:rsidTr="000C0C91">
        <w:tc>
          <w:tcPr>
            <w:tcW w:w="5211" w:type="dxa"/>
          </w:tcPr>
          <w:p w:rsidR="00940FB8" w:rsidRDefault="00940FB8" w:rsidP="00CC638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лимфобластный лейкоз - вторая ремиссия </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лимфобластный лейкоз - вне ремиссии</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миелоидный лейкоз - 1 ремиссия, МОБ(-) и благоприятный риск</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миелоидный лейкоз - 1 ремиссия, МОБ(+) и благоприятный риск</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миелоидный лейкоз - 1 ремиссия, промежуточный риск</w:t>
            </w:r>
          </w:p>
        </w:tc>
        <w:tc>
          <w:tcPr>
            <w:tcW w:w="4360" w:type="dxa"/>
          </w:tcPr>
          <w:p w:rsidR="00940FB8" w:rsidRDefault="00940FB8" w:rsidP="009E4FFF">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миелоидный лейкоз - 1 ремиссия, неблагоприятный риск</w:t>
            </w:r>
          </w:p>
        </w:tc>
        <w:tc>
          <w:tcPr>
            <w:tcW w:w="4360"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миелоидный лейкоз - 2 ремиссия</w:t>
            </w:r>
          </w:p>
        </w:tc>
        <w:tc>
          <w:tcPr>
            <w:tcW w:w="4360"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Клиническая опция (</w:t>
            </w:r>
            <w:r>
              <w:rPr>
                <w:rFonts w:ascii="Times New Roman" w:hAnsi="Times New Roman" w:cs="Times New Roman"/>
                <w:sz w:val="24"/>
                <w:szCs w:val="24"/>
                <w:lang w:val="en-US"/>
              </w:rPr>
              <w:t>II</w:t>
            </w:r>
            <w:r>
              <w:rPr>
                <w:rFonts w:ascii="Times New Roman" w:hAnsi="Times New Roman" w:cs="Times New Roman"/>
                <w:sz w:val="24"/>
                <w:szCs w:val="24"/>
              </w:rPr>
              <w:t>)</w:t>
            </w:r>
          </w:p>
        </w:tc>
      </w:tr>
      <w:tr w:rsidR="00940FB8" w:rsidTr="000C0C91">
        <w:tc>
          <w:tcPr>
            <w:tcW w:w="5211"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Острый миелоидный лейкоз -</w:t>
            </w:r>
          </w:p>
        </w:tc>
        <w:tc>
          <w:tcPr>
            <w:tcW w:w="4360" w:type="dxa"/>
          </w:tcPr>
          <w:p w:rsid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Обычно не рекомендовано (</w:t>
            </w:r>
            <w:r>
              <w:rPr>
                <w:rFonts w:ascii="Times New Roman" w:hAnsi="Times New Roman" w:cs="Times New Roman"/>
                <w:sz w:val="24"/>
                <w:szCs w:val="24"/>
                <w:lang w:val="en-US"/>
              </w:rPr>
              <w:t>III</w:t>
            </w:r>
            <w:r>
              <w:rPr>
                <w:rFonts w:ascii="Times New Roman" w:hAnsi="Times New Roman" w:cs="Times New Roman"/>
                <w:sz w:val="24"/>
                <w:szCs w:val="24"/>
              </w:rPr>
              <w:t>)</w:t>
            </w:r>
          </w:p>
        </w:tc>
      </w:tr>
      <w:tr w:rsidR="00940FB8" w:rsidTr="000C0C91">
        <w:tc>
          <w:tcPr>
            <w:tcW w:w="5211" w:type="dxa"/>
          </w:tcPr>
          <w:p w:rsidR="00940FB8" w:rsidRPr="00940FB8" w:rsidRDefault="00940FB8" w:rsidP="00940FB8">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Острый миелоидный лейкоз - М3 </w:t>
            </w:r>
            <w:r>
              <w:rPr>
                <w:rFonts w:ascii="Times New Roman" w:hAnsi="Times New Roman" w:cs="Times New Roman"/>
                <w:sz w:val="24"/>
                <w:szCs w:val="24"/>
                <w:lang w:val="en-US"/>
              </w:rPr>
              <w:t>FAB</w:t>
            </w:r>
            <w:r w:rsidRPr="00940FB8">
              <w:rPr>
                <w:rFonts w:ascii="Times New Roman" w:hAnsi="Times New Roman" w:cs="Times New Roman"/>
                <w:sz w:val="24"/>
                <w:szCs w:val="24"/>
              </w:rPr>
              <w:t xml:space="preserve">, 2 </w:t>
            </w:r>
            <w:r>
              <w:rPr>
                <w:rFonts w:ascii="Times New Roman" w:hAnsi="Times New Roman" w:cs="Times New Roman"/>
                <w:sz w:val="24"/>
                <w:szCs w:val="24"/>
              </w:rPr>
              <w:t>ремиссия и МОБ (-)</w:t>
            </w:r>
          </w:p>
        </w:tc>
        <w:tc>
          <w:tcPr>
            <w:tcW w:w="4360" w:type="dxa"/>
          </w:tcPr>
          <w:p w:rsidR="00940FB8" w:rsidRDefault="00940FB8" w:rsidP="009C1B4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Стандарт (</w:t>
            </w:r>
            <w:r>
              <w:rPr>
                <w:rFonts w:ascii="Times New Roman" w:hAnsi="Times New Roman" w:cs="Times New Roman"/>
                <w:sz w:val="24"/>
                <w:szCs w:val="24"/>
                <w:lang w:val="en-US"/>
              </w:rPr>
              <w:t>II)</w:t>
            </w:r>
          </w:p>
        </w:tc>
      </w:tr>
    </w:tbl>
    <w:p w:rsidR="000C0C91" w:rsidRDefault="000C0C91" w:rsidP="009E4FFF">
      <w:pPr>
        <w:tabs>
          <w:tab w:val="left" w:pos="284"/>
        </w:tabs>
        <w:spacing w:after="0" w:line="360" w:lineRule="auto"/>
        <w:jc w:val="both"/>
        <w:rPr>
          <w:rFonts w:ascii="Times New Roman" w:hAnsi="Times New Roman" w:cs="Times New Roman"/>
          <w:b/>
          <w:sz w:val="24"/>
          <w:szCs w:val="24"/>
        </w:rPr>
      </w:pPr>
    </w:p>
    <w:p w:rsidR="00940FB8" w:rsidRDefault="00940FB8" w:rsidP="00940FB8">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Градация показаний: </w:t>
      </w:r>
    </w:p>
    <w:p w:rsidR="00940FB8" w:rsidRPr="00940FB8" w:rsidRDefault="00940FB8" w:rsidP="00D32047">
      <w:pPr>
        <w:pStyle w:val="a3"/>
        <w:numPr>
          <w:ilvl w:val="0"/>
          <w:numId w:val="142"/>
        </w:num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Стандарт - хорошо обоснованное показание, результаты ауто-ТГСК превосходят нетрансплантационные методы лечения.</w:t>
      </w:r>
    </w:p>
    <w:p w:rsidR="00940FB8" w:rsidRPr="009C1B46" w:rsidRDefault="00940FB8" w:rsidP="00D32047">
      <w:pPr>
        <w:pStyle w:val="a3"/>
        <w:numPr>
          <w:ilvl w:val="0"/>
          <w:numId w:val="142"/>
        </w:num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Клиническая опция - </w:t>
      </w:r>
      <w:r w:rsidR="009C1B46">
        <w:rPr>
          <w:rFonts w:ascii="Times New Roman" w:hAnsi="Times New Roman" w:cs="Times New Roman"/>
          <w:sz w:val="24"/>
          <w:szCs w:val="24"/>
        </w:rPr>
        <w:t xml:space="preserve">показание, базирующееся на положительных результатах с приемлемой токсичностью в исследованиях с небольшими когортами пациентов, но подтверждающие рандомизированные клинические исследования отсутствуют, часто в результате низкого числа пациентов. Требуется тщательное сравнение польза/риск с учетом индивидуальных критериев. </w:t>
      </w:r>
    </w:p>
    <w:p w:rsidR="009C1B46" w:rsidRPr="009C1B46" w:rsidRDefault="009C1B46" w:rsidP="00D32047">
      <w:pPr>
        <w:pStyle w:val="a3"/>
        <w:numPr>
          <w:ilvl w:val="0"/>
          <w:numId w:val="142"/>
        </w:num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Обычно не рекомендовано - результаты обычного лечения удовлетворительные, риски ТГСК не оправданы или клинические ситуации крайне неблагоприятного прогноза, при которых шанс положительного исхода ТГСК слишком мал. </w:t>
      </w:r>
    </w:p>
    <w:p w:rsidR="009C1B46" w:rsidRDefault="009C1B46" w:rsidP="009C1B46">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Градация уровней доказательств: </w:t>
      </w:r>
    </w:p>
    <w:p w:rsidR="009C1B46" w:rsidRDefault="009C1B46" w:rsidP="00D32047">
      <w:pPr>
        <w:pStyle w:val="a3"/>
        <w:numPr>
          <w:ilvl w:val="0"/>
          <w:numId w:val="143"/>
        </w:numPr>
        <w:tabs>
          <w:tab w:val="left" w:pos="284"/>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lang w:val="en-US"/>
        </w:rPr>
        <w:t>I</w:t>
      </w:r>
      <w:r w:rsidRPr="009C1B46">
        <w:rPr>
          <w:rFonts w:ascii="Times New Roman" w:hAnsi="Times New Roman" w:cs="Times New Roman"/>
          <w:sz w:val="24"/>
          <w:szCs w:val="24"/>
        </w:rPr>
        <w:t xml:space="preserve"> - </w:t>
      </w:r>
      <w:r>
        <w:rPr>
          <w:rFonts w:ascii="Times New Roman" w:hAnsi="Times New Roman" w:cs="Times New Roman"/>
          <w:sz w:val="24"/>
          <w:szCs w:val="24"/>
        </w:rPr>
        <w:t xml:space="preserve">основано на результатах, по крайней мере, одного хорошо выполненного рандомизированного исследования. </w:t>
      </w:r>
    </w:p>
    <w:p w:rsidR="009C1B46" w:rsidRDefault="009C1B46" w:rsidP="00D32047">
      <w:pPr>
        <w:pStyle w:val="a3"/>
        <w:numPr>
          <w:ilvl w:val="0"/>
          <w:numId w:val="143"/>
        </w:numPr>
        <w:tabs>
          <w:tab w:val="left" w:pos="284"/>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lang w:val="en-US"/>
        </w:rPr>
        <w:t>II</w:t>
      </w:r>
      <w:r w:rsidRPr="009C1B46">
        <w:rPr>
          <w:rFonts w:ascii="Times New Roman" w:hAnsi="Times New Roman" w:cs="Times New Roman"/>
          <w:sz w:val="24"/>
          <w:szCs w:val="24"/>
        </w:rPr>
        <w:t xml:space="preserve"> </w:t>
      </w:r>
      <w:r>
        <w:rPr>
          <w:rFonts w:ascii="Times New Roman" w:hAnsi="Times New Roman" w:cs="Times New Roman"/>
          <w:sz w:val="24"/>
          <w:szCs w:val="24"/>
        </w:rPr>
        <w:t>- основано на результатах, по крайней мере, одного хорошо спланированного клинического исследования без рандомизации; когорные или «случай-контроль» аналитические исследования; или драматическая эффективность в неконтролируемых исследованиях.</w:t>
      </w:r>
    </w:p>
    <w:p w:rsidR="009C1B46" w:rsidRPr="009C1B46" w:rsidRDefault="009C1B46" w:rsidP="00D32047">
      <w:pPr>
        <w:pStyle w:val="a3"/>
        <w:numPr>
          <w:ilvl w:val="0"/>
          <w:numId w:val="143"/>
        </w:numPr>
        <w:tabs>
          <w:tab w:val="left" w:pos="284"/>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lang w:val="en-US"/>
        </w:rPr>
        <w:t>III</w:t>
      </w:r>
      <w:r w:rsidRPr="009C1B46">
        <w:rPr>
          <w:rFonts w:ascii="Times New Roman" w:hAnsi="Times New Roman" w:cs="Times New Roman"/>
          <w:sz w:val="24"/>
          <w:szCs w:val="24"/>
        </w:rPr>
        <w:t xml:space="preserve"> </w:t>
      </w:r>
      <w:r>
        <w:rPr>
          <w:rFonts w:ascii="Times New Roman" w:hAnsi="Times New Roman" w:cs="Times New Roman"/>
          <w:sz w:val="24"/>
          <w:szCs w:val="24"/>
        </w:rPr>
        <w:t xml:space="preserve">- основано на мнениях экспертов, уважаемых авторитетов, базирующихся на клиническом опыте; описательные исследования или заключения экспертных комитетов. </w:t>
      </w:r>
    </w:p>
    <w:p w:rsidR="009C1B46" w:rsidRPr="009C1B46" w:rsidRDefault="009C1B46" w:rsidP="009C1B46">
      <w:pPr>
        <w:pStyle w:val="a3"/>
        <w:tabs>
          <w:tab w:val="left" w:pos="284"/>
        </w:tabs>
        <w:spacing w:after="0" w:line="360" w:lineRule="auto"/>
        <w:ind w:hanging="360"/>
        <w:jc w:val="both"/>
        <w:rPr>
          <w:rFonts w:ascii="Times New Roman" w:hAnsi="Times New Roman" w:cs="Times New Roman"/>
          <w:b/>
          <w:sz w:val="24"/>
          <w:szCs w:val="24"/>
        </w:rPr>
      </w:pPr>
    </w:p>
    <w:p w:rsidR="009E4FFF" w:rsidRDefault="009E4FFF">
      <w:pPr>
        <w:rPr>
          <w:rFonts w:ascii="Times New Roman" w:hAnsi="Times New Roman" w:cs="Times New Roman"/>
          <w:b/>
          <w:sz w:val="24"/>
          <w:szCs w:val="24"/>
        </w:rPr>
      </w:pPr>
      <w:r>
        <w:rPr>
          <w:rFonts w:ascii="Times New Roman" w:hAnsi="Times New Roman" w:cs="Times New Roman"/>
          <w:b/>
          <w:sz w:val="24"/>
          <w:szCs w:val="24"/>
        </w:rPr>
        <w:br w:type="page"/>
      </w:r>
    </w:p>
    <w:p w:rsidR="00232B28" w:rsidRPr="00232B28" w:rsidRDefault="00232B28" w:rsidP="00232B28">
      <w:pPr>
        <w:pStyle w:val="1"/>
        <w:spacing w:after="240"/>
        <w:jc w:val="center"/>
        <w:rPr>
          <w:rFonts w:ascii="Times New Roman" w:hAnsi="Times New Roman" w:cs="Times New Roman"/>
          <w:color w:val="auto"/>
        </w:rPr>
      </w:pPr>
      <w:bookmarkStart w:id="47" w:name="_Toc44926644"/>
      <w:r w:rsidRPr="00232B28">
        <w:rPr>
          <w:rFonts w:ascii="Times New Roman" w:hAnsi="Times New Roman" w:cs="Times New Roman"/>
          <w:color w:val="auto"/>
        </w:rPr>
        <w:t>Список литературы</w:t>
      </w:r>
      <w:bookmarkEnd w:id="47"/>
    </w:p>
    <w:p w:rsidR="009C1B46" w:rsidRPr="00B42784" w:rsidRDefault="002E676F"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eastAsiaTheme="majorEastAsia" w:hAnsi="Times New Roman" w:cs="Times New Roman"/>
          <w:b/>
          <w:bCs/>
          <w:sz w:val="24"/>
          <w:szCs w:val="24"/>
        </w:rPr>
        <w:fldChar w:fldCharType="begin" w:fldLock="1"/>
      </w:r>
      <w:r w:rsidRPr="00B42784">
        <w:rPr>
          <w:rFonts w:ascii="Times New Roman" w:eastAsiaTheme="majorEastAsia" w:hAnsi="Times New Roman" w:cs="Times New Roman"/>
          <w:b/>
          <w:bCs/>
          <w:sz w:val="24"/>
          <w:szCs w:val="24"/>
          <w:lang w:val="en-US"/>
        </w:rPr>
        <w:instrText>ADDIN</w:instrText>
      </w:r>
      <w:r w:rsidRPr="00B42784">
        <w:rPr>
          <w:rFonts w:ascii="Times New Roman" w:eastAsiaTheme="majorEastAsia" w:hAnsi="Times New Roman" w:cs="Times New Roman"/>
          <w:b/>
          <w:bCs/>
          <w:sz w:val="24"/>
          <w:szCs w:val="24"/>
        </w:rPr>
        <w:instrText xml:space="preserve"> </w:instrText>
      </w:r>
      <w:r w:rsidRPr="00B42784">
        <w:rPr>
          <w:rFonts w:ascii="Times New Roman" w:eastAsiaTheme="majorEastAsia" w:hAnsi="Times New Roman" w:cs="Times New Roman"/>
          <w:b/>
          <w:bCs/>
          <w:sz w:val="24"/>
          <w:szCs w:val="24"/>
          <w:lang w:val="en-US"/>
        </w:rPr>
        <w:instrText>Mendeley</w:instrText>
      </w:r>
      <w:r w:rsidRPr="00B42784">
        <w:rPr>
          <w:rFonts w:ascii="Times New Roman" w:eastAsiaTheme="majorEastAsia" w:hAnsi="Times New Roman" w:cs="Times New Roman"/>
          <w:b/>
          <w:bCs/>
          <w:sz w:val="24"/>
          <w:szCs w:val="24"/>
        </w:rPr>
        <w:instrText xml:space="preserve"> </w:instrText>
      </w:r>
      <w:r w:rsidRPr="00B42784">
        <w:rPr>
          <w:rFonts w:ascii="Times New Roman" w:eastAsiaTheme="majorEastAsia" w:hAnsi="Times New Roman" w:cs="Times New Roman"/>
          <w:b/>
          <w:bCs/>
          <w:sz w:val="24"/>
          <w:szCs w:val="24"/>
          <w:lang w:val="en-US"/>
        </w:rPr>
        <w:instrText>Bibliography</w:instrText>
      </w:r>
      <w:r w:rsidRPr="00B42784">
        <w:rPr>
          <w:rFonts w:ascii="Times New Roman" w:eastAsiaTheme="majorEastAsia" w:hAnsi="Times New Roman" w:cs="Times New Roman"/>
          <w:b/>
          <w:bCs/>
          <w:sz w:val="24"/>
          <w:szCs w:val="24"/>
        </w:rPr>
        <w:instrText xml:space="preserve"> </w:instrText>
      </w:r>
      <w:r w:rsidRPr="00B42784">
        <w:rPr>
          <w:rFonts w:ascii="Times New Roman" w:eastAsiaTheme="majorEastAsia" w:hAnsi="Times New Roman" w:cs="Times New Roman"/>
          <w:b/>
          <w:bCs/>
          <w:sz w:val="24"/>
          <w:szCs w:val="24"/>
          <w:lang w:val="en-US"/>
        </w:rPr>
        <w:instrText>CSL</w:instrText>
      </w:r>
      <w:r w:rsidRPr="00B42784">
        <w:rPr>
          <w:rFonts w:ascii="Times New Roman" w:eastAsiaTheme="majorEastAsia" w:hAnsi="Times New Roman" w:cs="Times New Roman"/>
          <w:b/>
          <w:bCs/>
          <w:sz w:val="24"/>
          <w:szCs w:val="24"/>
        </w:rPr>
        <w:instrText>_</w:instrText>
      </w:r>
      <w:r w:rsidRPr="00B42784">
        <w:rPr>
          <w:rFonts w:ascii="Times New Roman" w:eastAsiaTheme="majorEastAsia" w:hAnsi="Times New Roman" w:cs="Times New Roman"/>
          <w:b/>
          <w:bCs/>
          <w:sz w:val="24"/>
          <w:szCs w:val="24"/>
          <w:lang w:val="en-US"/>
        </w:rPr>
        <w:instrText>BIBLIOGRAPHY</w:instrText>
      </w:r>
      <w:r w:rsidRPr="00B42784">
        <w:rPr>
          <w:rFonts w:ascii="Times New Roman" w:eastAsiaTheme="majorEastAsia" w:hAnsi="Times New Roman" w:cs="Times New Roman"/>
          <w:b/>
          <w:bCs/>
          <w:sz w:val="24"/>
          <w:szCs w:val="24"/>
        </w:rPr>
        <w:instrText xml:space="preserve"> </w:instrText>
      </w:r>
      <w:r w:rsidRPr="00B42784">
        <w:rPr>
          <w:rFonts w:ascii="Times New Roman" w:eastAsiaTheme="majorEastAsia" w:hAnsi="Times New Roman" w:cs="Times New Roman"/>
          <w:b/>
          <w:bCs/>
          <w:sz w:val="24"/>
          <w:szCs w:val="24"/>
        </w:rPr>
        <w:fldChar w:fldCharType="separate"/>
      </w:r>
      <w:r w:rsidR="009C1B46" w:rsidRPr="00B42784">
        <w:rPr>
          <w:rFonts w:ascii="Times New Roman" w:hAnsi="Times New Roman" w:cs="Times New Roman"/>
          <w:noProof/>
          <w:sz w:val="24"/>
          <w:szCs w:val="24"/>
        </w:rPr>
        <w:t>1. Афанасьева О.И., Воинов В.А. Г.Ю.С. Экстракорпоральная гемокоррекция: терминология, языковые соответствия СПб, 2016. – 7–15с.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 Бабенецкая Д.В., Моторин Д.В., Петров А.В., Алексеева Ю.А. Мобилизация гемопоэтических стволовых клеток препаратами циклофосфамид и цитарабин в сочетании с колониестимулирующим фактором у больных множественной миеломой, кандидатов для проведения трансплантации аутологичных гемопоэтических стволовых клеток / Бабенецкая Д.В., Моторин Д.В., Петров А.В., Алексеева Ю.А. // Гематология и трансфузиология. – 2017. – № 62(4) – 180-187.с.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 Бесова Н.С., Борисова Т.Н., Ларионова В.Б., Лейдерман И.Н., Обухова О.А., Попова Т.С., Салтанов А.И., Сельчук В.Ю., Снеговой А.В., Ткачев С.И., Тюляндин С.А. Клинические рекомендации по нутритивной поддержке при химиотерапии и/или лучевой терапии / Бесова Н.С., Борисова Т.Н., Ларионова В.Б., Лейдерман И.Н., Обухова О.А., Попова Т.С., Салтанов А.И., Сельчук В.Ю., Снеговой А.В., Ткачев С.И., Тюляндин С.А. – , 2014.</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 Гаврилина О.А., Паровичникова Е.Н., Троицкая В.В., Кузьмина Л.А., Бондаренко С.Н., Соколов А.Н., Лапин В.А., Зарубина К.И., Басхаева Г.А., Лукьянова И.А., Клясова Г.А., Судариков А.Б., Обухова Т.Н. Результаты ретроспективного многоцентрового исследования терапии больных Ph-позитивным острым лимфобластным лейкозом по протоколам российской исследовательской группы – тема научной статьи по клинической медицине читайте бесплатно текст научно-исследовате / Гаврилина О.А., Паровичникова Е.Н., Троицкая В.В., Кузьмина Л.А., Бондаренко С.Н., Соколов А.Н., Лапин В.А., Зарубина К.И., Басхаева Г.А., Лукьянова И.А., Клясова Г.А., Судариков А.Б., Обухова Т.Н. // Гематология и трансфузиология. – 2017. – № 62 (4) – 172–180с.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 Ивашкин В.Т., Маев И.В., Царьков П.В., Королев М.П.</w:t>
      </w:r>
      <w:r w:rsidR="00B42784">
        <w:rPr>
          <w:rFonts w:ascii="Times New Roman" w:hAnsi="Times New Roman" w:cs="Times New Roman"/>
          <w:noProof/>
          <w:sz w:val="24"/>
          <w:szCs w:val="24"/>
        </w:rPr>
        <w:t xml:space="preserve">, Андреев Д.Н., Баранская Е.К. </w:t>
      </w:r>
      <w:r w:rsidRPr="00B42784">
        <w:rPr>
          <w:rFonts w:ascii="Times New Roman" w:hAnsi="Times New Roman" w:cs="Times New Roman"/>
          <w:noProof/>
          <w:sz w:val="24"/>
          <w:szCs w:val="24"/>
        </w:rPr>
        <w:t>и др Диагностика и лечение язвенной болезни у взрослых (Клинические рекомендации Российской гастроэнтерологической ассоциации, Российского общества колоректальных хирургов и Российского эндоскопического общества). /  Ивашкин В.Т., Маев И.В., Царьков П.В., Королев М.П., Андреев Д.Н., Баранская Е.К. // Российский журнал гастроэнтерологии, гепатологии, колопроктологии. – 2020. – Т. 30 – № 1 – 49–70с.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 Клясова Г.А., Савченко В.Г. и др. Эмпирическая антимикробная терапия у больных острыми лейкозами: итоги многоцентрового исследования. / Клясова Г.А., Савченко В.Г. // Терапевтический архив – 1998. – Т. 70 – № 7 – 15–21с.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7. Покровская О.С., Менделеева Л.П., Гальцева И.В., Варламова Е.Ю., Капланская И.Б., Воробьев И.А., Грецов Е.М., Калинин Н.Н., Варламова С.В., Клясова Г.А., Тихонова Л.Ю. Мобилизация гемопоэтических клеток крови у больных миеломной болезнью / Покровская О.С., Менделеева Л.П., Гальцева И.В., Варламова Е.Ю., Капланская И.Б., Воробьев И.А., Грецов Е.М., Калинин Н.Н., Варламова С.В., Клясова Г.А., Тихонова Л.Ю. // Проблемы гематологии и переливания – 2003. – 55–56с.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8. Покровская О.С.Кроветворная ткань и стромальное микроокружение в процессе интенсивной терапии и мобилизации гемопоэтических стволовых клеток у больных множественной миеломой: Автореф. дис.канд.мед.наук. / О. С. Покровская – , 2011.– 29c.</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9. Савченко В.Г. и др</w:t>
      </w:r>
      <w:r w:rsidR="00B42784">
        <w:rPr>
          <w:rFonts w:ascii="Times New Roman" w:hAnsi="Times New Roman" w:cs="Times New Roman"/>
          <w:noProof/>
          <w:sz w:val="24"/>
          <w:szCs w:val="24"/>
        </w:rPr>
        <w:t xml:space="preserve"> </w:t>
      </w:r>
      <w:r w:rsidRPr="00B42784">
        <w:rPr>
          <w:rFonts w:ascii="Times New Roman" w:hAnsi="Times New Roman" w:cs="Times New Roman"/>
          <w:noProof/>
          <w:sz w:val="24"/>
          <w:szCs w:val="24"/>
        </w:rPr>
        <w:t>Алгоритмы диагностики и протоколы лечения заболеваний системы крови. / Савченко В.Г. и др – Москва: Практика, 2018.– 1008c.</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10. Снеговой А. В., Абрамов М. Е., Бяхов М. Ю., Владимирова Л. Ю., Возный Э. К., Гладков О. А., Когония Л. М., Кононенко И. Б., Копп М. В., Королева И. А., Ларионова В. Б., Личиницер М. Р., Поддубная И. В. Практические рекомендации по профилактике и лечению тошноты и рвоты у онкологических больных. / Снеговой А. В., Абрамов М. Е., Бяхов М. Ю., Владимирова Л. Ю., Возный Э. К., Гладков О. А., Когония Л. М., Кононенко И. Б., Копп М. В., Королева И. А., Ларионова В. Б., Личиницер М. Р., Поддубная И. В. // Практические рекомендации – 2016.</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11. Сытов А.В., Лейдерман</w:t>
      </w:r>
      <w:r w:rsidR="00B42784">
        <w:rPr>
          <w:rFonts w:ascii="Times New Roman" w:hAnsi="Times New Roman" w:cs="Times New Roman"/>
          <w:noProof/>
          <w:sz w:val="24"/>
          <w:szCs w:val="24"/>
        </w:rPr>
        <w:t xml:space="preserve"> И.Н., Ломидзе С.В., Нехаев И.В</w:t>
      </w:r>
      <w:r w:rsidRPr="00B42784">
        <w:rPr>
          <w:rFonts w:ascii="Times New Roman" w:hAnsi="Times New Roman" w:cs="Times New Roman"/>
          <w:noProof/>
          <w:sz w:val="24"/>
          <w:szCs w:val="24"/>
        </w:rPr>
        <w:t>. Практические рекомендации по нутритивной поддержке онкологических больных /. Сытов А.В., Лейдерман И.Н., Ломидзе С.В., Нехаев И.В. // RUSSCO – 2017. – 524–532с.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12. Attal M. Single versus Double Autologous Stem-Cell Transplantation for Multiple Myeloma / M. Attal, J.-L. Harousseau, T. Facon, F. Guilhot, C. Doyen, J.-G. Fuzibet, M. Monconduit, C. Hulin, D. Caillot, R. Bouabdallah, L. Voillat, J.-J. Sotto, B. Grosbois, R. Bataille // N. Engl. J. Med. – 2003. – Т. 349 – № 26 – 2495–2502с.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13. Attal M. A Prospective, Randomized Trial of Autologous Bone Marrow Transplantation and Chemotherapy in Multiple Myeloma / M. Attal, J.-L. Harousseau, A.-M. Stoppa, J.-J. Sotto, J.-G. Fuzibet, J.-F. Rossi, P. Casassus, H. Maisonneuve, T. Facon, N. Ifrah, C. Payen, R. Bataille // N. Engl. J. Med. – 1996. – Т. 335 – № 2 – 91–97с.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14. Attal M. Autologous Transplantation for Multiple Myeloma in the Era of New Drugs: A Phase III Study of the Intergroupe Francophone Du Myelome (IFM/DFCI 2009 Trial) / M. Attal, V. Lauwers-Cances, C. Hulin, T. Facon, D. Caillot, M. Escoffre, B. Arnulf, M. MACRO, K. Belhadj, L. Garderet, M. Roussel, C. Mathiot, H. Avet-Loiseau, N. C. Munshi, P. G. Richardson, K. C. Anderson,  jean L. Harousseau, P. Moreau // Blood – 2015. – Т. 126 – № 23 – 391–391с.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15. Fermand J.-P. High-dose therapy and autologous blood stem-cell transplantation compared with conventional treatment in myeloma patients aged 55 to 65 years: long-term results of a randomized control trial from the Group Myelome-Autogreffe. / J.-P. Fermand, S. Katsahian, M. Divine, V. Leblond, F. Dreyfus, M. Macro, B. Arnulf, B. Royer, X. Mariette, E. Pertuiset, C. Belanger, M. Janvier, S. Chevret, J. C. Brouet, P. Ravaud, Group Myelome-Autogreffe // J. Clin. Oncol. – 2005. – Т. 23 – № 36 – 9227–33с.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16. Gay F. Autologous transplant vs oral chemotherapy and lenalidomide in newly diagnosed young myeloma patients: a pooled analysis / F. Gay, S. Oliva, M. T. Petrucci, V. Montefusco, C. Conticello, P. Musto, L. Catalano, A. Evangelista, S. Spada, P. Campbell, R. Ria, M. Salvini, M. Offidani, A. M. Carella, P. Omedé, A. M. Liberati, R. Troia, A. M. Cafro, A. Malfitano, A. P. Falcone, T. Caravita, F. Patriarca, A. Nagler, A. Spencer, R. Hajek, A. Palumbo, M. Boccadoro // Leukemia – 2017. – Т. 31 – № 8 – 1727–1734с.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17. Passweg J.R. Is the use of unrelated donor transplantation leveling off in Europe? The 2016 European Society for Blood and Marrow Transplant activity survey report / J. R. Passweg, H. Baldomero, P. Bader, G. W. Basak, C. Bonini, R. Duarte, C. Dufour, N. Kröger, J. Kuball, A. Lankester, S. Montoto, A. Nagler, J. A. Snowden, J. Styczynski, M. Mohty // Bone Marrow Transplant. – 2018. – 1–10с.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18. Passweg J.R. Hematopoietic stem cell transplantation in Europe 2014: more than 40 000 transplants annually / J. R. Passweg, H. Baldomero, P. Bader, C. Bonini, S. Cesaro, P. Dreger, R. F. Duarte, C. Dufour, J. Kuball, D. Farge-Bancel, A. Gennery, N. Kröger, F. Lanza, A. Nagler, A. Sureda, M. Mohty // Bone Marrow Transplant. – 2016. – Т. 51 – № 6 – 786–792с.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19. Arends J. ESPEN guidelines on nutrition in cancer patients / J. Arends, P. Bachmann, V. Baracos, N. Barthelemy, H. Bertz, F. Bozzetti, K. Fearon, E. Hütterer, E. Isenring, S. Kaasa, Z. Krznaric, B. Laird, M. Larsson, A. Laviano, S. Mühlebach, M. Muscaritoli, L. Oldervoll, P. Ravasco, T. Solheim, F. Strasser, M. de van der Schueren, J. C. Preiser // Clin. Nutr. – 2017. – Т. 36 – № 1 – 11–48с.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20. Auner H.W. Infectious complications after autologous hematopoietic stem cell transplantation: Comparison of patients with acute myeloid leukemia, malignant lymphoma, and multiple myeloma / H. W. Auner, H. Sill, A. Mulabecirovic, W. Linkesch, R. Krause // Ann. Hematol. – 2002. – Т. 81 – № 7 – 374–377с.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21. Baiu I. Parenteral Nutrition // JAMA - J. Am. Med. Assoc. – 2019. – Т. 321. – № 21. – 2142с.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22. Basch E. Antiemetics: American Society of Clinical Oncology clinical practice guideline update. / E. Basch, A. A. Prestrud, P. J. Hesketh, M. G. Kris, P. C. Feyer, M. R. Somerfield, M. Chesney, R. A. Clark-Snow, A. M. Flaherty, B. Freundlich, G. Morrow, K. V Rao, R. N. Schwartz, G. H. Lyman, American Society of Clinical Oncology // J. Clin. Oncol. – 2011. – Т. 29 – № 31 – 4189–98с.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23. Bilgin Y.M. Plerixafor for stem cell mobilization: The current status // Curr. Opin. Hematol. – 2016. – Т. 23. – № 1. – 67–71с.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24. Bountra C. Towards understanding the aetiology and pathophysiology of the emetic reflex: novel approaches to antiemetic drugs. / C. Bountra, J. D. Gale, C. J. Gardner, C. C. Jordan, G. J. Kilpatrick, D. J. Twissell, P. Ward // Oncology – 1996. – Т. 53 Suppl 1 – 102–9с.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25. Burget D.W. Is there an optimal degree of acid suppression for healing of duodenal ulcers? A model of the relationship between ulcer healing and acid suppression. / D. W. Burget, S. G. Chiverton, R. H. Hunt // Gastroenterology – 1990. – Т. 99 – № 2 – 345–51с.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26. Caballero M.D. BEAM chemotherapy followed by autologous stem cell support in lymphoma patients: analysis of efficacy, toxicity and prognostic factors. / M. D. Caballero, V. Rubio, J. Rifon, I. Heras, R. García-Sanz, L. Vázquez, B. Vidriales, M. C. del Cañizo, M. Corral, M. Gonzalez, A. León, E. Jean-Paul, E. Rocha, J. M. Moraleda, J. F. San Miguel // Bone Marrow Transplant. – 1997. – Т. 20 – № 6 – 451–8с.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27. Camblor-Álvarez M. Soporte nutricional y nutrición parenteral en el paciente oncológico: informe de consenso de un grupo de expertos / M. Camblor-Álvarez, M. J. Ocón-Bretón, L. M. Luengo-Pérez, J. A. Viruzuela, M. J. Sendrós-Maroño, M. Cervera-Peris, E. Grande, J. Álvarez-Hernández, P. Jiménez-Fonseca // Nutr. Hosp. – 2018. – Т. 35 – № 1.</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28. Colita A. LEAM vs. BEAM vs. CLV Conditioning Regimen for Autologous Stem Cell Transplantation in Malignant Lymphomas. Retrospective Comparison of Toxicity and Efficacy on 222 Patients in the First 100 Days After Transplant, On Behalf of the Romanian Society for Bone Marrow Transplantation. / A. Colita, A. Colita, H. Bumbea, A. Croitoru, C. Orban, L. E. Lipan, O.-G. Craciun, D. Soare, C. Ghimici, R. Manolache, I. Gelatu, A.-M. Vladareanu, S. Pasca, P. Teodorescu, D. Dima, A. Lupu, D. Coriu, C. Tomuleasa, A. Tanase // Front. Oncol. – 2019. – Т. 9 – 892с.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29. Colita A. LEAM vs. BEAM vs. CLV Conditioning Regimen for Autologous Stem Cell Transplantation in Malignant Lymphomas. Retrospective Comparison of Toxicity and Efficacy on 222 Patients in the First 100 Days After Transplant, On Behalf of the Romanian Society for Bone Marrow Transplantation. / A. Colita, A. Colita, H. Bumbea, A. Croitoru, C. Orban, L. E. Lipan, O.-G. Craciun, D. Soare, C. Ghimici, R. Manolache, I. Gelatu, A.-M. Vladareanu, S. Pasca, P. Teodorescu, D. Dima, A. Lupu, D. Coriu, C. Tomuleasa, A. Tanase // Front. Oncol. – 2019. – Т. 9 – 892с.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30. Conn H.O. Corticosteroids and peptic ulcer: meta-analysis of adverse events during steroid therapy. / H. O. Conn, T. Poynard // J. Intern. Med. – 1994. – Т. 236 – № 6 – 619–32с.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31. Costa L.J. Pegfilgrastim-versus filgrastim-based autologous hematopoietic stem cell mobilization in the setting of preemptive use of plerixafor: Efficacy and cost analysis / L. J. Costa, C. Kramer, K. R. Hogan, C. D. Butcher, A. L. Littleton, K. B. Shoptaw, Y. Kang, R. K. Stuart // Transfusion – 2012. – Т. 52 – № 11 – 2375–2381с.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32. Dale D.C. A systematic literature review of the efficacy, effectiveness, and safety of filgrastim // Support. Care Cancer. – 2018. – Т. 26. – № 1. – 7–20с.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33. DeFilipp Z. High-dose chemotherapy with thiotepa, busulfan, and cyclophosphamide and autologous stem cell transplantation for patients with primary central nervous system lymphoma in first complete remission. / Z. DeFilipp, S. Li, A. El-Jawahri, P. Armand, L. Nayak, N. Wang, T. T. Batchelor, Y.-B. Chen // Cancer – 2017. – Т. 123 – № 16 – 3073–3079с.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34. DeVita V.T. A history of cancer chemotherapy. / V. T. DeVita, E. Chu // Cancer Res. – 2008. – Т. 68 – № 21 – 8643–53с.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35. Duarte R.F. Indications for haematopoietic stem cell transplantation for haematological diseases, solid tumours and immune disorders: current practice in Europe, 2019 / R. F. Duarte, M. Labopin, P. Bader, G. W. Basak, C. Bonini, C. Chabannon, S. Corbacioglu, P. Dreger, C. Dufour, A. R. Gennery, J. Kuball, A. C. Lankester, F. Lanza, S. Montoto, A. Nagler, R. Peffault de Latour, J. A. Snowden, J. Styczynski, I. Yakoub-Agha, N. Kröger, M. Mohty // Bone Marrow Transplant. – 2019. – Т. 54 – № 10 – 1525–1552с.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36. Eleutherakis-Papaiakovou E. Prophylactic antibiotics for the prevention of neutropenic fever in patients undergoing autologous stem-cell transplantation: Results of a single institution, randomized phase 2 trial / E. Eleutherakis-Papaiakovou, E. Kostis, M. Migkou, D. Christoulas, E. Terpos, M. Gavriatopoulou, M. Roussou, E. Bournakis, E. Kastritis, E. Efstathiou, M. A. Dimopoulos, C. A. Papadimitriou // Am. J. Hematol. – 2010. – Т. 85 – № 11 – 863–867с.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37. Enric Carreras D.C.Hematopoietic Stem Cell Transplantation and Cellular Therapies / D. C. Enric Carreras, K. N. Mohty Mohamad – , 2019.– 702c.</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38. Frankiewicz A. Comparable safety profile of BeEAM (bendamustine, etoposide, cytarabine, melphalan) and BEAM (carmustine, etoposide, cytarabine, melphalan) as conditioning before autologous haematopoietic cell transplantation. / A. Frankiewicz, M. Saduś-Wojciechowska, J. Najda, T. Czerw, W. Mendrek, M. Sobczyk-Kruszelnicka, K. Soska, M. Ociepa, J. Hołowiecki, S. Giebel // Contemp. Oncol. (Poznan, Poland) – 2018. – Т. 22 – № 2 – 113–117с.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7D25FA">
        <w:rPr>
          <w:rFonts w:ascii="Times New Roman" w:hAnsi="Times New Roman" w:cs="Times New Roman"/>
          <w:noProof/>
          <w:sz w:val="24"/>
          <w:szCs w:val="24"/>
        </w:rPr>
        <w:t xml:space="preserve">39. </w:t>
      </w:r>
      <w:r w:rsidR="007D25FA" w:rsidRPr="007D25FA">
        <w:rPr>
          <w:rFonts w:ascii="Times New Roman" w:hAnsi="Times New Roman" w:cs="Times New Roman"/>
          <w:noProof/>
          <w:sz w:val="24"/>
          <w:szCs w:val="24"/>
        </w:rPr>
        <w:t>Giuseppe Visani.</w:t>
      </w:r>
      <w:r w:rsidRPr="007D25FA">
        <w:rPr>
          <w:rFonts w:ascii="Times New Roman" w:hAnsi="Times New Roman" w:cs="Times New Roman"/>
          <w:noProof/>
          <w:sz w:val="24"/>
          <w:szCs w:val="24"/>
        </w:rPr>
        <w:t xml:space="preserve"> BeEAM (Bendamustine, Etoposide, Cytarabine, Melphalan) Before Autologous Stem Cell Transplantation Is Safe and Effective for resistant/relapsed Lymphoma Patients / </w:t>
      </w:r>
      <w:r w:rsidR="007D25FA" w:rsidRPr="007D25FA">
        <w:rPr>
          <w:rFonts w:ascii="Times New Roman" w:hAnsi="Times New Roman" w:cs="Times New Roman"/>
          <w:noProof/>
          <w:sz w:val="24"/>
          <w:szCs w:val="24"/>
        </w:rPr>
        <w:t>Giuseppe Visani, Lara Malerba, Pietro Maria Stefani, Saveria Capria, Piero Galieni, Francesco Gaudio, Giorgina Specchia, Giovanna Meloni, Filippo Gherlinzoni, Claudio Giardini, Sadia Falcioni, Francesca Cuberli, Marco Gobbi, Barbara Sarina, Armando Santoro, Felicetto Ferrara, Marco Rocchi, Enrique M Ocio, Maria Dolores Caballero, Alessandro Isidori</w:t>
      </w:r>
      <w:r w:rsidRPr="007D25FA">
        <w:rPr>
          <w:rFonts w:ascii="Times New Roman" w:hAnsi="Times New Roman" w:cs="Times New Roman"/>
          <w:noProof/>
          <w:sz w:val="24"/>
          <w:szCs w:val="24"/>
        </w:rPr>
        <w:t xml:space="preserve"> // Blood – 2011. – Т. 118 – № 12.</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40. Gil L. Infectious complication in 314 patients after high-dose therapy and autologous hematopoietic stem cell transplantation: Risk factors analysis and outcome / L. Gil, J. Styczynski, M. Komarnicki // Infection – 2007. – Т. 35 – № 6 – 421–427с.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41. Giralt S. Optimizing autologous stem cell mobilization strategies to improve patient outcomes: Consensus guidelines and recommendations // Biol. Blood Marrow Transplant. – 2014. – Т. 20. – № 3. – 295–308с.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42. Gondo H. Autologous peripheral blood stem cell transplantation for acute myelogenous leukemia. / H. Gondo, M. Harada, T. Miyamoto, K. Takenaka, K. Tanimoto, S. Mizuno, T. Fujisaki, K. Nagafuji, S. Hayashi, T. Eto, S. Taniguchi, K. Akashi, N. Harada, K. Yamasaki, T. Shibuya, E. Matsuishi, Y. Ohno, S. Makino, Y. Takamatsu, M. Murakawa, T. Teshima, Y. Hirota, T. Okamura, N. Kinukawa, Y. Niho // Bone Marrow Transplant. – 1997. – Т. 20 – № 10 – 821–6с.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43. Hesketh P.J. Chemotherapy-induced nausea and vomiting. / P. J. Hesketh // N. Engl. J. Med. – 2008. – Т. 358 – № 23 – 2482–94с.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44. Hohaus S. Successful autografting following myeloablative conditioning therapy with blood stem cells mobilized by chemotherapy plus rhG-CSF. / S. Hohaus, H. Goldschmidt, R. Ehrhardt, R. Haas // Exp. Hematol. – 1993. – Т. 21 – № 4 – 508–14с.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45. Hu Z.-H. Efficacy of proton pump inhibitors for patients with duodenal ulcers: A pairwise and network meta-analysis of randomized controlled trials. / Z.-H. Hu, A.-M. Shi, D.-M. Hu, J.-J. Bao // Saudi J. Gastroenterol. – 2017. – Т. 23 – № 1 – 11–19с.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46. Ikeda K. Adverse Events Associated With Infusion of Hematopoietic Stem Cell Products: A Prospective and Multicenter Surveillance Study // Transfus. Med. Rev. – 2018. – Т. 32. – № 3. – 186–194с.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47. J. M. ECIL guidelines for preventing Pneumocystis jirovecii pneumonia in patients with haematological malignancies and stem cell transplant recipients / M. J., C. S., M. G., W. C. // J. Antimicrob. Chemother. – 2016.</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7D25FA">
        <w:rPr>
          <w:rFonts w:ascii="Times New Roman" w:hAnsi="Times New Roman" w:cs="Times New Roman"/>
          <w:noProof/>
          <w:sz w:val="24"/>
          <w:szCs w:val="24"/>
        </w:rPr>
        <w:t xml:space="preserve">48. </w:t>
      </w:r>
      <w:r w:rsidR="007D25FA" w:rsidRPr="007D25FA">
        <w:rPr>
          <w:rFonts w:ascii="Times New Roman" w:hAnsi="Times New Roman" w:cs="Times New Roman"/>
          <w:noProof/>
          <w:sz w:val="24"/>
          <w:szCs w:val="24"/>
        </w:rPr>
        <w:t>Jennifer L Holter Chakrabarty</w:t>
      </w:r>
      <w:r w:rsidRPr="007D25FA">
        <w:rPr>
          <w:rFonts w:ascii="Times New Roman" w:hAnsi="Times New Roman" w:cs="Times New Roman"/>
          <w:noProof/>
          <w:sz w:val="24"/>
          <w:szCs w:val="24"/>
        </w:rPr>
        <w:t xml:space="preserve">. Autologous Is Superior to Allogeneic Hematopoietic Cell Transplantation for Acute Promyelocytic Leukemia in Second Complete Remission / </w:t>
      </w:r>
      <w:r w:rsidR="007D25FA" w:rsidRPr="007D25FA">
        <w:rPr>
          <w:rFonts w:ascii="Times New Roman" w:hAnsi="Times New Roman" w:cs="Times New Roman"/>
          <w:noProof/>
          <w:sz w:val="24"/>
          <w:szCs w:val="24"/>
        </w:rPr>
        <w:t>Jennifer L Holter Chakrabarty , Morel Rubinger, Jennifer Le-Rademacher, Hai-Lin Wang, Andrew Grigg, George B Selby, Jeffrey Szer, Jacob M Rowe, Daniel J Weisdorf, Martin S Tallman</w:t>
      </w:r>
      <w:r w:rsidRPr="007D25FA">
        <w:rPr>
          <w:rFonts w:ascii="Times New Roman" w:hAnsi="Times New Roman" w:cs="Times New Roman"/>
          <w:noProof/>
          <w:sz w:val="24"/>
          <w:szCs w:val="24"/>
        </w:rPr>
        <w:t xml:space="preserve"> // Biol. Blood Marrow Transplant. – 2014. – Т. 20 – № 7.</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49. Krause D.S. CD34: Structure, biology, and clinical utility // Blood. – 1996. – Т. 87. – № 1. – 1–13с.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50. Lanas A. Peptic ulcer disease. / A. Lanas, F. K. L. Chan // Lancet (London, England) – 2017. – Т. 390 – № 10094 – 613–624с.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51. Mills W. BEAM chemotherapy and autologous bone marrow transplantation for patients with relapsed or refractory non-Hodgkin’s lymphoma. / W. Mills, R. Chopra, A. McMillan, R. Pearce, D. C. Linch, A. H. Goldstone // J. Clin. Oncol. – 1995. – Т. 13 – № 3 – 588–95с.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52. Mitchelson F. Pharmacological agents affecting emesis. A review (Part I). / F. Mitchelson // Drugs – 1992. – Т. 43 – № 3 – 295–315с.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53. Moghnieh R. Bacteraemia post-autologous haematopoietic stem cell transplantation in the absence of antibacterial prophylaxis: a decade’s experience from Lebanon / R. Moghnieh, D. Abdallah, L. Awad, T. Jisr, A. Mugharbil, A. Youssef, H. Tamim, S. Khaldieh, O. Massri, N. Rashini, Y. Hamdan, A. Ibrahim // Infection – 2018. – Т. 46 – № 6.</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7D25FA">
        <w:rPr>
          <w:rFonts w:ascii="Times New Roman" w:hAnsi="Times New Roman" w:cs="Times New Roman"/>
          <w:noProof/>
          <w:sz w:val="24"/>
          <w:szCs w:val="24"/>
        </w:rPr>
        <w:t xml:space="preserve">54. </w:t>
      </w:r>
      <w:r w:rsidR="007D25FA" w:rsidRPr="007D25FA">
        <w:rPr>
          <w:rFonts w:ascii="Times New Roman" w:hAnsi="Times New Roman" w:cs="Times New Roman"/>
          <w:noProof/>
          <w:sz w:val="24"/>
          <w:szCs w:val="24"/>
        </w:rPr>
        <w:t>Naval Daver</w:t>
      </w:r>
      <w:r w:rsidRPr="007D25FA">
        <w:rPr>
          <w:rFonts w:ascii="Times New Roman" w:hAnsi="Times New Roman" w:cs="Times New Roman"/>
          <w:noProof/>
          <w:sz w:val="24"/>
          <w:szCs w:val="24"/>
        </w:rPr>
        <w:t xml:space="preserve"> Final Report of a Phase II Study of Imatinib Mesylate With hyper-CVAD for the Front-Line Treatment of Adult Patients With Philadelphia Chromosome-Positive Acute Lymphoblastic Leukemia / </w:t>
      </w:r>
      <w:r w:rsidR="007D25FA" w:rsidRPr="007D25FA">
        <w:rPr>
          <w:rFonts w:ascii="Times New Roman" w:hAnsi="Times New Roman" w:cs="Times New Roman"/>
          <w:noProof/>
          <w:sz w:val="24"/>
          <w:szCs w:val="24"/>
        </w:rPr>
        <w:t>Naval Daver, Deborah Thomas, Farhad Ravandi, Jorge Cortes, Rebecca Garris, Elias Jabbour, Guillermo Garcia-Manero, Gautam Borthakur, Tapan Kadia, Michael Rytting, Marina Konopleva, Hagop Kantarjian, Susan O'Brien</w:t>
      </w:r>
      <w:r w:rsidRPr="007D25FA">
        <w:rPr>
          <w:rFonts w:ascii="Times New Roman" w:hAnsi="Times New Roman" w:cs="Times New Roman"/>
          <w:noProof/>
          <w:sz w:val="24"/>
          <w:szCs w:val="24"/>
        </w:rPr>
        <w:t>// Haematologica – 2015. – Т. 100 – № 5.</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55. Narum S. Corticosteroids and risk of gastrointestinal bleeding: a systematic review and meta-analysis. / S. Narum, T. Westergren, M. Klemp // BMJ Open – 2014. – Т. 4 – № 5 – e004587с.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56. Navari R.M. Antiemetic Prophylaxis for Chemotherapy-Induced Nausea and Vomiting. / R. M. Navari, M. Aapro // N. Engl. J. Med. – 2016. – Т. 374 – № 14 – 1356–67с.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57. Neumann S. Primary prophylaxis of bacterial infections and Pneumocystis jirovecii pneumonia in patients with hematological malignancies and solid tumors: Guidelines of the Infectious Diseases Working Party (AGIHO) of the German Society of Hematology and Oncology (DG // Ann. Hematol. – 2013. – Т. 92. – № 4. – 433–442с.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58. Olivieri A. Proposed definition of “poor mobilizer” in lymphoma and multiple myeloma: An analytic hierarchy process by ad hoc working group Gruppo ItalianoTrapianto di Midollo Osseo / A. Olivieri, M. Marchetti, R. Lemoli, C. Tarella, A. Iacone, F. Lanza, A. Rambaldi, A. Bosi // Bone Marrow Transplant. – 2012. – Т. 47 – № 3 – 342–351с.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59. Omuro A. R-MPV followed by high-dose chemotherapy with TBC and autologous stem-cell transplant for newly diagnosed primary CNS lymphoma. / A. Omuro, D. D. Correa, L. M. DeAngelis, C. H. Moskowitz, M. J. Matasar, T. J. Kaley, I. T. Gavrilovic, C. Nolan, E. Pentsova, C. C. Grommes, K. S. Panageas, R. E. Baser, G. Faivre, L. E. Abrey, C. S. Sauter // Blood – 2015. – Т. 125 – № 9 – 1403–10с.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60. Passos-Coelho J.L. Predictive factors for peripheral-blood progenitor-cell collections using a single large-volume leukapheresis after cyclophosphamide and granulocyte- macrophage colony-stimulating factor mobilization / J. L. Passos-Coelho, H. G. Braine, J. M. Davis, A. M. Huelskamp, K. G. Schepers, K. Ohly, B. Clarke, S. K. Wright, S. J. Noga, N. E. Davidson, M. J. Kennedy // J. Clin. Oncol. – 1995. – Т. 13 – № 3 – 705–714с.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61. Patel P. Aprepitant and fosaprepitant drug interactions: a systematic review. / P. Patel, J. S. Leeder, M. Piquette-Miller, L. L. Dupuis // Br. J. Clin. Pharmacol. – 2017. – Т. 83 – № 10 – 2148–2162с.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62. Perz J.B. LACE-conditioned autologous stem cell transplantation for relapsed or refractory Hodgkin’s lymphoma: treatment outcome and risk factor analysis in 67 patients from a single centre. / J. B. Perz, C. Giles, R. Szydlo, D. O’Shea, J. Sanz, A. Chaidos, S. Wagner, J. Davis, S. Loaiza, D. Marin, J. Apperley, E. Olavarria, A. Rahemtulla, I. Lampert, K. Naresh, D. Samson, D. MacDonald, E. J. Kanfer // Bone Marrow Transplant. – 2007. – Т. 39 – № 1 – 41–7с.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63. Ramzi M. Autologous noncryopreserved hematopoietic stem cell transplant with CEAM as a modified conditioning regimen in patients with Hodgkin lymphoma: a single-center experience with a new protocol. / M. Ramzi, M. Mohamadian, R. Vojdani, M. Dehghani, H. Nourani, M. Zakerinia, H. Haghighinejad // Exp. Clin. Transplant. – 2012. – Т. 10 – № 2 – 163–7с.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64. Razvi Y. ASCO, NCCN, MASCC/ESMO: a comparison of antiemetic guidelines for the treatment of chemotherapy-induced nausea and vomiting in adult patients. / Y. Razvi, S. Chan, T. McFarlane, E. McKenzie, P. Zaki, C. DeAngelis, W. Pidduck, A. Bushehri, E. Chow, K. J. Jerzak // Support. Care Cancer – 2019. – Т. 27 – № 1 – 87–95с.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7D25FA">
        <w:rPr>
          <w:rFonts w:ascii="Times New Roman" w:hAnsi="Times New Roman" w:cs="Times New Roman"/>
          <w:noProof/>
          <w:sz w:val="24"/>
          <w:szCs w:val="24"/>
        </w:rPr>
        <w:t xml:space="preserve">65. </w:t>
      </w:r>
      <w:r w:rsidR="007D25FA" w:rsidRPr="007D25FA">
        <w:rPr>
          <w:rFonts w:ascii="Times New Roman" w:hAnsi="Times New Roman" w:cs="Times New Roman"/>
          <w:noProof/>
          <w:sz w:val="24"/>
          <w:szCs w:val="24"/>
        </w:rPr>
        <w:t>Sebastian Giebel</w:t>
      </w:r>
      <w:r w:rsidR="007D25FA">
        <w:rPr>
          <w:rFonts w:ascii="Times New Roman" w:hAnsi="Times New Roman" w:cs="Times New Roman"/>
          <w:noProof/>
          <w:sz w:val="24"/>
          <w:szCs w:val="24"/>
        </w:rPr>
        <w:t>.</w:t>
      </w:r>
      <w:r w:rsidR="007D25FA" w:rsidRPr="007D25FA">
        <w:rPr>
          <w:rFonts w:ascii="Times New Roman" w:hAnsi="Times New Roman" w:cs="Times New Roman"/>
          <w:noProof/>
          <w:sz w:val="24"/>
          <w:szCs w:val="24"/>
        </w:rPr>
        <w:t xml:space="preserve"> </w:t>
      </w:r>
      <w:r w:rsidRPr="007D25FA">
        <w:rPr>
          <w:rFonts w:ascii="Times New Roman" w:hAnsi="Times New Roman" w:cs="Times New Roman"/>
          <w:noProof/>
          <w:sz w:val="24"/>
          <w:szCs w:val="24"/>
        </w:rPr>
        <w:t xml:space="preserve">Improving Results of Autologous Stem Cell Transplantation for Philadelphia-positive Acute Lymphoblastic Leukaemia in the Era of Tyrosine Kinase Inhibitors: A Report From the Acute Leukaemia Working Party of the European Group for Blood and Marrow Transplantation / </w:t>
      </w:r>
      <w:r w:rsidR="007D25FA" w:rsidRPr="007D25FA">
        <w:rPr>
          <w:rFonts w:ascii="Times New Roman" w:hAnsi="Times New Roman" w:cs="Times New Roman"/>
          <w:noProof/>
          <w:sz w:val="24"/>
          <w:szCs w:val="24"/>
        </w:rPr>
        <w:t>Sebastian Giebel, Myriam Labopin, Norbert Claude Gorin, Denis Caillot, Thibaut Leguay, Nicolaas Schaap, Mauricette Michallet, Herve Dombret, Mohamad Mohty</w:t>
      </w:r>
      <w:r w:rsidRPr="007D25FA">
        <w:rPr>
          <w:rFonts w:ascii="Times New Roman" w:hAnsi="Times New Roman" w:cs="Times New Roman"/>
          <w:noProof/>
          <w:sz w:val="24"/>
          <w:szCs w:val="24"/>
        </w:rPr>
        <w:t>// Eur. J. Cancer – 2014. – Т. 50 – № 2.</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66. Scally B. Effects of gastroprotectant drugs for the prevention and treatment of peptic ulcer disease and its complications: a meta-analysis of randomised trials. / B. Scally, J. R. Emberson, E. Spata, C. Reith, K. Davies, H. Halls, L. Holland, K. Wilson, N. Bhala, C. Hawkey, M. Hochberg, R. Hunt, L. Laine, A. Lanas, C. Patrono, C. Baigent // lancet. Gastroenterol. Hepatol. – 2018. – Т. 3 – № 4 – 231–241с.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67. Sharma A. Comparison of BEAM vs. LEAM regimen in autologous transplant for lymphoma at AIIMS. / A. Sharma, S. Kayal, S. Iqbal, P. S. Malik, V. Raina // Springerplus – 2013. – Т. 2 – 489с.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68. Smith T.J. Recommendations for the use of WBC growth factors: American society of clinical oncology clinical practice guideline update / T. J. Smith, K. Bohlke, G. H. Lyman, K. R. Carson, J. Crawford, S. J. Cross, J. M. Goldberg, J. L. Khatcheressian, N. B. Leighl, C. L. Perkins, G. Somlo, J. L. Wade, A. J. Wozniak, J. O. Armitage // J. Clin. Oncol. – 2015. – Т. 33 – № 28 – 3199–3212с.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69. Stiff P.J. Transplanted CD34 + Cell Dose Is Associated with Long-Term Platelet Count Recovery following Autologous Peripheral Blood Stem Cell Transplant in Patients with Non-Hodgkin Lymphoma or Multiple Myeloma / P. J. Stiff, I. Micallef, A. P. Nademanee, E. A. Stadtmauer, R. T. Maziarz, B. J. Bolwell, G. Bridger, S. Marulkar, F. J. Hsu, J. F. DiPersio // Biol. Blood Marrow Transplant. – 2011. – Т. 17 – № 8 – 1146–1153с.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70. Sutherland D.R. The ISHAGE guidelines for CD34+ cell determination by flow cytometry // J. Hematotherapy Stem Cell Res. – 1996. – Т. 5. – № 3. – 213–226с.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71. Terpos E. European myeloma network guidelines for the management of multiple myeloma-related complications / E. Terpos, M. Kleber, M. Engelhardt, S. Zweegman, F. Gay, E. Kastritis, N. W. C. J. van de Donk, B. Bruno, O. Sezer, A. Broij, S. Bringhen, M. Beksac, A. Larocca, R. Hajek, P. Musto, H. E. Johnsen, F. Morabito, H. Ludwig, M. Cavo, H. Einsele, P. Sonneveld, M. A. Dimopoulos, A. Palumbo // Haematologica – 2015. – Т. 100 – № 10 – 1254–1266с.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72. Virizuela J.A. Nutritional support and parenteral nutrition in cancer patients: an expert consensus report / J. A. Virizuela, M. Camblor-Álvarez, L. M. Luengo-Pérez, E. Grande, J. Álvarez-Hernández, M. J. Sendrós-Madroño, P. Jiménez-Fonseca, M. Cervera-Peris, M. J. Ocón-Bretón // Clin. Transl. Oncol. – 2018. – Т. 20 – № 5 – 619–629с.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73. Visani G. XRCC1 399GG genotype predicts significantly longer overall survival in resistant lymphoma patients treated with Benda-EAM and ASCT / G. Visani, F. Loscocco, I. Bagaloni, A. Ruzzo, F. Fuligni, F. Graziano, M. Magnani, A. Isidori // Bone Marrow Transplant. – 2020. – Т. 55 – № 4 – 818–820с.</w:t>
      </w:r>
    </w:p>
    <w:p w:rsidR="009C1B46" w:rsidRPr="00B42784" w:rsidRDefault="009C1B46" w:rsidP="00B42784">
      <w:pPr>
        <w:widowControl w:val="0"/>
        <w:autoSpaceDE w:val="0"/>
        <w:autoSpaceDN w:val="0"/>
        <w:adjustRightInd w:val="0"/>
        <w:spacing w:line="360" w:lineRule="auto"/>
        <w:jc w:val="both"/>
        <w:rPr>
          <w:rFonts w:ascii="Times New Roman" w:hAnsi="Times New Roman" w:cs="Times New Roman"/>
          <w:noProof/>
          <w:sz w:val="24"/>
          <w:szCs w:val="24"/>
        </w:rPr>
      </w:pPr>
      <w:r w:rsidRPr="00B42784">
        <w:rPr>
          <w:rFonts w:ascii="Times New Roman" w:hAnsi="Times New Roman" w:cs="Times New Roman"/>
          <w:noProof/>
          <w:sz w:val="24"/>
          <w:szCs w:val="24"/>
        </w:rPr>
        <w:t>74. Welte K. Purification and biochemical characterization of human pluripotent hematopoietic colony-stimulating factor / K. Welte, E. Platzer, L. Lu, J. L. Gabrilove, E. Levi, R. Mertelsmann, M. A. Moore // Proc. Natl. Acad. Sci. U. S. A. – 1985. – Т. 82 – № 5 – 1526–1530с.</w:t>
      </w:r>
    </w:p>
    <w:p w:rsidR="00232B28" w:rsidRPr="00B42784" w:rsidRDefault="009C1B46" w:rsidP="00B42784">
      <w:pPr>
        <w:widowControl w:val="0"/>
        <w:autoSpaceDE w:val="0"/>
        <w:autoSpaceDN w:val="0"/>
        <w:adjustRightInd w:val="0"/>
        <w:spacing w:line="360" w:lineRule="auto"/>
        <w:jc w:val="both"/>
        <w:rPr>
          <w:rFonts w:ascii="Times New Roman" w:eastAsiaTheme="majorEastAsia" w:hAnsi="Times New Roman" w:cs="Times New Roman"/>
          <w:b/>
          <w:bCs/>
          <w:sz w:val="24"/>
          <w:szCs w:val="24"/>
        </w:rPr>
      </w:pPr>
      <w:r w:rsidRPr="00B42784">
        <w:rPr>
          <w:rFonts w:ascii="Times New Roman" w:hAnsi="Times New Roman" w:cs="Times New Roman"/>
          <w:noProof/>
          <w:sz w:val="24"/>
          <w:szCs w:val="24"/>
        </w:rPr>
        <w:t>75. Yang B.B. Pharmacokinetics and pharmacodynamics of pegfilgrastim // Clin. Pharmacokinet. – 2011. – Т. 50. – № 5. – 295–306с.</w:t>
      </w:r>
      <w:r w:rsidR="002E676F" w:rsidRPr="00B42784">
        <w:rPr>
          <w:rFonts w:ascii="Times New Roman" w:eastAsiaTheme="majorEastAsia" w:hAnsi="Times New Roman" w:cs="Times New Roman"/>
          <w:b/>
          <w:bCs/>
          <w:sz w:val="24"/>
          <w:szCs w:val="24"/>
        </w:rPr>
        <w:fldChar w:fldCharType="end"/>
      </w:r>
    </w:p>
    <w:sectPr w:rsidR="00232B28" w:rsidRPr="00B42784" w:rsidSect="00E133D6">
      <w:headerReference w:type="default" r:id="rId11"/>
      <w:footerReference w:type="default" r:id="rId12"/>
      <w:pgSz w:w="11906" w:h="16838"/>
      <w:pgMar w:top="1418" w:right="850" w:bottom="1134"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D9" w:rsidRDefault="00EC74D9" w:rsidP="00A72DC4">
      <w:pPr>
        <w:spacing w:after="0" w:line="240" w:lineRule="auto"/>
      </w:pPr>
      <w:r>
        <w:separator/>
      </w:r>
    </w:p>
  </w:endnote>
  <w:endnote w:type="continuationSeparator" w:id="0">
    <w:p w:rsidR="00EC74D9" w:rsidRDefault="00EC74D9" w:rsidP="00A7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C-Ligh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41751"/>
      <w:docPartObj>
        <w:docPartGallery w:val="Page Numbers (Bottom of Page)"/>
        <w:docPartUnique/>
      </w:docPartObj>
    </w:sdtPr>
    <w:sdtEndPr>
      <w:rPr>
        <w:rFonts w:ascii="Times New Roman" w:hAnsi="Times New Roman" w:cs="Times New Roman"/>
      </w:rPr>
    </w:sdtEndPr>
    <w:sdtContent>
      <w:p w:rsidR="009C1B46" w:rsidRPr="00A72DC4" w:rsidRDefault="009C1B46" w:rsidP="00A72DC4">
        <w:pPr>
          <w:pStyle w:val="a6"/>
          <w:jc w:val="center"/>
          <w:rPr>
            <w:rFonts w:ascii="Times New Roman" w:hAnsi="Times New Roman" w:cs="Times New Roman"/>
          </w:rPr>
        </w:pPr>
        <w:r w:rsidRPr="00A72DC4">
          <w:rPr>
            <w:rFonts w:ascii="Times New Roman" w:hAnsi="Times New Roman" w:cs="Times New Roman"/>
          </w:rPr>
          <w:fldChar w:fldCharType="begin"/>
        </w:r>
        <w:r w:rsidRPr="00A72DC4">
          <w:rPr>
            <w:rFonts w:ascii="Times New Roman" w:hAnsi="Times New Roman" w:cs="Times New Roman"/>
          </w:rPr>
          <w:instrText>PAGE   \* MERGEFORMAT</w:instrText>
        </w:r>
        <w:r w:rsidRPr="00A72DC4">
          <w:rPr>
            <w:rFonts w:ascii="Times New Roman" w:hAnsi="Times New Roman" w:cs="Times New Roman"/>
          </w:rPr>
          <w:fldChar w:fldCharType="separate"/>
        </w:r>
        <w:r w:rsidR="00DD6B49">
          <w:rPr>
            <w:rFonts w:ascii="Times New Roman" w:hAnsi="Times New Roman" w:cs="Times New Roman"/>
            <w:noProof/>
          </w:rPr>
          <w:t>79</w:t>
        </w:r>
        <w:r w:rsidRPr="00A72DC4">
          <w:rPr>
            <w:rFonts w:ascii="Times New Roman" w:hAnsi="Times New Roman" w:cs="Times New Roman"/>
          </w:rPr>
          <w:fldChar w:fldCharType="end"/>
        </w:r>
      </w:p>
    </w:sdtContent>
  </w:sdt>
  <w:p w:rsidR="009C1B46" w:rsidRDefault="009C1B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D9" w:rsidRDefault="00EC74D9" w:rsidP="00A72DC4">
      <w:pPr>
        <w:spacing w:after="0" w:line="240" w:lineRule="auto"/>
      </w:pPr>
      <w:r>
        <w:separator/>
      </w:r>
    </w:p>
  </w:footnote>
  <w:footnote w:type="continuationSeparator" w:id="0">
    <w:p w:rsidR="00EC74D9" w:rsidRDefault="00EC74D9" w:rsidP="00A72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46" w:rsidRPr="00A72DC4" w:rsidRDefault="009C1B46" w:rsidP="00A72DC4">
    <w:pPr>
      <w:pStyle w:val="a4"/>
      <w:jc w:val="center"/>
      <w:rPr>
        <w:rFonts w:ascii="Times New Roman" w:hAnsi="Times New Roman" w:cs="Times New Roman"/>
        <w:i/>
      </w:rPr>
    </w:pPr>
    <w:r w:rsidRPr="00A72DC4">
      <w:rPr>
        <w:rFonts w:ascii="Times New Roman" w:hAnsi="Times New Roman" w:cs="Times New Roman"/>
        <w:i/>
      </w:rPr>
      <w:t>Трансплантация аутологичных гемопоэтических стволовых клеток при гемобластозах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807"/>
    <w:multiLevelType w:val="hybridMultilevel"/>
    <w:tmpl w:val="B490A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701AD"/>
    <w:multiLevelType w:val="multilevel"/>
    <w:tmpl w:val="A706344E"/>
    <w:lvl w:ilvl="0">
      <w:start w:val="2"/>
      <w:numFmt w:val="decimal"/>
      <w:lvlText w:val="%1."/>
      <w:lvlJc w:val="left"/>
      <w:pPr>
        <w:ind w:left="502" w:hanging="360"/>
      </w:pPr>
      <w:rPr>
        <w:rFonts w:hint="default"/>
      </w:rPr>
    </w:lvl>
    <w:lvl w:ilvl="1">
      <w:start w:val="2"/>
      <w:numFmt w:val="decimal"/>
      <w:isLgl/>
      <w:lvlText w:val="%1.%2."/>
      <w:lvlJc w:val="left"/>
      <w:pPr>
        <w:ind w:left="798" w:hanging="585"/>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77"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510" w:hanging="1800"/>
      </w:pPr>
      <w:rPr>
        <w:rFonts w:hint="default"/>
      </w:rPr>
    </w:lvl>
  </w:abstractNum>
  <w:abstractNum w:abstractNumId="2">
    <w:nsid w:val="02C90B72"/>
    <w:multiLevelType w:val="hybridMultilevel"/>
    <w:tmpl w:val="72D8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614BD"/>
    <w:multiLevelType w:val="hybridMultilevel"/>
    <w:tmpl w:val="8C90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13974"/>
    <w:multiLevelType w:val="hybridMultilevel"/>
    <w:tmpl w:val="FA4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403F8D"/>
    <w:multiLevelType w:val="hybridMultilevel"/>
    <w:tmpl w:val="93CEED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1F37FD"/>
    <w:multiLevelType w:val="hybridMultilevel"/>
    <w:tmpl w:val="439E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C3303E"/>
    <w:multiLevelType w:val="multilevel"/>
    <w:tmpl w:val="97285B88"/>
    <w:lvl w:ilvl="0">
      <w:start w:val="1"/>
      <w:numFmt w:val="decimal"/>
      <w:lvlText w:val="%1."/>
      <w:lvlJc w:val="left"/>
      <w:pPr>
        <w:ind w:left="502" w:hanging="360"/>
      </w:pPr>
      <w:rPr>
        <w:rFonts w:hint="default"/>
      </w:rPr>
    </w:lvl>
    <w:lvl w:ilvl="1">
      <w:start w:val="1"/>
      <w:numFmt w:val="decimal"/>
      <w:isLgl/>
      <w:lvlText w:val="%1.%2"/>
      <w:lvlJc w:val="left"/>
      <w:pPr>
        <w:ind w:left="731"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189" w:hanging="72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236" w:hanging="1440"/>
      </w:pPr>
      <w:rPr>
        <w:rFonts w:hint="default"/>
      </w:rPr>
    </w:lvl>
    <w:lvl w:ilvl="7">
      <w:start w:val="1"/>
      <w:numFmt w:val="decimal"/>
      <w:isLgl/>
      <w:lvlText w:val="%1.%2.%3.%4.%5.%6.%7.%8"/>
      <w:lvlJc w:val="left"/>
      <w:pPr>
        <w:ind w:left="2345" w:hanging="1440"/>
      </w:pPr>
      <w:rPr>
        <w:rFonts w:hint="default"/>
      </w:rPr>
    </w:lvl>
    <w:lvl w:ilvl="8">
      <w:start w:val="1"/>
      <w:numFmt w:val="decimal"/>
      <w:isLgl/>
      <w:lvlText w:val="%1.%2.%3.%4.%5.%6.%7.%8.%9"/>
      <w:lvlJc w:val="left"/>
      <w:pPr>
        <w:ind w:left="2814" w:hanging="1800"/>
      </w:pPr>
      <w:rPr>
        <w:rFonts w:hint="default"/>
      </w:rPr>
    </w:lvl>
  </w:abstractNum>
  <w:abstractNum w:abstractNumId="8">
    <w:nsid w:val="068011F2"/>
    <w:multiLevelType w:val="multilevel"/>
    <w:tmpl w:val="322E729C"/>
    <w:lvl w:ilvl="0">
      <w:start w:val="2"/>
      <w:numFmt w:val="decimal"/>
      <w:lvlText w:val="%1"/>
      <w:lvlJc w:val="left"/>
      <w:pPr>
        <w:ind w:left="600" w:hanging="600"/>
      </w:pPr>
      <w:rPr>
        <w:rFonts w:hint="default"/>
      </w:rPr>
    </w:lvl>
    <w:lvl w:ilvl="1">
      <w:start w:val="1"/>
      <w:numFmt w:val="decimal"/>
      <w:lvlText w:val="%1.%2"/>
      <w:lvlJc w:val="left"/>
      <w:pPr>
        <w:ind w:left="787"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9">
    <w:nsid w:val="069B225E"/>
    <w:multiLevelType w:val="hybridMultilevel"/>
    <w:tmpl w:val="1700E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6E244BB"/>
    <w:multiLevelType w:val="hybridMultilevel"/>
    <w:tmpl w:val="1770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6C5C1C"/>
    <w:multiLevelType w:val="hybridMultilevel"/>
    <w:tmpl w:val="E5A230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AA397F"/>
    <w:multiLevelType w:val="hybridMultilevel"/>
    <w:tmpl w:val="E31C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E3117B"/>
    <w:multiLevelType w:val="hybridMultilevel"/>
    <w:tmpl w:val="877E7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EE44C2"/>
    <w:multiLevelType w:val="multilevel"/>
    <w:tmpl w:val="F450526A"/>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097617AD"/>
    <w:multiLevelType w:val="hybridMultilevel"/>
    <w:tmpl w:val="0EFEA2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803113"/>
    <w:multiLevelType w:val="hybridMultilevel"/>
    <w:tmpl w:val="A8B83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7559D1"/>
    <w:multiLevelType w:val="hybridMultilevel"/>
    <w:tmpl w:val="2DE2C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D2445A"/>
    <w:multiLevelType w:val="hybridMultilevel"/>
    <w:tmpl w:val="0A8CFB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090C2C"/>
    <w:multiLevelType w:val="hybridMultilevel"/>
    <w:tmpl w:val="70329C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1B3D13"/>
    <w:multiLevelType w:val="hybridMultilevel"/>
    <w:tmpl w:val="7608AA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0D2DF9"/>
    <w:multiLevelType w:val="hybridMultilevel"/>
    <w:tmpl w:val="E6803A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03D2516"/>
    <w:multiLevelType w:val="hybridMultilevel"/>
    <w:tmpl w:val="EFC890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0AA0379"/>
    <w:multiLevelType w:val="hybridMultilevel"/>
    <w:tmpl w:val="D6D40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313628"/>
    <w:multiLevelType w:val="hybridMultilevel"/>
    <w:tmpl w:val="0ACE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0C550D"/>
    <w:multiLevelType w:val="hybridMultilevel"/>
    <w:tmpl w:val="16A666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037E02"/>
    <w:multiLevelType w:val="hybridMultilevel"/>
    <w:tmpl w:val="B410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42F7239"/>
    <w:multiLevelType w:val="multilevel"/>
    <w:tmpl w:val="6B42494C"/>
    <w:lvl w:ilvl="0">
      <w:start w:val="1"/>
      <w:numFmt w:val="decimal"/>
      <w:lvlText w:val="%1."/>
      <w:lvlJc w:val="left"/>
      <w:pPr>
        <w:ind w:left="502" w:hanging="360"/>
      </w:pPr>
      <w:rPr>
        <w:rFonts w:hint="default"/>
      </w:rPr>
    </w:lvl>
    <w:lvl w:ilvl="1">
      <w:start w:val="2"/>
      <w:numFmt w:val="decimal"/>
      <w:isLgl/>
      <w:lvlText w:val="%1.%2."/>
      <w:lvlJc w:val="left"/>
      <w:pPr>
        <w:ind w:left="798" w:hanging="585"/>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77"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510" w:hanging="1800"/>
      </w:pPr>
      <w:rPr>
        <w:rFonts w:hint="default"/>
      </w:rPr>
    </w:lvl>
  </w:abstractNum>
  <w:abstractNum w:abstractNumId="28">
    <w:nsid w:val="14FC3CA0"/>
    <w:multiLevelType w:val="multilevel"/>
    <w:tmpl w:val="2E889A0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5F453F5"/>
    <w:multiLevelType w:val="multilevel"/>
    <w:tmpl w:val="34EA5BBA"/>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6EB753D"/>
    <w:multiLevelType w:val="hybridMultilevel"/>
    <w:tmpl w:val="060C4B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8B750CE"/>
    <w:multiLevelType w:val="hybridMultilevel"/>
    <w:tmpl w:val="E25E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BE24B2"/>
    <w:multiLevelType w:val="hybridMultilevel"/>
    <w:tmpl w:val="E1D43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F73943"/>
    <w:multiLevelType w:val="hybridMultilevel"/>
    <w:tmpl w:val="01C41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64118F"/>
    <w:multiLevelType w:val="multilevel"/>
    <w:tmpl w:val="A5729624"/>
    <w:lvl w:ilvl="0">
      <w:start w:val="3"/>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5"/>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5">
    <w:nsid w:val="1C7438F8"/>
    <w:multiLevelType w:val="hybridMultilevel"/>
    <w:tmpl w:val="6DA868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D0C0A31"/>
    <w:multiLevelType w:val="hybridMultilevel"/>
    <w:tmpl w:val="E51E3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A871A9"/>
    <w:multiLevelType w:val="hybridMultilevel"/>
    <w:tmpl w:val="60A65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DD6F7A"/>
    <w:multiLevelType w:val="hybridMultilevel"/>
    <w:tmpl w:val="B4A48E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2815BB"/>
    <w:multiLevelType w:val="hybridMultilevel"/>
    <w:tmpl w:val="94E82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EDF0E41"/>
    <w:multiLevelType w:val="hybridMultilevel"/>
    <w:tmpl w:val="1B0E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ED2CD2"/>
    <w:multiLevelType w:val="hybridMultilevel"/>
    <w:tmpl w:val="8236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F3B5361"/>
    <w:multiLevelType w:val="hybridMultilevel"/>
    <w:tmpl w:val="10D63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C92CBC"/>
    <w:multiLevelType w:val="hybridMultilevel"/>
    <w:tmpl w:val="0DCC8E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2204C5C"/>
    <w:multiLevelType w:val="hybridMultilevel"/>
    <w:tmpl w:val="776C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3012113"/>
    <w:multiLevelType w:val="multilevel"/>
    <w:tmpl w:val="2886E7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23437769"/>
    <w:multiLevelType w:val="hybridMultilevel"/>
    <w:tmpl w:val="63BEF6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6A5A47"/>
    <w:multiLevelType w:val="hybridMultilevel"/>
    <w:tmpl w:val="DD688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7022B1F"/>
    <w:multiLevelType w:val="hybridMultilevel"/>
    <w:tmpl w:val="FB46701E"/>
    <w:lvl w:ilvl="0" w:tplc="88CA29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5A3D53"/>
    <w:multiLevelType w:val="multilevel"/>
    <w:tmpl w:val="991A1642"/>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0">
    <w:nsid w:val="29862D22"/>
    <w:multiLevelType w:val="hybridMultilevel"/>
    <w:tmpl w:val="CC90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A203B18"/>
    <w:multiLevelType w:val="hybridMultilevel"/>
    <w:tmpl w:val="9918B3A0"/>
    <w:lvl w:ilvl="0" w:tplc="63BA4D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nsid w:val="2B8E0F97"/>
    <w:multiLevelType w:val="hybridMultilevel"/>
    <w:tmpl w:val="A818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A15120"/>
    <w:multiLevelType w:val="hybridMultilevel"/>
    <w:tmpl w:val="BC3AA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2CAB5E62"/>
    <w:multiLevelType w:val="hybridMultilevel"/>
    <w:tmpl w:val="60DC6A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4D1BA9"/>
    <w:multiLevelType w:val="hybridMultilevel"/>
    <w:tmpl w:val="CCC2A9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DC05429"/>
    <w:multiLevelType w:val="hybridMultilevel"/>
    <w:tmpl w:val="D2F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623489"/>
    <w:multiLevelType w:val="hybridMultilevel"/>
    <w:tmpl w:val="66DA371E"/>
    <w:lvl w:ilvl="0" w:tplc="D76CC41E">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2EFD5AFF"/>
    <w:multiLevelType w:val="hybridMultilevel"/>
    <w:tmpl w:val="829E5D02"/>
    <w:lvl w:ilvl="0" w:tplc="E6A83EB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50420A"/>
    <w:multiLevelType w:val="hybridMultilevel"/>
    <w:tmpl w:val="8644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34D4E75"/>
    <w:multiLevelType w:val="hybridMultilevel"/>
    <w:tmpl w:val="DEE0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963E80"/>
    <w:multiLevelType w:val="multilevel"/>
    <w:tmpl w:val="F4ACFF5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081" w:hanging="720"/>
      </w:pPr>
      <w:rPr>
        <w:rFonts w:hint="default"/>
      </w:rPr>
    </w:lvl>
    <w:lvl w:ilvl="4">
      <w:start w:val="1"/>
      <w:numFmt w:val="decimal"/>
      <w:lvlText w:val="%1.%2.%3.%4.%5."/>
      <w:lvlJc w:val="left"/>
      <w:pPr>
        <w:ind w:left="4228"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6949" w:hanging="1440"/>
      </w:pPr>
      <w:rPr>
        <w:rFonts w:hint="default"/>
      </w:rPr>
    </w:lvl>
    <w:lvl w:ilvl="8">
      <w:start w:val="1"/>
      <w:numFmt w:val="decimal"/>
      <w:lvlText w:val="%1.%2.%3.%4.%5.%6.%7.%8.%9."/>
      <w:lvlJc w:val="left"/>
      <w:pPr>
        <w:ind w:left="8096" w:hanging="1800"/>
      </w:pPr>
      <w:rPr>
        <w:rFonts w:hint="default"/>
      </w:rPr>
    </w:lvl>
  </w:abstractNum>
  <w:abstractNum w:abstractNumId="62">
    <w:nsid w:val="33A32DB3"/>
    <w:multiLevelType w:val="hybridMultilevel"/>
    <w:tmpl w:val="F1DC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AC1BDC"/>
    <w:multiLevelType w:val="hybridMultilevel"/>
    <w:tmpl w:val="D9B0D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4474007"/>
    <w:multiLevelType w:val="hybridMultilevel"/>
    <w:tmpl w:val="068CA8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346B37C6"/>
    <w:multiLevelType w:val="hybridMultilevel"/>
    <w:tmpl w:val="14927E2C"/>
    <w:lvl w:ilvl="0" w:tplc="BFFE2E26">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8EF7B49"/>
    <w:multiLevelType w:val="hybridMultilevel"/>
    <w:tmpl w:val="043A83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8F66456"/>
    <w:multiLevelType w:val="hybridMultilevel"/>
    <w:tmpl w:val="298AE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9B63A74"/>
    <w:multiLevelType w:val="hybridMultilevel"/>
    <w:tmpl w:val="E13C37CE"/>
    <w:lvl w:ilvl="0" w:tplc="A378BA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D3B3E26"/>
    <w:multiLevelType w:val="hybridMultilevel"/>
    <w:tmpl w:val="9460D1A8"/>
    <w:lvl w:ilvl="0" w:tplc="93E8D1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0">
    <w:nsid w:val="3D8F4E44"/>
    <w:multiLevelType w:val="hybridMultilevel"/>
    <w:tmpl w:val="9AB0E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1F926C8"/>
    <w:multiLevelType w:val="hybridMultilevel"/>
    <w:tmpl w:val="967C8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36671F2"/>
    <w:multiLevelType w:val="hybridMultilevel"/>
    <w:tmpl w:val="589CD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375D13"/>
    <w:multiLevelType w:val="hybridMultilevel"/>
    <w:tmpl w:val="F28216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69869AE"/>
    <w:multiLevelType w:val="hybridMultilevel"/>
    <w:tmpl w:val="0DC45CF2"/>
    <w:lvl w:ilvl="0" w:tplc="D76CC41E">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47500D16"/>
    <w:multiLevelType w:val="hybridMultilevel"/>
    <w:tmpl w:val="D312DB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7E14443"/>
    <w:multiLevelType w:val="hybridMultilevel"/>
    <w:tmpl w:val="EE26E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7F836B7"/>
    <w:multiLevelType w:val="hybridMultilevel"/>
    <w:tmpl w:val="C828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8A1119A"/>
    <w:multiLevelType w:val="hybridMultilevel"/>
    <w:tmpl w:val="EC341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BE5A0E"/>
    <w:multiLevelType w:val="multilevel"/>
    <w:tmpl w:val="1A2C6DD6"/>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0">
    <w:nsid w:val="48CC0A55"/>
    <w:multiLevelType w:val="hybridMultilevel"/>
    <w:tmpl w:val="13225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9AF70B8"/>
    <w:multiLevelType w:val="hybridMultilevel"/>
    <w:tmpl w:val="1EFC1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C175827"/>
    <w:multiLevelType w:val="multilevel"/>
    <w:tmpl w:val="9F9A6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D4633B7"/>
    <w:multiLevelType w:val="hybridMultilevel"/>
    <w:tmpl w:val="4E94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E002C25"/>
    <w:multiLevelType w:val="hybridMultilevel"/>
    <w:tmpl w:val="9E525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EA2559D"/>
    <w:multiLevelType w:val="hybridMultilevel"/>
    <w:tmpl w:val="68DAE0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51003E57"/>
    <w:multiLevelType w:val="hybridMultilevel"/>
    <w:tmpl w:val="AA760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A15903"/>
    <w:multiLevelType w:val="hybridMultilevel"/>
    <w:tmpl w:val="974CA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61D52BA"/>
    <w:multiLevelType w:val="hybridMultilevel"/>
    <w:tmpl w:val="566013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562B7A6E"/>
    <w:multiLevelType w:val="hybridMultilevel"/>
    <w:tmpl w:val="31B43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197E79"/>
    <w:multiLevelType w:val="hybridMultilevel"/>
    <w:tmpl w:val="0DFE2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8E929BE"/>
    <w:multiLevelType w:val="hybridMultilevel"/>
    <w:tmpl w:val="35683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C11366E"/>
    <w:multiLevelType w:val="hybridMultilevel"/>
    <w:tmpl w:val="4BE27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655BEF"/>
    <w:multiLevelType w:val="hybridMultilevel"/>
    <w:tmpl w:val="B35C4DF6"/>
    <w:lvl w:ilvl="0" w:tplc="6FE65B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4">
    <w:nsid w:val="5C754B14"/>
    <w:multiLevelType w:val="hybridMultilevel"/>
    <w:tmpl w:val="5C70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CEE57BB"/>
    <w:multiLevelType w:val="hybridMultilevel"/>
    <w:tmpl w:val="A524D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BB20C8"/>
    <w:multiLevelType w:val="hybridMultilevel"/>
    <w:tmpl w:val="8632A7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E0E191C"/>
    <w:multiLevelType w:val="hybridMultilevel"/>
    <w:tmpl w:val="E3806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E3E40E7"/>
    <w:multiLevelType w:val="hybridMultilevel"/>
    <w:tmpl w:val="774A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407EA2"/>
    <w:multiLevelType w:val="multilevel"/>
    <w:tmpl w:val="BC5A6830"/>
    <w:lvl w:ilvl="0">
      <w:start w:val="1"/>
      <w:numFmt w:val="decimal"/>
      <w:lvlText w:val="%1."/>
      <w:lvlJc w:val="left"/>
      <w:pPr>
        <w:ind w:left="502" w:hanging="360"/>
      </w:pPr>
      <w:rPr>
        <w:rFonts w:hint="default"/>
      </w:rPr>
    </w:lvl>
    <w:lvl w:ilvl="1">
      <w:start w:val="2"/>
      <w:numFmt w:val="decimal"/>
      <w:isLgl/>
      <w:lvlText w:val="%1.%2"/>
      <w:lvlJc w:val="left"/>
      <w:pPr>
        <w:ind w:left="1053" w:hanging="480"/>
      </w:pPr>
      <w:rPr>
        <w:rFonts w:hint="default"/>
      </w:rPr>
    </w:lvl>
    <w:lvl w:ilvl="2">
      <w:start w:val="6"/>
      <w:numFmt w:val="decimal"/>
      <w:isLgl/>
      <w:lvlText w:val="%1.%2.%3"/>
      <w:lvlJc w:val="left"/>
      <w:pPr>
        <w:ind w:left="1724" w:hanging="720"/>
      </w:pPr>
      <w:rPr>
        <w:rFonts w:hint="default"/>
      </w:rPr>
    </w:lvl>
    <w:lvl w:ilvl="3">
      <w:start w:val="1"/>
      <w:numFmt w:val="decimal"/>
      <w:isLgl/>
      <w:lvlText w:val="%1.%2.%3.%4"/>
      <w:lvlJc w:val="left"/>
      <w:pPr>
        <w:ind w:left="2155"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77"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99" w:hanging="1440"/>
      </w:pPr>
      <w:rPr>
        <w:rFonts w:hint="default"/>
      </w:rPr>
    </w:lvl>
    <w:lvl w:ilvl="8">
      <w:start w:val="1"/>
      <w:numFmt w:val="decimal"/>
      <w:isLgl/>
      <w:lvlText w:val="%1.%2.%3.%4.%5.%6.%7.%8.%9"/>
      <w:lvlJc w:val="left"/>
      <w:pPr>
        <w:ind w:left="5030" w:hanging="1440"/>
      </w:pPr>
      <w:rPr>
        <w:rFonts w:hint="default"/>
      </w:rPr>
    </w:lvl>
  </w:abstractNum>
  <w:abstractNum w:abstractNumId="100">
    <w:nsid w:val="5E42575E"/>
    <w:multiLevelType w:val="hybridMultilevel"/>
    <w:tmpl w:val="2DE07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EB57E18"/>
    <w:multiLevelType w:val="hybridMultilevel"/>
    <w:tmpl w:val="0114B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7D666F"/>
    <w:multiLevelType w:val="hybridMultilevel"/>
    <w:tmpl w:val="FAC2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0C062FF"/>
    <w:multiLevelType w:val="hybridMultilevel"/>
    <w:tmpl w:val="040A4DCE"/>
    <w:lvl w:ilvl="0" w:tplc="D76CC41E">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61D3292F"/>
    <w:multiLevelType w:val="multilevel"/>
    <w:tmpl w:val="6C08061E"/>
    <w:lvl w:ilvl="0">
      <w:start w:val="1"/>
      <w:numFmt w:val="decimal"/>
      <w:lvlText w:val="%1."/>
      <w:lvlJc w:val="left"/>
      <w:pPr>
        <w:ind w:left="502" w:hanging="360"/>
      </w:pPr>
      <w:rPr>
        <w:rFonts w:hint="default"/>
      </w:rPr>
    </w:lvl>
    <w:lvl w:ilvl="1">
      <w:start w:val="2"/>
      <w:numFmt w:val="decimal"/>
      <w:isLgl/>
      <w:lvlText w:val="%1.%2."/>
      <w:lvlJc w:val="left"/>
      <w:pPr>
        <w:ind w:left="798" w:hanging="585"/>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77"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510" w:hanging="1800"/>
      </w:pPr>
      <w:rPr>
        <w:rFonts w:hint="default"/>
      </w:rPr>
    </w:lvl>
  </w:abstractNum>
  <w:abstractNum w:abstractNumId="105">
    <w:nsid w:val="63C72227"/>
    <w:multiLevelType w:val="hybridMultilevel"/>
    <w:tmpl w:val="E5C8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40C6E06"/>
    <w:multiLevelType w:val="hybridMultilevel"/>
    <w:tmpl w:val="2852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4CB17D4"/>
    <w:multiLevelType w:val="hybridMultilevel"/>
    <w:tmpl w:val="B944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F4084C"/>
    <w:multiLevelType w:val="hybridMultilevel"/>
    <w:tmpl w:val="65725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FB0DEB"/>
    <w:multiLevelType w:val="hybridMultilevel"/>
    <w:tmpl w:val="336C1E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65352F1"/>
    <w:multiLevelType w:val="hybridMultilevel"/>
    <w:tmpl w:val="3718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6E51975"/>
    <w:multiLevelType w:val="hybridMultilevel"/>
    <w:tmpl w:val="7A7C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7464575"/>
    <w:multiLevelType w:val="hybridMultilevel"/>
    <w:tmpl w:val="AAC275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78F247B"/>
    <w:multiLevelType w:val="hybridMultilevel"/>
    <w:tmpl w:val="7F36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9E82B41"/>
    <w:multiLevelType w:val="hybridMultilevel"/>
    <w:tmpl w:val="485AF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AA03C75"/>
    <w:multiLevelType w:val="hybridMultilevel"/>
    <w:tmpl w:val="0FAED8C2"/>
    <w:lvl w:ilvl="0" w:tplc="0698627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B1C6952"/>
    <w:multiLevelType w:val="hybridMultilevel"/>
    <w:tmpl w:val="61128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D384105"/>
    <w:multiLevelType w:val="multilevel"/>
    <w:tmpl w:val="54E08D8C"/>
    <w:lvl w:ilvl="0">
      <w:start w:val="1"/>
      <w:numFmt w:val="decimal"/>
      <w:lvlText w:val="%1."/>
      <w:lvlJc w:val="left"/>
      <w:pPr>
        <w:ind w:left="502" w:hanging="360"/>
      </w:pPr>
      <w:rPr>
        <w:rFonts w:hint="default"/>
      </w:rPr>
    </w:lvl>
    <w:lvl w:ilvl="1">
      <w:start w:val="2"/>
      <w:numFmt w:val="decimal"/>
      <w:isLgl/>
      <w:lvlText w:val="%1.%2."/>
      <w:lvlJc w:val="left"/>
      <w:pPr>
        <w:ind w:left="798" w:hanging="585"/>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77"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510" w:hanging="1800"/>
      </w:pPr>
      <w:rPr>
        <w:rFonts w:hint="default"/>
      </w:rPr>
    </w:lvl>
  </w:abstractNum>
  <w:abstractNum w:abstractNumId="118">
    <w:nsid w:val="6E2010A3"/>
    <w:multiLevelType w:val="hybridMultilevel"/>
    <w:tmpl w:val="0BD07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E24223D"/>
    <w:multiLevelType w:val="hybridMultilevel"/>
    <w:tmpl w:val="7450B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DC162F"/>
    <w:multiLevelType w:val="hybridMultilevel"/>
    <w:tmpl w:val="7FEAD3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10E7B94"/>
    <w:multiLevelType w:val="hybridMultilevel"/>
    <w:tmpl w:val="6090CD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71F87B85"/>
    <w:multiLevelType w:val="hybridMultilevel"/>
    <w:tmpl w:val="DF404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3857C0E"/>
    <w:multiLevelType w:val="hybridMultilevel"/>
    <w:tmpl w:val="ED986C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4">
    <w:nsid w:val="74233B1A"/>
    <w:multiLevelType w:val="hybridMultilevel"/>
    <w:tmpl w:val="4062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42F0635"/>
    <w:multiLevelType w:val="multilevel"/>
    <w:tmpl w:val="446EC67A"/>
    <w:lvl w:ilvl="0">
      <w:start w:val="1"/>
      <w:numFmt w:val="decimal"/>
      <w:lvlText w:val="%1."/>
      <w:lvlJc w:val="left"/>
      <w:pPr>
        <w:ind w:left="502" w:hanging="360"/>
      </w:pPr>
      <w:rPr>
        <w:rFonts w:hint="default"/>
      </w:rPr>
    </w:lvl>
    <w:lvl w:ilvl="1">
      <w:start w:val="2"/>
      <w:numFmt w:val="decimal"/>
      <w:isLgl/>
      <w:lvlText w:val="%1.%2."/>
      <w:lvlJc w:val="left"/>
      <w:pPr>
        <w:ind w:left="798" w:hanging="585"/>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07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77"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510" w:hanging="1800"/>
      </w:pPr>
      <w:rPr>
        <w:rFonts w:hint="default"/>
      </w:rPr>
    </w:lvl>
  </w:abstractNum>
  <w:abstractNum w:abstractNumId="126">
    <w:nsid w:val="74BE66AC"/>
    <w:multiLevelType w:val="hybridMultilevel"/>
    <w:tmpl w:val="86D8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4FB01F8"/>
    <w:multiLevelType w:val="hybridMultilevel"/>
    <w:tmpl w:val="87B48F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65F70D1"/>
    <w:multiLevelType w:val="hybridMultilevel"/>
    <w:tmpl w:val="B0288ABE"/>
    <w:lvl w:ilvl="0" w:tplc="A378BA5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6AD17CF"/>
    <w:multiLevelType w:val="hybridMultilevel"/>
    <w:tmpl w:val="031A4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76E33EC4"/>
    <w:multiLevelType w:val="hybridMultilevel"/>
    <w:tmpl w:val="47E2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6E9193A"/>
    <w:multiLevelType w:val="hybridMultilevel"/>
    <w:tmpl w:val="E392EA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nsid w:val="777107AF"/>
    <w:multiLevelType w:val="hybridMultilevel"/>
    <w:tmpl w:val="D63A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9295B81"/>
    <w:multiLevelType w:val="hybridMultilevel"/>
    <w:tmpl w:val="384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9713416"/>
    <w:multiLevelType w:val="hybridMultilevel"/>
    <w:tmpl w:val="D548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BAB11B1"/>
    <w:multiLevelType w:val="hybridMultilevel"/>
    <w:tmpl w:val="F0D6F0BA"/>
    <w:lvl w:ilvl="0" w:tplc="D76CC41E">
      <w:start w:val="1"/>
      <w:numFmt w:val="bullet"/>
      <w:lvlText w:val="•"/>
      <w:lvlJc w:val="left"/>
      <w:pPr>
        <w:tabs>
          <w:tab w:val="num" w:pos="720"/>
        </w:tabs>
        <w:ind w:left="720" w:hanging="360"/>
      </w:pPr>
      <w:rPr>
        <w:rFonts w:ascii="Arial" w:hAnsi="Arial" w:hint="default"/>
      </w:rPr>
    </w:lvl>
    <w:lvl w:ilvl="1" w:tplc="2F8ECD54" w:tentative="1">
      <w:start w:val="1"/>
      <w:numFmt w:val="bullet"/>
      <w:lvlText w:val="•"/>
      <w:lvlJc w:val="left"/>
      <w:pPr>
        <w:tabs>
          <w:tab w:val="num" w:pos="1440"/>
        </w:tabs>
        <w:ind w:left="1440" w:hanging="360"/>
      </w:pPr>
      <w:rPr>
        <w:rFonts w:ascii="Arial" w:hAnsi="Arial" w:hint="default"/>
      </w:rPr>
    </w:lvl>
    <w:lvl w:ilvl="2" w:tplc="CE8C5248" w:tentative="1">
      <w:start w:val="1"/>
      <w:numFmt w:val="bullet"/>
      <w:lvlText w:val="•"/>
      <w:lvlJc w:val="left"/>
      <w:pPr>
        <w:tabs>
          <w:tab w:val="num" w:pos="2160"/>
        </w:tabs>
        <w:ind w:left="2160" w:hanging="360"/>
      </w:pPr>
      <w:rPr>
        <w:rFonts w:ascii="Arial" w:hAnsi="Arial" w:hint="default"/>
      </w:rPr>
    </w:lvl>
    <w:lvl w:ilvl="3" w:tplc="225EDACA" w:tentative="1">
      <w:start w:val="1"/>
      <w:numFmt w:val="bullet"/>
      <w:lvlText w:val="•"/>
      <w:lvlJc w:val="left"/>
      <w:pPr>
        <w:tabs>
          <w:tab w:val="num" w:pos="2880"/>
        </w:tabs>
        <w:ind w:left="2880" w:hanging="360"/>
      </w:pPr>
      <w:rPr>
        <w:rFonts w:ascii="Arial" w:hAnsi="Arial" w:hint="default"/>
      </w:rPr>
    </w:lvl>
    <w:lvl w:ilvl="4" w:tplc="0626367E" w:tentative="1">
      <w:start w:val="1"/>
      <w:numFmt w:val="bullet"/>
      <w:lvlText w:val="•"/>
      <w:lvlJc w:val="left"/>
      <w:pPr>
        <w:tabs>
          <w:tab w:val="num" w:pos="3600"/>
        </w:tabs>
        <w:ind w:left="3600" w:hanging="360"/>
      </w:pPr>
      <w:rPr>
        <w:rFonts w:ascii="Arial" w:hAnsi="Arial" w:hint="default"/>
      </w:rPr>
    </w:lvl>
    <w:lvl w:ilvl="5" w:tplc="F3F24E2C" w:tentative="1">
      <w:start w:val="1"/>
      <w:numFmt w:val="bullet"/>
      <w:lvlText w:val="•"/>
      <w:lvlJc w:val="left"/>
      <w:pPr>
        <w:tabs>
          <w:tab w:val="num" w:pos="4320"/>
        </w:tabs>
        <w:ind w:left="4320" w:hanging="360"/>
      </w:pPr>
      <w:rPr>
        <w:rFonts w:ascii="Arial" w:hAnsi="Arial" w:hint="default"/>
      </w:rPr>
    </w:lvl>
    <w:lvl w:ilvl="6" w:tplc="66CAD2A8" w:tentative="1">
      <w:start w:val="1"/>
      <w:numFmt w:val="bullet"/>
      <w:lvlText w:val="•"/>
      <w:lvlJc w:val="left"/>
      <w:pPr>
        <w:tabs>
          <w:tab w:val="num" w:pos="5040"/>
        </w:tabs>
        <w:ind w:left="5040" w:hanging="360"/>
      </w:pPr>
      <w:rPr>
        <w:rFonts w:ascii="Arial" w:hAnsi="Arial" w:hint="default"/>
      </w:rPr>
    </w:lvl>
    <w:lvl w:ilvl="7" w:tplc="2D2688B4" w:tentative="1">
      <w:start w:val="1"/>
      <w:numFmt w:val="bullet"/>
      <w:lvlText w:val="•"/>
      <w:lvlJc w:val="left"/>
      <w:pPr>
        <w:tabs>
          <w:tab w:val="num" w:pos="5760"/>
        </w:tabs>
        <w:ind w:left="5760" w:hanging="360"/>
      </w:pPr>
      <w:rPr>
        <w:rFonts w:ascii="Arial" w:hAnsi="Arial" w:hint="default"/>
      </w:rPr>
    </w:lvl>
    <w:lvl w:ilvl="8" w:tplc="D7D0C13C" w:tentative="1">
      <w:start w:val="1"/>
      <w:numFmt w:val="bullet"/>
      <w:lvlText w:val="•"/>
      <w:lvlJc w:val="left"/>
      <w:pPr>
        <w:tabs>
          <w:tab w:val="num" w:pos="6480"/>
        </w:tabs>
        <w:ind w:left="6480" w:hanging="360"/>
      </w:pPr>
      <w:rPr>
        <w:rFonts w:ascii="Arial" w:hAnsi="Arial" w:hint="default"/>
      </w:rPr>
    </w:lvl>
  </w:abstractNum>
  <w:abstractNum w:abstractNumId="136">
    <w:nsid w:val="7C2D2F11"/>
    <w:multiLevelType w:val="hybridMultilevel"/>
    <w:tmpl w:val="AAC285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C7F6091"/>
    <w:multiLevelType w:val="multilevel"/>
    <w:tmpl w:val="1DCEE3AE"/>
    <w:lvl w:ilvl="0">
      <w:start w:val="1"/>
      <w:numFmt w:val="decimal"/>
      <w:lvlText w:val="%1."/>
      <w:lvlJc w:val="left"/>
      <w:pPr>
        <w:ind w:left="1004" w:hanging="360"/>
      </w:pPr>
      <w:rPr>
        <w:rFonts w:hint="default"/>
      </w:rPr>
    </w:lvl>
    <w:lvl w:ilvl="1">
      <w:start w:val="4"/>
      <w:numFmt w:val="decimal"/>
      <w:isLgl/>
      <w:lvlText w:val="%1.%2."/>
      <w:lvlJc w:val="left"/>
      <w:pPr>
        <w:ind w:left="1184" w:hanging="5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8">
    <w:nsid w:val="7D0B5D6E"/>
    <w:multiLevelType w:val="hybridMultilevel"/>
    <w:tmpl w:val="28E8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D253A11"/>
    <w:multiLevelType w:val="hybridMultilevel"/>
    <w:tmpl w:val="CDC45FAE"/>
    <w:lvl w:ilvl="0" w:tplc="D94857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0">
    <w:nsid w:val="7E612FB6"/>
    <w:multiLevelType w:val="hybridMultilevel"/>
    <w:tmpl w:val="77D2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EE43BF6"/>
    <w:multiLevelType w:val="multilevel"/>
    <w:tmpl w:val="1D52218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2">
    <w:nsid w:val="7FCE568C"/>
    <w:multiLevelType w:val="hybridMultilevel"/>
    <w:tmpl w:val="F0E2B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69"/>
  </w:num>
  <w:num w:numId="3">
    <w:abstractNumId w:val="99"/>
  </w:num>
  <w:num w:numId="4">
    <w:abstractNumId w:val="104"/>
  </w:num>
  <w:num w:numId="5">
    <w:abstractNumId w:val="93"/>
  </w:num>
  <w:num w:numId="6">
    <w:abstractNumId w:val="82"/>
  </w:num>
  <w:num w:numId="7">
    <w:abstractNumId w:val="64"/>
  </w:num>
  <w:num w:numId="8">
    <w:abstractNumId w:val="51"/>
  </w:num>
  <w:num w:numId="9">
    <w:abstractNumId w:val="58"/>
  </w:num>
  <w:num w:numId="10">
    <w:abstractNumId w:val="115"/>
  </w:num>
  <w:num w:numId="11">
    <w:abstractNumId w:val="139"/>
  </w:num>
  <w:num w:numId="12">
    <w:abstractNumId w:val="7"/>
  </w:num>
  <w:num w:numId="13">
    <w:abstractNumId w:val="137"/>
  </w:num>
  <w:num w:numId="14">
    <w:abstractNumId w:val="17"/>
  </w:num>
  <w:num w:numId="15">
    <w:abstractNumId w:val="8"/>
  </w:num>
  <w:num w:numId="16">
    <w:abstractNumId w:val="94"/>
  </w:num>
  <w:num w:numId="17">
    <w:abstractNumId w:val="78"/>
  </w:num>
  <w:num w:numId="18">
    <w:abstractNumId w:val="62"/>
  </w:num>
  <w:num w:numId="19">
    <w:abstractNumId w:val="130"/>
  </w:num>
  <w:num w:numId="20">
    <w:abstractNumId w:val="96"/>
  </w:num>
  <w:num w:numId="21">
    <w:abstractNumId w:val="118"/>
  </w:num>
  <w:num w:numId="22">
    <w:abstractNumId w:val="97"/>
  </w:num>
  <w:num w:numId="23">
    <w:abstractNumId w:val="66"/>
  </w:num>
  <w:num w:numId="24">
    <w:abstractNumId w:val="132"/>
  </w:num>
  <w:num w:numId="25">
    <w:abstractNumId w:val="92"/>
  </w:num>
  <w:num w:numId="26">
    <w:abstractNumId w:val="0"/>
  </w:num>
  <w:num w:numId="27">
    <w:abstractNumId w:val="60"/>
  </w:num>
  <w:num w:numId="28">
    <w:abstractNumId w:val="111"/>
  </w:num>
  <w:num w:numId="29">
    <w:abstractNumId w:val="31"/>
  </w:num>
  <w:num w:numId="30">
    <w:abstractNumId w:val="5"/>
  </w:num>
  <w:num w:numId="31">
    <w:abstractNumId w:val="124"/>
  </w:num>
  <w:num w:numId="32">
    <w:abstractNumId w:val="110"/>
  </w:num>
  <w:num w:numId="33">
    <w:abstractNumId w:val="33"/>
  </w:num>
  <w:num w:numId="34">
    <w:abstractNumId w:val="3"/>
  </w:num>
  <w:num w:numId="35">
    <w:abstractNumId w:val="142"/>
  </w:num>
  <w:num w:numId="36">
    <w:abstractNumId w:val="4"/>
  </w:num>
  <w:num w:numId="37">
    <w:abstractNumId w:val="109"/>
  </w:num>
  <w:num w:numId="38">
    <w:abstractNumId w:val="6"/>
  </w:num>
  <w:num w:numId="39">
    <w:abstractNumId w:val="107"/>
  </w:num>
  <w:num w:numId="40">
    <w:abstractNumId w:val="13"/>
  </w:num>
  <w:num w:numId="41">
    <w:abstractNumId w:val="15"/>
  </w:num>
  <w:num w:numId="42">
    <w:abstractNumId w:val="84"/>
  </w:num>
  <w:num w:numId="43">
    <w:abstractNumId w:val="18"/>
  </w:num>
  <w:num w:numId="44">
    <w:abstractNumId w:val="50"/>
  </w:num>
  <w:num w:numId="45">
    <w:abstractNumId w:val="140"/>
  </w:num>
  <w:num w:numId="46">
    <w:abstractNumId w:val="106"/>
  </w:num>
  <w:num w:numId="47">
    <w:abstractNumId w:val="55"/>
  </w:num>
  <w:num w:numId="48">
    <w:abstractNumId w:val="11"/>
  </w:num>
  <w:num w:numId="49">
    <w:abstractNumId w:val="126"/>
  </w:num>
  <w:num w:numId="50">
    <w:abstractNumId w:val="112"/>
  </w:num>
  <w:num w:numId="51">
    <w:abstractNumId w:val="77"/>
  </w:num>
  <w:num w:numId="52">
    <w:abstractNumId w:val="20"/>
  </w:num>
  <w:num w:numId="53">
    <w:abstractNumId w:val="76"/>
  </w:num>
  <w:num w:numId="54">
    <w:abstractNumId w:val="75"/>
  </w:num>
  <w:num w:numId="55">
    <w:abstractNumId w:val="44"/>
  </w:num>
  <w:num w:numId="56">
    <w:abstractNumId w:val="12"/>
  </w:num>
  <w:num w:numId="57">
    <w:abstractNumId w:val="136"/>
  </w:num>
  <w:num w:numId="58">
    <w:abstractNumId w:val="138"/>
  </w:num>
  <w:num w:numId="59">
    <w:abstractNumId w:val="56"/>
  </w:num>
  <w:num w:numId="60">
    <w:abstractNumId w:val="100"/>
  </w:num>
  <w:num w:numId="61">
    <w:abstractNumId w:val="71"/>
  </w:num>
  <w:num w:numId="62">
    <w:abstractNumId w:val="54"/>
  </w:num>
  <w:num w:numId="63">
    <w:abstractNumId w:val="38"/>
  </w:num>
  <w:num w:numId="64">
    <w:abstractNumId w:val="19"/>
  </w:num>
  <w:num w:numId="65">
    <w:abstractNumId w:val="43"/>
  </w:num>
  <w:num w:numId="66">
    <w:abstractNumId w:val="40"/>
  </w:num>
  <w:num w:numId="67">
    <w:abstractNumId w:val="105"/>
  </w:num>
  <w:num w:numId="68">
    <w:abstractNumId w:val="95"/>
  </w:num>
  <w:num w:numId="69">
    <w:abstractNumId w:val="46"/>
  </w:num>
  <w:num w:numId="70">
    <w:abstractNumId w:val="134"/>
  </w:num>
  <w:num w:numId="71">
    <w:abstractNumId w:val="120"/>
  </w:num>
  <w:num w:numId="72">
    <w:abstractNumId w:val="113"/>
  </w:num>
  <w:num w:numId="73">
    <w:abstractNumId w:val="25"/>
  </w:num>
  <w:num w:numId="74">
    <w:abstractNumId w:val="119"/>
  </w:num>
  <w:num w:numId="75">
    <w:abstractNumId w:val="122"/>
  </w:num>
  <w:num w:numId="76">
    <w:abstractNumId w:val="23"/>
  </w:num>
  <w:num w:numId="77">
    <w:abstractNumId w:val="47"/>
  </w:num>
  <w:num w:numId="78">
    <w:abstractNumId w:val="36"/>
  </w:num>
  <w:num w:numId="79">
    <w:abstractNumId w:val="114"/>
  </w:num>
  <w:num w:numId="80">
    <w:abstractNumId w:val="91"/>
  </w:num>
  <w:num w:numId="81">
    <w:abstractNumId w:val="37"/>
  </w:num>
  <w:num w:numId="82">
    <w:abstractNumId w:val="90"/>
  </w:num>
  <w:num w:numId="83">
    <w:abstractNumId w:val="86"/>
  </w:num>
  <w:num w:numId="84">
    <w:abstractNumId w:val="26"/>
  </w:num>
  <w:num w:numId="85">
    <w:abstractNumId w:val="63"/>
  </w:num>
  <w:num w:numId="86">
    <w:abstractNumId w:val="98"/>
  </w:num>
  <w:num w:numId="87">
    <w:abstractNumId w:val="102"/>
  </w:num>
  <w:num w:numId="88">
    <w:abstractNumId w:val="16"/>
  </w:num>
  <w:num w:numId="89">
    <w:abstractNumId w:val="52"/>
  </w:num>
  <w:num w:numId="90">
    <w:abstractNumId w:val="59"/>
  </w:num>
  <w:num w:numId="91">
    <w:abstractNumId w:val="80"/>
  </w:num>
  <w:num w:numId="92">
    <w:abstractNumId w:val="89"/>
  </w:num>
  <w:num w:numId="93">
    <w:abstractNumId w:val="87"/>
  </w:num>
  <w:num w:numId="94">
    <w:abstractNumId w:val="127"/>
  </w:num>
  <w:num w:numId="95">
    <w:abstractNumId w:val="81"/>
  </w:num>
  <w:num w:numId="96">
    <w:abstractNumId w:val="72"/>
  </w:num>
  <w:num w:numId="97">
    <w:abstractNumId w:val="67"/>
  </w:num>
  <w:num w:numId="98">
    <w:abstractNumId w:val="32"/>
  </w:num>
  <w:num w:numId="99">
    <w:abstractNumId w:val="83"/>
  </w:num>
  <w:num w:numId="100">
    <w:abstractNumId w:val="41"/>
  </w:num>
  <w:num w:numId="101">
    <w:abstractNumId w:val="121"/>
  </w:num>
  <w:num w:numId="102">
    <w:abstractNumId w:val="135"/>
  </w:num>
  <w:num w:numId="103">
    <w:abstractNumId w:val="128"/>
  </w:num>
  <w:num w:numId="104">
    <w:abstractNumId w:val="68"/>
  </w:num>
  <w:num w:numId="105">
    <w:abstractNumId w:val="45"/>
  </w:num>
  <w:num w:numId="106">
    <w:abstractNumId w:val="14"/>
  </w:num>
  <w:num w:numId="107">
    <w:abstractNumId w:val="108"/>
  </w:num>
  <w:num w:numId="108">
    <w:abstractNumId w:val="73"/>
  </w:num>
  <w:num w:numId="109">
    <w:abstractNumId w:val="49"/>
  </w:num>
  <w:num w:numId="110">
    <w:abstractNumId w:val="48"/>
  </w:num>
  <w:num w:numId="111">
    <w:abstractNumId w:val="79"/>
  </w:num>
  <w:num w:numId="112">
    <w:abstractNumId w:val="61"/>
  </w:num>
  <w:num w:numId="113">
    <w:abstractNumId w:val="133"/>
  </w:num>
  <w:num w:numId="114">
    <w:abstractNumId w:val="85"/>
  </w:num>
  <w:num w:numId="115">
    <w:abstractNumId w:val="22"/>
  </w:num>
  <w:num w:numId="116">
    <w:abstractNumId w:val="131"/>
  </w:num>
  <w:num w:numId="117">
    <w:abstractNumId w:val="35"/>
  </w:num>
  <w:num w:numId="118">
    <w:abstractNumId w:val="10"/>
  </w:num>
  <w:num w:numId="119">
    <w:abstractNumId w:val="2"/>
  </w:num>
  <w:num w:numId="120">
    <w:abstractNumId w:val="116"/>
  </w:num>
  <w:num w:numId="121">
    <w:abstractNumId w:val="70"/>
  </w:num>
  <w:num w:numId="122">
    <w:abstractNumId w:val="21"/>
  </w:num>
  <w:num w:numId="123">
    <w:abstractNumId w:val="42"/>
  </w:num>
  <w:num w:numId="124">
    <w:abstractNumId w:val="24"/>
  </w:num>
  <w:num w:numId="125">
    <w:abstractNumId w:val="141"/>
  </w:num>
  <w:num w:numId="126">
    <w:abstractNumId w:val="34"/>
  </w:num>
  <w:num w:numId="127">
    <w:abstractNumId w:val="28"/>
  </w:num>
  <w:num w:numId="128">
    <w:abstractNumId w:val="29"/>
  </w:num>
  <w:num w:numId="129">
    <w:abstractNumId w:val="65"/>
  </w:num>
  <w:num w:numId="1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7"/>
  </w:num>
  <w:num w:numId="135">
    <w:abstractNumId w:val="117"/>
  </w:num>
  <w:num w:numId="136">
    <w:abstractNumId w:val="123"/>
  </w:num>
  <w:num w:numId="137">
    <w:abstractNumId w:val="1"/>
  </w:num>
  <w:num w:numId="138">
    <w:abstractNumId w:val="125"/>
  </w:num>
  <w:num w:numId="139">
    <w:abstractNumId w:val="57"/>
  </w:num>
  <w:num w:numId="140">
    <w:abstractNumId w:val="74"/>
  </w:num>
  <w:num w:numId="141">
    <w:abstractNumId w:val="103"/>
  </w:num>
  <w:num w:numId="142">
    <w:abstractNumId w:val="39"/>
  </w:num>
  <w:num w:numId="143">
    <w:abstractNumId w:val="3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0B"/>
    <w:rsid w:val="000120CC"/>
    <w:rsid w:val="00051713"/>
    <w:rsid w:val="000829D3"/>
    <w:rsid w:val="000871CF"/>
    <w:rsid w:val="000C0C91"/>
    <w:rsid w:val="000C13B2"/>
    <w:rsid w:val="000C7299"/>
    <w:rsid w:val="000E023B"/>
    <w:rsid w:val="001014B9"/>
    <w:rsid w:val="0011163E"/>
    <w:rsid w:val="0014771F"/>
    <w:rsid w:val="00150848"/>
    <w:rsid w:val="00163277"/>
    <w:rsid w:val="0016669A"/>
    <w:rsid w:val="00167E76"/>
    <w:rsid w:val="00170AB8"/>
    <w:rsid w:val="001B7A67"/>
    <w:rsid w:val="001C542E"/>
    <w:rsid w:val="001E4903"/>
    <w:rsid w:val="001F7B3F"/>
    <w:rsid w:val="00202BD1"/>
    <w:rsid w:val="00206B66"/>
    <w:rsid w:val="00212D51"/>
    <w:rsid w:val="00232624"/>
    <w:rsid w:val="00232B28"/>
    <w:rsid w:val="00234A68"/>
    <w:rsid w:val="002718E0"/>
    <w:rsid w:val="00280B07"/>
    <w:rsid w:val="00284520"/>
    <w:rsid w:val="00285957"/>
    <w:rsid w:val="002A2CEE"/>
    <w:rsid w:val="002B6A8D"/>
    <w:rsid w:val="002C6DF4"/>
    <w:rsid w:val="002E3EFF"/>
    <w:rsid w:val="002E4C10"/>
    <w:rsid w:val="002E676F"/>
    <w:rsid w:val="002E6BF7"/>
    <w:rsid w:val="002F6791"/>
    <w:rsid w:val="00303DEC"/>
    <w:rsid w:val="00304CC9"/>
    <w:rsid w:val="0031732E"/>
    <w:rsid w:val="003235A7"/>
    <w:rsid w:val="00354B20"/>
    <w:rsid w:val="003751C5"/>
    <w:rsid w:val="00390F08"/>
    <w:rsid w:val="003B2A99"/>
    <w:rsid w:val="003B7AE7"/>
    <w:rsid w:val="003C4848"/>
    <w:rsid w:val="003E7B44"/>
    <w:rsid w:val="003F7389"/>
    <w:rsid w:val="00400966"/>
    <w:rsid w:val="00401539"/>
    <w:rsid w:val="00401CC7"/>
    <w:rsid w:val="00420424"/>
    <w:rsid w:val="00427073"/>
    <w:rsid w:val="00430A9B"/>
    <w:rsid w:val="00430B05"/>
    <w:rsid w:val="00434984"/>
    <w:rsid w:val="00450D3F"/>
    <w:rsid w:val="00470BE2"/>
    <w:rsid w:val="004816B0"/>
    <w:rsid w:val="00486EFE"/>
    <w:rsid w:val="004916D5"/>
    <w:rsid w:val="004939FE"/>
    <w:rsid w:val="004A68CA"/>
    <w:rsid w:val="004C0974"/>
    <w:rsid w:val="004C539F"/>
    <w:rsid w:val="004F7AA9"/>
    <w:rsid w:val="00515760"/>
    <w:rsid w:val="00541095"/>
    <w:rsid w:val="00543E45"/>
    <w:rsid w:val="00555E26"/>
    <w:rsid w:val="00556889"/>
    <w:rsid w:val="0056075C"/>
    <w:rsid w:val="00566401"/>
    <w:rsid w:val="005930BE"/>
    <w:rsid w:val="005E14BE"/>
    <w:rsid w:val="005E7C6E"/>
    <w:rsid w:val="006047D7"/>
    <w:rsid w:val="00617BB4"/>
    <w:rsid w:val="0063438B"/>
    <w:rsid w:val="00635CFB"/>
    <w:rsid w:val="00635E72"/>
    <w:rsid w:val="00674B7A"/>
    <w:rsid w:val="006A111D"/>
    <w:rsid w:val="006D20AB"/>
    <w:rsid w:val="007040D3"/>
    <w:rsid w:val="00704BD5"/>
    <w:rsid w:val="007133A9"/>
    <w:rsid w:val="00716818"/>
    <w:rsid w:val="00722551"/>
    <w:rsid w:val="00736312"/>
    <w:rsid w:val="007368BF"/>
    <w:rsid w:val="00745790"/>
    <w:rsid w:val="007506D4"/>
    <w:rsid w:val="0077541E"/>
    <w:rsid w:val="00780185"/>
    <w:rsid w:val="0078245B"/>
    <w:rsid w:val="007878D5"/>
    <w:rsid w:val="00797DB7"/>
    <w:rsid w:val="007A72D8"/>
    <w:rsid w:val="007A7B76"/>
    <w:rsid w:val="007C151A"/>
    <w:rsid w:val="007D133D"/>
    <w:rsid w:val="007D25FA"/>
    <w:rsid w:val="007D4076"/>
    <w:rsid w:val="007D4DFA"/>
    <w:rsid w:val="00800E73"/>
    <w:rsid w:val="00813F63"/>
    <w:rsid w:val="008148D1"/>
    <w:rsid w:val="00854709"/>
    <w:rsid w:val="00856BAA"/>
    <w:rsid w:val="008748B2"/>
    <w:rsid w:val="00884BE8"/>
    <w:rsid w:val="008871F5"/>
    <w:rsid w:val="00895F1A"/>
    <w:rsid w:val="00896142"/>
    <w:rsid w:val="008B0080"/>
    <w:rsid w:val="008C1774"/>
    <w:rsid w:val="008E523E"/>
    <w:rsid w:val="00901824"/>
    <w:rsid w:val="009105F5"/>
    <w:rsid w:val="00934DD8"/>
    <w:rsid w:val="00940FB8"/>
    <w:rsid w:val="00946E20"/>
    <w:rsid w:val="0095427D"/>
    <w:rsid w:val="00965625"/>
    <w:rsid w:val="0098470B"/>
    <w:rsid w:val="00985EF5"/>
    <w:rsid w:val="0099463D"/>
    <w:rsid w:val="009A4E89"/>
    <w:rsid w:val="009B6CF9"/>
    <w:rsid w:val="009C1B46"/>
    <w:rsid w:val="009D3373"/>
    <w:rsid w:val="009D3DD0"/>
    <w:rsid w:val="009E0820"/>
    <w:rsid w:val="009E45DC"/>
    <w:rsid w:val="009E4FFF"/>
    <w:rsid w:val="00A0316E"/>
    <w:rsid w:val="00A171B2"/>
    <w:rsid w:val="00A43889"/>
    <w:rsid w:val="00A44B5C"/>
    <w:rsid w:val="00A44BDA"/>
    <w:rsid w:val="00A61AE3"/>
    <w:rsid w:val="00A63E7D"/>
    <w:rsid w:val="00A64221"/>
    <w:rsid w:val="00A64A48"/>
    <w:rsid w:val="00A676D7"/>
    <w:rsid w:val="00A71E5B"/>
    <w:rsid w:val="00A72DC4"/>
    <w:rsid w:val="00A93C50"/>
    <w:rsid w:val="00AA5D43"/>
    <w:rsid w:val="00B02228"/>
    <w:rsid w:val="00B25A0F"/>
    <w:rsid w:val="00B2725D"/>
    <w:rsid w:val="00B336D1"/>
    <w:rsid w:val="00B42784"/>
    <w:rsid w:val="00B514CA"/>
    <w:rsid w:val="00B5291B"/>
    <w:rsid w:val="00B57D12"/>
    <w:rsid w:val="00B70113"/>
    <w:rsid w:val="00B73DDE"/>
    <w:rsid w:val="00BB6B7A"/>
    <w:rsid w:val="00BF4857"/>
    <w:rsid w:val="00BF7FFC"/>
    <w:rsid w:val="00C0209B"/>
    <w:rsid w:val="00C025F0"/>
    <w:rsid w:val="00C17B4D"/>
    <w:rsid w:val="00C223A8"/>
    <w:rsid w:val="00C63684"/>
    <w:rsid w:val="00C75B43"/>
    <w:rsid w:val="00C83F57"/>
    <w:rsid w:val="00CA2E71"/>
    <w:rsid w:val="00CB74C8"/>
    <w:rsid w:val="00CC5C1A"/>
    <w:rsid w:val="00CC6386"/>
    <w:rsid w:val="00CE4C34"/>
    <w:rsid w:val="00CF7E39"/>
    <w:rsid w:val="00D25337"/>
    <w:rsid w:val="00D272C5"/>
    <w:rsid w:val="00D30776"/>
    <w:rsid w:val="00D32047"/>
    <w:rsid w:val="00D35022"/>
    <w:rsid w:val="00D368AE"/>
    <w:rsid w:val="00D92A11"/>
    <w:rsid w:val="00DB1FCB"/>
    <w:rsid w:val="00DB2568"/>
    <w:rsid w:val="00DB3D03"/>
    <w:rsid w:val="00DC63FA"/>
    <w:rsid w:val="00DD6B49"/>
    <w:rsid w:val="00DE3C04"/>
    <w:rsid w:val="00DF146B"/>
    <w:rsid w:val="00E133D6"/>
    <w:rsid w:val="00E1783F"/>
    <w:rsid w:val="00E27BBD"/>
    <w:rsid w:val="00E3442D"/>
    <w:rsid w:val="00E42708"/>
    <w:rsid w:val="00E804D3"/>
    <w:rsid w:val="00E80625"/>
    <w:rsid w:val="00E95704"/>
    <w:rsid w:val="00EA653B"/>
    <w:rsid w:val="00EB0A57"/>
    <w:rsid w:val="00EC74D9"/>
    <w:rsid w:val="00ED2E45"/>
    <w:rsid w:val="00ED4AEB"/>
    <w:rsid w:val="00ED4B78"/>
    <w:rsid w:val="00EE4B7B"/>
    <w:rsid w:val="00EF73D7"/>
    <w:rsid w:val="00F32023"/>
    <w:rsid w:val="00F377BB"/>
    <w:rsid w:val="00F4779C"/>
    <w:rsid w:val="00FA283B"/>
    <w:rsid w:val="00FA7541"/>
    <w:rsid w:val="00FA7BE4"/>
    <w:rsid w:val="00FB22C4"/>
    <w:rsid w:val="00FC0215"/>
    <w:rsid w:val="00FE1AD4"/>
    <w:rsid w:val="00FE493A"/>
    <w:rsid w:val="00FE6A3A"/>
    <w:rsid w:val="00FF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5B"/>
  </w:style>
  <w:style w:type="paragraph" w:styleId="1">
    <w:name w:val="heading 1"/>
    <w:basedOn w:val="a"/>
    <w:next w:val="a"/>
    <w:link w:val="10"/>
    <w:uiPriority w:val="9"/>
    <w:qFormat/>
    <w:rsid w:val="00A72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2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70B"/>
    <w:pPr>
      <w:ind w:left="720"/>
      <w:contextualSpacing/>
    </w:pPr>
  </w:style>
  <w:style w:type="character" w:customStyle="1" w:styleId="10">
    <w:name w:val="Заголовок 1 Знак"/>
    <w:basedOn w:val="a0"/>
    <w:link w:val="1"/>
    <w:uiPriority w:val="9"/>
    <w:rsid w:val="00A72DC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A72D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2DC4"/>
  </w:style>
  <w:style w:type="paragraph" w:styleId="a6">
    <w:name w:val="footer"/>
    <w:basedOn w:val="a"/>
    <w:link w:val="a7"/>
    <w:uiPriority w:val="99"/>
    <w:unhideWhenUsed/>
    <w:rsid w:val="00A72D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2DC4"/>
  </w:style>
  <w:style w:type="paragraph" w:customStyle="1" w:styleId="Numlist">
    <w:name w:val="Num_list"/>
    <w:basedOn w:val="a"/>
    <w:rsid w:val="00401CC7"/>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232B28"/>
    <w:pPr>
      <w:outlineLvl w:val="9"/>
    </w:pPr>
    <w:rPr>
      <w:lang w:eastAsia="ru-RU"/>
    </w:rPr>
  </w:style>
  <w:style w:type="paragraph" w:styleId="11">
    <w:name w:val="toc 1"/>
    <w:basedOn w:val="a"/>
    <w:next w:val="a"/>
    <w:autoRedefine/>
    <w:uiPriority w:val="39"/>
    <w:unhideWhenUsed/>
    <w:rsid w:val="00232B28"/>
    <w:pPr>
      <w:spacing w:after="100"/>
    </w:pPr>
  </w:style>
  <w:style w:type="character" w:styleId="a9">
    <w:name w:val="Hyperlink"/>
    <w:basedOn w:val="a0"/>
    <w:uiPriority w:val="99"/>
    <w:unhideWhenUsed/>
    <w:rsid w:val="00232B28"/>
    <w:rPr>
      <w:color w:val="0000FF" w:themeColor="hyperlink"/>
      <w:u w:val="single"/>
    </w:rPr>
  </w:style>
  <w:style w:type="paragraph" w:styleId="aa">
    <w:name w:val="Balloon Text"/>
    <w:basedOn w:val="a"/>
    <w:link w:val="ab"/>
    <w:uiPriority w:val="99"/>
    <w:semiHidden/>
    <w:unhideWhenUsed/>
    <w:rsid w:val="00232B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2B28"/>
    <w:rPr>
      <w:rFonts w:ascii="Tahoma" w:hAnsi="Tahoma" w:cs="Tahoma"/>
      <w:sz w:val="16"/>
      <w:szCs w:val="16"/>
    </w:rPr>
  </w:style>
  <w:style w:type="table" w:styleId="ac">
    <w:name w:val="Table Grid"/>
    <w:basedOn w:val="a1"/>
    <w:uiPriority w:val="59"/>
    <w:rsid w:val="00DB1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954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212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12D51"/>
    <w:rPr>
      <w:rFonts w:asciiTheme="majorHAnsi" w:eastAsiaTheme="majorEastAsia" w:hAnsiTheme="majorHAnsi" w:cstheme="majorBidi"/>
      <w:b/>
      <w:bCs/>
      <w:color w:val="4F81BD" w:themeColor="accent1"/>
      <w:sz w:val="26"/>
      <w:szCs w:val="26"/>
    </w:rPr>
  </w:style>
  <w:style w:type="table" w:customStyle="1" w:styleId="3">
    <w:name w:val="Сетка таблицы3"/>
    <w:basedOn w:val="a1"/>
    <w:next w:val="ac"/>
    <w:uiPriority w:val="59"/>
    <w:rsid w:val="00212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39"/>
    <w:unhideWhenUsed/>
    <w:rsid w:val="002718E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5B"/>
  </w:style>
  <w:style w:type="paragraph" w:styleId="1">
    <w:name w:val="heading 1"/>
    <w:basedOn w:val="a"/>
    <w:next w:val="a"/>
    <w:link w:val="10"/>
    <w:uiPriority w:val="9"/>
    <w:qFormat/>
    <w:rsid w:val="00A72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2D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70B"/>
    <w:pPr>
      <w:ind w:left="720"/>
      <w:contextualSpacing/>
    </w:pPr>
  </w:style>
  <w:style w:type="character" w:customStyle="1" w:styleId="10">
    <w:name w:val="Заголовок 1 Знак"/>
    <w:basedOn w:val="a0"/>
    <w:link w:val="1"/>
    <w:uiPriority w:val="9"/>
    <w:rsid w:val="00A72DC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A72D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2DC4"/>
  </w:style>
  <w:style w:type="paragraph" w:styleId="a6">
    <w:name w:val="footer"/>
    <w:basedOn w:val="a"/>
    <w:link w:val="a7"/>
    <w:uiPriority w:val="99"/>
    <w:unhideWhenUsed/>
    <w:rsid w:val="00A72D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2DC4"/>
  </w:style>
  <w:style w:type="paragraph" w:customStyle="1" w:styleId="Numlist">
    <w:name w:val="Num_list"/>
    <w:basedOn w:val="a"/>
    <w:rsid w:val="00401CC7"/>
    <w:pPr>
      <w:overflowPunct w:val="0"/>
      <w:autoSpaceDE w:val="0"/>
      <w:autoSpaceDN w:val="0"/>
      <w:adjustRightInd w:val="0"/>
      <w:spacing w:after="0" w:line="240" w:lineRule="auto"/>
      <w:ind w:firstLine="708"/>
      <w:textAlignment w:val="baseline"/>
    </w:pPr>
    <w:rPr>
      <w:rFonts w:ascii="Times New Roman" w:eastAsia="Times New Roman" w:hAnsi="Times New Roman" w:cs="Times New Roman"/>
      <w:sz w:val="24"/>
      <w:szCs w:val="24"/>
      <w:lang w:eastAsia="ru-RU"/>
    </w:rPr>
  </w:style>
  <w:style w:type="paragraph" w:styleId="a8">
    <w:name w:val="TOC Heading"/>
    <w:basedOn w:val="1"/>
    <w:next w:val="a"/>
    <w:uiPriority w:val="39"/>
    <w:unhideWhenUsed/>
    <w:qFormat/>
    <w:rsid w:val="00232B28"/>
    <w:pPr>
      <w:outlineLvl w:val="9"/>
    </w:pPr>
    <w:rPr>
      <w:lang w:eastAsia="ru-RU"/>
    </w:rPr>
  </w:style>
  <w:style w:type="paragraph" w:styleId="11">
    <w:name w:val="toc 1"/>
    <w:basedOn w:val="a"/>
    <w:next w:val="a"/>
    <w:autoRedefine/>
    <w:uiPriority w:val="39"/>
    <w:unhideWhenUsed/>
    <w:rsid w:val="00232B28"/>
    <w:pPr>
      <w:spacing w:after="100"/>
    </w:pPr>
  </w:style>
  <w:style w:type="character" w:styleId="a9">
    <w:name w:val="Hyperlink"/>
    <w:basedOn w:val="a0"/>
    <w:uiPriority w:val="99"/>
    <w:unhideWhenUsed/>
    <w:rsid w:val="00232B28"/>
    <w:rPr>
      <w:color w:val="0000FF" w:themeColor="hyperlink"/>
      <w:u w:val="single"/>
    </w:rPr>
  </w:style>
  <w:style w:type="paragraph" w:styleId="aa">
    <w:name w:val="Balloon Text"/>
    <w:basedOn w:val="a"/>
    <w:link w:val="ab"/>
    <w:uiPriority w:val="99"/>
    <w:semiHidden/>
    <w:unhideWhenUsed/>
    <w:rsid w:val="00232B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2B28"/>
    <w:rPr>
      <w:rFonts w:ascii="Tahoma" w:hAnsi="Tahoma" w:cs="Tahoma"/>
      <w:sz w:val="16"/>
      <w:szCs w:val="16"/>
    </w:rPr>
  </w:style>
  <w:style w:type="table" w:styleId="ac">
    <w:name w:val="Table Grid"/>
    <w:basedOn w:val="a1"/>
    <w:uiPriority w:val="59"/>
    <w:rsid w:val="00DB1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954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212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12D51"/>
    <w:rPr>
      <w:rFonts w:asciiTheme="majorHAnsi" w:eastAsiaTheme="majorEastAsia" w:hAnsiTheme="majorHAnsi" w:cstheme="majorBidi"/>
      <w:b/>
      <w:bCs/>
      <w:color w:val="4F81BD" w:themeColor="accent1"/>
      <w:sz w:val="26"/>
      <w:szCs w:val="26"/>
    </w:rPr>
  </w:style>
  <w:style w:type="table" w:customStyle="1" w:styleId="3">
    <w:name w:val="Сетка таблицы3"/>
    <w:basedOn w:val="a1"/>
    <w:next w:val="ac"/>
    <w:uiPriority w:val="59"/>
    <w:rsid w:val="00212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39"/>
    <w:unhideWhenUsed/>
    <w:rsid w:val="002718E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0322">
      <w:bodyDiv w:val="1"/>
      <w:marLeft w:val="0"/>
      <w:marRight w:val="0"/>
      <w:marTop w:val="0"/>
      <w:marBottom w:val="0"/>
      <w:divBdr>
        <w:top w:val="none" w:sz="0" w:space="0" w:color="auto"/>
        <w:left w:val="none" w:sz="0" w:space="0" w:color="auto"/>
        <w:bottom w:val="none" w:sz="0" w:space="0" w:color="auto"/>
        <w:right w:val="none" w:sz="0" w:space="0" w:color="auto"/>
      </w:divBdr>
    </w:div>
    <w:div w:id="620385318">
      <w:bodyDiv w:val="1"/>
      <w:marLeft w:val="0"/>
      <w:marRight w:val="0"/>
      <w:marTop w:val="0"/>
      <w:marBottom w:val="0"/>
      <w:divBdr>
        <w:top w:val="none" w:sz="0" w:space="0" w:color="auto"/>
        <w:left w:val="none" w:sz="0" w:space="0" w:color="auto"/>
        <w:bottom w:val="none" w:sz="0" w:space="0" w:color="auto"/>
        <w:right w:val="none" w:sz="0" w:space="0" w:color="auto"/>
      </w:divBdr>
    </w:div>
    <w:div w:id="711150094">
      <w:bodyDiv w:val="1"/>
      <w:marLeft w:val="0"/>
      <w:marRight w:val="0"/>
      <w:marTop w:val="0"/>
      <w:marBottom w:val="0"/>
      <w:divBdr>
        <w:top w:val="none" w:sz="0" w:space="0" w:color="auto"/>
        <w:left w:val="none" w:sz="0" w:space="0" w:color="auto"/>
        <w:bottom w:val="none" w:sz="0" w:space="0" w:color="auto"/>
        <w:right w:val="none" w:sz="0" w:space="0" w:color="auto"/>
      </w:divBdr>
    </w:div>
    <w:div w:id="873889565">
      <w:bodyDiv w:val="1"/>
      <w:marLeft w:val="0"/>
      <w:marRight w:val="0"/>
      <w:marTop w:val="0"/>
      <w:marBottom w:val="0"/>
      <w:divBdr>
        <w:top w:val="none" w:sz="0" w:space="0" w:color="auto"/>
        <w:left w:val="none" w:sz="0" w:space="0" w:color="auto"/>
        <w:bottom w:val="none" w:sz="0" w:space="0" w:color="auto"/>
        <w:right w:val="none" w:sz="0" w:space="0" w:color="auto"/>
      </w:divBdr>
    </w:div>
    <w:div w:id="1837842639">
      <w:bodyDiv w:val="1"/>
      <w:marLeft w:val="0"/>
      <w:marRight w:val="0"/>
      <w:marTop w:val="0"/>
      <w:marBottom w:val="0"/>
      <w:divBdr>
        <w:top w:val="none" w:sz="0" w:space="0" w:color="auto"/>
        <w:left w:val="none" w:sz="0" w:space="0" w:color="auto"/>
        <w:bottom w:val="none" w:sz="0" w:space="0" w:color="auto"/>
        <w:right w:val="none" w:sz="0" w:space="0" w:color="auto"/>
      </w:divBdr>
    </w:div>
    <w:div w:id="1971980416">
      <w:bodyDiv w:val="1"/>
      <w:marLeft w:val="0"/>
      <w:marRight w:val="0"/>
      <w:marTop w:val="0"/>
      <w:marBottom w:val="0"/>
      <w:divBdr>
        <w:top w:val="none" w:sz="0" w:space="0" w:color="auto"/>
        <w:left w:val="none" w:sz="0" w:space="0" w:color="auto"/>
        <w:bottom w:val="none" w:sz="0" w:space="0" w:color="auto"/>
        <w:right w:val="none" w:sz="0" w:space="0" w:color="auto"/>
      </w:divBdr>
    </w:div>
    <w:div w:id="2071727067">
      <w:bodyDiv w:val="1"/>
      <w:marLeft w:val="0"/>
      <w:marRight w:val="0"/>
      <w:marTop w:val="0"/>
      <w:marBottom w:val="0"/>
      <w:divBdr>
        <w:top w:val="none" w:sz="0" w:space="0" w:color="auto"/>
        <w:left w:val="none" w:sz="0" w:space="0" w:color="auto"/>
        <w:bottom w:val="none" w:sz="0" w:space="0" w:color="auto"/>
        <w:right w:val="none" w:sz="0" w:space="0" w:color="auto"/>
      </w:divBdr>
    </w:div>
    <w:div w:id="2112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cbi.nlm.nih.gov/pubmed/?term=Attal%20M%5BAuthor%5D&amp;cauthor=true&amp;cauthor_uid=864949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768A6-768F-4A36-AEA9-51F7B05B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78440</Words>
  <Characters>447110</Characters>
  <Application>Microsoft Office Word</Application>
  <DocSecurity>0</DocSecurity>
  <Lines>3725</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Максим Валерьевич</dc:creator>
  <cp:lastModifiedBy>alradi</cp:lastModifiedBy>
  <cp:revision>2</cp:revision>
  <cp:lastPrinted>2020-07-06T07:55:00Z</cp:lastPrinted>
  <dcterms:created xsi:type="dcterms:W3CDTF">2020-07-08T11:44:00Z</dcterms:created>
  <dcterms:modified xsi:type="dcterms:W3CDTF">2020-07-08T11:44:00Z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 numeric alphabetic</vt:lpwstr>
  </property>
  <property fmtid="{D5CDD505-2E9C-101B-9397-08002B2CF9AE}" pid="4" name="Mendeley Unique User Id_1">
    <vt:lpwstr>9427ae35-49d5-3393-a5e5-e34ad258e234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http://www.zotero.org/styles/GOST-R-7.0.5-2008 numeric alphabetic</vt:lpwstr>
  </property>
  <property fmtid="{D5CDD505-2E9C-101B-9397-08002B2CF9AE}" pid="22" name="Mendeley Recent Style Name 8_1">
    <vt:lpwstr>Russian GOST R 7.0.11-2011 numeric citations with aplhabetic sorting (***)</vt:lpwstr>
  </property>
  <property fmtid="{D5CDD505-2E9C-101B-9397-08002B2CF9AE}" pid="23" name="Mendeley Recent Style Id 9_1">
    <vt:lpwstr>http://csl.mendeley.com/styles/16122843/gost-r-7-0-5-2009-E-N-Knyazev-2013</vt:lpwstr>
  </property>
  <property fmtid="{D5CDD505-2E9C-101B-9397-08002B2CF9AE}" pid="24" name="Mendeley Recent Style Name 9_1">
    <vt:lpwstr>Russian GOST R 7.0.5-2008 (Russian) - (E.N. Knyazev 2013)</vt:lpwstr>
  </property>
</Properties>
</file>