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4882AE3" w14:textId="18AACBF6" w:rsidR="005F668D" w:rsidRDefault="00D07EC1" w:rsidP="00F42A9A">
      <w:pPr>
        <w:pStyle w:val="aff8"/>
        <w:tabs>
          <w:tab w:val="left" w:pos="2977"/>
        </w:tabs>
      </w:pPr>
      <w:r>
        <w:rPr>
          <w:noProof/>
          <w:lang w:eastAsia="ru-RU"/>
        </w:rPr>
        <mc:AlternateContent>
          <mc:Choice Requires="wps">
            <w:drawing>
              <wp:anchor distT="0" distB="0" distL="114300" distR="114300" simplePos="0" relativeHeight="251620864" behindDoc="1" locked="0" layoutInCell="1" allowOverlap="1" wp14:anchorId="37EB454E" wp14:editId="7C690119">
                <wp:simplePos x="0" y="0"/>
                <wp:positionH relativeFrom="column">
                  <wp:posOffset>-803910</wp:posOffset>
                </wp:positionH>
                <wp:positionV relativeFrom="paragraph">
                  <wp:posOffset>-424815</wp:posOffset>
                </wp:positionV>
                <wp:extent cx="7000875" cy="8439150"/>
                <wp:effectExtent l="0" t="0" r="9525" b="0"/>
                <wp:wrapNone/>
                <wp:docPr id="3" name="Прямоугольник 3"/>
                <wp:cNvGraphicFramePr/>
                <a:graphic xmlns:a="http://schemas.openxmlformats.org/drawingml/2006/main">
                  <a:graphicData uri="http://schemas.microsoft.com/office/word/2010/wordprocessingShape">
                    <wps:wsp>
                      <wps:cNvSpPr/>
                      <wps:spPr>
                        <a:xfrm>
                          <a:off x="0" y="0"/>
                          <a:ext cx="7000875" cy="8439150"/>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040D7F" id="Прямоугольник 3" o:spid="_x0000_s1026" style="position:absolute;margin-left:-63.3pt;margin-top:-33.45pt;width:551.25pt;height:66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" fillcolor="white [3212]" stroked="f"/>
            </w:pict>
          </mc:Fallback>
        </mc:AlternateContent>
      </w:r>
      <w:r>
        <w:rPr>
          <w:noProof/>
          <w:lang w:eastAsia="ru-RU"/>
        </w:rPr>
        <w:drawing>
          <wp:anchor distT="0" distB="0" distL="114300" distR="114300" simplePos="0" relativeHeight="251622912" behindDoc="0" locked="0" layoutInCell="1" allowOverlap="1" wp14:anchorId="34B17FB3" wp14:editId="6B5F6771">
            <wp:simplePos x="0" y="0"/>
            <wp:positionH relativeFrom="page">
              <wp:posOffset>2778125</wp:posOffset>
            </wp:positionH>
            <wp:positionV relativeFrom="paragraph">
              <wp:posOffset>-8890</wp:posOffset>
            </wp:positionV>
            <wp:extent cx="1485900" cy="1031240"/>
            <wp:effectExtent l="0" t="0" r="0" b="0"/>
            <wp:wrapNone/>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6"/>
                    <pic:cNvPicPr>
                      <a:picLocks noChangeAspect="1" noChangeArrowheads="1"/>
                    </pic:cNvPicPr>
                  </pic:nvPicPr>
                  <pic:blipFill>
                    <a:blip r:embed="rId8"/>
                    <a:srcRect l="-2962" r="-1857" b="-8829"/>
                    <a:stretch>
                      <a:fillRect/>
                    </a:stretch>
                  </pic:blipFill>
                  <pic:spPr bwMode="auto">
                    <a:xfrm>
                      <a:off x="0" y="0"/>
                      <a:ext cx="1485900" cy="1031240"/>
                    </a:xfrm>
                    <a:prstGeom prst="rect">
                      <a:avLst/>
                    </a:prstGeom>
                  </pic:spPr>
                </pic:pic>
              </a:graphicData>
            </a:graphic>
          </wp:anchor>
        </w:drawing>
      </w:r>
      <w:r w:rsidR="00CB6FFD">
        <w:rPr>
          <w:noProof/>
          <w:lang w:eastAsia="ru-RU"/>
        </w:rPr>
        <mc:AlternateContent>
          <mc:Choice Requires="wps">
            <w:drawing>
              <wp:anchor distT="0" distB="0" distL="114300" distR="114300" simplePos="0" relativeHeight="251618816" behindDoc="1" locked="0" layoutInCell="1" allowOverlap="1" wp14:anchorId="2A9A10BD" wp14:editId="26CD3F22">
                <wp:simplePos x="0" y="0"/>
                <wp:positionH relativeFrom="page">
                  <wp:align>left</wp:align>
                </wp:positionH>
                <wp:positionV relativeFrom="paragraph">
                  <wp:posOffset>-1036320</wp:posOffset>
                </wp:positionV>
                <wp:extent cx="7601585" cy="11021060"/>
                <wp:effectExtent l="0" t="0" r="0" b="9525"/>
                <wp:wrapNone/>
                <wp:docPr id="1" name="Прямоугольник 3"/>
                <wp:cNvGraphicFramePr/>
                <a:graphic xmlns:a="http://schemas.openxmlformats.org/drawingml/2006/main">
                  <a:graphicData uri="http://schemas.microsoft.com/office/word/2010/wordprocessingShape">
                    <wps:wsp>
                      <wps:cNvSpPr/>
                      <wps:spPr>
                        <a:xfrm>
                          <a:off x="0" y="0"/>
                          <a:ext cx="7601040" cy="11020320"/>
                        </a:xfrm>
                        <a:prstGeom prst="rect">
                          <a:avLst/>
                        </a:prstGeom>
                        <a:solidFill>
                          <a:srgbClr val="0B595D">
                            <a:alpha val="1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C6191A" id="Прямоугольник 3" o:spid="_x0000_s1026" style="position:absolute;margin-left:0;margin-top:-81.6pt;width:598.55pt;height:867.8pt;z-index:-251697664;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" fillcolor="#0b595d" stroked="f" strokeweight="1pt">
                <v:fill opacity="6682f"/>
                <w10:wrap anchorx="page"/>
              </v:rect>
            </w:pict>
          </mc:Fallback>
        </mc:AlternateContent>
      </w:r>
    </w:p>
    <w:p w14:paraId="36E21FB5" w14:textId="77777777" w:rsidR="00187BA3" w:rsidRDefault="00187BA3" w:rsidP="00F42A9A"/>
    <w:p w14:paraId="1BE7230B" w14:textId="77777777" w:rsidR="00187BA3" w:rsidRDefault="00187BA3" w:rsidP="00F42A9A">
      <w:pPr>
        <w:pStyle w:val="aff"/>
        <w:jc w:val="both"/>
      </w:pPr>
    </w:p>
    <w:p w14:paraId="0D3830FE" w14:textId="77777777" w:rsidR="005F668D" w:rsidRDefault="005F668D" w:rsidP="00F42A9A">
      <w:pPr>
        <w:tabs>
          <w:tab w:val="left" w:pos="6135"/>
        </w:tabs>
        <w:rPr>
          <w:sz w:val="28"/>
          <w:szCs w:val="28"/>
        </w:rPr>
      </w:pPr>
      <w:r>
        <w:rPr>
          <w:sz w:val="28"/>
          <w:szCs w:val="28"/>
        </w:rPr>
        <w:tab/>
      </w:r>
    </w:p>
    <w:p w14:paraId="3FBC4B80" w14:textId="77777777" w:rsidR="005F668D" w:rsidRDefault="005F668D" w:rsidP="00F42A9A">
      <w:pPr>
        <w:tabs>
          <w:tab w:val="left" w:pos="6135"/>
        </w:tabs>
        <w:rPr>
          <w:sz w:val="28"/>
          <w:szCs w:val="28"/>
        </w:rPr>
      </w:pPr>
    </w:p>
    <w:p w14:paraId="35A9556D" w14:textId="77777777" w:rsidR="0036727F" w:rsidRDefault="0036727F" w:rsidP="00F42A9A">
      <w:pPr>
        <w:tabs>
          <w:tab w:val="left" w:pos="6135"/>
        </w:tabs>
        <w:rPr>
          <w:sz w:val="28"/>
          <w:szCs w:val="28"/>
        </w:rPr>
      </w:pPr>
    </w:p>
    <w:tbl>
      <w:tblPr>
        <w:tblStyle w:val="aff9"/>
        <w:tblpPr w:leftFromText="180" w:rightFromText="180" w:vertAnchor="page" w:horzAnchor="margin" w:tblpX="-180" w:tblpY="456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tblGrid>
      <w:tr w:rsidR="0036727F" w14:paraId="5A078EA0" w14:textId="77777777" w:rsidTr="00B8507B">
        <w:tc>
          <w:tcPr>
            <w:tcW w:w="9525" w:type="dxa"/>
          </w:tcPr>
          <w:p w14:paraId="3C3F0DF7" w14:textId="77777777" w:rsidR="0036727F" w:rsidRDefault="0036727F" w:rsidP="00F42A9A">
            <w:pPr>
              <w:tabs>
                <w:tab w:val="left" w:pos="6135"/>
              </w:tabs>
              <w:rPr>
                <w:sz w:val="28"/>
                <w:szCs w:val="28"/>
              </w:rPr>
            </w:pPr>
            <w:r>
              <w:rPr>
                <w:color w:val="808080" w:themeColor="background1" w:themeShade="80"/>
              </w:rPr>
              <w:t xml:space="preserve">Клинические </w:t>
            </w:r>
            <w:r w:rsidRPr="005F668D">
              <w:rPr>
                <w:noProof/>
                <w:color w:val="767171" w:themeColor="background2" w:themeShade="80"/>
                <w:lang w:eastAsia="ru-RU"/>
              </w:rPr>
              <w:t>рекомендации</w:t>
            </w:r>
          </w:p>
        </w:tc>
      </w:tr>
      <w:tr w:rsidR="0036727F" w14:paraId="27B9B719" w14:textId="77777777" w:rsidTr="00B8507B">
        <w:trPr>
          <w:trHeight w:val="1907"/>
        </w:trPr>
        <w:tc>
          <w:tcPr>
            <w:tcW w:w="9525" w:type="dxa"/>
          </w:tcPr>
          <w:p w14:paraId="6EF77E6B" w14:textId="77777777" w:rsidR="0036727F" w:rsidRDefault="0036727F" w:rsidP="00F42A9A">
            <w:pPr>
              <w:tabs>
                <w:tab w:val="left" w:pos="6135"/>
              </w:tabs>
              <w:rPr>
                <w:sz w:val="28"/>
                <w:szCs w:val="28"/>
              </w:rPr>
            </w:pPr>
            <w:r>
              <w:rPr>
                <w:b/>
                <w:color w:val="000000"/>
                <w:sz w:val="44"/>
                <w:szCs w:val="44"/>
              </w:rPr>
              <w:t>Апластическая анемия</w:t>
            </w:r>
          </w:p>
        </w:tc>
      </w:tr>
      <w:tr w:rsidR="0036727F" w14:paraId="3AC4ACA7" w14:textId="77777777" w:rsidTr="00B8507B">
        <w:tc>
          <w:tcPr>
            <w:tcW w:w="9525" w:type="dxa"/>
          </w:tcPr>
          <w:p w14:paraId="1AB20709" w14:textId="1751F13F" w:rsidR="0036727F" w:rsidRDefault="00AE3018" w:rsidP="00F42A9A">
            <w:pPr>
              <w:tabs>
                <w:tab w:val="left" w:pos="6135"/>
              </w:tabs>
              <w:rPr>
                <w:sz w:val="28"/>
                <w:szCs w:val="28"/>
              </w:rPr>
            </w:pPr>
            <w:r>
              <w:rPr>
                <w:color w:val="808080" w:themeColor="background1" w:themeShade="80"/>
              </w:rPr>
              <w:t>Кодирование по Международной статистической классификации болезней и проблем, связанных со здоровьем</w:t>
            </w:r>
            <w:r w:rsidR="0036727F">
              <w:rPr>
                <w:color w:val="808080" w:themeColor="background1" w:themeShade="80"/>
              </w:rPr>
              <w:t xml:space="preserve">: </w:t>
            </w:r>
            <w:r w:rsidR="0036727F">
              <w:rPr>
                <w:rStyle w:val="pop-slug-vol"/>
                <w:b/>
                <w:szCs w:val="24"/>
              </w:rPr>
              <w:t>D61.3, D61.8, D61.9</w:t>
            </w:r>
          </w:p>
        </w:tc>
      </w:tr>
      <w:tr w:rsidR="0036727F" w14:paraId="3F761C56" w14:textId="77777777" w:rsidTr="00B8507B">
        <w:trPr>
          <w:trHeight w:val="827"/>
        </w:trPr>
        <w:tc>
          <w:tcPr>
            <w:tcW w:w="9525" w:type="dxa"/>
          </w:tcPr>
          <w:p w14:paraId="2E3308DE" w14:textId="77777777" w:rsidR="00AE3018" w:rsidRDefault="00AE3018" w:rsidP="00F42A9A">
            <w:pPr>
              <w:tabs>
                <w:tab w:val="left" w:pos="6135"/>
              </w:tabs>
              <w:rPr>
                <w:rStyle w:val="pop-slug-vol"/>
                <w:color w:val="767171" w:themeColor="background2" w:themeShade="80"/>
                <w:szCs w:val="24"/>
              </w:rPr>
            </w:pPr>
          </w:p>
          <w:p w14:paraId="262047FB" w14:textId="7181B47A" w:rsidR="0036727F" w:rsidRDefault="0036727F" w:rsidP="00F42A9A">
            <w:pPr>
              <w:tabs>
                <w:tab w:val="left" w:pos="6135"/>
              </w:tabs>
              <w:rPr>
                <w:sz w:val="28"/>
                <w:szCs w:val="28"/>
              </w:rPr>
            </w:pPr>
            <w:r w:rsidRPr="005F668D">
              <w:rPr>
                <w:rStyle w:val="pop-slug-vol"/>
                <w:color w:val="767171" w:themeColor="background2" w:themeShade="80"/>
                <w:szCs w:val="24"/>
              </w:rPr>
              <w:t xml:space="preserve">Возрастная </w:t>
            </w:r>
            <w:r w:rsidR="00E05500">
              <w:rPr>
                <w:rStyle w:val="pop-slug-vol"/>
                <w:color w:val="767171" w:themeColor="background2" w:themeShade="80"/>
                <w:szCs w:val="24"/>
              </w:rPr>
              <w:t>группа</w:t>
            </w:r>
            <w:r w:rsidRPr="005F668D">
              <w:rPr>
                <w:rStyle w:val="pop-slug-vol"/>
                <w:color w:val="767171" w:themeColor="background2" w:themeShade="80"/>
                <w:szCs w:val="24"/>
              </w:rPr>
              <w:t>:</w:t>
            </w:r>
            <w:r w:rsidRPr="005F668D">
              <w:rPr>
                <w:rStyle w:val="pop-slug-vol"/>
                <w:b/>
                <w:color w:val="767171" w:themeColor="background2" w:themeShade="80"/>
                <w:szCs w:val="24"/>
              </w:rPr>
              <w:t xml:space="preserve"> </w:t>
            </w:r>
            <w:r>
              <w:rPr>
                <w:rStyle w:val="pop-slug-vol"/>
                <w:b/>
                <w:szCs w:val="24"/>
              </w:rPr>
              <w:t>взрослые</w:t>
            </w:r>
          </w:p>
        </w:tc>
      </w:tr>
      <w:tr w:rsidR="0036727F" w14:paraId="2C8CC295" w14:textId="77777777" w:rsidTr="00B8507B">
        <w:trPr>
          <w:trHeight w:val="890"/>
        </w:trPr>
        <w:tc>
          <w:tcPr>
            <w:tcW w:w="9525" w:type="dxa"/>
          </w:tcPr>
          <w:p w14:paraId="3129D2E7" w14:textId="46C3A72B" w:rsidR="0036727F" w:rsidRDefault="0036727F" w:rsidP="00F42A9A">
            <w:pPr>
              <w:tabs>
                <w:tab w:val="left" w:pos="6135"/>
              </w:tabs>
              <w:rPr>
                <w:sz w:val="28"/>
                <w:szCs w:val="28"/>
              </w:rPr>
            </w:pPr>
          </w:p>
        </w:tc>
      </w:tr>
      <w:tr w:rsidR="0036727F" w14:paraId="522974FE" w14:textId="77777777" w:rsidTr="00B8507B">
        <w:tc>
          <w:tcPr>
            <w:tcW w:w="9525" w:type="dxa"/>
          </w:tcPr>
          <w:p w14:paraId="2F119FBA" w14:textId="4BACB095" w:rsidR="0036727F" w:rsidRPr="004E52B4" w:rsidRDefault="0036727F" w:rsidP="006E4114">
            <w:pPr>
              <w:tabs>
                <w:tab w:val="left" w:pos="6135"/>
              </w:tabs>
              <w:rPr>
                <w:color w:val="808080" w:themeColor="background1" w:themeShade="80"/>
                <w:lang w:val="en-US"/>
              </w:rPr>
            </w:pPr>
            <w:r>
              <w:rPr>
                <w:color w:val="808080" w:themeColor="background1" w:themeShade="80"/>
              </w:rPr>
              <w:t xml:space="preserve">Год утверждения: </w:t>
            </w:r>
          </w:p>
        </w:tc>
      </w:tr>
      <w:tr w:rsidR="0036727F" w14:paraId="335CCD24" w14:textId="77777777" w:rsidTr="00B8507B">
        <w:tc>
          <w:tcPr>
            <w:tcW w:w="9525" w:type="dxa"/>
          </w:tcPr>
          <w:p w14:paraId="1B7A069F" w14:textId="38AC2EBF" w:rsidR="0036727F" w:rsidRDefault="00AE3018" w:rsidP="00F42A9A">
            <w:pPr>
              <w:tabs>
                <w:tab w:val="left" w:pos="6135"/>
              </w:tabs>
              <w:rPr>
                <w:color w:val="808080" w:themeColor="background1" w:themeShade="80"/>
              </w:rPr>
            </w:pPr>
            <w:r>
              <w:rPr>
                <w:color w:val="808080" w:themeColor="background1" w:themeShade="80"/>
              </w:rPr>
              <w:t>Разработчик клинической рекомендации</w:t>
            </w:r>
            <w:r w:rsidR="0036727F">
              <w:rPr>
                <w:color w:val="808080" w:themeColor="background1" w:themeShade="80"/>
              </w:rPr>
              <w:t>:</w:t>
            </w:r>
          </w:p>
        </w:tc>
      </w:tr>
      <w:tr w:rsidR="0036727F" w14:paraId="6EADD5E3" w14:textId="77777777" w:rsidTr="00B8507B">
        <w:trPr>
          <w:trHeight w:val="4170"/>
        </w:trPr>
        <w:tc>
          <w:tcPr>
            <w:tcW w:w="9525" w:type="dxa"/>
          </w:tcPr>
          <w:p w14:paraId="0A36AD95" w14:textId="1572F4D5" w:rsidR="0036727F" w:rsidRPr="005F668D" w:rsidRDefault="00AE3018" w:rsidP="00F42A9A">
            <w:pPr>
              <w:pStyle w:val="aff8"/>
              <w:numPr>
                <w:ilvl w:val="0"/>
                <w:numId w:val="2"/>
              </w:numPr>
              <w:rPr>
                <w:b/>
                <w:sz w:val="28"/>
              </w:rPr>
            </w:pPr>
            <w:r>
              <w:rPr>
                <w:noProof/>
                <w:lang w:eastAsia="ru-RU"/>
              </w:rPr>
              <mc:AlternateContent>
                <mc:Choice Requires="wps">
                  <w:drawing>
                    <wp:anchor distT="0" distB="0" distL="114300" distR="114300" simplePos="0" relativeHeight="251675648" behindDoc="0" locked="0" layoutInCell="1" allowOverlap="1" wp14:anchorId="706A19BD" wp14:editId="7B960707">
                      <wp:simplePos x="0" y="0"/>
                      <wp:positionH relativeFrom="page">
                        <wp:posOffset>2959100</wp:posOffset>
                      </wp:positionH>
                      <wp:positionV relativeFrom="paragraph">
                        <wp:posOffset>2413000</wp:posOffset>
                      </wp:positionV>
                      <wp:extent cx="3333750" cy="1466850"/>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3333750" cy="146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5403B4" w14:textId="77777777" w:rsidR="001C46FD" w:rsidRPr="00D6422F" w:rsidRDefault="001C46FD" w:rsidP="00B32037">
                                  <w:pPr>
                                    <w:rPr>
                                      <w:b/>
                                      <w:szCs w:val="24"/>
                                    </w:rPr>
                                  </w:pPr>
                                  <w:r w:rsidRPr="00D6422F">
                                    <w:rPr>
                                      <w:b/>
                                      <w:szCs w:val="24"/>
                                    </w:rPr>
                                    <w:t>Одобрены</w:t>
                                  </w:r>
                                </w:p>
                                <w:p w14:paraId="721EF52B" w14:textId="77777777" w:rsidR="001C46FD" w:rsidRPr="00D6422F" w:rsidRDefault="001C46FD" w:rsidP="00B32037">
                                  <w:pPr>
                                    <w:rPr>
                                      <w:b/>
                                      <w:szCs w:val="24"/>
                                    </w:rPr>
                                  </w:pPr>
                                  <w:r w:rsidRPr="00D6422F">
                                    <w:rPr>
                                      <w:szCs w:val="24"/>
                                    </w:rPr>
                                    <w:t>Научным советом Министерства Здравоохранения Российской Федерации</w:t>
                                  </w:r>
                                  <w:r w:rsidRPr="00D6422F">
                                    <w:rPr>
                                      <w:szCs w:val="24"/>
                                    </w:rPr>
                                    <w:br/>
                                    <w:t>__ __________201_ г.</w:t>
                                  </w:r>
                                </w:p>
                                <w:p w14:paraId="28B0583A" w14:textId="77777777" w:rsidR="001C46FD" w:rsidRPr="00751BCF" w:rsidRDefault="001C46FD" w:rsidP="00B32037">
                                  <w:pPr>
                                    <w:ind w:left="360"/>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6A19BD" id="_x0000_t202" coordsize="21600,21600" o:spt="202" path="m,l,21600r21600,l21600,xe">
                      <v:stroke joinstyle="miter"/>
                      <v:path gradientshapeok="t" o:connecttype="rect"/>
                    </v:shapetype>
                    <v:shape id="Надпись 11" o:spid="_x0000_s1026" type="#_x0000_t202" style="position:absolute;left:0;text-align:left;margin-left:233pt;margin-top:190pt;width:262.5pt;height:11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" fillcolor="white [3201]" stroked="f" strokeweight=".5pt">
                      <v:textbox>
                        <w:txbxContent>
                          <w:p w14:paraId="405403B4" w14:textId="77777777" w:rsidR="001C46FD" w:rsidRPr="00D6422F" w:rsidRDefault="001C46FD" w:rsidP="00B32037">
                            <w:pPr>
                              <w:rPr>
                                <w:b/>
                                <w:szCs w:val="24"/>
                              </w:rPr>
                            </w:pPr>
                            <w:r w:rsidRPr="00D6422F">
                              <w:rPr>
                                <w:b/>
                                <w:szCs w:val="24"/>
                              </w:rPr>
                              <w:t>Одобрены</w:t>
                            </w:r>
                          </w:p>
                          <w:p w14:paraId="721EF52B" w14:textId="77777777" w:rsidR="001C46FD" w:rsidRPr="00D6422F" w:rsidRDefault="001C46FD" w:rsidP="00B32037">
                            <w:pPr>
                              <w:rPr>
                                <w:b/>
                                <w:szCs w:val="24"/>
                              </w:rPr>
                            </w:pPr>
                            <w:r w:rsidRPr="00D6422F">
                              <w:rPr>
                                <w:szCs w:val="24"/>
                              </w:rPr>
                              <w:t>Научным советом Министерства Здравоохранения Российской Федерации</w:t>
                            </w:r>
                            <w:r w:rsidRPr="00D6422F">
                              <w:rPr>
                                <w:szCs w:val="24"/>
                              </w:rPr>
                              <w:br/>
                              <w:t>__ __________201_ г.</w:t>
                            </w:r>
                          </w:p>
                          <w:p w14:paraId="28B0583A" w14:textId="77777777" w:rsidR="001C46FD" w:rsidRPr="00751BCF" w:rsidRDefault="001C46FD" w:rsidP="00B32037">
                            <w:pPr>
                              <w:ind w:left="360"/>
                              <w:rPr>
                                <w:b/>
                                <w:sz w:val="22"/>
                              </w:rPr>
                            </w:pPr>
                          </w:p>
                        </w:txbxContent>
                      </v:textbox>
                      <w10:wrap anchorx="page"/>
                    </v:shape>
                  </w:pict>
                </mc:Fallback>
              </mc:AlternateContent>
            </w:r>
            <w:r w:rsidR="0036727F" w:rsidRPr="005F668D">
              <w:rPr>
                <w:b/>
              </w:rPr>
              <w:t>Национальное гематологическое общество</w:t>
            </w:r>
          </w:p>
        </w:tc>
      </w:tr>
      <w:tr w:rsidR="00B8507B" w14:paraId="14F5265E" w14:textId="77777777" w:rsidTr="00B8507B">
        <w:trPr>
          <w:trHeight w:val="1560"/>
        </w:trPr>
        <w:tc>
          <w:tcPr>
            <w:tcW w:w="9525" w:type="dxa"/>
          </w:tcPr>
          <w:p w14:paraId="632EC980" w14:textId="7BD32DA7" w:rsidR="00B8507B" w:rsidRPr="00B32037" w:rsidRDefault="00B32037" w:rsidP="00D07EC1">
            <w:pPr>
              <w:pStyle w:val="aff8"/>
              <w:tabs>
                <w:tab w:val="left" w:pos="1560"/>
                <w:tab w:val="center" w:pos="4654"/>
              </w:tabs>
              <w:rPr>
                <w:b/>
              </w:rPr>
            </w:pPr>
            <w:r>
              <w:rPr>
                <w:b/>
              </w:rPr>
              <w:tab/>
            </w:r>
            <w:r w:rsidR="00D07EC1">
              <w:rPr>
                <w:b/>
              </w:rPr>
              <w:tab/>
            </w:r>
          </w:p>
        </w:tc>
      </w:tr>
    </w:tbl>
    <w:p w14:paraId="1BCDA916" w14:textId="7DA277BA" w:rsidR="0036727F" w:rsidRDefault="0036727F" w:rsidP="00F42A9A">
      <w:pPr>
        <w:tabs>
          <w:tab w:val="left" w:pos="6135"/>
        </w:tabs>
        <w:rPr>
          <w:sz w:val="28"/>
          <w:szCs w:val="28"/>
        </w:rPr>
      </w:pPr>
    </w:p>
    <w:p w14:paraId="06B994E1" w14:textId="77777777" w:rsidR="00BD0E44" w:rsidRDefault="00BD0E44" w:rsidP="00F42A9A">
      <w:pPr>
        <w:sectPr w:rsidR="00BD0E44" w:rsidSect="00BD0E44">
          <w:headerReference w:type="default" r:id="rId9"/>
          <w:footerReference w:type="default" r:id="rId10"/>
          <w:pgSz w:w="11906" w:h="16838"/>
          <w:pgMar w:top="1134" w:right="850" w:bottom="1134" w:left="1701" w:header="708" w:footer="708" w:gutter="0"/>
          <w:cols w:num="2" w:space="720"/>
          <w:formProt w:val="0"/>
          <w:titlePg/>
          <w:docGrid w:linePitch="360" w:charSpace="-6145"/>
        </w:sectPr>
      </w:pPr>
    </w:p>
    <w:p w14:paraId="3BDC68AA" w14:textId="76273AD6" w:rsidR="00F42A9A" w:rsidRDefault="00AE3018" w:rsidP="00F42A9A">
      <w:r>
        <w:rPr>
          <w:noProof/>
          <w:lang w:eastAsia="ru-RU"/>
        </w:rPr>
        <mc:AlternateContent>
          <mc:Choice Requires="wps">
            <w:drawing>
              <wp:anchor distT="0" distB="0" distL="114300" distR="114300" simplePos="0" relativeHeight="251651072" behindDoc="1" locked="0" layoutInCell="1" allowOverlap="1" wp14:anchorId="307F9596" wp14:editId="04BC0EB8">
                <wp:simplePos x="0" y="0"/>
                <wp:positionH relativeFrom="page">
                  <wp:posOffset>304800</wp:posOffset>
                </wp:positionH>
                <wp:positionV relativeFrom="paragraph">
                  <wp:posOffset>6999605</wp:posOffset>
                </wp:positionV>
                <wp:extent cx="3257550" cy="1476375"/>
                <wp:effectExtent l="0" t="0" r="0" b="9525"/>
                <wp:wrapNone/>
                <wp:docPr id="12" name="Надпись 12"/>
                <wp:cNvGraphicFramePr/>
                <a:graphic xmlns:a="http://schemas.openxmlformats.org/drawingml/2006/main">
                  <a:graphicData uri="http://schemas.microsoft.com/office/word/2010/wordprocessingShape">
                    <wps:wsp>
                      <wps:cNvSpPr txBox="1"/>
                      <wps:spPr>
                        <a:xfrm>
                          <a:off x="0" y="0"/>
                          <a:ext cx="3257550"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DE6FDA" w14:textId="77777777" w:rsidR="001C46FD" w:rsidRDefault="001C46FD" w:rsidP="00B32037">
                            <w:pPr>
                              <w:spacing w:line="240" w:lineRule="auto"/>
                              <w:rPr>
                                <w:b/>
                                <w:szCs w:val="24"/>
                              </w:rPr>
                            </w:pPr>
                            <w:r w:rsidRPr="0065631D">
                              <w:rPr>
                                <w:b/>
                                <w:szCs w:val="24"/>
                              </w:rPr>
                              <w:t>Утверждены</w:t>
                            </w:r>
                          </w:p>
                          <w:p w14:paraId="0675B233" w14:textId="77777777" w:rsidR="001C46FD" w:rsidRPr="0065631D" w:rsidRDefault="001C46FD" w:rsidP="00B32037">
                            <w:pPr>
                              <w:spacing w:line="240" w:lineRule="auto"/>
                              <w:rPr>
                                <w:b/>
                                <w:szCs w:val="24"/>
                              </w:rPr>
                            </w:pPr>
                          </w:p>
                          <w:p w14:paraId="15E4D3BF" w14:textId="77777777" w:rsidR="001C46FD" w:rsidRDefault="001C46FD" w:rsidP="00B32037">
                            <w:pPr>
                              <w:ind w:left="357" w:hanging="357"/>
                            </w:pPr>
                            <w:r>
                              <w:t>Национальным гематологическим обществом</w:t>
                            </w:r>
                          </w:p>
                          <w:p w14:paraId="3BA9EE28" w14:textId="069C10DF" w:rsidR="001C46FD" w:rsidRPr="004A5A57" w:rsidRDefault="001C46FD" w:rsidP="00B32037">
                            <w:pPr>
                              <w:ind w:left="357" w:hanging="357"/>
                              <w:rPr>
                                <w:sz w:val="22"/>
                              </w:rPr>
                            </w:pPr>
                            <w:r w:rsidRPr="00924EE7">
                              <w:rPr>
                                <w:sz w:val="22"/>
                              </w:rPr>
                              <w:t>__ __________201_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7F9596" id="Надпись 12" o:spid="_x0000_s1027" type="#_x0000_t202" style="position:absolute;left:0;text-align:left;margin-left:24pt;margin-top:551.15pt;width:256.5pt;height:116.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" fillcolor="white [3201]" stroked="f" strokeweight=".5pt">
                <v:textbox>
                  <w:txbxContent>
                    <w:p w14:paraId="0EDE6FDA" w14:textId="77777777" w:rsidR="001C46FD" w:rsidRDefault="001C46FD" w:rsidP="00B32037">
                      <w:pPr>
                        <w:spacing w:line="240" w:lineRule="auto"/>
                        <w:rPr>
                          <w:b/>
                          <w:szCs w:val="24"/>
                        </w:rPr>
                      </w:pPr>
                      <w:r w:rsidRPr="0065631D">
                        <w:rPr>
                          <w:b/>
                          <w:szCs w:val="24"/>
                        </w:rPr>
                        <w:t>Утверждены</w:t>
                      </w:r>
                    </w:p>
                    <w:p w14:paraId="0675B233" w14:textId="77777777" w:rsidR="001C46FD" w:rsidRPr="0065631D" w:rsidRDefault="001C46FD" w:rsidP="00B32037">
                      <w:pPr>
                        <w:spacing w:line="240" w:lineRule="auto"/>
                        <w:rPr>
                          <w:b/>
                          <w:szCs w:val="24"/>
                        </w:rPr>
                      </w:pPr>
                    </w:p>
                    <w:p w14:paraId="15E4D3BF" w14:textId="77777777" w:rsidR="001C46FD" w:rsidRDefault="001C46FD" w:rsidP="00B32037">
                      <w:pPr>
                        <w:ind w:left="357" w:hanging="357"/>
                      </w:pPr>
                      <w:r>
                        <w:t>Национальным гематологическим обществом</w:t>
                      </w:r>
                    </w:p>
                    <w:p w14:paraId="3BA9EE28" w14:textId="069C10DF" w:rsidR="001C46FD" w:rsidRPr="004A5A57" w:rsidRDefault="001C46FD" w:rsidP="00B32037">
                      <w:pPr>
                        <w:ind w:left="357" w:hanging="357"/>
                        <w:rPr>
                          <w:sz w:val="22"/>
                        </w:rPr>
                      </w:pPr>
                      <w:r w:rsidRPr="00924EE7">
                        <w:rPr>
                          <w:sz w:val="22"/>
                        </w:rPr>
                        <w:t>__ __________201_ г.</w:t>
                      </w:r>
                    </w:p>
                  </w:txbxContent>
                </v:textbox>
                <w10:wrap anchorx="page"/>
              </v:shape>
            </w:pict>
          </mc:Fallback>
        </mc:AlternateContent>
      </w:r>
      <w:r w:rsidR="00031607">
        <w:br w:type="page"/>
      </w:r>
      <w:sdt>
        <w:sdtPr>
          <w:id w:val="1526977811"/>
          <w:docPartObj>
            <w:docPartGallery w:val="Table of Contents"/>
            <w:docPartUnique/>
          </w:docPartObj>
        </w:sdtPr>
        <w:sdtEndPr>
          <w:rPr>
            <w:rFonts w:asciiTheme="minorHAnsi" w:hAnsiTheme="minorHAnsi"/>
            <w:b/>
            <w:bCs/>
            <w:noProof/>
            <w:sz w:val="22"/>
          </w:rPr>
        </w:sdtEndPr>
        <w:sdtContent>
          <w:r w:rsidR="00031607">
            <w:t>Оглавление</w:t>
          </w:r>
        </w:sdtContent>
      </w:sdt>
    </w:p>
    <w:p w14:paraId="4A538B17" w14:textId="278BC979" w:rsidR="008139EA" w:rsidRDefault="00031607">
      <w:pPr>
        <w:pStyle w:val="1a"/>
        <w:rPr>
          <w:rFonts w:asciiTheme="minorHAnsi" w:eastAsiaTheme="minorEastAsia" w:hAnsiTheme="minorHAnsi"/>
          <w:noProof/>
          <w:szCs w:val="24"/>
          <w:lang w:eastAsia="ru-RU"/>
        </w:rPr>
      </w:pPr>
      <w:r>
        <w:fldChar w:fldCharType="begin"/>
      </w:r>
      <w:r>
        <w:instrText xml:space="preserve"> TOC \o "1-3" \h \z \u </w:instrText>
      </w:r>
      <w:r>
        <w:fldChar w:fldCharType="separate"/>
      </w:r>
      <w:hyperlink w:anchor="_Toc67522218" w:history="1">
        <w:r w:rsidR="008139EA" w:rsidRPr="00D76948">
          <w:rPr>
            <w:rStyle w:val="affc"/>
            <w:noProof/>
          </w:rPr>
          <w:t>Список сокращений</w:t>
        </w:r>
        <w:r w:rsidR="008139EA">
          <w:rPr>
            <w:noProof/>
            <w:webHidden/>
          </w:rPr>
          <w:tab/>
        </w:r>
        <w:r w:rsidR="008139EA">
          <w:rPr>
            <w:noProof/>
            <w:webHidden/>
          </w:rPr>
          <w:fldChar w:fldCharType="begin"/>
        </w:r>
        <w:r w:rsidR="008139EA">
          <w:rPr>
            <w:noProof/>
            <w:webHidden/>
          </w:rPr>
          <w:instrText xml:space="preserve"> PAGEREF _Toc67522218 \h </w:instrText>
        </w:r>
        <w:r w:rsidR="008139EA">
          <w:rPr>
            <w:noProof/>
            <w:webHidden/>
          </w:rPr>
        </w:r>
        <w:r w:rsidR="008139EA">
          <w:rPr>
            <w:noProof/>
            <w:webHidden/>
          </w:rPr>
          <w:fldChar w:fldCharType="separate"/>
        </w:r>
        <w:r w:rsidR="008139EA">
          <w:rPr>
            <w:noProof/>
            <w:webHidden/>
          </w:rPr>
          <w:t>5</w:t>
        </w:r>
        <w:r w:rsidR="008139EA">
          <w:rPr>
            <w:noProof/>
            <w:webHidden/>
          </w:rPr>
          <w:fldChar w:fldCharType="end"/>
        </w:r>
      </w:hyperlink>
    </w:p>
    <w:p w14:paraId="020BCE0C" w14:textId="10EFFC4C" w:rsidR="008139EA" w:rsidRDefault="00614DDF">
      <w:pPr>
        <w:pStyle w:val="1a"/>
        <w:rPr>
          <w:rFonts w:asciiTheme="minorHAnsi" w:eastAsiaTheme="minorEastAsia" w:hAnsiTheme="minorHAnsi"/>
          <w:noProof/>
          <w:szCs w:val="24"/>
          <w:lang w:eastAsia="ru-RU"/>
        </w:rPr>
      </w:pPr>
      <w:hyperlink w:anchor="_Toc67522219" w:history="1">
        <w:r w:rsidR="008139EA" w:rsidRPr="00D76948">
          <w:rPr>
            <w:rStyle w:val="affc"/>
            <w:noProof/>
          </w:rPr>
          <w:t>Термины и определения</w:t>
        </w:r>
        <w:r w:rsidR="008139EA">
          <w:rPr>
            <w:noProof/>
            <w:webHidden/>
          </w:rPr>
          <w:tab/>
        </w:r>
        <w:r w:rsidR="008139EA">
          <w:rPr>
            <w:noProof/>
            <w:webHidden/>
          </w:rPr>
          <w:fldChar w:fldCharType="begin"/>
        </w:r>
        <w:r w:rsidR="008139EA">
          <w:rPr>
            <w:noProof/>
            <w:webHidden/>
          </w:rPr>
          <w:instrText xml:space="preserve"> PAGEREF _Toc67522219 \h </w:instrText>
        </w:r>
        <w:r w:rsidR="008139EA">
          <w:rPr>
            <w:noProof/>
            <w:webHidden/>
          </w:rPr>
        </w:r>
        <w:r w:rsidR="008139EA">
          <w:rPr>
            <w:noProof/>
            <w:webHidden/>
          </w:rPr>
          <w:fldChar w:fldCharType="separate"/>
        </w:r>
        <w:r w:rsidR="008139EA">
          <w:rPr>
            <w:noProof/>
            <w:webHidden/>
          </w:rPr>
          <w:t>7</w:t>
        </w:r>
        <w:r w:rsidR="008139EA">
          <w:rPr>
            <w:noProof/>
            <w:webHidden/>
          </w:rPr>
          <w:fldChar w:fldCharType="end"/>
        </w:r>
      </w:hyperlink>
    </w:p>
    <w:p w14:paraId="19EC57C9" w14:textId="50D9B581" w:rsidR="008139EA" w:rsidRDefault="00614DDF">
      <w:pPr>
        <w:pStyle w:val="1a"/>
        <w:rPr>
          <w:rFonts w:asciiTheme="minorHAnsi" w:eastAsiaTheme="minorEastAsia" w:hAnsiTheme="minorHAnsi"/>
          <w:noProof/>
          <w:szCs w:val="24"/>
          <w:lang w:eastAsia="ru-RU"/>
        </w:rPr>
      </w:pPr>
      <w:hyperlink w:anchor="_Toc67522220" w:history="1">
        <w:r w:rsidR="008139EA" w:rsidRPr="00D76948">
          <w:rPr>
            <w:rStyle w:val="affc"/>
            <w:noProof/>
          </w:rPr>
          <w:t>1. Краткая информация по заболеванию или состоянию (группе заболеваний или состояний)</w:t>
        </w:r>
        <w:r w:rsidR="008139EA">
          <w:rPr>
            <w:noProof/>
            <w:webHidden/>
          </w:rPr>
          <w:tab/>
        </w:r>
        <w:r w:rsidR="008139EA">
          <w:rPr>
            <w:noProof/>
            <w:webHidden/>
          </w:rPr>
          <w:fldChar w:fldCharType="begin"/>
        </w:r>
        <w:r w:rsidR="008139EA">
          <w:rPr>
            <w:noProof/>
            <w:webHidden/>
          </w:rPr>
          <w:instrText xml:space="preserve"> PAGEREF _Toc67522220 \h </w:instrText>
        </w:r>
        <w:r w:rsidR="008139EA">
          <w:rPr>
            <w:noProof/>
            <w:webHidden/>
          </w:rPr>
        </w:r>
        <w:r w:rsidR="008139EA">
          <w:rPr>
            <w:noProof/>
            <w:webHidden/>
          </w:rPr>
          <w:fldChar w:fldCharType="separate"/>
        </w:r>
        <w:r w:rsidR="008139EA">
          <w:rPr>
            <w:noProof/>
            <w:webHidden/>
          </w:rPr>
          <w:t>8</w:t>
        </w:r>
        <w:r w:rsidR="008139EA">
          <w:rPr>
            <w:noProof/>
            <w:webHidden/>
          </w:rPr>
          <w:fldChar w:fldCharType="end"/>
        </w:r>
      </w:hyperlink>
    </w:p>
    <w:p w14:paraId="1AF0810E" w14:textId="7D70FFFC" w:rsidR="008139EA" w:rsidRDefault="00614DDF">
      <w:pPr>
        <w:pStyle w:val="21"/>
        <w:rPr>
          <w:rFonts w:asciiTheme="minorHAnsi" w:eastAsiaTheme="minorEastAsia" w:hAnsiTheme="minorHAnsi" w:cstheme="minorBidi"/>
          <w:sz w:val="24"/>
          <w:szCs w:val="24"/>
          <w:lang w:eastAsia="ru-RU"/>
        </w:rPr>
      </w:pPr>
      <w:hyperlink w:anchor="_Toc67522221" w:history="1">
        <w:r w:rsidR="008139EA" w:rsidRPr="00D76948">
          <w:rPr>
            <w:rStyle w:val="affc"/>
          </w:rPr>
          <w:t xml:space="preserve">1.1 Определение </w:t>
        </w:r>
        <w:r w:rsidR="008139EA" w:rsidRPr="00D76948">
          <w:rPr>
            <w:rStyle w:val="affc"/>
            <w:shd w:val="clear" w:color="auto" w:fill="FFFFFF"/>
          </w:rPr>
          <w:t>заболевания или состояния (группы заболеваний или состояний)</w:t>
        </w:r>
        <w:r w:rsidR="008139EA">
          <w:rPr>
            <w:webHidden/>
          </w:rPr>
          <w:tab/>
        </w:r>
        <w:r w:rsidR="008139EA">
          <w:rPr>
            <w:webHidden/>
          </w:rPr>
          <w:fldChar w:fldCharType="begin"/>
        </w:r>
        <w:r w:rsidR="008139EA">
          <w:rPr>
            <w:webHidden/>
          </w:rPr>
          <w:instrText xml:space="preserve"> PAGEREF _Toc67522221 \h </w:instrText>
        </w:r>
        <w:r w:rsidR="008139EA">
          <w:rPr>
            <w:webHidden/>
          </w:rPr>
        </w:r>
        <w:r w:rsidR="008139EA">
          <w:rPr>
            <w:webHidden/>
          </w:rPr>
          <w:fldChar w:fldCharType="separate"/>
        </w:r>
        <w:r w:rsidR="008139EA">
          <w:rPr>
            <w:webHidden/>
          </w:rPr>
          <w:t>8</w:t>
        </w:r>
        <w:r w:rsidR="008139EA">
          <w:rPr>
            <w:webHidden/>
          </w:rPr>
          <w:fldChar w:fldCharType="end"/>
        </w:r>
      </w:hyperlink>
    </w:p>
    <w:p w14:paraId="1793C80F" w14:textId="71BB1B95" w:rsidR="008139EA" w:rsidRDefault="00614DDF">
      <w:pPr>
        <w:pStyle w:val="21"/>
        <w:rPr>
          <w:rFonts w:asciiTheme="minorHAnsi" w:eastAsiaTheme="minorEastAsia" w:hAnsiTheme="minorHAnsi" w:cstheme="minorBidi"/>
          <w:sz w:val="24"/>
          <w:szCs w:val="24"/>
          <w:lang w:eastAsia="ru-RU"/>
        </w:rPr>
      </w:pPr>
      <w:hyperlink w:anchor="_Toc67522222" w:history="1">
        <w:r w:rsidR="008139EA" w:rsidRPr="00D76948">
          <w:rPr>
            <w:rStyle w:val="affc"/>
          </w:rPr>
          <w:t xml:space="preserve">1.2 Этиология и патогенез </w:t>
        </w:r>
        <w:r w:rsidR="008139EA" w:rsidRPr="00D76948">
          <w:rPr>
            <w:rStyle w:val="affc"/>
            <w:shd w:val="clear" w:color="auto" w:fill="FFFFFF"/>
          </w:rPr>
          <w:t>заболевания или состояния (группы заболеваний или состояний)</w:t>
        </w:r>
        <w:r w:rsidR="008139EA">
          <w:rPr>
            <w:webHidden/>
          </w:rPr>
          <w:tab/>
        </w:r>
        <w:r w:rsidR="008139EA">
          <w:rPr>
            <w:webHidden/>
          </w:rPr>
          <w:fldChar w:fldCharType="begin"/>
        </w:r>
        <w:r w:rsidR="008139EA">
          <w:rPr>
            <w:webHidden/>
          </w:rPr>
          <w:instrText xml:space="preserve"> PAGEREF _Toc67522222 \h </w:instrText>
        </w:r>
        <w:r w:rsidR="008139EA">
          <w:rPr>
            <w:webHidden/>
          </w:rPr>
        </w:r>
        <w:r w:rsidR="008139EA">
          <w:rPr>
            <w:webHidden/>
          </w:rPr>
          <w:fldChar w:fldCharType="separate"/>
        </w:r>
        <w:r w:rsidR="008139EA">
          <w:rPr>
            <w:webHidden/>
          </w:rPr>
          <w:t>8</w:t>
        </w:r>
        <w:r w:rsidR="008139EA">
          <w:rPr>
            <w:webHidden/>
          </w:rPr>
          <w:fldChar w:fldCharType="end"/>
        </w:r>
      </w:hyperlink>
    </w:p>
    <w:p w14:paraId="1B6EB65A" w14:textId="3974C747" w:rsidR="008139EA" w:rsidRDefault="00614DDF">
      <w:pPr>
        <w:pStyle w:val="21"/>
        <w:rPr>
          <w:rFonts w:asciiTheme="minorHAnsi" w:eastAsiaTheme="minorEastAsia" w:hAnsiTheme="minorHAnsi" w:cstheme="minorBidi"/>
          <w:sz w:val="24"/>
          <w:szCs w:val="24"/>
          <w:lang w:eastAsia="ru-RU"/>
        </w:rPr>
      </w:pPr>
      <w:hyperlink w:anchor="_Toc67522223" w:history="1">
        <w:r w:rsidR="008139EA" w:rsidRPr="00D76948">
          <w:rPr>
            <w:rStyle w:val="affc"/>
          </w:rPr>
          <w:t xml:space="preserve">1.3 Эпидемиология </w:t>
        </w:r>
        <w:r w:rsidR="008139EA" w:rsidRPr="00D76948">
          <w:rPr>
            <w:rStyle w:val="affc"/>
            <w:shd w:val="clear" w:color="auto" w:fill="FFFFFF"/>
          </w:rPr>
          <w:t>заболевания или состояния (группы заболеваний или состояний)</w:t>
        </w:r>
        <w:r w:rsidR="008139EA">
          <w:rPr>
            <w:webHidden/>
          </w:rPr>
          <w:tab/>
        </w:r>
        <w:r w:rsidR="008139EA">
          <w:rPr>
            <w:webHidden/>
          </w:rPr>
          <w:fldChar w:fldCharType="begin"/>
        </w:r>
        <w:r w:rsidR="008139EA">
          <w:rPr>
            <w:webHidden/>
          </w:rPr>
          <w:instrText xml:space="preserve"> PAGEREF _Toc67522223 \h </w:instrText>
        </w:r>
        <w:r w:rsidR="008139EA">
          <w:rPr>
            <w:webHidden/>
          </w:rPr>
        </w:r>
        <w:r w:rsidR="008139EA">
          <w:rPr>
            <w:webHidden/>
          </w:rPr>
          <w:fldChar w:fldCharType="separate"/>
        </w:r>
        <w:r w:rsidR="008139EA">
          <w:rPr>
            <w:webHidden/>
          </w:rPr>
          <w:t>9</w:t>
        </w:r>
        <w:r w:rsidR="008139EA">
          <w:rPr>
            <w:webHidden/>
          </w:rPr>
          <w:fldChar w:fldCharType="end"/>
        </w:r>
      </w:hyperlink>
    </w:p>
    <w:p w14:paraId="01565871" w14:textId="144E3901" w:rsidR="008139EA" w:rsidRDefault="00614DDF">
      <w:pPr>
        <w:pStyle w:val="21"/>
        <w:rPr>
          <w:rFonts w:asciiTheme="minorHAnsi" w:eastAsiaTheme="minorEastAsia" w:hAnsiTheme="minorHAnsi" w:cstheme="minorBidi"/>
          <w:sz w:val="24"/>
          <w:szCs w:val="24"/>
          <w:lang w:eastAsia="ru-RU"/>
        </w:rPr>
      </w:pPr>
      <w:hyperlink w:anchor="_Toc67522224" w:history="1">
        <w:r w:rsidR="008139EA" w:rsidRPr="00D76948">
          <w:rPr>
            <w:rStyle w:val="affc"/>
          </w:rPr>
          <w:t xml:space="preserve">1.4 </w:t>
        </w:r>
        <w:r w:rsidR="008139EA" w:rsidRPr="00D76948">
          <w:rPr>
            <w:rStyle w:val="affc"/>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8139EA">
          <w:rPr>
            <w:webHidden/>
          </w:rPr>
          <w:tab/>
        </w:r>
        <w:r w:rsidR="008139EA">
          <w:rPr>
            <w:webHidden/>
          </w:rPr>
          <w:fldChar w:fldCharType="begin"/>
        </w:r>
        <w:r w:rsidR="008139EA">
          <w:rPr>
            <w:webHidden/>
          </w:rPr>
          <w:instrText xml:space="preserve"> PAGEREF _Toc67522224 \h </w:instrText>
        </w:r>
        <w:r w:rsidR="008139EA">
          <w:rPr>
            <w:webHidden/>
          </w:rPr>
        </w:r>
        <w:r w:rsidR="008139EA">
          <w:rPr>
            <w:webHidden/>
          </w:rPr>
          <w:fldChar w:fldCharType="separate"/>
        </w:r>
        <w:r w:rsidR="008139EA">
          <w:rPr>
            <w:webHidden/>
          </w:rPr>
          <w:t>9</w:t>
        </w:r>
        <w:r w:rsidR="008139EA">
          <w:rPr>
            <w:webHidden/>
          </w:rPr>
          <w:fldChar w:fldCharType="end"/>
        </w:r>
      </w:hyperlink>
    </w:p>
    <w:p w14:paraId="688B8DF0" w14:textId="43B02FE9" w:rsidR="008139EA" w:rsidRDefault="00614DDF">
      <w:pPr>
        <w:pStyle w:val="1a"/>
        <w:rPr>
          <w:rFonts w:asciiTheme="minorHAnsi" w:eastAsiaTheme="minorEastAsia" w:hAnsiTheme="minorHAnsi"/>
          <w:noProof/>
          <w:szCs w:val="24"/>
          <w:lang w:eastAsia="ru-RU"/>
        </w:rPr>
      </w:pPr>
      <w:hyperlink w:anchor="_Toc67522225" w:history="1">
        <w:r w:rsidR="008139EA" w:rsidRPr="00D76948">
          <w:rPr>
            <w:rStyle w:val="affc"/>
            <w:noProof/>
          </w:rPr>
          <w:t xml:space="preserve">1.5 Классификация </w:t>
        </w:r>
        <w:r w:rsidR="008139EA" w:rsidRPr="00D76948">
          <w:rPr>
            <w:rStyle w:val="affc"/>
            <w:noProof/>
            <w:shd w:val="clear" w:color="auto" w:fill="FFFFFF"/>
          </w:rPr>
          <w:t>заболевания или состояния (группы заболеваний или состояний)</w:t>
        </w:r>
        <w:r w:rsidR="008139EA">
          <w:rPr>
            <w:noProof/>
            <w:webHidden/>
          </w:rPr>
          <w:tab/>
        </w:r>
        <w:r w:rsidR="008139EA">
          <w:rPr>
            <w:noProof/>
            <w:webHidden/>
          </w:rPr>
          <w:fldChar w:fldCharType="begin"/>
        </w:r>
        <w:r w:rsidR="008139EA">
          <w:rPr>
            <w:noProof/>
            <w:webHidden/>
          </w:rPr>
          <w:instrText xml:space="preserve"> PAGEREF _Toc67522225 \h </w:instrText>
        </w:r>
        <w:r w:rsidR="008139EA">
          <w:rPr>
            <w:noProof/>
            <w:webHidden/>
          </w:rPr>
        </w:r>
        <w:r w:rsidR="008139EA">
          <w:rPr>
            <w:noProof/>
            <w:webHidden/>
          </w:rPr>
          <w:fldChar w:fldCharType="separate"/>
        </w:r>
        <w:r w:rsidR="008139EA">
          <w:rPr>
            <w:noProof/>
            <w:webHidden/>
          </w:rPr>
          <w:t>9</w:t>
        </w:r>
        <w:r w:rsidR="008139EA">
          <w:rPr>
            <w:noProof/>
            <w:webHidden/>
          </w:rPr>
          <w:fldChar w:fldCharType="end"/>
        </w:r>
      </w:hyperlink>
    </w:p>
    <w:p w14:paraId="4CD11471" w14:textId="7B14A1B0" w:rsidR="008139EA" w:rsidRDefault="00614DDF">
      <w:pPr>
        <w:pStyle w:val="1a"/>
        <w:rPr>
          <w:rFonts w:asciiTheme="minorHAnsi" w:eastAsiaTheme="minorEastAsia" w:hAnsiTheme="minorHAnsi"/>
          <w:noProof/>
          <w:szCs w:val="24"/>
          <w:lang w:eastAsia="ru-RU"/>
        </w:rPr>
      </w:pPr>
      <w:hyperlink w:anchor="_Toc67522226" w:history="1">
        <w:r w:rsidR="008139EA" w:rsidRPr="00D76948">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8139EA">
          <w:rPr>
            <w:noProof/>
            <w:webHidden/>
          </w:rPr>
          <w:tab/>
        </w:r>
        <w:r w:rsidR="008139EA">
          <w:rPr>
            <w:noProof/>
            <w:webHidden/>
          </w:rPr>
          <w:fldChar w:fldCharType="begin"/>
        </w:r>
        <w:r w:rsidR="008139EA">
          <w:rPr>
            <w:noProof/>
            <w:webHidden/>
          </w:rPr>
          <w:instrText xml:space="preserve"> PAGEREF _Toc67522226 \h </w:instrText>
        </w:r>
        <w:r w:rsidR="008139EA">
          <w:rPr>
            <w:noProof/>
            <w:webHidden/>
          </w:rPr>
        </w:r>
        <w:r w:rsidR="008139EA">
          <w:rPr>
            <w:noProof/>
            <w:webHidden/>
          </w:rPr>
          <w:fldChar w:fldCharType="separate"/>
        </w:r>
        <w:r w:rsidR="008139EA">
          <w:rPr>
            <w:noProof/>
            <w:webHidden/>
          </w:rPr>
          <w:t>10</w:t>
        </w:r>
        <w:r w:rsidR="008139EA">
          <w:rPr>
            <w:noProof/>
            <w:webHidden/>
          </w:rPr>
          <w:fldChar w:fldCharType="end"/>
        </w:r>
      </w:hyperlink>
    </w:p>
    <w:p w14:paraId="0C0A19B5" w14:textId="6F9D93BF" w:rsidR="008139EA" w:rsidRDefault="00614DDF">
      <w:pPr>
        <w:pStyle w:val="21"/>
        <w:rPr>
          <w:rFonts w:asciiTheme="minorHAnsi" w:eastAsiaTheme="minorEastAsia" w:hAnsiTheme="minorHAnsi" w:cstheme="minorBidi"/>
          <w:sz w:val="24"/>
          <w:szCs w:val="24"/>
          <w:lang w:eastAsia="ru-RU"/>
        </w:rPr>
      </w:pPr>
      <w:hyperlink w:anchor="_Toc67522227" w:history="1">
        <w:r w:rsidR="008139EA" w:rsidRPr="00D76948">
          <w:rPr>
            <w:rStyle w:val="affc"/>
            <w:rFonts w:eastAsia="Times New Roman"/>
          </w:rPr>
          <w:t>2.1 Жалобы и анамнез</w:t>
        </w:r>
        <w:r w:rsidR="008139EA">
          <w:rPr>
            <w:webHidden/>
          </w:rPr>
          <w:tab/>
        </w:r>
        <w:r w:rsidR="008139EA">
          <w:rPr>
            <w:webHidden/>
          </w:rPr>
          <w:fldChar w:fldCharType="begin"/>
        </w:r>
        <w:r w:rsidR="008139EA">
          <w:rPr>
            <w:webHidden/>
          </w:rPr>
          <w:instrText xml:space="preserve"> PAGEREF _Toc67522227 \h </w:instrText>
        </w:r>
        <w:r w:rsidR="008139EA">
          <w:rPr>
            <w:webHidden/>
          </w:rPr>
        </w:r>
        <w:r w:rsidR="008139EA">
          <w:rPr>
            <w:webHidden/>
          </w:rPr>
          <w:fldChar w:fldCharType="separate"/>
        </w:r>
        <w:r w:rsidR="008139EA">
          <w:rPr>
            <w:webHidden/>
          </w:rPr>
          <w:t>10</w:t>
        </w:r>
        <w:r w:rsidR="008139EA">
          <w:rPr>
            <w:webHidden/>
          </w:rPr>
          <w:fldChar w:fldCharType="end"/>
        </w:r>
      </w:hyperlink>
    </w:p>
    <w:p w14:paraId="7A88E262" w14:textId="6BB45EF8" w:rsidR="008139EA" w:rsidRDefault="00614DDF">
      <w:pPr>
        <w:pStyle w:val="21"/>
        <w:rPr>
          <w:rFonts w:asciiTheme="minorHAnsi" w:eastAsiaTheme="minorEastAsia" w:hAnsiTheme="minorHAnsi" w:cstheme="minorBidi"/>
          <w:sz w:val="24"/>
          <w:szCs w:val="24"/>
          <w:lang w:eastAsia="ru-RU"/>
        </w:rPr>
      </w:pPr>
      <w:hyperlink w:anchor="_Toc67522228" w:history="1">
        <w:r w:rsidR="008139EA" w:rsidRPr="00D76948">
          <w:rPr>
            <w:rStyle w:val="affc"/>
            <w:rFonts w:eastAsia="Times New Roman"/>
          </w:rPr>
          <w:t>2.2 Физикальное обследование</w:t>
        </w:r>
        <w:r w:rsidR="008139EA">
          <w:rPr>
            <w:webHidden/>
          </w:rPr>
          <w:tab/>
        </w:r>
        <w:r w:rsidR="008139EA">
          <w:rPr>
            <w:webHidden/>
          </w:rPr>
          <w:fldChar w:fldCharType="begin"/>
        </w:r>
        <w:r w:rsidR="008139EA">
          <w:rPr>
            <w:webHidden/>
          </w:rPr>
          <w:instrText xml:space="preserve"> PAGEREF _Toc67522228 \h </w:instrText>
        </w:r>
        <w:r w:rsidR="008139EA">
          <w:rPr>
            <w:webHidden/>
          </w:rPr>
        </w:r>
        <w:r w:rsidR="008139EA">
          <w:rPr>
            <w:webHidden/>
          </w:rPr>
          <w:fldChar w:fldCharType="separate"/>
        </w:r>
        <w:r w:rsidR="008139EA">
          <w:rPr>
            <w:webHidden/>
          </w:rPr>
          <w:t>11</w:t>
        </w:r>
        <w:r w:rsidR="008139EA">
          <w:rPr>
            <w:webHidden/>
          </w:rPr>
          <w:fldChar w:fldCharType="end"/>
        </w:r>
      </w:hyperlink>
    </w:p>
    <w:p w14:paraId="7061BB31" w14:textId="35D0E7FC" w:rsidR="008139EA" w:rsidRDefault="00614DDF">
      <w:pPr>
        <w:pStyle w:val="21"/>
        <w:rPr>
          <w:rFonts w:asciiTheme="minorHAnsi" w:eastAsiaTheme="minorEastAsia" w:hAnsiTheme="minorHAnsi" w:cstheme="minorBidi"/>
          <w:sz w:val="24"/>
          <w:szCs w:val="24"/>
          <w:lang w:eastAsia="ru-RU"/>
        </w:rPr>
      </w:pPr>
      <w:hyperlink w:anchor="_Toc67522229" w:history="1">
        <w:r w:rsidR="008139EA" w:rsidRPr="00D76948">
          <w:rPr>
            <w:rStyle w:val="affc"/>
          </w:rPr>
          <w:t>2.3 Лабораторные диагностические исследования</w:t>
        </w:r>
        <w:r w:rsidR="008139EA">
          <w:rPr>
            <w:webHidden/>
          </w:rPr>
          <w:tab/>
        </w:r>
        <w:r w:rsidR="008139EA">
          <w:rPr>
            <w:webHidden/>
          </w:rPr>
          <w:fldChar w:fldCharType="begin"/>
        </w:r>
        <w:r w:rsidR="008139EA">
          <w:rPr>
            <w:webHidden/>
          </w:rPr>
          <w:instrText xml:space="preserve"> PAGEREF _Toc67522229 \h </w:instrText>
        </w:r>
        <w:r w:rsidR="008139EA">
          <w:rPr>
            <w:webHidden/>
          </w:rPr>
        </w:r>
        <w:r w:rsidR="008139EA">
          <w:rPr>
            <w:webHidden/>
          </w:rPr>
          <w:fldChar w:fldCharType="separate"/>
        </w:r>
        <w:r w:rsidR="008139EA">
          <w:rPr>
            <w:webHidden/>
          </w:rPr>
          <w:t>12</w:t>
        </w:r>
        <w:r w:rsidR="008139EA">
          <w:rPr>
            <w:webHidden/>
          </w:rPr>
          <w:fldChar w:fldCharType="end"/>
        </w:r>
      </w:hyperlink>
    </w:p>
    <w:p w14:paraId="70572EB9" w14:textId="61299806" w:rsidR="008139EA" w:rsidRDefault="00614DDF">
      <w:pPr>
        <w:pStyle w:val="21"/>
        <w:rPr>
          <w:rFonts w:asciiTheme="minorHAnsi" w:eastAsiaTheme="minorEastAsia" w:hAnsiTheme="minorHAnsi" w:cstheme="minorBidi"/>
          <w:sz w:val="24"/>
          <w:szCs w:val="24"/>
          <w:lang w:eastAsia="ru-RU"/>
        </w:rPr>
      </w:pPr>
      <w:hyperlink w:anchor="_Toc67522230" w:history="1">
        <w:r w:rsidR="008139EA" w:rsidRPr="00D76948">
          <w:rPr>
            <w:rStyle w:val="affc"/>
          </w:rPr>
          <w:t>2.4 Инструментальные диагностические исследования</w:t>
        </w:r>
        <w:r w:rsidR="008139EA">
          <w:rPr>
            <w:webHidden/>
          </w:rPr>
          <w:tab/>
        </w:r>
        <w:r w:rsidR="008139EA">
          <w:rPr>
            <w:webHidden/>
          </w:rPr>
          <w:fldChar w:fldCharType="begin"/>
        </w:r>
        <w:r w:rsidR="008139EA">
          <w:rPr>
            <w:webHidden/>
          </w:rPr>
          <w:instrText xml:space="preserve"> PAGEREF _Toc67522230 \h </w:instrText>
        </w:r>
        <w:r w:rsidR="008139EA">
          <w:rPr>
            <w:webHidden/>
          </w:rPr>
        </w:r>
        <w:r w:rsidR="008139EA">
          <w:rPr>
            <w:webHidden/>
          </w:rPr>
          <w:fldChar w:fldCharType="separate"/>
        </w:r>
        <w:r w:rsidR="008139EA">
          <w:rPr>
            <w:webHidden/>
          </w:rPr>
          <w:t>17</w:t>
        </w:r>
        <w:r w:rsidR="008139EA">
          <w:rPr>
            <w:webHidden/>
          </w:rPr>
          <w:fldChar w:fldCharType="end"/>
        </w:r>
      </w:hyperlink>
    </w:p>
    <w:p w14:paraId="5BA86D03" w14:textId="62C318CA" w:rsidR="008139EA" w:rsidRDefault="00614DDF">
      <w:pPr>
        <w:pStyle w:val="21"/>
        <w:rPr>
          <w:rFonts w:asciiTheme="minorHAnsi" w:eastAsiaTheme="minorEastAsia" w:hAnsiTheme="minorHAnsi" w:cstheme="minorBidi"/>
          <w:sz w:val="24"/>
          <w:szCs w:val="24"/>
          <w:lang w:eastAsia="ru-RU"/>
        </w:rPr>
      </w:pPr>
      <w:hyperlink w:anchor="_Toc67522231" w:history="1">
        <w:r w:rsidR="008139EA" w:rsidRPr="00D76948">
          <w:rPr>
            <w:rStyle w:val="affc"/>
            <w:rFonts w:eastAsia="Times New Roman"/>
          </w:rPr>
          <w:t>2.5 Иная диагностика</w:t>
        </w:r>
        <w:r w:rsidR="008139EA">
          <w:rPr>
            <w:webHidden/>
          </w:rPr>
          <w:tab/>
        </w:r>
        <w:r w:rsidR="008139EA">
          <w:rPr>
            <w:webHidden/>
          </w:rPr>
          <w:fldChar w:fldCharType="begin"/>
        </w:r>
        <w:r w:rsidR="008139EA">
          <w:rPr>
            <w:webHidden/>
          </w:rPr>
          <w:instrText xml:space="preserve"> PAGEREF _Toc67522231 \h </w:instrText>
        </w:r>
        <w:r w:rsidR="008139EA">
          <w:rPr>
            <w:webHidden/>
          </w:rPr>
        </w:r>
        <w:r w:rsidR="008139EA">
          <w:rPr>
            <w:webHidden/>
          </w:rPr>
          <w:fldChar w:fldCharType="separate"/>
        </w:r>
        <w:r w:rsidR="008139EA">
          <w:rPr>
            <w:webHidden/>
          </w:rPr>
          <w:t>18</w:t>
        </w:r>
        <w:r w:rsidR="008139EA">
          <w:rPr>
            <w:webHidden/>
          </w:rPr>
          <w:fldChar w:fldCharType="end"/>
        </w:r>
      </w:hyperlink>
    </w:p>
    <w:p w14:paraId="676AE507" w14:textId="313F39AC" w:rsidR="008139EA" w:rsidRDefault="00614DDF">
      <w:pPr>
        <w:pStyle w:val="1a"/>
        <w:rPr>
          <w:rFonts w:asciiTheme="minorHAnsi" w:eastAsiaTheme="minorEastAsia" w:hAnsiTheme="minorHAnsi"/>
          <w:noProof/>
          <w:szCs w:val="24"/>
          <w:lang w:eastAsia="ru-RU"/>
        </w:rPr>
      </w:pPr>
      <w:hyperlink w:anchor="_Toc67522232" w:history="1">
        <w:r w:rsidR="008139EA" w:rsidRPr="00D76948">
          <w:rPr>
            <w:rStyle w:val="affc"/>
            <w:noProof/>
          </w:rPr>
          <w:t>3.Лечение,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8139EA">
          <w:rPr>
            <w:noProof/>
            <w:webHidden/>
          </w:rPr>
          <w:tab/>
        </w:r>
        <w:r w:rsidR="008139EA">
          <w:rPr>
            <w:noProof/>
            <w:webHidden/>
          </w:rPr>
          <w:fldChar w:fldCharType="begin"/>
        </w:r>
        <w:r w:rsidR="008139EA">
          <w:rPr>
            <w:noProof/>
            <w:webHidden/>
          </w:rPr>
          <w:instrText xml:space="preserve"> PAGEREF _Toc67522232 \h </w:instrText>
        </w:r>
        <w:r w:rsidR="008139EA">
          <w:rPr>
            <w:noProof/>
            <w:webHidden/>
          </w:rPr>
        </w:r>
        <w:r w:rsidR="008139EA">
          <w:rPr>
            <w:noProof/>
            <w:webHidden/>
          </w:rPr>
          <w:fldChar w:fldCharType="separate"/>
        </w:r>
        <w:r w:rsidR="008139EA">
          <w:rPr>
            <w:noProof/>
            <w:webHidden/>
          </w:rPr>
          <w:t>19</w:t>
        </w:r>
        <w:r w:rsidR="008139EA">
          <w:rPr>
            <w:noProof/>
            <w:webHidden/>
          </w:rPr>
          <w:fldChar w:fldCharType="end"/>
        </w:r>
      </w:hyperlink>
    </w:p>
    <w:p w14:paraId="0AE12EB0" w14:textId="6EC95F36" w:rsidR="008139EA" w:rsidRDefault="00614DDF">
      <w:pPr>
        <w:pStyle w:val="21"/>
        <w:rPr>
          <w:rFonts w:asciiTheme="minorHAnsi" w:eastAsiaTheme="minorEastAsia" w:hAnsiTheme="minorHAnsi" w:cstheme="minorBidi"/>
          <w:sz w:val="24"/>
          <w:szCs w:val="24"/>
          <w:lang w:eastAsia="ru-RU"/>
        </w:rPr>
      </w:pPr>
      <w:hyperlink w:anchor="_Toc67522233" w:history="1">
        <w:r w:rsidR="008139EA" w:rsidRPr="00D76948">
          <w:rPr>
            <w:rStyle w:val="affc"/>
          </w:rPr>
          <w:t>3.1 Консервативная терапия</w:t>
        </w:r>
        <w:r w:rsidR="008139EA">
          <w:rPr>
            <w:webHidden/>
          </w:rPr>
          <w:tab/>
        </w:r>
        <w:r w:rsidR="008139EA">
          <w:rPr>
            <w:webHidden/>
          </w:rPr>
          <w:fldChar w:fldCharType="begin"/>
        </w:r>
        <w:r w:rsidR="008139EA">
          <w:rPr>
            <w:webHidden/>
          </w:rPr>
          <w:instrText xml:space="preserve"> PAGEREF _Toc67522233 \h </w:instrText>
        </w:r>
        <w:r w:rsidR="008139EA">
          <w:rPr>
            <w:webHidden/>
          </w:rPr>
        </w:r>
        <w:r w:rsidR="008139EA">
          <w:rPr>
            <w:webHidden/>
          </w:rPr>
          <w:fldChar w:fldCharType="separate"/>
        </w:r>
        <w:r w:rsidR="008139EA">
          <w:rPr>
            <w:webHidden/>
          </w:rPr>
          <w:t>21</w:t>
        </w:r>
        <w:r w:rsidR="008139EA">
          <w:rPr>
            <w:webHidden/>
          </w:rPr>
          <w:fldChar w:fldCharType="end"/>
        </w:r>
      </w:hyperlink>
    </w:p>
    <w:p w14:paraId="7BC8D40D" w14:textId="41417F6B" w:rsidR="008139EA" w:rsidRDefault="00614DDF">
      <w:pPr>
        <w:pStyle w:val="21"/>
        <w:rPr>
          <w:rFonts w:asciiTheme="minorHAnsi" w:eastAsiaTheme="minorEastAsia" w:hAnsiTheme="minorHAnsi" w:cstheme="minorBidi"/>
          <w:sz w:val="24"/>
          <w:szCs w:val="24"/>
          <w:lang w:eastAsia="ru-RU"/>
        </w:rPr>
      </w:pPr>
      <w:hyperlink w:anchor="_Toc67522234" w:history="1">
        <w:r w:rsidR="008139EA" w:rsidRPr="00D76948">
          <w:rPr>
            <w:rStyle w:val="affc"/>
            <w:rFonts w:eastAsia="Times New Roman"/>
          </w:rPr>
          <w:t>3.2 Хирургическое лечение</w:t>
        </w:r>
        <w:r w:rsidR="008139EA">
          <w:rPr>
            <w:webHidden/>
          </w:rPr>
          <w:tab/>
        </w:r>
        <w:r w:rsidR="008139EA">
          <w:rPr>
            <w:webHidden/>
          </w:rPr>
          <w:fldChar w:fldCharType="begin"/>
        </w:r>
        <w:r w:rsidR="008139EA">
          <w:rPr>
            <w:webHidden/>
          </w:rPr>
          <w:instrText xml:space="preserve"> PAGEREF _Toc67522234 \h </w:instrText>
        </w:r>
        <w:r w:rsidR="008139EA">
          <w:rPr>
            <w:webHidden/>
          </w:rPr>
        </w:r>
        <w:r w:rsidR="008139EA">
          <w:rPr>
            <w:webHidden/>
          </w:rPr>
          <w:fldChar w:fldCharType="separate"/>
        </w:r>
        <w:r w:rsidR="008139EA">
          <w:rPr>
            <w:webHidden/>
          </w:rPr>
          <w:t>26</w:t>
        </w:r>
        <w:r w:rsidR="008139EA">
          <w:rPr>
            <w:webHidden/>
          </w:rPr>
          <w:fldChar w:fldCharType="end"/>
        </w:r>
      </w:hyperlink>
    </w:p>
    <w:p w14:paraId="627BE6D0" w14:textId="7273314B" w:rsidR="008139EA" w:rsidRDefault="00614DDF">
      <w:pPr>
        <w:pStyle w:val="1a"/>
        <w:rPr>
          <w:rFonts w:asciiTheme="minorHAnsi" w:eastAsiaTheme="minorEastAsia" w:hAnsiTheme="minorHAnsi"/>
          <w:noProof/>
          <w:szCs w:val="24"/>
          <w:lang w:eastAsia="ru-RU"/>
        </w:rPr>
      </w:pPr>
      <w:hyperlink w:anchor="_Toc67522235" w:history="1">
        <w:r w:rsidR="008139EA" w:rsidRPr="00D76948">
          <w:rPr>
            <w:rStyle w:val="affc"/>
            <w:noProof/>
          </w:rPr>
          <w:t>4. 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r w:rsidR="008139EA">
          <w:rPr>
            <w:noProof/>
            <w:webHidden/>
          </w:rPr>
          <w:tab/>
        </w:r>
        <w:r w:rsidR="008139EA">
          <w:rPr>
            <w:noProof/>
            <w:webHidden/>
          </w:rPr>
          <w:fldChar w:fldCharType="begin"/>
        </w:r>
        <w:r w:rsidR="008139EA">
          <w:rPr>
            <w:noProof/>
            <w:webHidden/>
          </w:rPr>
          <w:instrText xml:space="preserve"> PAGEREF _Toc67522235 \h </w:instrText>
        </w:r>
        <w:r w:rsidR="008139EA">
          <w:rPr>
            <w:noProof/>
            <w:webHidden/>
          </w:rPr>
        </w:r>
        <w:r w:rsidR="008139EA">
          <w:rPr>
            <w:noProof/>
            <w:webHidden/>
          </w:rPr>
          <w:fldChar w:fldCharType="separate"/>
        </w:r>
        <w:r w:rsidR="008139EA">
          <w:rPr>
            <w:noProof/>
            <w:webHidden/>
          </w:rPr>
          <w:t>27</w:t>
        </w:r>
        <w:r w:rsidR="008139EA">
          <w:rPr>
            <w:noProof/>
            <w:webHidden/>
          </w:rPr>
          <w:fldChar w:fldCharType="end"/>
        </w:r>
      </w:hyperlink>
    </w:p>
    <w:p w14:paraId="4652AF93" w14:textId="6FCC9E25" w:rsidR="008139EA" w:rsidRDefault="00614DDF">
      <w:pPr>
        <w:pStyle w:val="1a"/>
        <w:rPr>
          <w:rFonts w:asciiTheme="minorHAnsi" w:eastAsiaTheme="minorEastAsia" w:hAnsiTheme="minorHAnsi"/>
          <w:noProof/>
          <w:szCs w:val="24"/>
          <w:lang w:eastAsia="ru-RU"/>
        </w:rPr>
      </w:pPr>
      <w:hyperlink w:anchor="_Toc67522236" w:history="1">
        <w:r w:rsidR="008139EA" w:rsidRPr="00D76948">
          <w:rPr>
            <w:rStyle w:val="affc"/>
            <w:noProof/>
          </w:rPr>
          <w:t>5. Профилактика и диспансерное наблюдение, медицинские показания и противопоказания к применению методов профилактики</w:t>
        </w:r>
        <w:r w:rsidR="008139EA">
          <w:rPr>
            <w:noProof/>
            <w:webHidden/>
          </w:rPr>
          <w:tab/>
        </w:r>
        <w:r w:rsidR="008139EA">
          <w:rPr>
            <w:noProof/>
            <w:webHidden/>
          </w:rPr>
          <w:fldChar w:fldCharType="begin"/>
        </w:r>
        <w:r w:rsidR="008139EA">
          <w:rPr>
            <w:noProof/>
            <w:webHidden/>
          </w:rPr>
          <w:instrText xml:space="preserve"> PAGEREF _Toc67522236 \h </w:instrText>
        </w:r>
        <w:r w:rsidR="008139EA">
          <w:rPr>
            <w:noProof/>
            <w:webHidden/>
          </w:rPr>
        </w:r>
        <w:r w:rsidR="008139EA">
          <w:rPr>
            <w:noProof/>
            <w:webHidden/>
          </w:rPr>
          <w:fldChar w:fldCharType="separate"/>
        </w:r>
        <w:r w:rsidR="008139EA">
          <w:rPr>
            <w:noProof/>
            <w:webHidden/>
          </w:rPr>
          <w:t>27</w:t>
        </w:r>
        <w:r w:rsidR="008139EA">
          <w:rPr>
            <w:noProof/>
            <w:webHidden/>
          </w:rPr>
          <w:fldChar w:fldCharType="end"/>
        </w:r>
      </w:hyperlink>
    </w:p>
    <w:p w14:paraId="6D267776" w14:textId="5A132078" w:rsidR="008139EA" w:rsidRDefault="00614DDF">
      <w:pPr>
        <w:pStyle w:val="1a"/>
        <w:rPr>
          <w:rFonts w:asciiTheme="minorHAnsi" w:eastAsiaTheme="minorEastAsia" w:hAnsiTheme="minorHAnsi"/>
          <w:noProof/>
          <w:szCs w:val="24"/>
          <w:lang w:eastAsia="ru-RU"/>
        </w:rPr>
      </w:pPr>
      <w:hyperlink w:anchor="_Toc67522237" w:history="1">
        <w:r w:rsidR="008139EA" w:rsidRPr="00D76948">
          <w:rPr>
            <w:rStyle w:val="affc"/>
            <w:rFonts w:cs="Times New Roman"/>
            <w:noProof/>
          </w:rPr>
          <w:t>6. Организация оказания медицинской помощи</w:t>
        </w:r>
        <w:r w:rsidR="008139EA">
          <w:rPr>
            <w:noProof/>
            <w:webHidden/>
          </w:rPr>
          <w:tab/>
        </w:r>
        <w:r w:rsidR="008139EA">
          <w:rPr>
            <w:noProof/>
            <w:webHidden/>
          </w:rPr>
          <w:fldChar w:fldCharType="begin"/>
        </w:r>
        <w:r w:rsidR="008139EA">
          <w:rPr>
            <w:noProof/>
            <w:webHidden/>
          </w:rPr>
          <w:instrText xml:space="preserve"> PAGEREF _Toc67522237 \h </w:instrText>
        </w:r>
        <w:r w:rsidR="008139EA">
          <w:rPr>
            <w:noProof/>
            <w:webHidden/>
          </w:rPr>
        </w:r>
        <w:r w:rsidR="008139EA">
          <w:rPr>
            <w:noProof/>
            <w:webHidden/>
          </w:rPr>
          <w:fldChar w:fldCharType="separate"/>
        </w:r>
        <w:r w:rsidR="008139EA">
          <w:rPr>
            <w:noProof/>
            <w:webHidden/>
          </w:rPr>
          <w:t>29</w:t>
        </w:r>
        <w:r w:rsidR="008139EA">
          <w:rPr>
            <w:noProof/>
            <w:webHidden/>
          </w:rPr>
          <w:fldChar w:fldCharType="end"/>
        </w:r>
      </w:hyperlink>
    </w:p>
    <w:p w14:paraId="77C1DAA2" w14:textId="10A572DB" w:rsidR="008139EA" w:rsidRDefault="00614DDF">
      <w:pPr>
        <w:pStyle w:val="1a"/>
        <w:rPr>
          <w:rFonts w:asciiTheme="minorHAnsi" w:eastAsiaTheme="minorEastAsia" w:hAnsiTheme="minorHAnsi"/>
          <w:noProof/>
          <w:szCs w:val="24"/>
          <w:lang w:eastAsia="ru-RU"/>
        </w:rPr>
      </w:pPr>
      <w:hyperlink w:anchor="_Toc67522238" w:history="1">
        <w:r w:rsidR="008139EA" w:rsidRPr="00D76948">
          <w:rPr>
            <w:rStyle w:val="affc"/>
            <w:noProof/>
          </w:rPr>
          <w:t>7. Дополнительная информация (в том числе факторы, влияющие на исход заболевания или состояния)</w:t>
        </w:r>
        <w:r w:rsidR="008139EA">
          <w:rPr>
            <w:noProof/>
            <w:webHidden/>
          </w:rPr>
          <w:tab/>
        </w:r>
        <w:r w:rsidR="008139EA">
          <w:rPr>
            <w:noProof/>
            <w:webHidden/>
          </w:rPr>
          <w:fldChar w:fldCharType="begin"/>
        </w:r>
        <w:r w:rsidR="008139EA">
          <w:rPr>
            <w:noProof/>
            <w:webHidden/>
          </w:rPr>
          <w:instrText xml:space="preserve"> PAGEREF _Toc67522238 \h </w:instrText>
        </w:r>
        <w:r w:rsidR="008139EA">
          <w:rPr>
            <w:noProof/>
            <w:webHidden/>
          </w:rPr>
        </w:r>
        <w:r w:rsidR="008139EA">
          <w:rPr>
            <w:noProof/>
            <w:webHidden/>
          </w:rPr>
          <w:fldChar w:fldCharType="separate"/>
        </w:r>
        <w:r w:rsidR="008139EA">
          <w:rPr>
            <w:noProof/>
            <w:webHidden/>
          </w:rPr>
          <w:t>29</w:t>
        </w:r>
        <w:r w:rsidR="008139EA">
          <w:rPr>
            <w:noProof/>
            <w:webHidden/>
          </w:rPr>
          <w:fldChar w:fldCharType="end"/>
        </w:r>
      </w:hyperlink>
    </w:p>
    <w:p w14:paraId="62ED60ED" w14:textId="6052E6AC" w:rsidR="008139EA" w:rsidRDefault="00614DDF">
      <w:pPr>
        <w:pStyle w:val="21"/>
        <w:rPr>
          <w:rFonts w:asciiTheme="minorHAnsi" w:eastAsiaTheme="minorEastAsia" w:hAnsiTheme="minorHAnsi" w:cstheme="minorBidi"/>
          <w:sz w:val="24"/>
          <w:szCs w:val="24"/>
          <w:lang w:eastAsia="ru-RU"/>
        </w:rPr>
      </w:pPr>
      <w:hyperlink w:anchor="_Toc67522239" w:history="1">
        <w:r w:rsidR="008139EA" w:rsidRPr="00D76948">
          <w:rPr>
            <w:rStyle w:val="affc"/>
          </w:rPr>
          <w:t>7.1 Основные осложнения терапии АТГ</w:t>
        </w:r>
        <w:r w:rsidR="008139EA">
          <w:rPr>
            <w:webHidden/>
          </w:rPr>
          <w:tab/>
        </w:r>
        <w:r w:rsidR="008139EA">
          <w:rPr>
            <w:webHidden/>
          </w:rPr>
          <w:fldChar w:fldCharType="begin"/>
        </w:r>
        <w:r w:rsidR="008139EA">
          <w:rPr>
            <w:webHidden/>
          </w:rPr>
          <w:instrText xml:space="preserve"> PAGEREF _Toc67522239 \h </w:instrText>
        </w:r>
        <w:r w:rsidR="008139EA">
          <w:rPr>
            <w:webHidden/>
          </w:rPr>
        </w:r>
        <w:r w:rsidR="008139EA">
          <w:rPr>
            <w:webHidden/>
          </w:rPr>
          <w:fldChar w:fldCharType="separate"/>
        </w:r>
        <w:r w:rsidR="008139EA">
          <w:rPr>
            <w:webHidden/>
          </w:rPr>
          <w:t>29</w:t>
        </w:r>
        <w:r w:rsidR="008139EA">
          <w:rPr>
            <w:webHidden/>
          </w:rPr>
          <w:fldChar w:fldCharType="end"/>
        </w:r>
      </w:hyperlink>
    </w:p>
    <w:p w14:paraId="47AC497A" w14:textId="43AD8F69" w:rsidR="008139EA" w:rsidRDefault="00614DDF">
      <w:pPr>
        <w:pStyle w:val="21"/>
        <w:rPr>
          <w:rFonts w:asciiTheme="minorHAnsi" w:eastAsiaTheme="minorEastAsia" w:hAnsiTheme="minorHAnsi" w:cstheme="minorBidi"/>
          <w:sz w:val="24"/>
          <w:szCs w:val="24"/>
          <w:lang w:eastAsia="ru-RU"/>
        </w:rPr>
      </w:pPr>
      <w:hyperlink w:anchor="_Toc67522240" w:history="1">
        <w:r w:rsidR="008139EA" w:rsidRPr="00D76948">
          <w:rPr>
            <w:rStyle w:val="affc"/>
          </w:rPr>
          <w:t xml:space="preserve">7.2 </w:t>
        </w:r>
        <w:r w:rsidR="008139EA" w:rsidRPr="00D76948">
          <w:rPr>
            <w:rStyle w:val="affc"/>
            <w:lang w:eastAsia="ru-RU"/>
          </w:rPr>
          <w:t>Профилактика язвенной болезни желудка и 12-перстной кишки на фоне терапии глюкокортикостероидами</w:t>
        </w:r>
        <w:r w:rsidR="008139EA">
          <w:rPr>
            <w:webHidden/>
          </w:rPr>
          <w:tab/>
        </w:r>
        <w:r w:rsidR="008139EA">
          <w:rPr>
            <w:webHidden/>
          </w:rPr>
          <w:fldChar w:fldCharType="begin"/>
        </w:r>
        <w:r w:rsidR="008139EA">
          <w:rPr>
            <w:webHidden/>
          </w:rPr>
          <w:instrText xml:space="preserve"> PAGEREF _Toc67522240 \h </w:instrText>
        </w:r>
        <w:r w:rsidR="008139EA">
          <w:rPr>
            <w:webHidden/>
          </w:rPr>
        </w:r>
        <w:r w:rsidR="008139EA">
          <w:rPr>
            <w:webHidden/>
          </w:rPr>
          <w:fldChar w:fldCharType="separate"/>
        </w:r>
        <w:r w:rsidR="008139EA">
          <w:rPr>
            <w:webHidden/>
          </w:rPr>
          <w:t>32</w:t>
        </w:r>
        <w:r w:rsidR="008139EA">
          <w:rPr>
            <w:webHidden/>
          </w:rPr>
          <w:fldChar w:fldCharType="end"/>
        </w:r>
      </w:hyperlink>
    </w:p>
    <w:p w14:paraId="378B9DF2" w14:textId="72AFDAA2" w:rsidR="008139EA" w:rsidRDefault="00614DDF">
      <w:pPr>
        <w:pStyle w:val="21"/>
        <w:rPr>
          <w:rFonts w:asciiTheme="minorHAnsi" w:eastAsiaTheme="minorEastAsia" w:hAnsiTheme="minorHAnsi" w:cstheme="minorBidi"/>
          <w:sz w:val="24"/>
          <w:szCs w:val="24"/>
          <w:lang w:eastAsia="ru-RU"/>
        </w:rPr>
      </w:pPr>
      <w:hyperlink w:anchor="_Toc67522241" w:history="1">
        <w:r w:rsidR="008139EA" w:rsidRPr="00D76948">
          <w:rPr>
            <w:rStyle w:val="affc"/>
          </w:rPr>
          <w:t>7.3 Профилактика, диагностика и лечение геморрагических осложнений</w:t>
        </w:r>
        <w:r w:rsidR="008139EA">
          <w:rPr>
            <w:webHidden/>
          </w:rPr>
          <w:tab/>
        </w:r>
        <w:r w:rsidR="008139EA">
          <w:rPr>
            <w:webHidden/>
          </w:rPr>
          <w:fldChar w:fldCharType="begin"/>
        </w:r>
        <w:r w:rsidR="008139EA">
          <w:rPr>
            <w:webHidden/>
          </w:rPr>
          <w:instrText xml:space="preserve"> PAGEREF _Toc67522241 \h </w:instrText>
        </w:r>
        <w:r w:rsidR="008139EA">
          <w:rPr>
            <w:webHidden/>
          </w:rPr>
        </w:r>
        <w:r w:rsidR="008139EA">
          <w:rPr>
            <w:webHidden/>
          </w:rPr>
          <w:fldChar w:fldCharType="separate"/>
        </w:r>
        <w:r w:rsidR="008139EA">
          <w:rPr>
            <w:webHidden/>
          </w:rPr>
          <w:t>34</w:t>
        </w:r>
        <w:r w:rsidR="008139EA">
          <w:rPr>
            <w:webHidden/>
          </w:rPr>
          <w:fldChar w:fldCharType="end"/>
        </w:r>
      </w:hyperlink>
    </w:p>
    <w:p w14:paraId="0237117A" w14:textId="6DE9E4CA" w:rsidR="008139EA" w:rsidRDefault="00614DDF">
      <w:pPr>
        <w:pStyle w:val="21"/>
        <w:rPr>
          <w:rFonts w:asciiTheme="minorHAnsi" w:eastAsiaTheme="minorEastAsia" w:hAnsiTheme="minorHAnsi" w:cstheme="minorBidi"/>
          <w:sz w:val="24"/>
          <w:szCs w:val="24"/>
          <w:lang w:eastAsia="ru-RU"/>
        </w:rPr>
      </w:pPr>
      <w:hyperlink w:anchor="_Toc67522242" w:history="1">
        <w:r w:rsidR="008139EA" w:rsidRPr="00D76948">
          <w:rPr>
            <w:rStyle w:val="affc"/>
          </w:rPr>
          <w:t>7.4 Внутричерепные кровоизлияния у гематологических пациентов – тактика нейрохирургического лечения</w:t>
        </w:r>
        <w:r w:rsidR="008139EA">
          <w:rPr>
            <w:webHidden/>
          </w:rPr>
          <w:tab/>
        </w:r>
        <w:r w:rsidR="008139EA">
          <w:rPr>
            <w:webHidden/>
          </w:rPr>
          <w:fldChar w:fldCharType="begin"/>
        </w:r>
        <w:r w:rsidR="008139EA">
          <w:rPr>
            <w:webHidden/>
          </w:rPr>
          <w:instrText xml:space="preserve"> PAGEREF _Toc67522242 \h </w:instrText>
        </w:r>
        <w:r w:rsidR="008139EA">
          <w:rPr>
            <w:webHidden/>
          </w:rPr>
        </w:r>
        <w:r w:rsidR="008139EA">
          <w:rPr>
            <w:webHidden/>
          </w:rPr>
          <w:fldChar w:fldCharType="separate"/>
        </w:r>
        <w:r w:rsidR="008139EA">
          <w:rPr>
            <w:webHidden/>
          </w:rPr>
          <w:t>39</w:t>
        </w:r>
        <w:r w:rsidR="008139EA">
          <w:rPr>
            <w:webHidden/>
          </w:rPr>
          <w:fldChar w:fldCharType="end"/>
        </w:r>
      </w:hyperlink>
    </w:p>
    <w:p w14:paraId="15A63084" w14:textId="5364163E" w:rsidR="008139EA" w:rsidRDefault="00614DDF">
      <w:pPr>
        <w:pStyle w:val="21"/>
        <w:rPr>
          <w:rFonts w:asciiTheme="minorHAnsi" w:eastAsiaTheme="minorEastAsia" w:hAnsiTheme="minorHAnsi" w:cstheme="minorBidi"/>
          <w:sz w:val="24"/>
          <w:szCs w:val="24"/>
          <w:lang w:eastAsia="ru-RU"/>
        </w:rPr>
      </w:pPr>
      <w:hyperlink w:anchor="_Toc67522243" w:history="1">
        <w:r w:rsidR="008139EA" w:rsidRPr="00D76948">
          <w:rPr>
            <w:rStyle w:val="affc"/>
          </w:rPr>
          <w:t>7.5 Лечение меноррагий у пациенток с гематологическими заболеваниями</w:t>
        </w:r>
        <w:r w:rsidR="008139EA">
          <w:rPr>
            <w:webHidden/>
          </w:rPr>
          <w:tab/>
        </w:r>
        <w:r w:rsidR="008139EA">
          <w:rPr>
            <w:webHidden/>
          </w:rPr>
          <w:fldChar w:fldCharType="begin"/>
        </w:r>
        <w:r w:rsidR="008139EA">
          <w:rPr>
            <w:webHidden/>
          </w:rPr>
          <w:instrText xml:space="preserve"> PAGEREF _Toc67522243 \h </w:instrText>
        </w:r>
        <w:r w:rsidR="008139EA">
          <w:rPr>
            <w:webHidden/>
          </w:rPr>
        </w:r>
        <w:r w:rsidR="008139EA">
          <w:rPr>
            <w:webHidden/>
          </w:rPr>
          <w:fldChar w:fldCharType="separate"/>
        </w:r>
        <w:r w:rsidR="008139EA">
          <w:rPr>
            <w:webHidden/>
          </w:rPr>
          <w:t>45</w:t>
        </w:r>
        <w:r w:rsidR="008139EA">
          <w:rPr>
            <w:webHidden/>
          </w:rPr>
          <w:fldChar w:fldCharType="end"/>
        </w:r>
      </w:hyperlink>
    </w:p>
    <w:p w14:paraId="239FFE77" w14:textId="25E7358D" w:rsidR="008139EA" w:rsidRDefault="00614DDF">
      <w:pPr>
        <w:pStyle w:val="21"/>
        <w:rPr>
          <w:rFonts w:asciiTheme="minorHAnsi" w:eastAsiaTheme="minorEastAsia" w:hAnsiTheme="minorHAnsi" w:cstheme="minorBidi"/>
          <w:sz w:val="24"/>
          <w:szCs w:val="24"/>
          <w:lang w:eastAsia="ru-RU"/>
        </w:rPr>
      </w:pPr>
      <w:hyperlink w:anchor="_Toc67522244" w:history="1">
        <w:r w:rsidR="008139EA" w:rsidRPr="00D76948">
          <w:rPr>
            <w:rStyle w:val="affc"/>
          </w:rPr>
          <w:t>7.6 Профилактика, диагностика и лечение асептических остеонекрозов.</w:t>
        </w:r>
        <w:r w:rsidR="008139EA">
          <w:rPr>
            <w:webHidden/>
          </w:rPr>
          <w:tab/>
        </w:r>
        <w:r w:rsidR="008139EA">
          <w:rPr>
            <w:webHidden/>
          </w:rPr>
          <w:fldChar w:fldCharType="begin"/>
        </w:r>
        <w:r w:rsidR="008139EA">
          <w:rPr>
            <w:webHidden/>
          </w:rPr>
          <w:instrText xml:space="preserve"> PAGEREF _Toc67522244 \h </w:instrText>
        </w:r>
        <w:r w:rsidR="008139EA">
          <w:rPr>
            <w:webHidden/>
          </w:rPr>
        </w:r>
        <w:r w:rsidR="008139EA">
          <w:rPr>
            <w:webHidden/>
          </w:rPr>
          <w:fldChar w:fldCharType="separate"/>
        </w:r>
        <w:r w:rsidR="008139EA">
          <w:rPr>
            <w:webHidden/>
          </w:rPr>
          <w:t>50</w:t>
        </w:r>
        <w:r w:rsidR="008139EA">
          <w:rPr>
            <w:webHidden/>
          </w:rPr>
          <w:fldChar w:fldCharType="end"/>
        </w:r>
      </w:hyperlink>
    </w:p>
    <w:p w14:paraId="4BF1E2C9" w14:textId="6D96357F" w:rsidR="008139EA" w:rsidRDefault="00614DDF">
      <w:pPr>
        <w:pStyle w:val="21"/>
        <w:rPr>
          <w:rFonts w:asciiTheme="minorHAnsi" w:eastAsiaTheme="minorEastAsia" w:hAnsiTheme="minorHAnsi" w:cstheme="minorBidi"/>
          <w:sz w:val="24"/>
          <w:szCs w:val="24"/>
          <w:lang w:eastAsia="ru-RU"/>
        </w:rPr>
      </w:pPr>
      <w:hyperlink w:anchor="_Toc67522245" w:history="1">
        <w:r w:rsidR="008139EA" w:rsidRPr="00D76948">
          <w:rPr>
            <w:rStyle w:val="affc"/>
          </w:rPr>
          <w:t>7.7. Диагностика и лечение бактериальных инфекционных осложнений</w:t>
        </w:r>
        <w:r w:rsidR="008139EA">
          <w:rPr>
            <w:webHidden/>
          </w:rPr>
          <w:tab/>
        </w:r>
        <w:r w:rsidR="008139EA">
          <w:rPr>
            <w:webHidden/>
          </w:rPr>
          <w:fldChar w:fldCharType="begin"/>
        </w:r>
        <w:r w:rsidR="008139EA">
          <w:rPr>
            <w:webHidden/>
          </w:rPr>
          <w:instrText xml:space="preserve"> PAGEREF _Toc67522245 \h </w:instrText>
        </w:r>
        <w:r w:rsidR="008139EA">
          <w:rPr>
            <w:webHidden/>
          </w:rPr>
        </w:r>
        <w:r w:rsidR="008139EA">
          <w:rPr>
            <w:webHidden/>
          </w:rPr>
          <w:fldChar w:fldCharType="separate"/>
        </w:r>
        <w:r w:rsidR="008139EA">
          <w:rPr>
            <w:webHidden/>
          </w:rPr>
          <w:t>52</w:t>
        </w:r>
        <w:r w:rsidR="008139EA">
          <w:rPr>
            <w:webHidden/>
          </w:rPr>
          <w:fldChar w:fldCharType="end"/>
        </w:r>
      </w:hyperlink>
    </w:p>
    <w:p w14:paraId="199624C5" w14:textId="03829C1A" w:rsidR="008139EA" w:rsidRDefault="00614DDF">
      <w:pPr>
        <w:pStyle w:val="21"/>
        <w:rPr>
          <w:rFonts w:asciiTheme="minorHAnsi" w:eastAsiaTheme="minorEastAsia" w:hAnsiTheme="minorHAnsi" w:cstheme="minorBidi"/>
          <w:sz w:val="24"/>
          <w:szCs w:val="24"/>
          <w:lang w:eastAsia="ru-RU"/>
        </w:rPr>
      </w:pPr>
      <w:hyperlink w:anchor="_Toc67522246" w:history="1">
        <w:r w:rsidR="008139EA" w:rsidRPr="00D76948">
          <w:rPr>
            <w:rStyle w:val="affc"/>
          </w:rPr>
          <w:t>7.8 Диагностика и лечение инфекций, вызванных грибами</w:t>
        </w:r>
        <w:r w:rsidR="008139EA">
          <w:rPr>
            <w:webHidden/>
          </w:rPr>
          <w:tab/>
        </w:r>
        <w:r w:rsidR="008139EA">
          <w:rPr>
            <w:webHidden/>
          </w:rPr>
          <w:fldChar w:fldCharType="begin"/>
        </w:r>
        <w:r w:rsidR="008139EA">
          <w:rPr>
            <w:webHidden/>
          </w:rPr>
          <w:instrText xml:space="preserve"> PAGEREF _Toc67522246 \h </w:instrText>
        </w:r>
        <w:r w:rsidR="008139EA">
          <w:rPr>
            <w:webHidden/>
          </w:rPr>
        </w:r>
        <w:r w:rsidR="008139EA">
          <w:rPr>
            <w:webHidden/>
          </w:rPr>
          <w:fldChar w:fldCharType="separate"/>
        </w:r>
        <w:r w:rsidR="008139EA">
          <w:rPr>
            <w:webHidden/>
          </w:rPr>
          <w:t>74</w:t>
        </w:r>
        <w:r w:rsidR="008139EA">
          <w:rPr>
            <w:webHidden/>
          </w:rPr>
          <w:fldChar w:fldCharType="end"/>
        </w:r>
      </w:hyperlink>
    </w:p>
    <w:p w14:paraId="300D54B0" w14:textId="36E3A88C" w:rsidR="008139EA" w:rsidRDefault="00614DDF">
      <w:pPr>
        <w:pStyle w:val="21"/>
        <w:rPr>
          <w:rFonts w:asciiTheme="minorHAnsi" w:eastAsiaTheme="minorEastAsia" w:hAnsiTheme="minorHAnsi" w:cstheme="minorBidi"/>
          <w:sz w:val="24"/>
          <w:szCs w:val="24"/>
          <w:lang w:eastAsia="ru-RU"/>
        </w:rPr>
      </w:pPr>
      <w:hyperlink w:anchor="_Toc67522247" w:history="1">
        <w:r w:rsidR="008139EA" w:rsidRPr="00D76948">
          <w:rPr>
            <w:rStyle w:val="affc"/>
          </w:rPr>
          <w:t>7.9. Вирусные инфекции у пациентов с гематологическими заболеваниями</w:t>
        </w:r>
        <w:r w:rsidR="008139EA">
          <w:rPr>
            <w:webHidden/>
          </w:rPr>
          <w:tab/>
        </w:r>
        <w:r w:rsidR="008139EA">
          <w:rPr>
            <w:webHidden/>
          </w:rPr>
          <w:fldChar w:fldCharType="begin"/>
        </w:r>
        <w:r w:rsidR="008139EA">
          <w:rPr>
            <w:webHidden/>
          </w:rPr>
          <w:instrText xml:space="preserve"> PAGEREF _Toc67522247 \h </w:instrText>
        </w:r>
        <w:r w:rsidR="008139EA">
          <w:rPr>
            <w:webHidden/>
          </w:rPr>
        </w:r>
        <w:r w:rsidR="008139EA">
          <w:rPr>
            <w:webHidden/>
          </w:rPr>
          <w:fldChar w:fldCharType="separate"/>
        </w:r>
        <w:r w:rsidR="008139EA">
          <w:rPr>
            <w:webHidden/>
          </w:rPr>
          <w:t>100</w:t>
        </w:r>
        <w:r w:rsidR="008139EA">
          <w:rPr>
            <w:webHidden/>
          </w:rPr>
          <w:fldChar w:fldCharType="end"/>
        </w:r>
      </w:hyperlink>
    </w:p>
    <w:p w14:paraId="0A76A37B" w14:textId="726FD71D" w:rsidR="008139EA" w:rsidRDefault="00614DDF">
      <w:pPr>
        <w:pStyle w:val="21"/>
        <w:rPr>
          <w:rFonts w:asciiTheme="minorHAnsi" w:eastAsiaTheme="minorEastAsia" w:hAnsiTheme="minorHAnsi" w:cstheme="minorBidi"/>
          <w:sz w:val="24"/>
          <w:szCs w:val="24"/>
          <w:lang w:eastAsia="ru-RU"/>
        </w:rPr>
      </w:pPr>
      <w:hyperlink w:anchor="_Toc67522248" w:history="1">
        <w:r w:rsidR="008139EA" w:rsidRPr="00D76948">
          <w:rPr>
            <w:rStyle w:val="affc"/>
          </w:rPr>
          <w:t>7.10. Профилактика инфекционных осложнений у пациентов с гематологическими заболеваниями</w:t>
        </w:r>
        <w:r w:rsidR="008139EA">
          <w:rPr>
            <w:webHidden/>
          </w:rPr>
          <w:tab/>
        </w:r>
        <w:r w:rsidR="008139EA">
          <w:rPr>
            <w:webHidden/>
          </w:rPr>
          <w:fldChar w:fldCharType="begin"/>
        </w:r>
        <w:r w:rsidR="008139EA">
          <w:rPr>
            <w:webHidden/>
          </w:rPr>
          <w:instrText xml:space="preserve"> PAGEREF _Toc67522248 \h </w:instrText>
        </w:r>
        <w:r w:rsidR="008139EA">
          <w:rPr>
            <w:webHidden/>
          </w:rPr>
        </w:r>
        <w:r w:rsidR="008139EA">
          <w:rPr>
            <w:webHidden/>
          </w:rPr>
          <w:fldChar w:fldCharType="separate"/>
        </w:r>
        <w:r w:rsidR="008139EA">
          <w:rPr>
            <w:webHidden/>
          </w:rPr>
          <w:t>103</w:t>
        </w:r>
        <w:r w:rsidR="008139EA">
          <w:rPr>
            <w:webHidden/>
          </w:rPr>
          <w:fldChar w:fldCharType="end"/>
        </w:r>
      </w:hyperlink>
    </w:p>
    <w:p w14:paraId="046A5A5D" w14:textId="07E742E2" w:rsidR="008139EA" w:rsidRDefault="00614DDF">
      <w:pPr>
        <w:pStyle w:val="21"/>
        <w:rPr>
          <w:rFonts w:asciiTheme="minorHAnsi" w:eastAsiaTheme="minorEastAsia" w:hAnsiTheme="minorHAnsi" w:cstheme="minorBidi"/>
          <w:sz w:val="24"/>
          <w:szCs w:val="24"/>
          <w:lang w:eastAsia="ru-RU"/>
        </w:rPr>
      </w:pPr>
      <w:hyperlink w:anchor="_Toc67522249" w:history="1">
        <w:r w:rsidR="008139EA" w:rsidRPr="00D76948">
          <w:rPr>
            <w:rStyle w:val="affc"/>
          </w:rPr>
          <w:t xml:space="preserve">7.11 </w:t>
        </w:r>
        <w:r w:rsidR="008139EA" w:rsidRPr="00D76948">
          <w:rPr>
            <w:rStyle w:val="affc"/>
            <w:kern w:val="32"/>
          </w:rPr>
          <w:t>Диагностика гемотрансмиссивных инфекций</w:t>
        </w:r>
        <w:r w:rsidR="008139EA">
          <w:rPr>
            <w:webHidden/>
          </w:rPr>
          <w:tab/>
        </w:r>
        <w:r w:rsidR="008139EA">
          <w:rPr>
            <w:webHidden/>
          </w:rPr>
          <w:fldChar w:fldCharType="begin"/>
        </w:r>
        <w:r w:rsidR="008139EA">
          <w:rPr>
            <w:webHidden/>
          </w:rPr>
          <w:instrText xml:space="preserve"> PAGEREF _Toc67522249 \h </w:instrText>
        </w:r>
        <w:r w:rsidR="008139EA">
          <w:rPr>
            <w:webHidden/>
          </w:rPr>
        </w:r>
        <w:r w:rsidR="008139EA">
          <w:rPr>
            <w:webHidden/>
          </w:rPr>
          <w:fldChar w:fldCharType="separate"/>
        </w:r>
        <w:r w:rsidR="008139EA">
          <w:rPr>
            <w:webHidden/>
          </w:rPr>
          <w:t>109</w:t>
        </w:r>
        <w:r w:rsidR="008139EA">
          <w:rPr>
            <w:webHidden/>
          </w:rPr>
          <w:fldChar w:fldCharType="end"/>
        </w:r>
      </w:hyperlink>
    </w:p>
    <w:p w14:paraId="7F19497E" w14:textId="0A2E6895" w:rsidR="008139EA" w:rsidRDefault="00614DDF">
      <w:pPr>
        <w:pStyle w:val="21"/>
        <w:rPr>
          <w:rFonts w:asciiTheme="minorHAnsi" w:eastAsiaTheme="minorEastAsia" w:hAnsiTheme="minorHAnsi" w:cstheme="minorBidi"/>
          <w:sz w:val="24"/>
          <w:szCs w:val="24"/>
          <w:lang w:eastAsia="ru-RU"/>
        </w:rPr>
      </w:pPr>
      <w:hyperlink w:anchor="_Toc67522250" w:history="1">
        <w:r w:rsidR="008139EA" w:rsidRPr="00D76948">
          <w:rPr>
            <w:rStyle w:val="affc"/>
          </w:rPr>
          <w:t>7.12 Диагностика и лечение септического шока и острой дыхательной недостаточности у гематологических пациентов</w:t>
        </w:r>
        <w:r w:rsidR="008139EA">
          <w:rPr>
            <w:webHidden/>
          </w:rPr>
          <w:tab/>
        </w:r>
        <w:r w:rsidR="008139EA">
          <w:rPr>
            <w:webHidden/>
          </w:rPr>
          <w:fldChar w:fldCharType="begin"/>
        </w:r>
        <w:r w:rsidR="008139EA">
          <w:rPr>
            <w:webHidden/>
          </w:rPr>
          <w:instrText xml:space="preserve"> PAGEREF _Toc67522250 \h </w:instrText>
        </w:r>
        <w:r w:rsidR="008139EA">
          <w:rPr>
            <w:webHidden/>
          </w:rPr>
        </w:r>
        <w:r w:rsidR="008139EA">
          <w:rPr>
            <w:webHidden/>
          </w:rPr>
          <w:fldChar w:fldCharType="separate"/>
        </w:r>
        <w:r w:rsidR="008139EA">
          <w:rPr>
            <w:webHidden/>
          </w:rPr>
          <w:t>112</w:t>
        </w:r>
        <w:r w:rsidR="008139EA">
          <w:rPr>
            <w:webHidden/>
          </w:rPr>
          <w:fldChar w:fldCharType="end"/>
        </w:r>
      </w:hyperlink>
    </w:p>
    <w:p w14:paraId="08257152" w14:textId="0D29E036" w:rsidR="008139EA" w:rsidRDefault="00614DDF">
      <w:pPr>
        <w:pStyle w:val="21"/>
        <w:rPr>
          <w:rFonts w:asciiTheme="minorHAnsi" w:eastAsiaTheme="minorEastAsia" w:hAnsiTheme="minorHAnsi" w:cstheme="minorBidi"/>
          <w:sz w:val="24"/>
          <w:szCs w:val="24"/>
          <w:lang w:eastAsia="ru-RU"/>
        </w:rPr>
      </w:pPr>
      <w:hyperlink w:anchor="_Toc67522251" w:history="1">
        <w:r w:rsidR="008139EA" w:rsidRPr="00D76948">
          <w:rPr>
            <w:rStyle w:val="affc"/>
          </w:rPr>
          <w:t>7.13 Диагностика и лечение почечной недостаточности в гематологии</w:t>
        </w:r>
        <w:r w:rsidR="008139EA">
          <w:rPr>
            <w:webHidden/>
          </w:rPr>
          <w:tab/>
        </w:r>
        <w:r w:rsidR="008139EA">
          <w:rPr>
            <w:webHidden/>
          </w:rPr>
          <w:fldChar w:fldCharType="begin"/>
        </w:r>
        <w:r w:rsidR="008139EA">
          <w:rPr>
            <w:webHidden/>
          </w:rPr>
          <w:instrText xml:space="preserve"> PAGEREF _Toc67522251 \h </w:instrText>
        </w:r>
        <w:r w:rsidR="008139EA">
          <w:rPr>
            <w:webHidden/>
          </w:rPr>
        </w:r>
        <w:r w:rsidR="008139EA">
          <w:rPr>
            <w:webHidden/>
          </w:rPr>
          <w:fldChar w:fldCharType="separate"/>
        </w:r>
        <w:r w:rsidR="008139EA">
          <w:rPr>
            <w:webHidden/>
          </w:rPr>
          <w:t>141</w:t>
        </w:r>
        <w:r w:rsidR="008139EA">
          <w:rPr>
            <w:webHidden/>
          </w:rPr>
          <w:fldChar w:fldCharType="end"/>
        </w:r>
      </w:hyperlink>
    </w:p>
    <w:p w14:paraId="1F7904B9" w14:textId="7A779279" w:rsidR="008139EA" w:rsidRDefault="00614DDF">
      <w:pPr>
        <w:pStyle w:val="21"/>
        <w:rPr>
          <w:rFonts w:asciiTheme="minorHAnsi" w:eastAsiaTheme="minorEastAsia" w:hAnsiTheme="minorHAnsi" w:cstheme="minorBidi"/>
          <w:sz w:val="24"/>
          <w:szCs w:val="24"/>
          <w:lang w:eastAsia="ru-RU"/>
        </w:rPr>
      </w:pPr>
      <w:hyperlink w:anchor="_Toc67522252" w:history="1">
        <w:r w:rsidR="008139EA" w:rsidRPr="00D76948">
          <w:rPr>
            <w:rStyle w:val="affc"/>
          </w:rPr>
          <w:t>7.14 Диагностика и лечение неврологических проявлений при гематологических заболеваниях</w:t>
        </w:r>
        <w:r w:rsidR="008139EA">
          <w:rPr>
            <w:webHidden/>
          </w:rPr>
          <w:tab/>
        </w:r>
        <w:r w:rsidR="008139EA">
          <w:rPr>
            <w:webHidden/>
          </w:rPr>
          <w:fldChar w:fldCharType="begin"/>
        </w:r>
        <w:r w:rsidR="008139EA">
          <w:rPr>
            <w:webHidden/>
          </w:rPr>
          <w:instrText xml:space="preserve"> PAGEREF _Toc67522252 \h </w:instrText>
        </w:r>
        <w:r w:rsidR="008139EA">
          <w:rPr>
            <w:webHidden/>
          </w:rPr>
        </w:r>
        <w:r w:rsidR="008139EA">
          <w:rPr>
            <w:webHidden/>
          </w:rPr>
          <w:fldChar w:fldCharType="separate"/>
        </w:r>
        <w:r w:rsidR="008139EA">
          <w:rPr>
            <w:webHidden/>
          </w:rPr>
          <w:t>150</w:t>
        </w:r>
        <w:r w:rsidR="008139EA">
          <w:rPr>
            <w:webHidden/>
          </w:rPr>
          <w:fldChar w:fldCharType="end"/>
        </w:r>
      </w:hyperlink>
    </w:p>
    <w:p w14:paraId="00B6EDF3" w14:textId="6419DB28" w:rsidR="008139EA" w:rsidRDefault="00614DDF">
      <w:pPr>
        <w:pStyle w:val="21"/>
        <w:rPr>
          <w:rFonts w:asciiTheme="minorHAnsi" w:eastAsiaTheme="minorEastAsia" w:hAnsiTheme="minorHAnsi" w:cstheme="minorBidi"/>
          <w:sz w:val="24"/>
          <w:szCs w:val="24"/>
          <w:lang w:eastAsia="ru-RU"/>
        </w:rPr>
      </w:pPr>
      <w:hyperlink w:anchor="_Toc67522253" w:history="1">
        <w:r w:rsidR="008139EA" w:rsidRPr="00D76948">
          <w:rPr>
            <w:rStyle w:val="affc"/>
          </w:rPr>
          <w:t>7.15 Диагностика и лечение психических расстройств у пациентов с гематологическими заболеваниями</w:t>
        </w:r>
        <w:r w:rsidR="008139EA">
          <w:rPr>
            <w:webHidden/>
          </w:rPr>
          <w:tab/>
        </w:r>
        <w:r w:rsidR="008139EA">
          <w:rPr>
            <w:webHidden/>
          </w:rPr>
          <w:fldChar w:fldCharType="begin"/>
        </w:r>
        <w:r w:rsidR="008139EA">
          <w:rPr>
            <w:webHidden/>
          </w:rPr>
          <w:instrText xml:space="preserve"> PAGEREF _Toc67522253 \h </w:instrText>
        </w:r>
        <w:r w:rsidR="008139EA">
          <w:rPr>
            <w:webHidden/>
          </w:rPr>
        </w:r>
        <w:r w:rsidR="008139EA">
          <w:rPr>
            <w:webHidden/>
          </w:rPr>
          <w:fldChar w:fldCharType="separate"/>
        </w:r>
        <w:r w:rsidR="008139EA">
          <w:rPr>
            <w:webHidden/>
          </w:rPr>
          <w:t>165</w:t>
        </w:r>
        <w:r w:rsidR="008139EA">
          <w:rPr>
            <w:webHidden/>
          </w:rPr>
          <w:fldChar w:fldCharType="end"/>
        </w:r>
      </w:hyperlink>
    </w:p>
    <w:p w14:paraId="04D3345C" w14:textId="3E8556EF" w:rsidR="008139EA" w:rsidRDefault="00614DDF">
      <w:pPr>
        <w:pStyle w:val="21"/>
        <w:rPr>
          <w:rFonts w:asciiTheme="minorHAnsi" w:eastAsiaTheme="minorEastAsia" w:hAnsiTheme="minorHAnsi" w:cstheme="minorBidi"/>
          <w:sz w:val="24"/>
          <w:szCs w:val="24"/>
          <w:lang w:eastAsia="ru-RU"/>
        </w:rPr>
      </w:pPr>
      <w:hyperlink w:anchor="_Toc67522254" w:history="1">
        <w:r w:rsidR="008139EA" w:rsidRPr="00D76948">
          <w:rPr>
            <w:rStyle w:val="affc"/>
          </w:rPr>
          <w:t>7.16 Кардиологическое обследование и лечение пациентов с гематологическими заболеваниями</w:t>
        </w:r>
        <w:r w:rsidR="008139EA">
          <w:rPr>
            <w:webHidden/>
          </w:rPr>
          <w:tab/>
        </w:r>
        <w:r w:rsidR="008139EA">
          <w:rPr>
            <w:webHidden/>
          </w:rPr>
          <w:fldChar w:fldCharType="begin"/>
        </w:r>
        <w:r w:rsidR="008139EA">
          <w:rPr>
            <w:webHidden/>
          </w:rPr>
          <w:instrText xml:space="preserve"> PAGEREF _Toc67522254 \h </w:instrText>
        </w:r>
        <w:r w:rsidR="008139EA">
          <w:rPr>
            <w:webHidden/>
          </w:rPr>
        </w:r>
        <w:r w:rsidR="008139EA">
          <w:rPr>
            <w:webHidden/>
          </w:rPr>
          <w:fldChar w:fldCharType="separate"/>
        </w:r>
        <w:r w:rsidR="008139EA">
          <w:rPr>
            <w:webHidden/>
          </w:rPr>
          <w:t>168</w:t>
        </w:r>
        <w:r w:rsidR="008139EA">
          <w:rPr>
            <w:webHidden/>
          </w:rPr>
          <w:fldChar w:fldCharType="end"/>
        </w:r>
      </w:hyperlink>
    </w:p>
    <w:p w14:paraId="358C5FED" w14:textId="258E7A9F" w:rsidR="008139EA" w:rsidRDefault="00614DDF">
      <w:pPr>
        <w:pStyle w:val="21"/>
        <w:rPr>
          <w:rFonts w:asciiTheme="minorHAnsi" w:eastAsiaTheme="minorEastAsia" w:hAnsiTheme="minorHAnsi" w:cstheme="minorBidi"/>
          <w:sz w:val="24"/>
          <w:szCs w:val="24"/>
          <w:lang w:eastAsia="ru-RU"/>
        </w:rPr>
      </w:pPr>
      <w:hyperlink w:anchor="_Toc67522255" w:history="1">
        <w:r w:rsidR="008139EA" w:rsidRPr="00D76948">
          <w:rPr>
            <w:rStyle w:val="affc"/>
          </w:rPr>
          <w:t>7.17 Лечение гематологического пациента в отделении реанимации и интенсивной терапии</w:t>
        </w:r>
        <w:r w:rsidR="008139EA">
          <w:rPr>
            <w:webHidden/>
          </w:rPr>
          <w:tab/>
        </w:r>
        <w:r w:rsidR="008139EA">
          <w:rPr>
            <w:webHidden/>
          </w:rPr>
          <w:fldChar w:fldCharType="begin"/>
        </w:r>
        <w:r w:rsidR="008139EA">
          <w:rPr>
            <w:webHidden/>
          </w:rPr>
          <w:instrText xml:space="preserve"> PAGEREF _Toc67522255 \h </w:instrText>
        </w:r>
        <w:r w:rsidR="008139EA">
          <w:rPr>
            <w:webHidden/>
          </w:rPr>
        </w:r>
        <w:r w:rsidR="008139EA">
          <w:rPr>
            <w:webHidden/>
          </w:rPr>
          <w:fldChar w:fldCharType="separate"/>
        </w:r>
        <w:r w:rsidR="008139EA">
          <w:rPr>
            <w:webHidden/>
          </w:rPr>
          <w:t>180</w:t>
        </w:r>
        <w:r w:rsidR="008139EA">
          <w:rPr>
            <w:webHidden/>
          </w:rPr>
          <w:fldChar w:fldCharType="end"/>
        </w:r>
      </w:hyperlink>
    </w:p>
    <w:p w14:paraId="6548D667" w14:textId="486B873E" w:rsidR="008139EA" w:rsidRDefault="00614DDF">
      <w:pPr>
        <w:pStyle w:val="1a"/>
        <w:rPr>
          <w:rFonts w:asciiTheme="minorHAnsi" w:eastAsiaTheme="minorEastAsia" w:hAnsiTheme="minorHAnsi"/>
          <w:noProof/>
          <w:szCs w:val="24"/>
          <w:lang w:eastAsia="ru-RU"/>
        </w:rPr>
      </w:pPr>
      <w:hyperlink w:anchor="_Toc67522256" w:history="1">
        <w:r w:rsidR="008139EA" w:rsidRPr="00D76948">
          <w:rPr>
            <w:rStyle w:val="affc"/>
            <w:noProof/>
          </w:rPr>
          <w:t>Критерии оценки качества медицинской помощи</w:t>
        </w:r>
        <w:r w:rsidR="008139EA">
          <w:rPr>
            <w:noProof/>
            <w:webHidden/>
          </w:rPr>
          <w:tab/>
        </w:r>
        <w:r w:rsidR="008139EA">
          <w:rPr>
            <w:noProof/>
            <w:webHidden/>
          </w:rPr>
          <w:fldChar w:fldCharType="begin"/>
        </w:r>
        <w:r w:rsidR="008139EA">
          <w:rPr>
            <w:noProof/>
            <w:webHidden/>
          </w:rPr>
          <w:instrText xml:space="preserve"> PAGEREF _Toc67522256 \h </w:instrText>
        </w:r>
        <w:r w:rsidR="008139EA">
          <w:rPr>
            <w:noProof/>
            <w:webHidden/>
          </w:rPr>
        </w:r>
        <w:r w:rsidR="008139EA">
          <w:rPr>
            <w:noProof/>
            <w:webHidden/>
          </w:rPr>
          <w:fldChar w:fldCharType="separate"/>
        </w:r>
        <w:r w:rsidR="008139EA">
          <w:rPr>
            <w:noProof/>
            <w:webHidden/>
          </w:rPr>
          <w:t>189</w:t>
        </w:r>
        <w:r w:rsidR="008139EA">
          <w:rPr>
            <w:noProof/>
            <w:webHidden/>
          </w:rPr>
          <w:fldChar w:fldCharType="end"/>
        </w:r>
      </w:hyperlink>
    </w:p>
    <w:p w14:paraId="36561D10" w14:textId="31B1F237" w:rsidR="008139EA" w:rsidRDefault="00614DDF">
      <w:pPr>
        <w:pStyle w:val="1a"/>
        <w:rPr>
          <w:rFonts w:asciiTheme="minorHAnsi" w:eastAsiaTheme="minorEastAsia" w:hAnsiTheme="minorHAnsi"/>
          <w:noProof/>
          <w:szCs w:val="24"/>
          <w:lang w:eastAsia="ru-RU"/>
        </w:rPr>
      </w:pPr>
      <w:hyperlink w:anchor="_Toc67522257" w:history="1">
        <w:r w:rsidR="008139EA" w:rsidRPr="00D76948">
          <w:rPr>
            <w:rStyle w:val="affc"/>
            <w:noProof/>
          </w:rPr>
          <w:t>Список литературы</w:t>
        </w:r>
        <w:r w:rsidR="008139EA">
          <w:rPr>
            <w:noProof/>
            <w:webHidden/>
          </w:rPr>
          <w:tab/>
        </w:r>
        <w:r w:rsidR="008139EA">
          <w:rPr>
            <w:noProof/>
            <w:webHidden/>
          </w:rPr>
          <w:fldChar w:fldCharType="begin"/>
        </w:r>
        <w:r w:rsidR="008139EA">
          <w:rPr>
            <w:noProof/>
            <w:webHidden/>
          </w:rPr>
          <w:instrText xml:space="preserve"> PAGEREF _Toc67522257 \h </w:instrText>
        </w:r>
        <w:r w:rsidR="008139EA">
          <w:rPr>
            <w:noProof/>
            <w:webHidden/>
          </w:rPr>
        </w:r>
        <w:r w:rsidR="008139EA">
          <w:rPr>
            <w:noProof/>
            <w:webHidden/>
          </w:rPr>
          <w:fldChar w:fldCharType="separate"/>
        </w:r>
        <w:r w:rsidR="008139EA">
          <w:rPr>
            <w:noProof/>
            <w:webHidden/>
          </w:rPr>
          <w:t>190</w:t>
        </w:r>
        <w:r w:rsidR="008139EA">
          <w:rPr>
            <w:noProof/>
            <w:webHidden/>
          </w:rPr>
          <w:fldChar w:fldCharType="end"/>
        </w:r>
      </w:hyperlink>
    </w:p>
    <w:p w14:paraId="20A5BB04" w14:textId="784814B1" w:rsidR="008139EA" w:rsidRDefault="00614DDF">
      <w:pPr>
        <w:pStyle w:val="1a"/>
        <w:rPr>
          <w:rFonts w:asciiTheme="minorHAnsi" w:eastAsiaTheme="minorEastAsia" w:hAnsiTheme="minorHAnsi"/>
          <w:noProof/>
          <w:szCs w:val="24"/>
          <w:lang w:eastAsia="ru-RU"/>
        </w:rPr>
      </w:pPr>
      <w:hyperlink w:anchor="_Toc67522258" w:history="1">
        <w:r w:rsidR="008139EA" w:rsidRPr="00D76948">
          <w:rPr>
            <w:rStyle w:val="affc"/>
            <w:noProof/>
          </w:rPr>
          <w:t>Приложение А1. Состав рабочей группы по разработке и пересмотру клинических рекомендаций</w:t>
        </w:r>
        <w:r w:rsidR="008139EA">
          <w:rPr>
            <w:noProof/>
            <w:webHidden/>
          </w:rPr>
          <w:tab/>
        </w:r>
        <w:r w:rsidR="008139EA">
          <w:rPr>
            <w:noProof/>
            <w:webHidden/>
          </w:rPr>
          <w:fldChar w:fldCharType="begin"/>
        </w:r>
        <w:r w:rsidR="008139EA">
          <w:rPr>
            <w:noProof/>
            <w:webHidden/>
          </w:rPr>
          <w:instrText xml:space="preserve"> PAGEREF _Toc67522258 \h </w:instrText>
        </w:r>
        <w:r w:rsidR="008139EA">
          <w:rPr>
            <w:noProof/>
            <w:webHidden/>
          </w:rPr>
        </w:r>
        <w:r w:rsidR="008139EA">
          <w:rPr>
            <w:noProof/>
            <w:webHidden/>
          </w:rPr>
          <w:fldChar w:fldCharType="separate"/>
        </w:r>
        <w:r w:rsidR="008139EA">
          <w:rPr>
            <w:noProof/>
            <w:webHidden/>
          </w:rPr>
          <w:t>203</w:t>
        </w:r>
        <w:r w:rsidR="008139EA">
          <w:rPr>
            <w:noProof/>
            <w:webHidden/>
          </w:rPr>
          <w:fldChar w:fldCharType="end"/>
        </w:r>
      </w:hyperlink>
    </w:p>
    <w:p w14:paraId="110457E1" w14:textId="4A75D058" w:rsidR="008139EA" w:rsidRDefault="00614DDF">
      <w:pPr>
        <w:pStyle w:val="1a"/>
        <w:rPr>
          <w:rFonts w:asciiTheme="minorHAnsi" w:eastAsiaTheme="minorEastAsia" w:hAnsiTheme="minorHAnsi"/>
          <w:noProof/>
          <w:szCs w:val="24"/>
          <w:lang w:eastAsia="ru-RU"/>
        </w:rPr>
      </w:pPr>
      <w:hyperlink w:anchor="_Toc67522259" w:history="1">
        <w:r w:rsidR="008139EA" w:rsidRPr="00D76948">
          <w:rPr>
            <w:rStyle w:val="affc"/>
            <w:noProof/>
          </w:rPr>
          <w:t>Приложение А2. Методология разработки клинических рекомендаций</w:t>
        </w:r>
        <w:r w:rsidR="008139EA">
          <w:rPr>
            <w:noProof/>
            <w:webHidden/>
          </w:rPr>
          <w:tab/>
        </w:r>
        <w:r w:rsidR="008139EA">
          <w:rPr>
            <w:noProof/>
            <w:webHidden/>
          </w:rPr>
          <w:fldChar w:fldCharType="begin"/>
        </w:r>
        <w:r w:rsidR="008139EA">
          <w:rPr>
            <w:noProof/>
            <w:webHidden/>
          </w:rPr>
          <w:instrText xml:space="preserve"> PAGEREF _Toc67522259 \h </w:instrText>
        </w:r>
        <w:r w:rsidR="008139EA">
          <w:rPr>
            <w:noProof/>
            <w:webHidden/>
          </w:rPr>
        </w:r>
        <w:r w:rsidR="008139EA">
          <w:rPr>
            <w:noProof/>
            <w:webHidden/>
          </w:rPr>
          <w:fldChar w:fldCharType="separate"/>
        </w:r>
        <w:r w:rsidR="008139EA">
          <w:rPr>
            <w:noProof/>
            <w:webHidden/>
          </w:rPr>
          <w:t>206</w:t>
        </w:r>
        <w:r w:rsidR="008139EA">
          <w:rPr>
            <w:noProof/>
            <w:webHidden/>
          </w:rPr>
          <w:fldChar w:fldCharType="end"/>
        </w:r>
      </w:hyperlink>
    </w:p>
    <w:p w14:paraId="6EAC1AE4" w14:textId="2CCDFCDC" w:rsidR="008139EA" w:rsidRDefault="00614DDF">
      <w:pPr>
        <w:pStyle w:val="1a"/>
        <w:rPr>
          <w:rFonts w:asciiTheme="minorHAnsi" w:eastAsiaTheme="minorEastAsia" w:hAnsiTheme="minorHAnsi"/>
          <w:noProof/>
          <w:szCs w:val="24"/>
          <w:lang w:eastAsia="ru-RU"/>
        </w:rPr>
      </w:pPr>
      <w:hyperlink w:anchor="_Toc67522260" w:history="1">
        <w:r w:rsidR="008139EA" w:rsidRPr="00D76948">
          <w:rPr>
            <w:rStyle w:val="affc"/>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8139EA">
          <w:rPr>
            <w:noProof/>
            <w:webHidden/>
          </w:rPr>
          <w:tab/>
        </w:r>
        <w:r w:rsidR="008139EA">
          <w:rPr>
            <w:noProof/>
            <w:webHidden/>
          </w:rPr>
          <w:fldChar w:fldCharType="begin"/>
        </w:r>
        <w:r w:rsidR="008139EA">
          <w:rPr>
            <w:noProof/>
            <w:webHidden/>
          </w:rPr>
          <w:instrText xml:space="preserve"> PAGEREF _Toc67522260 \h </w:instrText>
        </w:r>
        <w:r w:rsidR="008139EA">
          <w:rPr>
            <w:noProof/>
            <w:webHidden/>
          </w:rPr>
        </w:r>
        <w:r w:rsidR="008139EA">
          <w:rPr>
            <w:noProof/>
            <w:webHidden/>
          </w:rPr>
          <w:fldChar w:fldCharType="separate"/>
        </w:r>
        <w:r w:rsidR="008139EA">
          <w:rPr>
            <w:noProof/>
            <w:webHidden/>
          </w:rPr>
          <w:t>208</w:t>
        </w:r>
        <w:r w:rsidR="008139EA">
          <w:rPr>
            <w:noProof/>
            <w:webHidden/>
          </w:rPr>
          <w:fldChar w:fldCharType="end"/>
        </w:r>
      </w:hyperlink>
    </w:p>
    <w:p w14:paraId="5B9099F5" w14:textId="76DB7BEE" w:rsidR="008139EA" w:rsidRDefault="00614DDF">
      <w:pPr>
        <w:pStyle w:val="21"/>
        <w:rPr>
          <w:rFonts w:asciiTheme="minorHAnsi" w:eastAsiaTheme="minorEastAsia" w:hAnsiTheme="minorHAnsi" w:cstheme="minorBidi"/>
          <w:sz w:val="24"/>
          <w:szCs w:val="24"/>
          <w:lang w:eastAsia="ru-RU"/>
        </w:rPr>
      </w:pPr>
      <w:hyperlink w:anchor="_Toc67522261" w:history="1">
        <w:r w:rsidR="008139EA" w:rsidRPr="00D76948">
          <w:rPr>
            <w:rStyle w:val="affc"/>
            <w:lang w:eastAsia="ru-RU"/>
          </w:rPr>
          <w:t>Приложение А3.1. Протокол применения АТГ** при АА № 1</w:t>
        </w:r>
        <w:r w:rsidR="008139EA">
          <w:rPr>
            <w:webHidden/>
          </w:rPr>
          <w:tab/>
        </w:r>
        <w:r w:rsidR="008139EA">
          <w:rPr>
            <w:webHidden/>
          </w:rPr>
          <w:fldChar w:fldCharType="begin"/>
        </w:r>
        <w:r w:rsidR="008139EA">
          <w:rPr>
            <w:webHidden/>
          </w:rPr>
          <w:instrText xml:space="preserve"> PAGEREF _Toc67522261 \h </w:instrText>
        </w:r>
        <w:r w:rsidR="008139EA">
          <w:rPr>
            <w:webHidden/>
          </w:rPr>
        </w:r>
        <w:r w:rsidR="008139EA">
          <w:rPr>
            <w:webHidden/>
          </w:rPr>
          <w:fldChar w:fldCharType="separate"/>
        </w:r>
        <w:r w:rsidR="008139EA">
          <w:rPr>
            <w:webHidden/>
          </w:rPr>
          <w:t>208</w:t>
        </w:r>
        <w:r w:rsidR="008139EA">
          <w:rPr>
            <w:webHidden/>
          </w:rPr>
          <w:fldChar w:fldCharType="end"/>
        </w:r>
      </w:hyperlink>
    </w:p>
    <w:p w14:paraId="556F3308" w14:textId="1EC503EB" w:rsidR="008139EA" w:rsidRDefault="00614DDF">
      <w:pPr>
        <w:pStyle w:val="21"/>
        <w:rPr>
          <w:rFonts w:asciiTheme="minorHAnsi" w:eastAsiaTheme="minorEastAsia" w:hAnsiTheme="minorHAnsi" w:cstheme="minorBidi"/>
          <w:sz w:val="24"/>
          <w:szCs w:val="24"/>
          <w:lang w:eastAsia="ru-RU"/>
        </w:rPr>
      </w:pPr>
      <w:hyperlink w:anchor="_Toc67522262" w:history="1">
        <w:r w:rsidR="008139EA" w:rsidRPr="00D76948">
          <w:rPr>
            <w:rStyle w:val="affc"/>
          </w:rPr>
          <w:t>Приложение А3.2 Проведение трансплантации аллогенных гемопоэтических стволовых клеток</w:t>
        </w:r>
        <w:r w:rsidR="008139EA">
          <w:rPr>
            <w:webHidden/>
          </w:rPr>
          <w:tab/>
        </w:r>
        <w:r w:rsidR="008139EA">
          <w:rPr>
            <w:webHidden/>
          </w:rPr>
          <w:fldChar w:fldCharType="begin"/>
        </w:r>
        <w:r w:rsidR="008139EA">
          <w:rPr>
            <w:webHidden/>
          </w:rPr>
          <w:instrText xml:space="preserve"> PAGEREF _Toc67522262 \h </w:instrText>
        </w:r>
        <w:r w:rsidR="008139EA">
          <w:rPr>
            <w:webHidden/>
          </w:rPr>
        </w:r>
        <w:r w:rsidR="008139EA">
          <w:rPr>
            <w:webHidden/>
          </w:rPr>
          <w:fldChar w:fldCharType="separate"/>
        </w:r>
        <w:r w:rsidR="008139EA">
          <w:rPr>
            <w:webHidden/>
          </w:rPr>
          <w:t>209</w:t>
        </w:r>
        <w:r w:rsidR="008139EA">
          <w:rPr>
            <w:webHidden/>
          </w:rPr>
          <w:fldChar w:fldCharType="end"/>
        </w:r>
      </w:hyperlink>
    </w:p>
    <w:p w14:paraId="26058A62" w14:textId="5F6E0D6C" w:rsidR="008139EA" w:rsidRDefault="00614DDF">
      <w:pPr>
        <w:pStyle w:val="21"/>
        <w:rPr>
          <w:rFonts w:asciiTheme="minorHAnsi" w:eastAsiaTheme="minorEastAsia" w:hAnsiTheme="minorHAnsi" w:cstheme="minorBidi"/>
          <w:sz w:val="24"/>
          <w:szCs w:val="24"/>
          <w:lang w:eastAsia="ru-RU"/>
        </w:rPr>
      </w:pPr>
      <w:hyperlink w:anchor="_Toc67522263" w:history="1">
        <w:r w:rsidR="008139EA" w:rsidRPr="00D76948">
          <w:rPr>
            <w:rStyle w:val="affc"/>
          </w:rPr>
          <w:t>Приложение А3.3. Инфузионная терапия у гематологических пациентов</w:t>
        </w:r>
        <w:r w:rsidR="008139EA">
          <w:rPr>
            <w:webHidden/>
          </w:rPr>
          <w:tab/>
        </w:r>
        <w:r w:rsidR="008139EA">
          <w:rPr>
            <w:webHidden/>
          </w:rPr>
          <w:fldChar w:fldCharType="begin"/>
        </w:r>
        <w:r w:rsidR="008139EA">
          <w:rPr>
            <w:webHidden/>
          </w:rPr>
          <w:instrText xml:space="preserve"> PAGEREF _Toc67522263 \h </w:instrText>
        </w:r>
        <w:r w:rsidR="008139EA">
          <w:rPr>
            <w:webHidden/>
          </w:rPr>
        </w:r>
        <w:r w:rsidR="008139EA">
          <w:rPr>
            <w:webHidden/>
          </w:rPr>
          <w:fldChar w:fldCharType="separate"/>
        </w:r>
        <w:r w:rsidR="008139EA">
          <w:rPr>
            <w:webHidden/>
          </w:rPr>
          <w:t>329</w:t>
        </w:r>
        <w:r w:rsidR="008139EA">
          <w:rPr>
            <w:webHidden/>
          </w:rPr>
          <w:fldChar w:fldCharType="end"/>
        </w:r>
      </w:hyperlink>
    </w:p>
    <w:p w14:paraId="3D9A883A" w14:textId="20768A59" w:rsidR="008139EA" w:rsidRDefault="00614DDF">
      <w:pPr>
        <w:pStyle w:val="21"/>
        <w:rPr>
          <w:rFonts w:asciiTheme="minorHAnsi" w:eastAsiaTheme="minorEastAsia" w:hAnsiTheme="minorHAnsi" w:cstheme="minorBidi"/>
          <w:sz w:val="24"/>
          <w:szCs w:val="24"/>
          <w:lang w:eastAsia="ru-RU"/>
        </w:rPr>
      </w:pPr>
      <w:hyperlink w:anchor="_Toc67522264" w:history="1">
        <w:r w:rsidR="008139EA" w:rsidRPr="00D76948">
          <w:rPr>
            <w:rStyle w:val="affc"/>
          </w:rPr>
          <w:t>Приложение А3.4. Парентеральное питание у гематологических пациентов</w:t>
        </w:r>
        <w:r w:rsidR="008139EA">
          <w:rPr>
            <w:webHidden/>
          </w:rPr>
          <w:tab/>
        </w:r>
        <w:r w:rsidR="008139EA">
          <w:rPr>
            <w:webHidden/>
          </w:rPr>
          <w:fldChar w:fldCharType="begin"/>
        </w:r>
        <w:r w:rsidR="008139EA">
          <w:rPr>
            <w:webHidden/>
          </w:rPr>
          <w:instrText xml:space="preserve"> PAGEREF _Toc67522264 \h </w:instrText>
        </w:r>
        <w:r w:rsidR="008139EA">
          <w:rPr>
            <w:webHidden/>
          </w:rPr>
        </w:r>
        <w:r w:rsidR="008139EA">
          <w:rPr>
            <w:webHidden/>
          </w:rPr>
          <w:fldChar w:fldCharType="separate"/>
        </w:r>
        <w:r w:rsidR="008139EA">
          <w:rPr>
            <w:webHidden/>
          </w:rPr>
          <w:t>333</w:t>
        </w:r>
        <w:r w:rsidR="008139EA">
          <w:rPr>
            <w:webHidden/>
          </w:rPr>
          <w:fldChar w:fldCharType="end"/>
        </w:r>
      </w:hyperlink>
    </w:p>
    <w:p w14:paraId="6C68DC81" w14:textId="0223CE4F" w:rsidR="008139EA" w:rsidRDefault="00614DDF">
      <w:pPr>
        <w:pStyle w:val="21"/>
        <w:rPr>
          <w:rFonts w:asciiTheme="minorHAnsi" w:eastAsiaTheme="minorEastAsia" w:hAnsiTheme="minorHAnsi" w:cstheme="minorBidi"/>
          <w:sz w:val="24"/>
          <w:szCs w:val="24"/>
          <w:lang w:eastAsia="ru-RU"/>
        </w:rPr>
      </w:pPr>
      <w:hyperlink w:anchor="_Toc67522265" w:history="1">
        <w:r w:rsidR="008139EA" w:rsidRPr="00D76948">
          <w:rPr>
            <w:rStyle w:val="affc"/>
          </w:rPr>
          <w:t>Приложение А3.5. Применение компонентов донорской крови у гематологических пациентов</w:t>
        </w:r>
        <w:r w:rsidR="008139EA">
          <w:rPr>
            <w:webHidden/>
          </w:rPr>
          <w:tab/>
        </w:r>
        <w:r w:rsidR="008139EA">
          <w:rPr>
            <w:webHidden/>
          </w:rPr>
          <w:fldChar w:fldCharType="begin"/>
        </w:r>
        <w:r w:rsidR="008139EA">
          <w:rPr>
            <w:webHidden/>
          </w:rPr>
          <w:instrText xml:space="preserve"> PAGEREF _Toc67522265 \h </w:instrText>
        </w:r>
        <w:r w:rsidR="008139EA">
          <w:rPr>
            <w:webHidden/>
          </w:rPr>
        </w:r>
        <w:r w:rsidR="008139EA">
          <w:rPr>
            <w:webHidden/>
          </w:rPr>
          <w:fldChar w:fldCharType="separate"/>
        </w:r>
        <w:r w:rsidR="008139EA">
          <w:rPr>
            <w:webHidden/>
          </w:rPr>
          <w:t>342</w:t>
        </w:r>
        <w:r w:rsidR="008139EA">
          <w:rPr>
            <w:webHidden/>
          </w:rPr>
          <w:fldChar w:fldCharType="end"/>
        </w:r>
      </w:hyperlink>
    </w:p>
    <w:p w14:paraId="0DE02CFD" w14:textId="338FE5E5" w:rsidR="008139EA" w:rsidRDefault="00614DDF">
      <w:pPr>
        <w:pStyle w:val="21"/>
        <w:rPr>
          <w:rFonts w:asciiTheme="minorHAnsi" w:eastAsiaTheme="minorEastAsia" w:hAnsiTheme="minorHAnsi" w:cstheme="minorBidi"/>
          <w:sz w:val="24"/>
          <w:szCs w:val="24"/>
          <w:lang w:eastAsia="ru-RU"/>
        </w:rPr>
      </w:pPr>
      <w:hyperlink w:anchor="_Toc67522266" w:history="1">
        <w:r w:rsidR="008139EA" w:rsidRPr="00D76948">
          <w:rPr>
            <w:rStyle w:val="affc"/>
          </w:rPr>
          <w:t xml:space="preserve">Приложение А3.6. </w:t>
        </w:r>
        <w:r w:rsidR="008139EA" w:rsidRPr="00D76948">
          <w:rPr>
            <w:rStyle w:val="affc"/>
            <w:rFonts w:eastAsia="Arial Unicode MS"/>
          </w:rPr>
          <w:t>Протоколы выполнения аспирационного и биопсийного исследования костного мозга</w:t>
        </w:r>
        <w:r w:rsidR="008139EA">
          <w:rPr>
            <w:webHidden/>
          </w:rPr>
          <w:tab/>
        </w:r>
        <w:r w:rsidR="008139EA">
          <w:rPr>
            <w:webHidden/>
          </w:rPr>
          <w:fldChar w:fldCharType="begin"/>
        </w:r>
        <w:r w:rsidR="008139EA">
          <w:rPr>
            <w:webHidden/>
          </w:rPr>
          <w:instrText xml:space="preserve"> PAGEREF _Toc67522266 \h </w:instrText>
        </w:r>
        <w:r w:rsidR="008139EA">
          <w:rPr>
            <w:webHidden/>
          </w:rPr>
        </w:r>
        <w:r w:rsidR="008139EA">
          <w:rPr>
            <w:webHidden/>
          </w:rPr>
          <w:fldChar w:fldCharType="separate"/>
        </w:r>
        <w:r w:rsidR="008139EA">
          <w:rPr>
            <w:webHidden/>
          </w:rPr>
          <w:t>362</w:t>
        </w:r>
        <w:r w:rsidR="008139EA">
          <w:rPr>
            <w:webHidden/>
          </w:rPr>
          <w:fldChar w:fldCharType="end"/>
        </w:r>
      </w:hyperlink>
    </w:p>
    <w:p w14:paraId="6C2A9D94" w14:textId="266D1EA4" w:rsidR="008139EA" w:rsidRDefault="00614DDF">
      <w:pPr>
        <w:pStyle w:val="21"/>
        <w:rPr>
          <w:rFonts w:asciiTheme="minorHAnsi" w:eastAsiaTheme="minorEastAsia" w:hAnsiTheme="minorHAnsi" w:cstheme="minorBidi"/>
          <w:sz w:val="24"/>
          <w:szCs w:val="24"/>
          <w:lang w:eastAsia="ru-RU"/>
        </w:rPr>
      </w:pPr>
      <w:hyperlink w:anchor="_Toc67522267" w:history="1">
        <w:r w:rsidR="008139EA" w:rsidRPr="00D76948">
          <w:rPr>
            <w:rStyle w:val="affc"/>
          </w:rPr>
          <w:t xml:space="preserve">Приложение А3.7. </w:t>
        </w:r>
        <w:r w:rsidR="008139EA" w:rsidRPr="00D76948">
          <w:rPr>
            <w:rStyle w:val="affc"/>
            <w:bCs/>
          </w:rPr>
          <w:t>Обеспечение сосудистого доступа</w:t>
        </w:r>
        <w:r w:rsidR="008139EA">
          <w:rPr>
            <w:webHidden/>
          </w:rPr>
          <w:tab/>
        </w:r>
        <w:r w:rsidR="008139EA">
          <w:rPr>
            <w:webHidden/>
          </w:rPr>
          <w:fldChar w:fldCharType="begin"/>
        </w:r>
        <w:r w:rsidR="008139EA">
          <w:rPr>
            <w:webHidden/>
          </w:rPr>
          <w:instrText xml:space="preserve"> PAGEREF _Toc67522267 \h </w:instrText>
        </w:r>
        <w:r w:rsidR="008139EA">
          <w:rPr>
            <w:webHidden/>
          </w:rPr>
        </w:r>
        <w:r w:rsidR="008139EA">
          <w:rPr>
            <w:webHidden/>
          </w:rPr>
          <w:fldChar w:fldCharType="separate"/>
        </w:r>
        <w:r w:rsidR="008139EA">
          <w:rPr>
            <w:webHidden/>
          </w:rPr>
          <w:t>372</w:t>
        </w:r>
        <w:r w:rsidR="008139EA">
          <w:rPr>
            <w:webHidden/>
          </w:rPr>
          <w:fldChar w:fldCharType="end"/>
        </w:r>
      </w:hyperlink>
    </w:p>
    <w:p w14:paraId="39EC3565" w14:textId="28FD284A" w:rsidR="008139EA" w:rsidRDefault="00614DDF">
      <w:pPr>
        <w:pStyle w:val="21"/>
        <w:rPr>
          <w:rFonts w:asciiTheme="minorHAnsi" w:eastAsiaTheme="minorEastAsia" w:hAnsiTheme="minorHAnsi" w:cstheme="minorBidi"/>
          <w:sz w:val="24"/>
          <w:szCs w:val="24"/>
          <w:lang w:eastAsia="ru-RU"/>
        </w:rPr>
      </w:pPr>
      <w:hyperlink w:anchor="_Toc67522268" w:history="1">
        <w:r w:rsidR="008139EA" w:rsidRPr="00D76948">
          <w:rPr>
            <w:rStyle w:val="affc"/>
          </w:rPr>
          <w:t>Приложение А3.8. Спленэктомия у пациентов с гематологическими заболеваниями</w:t>
        </w:r>
        <w:r w:rsidR="008139EA">
          <w:rPr>
            <w:webHidden/>
          </w:rPr>
          <w:tab/>
        </w:r>
        <w:r w:rsidR="008139EA">
          <w:rPr>
            <w:webHidden/>
          </w:rPr>
          <w:fldChar w:fldCharType="begin"/>
        </w:r>
        <w:r w:rsidR="008139EA">
          <w:rPr>
            <w:webHidden/>
          </w:rPr>
          <w:instrText xml:space="preserve"> PAGEREF _Toc67522268 \h </w:instrText>
        </w:r>
        <w:r w:rsidR="008139EA">
          <w:rPr>
            <w:webHidden/>
          </w:rPr>
        </w:r>
        <w:r w:rsidR="008139EA">
          <w:rPr>
            <w:webHidden/>
          </w:rPr>
          <w:fldChar w:fldCharType="separate"/>
        </w:r>
        <w:r w:rsidR="008139EA">
          <w:rPr>
            <w:webHidden/>
          </w:rPr>
          <w:t>385</w:t>
        </w:r>
        <w:r w:rsidR="008139EA">
          <w:rPr>
            <w:webHidden/>
          </w:rPr>
          <w:fldChar w:fldCharType="end"/>
        </w:r>
      </w:hyperlink>
    </w:p>
    <w:p w14:paraId="35C93CA2" w14:textId="5DA95FF0" w:rsidR="008139EA" w:rsidRDefault="00614DDF">
      <w:pPr>
        <w:pStyle w:val="1a"/>
        <w:rPr>
          <w:rFonts w:asciiTheme="minorHAnsi" w:eastAsiaTheme="minorEastAsia" w:hAnsiTheme="minorHAnsi"/>
          <w:noProof/>
          <w:szCs w:val="24"/>
          <w:lang w:eastAsia="ru-RU"/>
        </w:rPr>
      </w:pPr>
      <w:hyperlink w:anchor="_Toc67522269" w:history="1">
        <w:r w:rsidR="008139EA" w:rsidRPr="00D76948">
          <w:rPr>
            <w:rStyle w:val="affc"/>
            <w:noProof/>
          </w:rPr>
          <w:t>Приложение Б. Алгоритмы ведения пациента</w:t>
        </w:r>
        <w:r w:rsidR="008139EA">
          <w:rPr>
            <w:noProof/>
            <w:webHidden/>
          </w:rPr>
          <w:tab/>
        </w:r>
        <w:r w:rsidR="008139EA">
          <w:rPr>
            <w:noProof/>
            <w:webHidden/>
          </w:rPr>
          <w:fldChar w:fldCharType="begin"/>
        </w:r>
        <w:r w:rsidR="008139EA">
          <w:rPr>
            <w:noProof/>
            <w:webHidden/>
          </w:rPr>
          <w:instrText xml:space="preserve"> PAGEREF _Toc67522269 \h </w:instrText>
        </w:r>
        <w:r w:rsidR="008139EA">
          <w:rPr>
            <w:noProof/>
            <w:webHidden/>
          </w:rPr>
        </w:r>
        <w:r w:rsidR="008139EA">
          <w:rPr>
            <w:noProof/>
            <w:webHidden/>
          </w:rPr>
          <w:fldChar w:fldCharType="separate"/>
        </w:r>
        <w:r w:rsidR="008139EA">
          <w:rPr>
            <w:noProof/>
            <w:webHidden/>
          </w:rPr>
          <w:t>396</w:t>
        </w:r>
        <w:r w:rsidR="008139EA">
          <w:rPr>
            <w:noProof/>
            <w:webHidden/>
          </w:rPr>
          <w:fldChar w:fldCharType="end"/>
        </w:r>
      </w:hyperlink>
    </w:p>
    <w:p w14:paraId="0427DDA2" w14:textId="48664811" w:rsidR="008139EA" w:rsidRDefault="00614DDF">
      <w:pPr>
        <w:pStyle w:val="1a"/>
        <w:rPr>
          <w:rFonts w:asciiTheme="minorHAnsi" w:eastAsiaTheme="minorEastAsia" w:hAnsiTheme="minorHAnsi"/>
          <w:noProof/>
          <w:szCs w:val="24"/>
          <w:lang w:eastAsia="ru-RU"/>
        </w:rPr>
      </w:pPr>
      <w:hyperlink w:anchor="_Toc67522270" w:history="1">
        <w:r w:rsidR="008139EA" w:rsidRPr="00D76948">
          <w:rPr>
            <w:rStyle w:val="affc"/>
            <w:noProof/>
          </w:rPr>
          <w:t>Приложение В. Информация для пациентов</w:t>
        </w:r>
        <w:r w:rsidR="008139EA">
          <w:rPr>
            <w:noProof/>
            <w:webHidden/>
          </w:rPr>
          <w:tab/>
        </w:r>
        <w:r w:rsidR="008139EA">
          <w:rPr>
            <w:noProof/>
            <w:webHidden/>
          </w:rPr>
          <w:fldChar w:fldCharType="begin"/>
        </w:r>
        <w:r w:rsidR="008139EA">
          <w:rPr>
            <w:noProof/>
            <w:webHidden/>
          </w:rPr>
          <w:instrText xml:space="preserve"> PAGEREF _Toc67522270 \h </w:instrText>
        </w:r>
        <w:r w:rsidR="008139EA">
          <w:rPr>
            <w:noProof/>
            <w:webHidden/>
          </w:rPr>
        </w:r>
        <w:r w:rsidR="008139EA">
          <w:rPr>
            <w:noProof/>
            <w:webHidden/>
          </w:rPr>
          <w:fldChar w:fldCharType="separate"/>
        </w:r>
        <w:r w:rsidR="008139EA">
          <w:rPr>
            <w:noProof/>
            <w:webHidden/>
          </w:rPr>
          <w:t>397</w:t>
        </w:r>
        <w:r w:rsidR="008139EA">
          <w:rPr>
            <w:noProof/>
            <w:webHidden/>
          </w:rPr>
          <w:fldChar w:fldCharType="end"/>
        </w:r>
      </w:hyperlink>
    </w:p>
    <w:p w14:paraId="086E4DF9" w14:textId="5FCA7643" w:rsidR="008139EA" w:rsidRDefault="00614DDF">
      <w:pPr>
        <w:pStyle w:val="1a"/>
        <w:rPr>
          <w:rFonts w:asciiTheme="minorHAnsi" w:eastAsiaTheme="minorEastAsia" w:hAnsiTheme="minorHAnsi"/>
          <w:noProof/>
          <w:szCs w:val="24"/>
          <w:lang w:eastAsia="ru-RU"/>
        </w:rPr>
      </w:pPr>
      <w:hyperlink w:anchor="_Toc67522271" w:history="1">
        <w:r w:rsidR="008139EA" w:rsidRPr="00D76948">
          <w:rPr>
            <w:rStyle w:val="affc"/>
            <w:noProof/>
          </w:rPr>
          <w:t>Приложение Г. Шкалы оценки, вопросники и другие оценочные инструменты состояния пациента, приведенные в клинических рекомендациях</w:t>
        </w:r>
        <w:r w:rsidR="008139EA">
          <w:rPr>
            <w:noProof/>
            <w:webHidden/>
          </w:rPr>
          <w:tab/>
        </w:r>
        <w:r w:rsidR="008139EA">
          <w:rPr>
            <w:noProof/>
            <w:webHidden/>
          </w:rPr>
          <w:fldChar w:fldCharType="begin"/>
        </w:r>
        <w:r w:rsidR="008139EA">
          <w:rPr>
            <w:noProof/>
            <w:webHidden/>
          </w:rPr>
          <w:instrText xml:space="preserve"> PAGEREF _Toc67522271 \h </w:instrText>
        </w:r>
        <w:r w:rsidR="008139EA">
          <w:rPr>
            <w:noProof/>
            <w:webHidden/>
          </w:rPr>
        </w:r>
        <w:r w:rsidR="008139EA">
          <w:rPr>
            <w:noProof/>
            <w:webHidden/>
          </w:rPr>
          <w:fldChar w:fldCharType="separate"/>
        </w:r>
        <w:r w:rsidR="008139EA">
          <w:rPr>
            <w:noProof/>
            <w:webHidden/>
          </w:rPr>
          <w:t>398</w:t>
        </w:r>
        <w:r w:rsidR="008139EA">
          <w:rPr>
            <w:noProof/>
            <w:webHidden/>
          </w:rPr>
          <w:fldChar w:fldCharType="end"/>
        </w:r>
      </w:hyperlink>
    </w:p>
    <w:p w14:paraId="0AB1ECD4" w14:textId="4AC6E2D7" w:rsidR="008139EA" w:rsidRDefault="00614DDF">
      <w:pPr>
        <w:pStyle w:val="21"/>
        <w:rPr>
          <w:rFonts w:asciiTheme="minorHAnsi" w:eastAsiaTheme="minorEastAsia" w:hAnsiTheme="minorHAnsi" w:cstheme="minorBidi"/>
          <w:sz w:val="24"/>
          <w:szCs w:val="24"/>
          <w:lang w:eastAsia="ru-RU"/>
        </w:rPr>
      </w:pPr>
      <w:hyperlink w:anchor="_Toc67522272" w:history="1">
        <w:r w:rsidR="008139EA" w:rsidRPr="00D76948">
          <w:rPr>
            <w:rStyle w:val="affc"/>
          </w:rPr>
          <w:t>Приложение Г1. Шкала оценки общего состояния пациента Восточной объединенной онкологической группы (ECOG)</w:t>
        </w:r>
        <w:r w:rsidR="008139EA">
          <w:rPr>
            <w:webHidden/>
          </w:rPr>
          <w:tab/>
        </w:r>
        <w:r w:rsidR="008139EA">
          <w:rPr>
            <w:webHidden/>
          </w:rPr>
          <w:fldChar w:fldCharType="begin"/>
        </w:r>
        <w:r w:rsidR="008139EA">
          <w:rPr>
            <w:webHidden/>
          </w:rPr>
          <w:instrText xml:space="preserve"> PAGEREF _Toc67522272 \h </w:instrText>
        </w:r>
        <w:r w:rsidR="008139EA">
          <w:rPr>
            <w:webHidden/>
          </w:rPr>
        </w:r>
        <w:r w:rsidR="008139EA">
          <w:rPr>
            <w:webHidden/>
          </w:rPr>
          <w:fldChar w:fldCharType="separate"/>
        </w:r>
        <w:r w:rsidR="008139EA">
          <w:rPr>
            <w:webHidden/>
          </w:rPr>
          <w:t>398</w:t>
        </w:r>
        <w:r w:rsidR="008139EA">
          <w:rPr>
            <w:webHidden/>
          </w:rPr>
          <w:fldChar w:fldCharType="end"/>
        </w:r>
      </w:hyperlink>
    </w:p>
    <w:p w14:paraId="66D72A4D" w14:textId="1EBF5182" w:rsidR="008139EA" w:rsidRDefault="00614DDF">
      <w:pPr>
        <w:pStyle w:val="21"/>
        <w:rPr>
          <w:rFonts w:asciiTheme="minorHAnsi" w:eastAsiaTheme="minorEastAsia" w:hAnsiTheme="minorHAnsi" w:cstheme="minorBidi"/>
          <w:sz w:val="24"/>
          <w:szCs w:val="24"/>
          <w:lang w:eastAsia="ru-RU"/>
        </w:rPr>
      </w:pPr>
      <w:hyperlink w:anchor="_Toc67522273" w:history="1">
        <w:r w:rsidR="008139EA" w:rsidRPr="00D76948">
          <w:rPr>
            <w:rStyle w:val="affc"/>
          </w:rPr>
          <w:t xml:space="preserve">Приложение Г2. </w:t>
        </w:r>
        <w:r w:rsidR="008139EA" w:rsidRPr="00D76948">
          <w:rPr>
            <w:rStyle w:val="affc"/>
            <w:rFonts w:eastAsia="SimSun"/>
          </w:rPr>
          <w:t>Расчет трансплантационного риска по шкале EBMT</w:t>
        </w:r>
        <w:r w:rsidR="008139EA">
          <w:rPr>
            <w:webHidden/>
          </w:rPr>
          <w:tab/>
        </w:r>
        <w:r w:rsidR="008139EA">
          <w:rPr>
            <w:webHidden/>
          </w:rPr>
          <w:fldChar w:fldCharType="begin"/>
        </w:r>
        <w:r w:rsidR="008139EA">
          <w:rPr>
            <w:webHidden/>
          </w:rPr>
          <w:instrText xml:space="preserve"> PAGEREF _Toc67522273 \h </w:instrText>
        </w:r>
        <w:r w:rsidR="008139EA">
          <w:rPr>
            <w:webHidden/>
          </w:rPr>
        </w:r>
        <w:r w:rsidR="008139EA">
          <w:rPr>
            <w:webHidden/>
          </w:rPr>
          <w:fldChar w:fldCharType="separate"/>
        </w:r>
        <w:r w:rsidR="008139EA">
          <w:rPr>
            <w:webHidden/>
          </w:rPr>
          <w:t>399</w:t>
        </w:r>
        <w:r w:rsidR="008139EA">
          <w:rPr>
            <w:webHidden/>
          </w:rPr>
          <w:fldChar w:fldCharType="end"/>
        </w:r>
      </w:hyperlink>
    </w:p>
    <w:p w14:paraId="677EA908" w14:textId="2ADF603D" w:rsidR="008139EA" w:rsidRDefault="00614DDF">
      <w:pPr>
        <w:pStyle w:val="21"/>
        <w:rPr>
          <w:rFonts w:asciiTheme="minorHAnsi" w:eastAsiaTheme="minorEastAsia" w:hAnsiTheme="minorHAnsi" w:cstheme="minorBidi"/>
          <w:sz w:val="24"/>
          <w:szCs w:val="24"/>
          <w:lang w:eastAsia="ru-RU"/>
        </w:rPr>
      </w:pPr>
      <w:hyperlink w:anchor="_Toc67522274" w:history="1">
        <w:r w:rsidR="008139EA" w:rsidRPr="00D76948">
          <w:rPr>
            <w:rStyle w:val="affc"/>
          </w:rPr>
          <w:t xml:space="preserve">Приложение Г3. </w:t>
        </w:r>
        <w:r w:rsidR="008139EA" w:rsidRPr="00D76948">
          <w:rPr>
            <w:rStyle w:val="affc"/>
            <w:rFonts w:eastAsia="SimSun"/>
          </w:rPr>
          <w:t>Расчет трансплантационного риска по шкале HCT-CI</w:t>
        </w:r>
        <w:r w:rsidR="008139EA">
          <w:rPr>
            <w:webHidden/>
          </w:rPr>
          <w:tab/>
        </w:r>
        <w:r w:rsidR="008139EA">
          <w:rPr>
            <w:webHidden/>
          </w:rPr>
          <w:fldChar w:fldCharType="begin"/>
        </w:r>
        <w:r w:rsidR="008139EA">
          <w:rPr>
            <w:webHidden/>
          </w:rPr>
          <w:instrText xml:space="preserve"> PAGEREF _Toc67522274 \h </w:instrText>
        </w:r>
        <w:r w:rsidR="008139EA">
          <w:rPr>
            <w:webHidden/>
          </w:rPr>
        </w:r>
        <w:r w:rsidR="008139EA">
          <w:rPr>
            <w:webHidden/>
          </w:rPr>
          <w:fldChar w:fldCharType="separate"/>
        </w:r>
        <w:r w:rsidR="008139EA">
          <w:rPr>
            <w:webHidden/>
          </w:rPr>
          <w:t>400</w:t>
        </w:r>
        <w:r w:rsidR="008139EA">
          <w:rPr>
            <w:webHidden/>
          </w:rPr>
          <w:fldChar w:fldCharType="end"/>
        </w:r>
      </w:hyperlink>
    </w:p>
    <w:p w14:paraId="5C4A9B38" w14:textId="012788AD" w:rsidR="00BD0E44" w:rsidRDefault="00031607" w:rsidP="004864D4">
      <w:pPr>
        <w:rPr>
          <w:b/>
          <w:bCs/>
          <w:noProof/>
        </w:rPr>
      </w:pPr>
      <w:r>
        <w:rPr>
          <w:b/>
          <w:bCs/>
          <w:noProof/>
        </w:rPr>
        <w:fldChar w:fldCharType="end"/>
      </w:r>
    </w:p>
    <w:p w14:paraId="4C2CB147" w14:textId="77777777" w:rsidR="00152484" w:rsidRDefault="00152484" w:rsidP="004864D4">
      <w:pPr>
        <w:rPr>
          <w:b/>
          <w:bCs/>
          <w:noProof/>
        </w:rPr>
      </w:pPr>
    </w:p>
    <w:p w14:paraId="4A3F0EB3" w14:textId="77777777" w:rsidR="00152484" w:rsidRDefault="00152484" w:rsidP="004864D4">
      <w:pPr>
        <w:rPr>
          <w:b/>
          <w:bCs/>
          <w:noProof/>
        </w:rPr>
      </w:pPr>
    </w:p>
    <w:p w14:paraId="2581E122" w14:textId="77777777" w:rsidR="00152484" w:rsidRDefault="00152484" w:rsidP="004864D4">
      <w:pPr>
        <w:rPr>
          <w:b/>
          <w:bCs/>
          <w:noProof/>
        </w:rPr>
      </w:pPr>
    </w:p>
    <w:p w14:paraId="4F56BF93" w14:textId="77777777" w:rsidR="00152484" w:rsidRDefault="00152484" w:rsidP="004864D4">
      <w:pPr>
        <w:rPr>
          <w:b/>
          <w:bCs/>
          <w:noProof/>
        </w:rPr>
      </w:pPr>
    </w:p>
    <w:p w14:paraId="7E8881B1" w14:textId="77777777" w:rsidR="00152484" w:rsidRDefault="00152484" w:rsidP="004864D4">
      <w:pPr>
        <w:rPr>
          <w:b/>
          <w:bCs/>
          <w:noProof/>
        </w:rPr>
      </w:pPr>
    </w:p>
    <w:p w14:paraId="337CD833" w14:textId="77777777" w:rsidR="00152484" w:rsidRDefault="00152484" w:rsidP="004864D4">
      <w:pPr>
        <w:rPr>
          <w:b/>
          <w:bCs/>
          <w:noProof/>
        </w:rPr>
      </w:pPr>
    </w:p>
    <w:p w14:paraId="39238F56" w14:textId="77777777" w:rsidR="00152484" w:rsidRDefault="00152484" w:rsidP="004864D4">
      <w:pPr>
        <w:rPr>
          <w:b/>
          <w:bCs/>
          <w:noProof/>
        </w:rPr>
      </w:pPr>
    </w:p>
    <w:p w14:paraId="10EAEA5A" w14:textId="77777777" w:rsidR="00152484" w:rsidRDefault="00152484" w:rsidP="004864D4">
      <w:pPr>
        <w:rPr>
          <w:b/>
          <w:bCs/>
          <w:noProof/>
        </w:rPr>
      </w:pPr>
    </w:p>
    <w:p w14:paraId="247D2D10" w14:textId="77777777" w:rsidR="00152484" w:rsidRDefault="00152484" w:rsidP="004864D4">
      <w:pPr>
        <w:rPr>
          <w:b/>
          <w:bCs/>
          <w:noProof/>
        </w:rPr>
      </w:pPr>
    </w:p>
    <w:p w14:paraId="53B990CD" w14:textId="77777777" w:rsidR="00152484" w:rsidRDefault="00152484" w:rsidP="004864D4">
      <w:pPr>
        <w:rPr>
          <w:b/>
          <w:bCs/>
          <w:noProof/>
        </w:rPr>
      </w:pPr>
    </w:p>
    <w:p w14:paraId="1D55EBD7" w14:textId="77777777" w:rsidR="00152484" w:rsidRDefault="00152484" w:rsidP="004864D4">
      <w:pPr>
        <w:rPr>
          <w:b/>
          <w:bCs/>
          <w:noProof/>
        </w:rPr>
      </w:pPr>
    </w:p>
    <w:p w14:paraId="748CA24B" w14:textId="77777777" w:rsidR="00152484" w:rsidRDefault="00152484" w:rsidP="004864D4">
      <w:pPr>
        <w:rPr>
          <w:b/>
          <w:bCs/>
          <w:noProof/>
        </w:rPr>
      </w:pPr>
    </w:p>
    <w:p w14:paraId="3F0DF363" w14:textId="77777777" w:rsidR="00152484" w:rsidRDefault="00152484" w:rsidP="004864D4">
      <w:pPr>
        <w:rPr>
          <w:b/>
          <w:bCs/>
          <w:noProof/>
        </w:rPr>
      </w:pPr>
    </w:p>
    <w:p w14:paraId="2CABA1B5" w14:textId="77777777" w:rsidR="00152484" w:rsidRDefault="00152484" w:rsidP="004864D4">
      <w:pPr>
        <w:rPr>
          <w:b/>
          <w:bCs/>
          <w:noProof/>
        </w:rPr>
      </w:pPr>
    </w:p>
    <w:p w14:paraId="4B8601B2" w14:textId="77777777" w:rsidR="00152484" w:rsidRDefault="00152484" w:rsidP="004864D4">
      <w:pPr>
        <w:rPr>
          <w:b/>
          <w:bCs/>
          <w:noProof/>
        </w:rPr>
      </w:pPr>
    </w:p>
    <w:p w14:paraId="53759974" w14:textId="77777777" w:rsidR="00152484" w:rsidRDefault="00152484" w:rsidP="004864D4">
      <w:pPr>
        <w:rPr>
          <w:b/>
          <w:bCs/>
          <w:noProof/>
        </w:rPr>
      </w:pPr>
    </w:p>
    <w:p w14:paraId="7256BD8F" w14:textId="77777777" w:rsidR="00152484" w:rsidRDefault="00152484" w:rsidP="004864D4">
      <w:pPr>
        <w:rPr>
          <w:b/>
          <w:bCs/>
          <w:noProof/>
        </w:rPr>
      </w:pPr>
    </w:p>
    <w:p w14:paraId="650D8A9A" w14:textId="77777777" w:rsidR="00152484" w:rsidRDefault="00152484" w:rsidP="004864D4">
      <w:pPr>
        <w:rPr>
          <w:b/>
          <w:bCs/>
          <w:noProof/>
        </w:rPr>
      </w:pPr>
    </w:p>
    <w:p w14:paraId="15291E84" w14:textId="04A55A28" w:rsidR="00152484" w:rsidRDefault="00152484" w:rsidP="004864D4">
      <w:pPr>
        <w:rPr>
          <w:b/>
          <w:bCs/>
          <w:noProof/>
        </w:rPr>
      </w:pPr>
    </w:p>
    <w:p w14:paraId="2D7E9201" w14:textId="77777777" w:rsidR="00DC4A7A" w:rsidRDefault="00DC4A7A" w:rsidP="004864D4">
      <w:pPr>
        <w:rPr>
          <w:b/>
          <w:bCs/>
          <w:noProof/>
        </w:rPr>
        <w:sectPr w:rsidR="00DC4A7A" w:rsidSect="00BD0E44">
          <w:type w:val="continuous"/>
          <w:pgSz w:w="11906" w:h="16838"/>
          <w:pgMar w:top="1134" w:right="850" w:bottom="1134" w:left="1701" w:header="708" w:footer="708" w:gutter="0"/>
          <w:cols w:space="720"/>
          <w:formProt w:val="0"/>
          <w:titlePg/>
          <w:docGrid w:linePitch="360" w:charSpace="-6145"/>
        </w:sectPr>
      </w:pPr>
    </w:p>
    <w:p w14:paraId="15FB27D8" w14:textId="0BBF1133" w:rsidR="002C3C32" w:rsidRPr="00CC22C1" w:rsidRDefault="00031607" w:rsidP="00CC22C1">
      <w:pPr>
        <w:pStyle w:val="11"/>
        <w:rPr>
          <w:szCs w:val="28"/>
          <w:u w:val="none"/>
        </w:rPr>
      </w:pPr>
      <w:bookmarkStart w:id="1" w:name="_Toc67522218"/>
      <w:r w:rsidRPr="00CC22C1">
        <w:rPr>
          <w:szCs w:val="28"/>
          <w:u w:val="none"/>
        </w:rPr>
        <w:t>Список сокращений</w:t>
      </w:r>
      <w:bookmarkEnd w:id="1"/>
    </w:p>
    <w:p w14:paraId="347EDD23" w14:textId="392A4F9F" w:rsidR="006C4406" w:rsidRPr="00BD0E44" w:rsidRDefault="00BD0E44" w:rsidP="006C4406">
      <w:pPr>
        <w:rPr>
          <w:rFonts w:eastAsia="Times New Roman"/>
        </w:rPr>
      </w:pPr>
      <w:r w:rsidRPr="00BD0E44">
        <w:rPr>
          <w:rFonts w:eastAsia="Times New Roman"/>
        </w:rPr>
        <w:t>АА</w:t>
      </w:r>
      <w:r w:rsidR="006C4406">
        <w:rPr>
          <w:rFonts w:eastAsia="Times New Roman"/>
        </w:rPr>
        <w:t xml:space="preserve"> – </w:t>
      </w:r>
      <w:r w:rsidR="006C4406" w:rsidRPr="00BD0E44">
        <w:rPr>
          <w:rFonts w:eastAsia="Times New Roman"/>
        </w:rPr>
        <w:t>апластическая анемия</w:t>
      </w:r>
    </w:p>
    <w:p w14:paraId="1211AE76" w14:textId="67990E7F" w:rsidR="00A50583" w:rsidRDefault="00A50583" w:rsidP="006C4406">
      <w:pPr>
        <w:rPr>
          <w:rFonts w:eastAsia="Times New Roman"/>
        </w:rPr>
      </w:pPr>
      <w:r>
        <w:rPr>
          <w:rFonts w:eastAsia="Times New Roman"/>
        </w:rPr>
        <w:t xml:space="preserve">АллоТГСК – </w:t>
      </w:r>
      <w:bookmarkStart w:id="2" w:name="_Hlk17058370"/>
      <w:r w:rsidR="00A729EF">
        <w:rPr>
          <w:rFonts w:eastAsia="Times New Roman"/>
        </w:rPr>
        <w:t xml:space="preserve">трансплантация </w:t>
      </w:r>
      <w:r>
        <w:rPr>
          <w:rFonts w:eastAsia="Times New Roman"/>
        </w:rPr>
        <w:t>аллогенн</w:t>
      </w:r>
      <w:r w:rsidR="00A729EF">
        <w:rPr>
          <w:rFonts w:eastAsia="Times New Roman"/>
        </w:rPr>
        <w:t xml:space="preserve">ых гемопоэтических стволовых клеток </w:t>
      </w:r>
    </w:p>
    <w:bookmarkEnd w:id="2"/>
    <w:p w14:paraId="54E11EB6" w14:textId="55DADA7E" w:rsidR="006C4406" w:rsidRDefault="00BD0E44" w:rsidP="006C4406">
      <w:pPr>
        <w:rPr>
          <w:rFonts w:eastAsia="Times New Roman"/>
        </w:rPr>
      </w:pPr>
      <w:r w:rsidRPr="00BD0E44">
        <w:rPr>
          <w:rFonts w:eastAsia="Times New Roman"/>
        </w:rPr>
        <w:t>АТГ</w:t>
      </w:r>
      <w:r w:rsidR="006C4406">
        <w:rPr>
          <w:rFonts w:eastAsia="Times New Roman"/>
        </w:rPr>
        <w:t xml:space="preserve"> – </w:t>
      </w:r>
      <w:r w:rsidR="00771049">
        <w:t>иммуноглобулин анти-Т</w:t>
      </w:r>
      <w:r w:rsidR="0070244E" w:rsidRPr="0020454E">
        <w:t>-</w:t>
      </w:r>
      <w:r w:rsidR="00771049">
        <w:t>лимфоцитарный животного происхождения для применения у человека</w:t>
      </w:r>
      <w:r w:rsidR="00771049" w:rsidRPr="00F42A9A">
        <w:t xml:space="preserve"> </w:t>
      </w:r>
    </w:p>
    <w:p w14:paraId="517F3D9E" w14:textId="529ADEF0" w:rsidR="00117113" w:rsidRPr="006C4406" w:rsidRDefault="006C4406" w:rsidP="00BD0E44">
      <w:pPr>
        <w:rPr>
          <w:rFonts w:eastAsia="Times New Roman"/>
        </w:rPr>
      </w:pPr>
      <w:r>
        <w:rPr>
          <w:rFonts w:eastAsia="Times New Roman"/>
        </w:rPr>
        <w:t>АЛТ</w:t>
      </w:r>
      <w:r w:rsidRPr="006C4406">
        <w:rPr>
          <w:rFonts w:eastAsia="Times New Roman"/>
        </w:rPr>
        <w:t xml:space="preserve"> </w:t>
      </w:r>
      <w:r>
        <w:rPr>
          <w:rFonts w:eastAsia="Times New Roman"/>
        </w:rPr>
        <w:t>–</w:t>
      </w:r>
      <w:r w:rsidRPr="006C4406">
        <w:rPr>
          <w:rFonts w:eastAsia="Times New Roman"/>
        </w:rPr>
        <w:t xml:space="preserve"> аланинаминотрансфераза</w:t>
      </w:r>
    </w:p>
    <w:p w14:paraId="196BAD2B" w14:textId="768B2492" w:rsidR="00117113" w:rsidRPr="006C4406" w:rsidRDefault="006C4406" w:rsidP="00BD0E44">
      <w:pPr>
        <w:rPr>
          <w:rFonts w:eastAsia="Times New Roman"/>
        </w:rPr>
      </w:pPr>
      <w:r w:rsidRPr="006C4406">
        <w:rPr>
          <w:rFonts w:eastAsia="Times New Roman"/>
        </w:rPr>
        <w:t>АСТ - аспартатаминотрансфераза</w:t>
      </w:r>
    </w:p>
    <w:p w14:paraId="17298EC6" w14:textId="4281563E" w:rsidR="005319F6" w:rsidRPr="00BD0E44" w:rsidRDefault="005319F6" w:rsidP="00BD0E44">
      <w:pPr>
        <w:rPr>
          <w:rFonts w:eastAsia="Times New Roman"/>
        </w:rPr>
      </w:pPr>
      <w:r w:rsidRPr="006C4406">
        <w:rPr>
          <w:rFonts w:eastAsia="Times New Roman"/>
        </w:rPr>
        <w:t>АЧТВ</w:t>
      </w:r>
      <w:r w:rsidR="006C4406" w:rsidRPr="006C4406">
        <w:rPr>
          <w:rFonts w:eastAsia="Times New Roman"/>
        </w:rPr>
        <w:t xml:space="preserve"> – активированное частичное тромбопластиновое время</w:t>
      </w:r>
    </w:p>
    <w:p w14:paraId="22BE92AA" w14:textId="1458066A" w:rsidR="00BD0E44" w:rsidRDefault="00BD0E44" w:rsidP="00BD0E44">
      <w:pPr>
        <w:rPr>
          <w:rFonts w:eastAsia="Times New Roman"/>
        </w:rPr>
      </w:pPr>
      <w:r w:rsidRPr="00BD0E44">
        <w:rPr>
          <w:rFonts w:eastAsia="Times New Roman"/>
        </w:rPr>
        <w:t>ВГН</w:t>
      </w:r>
      <w:r w:rsidR="006C4406">
        <w:rPr>
          <w:rFonts w:eastAsia="Times New Roman"/>
        </w:rPr>
        <w:t xml:space="preserve"> – </w:t>
      </w:r>
      <w:r w:rsidR="006C4406" w:rsidRPr="00BD0E44">
        <w:rPr>
          <w:rFonts w:eastAsia="Times New Roman"/>
        </w:rPr>
        <w:t>верхняя граница нормы</w:t>
      </w:r>
    </w:p>
    <w:p w14:paraId="2AD052FB" w14:textId="114CF5B0" w:rsidR="00A6084F" w:rsidRPr="00BD0E44" w:rsidRDefault="00A6084F" w:rsidP="00BD0E44">
      <w:pPr>
        <w:rPr>
          <w:rFonts w:eastAsia="Times New Roman"/>
        </w:rPr>
      </w:pPr>
      <w:r>
        <w:rPr>
          <w:rFonts w:eastAsia="Times New Roman"/>
        </w:rPr>
        <w:t>ГАА-гепатитассоциированная апластическая анемия</w:t>
      </w:r>
    </w:p>
    <w:p w14:paraId="040D3B49" w14:textId="5AD6327D" w:rsidR="00BD0E44" w:rsidRPr="00BD0E44" w:rsidRDefault="00BD0E44" w:rsidP="00BD0E44">
      <w:pPr>
        <w:rPr>
          <w:rFonts w:eastAsia="Times New Roman"/>
        </w:rPr>
      </w:pPr>
      <w:r w:rsidRPr="00BD0E44">
        <w:rPr>
          <w:rFonts w:eastAsia="Times New Roman"/>
        </w:rPr>
        <w:t>Г-КСФ</w:t>
      </w:r>
      <w:r w:rsidR="00FF46A3">
        <w:rPr>
          <w:rFonts w:eastAsia="Times New Roman"/>
        </w:rPr>
        <w:t xml:space="preserve"> – гранулоцитарный коло</w:t>
      </w:r>
      <w:r w:rsidR="00FF46A3" w:rsidRPr="00BD0E44">
        <w:rPr>
          <w:rFonts w:eastAsia="Times New Roman"/>
        </w:rPr>
        <w:t>ниестимулирующий фактор</w:t>
      </w:r>
    </w:p>
    <w:p w14:paraId="0AA8037D" w14:textId="664C9DBD" w:rsidR="00BD0E44" w:rsidRPr="00BD0E44" w:rsidRDefault="00BD0E44" w:rsidP="00BD0E44">
      <w:pPr>
        <w:rPr>
          <w:rFonts w:eastAsia="Times New Roman"/>
        </w:rPr>
      </w:pPr>
      <w:r w:rsidRPr="00BD0E44">
        <w:rPr>
          <w:rFonts w:eastAsia="Times New Roman"/>
        </w:rPr>
        <w:t>ГФИ</w:t>
      </w:r>
      <w:r w:rsidR="00FF46A3">
        <w:rPr>
          <w:rFonts w:eastAsia="Times New Roman"/>
        </w:rPr>
        <w:t xml:space="preserve"> – </w:t>
      </w:r>
      <w:r w:rsidR="00FF46A3" w:rsidRPr="00BD0E44">
        <w:rPr>
          <w:rFonts w:eastAsia="Times New Roman"/>
        </w:rPr>
        <w:t>гликозилфосфатидилинозитол</w:t>
      </w:r>
    </w:p>
    <w:p w14:paraId="6A9A8D14" w14:textId="247ABA7A" w:rsidR="00BD0E44" w:rsidRPr="00BD0E44" w:rsidRDefault="00BD0E44" w:rsidP="00BD0E44">
      <w:pPr>
        <w:rPr>
          <w:rFonts w:eastAsia="Times New Roman"/>
        </w:rPr>
      </w:pPr>
      <w:r w:rsidRPr="00BD0E44">
        <w:rPr>
          <w:rFonts w:eastAsia="Times New Roman"/>
        </w:rPr>
        <w:t>ИЛ</w:t>
      </w:r>
      <w:r w:rsidR="00FF46A3">
        <w:rPr>
          <w:rFonts w:eastAsia="Times New Roman"/>
        </w:rPr>
        <w:t xml:space="preserve"> – </w:t>
      </w:r>
      <w:r w:rsidR="00FF46A3" w:rsidRPr="00BD0E44">
        <w:rPr>
          <w:rFonts w:eastAsia="Times New Roman"/>
        </w:rPr>
        <w:t>интерлейкин</w:t>
      </w:r>
    </w:p>
    <w:p w14:paraId="46231AB9" w14:textId="32164973" w:rsidR="00BD0E44" w:rsidRPr="00BD0E44" w:rsidRDefault="00BD0E44" w:rsidP="00BD0E44">
      <w:pPr>
        <w:rPr>
          <w:rFonts w:eastAsia="Times New Roman"/>
        </w:rPr>
      </w:pPr>
      <w:r w:rsidRPr="00BD0E44">
        <w:rPr>
          <w:rFonts w:eastAsia="Times New Roman"/>
        </w:rPr>
        <w:t>ИСТ</w:t>
      </w:r>
      <w:r w:rsidR="00FF46A3">
        <w:rPr>
          <w:rFonts w:eastAsia="Times New Roman"/>
        </w:rPr>
        <w:t xml:space="preserve"> – </w:t>
      </w:r>
      <w:r w:rsidR="00FF46A3" w:rsidRPr="00BD0E44">
        <w:rPr>
          <w:rFonts w:eastAsia="Times New Roman"/>
        </w:rPr>
        <w:t>иммуносупрессивная терапия</w:t>
      </w:r>
    </w:p>
    <w:p w14:paraId="4BC4F89C" w14:textId="12760908" w:rsidR="00BD0E44" w:rsidRPr="00BD0E44" w:rsidRDefault="00BD0E44" w:rsidP="00BD0E44">
      <w:pPr>
        <w:rPr>
          <w:rFonts w:eastAsia="Times New Roman"/>
        </w:rPr>
      </w:pPr>
      <w:r w:rsidRPr="00BD0E44">
        <w:rPr>
          <w:rFonts w:eastAsia="Times New Roman"/>
        </w:rPr>
        <w:t>ИФНγ</w:t>
      </w:r>
      <w:r w:rsidR="00FF46A3">
        <w:rPr>
          <w:rFonts w:eastAsia="Times New Roman"/>
        </w:rPr>
        <w:t xml:space="preserve"> – </w:t>
      </w:r>
      <w:r w:rsidR="00FF46A3" w:rsidRPr="00BD0E44">
        <w:rPr>
          <w:rFonts w:eastAsia="Times New Roman"/>
        </w:rPr>
        <w:t>интерферон гамма</w:t>
      </w:r>
    </w:p>
    <w:p w14:paraId="7E76BB27" w14:textId="77777777" w:rsidR="007B2017" w:rsidRDefault="007B2017" w:rsidP="00BD0E44">
      <w:pPr>
        <w:rPr>
          <w:rFonts w:eastAsia="Times New Roman"/>
        </w:rPr>
      </w:pPr>
      <w:r>
        <w:rPr>
          <w:rFonts w:eastAsia="Times New Roman"/>
        </w:rPr>
        <w:t>КИ – клинические исследования</w:t>
      </w:r>
    </w:p>
    <w:p w14:paraId="5E82447F" w14:textId="36C353E8" w:rsidR="00BD0E44" w:rsidRPr="00BD0E44" w:rsidRDefault="00BD0E44" w:rsidP="00BD0E44">
      <w:pPr>
        <w:rPr>
          <w:rFonts w:eastAsia="Times New Roman"/>
        </w:rPr>
      </w:pPr>
      <w:r w:rsidRPr="00BD0E44">
        <w:rPr>
          <w:rFonts w:eastAsia="Times New Roman"/>
        </w:rPr>
        <w:t>КМ</w:t>
      </w:r>
      <w:r w:rsidR="00FF46A3">
        <w:rPr>
          <w:rFonts w:eastAsia="Times New Roman"/>
        </w:rPr>
        <w:t xml:space="preserve"> – </w:t>
      </w:r>
      <w:r w:rsidR="00FF46A3" w:rsidRPr="00BD0E44">
        <w:rPr>
          <w:rFonts w:eastAsia="Times New Roman"/>
        </w:rPr>
        <w:t>костный мозг</w:t>
      </w:r>
    </w:p>
    <w:p w14:paraId="3525DC06" w14:textId="5EA956BD" w:rsidR="00CC22C1" w:rsidRDefault="00CC22C1" w:rsidP="00CC22C1">
      <w:pPr>
        <w:rPr>
          <w:rFonts w:eastAsia="Times New Roman"/>
        </w:rPr>
      </w:pPr>
      <w:r>
        <w:rPr>
          <w:rFonts w:eastAsia="Times New Roman"/>
        </w:rPr>
        <w:t>КТ – компьютерная томография</w:t>
      </w:r>
    </w:p>
    <w:p w14:paraId="468AB572" w14:textId="2797218A" w:rsidR="00BD0E44" w:rsidRPr="00BD0E44" w:rsidRDefault="00BD0E44" w:rsidP="00BD0E44">
      <w:pPr>
        <w:rPr>
          <w:rFonts w:eastAsia="Times New Roman"/>
        </w:rPr>
      </w:pPr>
      <w:r w:rsidRPr="00BD0E44">
        <w:rPr>
          <w:rFonts w:eastAsia="Times New Roman"/>
        </w:rPr>
        <w:t>ЛДГ</w:t>
      </w:r>
      <w:r w:rsidR="00FF46A3">
        <w:rPr>
          <w:rFonts w:eastAsia="Times New Roman"/>
        </w:rPr>
        <w:t xml:space="preserve"> – </w:t>
      </w:r>
      <w:r w:rsidR="00FF46A3" w:rsidRPr="00BD0E44">
        <w:rPr>
          <w:rFonts w:eastAsia="Times New Roman"/>
        </w:rPr>
        <w:t>лактатдегидрогеназа</w:t>
      </w:r>
    </w:p>
    <w:p w14:paraId="525FB32D" w14:textId="65CC01F9" w:rsidR="00BD0E44" w:rsidRPr="00BD0E44" w:rsidRDefault="00BD0E44" w:rsidP="00BD0E44">
      <w:pPr>
        <w:rPr>
          <w:rFonts w:eastAsia="Times New Roman"/>
        </w:rPr>
      </w:pPr>
      <w:r w:rsidRPr="00BD0E44">
        <w:rPr>
          <w:rFonts w:eastAsia="Times New Roman"/>
        </w:rPr>
        <w:t>МДС</w:t>
      </w:r>
      <w:r w:rsidR="00FF46A3">
        <w:rPr>
          <w:rFonts w:eastAsia="Times New Roman"/>
        </w:rPr>
        <w:t xml:space="preserve"> – </w:t>
      </w:r>
      <w:r w:rsidR="00FF46A3" w:rsidRPr="00BD0E44">
        <w:rPr>
          <w:rFonts w:eastAsia="Times New Roman"/>
        </w:rPr>
        <w:t>миелодиспластический синдром</w:t>
      </w:r>
    </w:p>
    <w:p w14:paraId="3C699A3E" w14:textId="4BE1C257" w:rsidR="00BD0E44" w:rsidRPr="00BD0E44" w:rsidRDefault="00BD0E44" w:rsidP="00BD0E44">
      <w:pPr>
        <w:rPr>
          <w:rFonts w:eastAsia="Times New Roman"/>
        </w:rPr>
      </w:pPr>
      <w:r w:rsidRPr="00BD0E44">
        <w:rPr>
          <w:rFonts w:eastAsia="Times New Roman"/>
        </w:rPr>
        <w:t>МонАТ</w:t>
      </w:r>
      <w:r w:rsidR="00FF46A3">
        <w:rPr>
          <w:rFonts w:eastAsia="Times New Roman"/>
        </w:rPr>
        <w:t xml:space="preserve"> – </w:t>
      </w:r>
      <w:r w:rsidR="00FF46A3" w:rsidRPr="00BD0E44">
        <w:rPr>
          <w:rFonts w:eastAsia="Times New Roman"/>
        </w:rPr>
        <w:t>моноклональные антитела</w:t>
      </w:r>
    </w:p>
    <w:p w14:paraId="343B9ACB" w14:textId="382BEF19" w:rsidR="00FF46A3" w:rsidRDefault="00BD0E44" w:rsidP="00FF46A3">
      <w:pPr>
        <w:rPr>
          <w:rFonts w:eastAsia="Times New Roman"/>
        </w:rPr>
      </w:pPr>
      <w:r w:rsidRPr="00BD0E44">
        <w:rPr>
          <w:rFonts w:eastAsia="Times New Roman"/>
        </w:rPr>
        <w:t>НАА</w:t>
      </w:r>
      <w:r w:rsidR="00FF46A3">
        <w:rPr>
          <w:rFonts w:eastAsia="Times New Roman"/>
        </w:rPr>
        <w:t xml:space="preserve"> – </w:t>
      </w:r>
      <w:r w:rsidR="00FF46A3" w:rsidRPr="00BD0E44">
        <w:rPr>
          <w:rFonts w:eastAsia="Times New Roman"/>
        </w:rPr>
        <w:t>нетяжелая апластическая анемия</w:t>
      </w:r>
    </w:p>
    <w:p w14:paraId="05F1ACC8" w14:textId="6E27FF67" w:rsidR="00BD0E44" w:rsidRDefault="00BD0E44" w:rsidP="00BD0E44">
      <w:pPr>
        <w:rPr>
          <w:rFonts w:eastAsia="Times New Roman"/>
        </w:rPr>
      </w:pPr>
      <w:r w:rsidRPr="00BD0E44">
        <w:rPr>
          <w:rFonts w:eastAsia="Times New Roman"/>
        </w:rPr>
        <w:t>ПНГ</w:t>
      </w:r>
      <w:r w:rsidR="00FF46A3">
        <w:rPr>
          <w:rFonts w:eastAsia="Times New Roman"/>
        </w:rPr>
        <w:t xml:space="preserve"> – </w:t>
      </w:r>
      <w:r w:rsidR="00FF46A3" w:rsidRPr="00BD0E44">
        <w:rPr>
          <w:rFonts w:eastAsia="Times New Roman"/>
        </w:rPr>
        <w:t>пароксизмальная ночная гемоглобинурия</w:t>
      </w:r>
    </w:p>
    <w:p w14:paraId="6B44F66B" w14:textId="26354A6D" w:rsidR="00C27878" w:rsidRPr="00BD0E44" w:rsidRDefault="00C27878" w:rsidP="00BD0E44">
      <w:pPr>
        <w:rPr>
          <w:rFonts w:eastAsia="Times New Roman"/>
        </w:rPr>
      </w:pPr>
      <w:r w:rsidRPr="00EC4E2F">
        <w:rPr>
          <w:rFonts w:eastAsia="Times New Roman"/>
        </w:rPr>
        <w:t>ОМЛ</w:t>
      </w:r>
      <w:r w:rsidR="00FF46A3">
        <w:rPr>
          <w:rFonts w:eastAsia="Times New Roman"/>
        </w:rPr>
        <w:t xml:space="preserve"> – </w:t>
      </w:r>
      <w:r w:rsidR="00FF46A3" w:rsidRPr="00FF46A3">
        <w:rPr>
          <w:rFonts w:eastAsia="Times New Roman"/>
        </w:rPr>
        <w:t>острый миелобластный лейкоз</w:t>
      </w:r>
    </w:p>
    <w:p w14:paraId="237E2A28" w14:textId="3A2AD196" w:rsidR="00BD0E44" w:rsidRDefault="00BD0E44" w:rsidP="00BD0E44">
      <w:pPr>
        <w:rPr>
          <w:rFonts w:eastAsia="Times New Roman"/>
        </w:rPr>
      </w:pPr>
      <w:r w:rsidRPr="00BD0E44">
        <w:rPr>
          <w:rFonts w:eastAsia="Times New Roman"/>
        </w:rPr>
        <w:t>ПР</w:t>
      </w:r>
      <w:r w:rsidR="00FF46A3">
        <w:rPr>
          <w:rFonts w:eastAsia="Times New Roman"/>
        </w:rPr>
        <w:t xml:space="preserve"> – </w:t>
      </w:r>
      <w:r w:rsidR="00FF46A3" w:rsidRPr="00BD0E44">
        <w:rPr>
          <w:rFonts w:eastAsia="Times New Roman"/>
        </w:rPr>
        <w:t>полная ремиссия</w:t>
      </w:r>
    </w:p>
    <w:p w14:paraId="230268CC" w14:textId="44F0CB5A" w:rsidR="005319F6" w:rsidRPr="00BD0E44" w:rsidRDefault="005319F6" w:rsidP="00BD0E44">
      <w:pPr>
        <w:rPr>
          <w:rFonts w:eastAsia="Times New Roman"/>
        </w:rPr>
      </w:pPr>
      <w:r w:rsidRPr="00FF46A3">
        <w:rPr>
          <w:rFonts w:eastAsia="Times New Roman"/>
        </w:rPr>
        <w:lastRenderedPageBreak/>
        <w:t>ПТИ</w:t>
      </w:r>
      <w:r w:rsidR="00FF46A3" w:rsidRPr="00FF46A3">
        <w:rPr>
          <w:rFonts w:eastAsia="Times New Roman"/>
        </w:rPr>
        <w:t xml:space="preserve"> – протромбиновый индекс</w:t>
      </w:r>
    </w:p>
    <w:p w14:paraId="3A240E88" w14:textId="63F45860" w:rsidR="00BD0E44" w:rsidRPr="00BD0E44" w:rsidRDefault="00BD0E44" w:rsidP="00BD0E44">
      <w:pPr>
        <w:rPr>
          <w:rFonts w:eastAsia="Times New Roman"/>
        </w:rPr>
      </w:pPr>
      <w:r w:rsidRPr="00BD0E44">
        <w:rPr>
          <w:rFonts w:eastAsia="Times New Roman"/>
        </w:rPr>
        <w:t>СТАА</w:t>
      </w:r>
      <w:r w:rsidR="00FF46A3">
        <w:rPr>
          <w:rFonts w:eastAsia="Times New Roman"/>
        </w:rPr>
        <w:t xml:space="preserve"> – </w:t>
      </w:r>
      <w:r w:rsidR="00FF46A3" w:rsidRPr="00BD0E44">
        <w:rPr>
          <w:rFonts w:eastAsia="Times New Roman"/>
        </w:rPr>
        <w:t>сверхтяжелая апластическая анемия</w:t>
      </w:r>
    </w:p>
    <w:p w14:paraId="144E549F" w14:textId="677B5DF1" w:rsidR="00BD0E44" w:rsidRPr="00BD0E44" w:rsidRDefault="00BD0E44" w:rsidP="00BD0E44">
      <w:pPr>
        <w:rPr>
          <w:rFonts w:eastAsia="Times New Roman"/>
        </w:rPr>
      </w:pPr>
      <w:r w:rsidRPr="00BD0E44">
        <w:rPr>
          <w:rFonts w:eastAsia="Times New Roman"/>
        </w:rPr>
        <w:t>СКК</w:t>
      </w:r>
      <w:r w:rsidR="00FF46A3">
        <w:rPr>
          <w:rFonts w:eastAsia="Times New Roman"/>
        </w:rPr>
        <w:t xml:space="preserve"> – </w:t>
      </w:r>
      <w:r w:rsidR="00FF46A3" w:rsidRPr="00BD0E44">
        <w:rPr>
          <w:rFonts w:eastAsia="Times New Roman"/>
        </w:rPr>
        <w:t>стволовая кроветворная клетка</w:t>
      </w:r>
    </w:p>
    <w:p w14:paraId="1C1109BE" w14:textId="44F93DE9" w:rsidR="00BD0E44" w:rsidRPr="00BD0E44" w:rsidRDefault="00BD0E44" w:rsidP="00BD0E44">
      <w:pPr>
        <w:rPr>
          <w:rFonts w:eastAsia="Times New Roman"/>
        </w:rPr>
      </w:pPr>
      <w:r w:rsidRPr="00BD0E44">
        <w:rPr>
          <w:rFonts w:eastAsia="Times New Roman"/>
        </w:rPr>
        <w:t>ТАА</w:t>
      </w:r>
      <w:r w:rsidR="00FF46A3">
        <w:rPr>
          <w:rFonts w:eastAsia="Times New Roman"/>
        </w:rPr>
        <w:t xml:space="preserve"> – </w:t>
      </w:r>
      <w:r w:rsidR="00FF46A3" w:rsidRPr="00BD0E44">
        <w:rPr>
          <w:rFonts w:eastAsia="Times New Roman"/>
        </w:rPr>
        <w:t>тяжелая апластическая анемия</w:t>
      </w:r>
    </w:p>
    <w:p w14:paraId="54AF776B" w14:textId="1CA29CE6" w:rsidR="00BD0E44" w:rsidRDefault="00BD0E44" w:rsidP="00BD0E44">
      <w:pPr>
        <w:rPr>
          <w:rFonts w:eastAsia="Times New Roman"/>
        </w:rPr>
      </w:pPr>
      <w:r w:rsidRPr="00BD0E44">
        <w:rPr>
          <w:rFonts w:eastAsia="Times New Roman"/>
        </w:rPr>
        <w:t>Т</w:t>
      </w:r>
      <w:r w:rsidR="00F11F75">
        <w:rPr>
          <w:rFonts w:eastAsia="Times New Roman"/>
        </w:rPr>
        <w:t>ГСК</w:t>
      </w:r>
      <w:r w:rsidR="00FF46A3">
        <w:rPr>
          <w:rFonts w:eastAsia="Times New Roman"/>
        </w:rPr>
        <w:t xml:space="preserve"> – </w:t>
      </w:r>
      <w:r w:rsidR="00FF46A3" w:rsidRPr="00BD0E44">
        <w:rPr>
          <w:rFonts w:eastAsia="Times New Roman"/>
        </w:rPr>
        <w:t xml:space="preserve">трансплантация </w:t>
      </w:r>
      <w:r w:rsidR="00F11F75">
        <w:rPr>
          <w:rFonts w:eastAsia="Times New Roman"/>
        </w:rPr>
        <w:t>гемопоэтическ</w:t>
      </w:r>
      <w:r w:rsidR="006365A8">
        <w:rPr>
          <w:rFonts w:eastAsia="Times New Roman"/>
        </w:rPr>
        <w:t>их стволовых клеток</w:t>
      </w:r>
    </w:p>
    <w:p w14:paraId="0161D760" w14:textId="64A7C93C" w:rsidR="00D44BE0" w:rsidRPr="00D44BE0" w:rsidRDefault="00D44BE0" w:rsidP="00BD0E44">
      <w:pPr>
        <w:rPr>
          <w:rFonts w:eastAsia="Times New Roman"/>
        </w:rPr>
      </w:pPr>
      <w:r>
        <w:rPr>
          <w:rFonts w:eastAsia="Times New Roman"/>
        </w:rPr>
        <w:t>УДД – уровень достоверности доказательств</w:t>
      </w:r>
    </w:p>
    <w:p w14:paraId="63CFF6F7" w14:textId="13DFEF99" w:rsidR="00CC22C1" w:rsidRDefault="00CC22C1" w:rsidP="00BD0E44">
      <w:pPr>
        <w:rPr>
          <w:rFonts w:eastAsia="Times New Roman"/>
        </w:rPr>
      </w:pPr>
      <w:r>
        <w:rPr>
          <w:rFonts w:eastAsia="Times New Roman"/>
        </w:rPr>
        <w:t>УЗИ – ультразвуковое исследование</w:t>
      </w:r>
    </w:p>
    <w:p w14:paraId="10F76A2C" w14:textId="192BCB09" w:rsidR="00D44BE0" w:rsidRPr="00BD0E44" w:rsidRDefault="00D44BE0" w:rsidP="00BD0E44">
      <w:pPr>
        <w:rPr>
          <w:rFonts w:eastAsia="Times New Roman"/>
        </w:rPr>
      </w:pPr>
      <w:r>
        <w:rPr>
          <w:rFonts w:eastAsia="Times New Roman"/>
        </w:rPr>
        <w:t>УУР – уровень убедительности рекомендаций</w:t>
      </w:r>
    </w:p>
    <w:p w14:paraId="6A8522F4" w14:textId="003E4886" w:rsidR="00BD0E44" w:rsidRPr="00BD0E44" w:rsidRDefault="00BD0E44" w:rsidP="00BD0E44">
      <w:pPr>
        <w:rPr>
          <w:rFonts w:eastAsia="Times New Roman"/>
        </w:rPr>
      </w:pPr>
      <w:r w:rsidRPr="00BD0E44">
        <w:rPr>
          <w:rFonts w:eastAsia="Times New Roman"/>
        </w:rPr>
        <w:t>ФНОα</w:t>
      </w:r>
      <w:r w:rsidR="00FF46A3">
        <w:rPr>
          <w:rFonts w:eastAsia="Times New Roman"/>
        </w:rPr>
        <w:t xml:space="preserve"> – </w:t>
      </w:r>
      <w:r w:rsidR="00FF46A3" w:rsidRPr="00BD0E44">
        <w:rPr>
          <w:rFonts w:eastAsia="Times New Roman"/>
        </w:rPr>
        <w:t>фактор некроза опухоли α</w:t>
      </w:r>
    </w:p>
    <w:p w14:paraId="16C50458" w14:textId="1F446F46" w:rsidR="00310EDA" w:rsidRPr="00BD0E44" w:rsidRDefault="008C14FB" w:rsidP="00BD0E44">
      <w:pPr>
        <w:rPr>
          <w:rFonts w:eastAsia="Times New Roman"/>
        </w:rPr>
      </w:pPr>
      <w:r>
        <w:rPr>
          <w:rFonts w:eastAsia="Times New Roman"/>
        </w:rPr>
        <w:t>Цс</w:t>
      </w:r>
      <w:r w:rsidR="00FF46A3">
        <w:rPr>
          <w:rFonts w:eastAsia="Times New Roman"/>
        </w:rPr>
        <w:t xml:space="preserve"> </w:t>
      </w:r>
      <w:r w:rsidR="00CC22C1">
        <w:rPr>
          <w:rFonts w:eastAsia="Times New Roman"/>
        </w:rPr>
        <w:t>–</w:t>
      </w:r>
      <w:r w:rsidR="00FF46A3">
        <w:rPr>
          <w:rFonts w:eastAsia="Times New Roman"/>
        </w:rPr>
        <w:t xml:space="preserve"> </w:t>
      </w:r>
      <w:r w:rsidR="00FF46A3" w:rsidRPr="00BD0E44">
        <w:rPr>
          <w:rFonts w:eastAsia="Times New Roman"/>
        </w:rPr>
        <w:t>циклос</w:t>
      </w:r>
      <w:r w:rsidR="00FF46A3">
        <w:rPr>
          <w:rFonts w:eastAsia="Times New Roman"/>
        </w:rPr>
        <w:t>п</w:t>
      </w:r>
      <w:r>
        <w:rPr>
          <w:rFonts w:eastAsia="Times New Roman"/>
        </w:rPr>
        <w:t>орин</w:t>
      </w:r>
    </w:p>
    <w:p w14:paraId="1F53331F" w14:textId="411D6454" w:rsidR="00BD0E44" w:rsidRPr="00BD0E44" w:rsidRDefault="00BD0E44" w:rsidP="00BD0E44">
      <w:pPr>
        <w:rPr>
          <w:rFonts w:eastAsia="Times New Roman"/>
        </w:rPr>
      </w:pPr>
      <w:r w:rsidRPr="00BD0E44">
        <w:rPr>
          <w:rFonts w:eastAsia="Times New Roman"/>
        </w:rPr>
        <w:t>ЧР</w:t>
      </w:r>
      <w:r w:rsidR="00CC22C1">
        <w:rPr>
          <w:rFonts w:eastAsia="Times New Roman"/>
        </w:rPr>
        <w:t xml:space="preserve"> – </w:t>
      </w:r>
      <w:r w:rsidR="00CC22C1" w:rsidRPr="00BD0E44">
        <w:rPr>
          <w:rFonts w:eastAsia="Times New Roman"/>
        </w:rPr>
        <w:t>частичная ремиссия</w:t>
      </w:r>
    </w:p>
    <w:p w14:paraId="3CD2447F" w14:textId="3674C5A0" w:rsidR="006C4406" w:rsidRDefault="006C4406" w:rsidP="006C4406">
      <w:pPr>
        <w:rPr>
          <w:rFonts w:eastAsia="Times New Roman"/>
        </w:rPr>
      </w:pPr>
      <w:r>
        <w:rPr>
          <w:rFonts w:eastAsia="Times New Roman"/>
        </w:rPr>
        <w:t>ЭКГ</w:t>
      </w:r>
      <w:r w:rsidR="00CC22C1">
        <w:rPr>
          <w:rFonts w:eastAsia="Times New Roman"/>
        </w:rPr>
        <w:t xml:space="preserve"> – электрокардиография</w:t>
      </w:r>
    </w:p>
    <w:p w14:paraId="38CE668A" w14:textId="2EA39F6F" w:rsidR="00CC22C1" w:rsidRDefault="00CC22C1" w:rsidP="006C4406">
      <w:pPr>
        <w:rPr>
          <w:rFonts w:eastAsia="Times New Roman"/>
        </w:rPr>
      </w:pPr>
      <w:r>
        <w:rPr>
          <w:rFonts w:eastAsia="Times New Roman"/>
        </w:rPr>
        <w:t>ЭхоКГ – эхокардиография</w:t>
      </w:r>
    </w:p>
    <w:p w14:paraId="2677B317" w14:textId="5964FF0B" w:rsidR="00CC22C1" w:rsidRPr="00BD0E44" w:rsidRDefault="00BD0E44" w:rsidP="00CC22C1">
      <w:pPr>
        <w:rPr>
          <w:rFonts w:eastAsia="Times New Roman"/>
        </w:rPr>
      </w:pPr>
      <w:r w:rsidRPr="00BD0E44">
        <w:rPr>
          <w:rFonts w:eastAsia="Times New Roman"/>
        </w:rPr>
        <w:t>CD</w:t>
      </w:r>
      <w:r w:rsidR="00CC22C1">
        <w:rPr>
          <w:rFonts w:eastAsia="Times New Roman"/>
        </w:rPr>
        <w:t xml:space="preserve"> – </w:t>
      </w:r>
      <w:r w:rsidR="00CC22C1" w:rsidRPr="00BD0E44">
        <w:rPr>
          <w:rFonts w:eastAsia="Times New Roman"/>
        </w:rPr>
        <w:t>кластеры дифференцировки</w:t>
      </w:r>
    </w:p>
    <w:p w14:paraId="17B0AE1E" w14:textId="4C71F1C3" w:rsidR="00BD0E44" w:rsidRPr="00BD0E44" w:rsidRDefault="00BD0E44" w:rsidP="00BD0E44">
      <w:pPr>
        <w:rPr>
          <w:rFonts w:eastAsia="Times New Roman"/>
        </w:rPr>
      </w:pPr>
      <w:r w:rsidRPr="00BD0E44">
        <w:rPr>
          <w:rFonts w:eastAsia="Times New Roman"/>
        </w:rPr>
        <w:t>HLA</w:t>
      </w:r>
      <w:r w:rsidR="00CC22C1">
        <w:rPr>
          <w:rFonts w:eastAsia="Times New Roman"/>
        </w:rPr>
        <w:t xml:space="preserve"> – </w:t>
      </w:r>
      <w:r w:rsidR="00CC22C1" w:rsidRPr="00BD0E44">
        <w:rPr>
          <w:rFonts w:eastAsia="Times New Roman"/>
        </w:rPr>
        <w:t>человеческие лейкоцитарные антигены</w:t>
      </w:r>
    </w:p>
    <w:p w14:paraId="701469F2" w14:textId="37EF6F7B" w:rsidR="00BD0E44" w:rsidRPr="009D260D" w:rsidRDefault="00BD0E44" w:rsidP="00BD0E44">
      <w:pPr>
        <w:rPr>
          <w:rFonts w:eastAsia="Times New Roman"/>
        </w:rPr>
      </w:pPr>
      <w:r w:rsidRPr="00CC22C1">
        <w:rPr>
          <w:rFonts w:eastAsia="Times New Roman"/>
          <w:lang w:val="en-US"/>
        </w:rPr>
        <w:t>PIG</w:t>
      </w:r>
      <w:r w:rsidRPr="009D260D">
        <w:rPr>
          <w:rFonts w:eastAsia="Times New Roman"/>
        </w:rPr>
        <w:t>-</w:t>
      </w:r>
      <w:r w:rsidRPr="00CC22C1">
        <w:rPr>
          <w:rFonts w:eastAsia="Times New Roman"/>
          <w:lang w:val="en-US"/>
        </w:rPr>
        <w:t>A</w:t>
      </w:r>
      <w:r w:rsidR="00CC22C1" w:rsidRPr="009D260D">
        <w:rPr>
          <w:rFonts w:eastAsia="Times New Roman"/>
        </w:rPr>
        <w:t xml:space="preserve"> – </w:t>
      </w:r>
      <w:r w:rsidR="00CC22C1" w:rsidRPr="00BD0E44">
        <w:rPr>
          <w:rFonts w:eastAsia="Times New Roman"/>
        </w:rPr>
        <w:t>фосфатидилинозитолфосфат</w:t>
      </w:r>
      <w:r w:rsidR="00CC22C1" w:rsidRPr="009D260D">
        <w:rPr>
          <w:rFonts w:eastAsia="Times New Roman"/>
        </w:rPr>
        <w:t xml:space="preserve"> </w:t>
      </w:r>
      <w:r w:rsidR="00CC22C1" w:rsidRPr="00CC22C1">
        <w:rPr>
          <w:rFonts w:eastAsia="Times New Roman"/>
          <w:lang w:val="en-US"/>
        </w:rPr>
        <w:t>A</w:t>
      </w:r>
    </w:p>
    <w:p w14:paraId="5A3159D4" w14:textId="059B2C48" w:rsidR="00BD0E44" w:rsidRPr="00CC22C1" w:rsidRDefault="00BD0E44" w:rsidP="00BD0E44">
      <w:pPr>
        <w:rPr>
          <w:rFonts w:eastAsia="Times New Roman"/>
        </w:rPr>
      </w:pPr>
      <w:r w:rsidRPr="00CC22C1">
        <w:rPr>
          <w:rFonts w:eastAsia="Times New Roman"/>
          <w:lang w:val="en-US"/>
        </w:rPr>
        <w:t>Th</w:t>
      </w:r>
      <w:r w:rsidR="00CC22C1" w:rsidRPr="00CC22C1">
        <w:rPr>
          <w:rFonts w:eastAsia="Times New Roman"/>
        </w:rPr>
        <w:t xml:space="preserve"> –</w:t>
      </w:r>
      <w:r w:rsidR="00CC22C1">
        <w:rPr>
          <w:rFonts w:eastAsia="Times New Roman"/>
        </w:rPr>
        <w:t xml:space="preserve"> </w:t>
      </w:r>
      <w:r w:rsidR="00CC22C1" w:rsidRPr="00BD0E44">
        <w:rPr>
          <w:rFonts w:eastAsia="Times New Roman"/>
        </w:rPr>
        <w:t>Т-хелперы</w:t>
      </w:r>
    </w:p>
    <w:p w14:paraId="32501007" w14:textId="62A7597E" w:rsidR="00BD0E44" w:rsidRPr="00BD0E44" w:rsidRDefault="00BD0E44" w:rsidP="00BD0E44">
      <w:pPr>
        <w:rPr>
          <w:rFonts w:eastAsia="Times New Roman"/>
        </w:rPr>
      </w:pPr>
      <w:r w:rsidRPr="00BD0E44">
        <w:rPr>
          <w:rFonts w:eastAsia="Times New Roman"/>
        </w:rPr>
        <w:t>Treg</w:t>
      </w:r>
      <w:r w:rsidR="00CC22C1">
        <w:rPr>
          <w:rFonts w:eastAsia="Times New Roman"/>
        </w:rPr>
        <w:t xml:space="preserve"> – </w:t>
      </w:r>
      <w:r w:rsidR="00CC22C1" w:rsidRPr="00BD0E44">
        <w:rPr>
          <w:rFonts w:eastAsia="Times New Roman"/>
        </w:rPr>
        <w:t>Т-регуляторные клетки</w:t>
      </w:r>
    </w:p>
    <w:p w14:paraId="5D3143DE" w14:textId="23E11B92" w:rsidR="00BD0E44" w:rsidRDefault="00BD0E44" w:rsidP="00BD0E44">
      <w:pPr>
        <w:rPr>
          <w:rFonts w:eastAsia="Times New Roman"/>
        </w:rPr>
      </w:pPr>
      <w:r w:rsidRPr="00BD0E44">
        <w:rPr>
          <w:rFonts w:eastAsia="Times New Roman"/>
        </w:rPr>
        <w:t>NK</w:t>
      </w:r>
      <w:r w:rsidR="00CC22C1">
        <w:rPr>
          <w:rFonts w:eastAsia="Times New Roman"/>
        </w:rPr>
        <w:t xml:space="preserve"> – </w:t>
      </w:r>
      <w:r w:rsidR="00CC22C1" w:rsidRPr="00BD0E44">
        <w:rPr>
          <w:rFonts w:eastAsia="Times New Roman"/>
        </w:rPr>
        <w:t>натуральные киллеры</w:t>
      </w:r>
    </w:p>
    <w:p w14:paraId="1ABFA1E0" w14:textId="6FC70629" w:rsidR="00401119" w:rsidRPr="00FD02E8" w:rsidRDefault="00401119" w:rsidP="00BD0E44">
      <w:pPr>
        <w:rPr>
          <w:rFonts w:eastAsia="Times New Roman"/>
        </w:rPr>
      </w:pPr>
      <w:r>
        <w:rPr>
          <w:rFonts w:eastAsia="Times New Roman"/>
          <w:lang w:val="en-US"/>
        </w:rPr>
        <w:t>FISH</w:t>
      </w:r>
      <w:r w:rsidR="00FD02E8">
        <w:rPr>
          <w:rFonts w:eastAsia="Times New Roman"/>
        </w:rPr>
        <w:t xml:space="preserve"> – флуоресцентная гибридизация </w:t>
      </w:r>
      <w:r w:rsidR="00FD02E8">
        <w:rPr>
          <w:rFonts w:eastAsia="Times New Roman"/>
          <w:lang w:val="en-US"/>
        </w:rPr>
        <w:t>in</w:t>
      </w:r>
      <w:r w:rsidR="00FD02E8" w:rsidRPr="00FD02E8">
        <w:rPr>
          <w:rFonts w:eastAsia="Times New Roman"/>
        </w:rPr>
        <w:t xml:space="preserve"> </w:t>
      </w:r>
      <w:r w:rsidR="00FD02E8">
        <w:rPr>
          <w:rFonts w:eastAsia="Times New Roman"/>
          <w:lang w:val="en-US"/>
        </w:rPr>
        <w:t>situ</w:t>
      </w:r>
    </w:p>
    <w:p w14:paraId="7B30D698" w14:textId="77777777" w:rsidR="005319F6" w:rsidRPr="00BD0E44" w:rsidRDefault="005319F6" w:rsidP="00BD0E44">
      <w:pPr>
        <w:rPr>
          <w:rFonts w:eastAsia="Times New Roman"/>
        </w:rPr>
      </w:pPr>
    </w:p>
    <w:p w14:paraId="3548C8D3" w14:textId="4054AE3C" w:rsidR="00BD0E44" w:rsidRPr="00BD0E44" w:rsidRDefault="00BD0E44" w:rsidP="00BD0E44">
      <w:pPr>
        <w:rPr>
          <w:rFonts w:eastAsia="Times New Roman"/>
        </w:rPr>
      </w:pPr>
    </w:p>
    <w:p w14:paraId="444D0960" w14:textId="2F599733" w:rsidR="00BD0E44" w:rsidRPr="00BD0E44" w:rsidRDefault="00BD0E44" w:rsidP="00BD0E44">
      <w:pPr>
        <w:rPr>
          <w:rFonts w:eastAsia="Times New Roman"/>
        </w:rPr>
      </w:pPr>
    </w:p>
    <w:p w14:paraId="5A6D8B57" w14:textId="09E07C2A" w:rsidR="00BD0E44" w:rsidRPr="00BD0E44" w:rsidRDefault="00BD0E44" w:rsidP="00BD0E44">
      <w:pPr>
        <w:rPr>
          <w:rFonts w:eastAsia="Times New Roman"/>
        </w:rPr>
      </w:pPr>
    </w:p>
    <w:p w14:paraId="37877A7F" w14:textId="1517AD76" w:rsidR="00BD0E44" w:rsidRPr="00BD0E44" w:rsidRDefault="00BD0E44" w:rsidP="00BD0E44">
      <w:pPr>
        <w:rPr>
          <w:rFonts w:eastAsia="Times New Roman"/>
        </w:rPr>
      </w:pPr>
    </w:p>
    <w:p w14:paraId="63733792" w14:textId="0100B6BF" w:rsidR="00BD0E44" w:rsidRPr="00BD0E44" w:rsidRDefault="00BD0E44" w:rsidP="00BD0E44">
      <w:pPr>
        <w:rPr>
          <w:rFonts w:eastAsia="Times New Roman"/>
        </w:rPr>
      </w:pPr>
    </w:p>
    <w:p w14:paraId="5627C949" w14:textId="7B612CDD" w:rsidR="00BD0E44" w:rsidRPr="00BD0E44" w:rsidRDefault="00BD0E44" w:rsidP="00BD0E44">
      <w:pPr>
        <w:rPr>
          <w:rFonts w:eastAsia="Times New Roman"/>
        </w:rPr>
      </w:pPr>
    </w:p>
    <w:p w14:paraId="4F61C8EA" w14:textId="5185108E" w:rsidR="00BD0E44" w:rsidRPr="00BD0E44" w:rsidRDefault="00BD0E44" w:rsidP="00BD0E44">
      <w:pPr>
        <w:rPr>
          <w:rFonts w:eastAsia="Times New Roman"/>
        </w:rPr>
      </w:pPr>
    </w:p>
    <w:p w14:paraId="6C0517A5" w14:textId="77777777" w:rsidR="006C4406" w:rsidRDefault="006C4406" w:rsidP="00BD0E44">
      <w:pPr>
        <w:rPr>
          <w:rFonts w:eastAsia="Times New Roman"/>
        </w:rPr>
      </w:pPr>
    </w:p>
    <w:p w14:paraId="55B3B583" w14:textId="17EB7CA4" w:rsidR="00BD0E44" w:rsidRPr="00BD0E44" w:rsidRDefault="00BD0E44" w:rsidP="00BD0E44">
      <w:pPr>
        <w:rPr>
          <w:rFonts w:eastAsia="Times New Roman"/>
        </w:rPr>
      </w:pPr>
    </w:p>
    <w:p w14:paraId="6A473708" w14:textId="6048592D" w:rsidR="00BD0E44" w:rsidRPr="00BD0E44" w:rsidRDefault="00BD0E44" w:rsidP="00BD0E44">
      <w:pPr>
        <w:rPr>
          <w:rFonts w:eastAsia="Times New Roman"/>
        </w:rPr>
      </w:pPr>
    </w:p>
    <w:p w14:paraId="491722F2" w14:textId="2DC9A917" w:rsidR="00BD0E44" w:rsidRDefault="00BD0E44" w:rsidP="00BD0E44">
      <w:pPr>
        <w:rPr>
          <w:rFonts w:eastAsia="Times New Roman"/>
        </w:rPr>
      </w:pPr>
    </w:p>
    <w:p w14:paraId="2C689433" w14:textId="430A2EE3" w:rsidR="00CC22C1" w:rsidRDefault="00CC22C1" w:rsidP="00BD0E44">
      <w:pPr>
        <w:rPr>
          <w:rFonts w:eastAsia="Times New Roman"/>
        </w:rPr>
      </w:pPr>
    </w:p>
    <w:p w14:paraId="78B58371" w14:textId="6680831B" w:rsidR="00CC22C1" w:rsidRDefault="00CC22C1" w:rsidP="00BD0E44">
      <w:pPr>
        <w:rPr>
          <w:rFonts w:eastAsia="Times New Roman"/>
        </w:rPr>
      </w:pPr>
    </w:p>
    <w:p w14:paraId="6B3282CA" w14:textId="0BD07360" w:rsidR="00CC22C1" w:rsidRDefault="00CC22C1" w:rsidP="00BD0E44">
      <w:pPr>
        <w:rPr>
          <w:rFonts w:eastAsia="Times New Roman"/>
        </w:rPr>
      </w:pPr>
    </w:p>
    <w:p w14:paraId="56E6E43E" w14:textId="72CF0B77" w:rsidR="00CC22C1" w:rsidRDefault="00CC22C1" w:rsidP="00BD0E44">
      <w:pPr>
        <w:rPr>
          <w:rFonts w:eastAsia="Times New Roman"/>
        </w:rPr>
      </w:pPr>
    </w:p>
    <w:p w14:paraId="0BF7D87B" w14:textId="3E38B116" w:rsidR="00CC22C1" w:rsidRDefault="00CC22C1" w:rsidP="00BD0E44">
      <w:pPr>
        <w:rPr>
          <w:rFonts w:eastAsia="Times New Roman"/>
        </w:rPr>
      </w:pPr>
    </w:p>
    <w:p w14:paraId="1FEE80FF" w14:textId="1BD76E9C" w:rsidR="00CC22C1" w:rsidRDefault="00CC22C1" w:rsidP="00BD0E44">
      <w:pPr>
        <w:rPr>
          <w:rFonts w:eastAsia="Times New Roman"/>
        </w:rPr>
      </w:pPr>
    </w:p>
    <w:p w14:paraId="32BB2473" w14:textId="50721815" w:rsidR="00CC22C1" w:rsidRDefault="00CC22C1" w:rsidP="00BD0E44">
      <w:pPr>
        <w:rPr>
          <w:rFonts w:eastAsia="Times New Roman"/>
        </w:rPr>
      </w:pPr>
    </w:p>
    <w:p w14:paraId="4412C255" w14:textId="1EB61584" w:rsidR="00CC22C1" w:rsidRDefault="00CC22C1" w:rsidP="00BD0E44">
      <w:pPr>
        <w:rPr>
          <w:rFonts w:eastAsia="Times New Roman"/>
        </w:rPr>
      </w:pPr>
    </w:p>
    <w:p w14:paraId="4A642C3D" w14:textId="0001FE59" w:rsidR="00CC22C1" w:rsidRDefault="00CC22C1" w:rsidP="00BD0E44">
      <w:pPr>
        <w:rPr>
          <w:rFonts w:eastAsia="Times New Roman"/>
        </w:rPr>
      </w:pPr>
    </w:p>
    <w:p w14:paraId="67875C2B" w14:textId="4EE7D488" w:rsidR="00CC22C1" w:rsidRDefault="00CC22C1" w:rsidP="00BD0E44">
      <w:pPr>
        <w:rPr>
          <w:rFonts w:eastAsia="Times New Roman"/>
        </w:rPr>
      </w:pPr>
    </w:p>
    <w:p w14:paraId="2ED15739" w14:textId="300BFC2D" w:rsidR="00CC22C1" w:rsidRDefault="00CC22C1" w:rsidP="00BD0E44">
      <w:pPr>
        <w:rPr>
          <w:rFonts w:eastAsia="Times New Roman"/>
        </w:rPr>
      </w:pPr>
    </w:p>
    <w:p w14:paraId="56D6155A" w14:textId="6DFDF0B7" w:rsidR="00CC22C1" w:rsidRDefault="00CC22C1" w:rsidP="00BD0E44">
      <w:pPr>
        <w:rPr>
          <w:rFonts w:eastAsia="Times New Roman"/>
        </w:rPr>
      </w:pPr>
    </w:p>
    <w:p w14:paraId="17A46D1E" w14:textId="33B292B9" w:rsidR="00BD0E44" w:rsidRPr="00BD0E44" w:rsidRDefault="00BD0E44" w:rsidP="00BD0E44">
      <w:pPr>
        <w:rPr>
          <w:rFonts w:eastAsia="Times New Roman"/>
        </w:rPr>
      </w:pPr>
    </w:p>
    <w:p w14:paraId="7D83F672" w14:textId="7EBFBEE7" w:rsidR="002C3C32" w:rsidRPr="004864D4" w:rsidRDefault="00031607" w:rsidP="004864D4">
      <w:pPr>
        <w:pStyle w:val="11"/>
        <w:rPr>
          <w:u w:val="none"/>
        </w:rPr>
      </w:pPr>
      <w:bookmarkStart w:id="3" w:name="_Toc67522219"/>
      <w:r w:rsidRPr="004864D4">
        <w:rPr>
          <w:szCs w:val="28"/>
          <w:u w:val="none"/>
        </w:rPr>
        <w:t>Термины и определения</w:t>
      </w:r>
      <w:bookmarkEnd w:id="3"/>
    </w:p>
    <w:p w14:paraId="42B5D31C" w14:textId="77777777" w:rsidR="003B414C" w:rsidRDefault="00031607" w:rsidP="003B414C">
      <w:pPr>
        <w:pStyle w:val="afd"/>
        <w:spacing w:afterAutospacing="0" w:line="360" w:lineRule="auto"/>
        <w:ind w:firstLine="709"/>
        <w:contextualSpacing/>
      </w:pPr>
      <w:r>
        <w:rPr>
          <w:rStyle w:val="affa"/>
        </w:rPr>
        <w:t xml:space="preserve">Апластическая анемия (АА) – </w:t>
      </w:r>
      <w:r>
        <w:t>заболевание системы крови, характеризующееся панцитопенией, обусловленной аплазией костного мозга, связанной с нарушением иммунных механизмов регуляции кроветворения, количественным дефицитом и функциональными дефектами стволовых кроветворных клеток</w:t>
      </w:r>
    </w:p>
    <w:p w14:paraId="52CDB1C1" w14:textId="76268D66" w:rsidR="003B414C" w:rsidRDefault="00F42A9A" w:rsidP="003B414C">
      <w:pPr>
        <w:pStyle w:val="afd"/>
        <w:spacing w:afterAutospacing="0" w:line="360" w:lineRule="auto"/>
        <w:ind w:firstLine="709"/>
        <w:contextualSpacing/>
      </w:pPr>
      <w:r w:rsidRPr="00F42A9A">
        <w:rPr>
          <w:b/>
        </w:rPr>
        <w:t>Комбинированная иммуносупрессивная терапия</w:t>
      </w:r>
      <w:r>
        <w:rPr>
          <w:b/>
        </w:rPr>
        <w:t xml:space="preserve"> </w:t>
      </w:r>
      <w:r w:rsidR="00E539F7">
        <w:rPr>
          <w:b/>
        </w:rPr>
        <w:t xml:space="preserve">(ИСТ) </w:t>
      </w:r>
      <w:r w:rsidR="00200C54">
        <w:rPr>
          <w:b/>
        </w:rPr>
        <w:t xml:space="preserve">у </w:t>
      </w:r>
      <w:r w:rsidR="005319F6">
        <w:rPr>
          <w:b/>
        </w:rPr>
        <w:t>пациентов с</w:t>
      </w:r>
      <w:r w:rsidRPr="00F42A9A">
        <w:rPr>
          <w:b/>
        </w:rPr>
        <w:t xml:space="preserve"> АА</w:t>
      </w:r>
      <w:r w:rsidRPr="00F42A9A">
        <w:t xml:space="preserve"> проводится по протоколу, включающему </w:t>
      </w:r>
      <w:r w:rsidR="00771049">
        <w:t>иммуноглобулин анти-Т лимфоцитарный животного происхождения для применения у человека</w:t>
      </w:r>
      <w:r w:rsidRPr="00F42A9A">
        <w:t xml:space="preserve"> </w:t>
      </w:r>
      <w:r w:rsidR="00E539F7">
        <w:t>(АТГ)</w:t>
      </w:r>
      <w:r w:rsidR="00A01726">
        <w:t xml:space="preserve">** </w:t>
      </w:r>
      <w:r w:rsidRPr="00F42A9A">
        <w:t>и циклоспорин</w:t>
      </w:r>
      <w:r w:rsidR="00A01726">
        <w:t xml:space="preserve"> (Цс</w:t>
      </w:r>
      <w:r w:rsidR="00E539F7">
        <w:t>)</w:t>
      </w:r>
      <w:r w:rsidR="00A01726">
        <w:t>**</w:t>
      </w:r>
      <w:r w:rsidRPr="00F42A9A">
        <w:t>.</w:t>
      </w:r>
    </w:p>
    <w:p w14:paraId="2144C7FC" w14:textId="35D2CBB1" w:rsidR="003B414C" w:rsidRDefault="005319F6" w:rsidP="003B414C">
      <w:pPr>
        <w:pStyle w:val="afd"/>
        <w:spacing w:afterAutospacing="0" w:line="360" w:lineRule="auto"/>
        <w:ind w:firstLine="709"/>
        <w:contextualSpacing/>
      </w:pPr>
      <w:r>
        <w:rPr>
          <w:b/>
        </w:rPr>
        <w:t>Программное лечение пациентов с</w:t>
      </w:r>
      <w:r w:rsidR="00F42A9A" w:rsidRPr="00F42A9A">
        <w:rPr>
          <w:b/>
        </w:rPr>
        <w:t xml:space="preserve"> </w:t>
      </w:r>
      <w:r w:rsidR="00B941F0">
        <w:rPr>
          <w:b/>
        </w:rPr>
        <w:t>АА</w:t>
      </w:r>
      <w:r w:rsidR="00F42A9A" w:rsidRPr="00F42A9A">
        <w:t xml:space="preserve"> - это комплекс лечебных мероприятий, проводимых поэтапно, начиная с момента диагностики заболевания, осуществляемый в определенном алгоритме, включающий </w:t>
      </w:r>
      <w:r w:rsidR="00B941F0">
        <w:t>АТГ</w:t>
      </w:r>
      <w:r w:rsidR="00A01726">
        <w:t>**</w:t>
      </w:r>
      <w:r w:rsidR="00F42A9A" w:rsidRPr="00F42A9A">
        <w:t xml:space="preserve">, </w:t>
      </w:r>
      <w:r w:rsidR="00A01726">
        <w:t>Цс**</w:t>
      </w:r>
      <w:r w:rsidR="00F42A9A" w:rsidRPr="00F42A9A">
        <w:t xml:space="preserve">, при необходимости — повторные курсы </w:t>
      </w:r>
      <w:r w:rsidR="00B941F0">
        <w:t>АТГ</w:t>
      </w:r>
      <w:r w:rsidR="00D07EC1">
        <w:t xml:space="preserve"> и другие методы </w:t>
      </w:r>
      <w:r w:rsidR="00F42A9A" w:rsidRPr="00F42A9A">
        <w:t>терапии, позволяющи</w:t>
      </w:r>
      <w:r w:rsidR="00B941F0">
        <w:t>е</w:t>
      </w:r>
      <w:r w:rsidR="00F42A9A" w:rsidRPr="00F42A9A">
        <w:t xml:space="preserve"> </w:t>
      </w:r>
      <w:r w:rsidRPr="00F42A9A">
        <w:t>добиться длительной</w:t>
      </w:r>
      <w:r w:rsidR="00F42A9A" w:rsidRPr="00F42A9A">
        <w:t xml:space="preserve"> выживаемости </w:t>
      </w:r>
      <w:r>
        <w:t xml:space="preserve">пациентов. </w:t>
      </w:r>
    </w:p>
    <w:p w14:paraId="2A62520C" w14:textId="5D9A2531" w:rsidR="00EC4E2F" w:rsidRDefault="00031607" w:rsidP="00EC4E2F">
      <w:pPr>
        <w:pStyle w:val="afd"/>
        <w:spacing w:afterAutospacing="0" w:line="360" w:lineRule="auto"/>
        <w:ind w:firstLine="709"/>
        <w:contextualSpacing/>
      </w:pPr>
      <w:r>
        <w:rPr>
          <w:rStyle w:val="affa"/>
        </w:rPr>
        <w:t>Клон пароксизмальной ночной гемоглобинурии (ПНГ-клон)</w:t>
      </w:r>
      <w:r>
        <w:t xml:space="preserve"> – клон стволовой клетки</w:t>
      </w:r>
      <w:r w:rsidR="00E539F7">
        <w:t xml:space="preserve"> крови (</w:t>
      </w:r>
      <w:r w:rsidR="00B941F0">
        <w:t>СКК</w:t>
      </w:r>
      <w:r w:rsidR="00E539F7">
        <w:t>)</w:t>
      </w:r>
      <w:r>
        <w:t xml:space="preserve"> </w:t>
      </w:r>
      <w:r w:rsidR="00F42A9A">
        <w:t xml:space="preserve">с </w:t>
      </w:r>
      <w:r>
        <w:t>мутаци</w:t>
      </w:r>
      <w:r w:rsidR="00F42A9A">
        <w:t>ей</w:t>
      </w:r>
      <w:r>
        <w:t xml:space="preserve"> в </w:t>
      </w:r>
      <w:r>
        <w:rPr>
          <w:rStyle w:val="affb"/>
        </w:rPr>
        <w:t>PIG-A</w:t>
      </w:r>
      <w:r>
        <w:t xml:space="preserve"> гене, приводящей к нарушению синтеза гликозилфосфатидилинозитола</w:t>
      </w:r>
      <w:r w:rsidR="00E539F7">
        <w:t xml:space="preserve"> (</w:t>
      </w:r>
      <w:r w:rsidR="00B941F0">
        <w:t>ГФИ</w:t>
      </w:r>
      <w:r w:rsidR="00E539F7">
        <w:t>)</w:t>
      </w:r>
      <w:r w:rsidR="00683F31">
        <w:t>.</w:t>
      </w:r>
    </w:p>
    <w:p w14:paraId="06F7BA98" w14:textId="6EE1D063" w:rsidR="00BE63F6" w:rsidRPr="006365A8" w:rsidRDefault="00A6084F" w:rsidP="00BE63F6">
      <w:pPr>
        <w:pStyle w:val="afd"/>
        <w:spacing w:afterAutospacing="0" w:line="360" w:lineRule="auto"/>
        <w:ind w:firstLine="709"/>
        <w:contextualSpacing/>
      </w:pPr>
      <w:r w:rsidRPr="006365A8">
        <w:rPr>
          <w:rStyle w:val="affa"/>
        </w:rPr>
        <w:t xml:space="preserve">Ремиссия </w:t>
      </w:r>
      <w:r w:rsidR="00031607" w:rsidRPr="006365A8">
        <w:rPr>
          <w:rStyle w:val="affa"/>
        </w:rPr>
        <w:t>полная</w:t>
      </w:r>
      <w:r w:rsidRPr="006365A8">
        <w:rPr>
          <w:rStyle w:val="affa"/>
        </w:rPr>
        <w:t xml:space="preserve"> </w:t>
      </w:r>
      <w:r w:rsidR="00031607" w:rsidRPr="006365A8">
        <w:t>—</w:t>
      </w:r>
      <w:r w:rsidR="006365A8" w:rsidRPr="006365A8">
        <w:t xml:space="preserve"> полная </w:t>
      </w:r>
      <w:r w:rsidR="00031607" w:rsidRPr="006365A8">
        <w:t>норма</w:t>
      </w:r>
      <w:r w:rsidRPr="006365A8">
        <w:t xml:space="preserve">лизация показателей гемограммы </w:t>
      </w:r>
    </w:p>
    <w:p w14:paraId="5D6D2394" w14:textId="7A0D64D2" w:rsidR="00A6084F" w:rsidRPr="006365A8" w:rsidRDefault="00A6084F" w:rsidP="00A6084F">
      <w:pPr>
        <w:pStyle w:val="afd"/>
        <w:spacing w:afterAutospacing="0" w:line="360" w:lineRule="auto"/>
        <w:ind w:firstLine="709"/>
        <w:contextualSpacing/>
      </w:pPr>
      <w:r w:rsidRPr="006365A8">
        <w:rPr>
          <w:b/>
        </w:rPr>
        <w:t>Ремиссия частичная</w:t>
      </w:r>
      <w:r w:rsidRPr="006365A8">
        <w:t xml:space="preserve"> гемоглобин 90-100,0 г/л, гранулоциты &gt; </w:t>
      </w:r>
      <w:r w:rsidR="006365A8" w:rsidRPr="006365A8">
        <w:t>1,0</w:t>
      </w:r>
      <w:r w:rsidRPr="006365A8">
        <w:t>-1,5 х 10</w:t>
      </w:r>
      <w:r w:rsidRPr="006365A8">
        <w:rPr>
          <w:vertAlign w:val="superscript"/>
        </w:rPr>
        <w:t>9</w:t>
      </w:r>
      <w:r w:rsidRPr="006365A8">
        <w:t>/л, тромбоциты &gt; 100  х 10</w:t>
      </w:r>
      <w:r w:rsidRPr="006365A8">
        <w:rPr>
          <w:vertAlign w:val="superscript"/>
        </w:rPr>
        <w:t>9</w:t>
      </w:r>
      <w:r w:rsidRPr="006365A8">
        <w:t>/л и отсутствие потребности в заместительной терапии компонентами крови.</w:t>
      </w:r>
    </w:p>
    <w:p w14:paraId="6AE069F9" w14:textId="4C66F129" w:rsidR="00BE63F6" w:rsidRPr="006365A8" w:rsidRDefault="00031607" w:rsidP="00BE63F6">
      <w:pPr>
        <w:pStyle w:val="afd"/>
        <w:spacing w:afterAutospacing="0" w:line="360" w:lineRule="auto"/>
        <w:ind w:firstLine="709"/>
        <w:contextualSpacing/>
      </w:pPr>
      <w:r w:rsidRPr="006365A8">
        <w:rPr>
          <w:rStyle w:val="affa"/>
        </w:rPr>
        <w:t>Клинико-гематологическое улучшение</w:t>
      </w:r>
      <w:r w:rsidRPr="006365A8">
        <w:t xml:space="preserve"> </w:t>
      </w:r>
      <w:r w:rsidR="004D571C" w:rsidRPr="006365A8">
        <w:rPr>
          <w:b/>
          <w:bCs/>
        </w:rPr>
        <w:t>(</w:t>
      </w:r>
      <w:r w:rsidR="00A6084F" w:rsidRPr="006365A8">
        <w:rPr>
          <w:b/>
          <w:bCs/>
        </w:rPr>
        <w:t xml:space="preserve">минимальный </w:t>
      </w:r>
      <w:r w:rsidR="004D571C" w:rsidRPr="006365A8">
        <w:rPr>
          <w:b/>
          <w:bCs/>
        </w:rPr>
        <w:t>гематологический ответ)</w:t>
      </w:r>
      <w:r w:rsidR="004D571C" w:rsidRPr="006365A8">
        <w:t xml:space="preserve"> </w:t>
      </w:r>
      <w:r w:rsidRPr="006365A8">
        <w:t>— улучшение пока</w:t>
      </w:r>
      <w:r w:rsidR="00A6084F" w:rsidRPr="006365A8">
        <w:t xml:space="preserve">зателей гемограммы (гемоглобин </w:t>
      </w:r>
      <w:r w:rsidRPr="006365A8">
        <w:t xml:space="preserve"> </w:t>
      </w:r>
      <w:r w:rsidR="00A6084F" w:rsidRPr="006365A8">
        <w:t>7</w:t>
      </w:r>
      <w:r w:rsidRPr="006365A8">
        <w:t>0,0</w:t>
      </w:r>
      <w:r w:rsidR="00A6084F" w:rsidRPr="006365A8">
        <w:t xml:space="preserve"> - 85 г/л, гранулоциты </w:t>
      </w:r>
      <w:r w:rsidR="006365A8" w:rsidRPr="006365A8">
        <w:t>&gt;</w:t>
      </w:r>
      <w:r w:rsidR="00A6084F" w:rsidRPr="006365A8">
        <w:t xml:space="preserve"> </w:t>
      </w:r>
      <w:r w:rsidRPr="006365A8">
        <w:t>0</w:t>
      </w:r>
      <w:r w:rsidR="00A6084F" w:rsidRPr="006365A8">
        <w:t>,5-1,0</w:t>
      </w:r>
      <w:r w:rsidRPr="006365A8">
        <w:t xml:space="preserve"> х 10</w:t>
      </w:r>
      <w:r w:rsidRPr="006365A8">
        <w:rPr>
          <w:vertAlign w:val="superscript"/>
        </w:rPr>
        <w:t>9</w:t>
      </w:r>
      <w:r w:rsidRPr="006365A8">
        <w:t>/л, тромбоциты &gt; 20,0 х 10</w:t>
      </w:r>
      <w:r w:rsidRPr="006365A8">
        <w:rPr>
          <w:vertAlign w:val="superscript"/>
        </w:rPr>
        <w:t>9</w:t>
      </w:r>
      <w:r w:rsidRPr="006365A8">
        <w:t>/л), исчезновение или значительное уменьшение зависимости от трансфузий компонентов крови.</w:t>
      </w:r>
    </w:p>
    <w:p w14:paraId="28492172" w14:textId="07ED8034" w:rsidR="00D23199" w:rsidRPr="005319F6" w:rsidRDefault="00031607" w:rsidP="00BE63F6">
      <w:pPr>
        <w:pStyle w:val="afd"/>
        <w:spacing w:afterAutospacing="0" w:line="360" w:lineRule="auto"/>
        <w:ind w:firstLine="709"/>
        <w:contextualSpacing/>
      </w:pPr>
      <w:r w:rsidRPr="006365A8">
        <w:rPr>
          <w:rStyle w:val="affa"/>
        </w:rPr>
        <w:lastRenderedPageBreak/>
        <w:t xml:space="preserve">Рефрактерная </w:t>
      </w:r>
      <w:r w:rsidR="00B941F0" w:rsidRPr="006365A8">
        <w:rPr>
          <w:rStyle w:val="affa"/>
        </w:rPr>
        <w:t>АА</w:t>
      </w:r>
      <w:r w:rsidRPr="006365A8">
        <w:t xml:space="preserve"> диагностируется в случае отсутствия эффекта от проводимой комбинированной </w:t>
      </w:r>
      <w:r w:rsidR="00B941F0" w:rsidRPr="006365A8">
        <w:t>ИСТ</w:t>
      </w:r>
      <w:r w:rsidRPr="006365A8">
        <w:t xml:space="preserve"> через 6</w:t>
      </w:r>
      <w:r w:rsidR="008C0E55" w:rsidRPr="006365A8">
        <w:t>-</w:t>
      </w:r>
      <w:r w:rsidRPr="006365A8">
        <w:t xml:space="preserve">9 месяцев от начала </w:t>
      </w:r>
      <w:r w:rsidR="00A6084F" w:rsidRPr="006365A8">
        <w:t xml:space="preserve">ИСТ </w:t>
      </w:r>
      <w:r w:rsidRPr="006365A8">
        <w:t>лечения или после II этапа лечения (после второго курса АТГ</w:t>
      </w:r>
      <w:r w:rsidR="00A01726" w:rsidRPr="006365A8">
        <w:t>**</w:t>
      </w:r>
      <w:r w:rsidRPr="006365A8">
        <w:t>)</w:t>
      </w:r>
      <w:r w:rsidR="005319F6" w:rsidRPr="006365A8">
        <w:t>.</w:t>
      </w:r>
    </w:p>
    <w:p w14:paraId="1894EBF5" w14:textId="0A022E8F" w:rsidR="002C3C32" w:rsidRPr="005F7C37" w:rsidRDefault="00031607" w:rsidP="005F7C37">
      <w:pPr>
        <w:pStyle w:val="11"/>
        <w:rPr>
          <w:szCs w:val="28"/>
          <w:u w:val="none"/>
        </w:rPr>
      </w:pPr>
      <w:r>
        <w:br w:type="page"/>
      </w:r>
      <w:bookmarkStart w:id="4" w:name="_Toc67522220"/>
      <w:r w:rsidRPr="005F7C37">
        <w:rPr>
          <w:szCs w:val="28"/>
          <w:u w:val="none"/>
        </w:rPr>
        <w:lastRenderedPageBreak/>
        <w:t xml:space="preserve">1. </w:t>
      </w:r>
      <w:r w:rsidR="00D44BE0" w:rsidRPr="005F7C37">
        <w:rPr>
          <w:szCs w:val="28"/>
          <w:u w:val="none"/>
        </w:rPr>
        <w:t>Краткая информация по заболеванию или состоянию (группе заболеваний или состояний)</w:t>
      </w:r>
      <w:bookmarkEnd w:id="4"/>
    </w:p>
    <w:p w14:paraId="6710F191" w14:textId="77777777" w:rsidR="00155B6E" w:rsidRPr="00311757" w:rsidRDefault="00155B6E" w:rsidP="00155B6E">
      <w:pPr>
        <w:pStyle w:val="2"/>
      </w:pPr>
      <w:bookmarkStart w:id="5" w:name="_Toc24362707"/>
      <w:bookmarkStart w:id="6" w:name="_Toc67522221"/>
      <w:r w:rsidRPr="00B46390">
        <w:t xml:space="preserve">1.1 </w:t>
      </w:r>
      <w:r w:rsidRPr="00311757">
        <w:t xml:space="preserve">Определение </w:t>
      </w:r>
      <w:r w:rsidRPr="00311757">
        <w:rPr>
          <w:color w:val="333333"/>
          <w:shd w:val="clear" w:color="auto" w:fill="FFFFFF"/>
        </w:rPr>
        <w:t>заболевания или состояния (группы заболеваний или состояний)</w:t>
      </w:r>
      <w:bookmarkEnd w:id="5"/>
      <w:bookmarkEnd w:id="6"/>
    </w:p>
    <w:p w14:paraId="65936158" w14:textId="36B839DC" w:rsidR="00D23199" w:rsidRPr="00D07EC1" w:rsidRDefault="00031607" w:rsidP="00D07EC1">
      <w:pPr>
        <w:pStyle w:val="afd"/>
        <w:spacing w:line="360" w:lineRule="auto"/>
        <w:ind w:firstLine="709"/>
        <w:contextualSpacing/>
        <w:rPr>
          <w:rFonts w:eastAsiaTheme="minorEastAsia"/>
        </w:rPr>
      </w:pPr>
      <w:r w:rsidRPr="00D07EC1">
        <w:rPr>
          <w:rStyle w:val="affa"/>
        </w:rPr>
        <w:t xml:space="preserve">Апластическая анемия — </w:t>
      </w:r>
      <w:r w:rsidRPr="00D07EC1">
        <w:t xml:space="preserve">заболевание системы крови, характеризующееся панцитопенией, обусловленной аплазией костного мозга, связанной с нарушением иммунных механизмов регуляции кроветворения, количественным дефицитом и функциональными дефектами </w:t>
      </w:r>
      <w:r w:rsidR="00883F4F">
        <w:t>СКК.</w:t>
      </w:r>
    </w:p>
    <w:p w14:paraId="59778D5E" w14:textId="77777777" w:rsidR="00155B6E" w:rsidRPr="00311757" w:rsidRDefault="00155B6E" w:rsidP="00155B6E">
      <w:pPr>
        <w:pStyle w:val="2"/>
      </w:pPr>
      <w:bookmarkStart w:id="7" w:name="_Toc24362708"/>
      <w:bookmarkStart w:id="8" w:name="_Toc67522222"/>
      <w:r w:rsidRPr="00B46390">
        <w:t xml:space="preserve">1.2 </w:t>
      </w:r>
      <w:r w:rsidRPr="00311757">
        <w:t xml:space="preserve">Этиология и патогенез </w:t>
      </w:r>
      <w:r w:rsidRPr="00311757">
        <w:rPr>
          <w:color w:val="333333"/>
          <w:shd w:val="clear" w:color="auto" w:fill="FFFFFF"/>
        </w:rPr>
        <w:t>заболевания или состояния (группы заболеваний или состояний)</w:t>
      </w:r>
      <w:bookmarkEnd w:id="7"/>
      <w:bookmarkEnd w:id="8"/>
    </w:p>
    <w:p w14:paraId="4313F94A" w14:textId="51E5C5C1" w:rsidR="00D23199" w:rsidRPr="00503B51" w:rsidRDefault="00031607" w:rsidP="005319F6">
      <w:pPr>
        <w:pStyle w:val="afd"/>
        <w:spacing w:before="100" w:after="100" w:line="360" w:lineRule="auto"/>
        <w:ind w:firstLine="709"/>
        <w:contextualSpacing/>
      </w:pPr>
      <w:r w:rsidRPr="00D07EC1">
        <w:t xml:space="preserve">Одним из ведущих механизмов поражения кроветворения при </w:t>
      </w:r>
      <w:r w:rsidR="00883F4F">
        <w:t>АА</w:t>
      </w:r>
      <w:r w:rsidRPr="00D07EC1">
        <w:t xml:space="preserve"> считается иммунная агрессия, направленная на клетки — предшественницы гемопоэза</w:t>
      </w:r>
      <w:r w:rsidR="009D260D">
        <w:t xml:space="preserve"> </w:t>
      </w:r>
      <w:r w:rsidR="009D260D">
        <w:fldChar w:fldCharType="begin" w:fldLock="1"/>
      </w:r>
      <w:r w:rsidR="00083277">
        <w:instrText>ADDIN CSL_CITATION {"citationItems":[{"id":"ITEM-1","itemData":{"DOI":"10.1016/j.blre.2018.04.004","ISSN":"1532-1681 (Electronic)","PMID":"29699840","abstract":"Excess iron can be extremely toxic for the body and may cause organ damage in the absence of iron chelation therapy. Preclinical studies on the role of free iron on bone marrow function have shown that iron toxicity leads to the accumulation of reactive oxygen species, affects the expression of genes coding for proteins that regulate hematopoiesis, and disrupts hematopoiesis. These effects could be partially attenuated by iron-chelation treatment with deferasirox, suggesting iron toxicity may have a negative impact on the hematopoietic microenvironment. Iron toxicity is of concern in transfusion-dependent patients. Importantly, iron chelation with deferasirox can cause the loss of transfusion dependency and may induce hematological responses, although the mechanisms through which deferasirox exerts this action are currently unknown. This review will focus on the possible mechanisms of toxicity of free iron at the bone marrow level and in the bone marrow microenvironment.","author":[{"dropping-particle":"","family":"Isidori","given":"Alessandro","non-dropping-particle":"","parse-names":false,"suffix":""},{"dropping-particle":"","family":"Borin","given":"Lorenza","non-dropping-particle":"","parse-names":false,"suffix":""},{"dropping-particle":"","family":"Elli","given":"Elena","non-dropping-particle":"","parse-names":false,"suffix":""},{"dropping-particle":"","family":"Latagliata","given":"Roberto","non-dropping-particle":"","parse-names":false,"suffix":""},{"dropping-particle":"","family":"Martino","given":"Bruno","non-dropping-particle":"","parse-names":false,"suffix":""},{"dropping-particle":"","family":"Palumbo","given":"Giuseppe","non-dropping-particle":"","parse-names":false,"suffix":""},{"dropping-particle":"","family":"Pilo","given":"Federica","non-dropping-particle":"","parse-names":false,"suffix":""},{"dropping-particle":"","family":"Loscocco","given":"Federica","non-dropping-particle":"","parse-names":false,"suffix":""},{"dropping-particle":"","family":"Visani","given":"Giuseppe","non-dropping-particle":"","parse-names":false,"suffix":""},{"dropping-particle":"","family":"Cianciulli","given":"Paolo","non-dropping-particle":"","parse-names":false,"suffix":""}],"container-title":"Blood reviews","id":"ITEM-1","issue":"6","issued":{"date-parts":[["2018","11"]]},"language":"eng","page":"473-479","publisher-place":"England","title":"Iron toxicity - Its effect on the bone marrow.","type":"article-journal","volume":"32"},"uris":["http://www.mendeley.com/documents/?uuid=6765363b-2796-4e20-9e2b-7687b8217179"]}],"mendeley":{"formattedCitation":"[1]","plainTextFormattedCitation":"[1]","previouslyFormattedCitation":"[1]"},"properties":{"noteIndex":0},"schema":"https://github.com/citation-style-language/schema/raw/master/csl-citation.json"}</w:instrText>
      </w:r>
      <w:r w:rsidR="009D260D">
        <w:fldChar w:fldCharType="separate"/>
      </w:r>
      <w:r w:rsidR="009D260D" w:rsidRPr="009D260D">
        <w:rPr>
          <w:noProof/>
        </w:rPr>
        <w:t>[1]</w:t>
      </w:r>
      <w:r w:rsidR="009D260D">
        <w:fldChar w:fldCharType="end"/>
      </w:r>
      <w:r w:rsidR="00503B51" w:rsidRPr="00FF030B">
        <w:t>.</w:t>
      </w:r>
    </w:p>
    <w:p w14:paraId="3C0A1E4E" w14:textId="4ACA2D2C" w:rsidR="005319F6" w:rsidRDefault="00F42A9A" w:rsidP="005319F6">
      <w:pPr>
        <w:pStyle w:val="afd"/>
        <w:spacing w:before="100" w:after="100" w:line="360" w:lineRule="auto"/>
        <w:ind w:firstLine="709"/>
        <w:contextualSpacing/>
      </w:pPr>
      <w:r w:rsidRPr="00D07EC1">
        <w:t>К</w:t>
      </w:r>
      <w:r w:rsidR="00031607" w:rsidRPr="00D07EC1">
        <w:t xml:space="preserve">остномозговая недостаточность при </w:t>
      </w:r>
      <w:r w:rsidR="00883F4F">
        <w:t>АА</w:t>
      </w:r>
      <w:r w:rsidR="00031607" w:rsidRPr="00D07EC1">
        <w:t xml:space="preserve"> развивается в результате подавления пролиферации гемопоэтических клеток-предшественниц активированными Т-лимфоцитами и естественными киллерами. Активация Т-лимфоцитов, экспансия цитотоксических Т-клонов и выброс медиаторов иммунной супрессии кроветворения (интерферон γ</w:t>
      </w:r>
      <w:r w:rsidR="00200C54">
        <w:t xml:space="preserve"> (</w:t>
      </w:r>
      <w:r w:rsidR="00200C54" w:rsidRPr="00BD0E44">
        <w:t>ИФНγ</w:t>
      </w:r>
      <w:r w:rsidR="00200C54">
        <w:t>)</w:t>
      </w:r>
      <w:r w:rsidR="00031607" w:rsidRPr="00D07EC1">
        <w:t>, фактор некроза опухолей α) или стимулирующих пролиферацию и активацию Т-лимфоцитов (интерлейкин 2), приводят к нарушению процессов пролиферации и к стимуляции апоптоза клеток-предшественниц, вследствие чего происходит значительное уменьшение пула гемопоэтических кле</w:t>
      </w:r>
      <w:r w:rsidRPr="00D07EC1">
        <w:t>ток и развитие аплазии костного м</w:t>
      </w:r>
      <w:r w:rsidR="00031607" w:rsidRPr="00D07EC1">
        <w:t>озга</w:t>
      </w:r>
      <w:r w:rsidR="00503B51" w:rsidRPr="00503B51">
        <w:t xml:space="preserve"> </w:t>
      </w:r>
      <w:r w:rsidR="00E05500">
        <w:fldChar w:fldCharType="begin" w:fldLock="1"/>
      </w:r>
      <w:r w:rsidR="00083277">
        <w:instrText xml:space="preserve">ADDIN CSL_CITATION {"citationItems":[{"id":"ITEM-1","itemData":{"DOI":"10.1182/blood-2013-05-498279","ISSN":"1528-0020","PMID":"24052548","abstract":"Refractory aplastic anemia (AA) is defined as a lack of response to first-line immunosuppressive therapy (IST) with antithymocyte globulin and cyclosporin and is manifested as persistence of severe cytopenias at 6 months after IST. Although supportive care is critical for AA patients, it is of paramount importance for refractory disease in view of the longer duration of pancytopenia and susceptibility to life-threatening infections due to IST. Improvements in supportive care have largely contributed to better outcome over the past 2 decades, with 5-year overall survival reaching 57% during 2002 to 2008 for patients with AA unresponsive to initial IST. Exclusion of hypocellular myelodysplastic syndrome and constitutional BM failure masquerading as apparent idiopathic AA should be done in conjunction with centers of excellence. Hematopoietic stem cell transplantation is indicated if refractory AA patients are fit and have a suitably matched donor, either a sibling (&gt;40-50 years) or unrelated donor. Patients lacking a fully matched donor should be considered for a second course of antithymocyte globulin plus cyclosporin, although response in the refractory setting is only </w:instrText>
      </w:r>
      <w:r w:rsidR="00083277">
        <w:rPr>
          <w:rFonts w:ascii="Cambria Math" w:hAnsi="Cambria Math" w:cs="Cambria Math"/>
        </w:rPr>
        <w:instrText>∼</w:instrText>
      </w:r>
      <w:r w:rsidR="00083277">
        <w:instrText>30% to 35%. Response may also occur with alemtuzumab or the thrombopoietin mimetic eltrombopag in refractory AA. The emerging data for alternate donor (cord or haploidentical) transplantation in AA has provided additional therapeutic choices to consider in refractory disease.","author":[{"dropping-particle":"","family":"Marsh","given":"Judith C W","non-dropping-particle":"","parse-names":false,"suffix":""},{"dropping-particle":"","family":"Kulasekararaj","given":"Austin G","non-dropping-particle":"","parse-names":false,"suffix":""}],"container-title":"Blood","id":"ITEM-1","issue":"22","issued":{"date-parts":[["2013","11"]]},"page":"3561-7","title":"Management of the refractory aplastic anemia patient: what are the options?","type":"article-journal","volume":"122"},"uris":["http://www.mendeley.com/documents/?uuid=70e24b08-e61e-4d29-a8b6-70a2cccbf452"]},{"id":"ITEM-2","itemData":{"DOI":"10.1182/blood-2002-04-1134","abstract":"Immunosuppression with antithymocyte globulin, (methyl)prednisolone, and cyclosporin A is considered the treatment of choice for the patient with aplastic anemia without a donor for standard-risk stem cell transplantation. This consensus is supported by the results of several series, including a randomized German trial. Here we report 11-year results of the latter trial. With stringent response criteria and 4 months as the time to evaluate responses, this analysis confirms the superiority of the cyclosporine regimen regarding the response rate in all patients treated (70% vs 41%, with or without cyclosporine; P= .015) and in patients with severe aplastic anemia (65% vs 31%; P = .011). Patients responded more rapidly after treatment with cyclosporine (median, 60 vs 82 days; P = .019). Most patients treated with cyclosporine needed only one course of immunosuppression, whereas many patients treated without cyclosporine required repeated immunosuppressive treatment. Because of the efficacy of salvage treatment, overall survival was not different between the 2 treatment groups. However, failure-free survival favored the cyclosporine regimen (39% vs 24%; P = .04). The relapse rate, projected at 38% after 11.3 years, was similar between the 2 treatment groups. Remissions were cyclosporine dependent in 26% of the patients responding to a regimen that included cyclosporine. Clonal or malignant diseases developed in 25% of the patients. These data demonstrate that antithymocyte globulin, methylprednisolone, and cyclosporin A are an effective regimen for the treatment of aplastic anemia. However, remissions are unstable, and secondary diseases are common. In contrast to the results of stem cell transplantation, most patients are not cured. © 2003 by The American Society of Hematology.","author":[{"dropping-particle":"","family":"Frickhofen","given":"N.","non-dropping-particle":"","parse-names":false,"suffix":""},{"dropping-particle":"","family":"Heimpel","given":"H.","non-dropping-particle":"","parse-names":false,"suffix":""},{"dropping-particle":"","family":"Kaltwasser","given":"J.P.","non-dropping-particle":"","parse-names":false,"suffix":""},{"dropping-particle":"","family":"Schrezenmeier","given":"H.","non-dropping-particle":"","parse-names":false,"suffix":""}],"container-title":"Blood","id":"ITEM-2","issue":"4","issued":{"date-parts":[["2003"]]},"page":"1236-1242","title":"Antithymocyte globulin with or without cyclosporin A: 11-Year follow-up of a randomized trial comparing treatments of aplastic anemia","type":"article-journal","volume":"101"},"uris":["http://www.mendeley.com/documents/?uuid=33311d00-2abd-44cd-973c-14469b6fd27d"]},{"id":"ITEM-3","itemData":{"DOI":"10.1016/j.blre.2018.04.004","ISSN":"1532-1681 (Electronic)","PMID":"29699840","abstract":"Excess iron can be extremely toxic for the body and may cause organ damage in the absence of iron chelation therapy. Preclinical studies on the role of free iron on bone marrow function have shown that iron toxicity leads to the accumulation of reactive oxygen species, affects the expression of genes coding for proteins that regulate hematopoiesis, and disrupts hematopoiesis. These effects could be partially attenuated by iron-chelation treatment with deferasirox, suggesting iron toxicity may have a negative impact on the hematopoietic microenvironment. Iron toxicity is of concern in transfusion-dependent patients. Importantly, iron chelation with deferasirox can cause the loss of transfusion dependency and may induce hematological responses, although the mechanisms through which deferasirox exerts this action are currently unknown. This review will focus on the possible mechanisms of toxicity of free iron at the bone marrow level and in the bone marrow microenvironment.","author":[{"dropping-particle":"","family":"Isidori","given":"Alessandro","non-dropping-particle":"","parse-names":false,"suffix":""},{"dropping-particle":"","family":"Borin","given":"Lorenza","non-dropping-particle":"","parse-names":false,"suffix":""},{"dropping-particle":"","family":"Elli","given":"Elena","non-dropping-particle":"","parse-names":false,"suffix":""},{"dropping-particle":"","family":"Latagliata","given":"Roberto","non-dropping-particle":"","parse-names":false,"suffix":""},{"dropping-particle":"","family":"Martino","given":"Bruno","non-dropping-particle":"","parse-names":false,"suffix":""},{"dropping-particle":"","family":"Palumbo","given":"Giuseppe","non-dropping-particle":"","parse-names":false,"suffix":""},{"dropping-particle":"","family":"Pilo","given":"Federica","non-dropping-particle":"","parse-names":false,"suffix":""},{"dropping-particle":"","family":"Loscocco","given":"Federica","non-dropping-particle":"","parse-names":false,"suffix":""},{"dropping-particle":"","family":"Visani","given":"Giuseppe","non-dropping-particle":"","parse-names":false,"suffix":""},{"dropping-particle":"","family":"Cianciulli","given":"Paolo","non-dropping-particle":"","parse-names":false,"suffix":""}],"container-title":"Blood reviews","id":"ITEM-3","issue":"6","issued":{"date-parts":[["2018","11"]]},"language":"eng","page":"473-479","publisher-place":"England","title":"Iron toxicity - Its effect on the bone marrow.","type":"article-journal","volume":"32"},"uris":["http://www.mendeley.com/documents/?uuid=6765363b-2796-4e20-9e2b-7687b8217179"]}],"mendeley":{"formattedCitation":"[1–3]","plainTextFormattedCitation":"[1–3]","previouslyFormattedCitation":"[1–3]"},"properties":{"noteIndex":0},"schema":"https://github.com/citation-style-language/schema/raw/master/csl-citation.json"}</w:instrText>
      </w:r>
      <w:r w:rsidR="00E05500">
        <w:fldChar w:fldCharType="separate"/>
      </w:r>
      <w:r w:rsidR="00E05500" w:rsidRPr="00E05500">
        <w:rPr>
          <w:noProof/>
        </w:rPr>
        <w:t>[1–3]</w:t>
      </w:r>
      <w:r w:rsidR="00E05500">
        <w:fldChar w:fldCharType="end"/>
      </w:r>
      <w:r w:rsidR="00503B51" w:rsidRPr="00FF030B">
        <w:t>.</w:t>
      </w:r>
    </w:p>
    <w:p w14:paraId="2389F0D9" w14:textId="26AC1F94" w:rsidR="00EC4E2F" w:rsidRDefault="00F42A9A" w:rsidP="00DF354D">
      <w:pPr>
        <w:pStyle w:val="afd"/>
        <w:spacing w:beforeAutospacing="0" w:afterAutospacing="0" w:line="360" w:lineRule="auto"/>
        <w:ind w:firstLine="709"/>
        <w:contextualSpacing/>
      </w:pPr>
      <w:r w:rsidRPr="005319F6">
        <w:t>Уменьшение пула гемопоэтических клеток костного мозга сопровождается нарушением обмена железа и отложением токсического железа, как в костном мозге, так и в миокарде и печени, что вызывает нарушение функции этих органов</w:t>
      </w:r>
      <w:r w:rsidR="00721A78" w:rsidRPr="005319F6">
        <w:t xml:space="preserve"> </w:t>
      </w:r>
      <w:r w:rsidR="00721A78" w:rsidRPr="005319F6">
        <w:fldChar w:fldCharType="begin" w:fldLock="1"/>
      </w:r>
      <w:r w:rsidR="009D260D">
        <w:instrText>ADDIN CSL_CITATION {"citationItems":[{"id":"ITEM-1","itemData":{"DOI":"10.1016/j.blre.2018.04.004","ISSN":"1532-1681 (Electronic)","PMID":"29699840","abstract":"Excess iron can be extremely toxic for the body and may cause organ damage in the absence of iron chelation therapy. Preclinical studies on the role of free iron on bone marrow function have shown that iron toxicity leads to the accumulation of reactive oxygen species, affects the expression of genes coding for proteins that regulate hematopoiesis, and disrupts hematopoiesis. These effects could be partially attenuated by iron-chelation treatment with deferasirox, suggesting iron toxicity may have a negative impact on the hematopoietic microenvironment. Iron toxicity is of concern in transfusion-dependent patients. Importantly, iron chelation with deferasirox can cause the loss of transfusion dependency and may induce hematological responses, although the mechanisms through which deferasirox exerts this action are currently unknown. This review will focus on the possible mechanisms of toxicity of free iron at the bone marrow level and in the bone marrow microenvironment.","author":[{"dropping-particle":"","family":"Isidori","given":"Alessandro","non-dropping-particle":"","parse-names":false,"suffix":""},{"dropping-particle":"","family":"Borin","given":"Lorenza","non-dropping-particle":"","parse-names":false,"suffix":""},{"dropping-particle":"","family":"Elli","given":"Elena","non-dropping-particle":"","parse-names":false,"suffix":""},{"dropping-particle":"","family":"Latagliata","given":"Roberto","non-dropping-particle":"","parse-names":false,"suffix":""},{"dropping-particle":"","family":"Martino","given":"Bruno","non-dropping-particle":"","parse-names":false,"suffix":""},{"dropping-particle":"","family":"Palumbo","given":"Giuseppe","non-dropping-particle":"","parse-names":false,"suffix":""},{"dropping-particle":"","family":"Pilo","given":"Federica","non-dropping-particle":"","parse-names":false,"suffix":""},{"dropping-particle":"","family":"Loscocco","given":"Federica","non-dropping-particle":"","parse-names":false,"suffix":""},{"dropping-particle":"","family":"Visani","given":"Giuseppe","non-dropping-particle":"","parse-names":false,"suffix":""},{"dropping-particle":"","family":"Cianciulli","given":"Paolo","non-dropping-particle":"","parse-names":false,"suffix":""}],"container-title":"Blood reviews","id":"ITEM-1","issue":"6","issued":{"date-parts":[["2018","11"]]},"language":"eng","page":"473-479","publisher-place":"England","title":"Iron toxicity - Its effect on the bone marrow.","type":"article-journal","volume":"32"},"uris":["http://www.mendeley.com/documents/?uuid=c3266122-7688-4d55-a1f5-0c95f15013eb","http://www.mendeley.com/documents/?uuid=6765363b-2796-4e20-9e2b-7687b8217179"]}],"mendeley":{"formattedCitation":"[1]","plainTextFormattedCitation":"[1]","previouslyFormattedCitation":"[1]"},"properties":{"noteIndex":0},"schema":"https://github.com/citation-style-language/schema/raw/master/csl-citation.json"}</w:instrText>
      </w:r>
      <w:r w:rsidR="00721A78" w:rsidRPr="005319F6">
        <w:fldChar w:fldCharType="separate"/>
      </w:r>
      <w:r w:rsidR="006C65C2" w:rsidRPr="006C65C2">
        <w:rPr>
          <w:noProof/>
        </w:rPr>
        <w:t>[1]</w:t>
      </w:r>
      <w:r w:rsidR="00721A78" w:rsidRPr="005319F6">
        <w:fldChar w:fldCharType="end"/>
      </w:r>
      <w:r w:rsidRPr="005319F6">
        <w:t>.</w:t>
      </w:r>
    </w:p>
    <w:p w14:paraId="3050EA1F" w14:textId="72A76198" w:rsidR="00F42A9A" w:rsidRPr="00EC4E2F" w:rsidRDefault="00F42A9A" w:rsidP="00DF354D">
      <w:pPr>
        <w:ind w:firstLine="709"/>
      </w:pPr>
      <w:r w:rsidRPr="00D07EC1">
        <w:t>Основными клиническими проявлениями болезни являются анемический, геморрагический синдромы, а также тяжелые инфекционные осложнения</w:t>
      </w:r>
      <w:r w:rsidR="00117113">
        <w:t xml:space="preserve"> </w:t>
      </w:r>
      <w:r w:rsidR="00721A78">
        <w:fldChar w:fldCharType="begin" w:fldLock="1"/>
      </w:r>
      <w:r w:rsidR="00083277">
        <w:instrText xml:space="preserve">ADDIN CSL_CITATION {"citationItems":[{"id":"ITEM-1","itemData":{"DOI":"10.1182/blood-2013-05-498279","ISSN":"1528-0020","PMID":"24052548","abstract":"Refractory aplastic anemia (AA) is defined as a lack of response to first-line immunosuppressive therapy (IST) with antithymocyte globulin and cyclosporin and is manifested as persistence of severe cytopenias at 6 months after IST. Although supportive care is critical for AA patients, it is of paramount importance for refractory disease in view of the longer duration of pancytopenia and susceptibility to life-threatening infections due to IST. Improvements in supportive care have largely contributed to better outcome over the past 2 decades, with 5-year overall survival reaching 57% during 2002 to 2008 for patients with AA unresponsive to initial IST. Exclusion of hypocellular myelodysplastic syndrome and constitutional BM failure masquerading as apparent idiopathic AA should be done in conjunction with centers of excellence. Hematopoietic stem cell transplantation is indicated if refractory AA patients are fit and have a suitably matched donor, either a sibling (&gt;40-50 years) or unrelated donor. Patients lacking a fully matched donor should be considered for a second course of antithymocyte globulin plus cyclosporin, although response in the refractory setting is only </w:instrText>
      </w:r>
      <w:r w:rsidR="00083277">
        <w:rPr>
          <w:rFonts w:ascii="Cambria Math" w:hAnsi="Cambria Math" w:cs="Cambria Math"/>
        </w:rPr>
        <w:instrText>∼</w:instrText>
      </w:r>
      <w:r w:rsidR="00083277">
        <w:instrText>30% to 35%. Response may also occur with alemtuzumab or the thrombopoietin mimetic eltrombopag in refractory AA. The emerging data for alternate donor (cord or haploidentical) transplantation in AA has provided additional therapeutic choices to consider in refractory disease.","author":[{"dropping-particle":"","family":"Marsh","given":"Judith C W","non-dropping-particle":"","parse-names":false,"suffix":""},{"dropping-particle":"","family":"Kulasekararaj","given":"Austin G","non-dropping-particle":"","parse-names":false,"suffix":""}],"container-title":"Blood","id":"ITEM-1","issue":"22","issued":{"date-parts":[["2013","11"]]},"page":"3561-7","title":"Management of the refractory aplastic anemia patient: what are the options?","type":"article-journal","volume":"122"},"uris":["http://www.mendeley.com/documents/?uuid=70e24b08-e61e-4d29-a8b6-70a2cccbf452"]}],"mendeley":{"formattedCitation":"[2]","plainTextFormattedCitation":"[2]","previouslyFormattedCitation":"[2]"},"properties":{"noteIndex":0},"schema":"https://github.com/citation-style-language/schema/raw/master/csl-citation.json"}</w:instrText>
      </w:r>
      <w:r w:rsidR="00721A78">
        <w:fldChar w:fldCharType="separate"/>
      </w:r>
      <w:r w:rsidR="006C65C2" w:rsidRPr="006C65C2">
        <w:rPr>
          <w:noProof/>
        </w:rPr>
        <w:t>[2]</w:t>
      </w:r>
      <w:r w:rsidR="00721A78">
        <w:fldChar w:fldCharType="end"/>
      </w:r>
      <w:r w:rsidRPr="00D07EC1">
        <w:t xml:space="preserve">. Кроме того, течение </w:t>
      </w:r>
      <w:r w:rsidR="00883F4F">
        <w:t>АА</w:t>
      </w:r>
      <w:r w:rsidRPr="00D07EC1">
        <w:t xml:space="preserve"> может осложниться развитием т</w:t>
      </w:r>
      <w:r w:rsidR="003B414C">
        <w:t>аких клональных заболеваний как</w:t>
      </w:r>
      <w:r w:rsidR="00C27878">
        <w:t xml:space="preserve"> </w:t>
      </w:r>
      <w:r w:rsidR="00C27878" w:rsidRPr="00BD0E44">
        <w:t>пароксизмальная ночная гемоглобинурия</w:t>
      </w:r>
      <w:r w:rsidR="00C27878">
        <w:t xml:space="preserve"> (</w:t>
      </w:r>
      <w:r w:rsidRPr="00D07EC1">
        <w:t>ПНГ</w:t>
      </w:r>
      <w:r w:rsidR="00C27878">
        <w:t>)</w:t>
      </w:r>
      <w:r w:rsidRPr="00D07EC1">
        <w:t xml:space="preserve">, </w:t>
      </w:r>
      <w:r w:rsidR="003B414C">
        <w:t>миелодиспластический синдром (</w:t>
      </w:r>
      <w:r w:rsidRPr="00D07EC1">
        <w:t>МДС</w:t>
      </w:r>
      <w:r w:rsidR="003B414C">
        <w:t>)</w:t>
      </w:r>
      <w:r w:rsidRPr="00D07EC1">
        <w:t xml:space="preserve">, </w:t>
      </w:r>
      <w:r w:rsidR="00EC4E2F">
        <w:t>острый миелобластный лейкоз (</w:t>
      </w:r>
      <w:r w:rsidRPr="00D07EC1">
        <w:t>ОМЛ</w:t>
      </w:r>
      <w:r w:rsidR="00EC4E2F">
        <w:t>)</w:t>
      </w:r>
      <w:r w:rsidRPr="00D07EC1">
        <w:t xml:space="preserve">. Частота развития клональных осложнений может достигать 32% в течение 10 лет </w:t>
      </w:r>
      <w:r w:rsidR="00EC3D22">
        <w:fldChar w:fldCharType="begin" w:fldLock="1"/>
      </w:r>
      <w:r w:rsidR="009D260D">
        <w:instrText>ADDIN CSL_CITATION {"citationItems":[{"id":"ITEM-1","itemData":{"DOI":"10.1182/blood-2002-04-1134","abstract":"Immunosuppression with antithymocyte globulin, (methyl)prednisolone, and cyclosporin A is considered the treatment of choice for the patient with aplastic anemia without a donor for standard-risk stem cell transplantation. This consensus is supported by the results of several series, including a randomized German trial. Here we report 11-year results of the latter trial. With stringent response criteria and 4 months as the time to evaluate responses, this analysis confirms the superiority of the cyclosporine regimen regarding the response rate in all patients treated (70% vs 41%, with or without cyclosporine; P= .015) and in patients with severe aplastic anemia (65% vs 31%; P = .011). Patients responded more rapidly after treatment with cyclosporine (median, 60 vs 82 days; P = .019). Most patients treated with cyclosporine needed only one course of immunosuppression, whereas many patients treated without cyclosporine required repeated immunosuppressive treatment. Because of the efficacy of salvage treatment, overall survival was not different between the 2 treatment groups. However, failure-free survival favored the cyclosporine regimen (39% vs 24%; P = .04). The relapse rate, projected at 38% after 11.3 years, was similar between the 2 treatment groups. Remissions were cyclosporine dependent in 26% of the patients responding to a regimen that included cyclosporine. Clonal or malignant diseases developed in 25% of the patients. These data demonstrate that antithymocyte globulin, methylprednisolone, and cyclosporin A are an effective regimen for the treatment of aplastic anemia. However, remissions are unstable, and secondary diseases are common. In contrast to the results of stem cell transplantation, most patients are not cured. © 2003 by The American Society of Hematology.","author":[{"dropping-particle":"","family":"Frickhofen","given":"N.","non-dropping-particle":"","parse-names":false,"suffix":""},{"dropping-particle":"","family":"Heimpel","given":"H.","non-dropping-particle":"","parse-names":false,"suffix":""},{"dropping-particle":"","family":"Kaltwasser","given":"J.P.","non-dropping-particle":"","parse-names":false,"suffix":""},{"dropping-particle":"","family":"Schrezenmeier","given":"H.","non-dropping-particle":"","parse-names":false,"suffix":""}],"container-title":"Blood","id":"ITEM-1","issue":"4","issued":{"date-parts":[["2003"]]},"page":"1236-1242","title":"Antithymocyte globulin with or without cyclosporin A: 11-Year follow-up of a randomized trial comparing treatments of aplastic anemia","type":"article-journal","volume":"101"},"uris":["http://www.mendeley.com/documents/?uuid=90901162-7288-3121-b1d2-ada0156430a1","http://www.mendeley.com/documents/?uuid=33311d00-2abd-44cd-973c-14469b6fd27d"]},{"id":"ITEM-2","itemData":{"DOI":"10.1182/blood-2014-05-574889","abstract":"© 2014 by The American Society of Hematology. The distinction between acquired aplastic anemia (AA) and hypocellular myelodysplastic syndrome (hMDS) is often difficult, especially nonsevere AA. We postulated that somatic mutations are present in a subset of AA, and predict malignant transformation. From our database, we identified 150AApatients with no morphological evidence of MDS, who had stored bone marrow (BM) and constitutional DNA. We excluded Fanconi anemia, mutations of telomere maintenance, and a family history of BM failure (BMF) or cancer. The initial cohort of 57 patients was screened for 835 known genes associated with BMF and myeloid cancer; a second cohort of 93 patients was screened for mutations in ASXL1, DNMT3A, BCOR, TET2, and MPL. Somatic mutations were detected in 19% of AA, and included ASXL1 (n = 12), DNMT3A (n = 8) and BCOR (n = 6). Patientswith somatic mutations had a longer disease duration (37 vs 8 months, P &lt; .04), and shorter telomere lengths (median length, 0.9 vs 1.1, P &lt; .001), compared with patients without mutations. Somatic mutations in AA patients with a disease duration of &gt;6 months were associated with a 40% risk of transformation to MDS (P &lt; .0002). Nearly one-fifth of AA patients harbor mutations in genes typically seen in myeloid malignancies that predicted for later transformation to MDS.","author":[{"dropping-particle":"","family":"Kulasekararaj","given":"A.G.","non-dropping-particle":"","parse-names":false,"suffix":""},{"dropping-particle":"","family":"Jiang","given":"J.","non-dropping-particle":"","parse-names":false,"suffix":""},{"dropping-particle":"","family":"Smith","given":"A.E.","non-dropping-particle":"","parse-names":false,"suffix":""},{"dropping-particle":"","family":"Mohamedali","given":"A.M.","non-dropping-particle":"","parse-names":false,"suffix":""},{"dropping-particle":"","family":"Mian","given":"S.","non-dropping-particle":"","parse-names":false,"suffix":""},{"dropping-particle":"","family":"Gandhi","given":"S.","non-dropping-particle":"","parse-names":false,"suffix":""},{"dropping-particle":"","family":"Gaken","given":"J.","non-dropping-particle":"","parse-names":false,"suffix":""},{"dropping-particle":"","family":"Czepulkowski","given":"B.","non-dropping-particle":"","parse-names":false,"suffix":""},{"dropping-particle":"","family":"Marsh","given":"J.C.W.","non-dropping-particle":"","parse-names":false,"suffix":""},{"dropping-particle":"","family":"Mufti","given":"G.J.","non-dropping-particle":"","parse-names":false,"suffix":""}],"container-title":"Blood","id":"ITEM-2","issue":"17","issued":{"date-parts":[["2014"]]},"page":"2698-2704","title":"Somatic mutations identify a subgroup of aplastic anemia patients who progress to myelodysplastic syndrome","type":"article-journal","volume":"124"},"uris":["http://www.mendeley.com/documents/?uuid=8ed5abd3-a718-3e73-981b-44654ad9657c","http://www.mendeley.com/documents/?uuid=f1964d02-4aeb-479f-97ad-0a2849eee634"]}],"mendeley":{"formattedCitation":"[3,4]","plainTextFormattedCitation":"[3,4]","previouslyFormattedCitation":"[3,4]"},"properties":{"noteIndex":0},"schema":"https://github.com/citation-style-language/schema/raw/master/csl-citation.json"}</w:instrText>
      </w:r>
      <w:r w:rsidR="00EC3D22">
        <w:fldChar w:fldCharType="separate"/>
      </w:r>
      <w:r w:rsidR="006C65C2" w:rsidRPr="006C65C2">
        <w:rPr>
          <w:noProof/>
        </w:rPr>
        <w:t>[3,4]</w:t>
      </w:r>
      <w:r w:rsidR="00EC3D22">
        <w:fldChar w:fldCharType="end"/>
      </w:r>
      <w:r w:rsidRPr="00D07EC1">
        <w:t xml:space="preserve">. Появление клонального кроветворения может быть выявлено и на более ранних этапах течения </w:t>
      </w:r>
      <w:r w:rsidR="00883F4F">
        <w:t>АА</w:t>
      </w:r>
      <w:r w:rsidRPr="00D07EC1">
        <w:t xml:space="preserve">. В первую очередь речь идет об </w:t>
      </w:r>
      <w:r w:rsidR="00883F4F">
        <w:t>АА</w:t>
      </w:r>
      <w:r w:rsidRPr="00D07EC1">
        <w:t>, протекающей с ПНГ-клоном</w:t>
      </w:r>
      <w:r w:rsidR="00423DFA" w:rsidRPr="00D07EC1">
        <w:t xml:space="preserve"> </w:t>
      </w:r>
      <w:r w:rsidR="00EC3D22">
        <w:fldChar w:fldCharType="begin" w:fldLock="1"/>
      </w:r>
      <w:r w:rsidR="00083277">
        <w:instrText>ADDIN CSL_CITATION {"citationItems":[{"id":"ITEM-1","itemData":{"DOI":"10.1182/asheducation-2011.1.90","ISBN":"1520-4383 (Electronic) 1520-4383 (Linking)","ISSN":"1520-4391","PMID":"22160018","abstract":"Current immunosuppressive treatment (IST) induces remissions in 50%-70% of patients with aplastic anemia (AA) and result in excellent long-term survival. In recent years, the survival of refractory patients has also improved. Apart from relapse and refractoriness to IST, evolution of clonal diseases, including paroxysmal nocturnal hemoglobinuria and myelodysplastic syndrome (MDS), are the most serious long-term complications and constitute a strong argument for definitive therapy with BM transplantation if possible. Consequently, the detection of diagnostic chromosomal abnormalities (mostly monosomy 7) is of great clinical importance. Newer whole-genome scanning technologies such as single nucleotide polymorphism (SNP) array-based karyotyping may be a helpful diagnostic test for the detection of chromosomal defects in AA due to its precision/resolution and lack of reliance on cell division.","author":[{"dropping-particle":"","family":"Afable","given":"Manuel G","non-dropping-particle":"","parse-names":false,"suffix":""},{"dropping-particle":"V","family":"Tiu","given":"Ramon","non-dropping-particle":"","parse-names":false,"suffix":""},{"dropping-particle":"","family":"Maciejewski","given":"Jaroslaw P","non-dropping-particle":"","parse-names":false,"suffix":""}],"container-title":"Hematology","id":"ITEM-1","issue":"1","issued":{"date-parts":[["2011"]]},"page":"90-95","title":"Clonal Evolution in Aplastic Anemia","type":"article-journal"},"uris":["http://www.mendeley.com/documents/?uuid=4d4d9274-aaec-4111-82b6-91c4f556d79d","http://www.mendeley.com/documents/?uuid=1a1c236c-d85a-4de8-8590-b37edde492fa"]},{"id":"ITEM-2","itemData":{"DOI":"10.1111/j.1600-0609.2011.01615.x","ISSN":"09024441","PMID":"21447004","abstract":"OBJECTIVE:  To investigate the natural history of paroxysmal nocturnal hemoglobinuria (PNH) clones in patients with acquired aplastic anemia (AA).\\n\\nPATIENTS AND METHODS:  Twenty-seven patients with AA and a detectable PNH clone were monitored for a median of 5.7 years (range 1.5-11.5 years). Twenty-two patients received high-dose cyclophosphamide (HiCy) therapy. The erythrocyte and granulocyte PNH clone sizes were measured using flow cytometry and analyzed via CellQuest software. PE-conjugated anti-glycophorin A, anti-CD15, FITC-conjugated anti-CD59, and FLAER staining were used to define glycosylphosphatidylinositol-AP-deficient cells.\\n\\nRESULTS: We found a linear relationship between PNH clone size and the development of intravascular hemolysis, assessed by lactate dehydrogenase (LDH) values (Pearson correlation coefficient = 0.80, P &lt; 0.001 for erythrocyte PNH clones; and Pearson correlation coefficient = 0.73, P &lt; 0.0001 for granulocyte PNH clones). An erythrocyte PNH size of 3-5% and granulocyte PNH size of 23% were the thresholds to predict hemolysis as measured by an elevated LDH (receiver operating characteristic analyses with AUC = 0.96 for erythrocyte PNH clone sizes and AUC = 0.88 for granulocyte PNH clone sizes). Patients with small (≤15%) initial PNH clone sizes were less likely to develop an elevated LDH (mean ± SD: 236.9 ± 109.9 vs. 423.1 ± 248.8; P = 0.02). Over time, the PNH clone sizes remained stable in 25.9% of patients; 48.1% experienced a rise in the PNH clone size; and 25.9% experienced a decrease.\\n\\nCONCLUSION: The risk of developing clinically significant PNH after HiCy therapy appears to be low in AA patients with PNH clones, especially for those with small initial PNH clones and for those who respond to HiCy therapy.","author":[{"dropping-particle":"","family":"Pu","given":"Jeffrey J.","non-dropping-particle":"","parse-names":false,"suffix":""},{"dropping-particle":"","family":"Mukhina","given":"Galina","non-dropping-particle":"","parse-names":false,"suffix":""},{"dropping-particle":"","family":"Wang","given":"Hao","non-dropping-particle":"","parse-names":false,"suffix":""},{"dropping-particle":"","family":"Savage","given":"William J.","non-dropping-particle":"","parse-names":false,"suffix":""},{"dropping-particle":"","family":"Brodsky","given":"Robert A.","non-dropping-particle":"","parse-names":false,"suffix":""}],"container-title":"European Journal of Haematology","id":"ITEM-2","issue":"1","issued":{"date-parts":[["2011"]]},"page":"37-45","title":"Natural history of paroxysmal nocturnal hemoglobinuria clones in patients presenting as aplastic anemia","type":"article-journal","volume":"87"},"uris":["http://www.mendeley.com/documents/?uuid=6f18328d-f828-4895-b92b-f3f6819e6686","http://www.mendeley.com/documents/?uuid=3f78ed45-a5db-4572-b02b-bde8bea3f1fb"]}],"mendeley":{"formattedCitation":"[5,6]","plainTextFormattedCitation":"[5,6]","previouslyFormattedCitation":"[5,6]"},"properties":{"noteIndex":0},"schema":"https://github.com/citation-style-language/schema/raw/master/csl-citation.json"}</w:instrText>
      </w:r>
      <w:r w:rsidR="00EC3D22">
        <w:fldChar w:fldCharType="separate"/>
      </w:r>
      <w:r w:rsidR="006C65C2" w:rsidRPr="006C65C2">
        <w:rPr>
          <w:noProof/>
        </w:rPr>
        <w:t>[5,6]</w:t>
      </w:r>
      <w:r w:rsidR="00EC3D22">
        <w:fldChar w:fldCharType="end"/>
      </w:r>
      <w:r w:rsidRPr="00D07EC1">
        <w:t xml:space="preserve">. При этом выявление клона с дефицитом </w:t>
      </w:r>
      <w:r w:rsidR="007A4B7E" w:rsidRPr="00BD0E44">
        <w:rPr>
          <w:rFonts w:eastAsia="Times New Roman"/>
        </w:rPr>
        <w:lastRenderedPageBreak/>
        <w:t>гликозилфосфатидилинозитол</w:t>
      </w:r>
      <w:r w:rsidR="007A4B7E">
        <w:rPr>
          <w:rFonts w:eastAsia="Times New Roman"/>
        </w:rPr>
        <w:t xml:space="preserve"> (ГФИ) </w:t>
      </w:r>
      <w:r w:rsidRPr="00D07EC1">
        <w:t xml:space="preserve">белков не означает развитие ПНГ как самостоятельного заболевания с картиной классического внутрисосудистого гемолиза. Размер ПНГ-клона в процессе течения </w:t>
      </w:r>
      <w:r w:rsidR="00883F4F">
        <w:t>АА</w:t>
      </w:r>
      <w:r w:rsidRPr="00D07EC1">
        <w:t xml:space="preserve"> может меняться до полного исчезновени</w:t>
      </w:r>
      <w:r w:rsidR="008C0E55">
        <w:t>я</w:t>
      </w:r>
      <w:r w:rsidR="008C0E55" w:rsidRPr="008C0E55">
        <w:t xml:space="preserve"> </w:t>
      </w:r>
      <w:r w:rsidR="003F1539">
        <w:fldChar w:fldCharType="begin" w:fldLock="1"/>
      </w:r>
      <w:r w:rsidR="00083277">
        <w:instrText>ADDIN CSL_CITATION {"citationItems":[{"id":"ITEM-1","itemData":{"DOI":"10.1016/S0140-6736(95)12360-1","ISSN":"01406736","abstract":"Background Paroxysmal nocturnal haemoglobinuria (PNH) is a rare acquired disorder of haematopoietic stem cells. Although knowledge about the pathophysiology of the disease is increasing, no multivariate analysis of factors influencing survival has been undertaken, mainly because the disease is rare. We undertook such an investigation. Methods Data were collected on 220 patients with PNH diagnosed over a 46-year period (1950-1995) from participating French centres. Diagnosis of the disease required, at least, an unequivocally positive Ham's test. Findings The Kaplan-Meier survival estimate was 65% (SE 4) at 10 years and 48% (6) at 15 years after diagnosis. 8-year cumulative incidence rates of the main complications (pancytopenia, thrombosis, and myelodysplastic syndrome) were 15% (3), 28% (4), and 5% (2), respectively. Demographic data, presenting features, initial treatment, complications, and causes of death were similar to those previously reported. In multivariate analysis, seven factors were significantly associated with survival in patients with PNH, Poor survival was associated with the occurrence of thrombosis as a complication (relative risk 10.2 [95% CI 6-17], p &lt; 0.0001), evolution to pancytopenia (5.5 [2.8-11], p &lt; 0.0001), myelodysplastic syndrome or acute leukaemia (19.1 [7.3-50], p &lt; 0.001), age over 5.5 years at diagnosis (4 [2.4-6.9], p &lt; 0.0001), need for additional treatment (2.1 [1.3-3.6], p &lt; 0.003), and thrombocytopenia at diagnosis (2.2 [1.3-3.8, p &lt; 0.003). Better survival was shown for patients in whom aplastic anaemia antedated PNH (0.32 [0.14-0.72], p &lt; 0.02). Factors associated in multivariate analysis with a high risk of thrombosis during the disease course were thrombosis at diagnosis (5.1 [2.5-10.6], p = 0.0002), age over 54 years (2.6 [1.5-4.6, p = 0.0014), and infection at diagnosis (2.6 [1.3-5.2], p = 0.0099). The risk factors for progression to pancytopenia were absence at diagnosis of anaemia (4.03 [1.3-12.2], p = 0.03) and neutropenia (2.45 [1.1-5.7], p = 0.03). The risk factors for development of myelodysplastic syndrome or acute leukaemia were abdominal pain crisis at presentation (10.5 [2.5-44.0], p = 0.004) and year of diagnosis after 1983(8.45 [1.8-40.7], p = 0.004). Interpretation This large number of cases permitted a detailed analysis of prognostic factors for the first time, in this rare disease. Estimates of PNH prognostic factors may serve as baseline data in the assessment of current and future treatments …","author":[{"dropping-particle":"","family":"Socié","given":"Gérard","non-dropping-particle":"","parse-names":false,"suffix":""},{"dropping-particle":"","family":"Mary","given":"Jean-Yves","non-dropping-particle":"","parse-names":false,"suffix":""},{"dropping-particle":"","family":"Gramont","given":"Aimery","non-dropping-particle":"de","parse-names":false,"suffix":""},{"dropping-particle":"","family":"Rio","given":"Bernard","non-dropping-particle":"","parse-names":false,"suffix":""},{"dropping-particle":"","family":"Leporrier","given":"Michel","non-dropping-particle":"","parse-names":false,"suffix":""},{"dropping-particle":"","family":"Rose","given":"Christian","non-dropping-particle":"","parse-names":false,"suffix":""},{"dropping-particle":"","family":"Heudier","given":"Phillippe","non-dropping-particle":"","parse-names":false,"suffix":""},{"dropping-particle":"","family":"Rochant","given":"Henry","non-dropping-particle":"","parse-names":false,"suffix":""},{"dropping-particle":"","family":"Cahn","given":"Jean-Yves","non-dropping-particle":"","parse-names":false,"suffix":""},{"dropping-particle":"","family":"Gluckman","given":"Eliane","non-dropping-particle":"","parse-names":false,"suffix":""}],"container-title":"The Lancet","id":"ITEM-1","issue":"9027","issued":{"date-parts":[["1996","8"]]},"page":"573-577","title":"Paroxysmal nocturnal haemoglobinuria: long-term follow-up and prognostic factors","type":"article-journal","volume":"348"},"uris":["http://www.mendeley.com/documents/?uuid=191a3d2e-d113-4b8b-ad82-e207900a3f41","http://www.mendeley.com/documents/?uuid=a93b8413-b44d-4206-af1c-7297aee50ad2"]}],"mendeley":{"formattedCitation":"[7]","plainTextFormattedCitation":"[7]","previouslyFormattedCitation":"[7]"},"properties":{"noteIndex":0},"schema":"https://github.com/citation-style-language/schema/raw/master/csl-citation.json"}</w:instrText>
      </w:r>
      <w:r w:rsidR="003F1539">
        <w:fldChar w:fldCharType="separate"/>
      </w:r>
      <w:r w:rsidR="006C65C2" w:rsidRPr="006C65C2">
        <w:rPr>
          <w:noProof/>
        </w:rPr>
        <w:t>[7]</w:t>
      </w:r>
      <w:r w:rsidR="003F1539">
        <w:fldChar w:fldCharType="end"/>
      </w:r>
      <w:r w:rsidRPr="00D07EC1">
        <w:t>. Эволюция в классическую ПНГ</w:t>
      </w:r>
      <w:r w:rsidR="00F005C4">
        <w:t>,</w:t>
      </w:r>
      <w:r w:rsidRPr="00D07EC1">
        <w:t xml:space="preserve"> по данным различных авторов</w:t>
      </w:r>
      <w:r w:rsidR="00F005C4">
        <w:t>,</w:t>
      </w:r>
      <w:r w:rsidRPr="00D07EC1">
        <w:t xml:space="preserve"> составляет 11-17% </w:t>
      </w:r>
      <w:r w:rsidR="00EC3D22">
        <w:fldChar w:fldCharType="begin" w:fldLock="1"/>
      </w:r>
      <w:r w:rsidR="00083277">
        <w:instrText>ADDIN CSL_CITATION {"citationItems":[{"id":"ITEM-1","itemData":{"DOI":"10.1111/bjh.12661","abstract":"Paroxysmal nocturnal haemoglobinuria (PNH) clones are frequently detected in patients with aplastic anaemia (AA). To evaluate the prognostic role of PNH clone presence we conducted a prospective study in 125 AA patients treated with combined immunosuppressive therapy (IST). Seventy-four patients (59%) had a PNH clone (PNH+ patients) at diagnosis, with a median clone size of 0·60% in granulocytes and 0·15% in red blood cells. The response rate at 6 months was higher in PNH+ patients than that in PNH- patients, both after first- and second-line IST: 68% vs. 45%, P = 0·0164 and 53% vs. 13%, P = 0·0502 respectively. Moreover, 42% of PNH+ patients achieved complete remission compared with only 16% of PNH- patients (P = 0·0029). In multivariate logistic regression analysis, PNH clone presence (odds ratio 2·56, P = 0·0180) and baseline absolute reticulocyte count (ARC) ≥30 × 10 9 /l (odds ratio 5·19, P = 0·0011) were independent predictors of response to treatment. Stratification according to PNH positivity and ARC ≥30 × 10 9 /l showed significant distinctions for cumulative incidence of response, overall and failure-free survival. The results of this prospective study confirmed the favourable prognostic value of PNH clone presence in the setting of IST for AA. © 2013 John Wiley  &amp;  Sons Ltd.","author":[{"dropping-particle":"","family":"Kulagin","given":"A.","non-dropping-particle":"","parse-names":false,"suffix":""},{"dropping-particle":"","family":"Lisukov","given":"I.","non-dropping-particle":"","parse-names":false,"suffix":""},{"dropping-particle":"","family":"Ivanova","given":"M.","non-dropping-particle":"","parse-names":false,"suffix":""},{"dropping-particle":"","family":"Golubovskaya","given":"I.","non-dropping-particle":"","parse-names":false,"suffix":""},{"dropping-particle":"","family":"Kruchkova","given":"I.","non-dropping-particle":"","parse-names":false,"suffix":""},{"dropping-particle":"","family":"Bondarenko","given":"S.","non-dropping-particle":"","parse-names":false,"suffix":""},{"dropping-particle":"","family":"Vavilov","given":"V.","non-dropping-particle":"","parse-names":false,"suffix":""},{"dropping-particle":"","family":"Stancheva","given":"N.","non-dropping-particle":"","parse-names":false,"suffix":""},{"dropping-particle":"","family":"Babenko","given":"E.","non-dropping-particle":"","parse-names":false,"suffix":""},{"dropping-particle":"","family":"Sipol","given":"A.","non-dropping-particle":"","parse-names":false,"suffix":""},{"dropping-particle":"","family":"Pronkina","given":"N.","non-dropping-particle":"","parse-names":false,"suffix":""},{"dropping-particle":"","family":"Kozlov","given":"V.","non-dropping-particle":"","parse-names":false,"suffix":""},{"dropping-particle":"","family":"Afanasyev","given":"B.","non-dropping-particle":"","parse-names":false,"suffix":""}],"container-title":"British Journal of Haematology","id":"ITEM-1","issue":"4","issued":{"date-parts":[["2014"]]},"page":"546-554","title":"Prognostic value of paroxysmal nocturnal haemoglobinuria clone presence in aplastic anaemia patients treated with combined immunosuppression: Results of two-centre prospective study","type":"article-journal","volume":"164"},"uris":["http://www.mendeley.com/documents/?uuid=aa602c4a-77b6-3dd0-93ba-8c5eaa5cfccd","http://www.mendeley.com/documents/?uuid=034ec990-8a3f-4675-bbcf-7df21ae7b02d"]},{"id":"ITEM-2","itemData":{"DOI":"10.1007/s00277-010-1140-9","ISBN":"1432-0584 (Electronic)\\n0939-5555 (Linking)","ISSN":"09395555","PMID":"21207031","abstract":"To assess the incidence rates and risk factors for clonal evolutions in aplastic anemia (AA) patients, we studied 802 hospitalization cases from January 1991 through December 2007 by using the cumulative incidence curves and the Cox proportional hazards mode. We found that the case of 19 patients had evolved to myelodysplastic syndrome or acute myeloid leukemia (MDS/AML), while 21 patients (two of them with concurrent MDS) developed paroxysmal nocturnal hemoglobinuria (PNH). The cumulative incidence of clonal evolutions was assessed as 3.7%, whereas the incidences of MDS/AML and PNH were 1.7% and 2.1%, respectively, at 5 years. By multivariate analysis, age, severity of the disease, and the number of days of rhuG-CSF therapy were the risk factors for AA evolution to MDS/AML. The relative risk (RR) for very severe AA was approximately seven times higher than that for severe AA (SAA) and non-SAA (NSAA) (P = 0.001), but the latter two did not differ significantly (P = 0.743). PNH clone was monitored sequentially in 237 patients; positive clones were detected in 41% of the patients, but more than half of them were transient or instable. White blood cell count at initial diagnosis was identified as the only significant risk factor for AA evolution to PNH (P = 0.007). Our results suggest that the transformation to PNH for subpopulations of AA patients may be natural evolution as the clinical manifestation and pathogenesis between AA and PNH were closely related. Furthermore, normalizing hematopoiesis of AA may represent a viable approach to prevent clone evolutions, especially to MDS/AML.","author":[{"dropping-particle":"","family":"Li","given":"Yingmei","non-dropping-particle":"","parse-names":false,"suffix":""},{"dropping-particle":"","family":"Li","given":"Xingxin","non-dropping-particle":"","parse-names":false,"suffix":""},{"dropping-particle":"","family":"Ge","given":"Meili","non-dropping-particle":"","parse-names":false,"suffix":""},{"dropping-particle":"","family":"Shi","given":"Jun","non-dropping-particle":"","parse-names":false,"suffix":""},{"dropping-particle":"","family":"Qian","given":"Linsheng","non-dropping-particle":"","parse-names":false,"suffix":""},{"dropping-particle":"","family":"Zheng","given":"Yizhou","non-dropping-particle":"","parse-names":false,"suffix":""},{"dropping-particle":"","family":"Wang","given":"Jianxiang","non-dropping-particle":"","parse-names":false,"suffix":""}],"container-title":"Annals of Hematology","id":"ITEM-2","issue":"5","issued":{"date-parts":[["2011"]]},"page":"529-537","title":"Long-term follow-up of clonal evolutions in 802 aplastic anemia patients: A single-center experience","type":"article-journal","volume":"90"},"uris":["http://www.mendeley.com/documents/?uuid=44cb96f7-c86c-4eb8-bda4-9596bd8d5fe1","http://www.mendeley.com/documents/?uuid=212a01c8-4f99-4dee-8017-80a805f8472f"]},{"id":"ITEM-3","itemData":{"abstract":"Paroxysmal nocturnal hemoglobinuria (PNH) is a rare acquired clonal blood disorder caused by somatic mutation of the phosphatidylinosi- tol glycan complementation group A gene (PIG-A) in a hematopoietic stem cell. PNH is characterized by chronic intravascular hemolysis, bone marrow failure, thrombosis, renal dysfunction and other severe clinical syndromes. These clinical guidelines include definition, classi- fication, methods and diagnostic criteria of PNH, indications for screening, optimal treatment including targeted therapy with eculizumab, bone marrow transplantation and symptomatic therapy.","author":[{"dropping-particle":"","family":"Кулагин А.Д., Лисуков И.А., Птушкин В.В., Шилова Е.Р., Цветаева Н.В.","given":"Михайлова Е.А.","non-dropping-particle":"","parse-names":false,"suffix":""}],"container-title":"Онкогематология","id":"ITEM-3","issued":{"date-parts":[["2014"]]},"page":"20-28","title":"Национальные рекомендации по диагностике и лечениюпроксизмальной ночной гемоглобинурии","type":"article-journal","volume":"2"},"uris":["http://www.mendeley.com/documents/?uuid=a2c321ea-848d-4b11-bf3b-a77f80f38ecb","http://www.mendeley.com/documents/?uuid=896a92c4-141c-4a8e-bf24-ff99c1767f35"]}],"mendeley":{"formattedCitation":"[8–10]","plainTextFormattedCitation":"[8–10]","previouslyFormattedCitation":"[8–10]"},"properties":{"noteIndex":0},"schema":"https://github.com/citation-style-language/schema/raw/master/csl-citation.json"}</w:instrText>
      </w:r>
      <w:r w:rsidR="00EC3D22">
        <w:fldChar w:fldCharType="separate"/>
      </w:r>
      <w:r w:rsidR="0012563C" w:rsidRPr="0012563C">
        <w:rPr>
          <w:noProof/>
        </w:rPr>
        <w:t>[8–10]</w:t>
      </w:r>
      <w:r w:rsidR="00EC3D22">
        <w:fldChar w:fldCharType="end"/>
      </w:r>
      <w:r w:rsidRPr="00D07EC1">
        <w:t xml:space="preserve">. </w:t>
      </w:r>
    </w:p>
    <w:p w14:paraId="2C90F3DD" w14:textId="77777777" w:rsidR="00155B6E" w:rsidRPr="00311757" w:rsidRDefault="00155B6E" w:rsidP="00155B6E">
      <w:pPr>
        <w:pStyle w:val="2"/>
      </w:pPr>
      <w:bookmarkStart w:id="9" w:name="_Toc24362709"/>
      <w:bookmarkStart w:id="10" w:name="_Toc67522223"/>
      <w:r w:rsidRPr="00B46390">
        <w:t xml:space="preserve">1.3 </w:t>
      </w:r>
      <w:r w:rsidRPr="00311757">
        <w:t xml:space="preserve">Эпидемиология </w:t>
      </w:r>
      <w:r w:rsidRPr="00311757">
        <w:rPr>
          <w:color w:val="333333"/>
          <w:shd w:val="clear" w:color="auto" w:fill="FFFFFF"/>
        </w:rPr>
        <w:t>заболевания или состояния (группы заболеваний или состояний)</w:t>
      </w:r>
      <w:bookmarkEnd w:id="9"/>
      <w:bookmarkEnd w:id="10"/>
    </w:p>
    <w:p w14:paraId="4A7E8067" w14:textId="7D4EDBEC" w:rsidR="00D23199" w:rsidRPr="00D07EC1" w:rsidRDefault="00A01726" w:rsidP="00D07EC1">
      <w:pPr>
        <w:pStyle w:val="afd"/>
        <w:spacing w:line="360" w:lineRule="auto"/>
        <w:ind w:firstLine="709"/>
        <w:contextualSpacing/>
        <w:rPr>
          <w:rFonts w:eastAsiaTheme="minorEastAsia"/>
        </w:rPr>
      </w:pPr>
      <w:r>
        <w:t>Апластическая анемия</w:t>
      </w:r>
      <w:r w:rsidR="00031607" w:rsidRPr="00D07EC1">
        <w:t xml:space="preserve">, по данным эпидемиологических исследований, </w:t>
      </w:r>
      <w:r w:rsidR="00F005C4" w:rsidRPr="00D07EC1">
        <w:t>встреча</w:t>
      </w:r>
      <w:r w:rsidR="00F005C4">
        <w:t>е</w:t>
      </w:r>
      <w:r w:rsidR="00F005C4" w:rsidRPr="00D07EC1">
        <w:t xml:space="preserve">тся </w:t>
      </w:r>
      <w:r w:rsidR="00031607" w:rsidRPr="00D07EC1">
        <w:t>с различной частотой в таких регионах, как Европа, Северная Америка, Дальний и Ближний Восток</w:t>
      </w:r>
      <w:r w:rsidR="00F005C4">
        <w:t>;</w:t>
      </w:r>
      <w:r w:rsidR="00031607" w:rsidRPr="00D07EC1">
        <w:t xml:space="preserve"> при этом</w:t>
      </w:r>
      <w:r w:rsidR="00F005C4">
        <w:t>,</w:t>
      </w:r>
      <w:r w:rsidR="00031607" w:rsidRPr="00D07EC1">
        <w:t xml:space="preserve"> по данным Интернационального исследования агранулоцитозов и </w:t>
      </w:r>
      <w:r w:rsidR="00883F4F">
        <w:t>АА</w:t>
      </w:r>
      <w:r w:rsidR="00F005C4">
        <w:t>,</w:t>
      </w:r>
      <w:r w:rsidR="00031607" w:rsidRPr="00D07EC1">
        <w:t xml:space="preserve"> в Европейских странах распространенность </w:t>
      </w:r>
      <w:r w:rsidR="00883F4F">
        <w:t>АА</w:t>
      </w:r>
      <w:r w:rsidR="00031607" w:rsidRPr="00D07EC1">
        <w:t xml:space="preserve"> составляет 2 на 1 млн населения в год при колебании этого показателя</w:t>
      </w:r>
      <w:r w:rsidR="00F005C4">
        <w:t>,</w:t>
      </w:r>
      <w:r w:rsidR="00031607" w:rsidRPr="00D07EC1">
        <w:t xml:space="preserve"> в зависимости от конкретной страны</w:t>
      </w:r>
      <w:r w:rsidR="00F005C4">
        <w:t>,</w:t>
      </w:r>
      <w:r w:rsidR="00031607" w:rsidRPr="00D07EC1">
        <w:t xml:space="preserve"> от 0,6 до 3 и более на 1 млн населения в год</w:t>
      </w:r>
      <w:r w:rsidR="009B780E" w:rsidRPr="009B780E">
        <w:t xml:space="preserve"> </w:t>
      </w:r>
      <w:r w:rsidR="009B780E">
        <w:fldChar w:fldCharType="begin" w:fldLock="1"/>
      </w:r>
      <w:r w:rsidR="00083277">
        <w:instrText>ADDIN CSL_CITATION {"citationItems":[{"id":"ITEM-1","itemData":{"DOI":"10.1002/ajh.20489","ISSN":"03618609","abstract":"Agranulocytosis and aplastic anemia are both rare, life-threatening blood dyscrasias. Agranulocytosis is mainly caused by medicines, whereas the etiology of aplastic anemia is largely unexplained. In two epidemiologic studies using the same methods, we observed a striking inverse relationship between the incidence of the two diseases in different regions, including five countries in Europe, and Israel and Thailand. The annual incidence of agranulocytosis ranged from 1.1 to 4.9 cases per million, and that of aplastic anemia, from 0.7 to 4.1 per million; the inverse correlation was consistent among the regions (R2 = 0.74). There is no clear explanation for this previously unreported pattern, but it seems unlikely to be due to methodology.","author":[{"dropping-particle":"","family":"Kaufman","given":"David W.","non-dropping-particle":"","parse-names":false,"suffix":""},{"dropping-particle":"","family":"Kelly","given":"Judith P.","non-dropping-particle":"","parse-names":false,"suffix":""},{"dropping-particle":"","family":"Issaragrisil","given":"Surapol","non-dropping-particle":"","parse-names":false,"suffix":""},{"dropping-particle":"","family":"Laporte","given":"Joan Ramon","non-dropping-particle":"","parse-names":false,"suffix":""},{"dropping-particle":"","family":"Anderson","given":"Theresa","non-dropping-particle":"","parse-names":false,"suffix":""},{"dropping-particle":"","family":"Levy","given":"Micha","non-dropping-particle":"","parse-names":false,"suffix":""},{"dropping-particle":"","family":"Shapiro","given":"Samuel","non-dropping-particle":"","parse-names":false,"suffix":""},{"dropping-particle":"","family":"Young","given":"Neal S.","non-dropping-particle":"","parse-names":false,"suffix":""}],"container-title":"American Journal of Hematology","id":"ITEM-1","issued":{"date-parts":[["2006"]]},"title":"Relative incidence of agranulocytosis and aplastic anemia","type":"article-journal"},"uris":["http://www.mendeley.com/documents/?uuid=6f80dc95-7500-3f7a-8ffe-02e6afd081ae"]}],"mendeley":{"formattedCitation":"[11]","plainTextFormattedCitation":"[11]","previouslyFormattedCitation":"[11]"},"properties":{"noteIndex":0},"schema":"https://github.com/citation-style-language/schema/raw/master/csl-citation.json"}</w:instrText>
      </w:r>
      <w:r w:rsidR="009B780E">
        <w:fldChar w:fldCharType="separate"/>
      </w:r>
      <w:r w:rsidR="0012563C" w:rsidRPr="0012563C">
        <w:rPr>
          <w:noProof/>
        </w:rPr>
        <w:t>[11]</w:t>
      </w:r>
      <w:r w:rsidR="009B780E">
        <w:fldChar w:fldCharType="end"/>
      </w:r>
      <w:r w:rsidR="00031607" w:rsidRPr="00D07EC1">
        <w:t>.</w:t>
      </w:r>
    </w:p>
    <w:p w14:paraId="180D4B5D" w14:textId="77777777" w:rsidR="00155B6E" w:rsidRPr="00311757" w:rsidRDefault="00155B6E" w:rsidP="00155B6E">
      <w:pPr>
        <w:pStyle w:val="2"/>
      </w:pPr>
      <w:bookmarkStart w:id="11" w:name="_Toc24362710"/>
      <w:bookmarkStart w:id="12" w:name="_Toc67522224"/>
      <w:r w:rsidRPr="00B46390">
        <w:t xml:space="preserve">1.4 </w:t>
      </w:r>
      <w:r w:rsidRPr="00311757">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1"/>
      <w:bookmarkEnd w:id="12"/>
    </w:p>
    <w:p w14:paraId="0A224DD9" w14:textId="77777777" w:rsidR="00D23199" w:rsidRPr="00D07EC1" w:rsidRDefault="00031607" w:rsidP="00D07EC1">
      <w:pPr>
        <w:pStyle w:val="afd"/>
        <w:spacing w:line="360" w:lineRule="auto"/>
        <w:ind w:firstLine="709"/>
        <w:contextualSpacing/>
        <w:rPr>
          <w:rFonts w:eastAsiaTheme="minorEastAsia"/>
        </w:rPr>
      </w:pPr>
      <w:r w:rsidRPr="00D07EC1">
        <w:rPr>
          <w:rStyle w:val="affa"/>
        </w:rPr>
        <w:t>Другие апластические анемии</w:t>
      </w:r>
      <w:r w:rsidRPr="00D07EC1">
        <w:t xml:space="preserve"> (D61)</w:t>
      </w:r>
    </w:p>
    <w:p w14:paraId="78BBDF00" w14:textId="05AFC5EA" w:rsidR="00D23199" w:rsidRPr="00D07EC1" w:rsidRDefault="00031607" w:rsidP="00D07EC1">
      <w:pPr>
        <w:pStyle w:val="afd"/>
        <w:spacing w:line="360" w:lineRule="auto"/>
        <w:ind w:firstLine="709"/>
        <w:contextualSpacing/>
      </w:pPr>
      <w:r w:rsidRPr="00117113">
        <w:rPr>
          <w:b/>
        </w:rPr>
        <w:t>D61.3</w:t>
      </w:r>
      <w:r w:rsidRPr="00D07EC1">
        <w:t xml:space="preserve"> - Идиопатическая </w:t>
      </w:r>
      <w:r w:rsidR="00883F4F">
        <w:t>АА</w:t>
      </w:r>
    </w:p>
    <w:p w14:paraId="5A66EF1F" w14:textId="434856E8" w:rsidR="00D23199" w:rsidRPr="00D07EC1" w:rsidRDefault="00031607" w:rsidP="00D07EC1">
      <w:pPr>
        <w:pStyle w:val="afd"/>
        <w:spacing w:line="360" w:lineRule="auto"/>
        <w:ind w:firstLine="709"/>
        <w:contextualSpacing/>
      </w:pPr>
      <w:r w:rsidRPr="00117113">
        <w:rPr>
          <w:b/>
        </w:rPr>
        <w:t>D61.8</w:t>
      </w:r>
      <w:r w:rsidRPr="00D07EC1">
        <w:t xml:space="preserve"> - Другие уточненные </w:t>
      </w:r>
      <w:r w:rsidR="00883F4F">
        <w:t>АА</w:t>
      </w:r>
    </w:p>
    <w:p w14:paraId="723BC333" w14:textId="44078015" w:rsidR="003B5B81" w:rsidRDefault="00031607" w:rsidP="003B5B81">
      <w:r w:rsidRPr="003B5B81">
        <w:rPr>
          <w:b/>
        </w:rPr>
        <w:t>D61.9</w:t>
      </w:r>
      <w:r w:rsidRPr="00D07EC1">
        <w:t xml:space="preserve"> </w:t>
      </w:r>
      <w:r w:rsidR="003B5B81">
        <w:t>–</w:t>
      </w:r>
      <w:r w:rsidRPr="00D07EC1">
        <w:t xml:space="preserve"> </w:t>
      </w:r>
      <w:r w:rsidR="003B5B81">
        <w:t xml:space="preserve">апластическая анемия </w:t>
      </w:r>
      <w:r w:rsidRPr="00D07EC1">
        <w:t>неуточненная</w:t>
      </w:r>
      <w:bookmarkStart w:id="13" w:name="_Toc24362711"/>
    </w:p>
    <w:p w14:paraId="231D91F3" w14:textId="79BC6865" w:rsidR="00155B6E" w:rsidRDefault="00155B6E" w:rsidP="003B5B81">
      <w:pPr>
        <w:pStyle w:val="11"/>
      </w:pPr>
      <w:bookmarkStart w:id="14" w:name="_Toc67522225"/>
      <w:r w:rsidRPr="00B46390">
        <w:t>1.5 Классификация</w:t>
      </w:r>
      <w:r>
        <w:t xml:space="preserve"> </w:t>
      </w:r>
      <w:r w:rsidRPr="00311757">
        <w:rPr>
          <w:color w:val="333333"/>
          <w:shd w:val="clear" w:color="auto" w:fill="FFFFFF"/>
        </w:rPr>
        <w:t>заболевания или состояния (группы заболеваний или состояний)</w:t>
      </w:r>
      <w:bookmarkEnd w:id="13"/>
      <w:bookmarkEnd w:id="14"/>
    </w:p>
    <w:p w14:paraId="22EF5F2B" w14:textId="142323B5" w:rsidR="00D23199" w:rsidRPr="00D07EC1" w:rsidRDefault="00031607" w:rsidP="00155B6E">
      <w:pPr>
        <w:pStyle w:val="afd"/>
        <w:spacing w:line="360" w:lineRule="auto"/>
        <w:ind w:firstLine="709"/>
        <w:contextualSpacing/>
        <w:rPr>
          <w:rFonts w:eastAsiaTheme="minorEastAsia"/>
        </w:rPr>
      </w:pPr>
      <w:r w:rsidRPr="00D07EC1">
        <w:t>Приобретенная АА:</w:t>
      </w:r>
    </w:p>
    <w:p w14:paraId="5422B176" w14:textId="77777777" w:rsidR="00D23199" w:rsidRPr="00D07EC1" w:rsidRDefault="00031607" w:rsidP="00D07EC1">
      <w:pPr>
        <w:pStyle w:val="afd"/>
        <w:numPr>
          <w:ilvl w:val="0"/>
          <w:numId w:val="3"/>
        </w:numPr>
        <w:spacing w:before="100" w:after="100" w:line="360" w:lineRule="auto"/>
        <w:ind w:firstLine="709"/>
        <w:contextualSpacing/>
      </w:pPr>
      <w:r w:rsidRPr="00D07EC1">
        <w:t>Идиопатическая АА</w:t>
      </w:r>
    </w:p>
    <w:p w14:paraId="51FEE896" w14:textId="77777777" w:rsidR="00D23199" w:rsidRPr="00D07EC1" w:rsidRDefault="00031607" w:rsidP="00D07EC1">
      <w:pPr>
        <w:pStyle w:val="afd"/>
        <w:numPr>
          <w:ilvl w:val="0"/>
          <w:numId w:val="3"/>
        </w:numPr>
        <w:spacing w:before="100" w:after="100" w:line="360" w:lineRule="auto"/>
        <w:ind w:firstLine="709"/>
        <w:contextualSpacing/>
      </w:pPr>
      <w:r w:rsidRPr="00D07EC1">
        <w:t>Вторичные АА</w:t>
      </w:r>
    </w:p>
    <w:p w14:paraId="3B2DB1D6" w14:textId="77777777" w:rsidR="00D23199" w:rsidRPr="00D07EC1" w:rsidRDefault="00031607" w:rsidP="00D07EC1">
      <w:pPr>
        <w:pStyle w:val="afd"/>
        <w:numPr>
          <w:ilvl w:val="1"/>
          <w:numId w:val="4"/>
        </w:numPr>
        <w:spacing w:before="100" w:after="100" w:line="360" w:lineRule="auto"/>
        <w:ind w:firstLine="709"/>
        <w:contextualSpacing/>
      </w:pPr>
      <w:r w:rsidRPr="00D07EC1">
        <w:t>Радиация</w:t>
      </w:r>
    </w:p>
    <w:p w14:paraId="630C356F" w14:textId="54319F67" w:rsidR="00D23199" w:rsidRPr="00D07EC1" w:rsidRDefault="00031607" w:rsidP="00D07EC1">
      <w:pPr>
        <w:pStyle w:val="afd"/>
        <w:numPr>
          <w:ilvl w:val="1"/>
          <w:numId w:val="4"/>
        </w:numPr>
        <w:spacing w:before="100" w:after="100" w:line="360" w:lineRule="auto"/>
        <w:ind w:firstLine="709"/>
        <w:contextualSpacing/>
      </w:pPr>
      <w:r w:rsidRPr="00D07EC1">
        <w:t>Лекар</w:t>
      </w:r>
      <w:r w:rsidR="00736353">
        <w:t>с</w:t>
      </w:r>
      <w:r w:rsidRPr="00D07EC1">
        <w:t>твенные препараты и химические токсины</w:t>
      </w:r>
    </w:p>
    <w:p w14:paraId="666AC33B" w14:textId="77777777" w:rsidR="00D23199" w:rsidRPr="00D07EC1" w:rsidRDefault="00031607" w:rsidP="00D07EC1">
      <w:pPr>
        <w:pStyle w:val="afd"/>
        <w:numPr>
          <w:ilvl w:val="1"/>
          <w:numId w:val="4"/>
        </w:numPr>
        <w:spacing w:before="100" w:after="100" w:line="360" w:lineRule="auto"/>
        <w:ind w:firstLine="709"/>
        <w:contextualSpacing/>
      </w:pPr>
      <w:r w:rsidRPr="00D07EC1">
        <w:t>Вирусы</w:t>
      </w:r>
    </w:p>
    <w:p w14:paraId="28D09B75" w14:textId="77777777" w:rsidR="00D23199" w:rsidRPr="00D07EC1" w:rsidRDefault="00031607" w:rsidP="00D07EC1">
      <w:pPr>
        <w:pStyle w:val="afd"/>
        <w:numPr>
          <w:ilvl w:val="1"/>
          <w:numId w:val="4"/>
        </w:numPr>
        <w:spacing w:before="100" w:after="100" w:line="360" w:lineRule="auto"/>
        <w:ind w:firstLine="709"/>
        <w:contextualSpacing/>
      </w:pPr>
      <w:r w:rsidRPr="00D07EC1">
        <w:t>Иммунопатология</w:t>
      </w:r>
    </w:p>
    <w:p w14:paraId="65E895FE" w14:textId="77777777" w:rsidR="00D23199" w:rsidRPr="00D07EC1" w:rsidRDefault="00031607" w:rsidP="00D07EC1">
      <w:pPr>
        <w:pStyle w:val="afd"/>
        <w:numPr>
          <w:ilvl w:val="1"/>
          <w:numId w:val="4"/>
        </w:numPr>
        <w:spacing w:before="100" w:after="100" w:line="360" w:lineRule="auto"/>
        <w:ind w:firstLine="709"/>
        <w:contextualSpacing/>
      </w:pPr>
      <w:r w:rsidRPr="00D07EC1">
        <w:t>Беременность</w:t>
      </w:r>
    </w:p>
    <w:p w14:paraId="26CF1DD9" w14:textId="00363A57" w:rsidR="00D23199" w:rsidRPr="00D07EC1" w:rsidRDefault="00031607" w:rsidP="00D07EC1">
      <w:pPr>
        <w:pStyle w:val="afd"/>
        <w:spacing w:line="360" w:lineRule="auto"/>
        <w:ind w:firstLine="709"/>
        <w:contextualSpacing/>
      </w:pPr>
      <w:r w:rsidRPr="00D07EC1">
        <w:t xml:space="preserve">Выделяют следующие критерии </w:t>
      </w:r>
      <w:r w:rsidR="00503B51">
        <w:t>тяжести</w:t>
      </w:r>
      <w:r w:rsidR="00BE63F6">
        <w:t xml:space="preserve"> </w:t>
      </w:r>
      <w:r w:rsidRPr="00D07EC1">
        <w:t>приобретенной АА:</w:t>
      </w:r>
    </w:p>
    <w:p w14:paraId="72B8C8DF" w14:textId="77777777" w:rsidR="00D23199" w:rsidRPr="00D07EC1" w:rsidRDefault="00031607" w:rsidP="00D07EC1">
      <w:pPr>
        <w:pStyle w:val="afd"/>
        <w:numPr>
          <w:ilvl w:val="0"/>
          <w:numId w:val="5"/>
        </w:numPr>
        <w:spacing w:before="100" w:after="100" w:line="360" w:lineRule="auto"/>
        <w:ind w:firstLine="709"/>
        <w:contextualSpacing/>
      </w:pPr>
      <w:r w:rsidRPr="00D07EC1">
        <w:lastRenderedPageBreak/>
        <w:t>нетяжелая АА: гранулоцитопения &gt; 0,5 х 10</w:t>
      </w:r>
      <w:r w:rsidRPr="00E05500">
        <w:rPr>
          <w:vertAlign w:val="superscript"/>
        </w:rPr>
        <w:t>9</w:t>
      </w:r>
      <w:r w:rsidRPr="00D07EC1">
        <w:t>/л;</w:t>
      </w:r>
    </w:p>
    <w:p w14:paraId="35FF184F" w14:textId="77777777" w:rsidR="00D23199" w:rsidRPr="00D07EC1" w:rsidRDefault="00031607" w:rsidP="00D07EC1">
      <w:pPr>
        <w:pStyle w:val="afd"/>
        <w:numPr>
          <w:ilvl w:val="0"/>
          <w:numId w:val="5"/>
        </w:numPr>
        <w:spacing w:before="100" w:after="100" w:line="360" w:lineRule="auto"/>
        <w:ind w:firstLine="709"/>
        <w:contextualSpacing/>
      </w:pPr>
      <w:r w:rsidRPr="00D07EC1">
        <w:t>тяжелая АА: гранулоцитопения &lt; 0,5 х 10</w:t>
      </w:r>
      <w:r w:rsidRPr="00E05500">
        <w:rPr>
          <w:vertAlign w:val="superscript"/>
        </w:rPr>
        <w:t>9</w:t>
      </w:r>
      <w:r w:rsidRPr="00D07EC1">
        <w:t>/л, тромбоцитопения &lt; 20,0 х 10</w:t>
      </w:r>
      <w:r w:rsidRPr="006D15D3">
        <w:rPr>
          <w:vertAlign w:val="superscript"/>
        </w:rPr>
        <w:t>9</w:t>
      </w:r>
      <w:r w:rsidRPr="00D07EC1">
        <w:t>/л);</w:t>
      </w:r>
    </w:p>
    <w:p w14:paraId="16546DF0" w14:textId="5916BF22" w:rsidR="00D23199" w:rsidRPr="00D07EC1" w:rsidRDefault="00031607" w:rsidP="00D07EC1">
      <w:pPr>
        <w:pStyle w:val="afd"/>
        <w:numPr>
          <w:ilvl w:val="0"/>
          <w:numId w:val="5"/>
        </w:numPr>
        <w:spacing w:before="100" w:after="100" w:line="360" w:lineRule="auto"/>
        <w:ind w:firstLine="709"/>
        <w:contextualSpacing/>
      </w:pPr>
      <w:r w:rsidRPr="00D07EC1">
        <w:t>cверхтяжелая (очень тяжелая) АА</w:t>
      </w:r>
      <w:r w:rsidRPr="00D07EC1">
        <w:rPr>
          <w:rStyle w:val="affa"/>
        </w:rPr>
        <w:t>:</w:t>
      </w:r>
      <w:r w:rsidRPr="00D07EC1">
        <w:t xml:space="preserve"> гранулоцитопения &lt;</w:t>
      </w:r>
      <w:r w:rsidR="00117113">
        <w:t xml:space="preserve"> </w:t>
      </w:r>
      <w:r w:rsidRPr="00D07EC1">
        <w:t>0,2 х 10</w:t>
      </w:r>
      <w:r w:rsidRPr="006D15D3">
        <w:rPr>
          <w:vertAlign w:val="superscript"/>
        </w:rPr>
        <w:t>9</w:t>
      </w:r>
      <w:r w:rsidRPr="00D07EC1">
        <w:t>/л.</w:t>
      </w:r>
    </w:p>
    <w:p w14:paraId="400A3E7E" w14:textId="3876E196" w:rsidR="00D23199" w:rsidRDefault="00031607" w:rsidP="00D07EC1">
      <w:pPr>
        <w:pStyle w:val="afd"/>
        <w:spacing w:line="360" w:lineRule="auto"/>
        <w:ind w:firstLine="709"/>
        <w:contextualSpacing/>
      </w:pPr>
      <w:r w:rsidRPr="00D07EC1">
        <w:t xml:space="preserve">При определении тяжести </w:t>
      </w:r>
      <w:r w:rsidR="00883F4F">
        <w:t>АА</w:t>
      </w:r>
      <w:r w:rsidRPr="00D07EC1">
        <w:t xml:space="preserve"> учитываются результаты не менее трех анализов периферической крови на момент диагностики заболевания до начала лечения</w:t>
      </w:r>
      <w:r w:rsidR="00A53E3B" w:rsidRPr="00D07EC1">
        <w:t xml:space="preserve"> </w:t>
      </w:r>
      <w:r w:rsidR="00EC3D22">
        <w:fldChar w:fldCharType="begin" w:fldLock="1"/>
      </w:r>
      <w:r w:rsidR="0008327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терапия","type":"chapter"},"uris":["http://www.mendeley.com/documents/?uuid=201edef4-c098-4a20-af3d-38c9a80b0631","http://www.mendeley.com/documents/?uuid=413fbfc6-d5c2-44d1-9422-1094132713b2"]},{"id":"ITEM-2","itemData":{"DOI":"10.1111/bjh.13853","ISSN":"1365-2141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haematology","id":"ITEM-2","issue":"2","issued":{"date-parts":[["2016","1"]]},"language":"eng","page":"187-207","publisher-place":"England","title":"Guidelines for the diagnosis and management of adult aplastic anaemia.","type":"article-journal","volume":"172"},"uris":["http://www.mendeley.com/documents/?uuid=f26b8423-2f44-43fa-82fd-ec382db64a31","http://www.mendeley.com/documents/?uuid=81dbb232-4526-4205-bab8-854e3c2bd2e8"]}],"mendeley":{"formattedCitation":"[12,13]","plainTextFormattedCitation":"[12,13]","previouslyFormattedCitation":"[12,13]"},"properties":{"noteIndex":0},"schema":"https://github.com/citation-style-language/schema/raw/master/csl-citation.json"}</w:instrText>
      </w:r>
      <w:r w:rsidR="00EC3D22">
        <w:fldChar w:fldCharType="separate"/>
      </w:r>
      <w:r w:rsidR="0012563C" w:rsidRPr="0012563C">
        <w:rPr>
          <w:noProof/>
        </w:rPr>
        <w:t>[12,13]</w:t>
      </w:r>
      <w:r w:rsidR="00EC3D22">
        <w:fldChar w:fldCharType="end"/>
      </w:r>
      <w:r w:rsidRPr="00D07EC1">
        <w:t>.</w:t>
      </w:r>
    </w:p>
    <w:p w14:paraId="7C2C9E25" w14:textId="04CC6A9F" w:rsidR="006D3D80" w:rsidRPr="00D07EC1" w:rsidRDefault="006D3D80" w:rsidP="00477355">
      <w:pPr>
        <w:pStyle w:val="afd"/>
        <w:spacing w:before="100" w:after="100" w:line="360" w:lineRule="auto"/>
        <w:ind w:firstLine="709"/>
        <w:contextualSpacing/>
      </w:pPr>
      <w:r>
        <w:t xml:space="preserve">Также принято </w:t>
      </w:r>
      <w:r w:rsidRPr="00D07EC1">
        <w:t xml:space="preserve">выделять три варианта течения </w:t>
      </w:r>
      <w:r w:rsidR="006D15D3">
        <w:t>АА</w:t>
      </w:r>
      <w:r w:rsidRPr="00D07EC1">
        <w:t xml:space="preserve">, в зависимости от выявления ПНГ-клона: </w:t>
      </w:r>
    </w:p>
    <w:p w14:paraId="56BBF2D7" w14:textId="5F17189A" w:rsidR="006D3D80" w:rsidRPr="00D07EC1" w:rsidRDefault="006D3D80" w:rsidP="00BF4D82">
      <w:pPr>
        <w:pStyle w:val="afd"/>
        <w:numPr>
          <w:ilvl w:val="0"/>
          <w:numId w:val="9"/>
        </w:numPr>
        <w:spacing w:before="100" w:after="100" w:line="360" w:lineRule="auto"/>
        <w:ind w:firstLine="709"/>
        <w:contextualSpacing/>
      </w:pPr>
      <w:r w:rsidRPr="00D07EC1">
        <w:t>А</w:t>
      </w:r>
      <w:r w:rsidR="006D15D3">
        <w:t>А</w:t>
      </w:r>
      <w:r w:rsidRPr="00D07EC1">
        <w:t>, протекающая без ПНГ-клона</w:t>
      </w:r>
    </w:p>
    <w:p w14:paraId="0360169F" w14:textId="5EAE4479" w:rsidR="006D3D80" w:rsidRPr="00D07EC1" w:rsidRDefault="006D3D80" w:rsidP="00BF4D82">
      <w:pPr>
        <w:pStyle w:val="afd"/>
        <w:numPr>
          <w:ilvl w:val="0"/>
          <w:numId w:val="9"/>
        </w:numPr>
        <w:spacing w:before="100" w:after="100" w:line="360" w:lineRule="auto"/>
        <w:ind w:firstLine="709"/>
        <w:contextualSpacing/>
      </w:pPr>
      <w:r w:rsidRPr="00D07EC1">
        <w:t>А</w:t>
      </w:r>
      <w:r w:rsidR="006D15D3">
        <w:t>А</w:t>
      </w:r>
      <w:r w:rsidRPr="00D07EC1">
        <w:t>, протекающая с ПНГ-клоном</w:t>
      </w:r>
    </w:p>
    <w:p w14:paraId="31C8B74C" w14:textId="70CD9FAE" w:rsidR="006D3D80" w:rsidRPr="00D07EC1" w:rsidRDefault="006D3D80" w:rsidP="00BF4D82">
      <w:pPr>
        <w:pStyle w:val="afd"/>
        <w:numPr>
          <w:ilvl w:val="0"/>
          <w:numId w:val="9"/>
        </w:numPr>
        <w:spacing w:before="100" w:after="100" w:line="360" w:lineRule="auto"/>
        <w:ind w:firstLine="709"/>
        <w:contextualSpacing/>
      </w:pPr>
      <w:r w:rsidRPr="00D07EC1">
        <w:t>А</w:t>
      </w:r>
      <w:r w:rsidR="006D15D3">
        <w:t>А</w:t>
      </w:r>
      <w:r w:rsidRPr="00D07EC1">
        <w:t>, протекающая с синдромом ПНГ (субклинические</w:t>
      </w:r>
      <w:r w:rsidR="00C13481">
        <w:t xml:space="preserve"> или </w:t>
      </w:r>
      <w:r w:rsidR="00C13481" w:rsidRPr="00F11F75">
        <w:t>клинические</w:t>
      </w:r>
      <w:r w:rsidRPr="00D07EC1">
        <w:t xml:space="preserve"> признаки внутрисосудистого гемолиза) </w:t>
      </w:r>
    </w:p>
    <w:p w14:paraId="640C4B5A" w14:textId="0AE4F220" w:rsidR="002C3C32" w:rsidRPr="00D07EC1" w:rsidRDefault="00031607" w:rsidP="00D07EC1">
      <w:pPr>
        <w:pStyle w:val="11"/>
        <w:rPr>
          <w:szCs w:val="28"/>
          <w:u w:val="none"/>
        </w:rPr>
      </w:pPr>
      <w:bookmarkStart w:id="15" w:name="_Toc67522226"/>
      <w:r w:rsidRPr="00D07EC1">
        <w:rPr>
          <w:szCs w:val="28"/>
          <w:u w:val="none"/>
        </w:rPr>
        <w:t xml:space="preserve">2. </w:t>
      </w:r>
      <w:r w:rsidR="00D44BE0" w:rsidRPr="00D44BE0">
        <w:rPr>
          <w:szCs w:val="28"/>
          <w:u w:val="none"/>
        </w:rPr>
        <w:t>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15"/>
    </w:p>
    <w:p w14:paraId="237CD182" w14:textId="154216E6" w:rsidR="00464623" w:rsidRDefault="00464623" w:rsidP="00464623">
      <w:pPr>
        <w:ind w:firstLine="709"/>
        <w:contextualSpacing/>
        <w:rPr>
          <w:i/>
          <w:szCs w:val="24"/>
        </w:rPr>
      </w:pPr>
      <w:r w:rsidRPr="00937DB8">
        <w:rPr>
          <w:i/>
          <w:szCs w:val="24"/>
        </w:rPr>
        <w:t>Многие рекомендованные методы диагностики заболевания и связанных с ним состояний имеют ограниченную доказательную базу в соотве</w:t>
      </w:r>
      <w:r>
        <w:rPr>
          <w:i/>
          <w:szCs w:val="24"/>
        </w:rPr>
        <w:t>тствии с</w:t>
      </w:r>
      <w:r w:rsidR="00883F4F">
        <w:rPr>
          <w:i/>
          <w:szCs w:val="24"/>
        </w:rPr>
        <w:t>о</w:t>
      </w:r>
      <w:r>
        <w:rPr>
          <w:i/>
          <w:szCs w:val="24"/>
        </w:rPr>
        <w:t xml:space="preserve"> шкалами оценки</w:t>
      </w:r>
      <w:r w:rsidR="006D15D3">
        <w:rPr>
          <w:i/>
          <w:szCs w:val="24"/>
        </w:rPr>
        <w:t xml:space="preserve"> уровня достоверности доказательств</w:t>
      </w:r>
      <w:r>
        <w:rPr>
          <w:i/>
          <w:szCs w:val="24"/>
        </w:rPr>
        <w:t xml:space="preserve"> </w:t>
      </w:r>
      <w:r w:rsidR="006D15D3">
        <w:rPr>
          <w:i/>
          <w:szCs w:val="24"/>
        </w:rPr>
        <w:t>(</w:t>
      </w:r>
      <w:r>
        <w:rPr>
          <w:i/>
          <w:szCs w:val="24"/>
        </w:rPr>
        <w:t>УДД</w:t>
      </w:r>
      <w:r w:rsidR="006D15D3">
        <w:rPr>
          <w:i/>
          <w:szCs w:val="24"/>
        </w:rPr>
        <w:t>)</w:t>
      </w:r>
      <w:r w:rsidR="00883F4F">
        <w:rPr>
          <w:i/>
          <w:szCs w:val="24"/>
        </w:rPr>
        <w:t>,</w:t>
      </w:r>
      <w:r w:rsidR="006D15D3">
        <w:rPr>
          <w:i/>
          <w:szCs w:val="24"/>
        </w:rPr>
        <w:t xml:space="preserve"> уровня убедительности рекомендаций</w:t>
      </w:r>
      <w:r>
        <w:rPr>
          <w:i/>
          <w:szCs w:val="24"/>
        </w:rPr>
        <w:t xml:space="preserve"> </w:t>
      </w:r>
      <w:r w:rsidR="006D15D3">
        <w:rPr>
          <w:i/>
          <w:szCs w:val="24"/>
        </w:rPr>
        <w:t>(</w:t>
      </w:r>
      <w:r>
        <w:rPr>
          <w:i/>
          <w:szCs w:val="24"/>
        </w:rPr>
        <w:t>УУ</w:t>
      </w:r>
      <w:r w:rsidRPr="00937DB8">
        <w:rPr>
          <w:i/>
          <w:szCs w:val="24"/>
        </w:rPr>
        <w:t>Р) по причине отсутствия посвященных им клинических исследований. Невзирая на это, они являются необходимыми элементами обследования пациента для установления диагноза и выбора тактики лечения, так как более эффективные и доказанные методы в настоящее время не разработаны.</w:t>
      </w:r>
    </w:p>
    <w:p w14:paraId="542584FD" w14:textId="77777777" w:rsidR="007419F5" w:rsidRPr="00D74813" w:rsidRDefault="007419F5" w:rsidP="007419F5">
      <w:pPr>
        <w:pStyle w:val="2-6"/>
        <w:rPr>
          <w:i/>
        </w:rPr>
      </w:pPr>
      <w:r w:rsidRPr="00D74813">
        <w:rPr>
          <w:b/>
          <w:i/>
        </w:rPr>
        <w:t xml:space="preserve">Критерии установления диагноза/состояния: </w:t>
      </w:r>
      <w:r w:rsidRPr="00D74813">
        <w:rPr>
          <w:i/>
        </w:rPr>
        <w:t xml:space="preserve">например, на основании патогномоничных данных: </w:t>
      </w:r>
    </w:p>
    <w:p w14:paraId="3E6BCD41" w14:textId="20144BA4" w:rsidR="007419F5" w:rsidRPr="00D74813" w:rsidRDefault="00155B6E" w:rsidP="00BF4D82">
      <w:pPr>
        <w:pStyle w:val="2-6"/>
        <w:numPr>
          <w:ilvl w:val="0"/>
          <w:numId w:val="13"/>
        </w:numPr>
        <w:rPr>
          <w:i/>
        </w:rPr>
      </w:pPr>
      <w:r>
        <w:rPr>
          <w:i/>
        </w:rPr>
        <w:t>анамнестических данных</w:t>
      </w:r>
      <w:r w:rsidR="007419F5" w:rsidRPr="00D74813">
        <w:rPr>
          <w:i/>
        </w:rPr>
        <w:t>,</w:t>
      </w:r>
    </w:p>
    <w:p w14:paraId="48AE0D4E" w14:textId="21772CFE" w:rsidR="007419F5" w:rsidRPr="00D74813" w:rsidRDefault="007419F5" w:rsidP="00BF4D82">
      <w:pPr>
        <w:pStyle w:val="2-6"/>
        <w:numPr>
          <w:ilvl w:val="0"/>
          <w:numId w:val="13"/>
        </w:numPr>
        <w:rPr>
          <w:i/>
        </w:rPr>
      </w:pPr>
      <w:r w:rsidRPr="00D74813">
        <w:rPr>
          <w:i/>
        </w:rPr>
        <w:t>физикального обсле</w:t>
      </w:r>
      <w:r w:rsidR="00155B6E">
        <w:rPr>
          <w:i/>
        </w:rPr>
        <w:t>дования</w:t>
      </w:r>
    </w:p>
    <w:p w14:paraId="5841493E" w14:textId="6EC98562" w:rsidR="007419F5" w:rsidRPr="00D74813" w:rsidRDefault="00155B6E" w:rsidP="007419F5">
      <w:pPr>
        <w:pStyle w:val="2-6"/>
        <w:rPr>
          <w:i/>
        </w:rPr>
      </w:pPr>
      <w:r>
        <w:rPr>
          <w:i/>
        </w:rPr>
        <w:t>3) лабораторных исследований</w:t>
      </w:r>
      <w:r w:rsidR="007419F5" w:rsidRPr="00D74813">
        <w:rPr>
          <w:i/>
        </w:rPr>
        <w:t>,</w:t>
      </w:r>
    </w:p>
    <w:p w14:paraId="13A24B0A" w14:textId="0AD90053" w:rsidR="007419F5" w:rsidRDefault="007419F5" w:rsidP="007419F5">
      <w:pPr>
        <w:pStyle w:val="2-6"/>
        <w:rPr>
          <w:i/>
        </w:rPr>
      </w:pPr>
      <w:r w:rsidRPr="00D74813">
        <w:rPr>
          <w:i/>
        </w:rPr>
        <w:t>4) инстру</w:t>
      </w:r>
      <w:r w:rsidR="00155B6E">
        <w:rPr>
          <w:i/>
        </w:rPr>
        <w:t>ментального обследования.</w:t>
      </w:r>
    </w:p>
    <w:p w14:paraId="1B73CD0D" w14:textId="41EE37B6" w:rsidR="00C13481" w:rsidRPr="00D07EC1" w:rsidRDefault="00031607" w:rsidP="00155B6E">
      <w:pPr>
        <w:pStyle w:val="2"/>
        <w:contextualSpacing/>
        <w:rPr>
          <w:rFonts w:eastAsia="Times New Roman"/>
        </w:rPr>
      </w:pPr>
      <w:bookmarkStart w:id="16" w:name="_Toc67522227"/>
      <w:r w:rsidRPr="00D07EC1">
        <w:rPr>
          <w:rFonts w:eastAsia="Times New Roman"/>
        </w:rPr>
        <w:t>2.1 Жалобы и анамнез</w:t>
      </w:r>
      <w:bookmarkEnd w:id="16"/>
    </w:p>
    <w:p w14:paraId="7AD4E606" w14:textId="77777777" w:rsidR="00D23199" w:rsidRPr="00D07EC1" w:rsidRDefault="00031607" w:rsidP="00D07EC1">
      <w:pPr>
        <w:pStyle w:val="afd"/>
        <w:spacing w:line="360" w:lineRule="auto"/>
        <w:ind w:firstLine="709"/>
        <w:contextualSpacing/>
        <w:rPr>
          <w:rFonts w:eastAsiaTheme="minorEastAsia"/>
        </w:rPr>
      </w:pPr>
      <w:r w:rsidRPr="00D07EC1">
        <w:rPr>
          <w:rStyle w:val="affb"/>
        </w:rPr>
        <w:t xml:space="preserve">Манифестация клинических проявлений АА сопровождается жалобами анемического характера, развитием геморрагического синдрома различной интенсивности и инфекционных осложнений на фоне глубокой трехростковой цитопении. </w:t>
      </w:r>
      <w:r w:rsidRPr="00D07EC1">
        <w:rPr>
          <w:rStyle w:val="affb"/>
        </w:rPr>
        <w:lastRenderedPageBreak/>
        <w:t>Данные проявления могут развиться остро или постепенно нарастать, в зависимости от тяжести АА.</w:t>
      </w:r>
    </w:p>
    <w:p w14:paraId="48C90E0F" w14:textId="6E61D22A" w:rsidR="0016083D" w:rsidRPr="0016083D" w:rsidRDefault="006D3D80" w:rsidP="00BF4D82">
      <w:pPr>
        <w:pStyle w:val="afd"/>
        <w:numPr>
          <w:ilvl w:val="0"/>
          <w:numId w:val="10"/>
        </w:numPr>
        <w:spacing w:before="100" w:after="100" w:line="360" w:lineRule="auto"/>
        <w:contextualSpacing/>
        <w:rPr>
          <w:rStyle w:val="af0"/>
          <w:b/>
          <w:sz w:val="24"/>
          <w:szCs w:val="24"/>
        </w:rPr>
      </w:pPr>
      <w:r>
        <w:rPr>
          <w:b/>
        </w:rPr>
        <w:t>Рекомендуется</w:t>
      </w:r>
      <w:r w:rsidR="00D07EC1">
        <w:rPr>
          <w:b/>
        </w:rPr>
        <w:t xml:space="preserve"> </w:t>
      </w:r>
      <w:r w:rsidR="00D07EC1" w:rsidRPr="00D07EC1">
        <w:t>всем пациентам</w:t>
      </w:r>
      <w:r w:rsidR="00045FA5">
        <w:t xml:space="preserve"> при подозрении на АА</w:t>
      </w:r>
      <w:r w:rsidR="00D07EC1" w:rsidRPr="00D07EC1">
        <w:t xml:space="preserve"> сбор анамнеза и жалоб</w:t>
      </w:r>
      <w:r w:rsidR="00031607" w:rsidRPr="00D07EC1">
        <w:t xml:space="preserve"> при</w:t>
      </w:r>
      <w:r w:rsidR="00D07EC1">
        <w:t xml:space="preserve"> подозрении и выявленной </w:t>
      </w:r>
      <w:r w:rsidR="00031607" w:rsidRPr="00D07EC1">
        <w:t>АА</w:t>
      </w:r>
      <w:r w:rsidR="00D07EC1">
        <w:t>,</w:t>
      </w:r>
      <w:r w:rsidR="00031607" w:rsidRPr="00D07EC1">
        <w:t xml:space="preserve"> из анамнестических данных </w:t>
      </w:r>
      <w:r w:rsidR="009B289C">
        <w:t xml:space="preserve">следует </w:t>
      </w:r>
      <w:r w:rsidR="00031607" w:rsidRPr="00D07EC1">
        <w:t>выявлять связь с возможными токсическими, лекарственными агентами или ассоциацию с вирусными гепатитами В и С. Необходим тщательный сбор семейного анамнеза для исключения врожденных аномалий, а также уточн</w:t>
      </w:r>
      <w:r w:rsidR="009B289C">
        <w:t>ение</w:t>
      </w:r>
      <w:r w:rsidR="00031607" w:rsidRPr="00D07EC1">
        <w:t xml:space="preserve"> наличи</w:t>
      </w:r>
      <w:r w:rsidR="009B289C">
        <w:t>я</w:t>
      </w:r>
      <w:r w:rsidR="003C5912" w:rsidRPr="002A3261">
        <w:t xml:space="preserve"> </w:t>
      </w:r>
      <w:r w:rsidR="00031607" w:rsidRPr="00D07EC1">
        <w:t xml:space="preserve">сиблингов (родных братьев и/или сестер) для рассмотрения возможности проведения </w:t>
      </w:r>
      <w:r w:rsidR="004D571C" w:rsidRPr="004D571C">
        <w:t xml:space="preserve">трансплантация аллогенных гемопоэтических стволовых клеток </w:t>
      </w:r>
      <w:r w:rsidR="009B289C">
        <w:t>(</w:t>
      </w:r>
      <w:r w:rsidR="004D571C">
        <w:t>алло</w:t>
      </w:r>
      <w:r w:rsidR="00031607" w:rsidRPr="00D07EC1">
        <w:t>Т</w:t>
      </w:r>
      <w:r w:rsidR="004D571C">
        <w:t>ГСК</w:t>
      </w:r>
      <w:r w:rsidR="009B289C">
        <w:t>)</w:t>
      </w:r>
      <w:r w:rsidR="00820BFD" w:rsidRPr="00820BFD">
        <w:t xml:space="preserve"> </w:t>
      </w:r>
      <w:r w:rsidR="00820BFD">
        <w:fldChar w:fldCharType="begin" w:fldLock="1"/>
      </w:r>
      <w:r w:rsidR="00B97284">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mendeley":{"formattedCitation":"[13]","plainTextFormattedCitation":"[13]","previouslyFormattedCitation":"[13]"},"properties":{"noteIndex":0},"schema":"https://github.com/citation-style-language/schema/raw/master/csl-citation.json"}</w:instrText>
      </w:r>
      <w:r w:rsidR="00820BFD">
        <w:fldChar w:fldCharType="separate"/>
      </w:r>
      <w:r w:rsidR="0012563C" w:rsidRPr="0012563C">
        <w:rPr>
          <w:noProof/>
        </w:rPr>
        <w:t>[13]</w:t>
      </w:r>
      <w:r w:rsidR="00820BFD">
        <w:fldChar w:fldCharType="end"/>
      </w:r>
      <w:r w:rsidR="00117113">
        <w:t>.</w:t>
      </w:r>
    </w:p>
    <w:p w14:paraId="71D268C5" w14:textId="66003D75" w:rsidR="00477355" w:rsidRPr="00477355" w:rsidRDefault="0016083D" w:rsidP="0016083D">
      <w:pPr>
        <w:pStyle w:val="afd"/>
        <w:spacing w:before="100" w:after="100" w:line="360" w:lineRule="auto"/>
        <w:ind w:left="720"/>
        <w:contextualSpacing/>
        <w:rPr>
          <w:b/>
        </w:rPr>
      </w:pPr>
      <w:r w:rsidRPr="0016083D">
        <w:rPr>
          <w:b/>
        </w:rPr>
        <w:t xml:space="preserve"> </w:t>
      </w:r>
      <w:r w:rsidR="00477355" w:rsidRPr="00477355">
        <w:rPr>
          <w:b/>
        </w:rPr>
        <w:t xml:space="preserve">Уровень убедительности рекомендаций </w:t>
      </w:r>
      <w:r w:rsidR="00A17068">
        <w:rPr>
          <w:b/>
        </w:rPr>
        <w:t>С</w:t>
      </w:r>
      <w:r w:rsidR="00477355" w:rsidRPr="00477355">
        <w:rPr>
          <w:b/>
        </w:rPr>
        <w:t xml:space="preserve"> (уровень достоверности доказательств </w:t>
      </w:r>
      <w:r w:rsidR="00A17068">
        <w:rPr>
          <w:b/>
        </w:rPr>
        <w:t>5</w:t>
      </w:r>
      <w:r w:rsidR="00477355" w:rsidRPr="00477355">
        <w:rPr>
          <w:b/>
        </w:rPr>
        <w:t>)</w:t>
      </w:r>
    </w:p>
    <w:p w14:paraId="548968FE" w14:textId="0253C251" w:rsidR="00D23199" w:rsidRDefault="00A53E3B" w:rsidP="00D07EC1">
      <w:pPr>
        <w:pStyle w:val="afd"/>
        <w:spacing w:before="100" w:after="100" w:line="360" w:lineRule="auto"/>
        <w:ind w:firstLine="709"/>
        <w:contextualSpacing/>
      </w:pPr>
      <w:r w:rsidRPr="00D07EC1">
        <w:rPr>
          <w:rStyle w:val="affa"/>
        </w:rPr>
        <w:t>Комментарии:</w:t>
      </w:r>
      <w:r w:rsidR="006D3D80" w:rsidRPr="006D3D80">
        <w:rPr>
          <w:rStyle w:val="affa"/>
        </w:rPr>
        <w:t xml:space="preserve"> </w:t>
      </w:r>
      <w:r w:rsidR="00AE677A">
        <w:rPr>
          <w:rStyle w:val="affb"/>
        </w:rPr>
        <w:t>в</w:t>
      </w:r>
      <w:r w:rsidR="00AE677A" w:rsidRPr="00D07EC1">
        <w:rPr>
          <w:rStyle w:val="affb"/>
        </w:rPr>
        <w:t xml:space="preserve"> </w:t>
      </w:r>
      <w:r w:rsidR="00031607" w:rsidRPr="00D07EC1">
        <w:rPr>
          <w:rStyle w:val="affb"/>
        </w:rPr>
        <w:t>анамнезе заболевания должны быть описаны все эпизоды инфекционных осложнений, проведенная антиб</w:t>
      </w:r>
      <w:r w:rsidR="003C5912">
        <w:rPr>
          <w:rStyle w:val="affb"/>
        </w:rPr>
        <w:t>актериальная</w:t>
      </w:r>
      <w:r w:rsidR="00D23226">
        <w:rPr>
          <w:rStyle w:val="affb"/>
        </w:rPr>
        <w:t xml:space="preserve"> </w:t>
      </w:r>
      <w:r w:rsidR="00031607" w:rsidRPr="00D07EC1">
        <w:rPr>
          <w:rStyle w:val="affb"/>
        </w:rPr>
        <w:t>терапия, данные бактериологических посевов. Необходимо полное описание частоты и потребности в проводимой трансфузионной терапии,</w:t>
      </w:r>
      <w:r w:rsidR="00FC76DD">
        <w:rPr>
          <w:rStyle w:val="affb"/>
        </w:rPr>
        <w:t xml:space="preserve"> сбор данных об</w:t>
      </w:r>
      <w:r w:rsidR="00031607" w:rsidRPr="00D07EC1">
        <w:rPr>
          <w:rStyle w:val="affb"/>
        </w:rPr>
        <w:t xml:space="preserve"> осложнения</w:t>
      </w:r>
      <w:r w:rsidR="00FC76DD">
        <w:rPr>
          <w:rStyle w:val="affb"/>
        </w:rPr>
        <w:t>х</w:t>
      </w:r>
      <w:r w:rsidR="00031607" w:rsidRPr="00D07EC1">
        <w:rPr>
          <w:rStyle w:val="affb"/>
        </w:rPr>
        <w:t xml:space="preserve"> </w:t>
      </w:r>
      <w:r w:rsidR="00FC76DD">
        <w:rPr>
          <w:rStyle w:val="affb"/>
        </w:rPr>
        <w:t>после трансфузий.</w:t>
      </w:r>
      <w:r w:rsidR="00864B56" w:rsidRPr="00D07EC1">
        <w:t xml:space="preserve"> </w:t>
      </w:r>
    </w:p>
    <w:p w14:paraId="625241FD" w14:textId="22F90460" w:rsidR="001E0CF7" w:rsidRDefault="001E0CF7" w:rsidP="00D07EC1">
      <w:pPr>
        <w:pStyle w:val="afd"/>
        <w:spacing w:before="100" w:after="100" w:line="360" w:lineRule="auto"/>
        <w:ind w:firstLine="709"/>
        <w:contextualSpacing/>
      </w:pPr>
      <w:r>
        <w:rPr>
          <w:b/>
        </w:rPr>
        <w:t xml:space="preserve">Рекомендуется </w:t>
      </w:r>
      <w:r w:rsidRPr="00D07EC1">
        <w:t>всем пациентам</w:t>
      </w:r>
      <w:r>
        <w:t xml:space="preserve"> при подозрении на АА проведение осмотра врачом-гематологом </w:t>
      </w:r>
    </w:p>
    <w:p w14:paraId="00ED7724" w14:textId="77777777" w:rsidR="001E0CF7" w:rsidRPr="00477355" w:rsidRDefault="001E0CF7" w:rsidP="001E0CF7">
      <w:pPr>
        <w:pStyle w:val="afd"/>
        <w:spacing w:before="100" w:after="100" w:line="360" w:lineRule="auto"/>
        <w:ind w:left="720"/>
        <w:contextualSpacing/>
        <w:rPr>
          <w:b/>
        </w:rPr>
      </w:pPr>
      <w:r w:rsidRPr="00477355">
        <w:rPr>
          <w:b/>
        </w:rPr>
        <w:t xml:space="preserve">Уровень убедительности рекомендаций </w:t>
      </w:r>
      <w:r>
        <w:rPr>
          <w:b/>
        </w:rPr>
        <w:t>С</w:t>
      </w:r>
      <w:r w:rsidRPr="00477355">
        <w:rPr>
          <w:b/>
        </w:rPr>
        <w:t xml:space="preserve"> (уровень достоверности доказательств </w:t>
      </w:r>
      <w:r>
        <w:rPr>
          <w:b/>
        </w:rPr>
        <w:t>5</w:t>
      </w:r>
      <w:r w:rsidRPr="00477355">
        <w:rPr>
          <w:b/>
        </w:rPr>
        <w:t>)</w:t>
      </w:r>
    </w:p>
    <w:p w14:paraId="320EE82B" w14:textId="77777777" w:rsidR="001E0CF7" w:rsidRPr="00D07EC1" w:rsidRDefault="001E0CF7" w:rsidP="00D07EC1">
      <w:pPr>
        <w:pStyle w:val="afd"/>
        <w:spacing w:before="100" w:after="100" w:line="360" w:lineRule="auto"/>
        <w:ind w:firstLine="709"/>
        <w:contextualSpacing/>
      </w:pPr>
    </w:p>
    <w:p w14:paraId="75FF484E" w14:textId="77777777" w:rsidR="00D23199" w:rsidRPr="0016083D" w:rsidRDefault="00031607" w:rsidP="00D07EC1">
      <w:pPr>
        <w:pStyle w:val="2"/>
        <w:contextualSpacing/>
        <w:rPr>
          <w:rFonts w:eastAsia="Times New Roman"/>
          <w:lang w:val="en-US"/>
        </w:rPr>
      </w:pPr>
      <w:bookmarkStart w:id="17" w:name="_Toc67522228"/>
      <w:r w:rsidRPr="00D07EC1">
        <w:rPr>
          <w:rStyle w:val="affa"/>
          <w:rFonts w:eastAsia="Times New Roman"/>
          <w:b/>
          <w:bCs w:val="0"/>
        </w:rPr>
        <w:t>2.2 Физикальное обследование</w:t>
      </w:r>
      <w:bookmarkEnd w:id="17"/>
    </w:p>
    <w:p w14:paraId="1FA3E93C" w14:textId="4963CF29" w:rsidR="00477355" w:rsidRPr="00477355" w:rsidRDefault="006D3D80" w:rsidP="00BF4D82">
      <w:pPr>
        <w:pStyle w:val="afd"/>
        <w:numPr>
          <w:ilvl w:val="0"/>
          <w:numId w:val="10"/>
        </w:numPr>
        <w:spacing w:before="100" w:after="100" w:line="360" w:lineRule="auto"/>
        <w:contextualSpacing/>
        <w:rPr>
          <w:rFonts w:eastAsiaTheme="minorEastAsia"/>
        </w:rPr>
      </w:pPr>
      <w:r>
        <w:rPr>
          <w:b/>
        </w:rPr>
        <w:t xml:space="preserve">Рекомендуется </w:t>
      </w:r>
      <w:r w:rsidRPr="00D07EC1">
        <w:t>всем</w:t>
      </w:r>
      <w:r>
        <w:t xml:space="preserve"> пациентам</w:t>
      </w:r>
      <w:r w:rsidR="007532E4" w:rsidRPr="007532E4">
        <w:t xml:space="preserve"> </w:t>
      </w:r>
      <w:r w:rsidR="007532E4">
        <w:t>при подозрении на АА, а такж</w:t>
      </w:r>
      <w:r w:rsidR="00A01726">
        <w:t>е всем пациентам с</w:t>
      </w:r>
      <w:r w:rsidR="007532E4">
        <w:t xml:space="preserve"> АА при каждой консультации:</w:t>
      </w:r>
      <w:r>
        <w:t xml:space="preserve"> физикальный осмотр</w:t>
      </w:r>
      <w:r w:rsidR="00AD4C2D">
        <w:t xml:space="preserve"> (в том числе слизистой оболочки полости рта и миндалин</w:t>
      </w:r>
      <w:r w:rsidR="00883F4F">
        <w:t>)</w:t>
      </w:r>
      <w:r w:rsidR="007532E4">
        <w:t xml:space="preserve">, </w:t>
      </w:r>
      <w:r w:rsidR="00031607" w:rsidRPr="00D07EC1">
        <w:t>измерение роста и массы тела, температуры тела</w:t>
      </w:r>
      <w:r w:rsidR="007532E4">
        <w:t>,</w:t>
      </w:r>
      <w:r w:rsidR="00031607" w:rsidRPr="00D07EC1">
        <w:t xml:space="preserve"> оценк</w:t>
      </w:r>
      <w:r w:rsidR="007532E4">
        <w:t>а</w:t>
      </w:r>
      <w:r w:rsidR="00031607" w:rsidRPr="00D07EC1">
        <w:t xml:space="preserve"> состояния костно-суставной системы</w:t>
      </w:r>
      <w:r w:rsidR="007532E4">
        <w:t>,</w:t>
      </w:r>
      <w:r w:rsidR="00031607" w:rsidRPr="00D07EC1">
        <w:t xml:space="preserve"> выявление признаков геморрагического синдрома</w:t>
      </w:r>
      <w:r w:rsidR="007532E4">
        <w:t>, аускультаци</w:t>
      </w:r>
      <w:r w:rsidR="00AD4C2D">
        <w:t>я</w:t>
      </w:r>
      <w:r w:rsidR="007532E4">
        <w:t xml:space="preserve"> </w:t>
      </w:r>
      <w:r w:rsidR="00031607" w:rsidRPr="00D07EC1">
        <w:t>сердца</w:t>
      </w:r>
      <w:r w:rsidR="007532E4">
        <w:t xml:space="preserve"> и </w:t>
      </w:r>
      <w:r w:rsidR="00031607" w:rsidRPr="00D07EC1">
        <w:t xml:space="preserve">легких, </w:t>
      </w:r>
      <w:r w:rsidR="00AD4C2D">
        <w:t>пальпация периферических лимфоузлов, щитовидной железы и органов брюшной полости</w:t>
      </w:r>
      <w:r w:rsidR="000F05E6">
        <w:t xml:space="preserve"> с целью оценки </w:t>
      </w:r>
      <w:r w:rsidR="0078321F">
        <w:t xml:space="preserve">негематологических аномалий, которые могут указывать на наличие конституциональной </w:t>
      </w:r>
      <w:r w:rsidR="00883F4F">
        <w:t>АА</w:t>
      </w:r>
      <w:r w:rsidR="0078321F">
        <w:t xml:space="preserve"> </w:t>
      </w:r>
      <w:r w:rsidR="006D15D3">
        <w:fldChar w:fldCharType="begin" w:fldLock="1"/>
      </w:r>
      <w:r w:rsidR="00083277">
        <w:instrText>ADDIN CSL_CITATION {"citationItems":[{"id":"ITEM-1","itemData":{"DOI":"10.1182/asheducation-2011.1.480","author":[{"dropping-particle":"","family":"Dokal","given":"I","non-dropping-particle":"","parse-names":false,"suffix":""}],"container-title":"Hematology","id":"ITEM-1","issued":{"date-parts":[["2011"]]},"page":"480-486","title":"Dyskeratosis congenita.","type":"article-journal","volume":"2011"},"uris":["http://www.mendeley.com/documents/?uuid=a91d3c37-23c0-4a90-a5c1-a35e0363e3ba","http://www.mendeley.com/documents/?uuid=f7d7d308-a4fc-4dbf-9491-0629a79a20d2"]},{"id":"ITEM-2","itemData":{"DOI":"10.1182/asheducation-2011.1.492","author":[{"dropping-particle":"","family":"Soulier","given":"J","non-dropping-particle":"","parse-names":false,"suffix":""}],"container-title":"Hematology / the Education Program of the American Society of Hematology. American Society of Hematology. Education Program","id":"ITEM-2","issued":{"date-parts":[["2011"]]},"page":"492-497","title":"Fanconi anemia.","type":"article-journal","volume":"2011"},"uris":["http://www.mendeley.com/documents/?uuid=a3f006dd-7ff1-4e4d-8441-09ac27b609ab","http://www.mendeley.com/documents/?uuid=049b4ce8-8995-4f22-a6dc-14a888c4f13c"]},{"id":"ITEM-3","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haematology","id":"ITEM-3","issue":"2","issued":{"date-parts":[["2016","1"]]},"language":"eng","page":"187-207","publisher-place":"England","title":"Guidelines for the diagnosis and management of adult aplastic anaemia.","type":"article-journal","volume":"172"},"uris":["http://www.mendeley.com/documents/?uuid=81dbb232-4526-4205-bab8-854e3c2bd2e8"]}],"mendeley":{"formattedCitation":"[13–15]","plainTextFormattedCitation":"[13–15]","previouslyFormattedCitation":"[13–15]"},"properties":{"noteIndex":0},"schema":"https://github.com/citation-style-language/schema/raw/master/csl-citation.json"}</w:instrText>
      </w:r>
      <w:r w:rsidR="006D15D3">
        <w:fldChar w:fldCharType="separate"/>
      </w:r>
      <w:r w:rsidR="0012563C" w:rsidRPr="0012563C">
        <w:rPr>
          <w:noProof/>
        </w:rPr>
        <w:t>[13–15]</w:t>
      </w:r>
      <w:r w:rsidR="006D15D3">
        <w:fldChar w:fldCharType="end"/>
      </w:r>
      <w:r w:rsidR="0039711E" w:rsidRPr="0039711E">
        <w:t>.</w:t>
      </w:r>
    </w:p>
    <w:p w14:paraId="3F942300" w14:textId="15D78700" w:rsidR="006D3D80" w:rsidRPr="00477355" w:rsidRDefault="006D3D80" w:rsidP="00477355">
      <w:pPr>
        <w:pStyle w:val="afd"/>
        <w:spacing w:before="100" w:after="100" w:line="360" w:lineRule="auto"/>
        <w:ind w:firstLine="709"/>
        <w:contextualSpacing/>
        <w:rPr>
          <w:rFonts w:eastAsiaTheme="minorEastAsia"/>
          <w:b/>
        </w:rPr>
      </w:pPr>
      <w:r w:rsidRPr="00477355">
        <w:rPr>
          <w:b/>
        </w:rPr>
        <w:t xml:space="preserve">Уровень убедительности рекомендаций </w:t>
      </w:r>
      <w:r w:rsidR="00FC12AF">
        <w:rPr>
          <w:b/>
          <w:lang w:val="en-US"/>
        </w:rPr>
        <w:t>C</w:t>
      </w:r>
      <w:r w:rsidRPr="00477355">
        <w:rPr>
          <w:b/>
        </w:rPr>
        <w:t xml:space="preserve"> (уровень достоверности доказательств </w:t>
      </w:r>
      <w:r w:rsidR="00FC12AF" w:rsidRPr="00FC12AF">
        <w:rPr>
          <w:b/>
        </w:rPr>
        <w:t>5</w:t>
      </w:r>
      <w:r w:rsidRPr="00477355">
        <w:rPr>
          <w:b/>
        </w:rPr>
        <w:t>)</w:t>
      </w:r>
    </w:p>
    <w:p w14:paraId="189CA932" w14:textId="448E227F" w:rsidR="00D23199" w:rsidRPr="00D07EC1" w:rsidRDefault="00031607" w:rsidP="00CD509A">
      <w:pPr>
        <w:pStyle w:val="afd"/>
        <w:spacing w:line="360" w:lineRule="auto"/>
        <w:ind w:right="424" w:firstLine="709"/>
        <w:contextualSpacing/>
      </w:pPr>
      <w:r w:rsidRPr="00D07EC1">
        <w:rPr>
          <w:rStyle w:val="affa"/>
        </w:rPr>
        <w:t>Комментарии:</w:t>
      </w:r>
      <w:r w:rsidR="00E539F7">
        <w:rPr>
          <w:rStyle w:val="affa"/>
        </w:rPr>
        <w:t xml:space="preserve"> </w:t>
      </w:r>
      <w:r w:rsidR="00AE677A">
        <w:rPr>
          <w:rStyle w:val="affb"/>
        </w:rPr>
        <w:t>п</w:t>
      </w:r>
      <w:r w:rsidR="00AE677A" w:rsidRPr="00D07EC1">
        <w:rPr>
          <w:rStyle w:val="affb"/>
        </w:rPr>
        <w:t xml:space="preserve">ри </w:t>
      </w:r>
      <w:r w:rsidRPr="00D07EC1">
        <w:rPr>
          <w:rStyle w:val="affb"/>
        </w:rPr>
        <w:t>физикальном обследовании необходимо дифференцировать аномалии, характерные для конституциональных форм АА (</w:t>
      </w:r>
      <w:r w:rsidR="00C13481">
        <w:rPr>
          <w:rStyle w:val="affb"/>
        </w:rPr>
        <w:t xml:space="preserve">рост, форма лица, </w:t>
      </w:r>
      <w:r w:rsidRPr="00D07EC1">
        <w:rPr>
          <w:rStyle w:val="affb"/>
        </w:rPr>
        <w:t xml:space="preserve">пигментация кожных покровов, дистрофия ногтей, лейкоплакия слизистых, аномалии </w:t>
      </w:r>
      <w:r w:rsidRPr="00D07EC1">
        <w:rPr>
          <w:rStyle w:val="affb"/>
        </w:rPr>
        <w:lastRenderedPageBreak/>
        <w:t>развития глаз, аномалии зубов, раннее поседение и выпадение волос, гипогонадизм и т.д.)</w:t>
      </w:r>
      <w:r w:rsidR="00736353">
        <w:rPr>
          <w:rStyle w:val="affb"/>
        </w:rPr>
        <w:t>.</w:t>
      </w:r>
      <w:r w:rsidRPr="00D07EC1">
        <w:rPr>
          <w:rStyle w:val="affb"/>
        </w:rPr>
        <w:t xml:space="preserve"> </w:t>
      </w:r>
    </w:p>
    <w:p w14:paraId="15F23DFC" w14:textId="77777777" w:rsidR="00155B6E" w:rsidRDefault="00155B6E" w:rsidP="00155B6E">
      <w:pPr>
        <w:pStyle w:val="2"/>
      </w:pPr>
      <w:bookmarkStart w:id="18" w:name="_Toc24362716"/>
      <w:bookmarkStart w:id="19" w:name="_Toc67522229"/>
      <w:r w:rsidRPr="00B46390">
        <w:t>2.3 Лабораторн</w:t>
      </w:r>
      <w:r>
        <w:t>ые диагностические исследования</w:t>
      </w:r>
      <w:bookmarkEnd w:id="18"/>
      <w:bookmarkEnd w:id="19"/>
    </w:p>
    <w:p w14:paraId="04335B7F" w14:textId="77777777" w:rsidR="00D23199" w:rsidRPr="006D3D80" w:rsidRDefault="00031607" w:rsidP="006D3D80">
      <w:pPr>
        <w:pStyle w:val="afd"/>
        <w:spacing w:line="360" w:lineRule="auto"/>
        <w:ind w:firstLine="709"/>
        <w:contextualSpacing/>
        <w:rPr>
          <w:rFonts w:eastAsiaTheme="minorEastAsia"/>
          <w:i/>
        </w:rPr>
      </w:pPr>
      <w:r w:rsidRPr="006D3D80">
        <w:rPr>
          <w:i/>
        </w:rPr>
        <w:t>Диагноз АА устанавливается на основании клинических проявлений и данных лабораторного обследования.</w:t>
      </w:r>
    </w:p>
    <w:p w14:paraId="4149B914" w14:textId="5A2B4788" w:rsidR="00D23199" w:rsidRPr="006D3D80" w:rsidRDefault="00031607" w:rsidP="00BF4D82">
      <w:pPr>
        <w:pStyle w:val="afd"/>
        <w:numPr>
          <w:ilvl w:val="0"/>
          <w:numId w:val="6"/>
        </w:numPr>
        <w:spacing w:before="100" w:after="100" w:line="360" w:lineRule="auto"/>
        <w:ind w:firstLine="709"/>
        <w:contextualSpacing/>
        <w:rPr>
          <w:i/>
        </w:rPr>
      </w:pPr>
      <w:r w:rsidRPr="006D3D80">
        <w:rPr>
          <w:i/>
        </w:rPr>
        <w:t>Трехростковая цитопения: анемия (гемоглобин &lt;110 г/л), гранулоцитопения (гранулоциты &lt;2,0 х10</w:t>
      </w:r>
      <w:r w:rsidRPr="002F5CD1">
        <w:rPr>
          <w:i/>
          <w:vertAlign w:val="superscript"/>
        </w:rPr>
        <w:t>9</w:t>
      </w:r>
      <w:r w:rsidRPr="006D3D80">
        <w:rPr>
          <w:i/>
        </w:rPr>
        <w:t>/л), тромбоцитопения (тромбоциты &lt;100,0 х 10</w:t>
      </w:r>
      <w:r w:rsidRPr="002F5CD1">
        <w:rPr>
          <w:i/>
          <w:vertAlign w:val="superscript"/>
        </w:rPr>
        <w:t>9</w:t>
      </w:r>
      <w:r w:rsidRPr="006D3D80">
        <w:rPr>
          <w:i/>
        </w:rPr>
        <w:t>/л).</w:t>
      </w:r>
    </w:p>
    <w:p w14:paraId="444E18F8" w14:textId="49641621" w:rsidR="00D23199" w:rsidRPr="006D3D80" w:rsidRDefault="00031607" w:rsidP="00BF4D82">
      <w:pPr>
        <w:pStyle w:val="afd"/>
        <w:numPr>
          <w:ilvl w:val="0"/>
          <w:numId w:val="6"/>
        </w:numPr>
        <w:spacing w:before="100" w:after="100" w:line="360" w:lineRule="auto"/>
        <w:ind w:firstLine="709"/>
        <w:contextualSpacing/>
        <w:rPr>
          <w:i/>
        </w:rPr>
      </w:pPr>
      <w:r w:rsidRPr="006D3D80">
        <w:rPr>
          <w:i/>
        </w:rPr>
        <w:t>Снижение клеточности костного мозга</w:t>
      </w:r>
      <w:r w:rsidR="00E539F7">
        <w:rPr>
          <w:i/>
        </w:rPr>
        <w:t xml:space="preserve"> (</w:t>
      </w:r>
      <w:r w:rsidR="00883F4F">
        <w:rPr>
          <w:i/>
        </w:rPr>
        <w:t>КМ</w:t>
      </w:r>
      <w:r w:rsidR="00E539F7">
        <w:rPr>
          <w:i/>
        </w:rPr>
        <w:t>)</w:t>
      </w:r>
      <w:r w:rsidRPr="006D3D80">
        <w:rPr>
          <w:i/>
        </w:rPr>
        <w:t xml:space="preserve"> и отсутствие мегакариоцитов по данным пунктата </w:t>
      </w:r>
      <w:r w:rsidR="00883F4F">
        <w:rPr>
          <w:i/>
        </w:rPr>
        <w:t>КМ</w:t>
      </w:r>
      <w:r w:rsidRPr="006D3D80">
        <w:rPr>
          <w:i/>
        </w:rPr>
        <w:t>.</w:t>
      </w:r>
    </w:p>
    <w:p w14:paraId="0320C0BB" w14:textId="044AA82A" w:rsidR="00D23199" w:rsidRPr="006D3D80" w:rsidRDefault="00031607" w:rsidP="00BF4D82">
      <w:pPr>
        <w:pStyle w:val="afd"/>
        <w:numPr>
          <w:ilvl w:val="0"/>
          <w:numId w:val="6"/>
        </w:numPr>
        <w:spacing w:before="100" w:after="100" w:line="360" w:lineRule="auto"/>
        <w:ind w:firstLine="709"/>
        <w:contextualSpacing/>
        <w:rPr>
          <w:i/>
        </w:rPr>
      </w:pPr>
      <w:r w:rsidRPr="006D3D80">
        <w:rPr>
          <w:i/>
        </w:rPr>
        <w:t xml:space="preserve">Аплазия </w:t>
      </w:r>
      <w:r w:rsidR="00883F4F">
        <w:rPr>
          <w:i/>
        </w:rPr>
        <w:t>КМ</w:t>
      </w:r>
      <w:r w:rsidRPr="006D3D80">
        <w:rPr>
          <w:i/>
        </w:rPr>
        <w:t xml:space="preserve"> в биоптате подвздошной кости (преобладание жирового </w:t>
      </w:r>
      <w:r w:rsidR="00883F4F">
        <w:rPr>
          <w:i/>
        </w:rPr>
        <w:t>КМ</w:t>
      </w:r>
      <w:r w:rsidRPr="006D3D80">
        <w:rPr>
          <w:i/>
        </w:rPr>
        <w:t>).</w:t>
      </w:r>
    </w:p>
    <w:p w14:paraId="1A8E8939" w14:textId="16131B5D" w:rsidR="00D23199" w:rsidRPr="006D3D80" w:rsidRDefault="00031607" w:rsidP="006D3D80">
      <w:pPr>
        <w:pStyle w:val="afd"/>
        <w:spacing w:line="360" w:lineRule="auto"/>
        <w:ind w:firstLine="709"/>
        <w:contextualSpacing/>
        <w:rPr>
          <w:i/>
        </w:rPr>
      </w:pPr>
      <w:r w:rsidRPr="006D3D80">
        <w:rPr>
          <w:i/>
        </w:rPr>
        <w:t>Выделяют следующие критерии тяжести АА:</w:t>
      </w:r>
    </w:p>
    <w:p w14:paraId="69330787" w14:textId="77777777" w:rsidR="00D23199" w:rsidRPr="006D3D80" w:rsidRDefault="00031607" w:rsidP="00BF4D82">
      <w:pPr>
        <w:pStyle w:val="afd"/>
        <w:numPr>
          <w:ilvl w:val="0"/>
          <w:numId w:val="7"/>
        </w:numPr>
        <w:spacing w:before="100" w:after="100" w:line="360" w:lineRule="auto"/>
        <w:ind w:firstLine="709"/>
        <w:contextualSpacing/>
        <w:rPr>
          <w:i/>
        </w:rPr>
      </w:pPr>
      <w:r w:rsidRPr="006D3D80">
        <w:rPr>
          <w:i/>
        </w:rPr>
        <w:t>нетяжелая АА: гранулоцитопения &gt; 0,5 х 10</w:t>
      </w:r>
      <w:r w:rsidRPr="006D3D80">
        <w:rPr>
          <w:i/>
          <w:vertAlign w:val="superscript"/>
        </w:rPr>
        <w:t>9</w:t>
      </w:r>
      <w:r w:rsidRPr="006D3D80">
        <w:rPr>
          <w:i/>
        </w:rPr>
        <w:t>/л;</w:t>
      </w:r>
    </w:p>
    <w:p w14:paraId="65B4C33F" w14:textId="77777777" w:rsidR="00D23199" w:rsidRPr="006D3D80" w:rsidRDefault="00031607" w:rsidP="00BF4D82">
      <w:pPr>
        <w:pStyle w:val="afd"/>
        <w:numPr>
          <w:ilvl w:val="0"/>
          <w:numId w:val="7"/>
        </w:numPr>
        <w:spacing w:before="100" w:after="100" w:line="360" w:lineRule="auto"/>
        <w:ind w:firstLine="709"/>
        <w:contextualSpacing/>
        <w:rPr>
          <w:i/>
        </w:rPr>
      </w:pPr>
      <w:r w:rsidRPr="006D3D80">
        <w:rPr>
          <w:i/>
        </w:rPr>
        <w:t>тяжелая АА: гранулоцитопения &lt; 0,5 х 10</w:t>
      </w:r>
      <w:r w:rsidRPr="006D3D80">
        <w:rPr>
          <w:i/>
          <w:vertAlign w:val="superscript"/>
        </w:rPr>
        <w:t>9</w:t>
      </w:r>
      <w:r w:rsidRPr="006D3D80">
        <w:rPr>
          <w:i/>
        </w:rPr>
        <w:t>/л, тромбоцитопения &lt; 20,0 х 10</w:t>
      </w:r>
      <w:r w:rsidRPr="006D3D80">
        <w:rPr>
          <w:i/>
          <w:vertAlign w:val="superscript"/>
        </w:rPr>
        <w:t>9</w:t>
      </w:r>
      <w:r w:rsidRPr="006D3D80">
        <w:rPr>
          <w:i/>
        </w:rPr>
        <w:t>/л);</w:t>
      </w:r>
    </w:p>
    <w:p w14:paraId="62B335BB" w14:textId="107B7204" w:rsidR="00D23199" w:rsidRPr="006D3D80" w:rsidRDefault="00031607" w:rsidP="00BF4D82">
      <w:pPr>
        <w:pStyle w:val="afd"/>
        <w:numPr>
          <w:ilvl w:val="0"/>
          <w:numId w:val="7"/>
        </w:numPr>
        <w:spacing w:before="100" w:after="100" w:line="360" w:lineRule="auto"/>
        <w:ind w:firstLine="709"/>
        <w:contextualSpacing/>
        <w:rPr>
          <w:i/>
        </w:rPr>
      </w:pPr>
      <w:r w:rsidRPr="006D3D80">
        <w:rPr>
          <w:i/>
        </w:rPr>
        <w:t>cверхтяжелая (очень тяжелая) АА: гранулоцитопения &lt; 0,2 х 10</w:t>
      </w:r>
      <w:r w:rsidRPr="006D3D80">
        <w:rPr>
          <w:i/>
          <w:vertAlign w:val="superscript"/>
        </w:rPr>
        <w:t>9</w:t>
      </w:r>
      <w:r w:rsidRPr="006D3D80">
        <w:rPr>
          <w:i/>
        </w:rPr>
        <w:t>/л).</w:t>
      </w:r>
    </w:p>
    <w:p w14:paraId="10212BB7" w14:textId="7C3D4CF6" w:rsidR="00423DFA" w:rsidRPr="00D07EAB" w:rsidRDefault="00031607" w:rsidP="006D3D80">
      <w:pPr>
        <w:tabs>
          <w:tab w:val="left" w:pos="9356"/>
        </w:tabs>
        <w:ind w:right="-1" w:firstLine="709"/>
        <w:contextualSpacing/>
        <w:rPr>
          <w:rFonts w:cs="Times New Roman"/>
          <w:i/>
          <w:szCs w:val="24"/>
        </w:rPr>
      </w:pPr>
      <w:r w:rsidRPr="006D3D80">
        <w:rPr>
          <w:rFonts w:cs="Times New Roman"/>
          <w:i/>
          <w:szCs w:val="24"/>
        </w:rPr>
        <w:t xml:space="preserve">При определении тяжести </w:t>
      </w:r>
      <w:r w:rsidR="00883F4F">
        <w:rPr>
          <w:rFonts w:cs="Times New Roman"/>
          <w:i/>
          <w:szCs w:val="24"/>
        </w:rPr>
        <w:t>АА</w:t>
      </w:r>
      <w:r w:rsidRPr="006D3D80">
        <w:rPr>
          <w:rFonts w:cs="Times New Roman"/>
          <w:i/>
          <w:szCs w:val="24"/>
        </w:rPr>
        <w:t xml:space="preserve"> учитываются результаты не менее трех анализов периферической крови на момент диагностики заболевания до начала лечени</w:t>
      </w:r>
      <w:r w:rsidR="002F5CD1">
        <w:rPr>
          <w:rFonts w:cs="Times New Roman"/>
          <w:i/>
          <w:szCs w:val="24"/>
        </w:rPr>
        <w:t xml:space="preserve">я </w:t>
      </w:r>
      <w:r w:rsidR="002F5CD1">
        <w:rPr>
          <w:rFonts w:cs="Times New Roman"/>
          <w:i/>
          <w:szCs w:val="24"/>
        </w:rPr>
        <w:fldChar w:fldCharType="begin" w:fldLock="1"/>
      </w:r>
      <w:r w:rsidR="00083277">
        <w:rPr>
          <w:rFonts w:cs="Times New Roman"/>
          <w:i/>
          <w:szCs w:val="24"/>
        </w:rPr>
        <w:instrText>ADDIN CSL_CITATION {"citationItems":[{"id":"ITEM-1","itemData":{"DOI":"10.1182/asheducation-2011.1.492","author":[{"dropping-particle":"","family":"Soulier","given":"J","non-dropping-particle":"","parse-names":false,"suffix":""}],"container-title":"Hematology / the Education Program of the American Society of Hematology. American Society of Hematology. Education Program","id":"ITEM-1","issued":{"date-parts":[["2011"]]},"page":"492-497","title":"Fanconi anemia.","type":"article-journal","volume":"2011"},"uris":["http://www.mendeley.com/documents/?uuid=049b4ce8-8995-4f22-a6dc-14a888c4f13c","http://www.mendeley.com/documents/?uuid=a3f006dd-7ff1-4e4d-8441-09ac27b609ab"]},{"id":"ITEM-2","itemData":{"ISSN":"00015792","abstract":"Treatment with immune suppression and bone marrow transplantation has improved the response rates and survival of patients with aplastic anemia. Measurement of response requires that common endpoints be recorded at specific times. There has been no agreement on such parameters for patients with aplastic anemia. In this paper issues related to measurement of response are reviewed and criteria for response are proposed. Adoption of uniform criteria would facilitate comparisons of treatment efficacy. Copyright (C) 2000 S. Karger AG, Basel.","author":[{"dropping-particle":"","family":"Camitta","given":"Bruce M.","non-dropping-particle":"","parse-names":false,"suffix":""}],"container-title":"Acta Haematologica","id":"ITEM-2","issue":"1","issued":{"date-parts":[["2000"]]},"page":"16-18","title":"What is the definition of cure for aplastic anemia?","type":"article","volume":"103"},"uris":["http://www.mendeley.com/documents/?uuid=6405cbca-bff8-45fb-9156-6eecd4810606","http://www.mendeley.com/documents/?uuid=b2cfabc1-64b7-4012-8ba0-0c741ada59db"]}],"mendeley":{"formattedCitation":"[15,16]","plainTextFormattedCitation":"[15,16]","previouslyFormattedCitation":"[15,16]"},"properties":{"noteIndex":0},"schema":"https://github.com/citation-style-language/schema/raw/master/csl-citation.json"}</w:instrText>
      </w:r>
      <w:r w:rsidR="002F5CD1">
        <w:rPr>
          <w:rFonts w:cs="Times New Roman"/>
          <w:i/>
          <w:szCs w:val="24"/>
        </w:rPr>
        <w:fldChar w:fldCharType="separate"/>
      </w:r>
      <w:r w:rsidR="0012563C" w:rsidRPr="0012563C">
        <w:rPr>
          <w:rFonts w:cs="Times New Roman"/>
          <w:noProof/>
          <w:szCs w:val="24"/>
        </w:rPr>
        <w:t>[15,16]</w:t>
      </w:r>
      <w:r w:rsidR="002F5CD1">
        <w:rPr>
          <w:rFonts w:cs="Times New Roman"/>
          <w:i/>
          <w:szCs w:val="24"/>
        </w:rPr>
        <w:fldChar w:fldCharType="end"/>
      </w:r>
      <w:r w:rsidR="00D07EAB" w:rsidRPr="00D07EAB">
        <w:t>.</w:t>
      </w:r>
    </w:p>
    <w:p w14:paraId="1E881E2E" w14:textId="103817F4" w:rsidR="00477355" w:rsidRDefault="00031607" w:rsidP="00BF4D82">
      <w:pPr>
        <w:pStyle w:val="afd"/>
        <w:numPr>
          <w:ilvl w:val="0"/>
          <w:numId w:val="10"/>
        </w:numPr>
        <w:spacing w:before="100" w:after="100" w:line="360" w:lineRule="auto"/>
        <w:contextualSpacing/>
      </w:pPr>
      <w:r w:rsidRPr="006D3D80">
        <w:rPr>
          <w:b/>
        </w:rPr>
        <w:t xml:space="preserve">Рекомендуется </w:t>
      </w:r>
      <w:r w:rsidR="006D3D80">
        <w:t xml:space="preserve">всем пациентам </w:t>
      </w:r>
      <w:r w:rsidR="00193FAA">
        <w:t>при подозрении на АА, а также всем пациентам с установленной АА</w:t>
      </w:r>
      <w:r w:rsidR="006A5BCA">
        <w:t xml:space="preserve"> </w:t>
      </w:r>
      <w:r w:rsidR="006A5BCA" w:rsidRPr="006A5BCA">
        <w:t>1 раз в неделю до достижения ответа, в дальнейшем – 1 раз в месяц</w:t>
      </w:r>
      <w:r w:rsidR="00193FAA">
        <w:t>:</w:t>
      </w:r>
      <w:r w:rsidR="00193FAA" w:rsidRPr="00D07EC1">
        <w:t xml:space="preserve"> </w:t>
      </w:r>
      <w:r w:rsidR="00193FAA">
        <w:t xml:space="preserve">выполнение </w:t>
      </w:r>
      <w:r w:rsidR="009B289C">
        <w:t xml:space="preserve">развернутого </w:t>
      </w:r>
      <w:r w:rsidRPr="00D07EC1">
        <w:t>общего</w:t>
      </w:r>
      <w:r w:rsidR="002164AF">
        <w:t xml:space="preserve"> (клинического)</w:t>
      </w:r>
      <w:r w:rsidRPr="00D07EC1">
        <w:t xml:space="preserve"> анализа крови</w:t>
      </w:r>
      <w:r w:rsidR="002164AF">
        <w:t xml:space="preserve"> </w:t>
      </w:r>
      <w:r w:rsidRPr="00D07EC1">
        <w:t xml:space="preserve">с определением абсолютного </w:t>
      </w:r>
      <w:r w:rsidR="002D1723" w:rsidRPr="00D07EC1">
        <w:t>количества ретикулоцитов и подс</w:t>
      </w:r>
      <w:r w:rsidR="00CE69A2">
        <w:t>чета тромбоцитов для верификации диагноза</w:t>
      </w:r>
      <w:r w:rsidR="002164AF">
        <w:t xml:space="preserve"> и оценки динамики заболевания</w:t>
      </w:r>
      <w:r w:rsidR="003B115B">
        <w:t xml:space="preserve"> </w:t>
      </w:r>
      <w:r w:rsidR="00D07EAB">
        <w:fldChar w:fldCharType="begin" w:fldLock="1"/>
      </w:r>
      <w:r w:rsidR="00083277">
        <w:instrText>ADDIN CSL_CITATION {"citationItems":[{"id":"ITEM-1","itemData":{"DOI":"10.1111/j.1365-2141.2009.07842.x","ISBN":"1365-2141","ISSN":"00071048","PMID":"19673883","abstract":"BACKGROUND: The standard treatment for patients with diffuse large-B-cell lymphoma is cyclophosphamide, doxorubicin, vincristine, and prednisone (CHOP). Rituximab, a chimeric monoclonal antibody against the CD20 B-cell antigen, has therapeutic activity in diffuse large-B-cell lymphoma. We conducted a randomized trial to compare CHOP chemotherapy plus rituximab with CHOP alone in elderly patients with diffuse large-B-cell lymphoma. METHODS: Previously untreated patients with diffuse large-B-cell lymphoma, 60 to 80 years old, were randomly assigned to receive either eight cycles of CHOP every three weeks (197 patients) or eight cycles of CHOP plus rituximab given on day 1 of each cycle (202 patients). RESULTS: The rate of complete response was significantly higher in the group that received CHOP plus rituximab than in the group that received CHOP alone (76 percent vs. 63 percent, P=0.005). With a median follow-up of two years, event-free and overall survival times were significantly higher in the CHOP-plus-rituximab group (P&lt;0.001 and P=0.007, respectively). The addition of rituximab to standard CHOP chemotherapy significantly reduced the risk of treatment failure and death (risk ratios, 0.58 95 percent confidence interval, 0.44 to 0.77 and 0.64 0.45 to 0.89, respectively). Clinically relevant toxicity was not significantly greater with CHOP plus rituximab. CONCLUSIONS: The addition of rituximab to the CHOP regimen increases the complete-response rate and prolongs event-free and overall survival in elderly patients with diffuse large-B-cell lymphoma, without a clinically significant increase in toxicity.","author":[{"dropping-particle":"","family":"Marsh","given":"Judith C W","non-dropping-particle":"","parse-names":false,"suffix":""},{"dropping-particle":"","family":"Ball","given":"Sarah E.","non-dropping-particle":"","parse-names":false,"suffix":""},{"dropping-particle":"","family":"Cavenagh","given":"Jamie","non-dropping-particle":"","parse-names":false,"suffix":""},{"dropping-particle":"","family":"Darbyshire","given":"Phil","non-dropping-particle":"","parse-names":false,"suffix":""},{"dropping-particle":"","family":"Dokal","given":"Inderjeet","non-dropping-particle":"","parse-names":false,"suffix":""},{"dropping-particle":"","family":"Gordon-Smith","given":"Edward C.","non-dropping-particle":"","parse-names":false,"suffix":""},{"dropping-particle":"","family":"Keidan","given":"Jane","non-dropping-particle":"","parse-names":false,"suffix":""},{"dropping-particle":"","family":"Laurie","given":"Andrew","non-dropping-particle":"","parse-names":false,"suffix":""},{"dropping-particle":"","family":"Martin","given":"Anna","non-dropping-particle":"","parse-names":false,"suffix":""},{"dropping-particle":"","family":"Mercieca","given":"Jane","non-dropping-particle":"","parse-names":false,"suffix":""},{"dropping-particle":"","family":"Killick","given":"Sally B.","non-dropping-particle":"","parse-names":false,"suffix":""},{"dropping-particle":"","family":"Stewart","given":"Rhona","non-dropping-particle":"","parse-names":false,"suffix":""},{"dropping-particle":"","family":"Yin","given":"John A L","non-dropping-particle":"","parse-names":false,"suffix":""}],"container-title":"British Journal of Haematology","id":"ITEM-1","issue":"1","issued":{"date-parts":[["2009"]]},"page":"43-70","title":"Guidelines for the diagnosis and management of aplastic anaemia","type":"article-journal","volume":"147"},"uris":["http://www.mendeley.com/documents/?uuid=e9add32b-b599-49df-af4d-63324be11069"]},{"id":"ITEM-2","itemData":{"DOI":"10.1111/bjh.13853","ISSN":"1365-2141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haematology","id":"ITEM-2","issue":"2","issued":{"date-parts":[["2016","1"]]},"language":"eng","page":"187-207","publisher-place":"England","title":"Guidelines for the diagnosis and management of adult aplastic anaemia.","type":"article-journal","volume":"172"},"uris":["http://www.mendeley.com/documents/?uuid=81dbb232-4526-4205-bab8-854e3c2bd2e8"]}],"mendeley":{"formattedCitation":"[13,17]","plainTextFormattedCitation":"[13,17]","previouslyFormattedCitation":"[13,17]"},"properties":{"noteIndex":0},"schema":"https://github.com/citation-style-language/schema/raw/master/csl-citation.json"}</w:instrText>
      </w:r>
      <w:r w:rsidR="00D07EAB">
        <w:fldChar w:fldCharType="separate"/>
      </w:r>
      <w:r w:rsidR="0012563C" w:rsidRPr="0012563C">
        <w:rPr>
          <w:noProof/>
        </w:rPr>
        <w:t>[13,17]</w:t>
      </w:r>
      <w:r w:rsidR="00D07EAB">
        <w:fldChar w:fldCharType="end"/>
      </w:r>
      <w:r w:rsidR="006D3D80">
        <w:t>.</w:t>
      </w:r>
    </w:p>
    <w:p w14:paraId="6423CCF9" w14:textId="02DB8900" w:rsidR="00CE69A2" w:rsidRPr="00CF338E" w:rsidRDefault="00CE69A2" w:rsidP="00477355">
      <w:pPr>
        <w:pStyle w:val="afd"/>
        <w:spacing w:before="100" w:after="100" w:line="360" w:lineRule="auto"/>
        <w:ind w:firstLine="709"/>
        <w:contextualSpacing/>
        <w:rPr>
          <w:b/>
        </w:rPr>
      </w:pPr>
      <w:r w:rsidRPr="00477355">
        <w:rPr>
          <w:b/>
        </w:rPr>
        <w:t xml:space="preserve">Уровень убедительности рекомендаций </w:t>
      </w:r>
      <w:r w:rsidR="00775E01">
        <w:rPr>
          <w:b/>
          <w:lang w:val="en-US"/>
        </w:rPr>
        <w:t>C</w:t>
      </w:r>
      <w:r w:rsidRPr="00477355">
        <w:rPr>
          <w:b/>
        </w:rPr>
        <w:t xml:space="preserve"> (уровень достоверности доказательств </w:t>
      </w:r>
      <w:r w:rsidR="00CF338E" w:rsidRPr="00CF338E">
        <w:rPr>
          <w:b/>
        </w:rPr>
        <w:t>5</w:t>
      </w:r>
      <w:r w:rsidR="00B32FFA">
        <w:rPr>
          <w:b/>
        </w:rPr>
        <w:t>)</w:t>
      </w:r>
    </w:p>
    <w:p w14:paraId="4A5B5F4D" w14:textId="71960053" w:rsidR="00D23199" w:rsidRPr="00D07EC1" w:rsidRDefault="00031607" w:rsidP="00477355">
      <w:pPr>
        <w:pStyle w:val="afd"/>
        <w:spacing w:line="360" w:lineRule="auto"/>
        <w:ind w:firstLine="709"/>
        <w:contextualSpacing/>
      </w:pPr>
      <w:r w:rsidRPr="00D07EC1">
        <w:rPr>
          <w:rStyle w:val="affa"/>
        </w:rPr>
        <w:t>Комментарии:</w:t>
      </w:r>
      <w:r w:rsidR="00070E58">
        <w:rPr>
          <w:rStyle w:val="affa"/>
        </w:rPr>
        <w:t xml:space="preserve"> </w:t>
      </w:r>
      <w:r w:rsidR="00070E58" w:rsidRPr="00070E58">
        <w:rPr>
          <w:rStyle w:val="affa"/>
          <w:b w:val="0"/>
          <w:bCs w:val="0"/>
          <w:i/>
          <w:iCs/>
        </w:rPr>
        <w:t>д</w:t>
      </w:r>
      <w:r w:rsidRPr="00D07EC1">
        <w:rPr>
          <w:rStyle w:val="affb"/>
        </w:rPr>
        <w:t xml:space="preserve">ля определения тяжести АА необходимо проведение 3 последовательных анализов крови. </w:t>
      </w:r>
      <w:r w:rsidR="00784FE6" w:rsidRPr="00784FE6">
        <w:rPr>
          <w:rStyle w:val="affb"/>
        </w:rPr>
        <w:t>При</w:t>
      </w:r>
      <w:r w:rsidR="00586BF9">
        <w:rPr>
          <w:rStyle w:val="affb"/>
        </w:rPr>
        <w:t xml:space="preserve"> контроле лечения</w:t>
      </w:r>
      <w:r w:rsidR="00784FE6" w:rsidRPr="00784FE6">
        <w:rPr>
          <w:rStyle w:val="affb"/>
          <w:i w:val="0"/>
        </w:rPr>
        <w:t xml:space="preserve"> </w:t>
      </w:r>
      <w:r w:rsidR="00784FE6" w:rsidRPr="00784FE6">
        <w:rPr>
          <w:i/>
        </w:rPr>
        <w:t xml:space="preserve">общий анализ крови проводится </w:t>
      </w:r>
      <w:r w:rsidR="00775E01" w:rsidRPr="00775E01">
        <w:rPr>
          <w:i/>
        </w:rPr>
        <w:t>2</w:t>
      </w:r>
      <w:r w:rsidR="00784FE6" w:rsidRPr="00784FE6">
        <w:rPr>
          <w:i/>
        </w:rPr>
        <w:t xml:space="preserve"> раз</w:t>
      </w:r>
      <w:r w:rsidR="00775E01">
        <w:rPr>
          <w:i/>
        </w:rPr>
        <w:t>а</w:t>
      </w:r>
      <w:r w:rsidR="00784FE6" w:rsidRPr="00784FE6">
        <w:rPr>
          <w:i/>
        </w:rPr>
        <w:t xml:space="preserve"> в неделю до достижения ответа, в дальнейшем – 1 раз в месяц</w:t>
      </w:r>
      <w:r w:rsidR="00477355">
        <w:t xml:space="preserve"> </w:t>
      </w:r>
      <w:r w:rsidR="003B115B">
        <w:fldChar w:fldCharType="begin" w:fldLock="1"/>
      </w:r>
      <w:r w:rsidR="0008327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3B115B">
        <w:fldChar w:fldCharType="separate"/>
      </w:r>
      <w:r w:rsidR="0012563C" w:rsidRPr="0012563C">
        <w:rPr>
          <w:noProof/>
        </w:rPr>
        <w:t>[12]</w:t>
      </w:r>
      <w:r w:rsidR="003B115B">
        <w:fldChar w:fldCharType="end"/>
      </w:r>
      <w:r w:rsidR="00477355">
        <w:t>.</w:t>
      </w:r>
    </w:p>
    <w:p w14:paraId="56E1773B" w14:textId="6AFB8888" w:rsidR="003959BD" w:rsidRDefault="00031607" w:rsidP="00BF4D82">
      <w:pPr>
        <w:pStyle w:val="afe"/>
        <w:numPr>
          <w:ilvl w:val="0"/>
          <w:numId w:val="10"/>
        </w:numPr>
      </w:pPr>
      <w:r w:rsidRPr="003959BD">
        <w:rPr>
          <w:b/>
        </w:rPr>
        <w:t>Рекомендуется</w:t>
      </w:r>
      <w:r w:rsidR="006D3D80">
        <w:t xml:space="preserve"> </w:t>
      </w:r>
      <w:r w:rsidR="00B212DE">
        <w:t xml:space="preserve">всем пациентам при подозрении на АА, а также </w:t>
      </w:r>
      <w:r w:rsidR="006A5BCA" w:rsidRPr="006A5BCA">
        <w:t>а также всем пациентам с установленной АА 1 раз в неделю до достижения ответа, в дальнейшем – 1 раз в месяц:</w:t>
      </w:r>
      <w:r w:rsidR="002164AF">
        <w:t xml:space="preserve"> анализ крови биохимический общетерапевтический </w:t>
      </w:r>
      <w:r w:rsidR="00B32FFA">
        <w:t>(</w:t>
      </w:r>
      <w:r w:rsidR="00B32FFA" w:rsidRPr="003959BD">
        <w:rPr>
          <w:iCs/>
        </w:rPr>
        <w:t xml:space="preserve">общий белок, </w:t>
      </w:r>
      <w:r w:rsidR="00B32FFA" w:rsidRPr="003959BD">
        <w:rPr>
          <w:iCs/>
        </w:rPr>
        <w:lastRenderedPageBreak/>
        <w:t xml:space="preserve">белковые фракции, мочевина, креатинин, билирубин, </w:t>
      </w:r>
      <w:r w:rsidR="00B32FFA" w:rsidRPr="003959BD">
        <w:rPr>
          <w:rFonts w:eastAsia="Times New Roman"/>
        </w:rPr>
        <w:t>аланинаминотрансфераза (</w:t>
      </w:r>
      <w:r w:rsidR="00B32FFA" w:rsidRPr="003959BD">
        <w:rPr>
          <w:iCs/>
        </w:rPr>
        <w:t xml:space="preserve">АЛТ), </w:t>
      </w:r>
      <w:r w:rsidR="003959BD" w:rsidRPr="003959BD">
        <w:rPr>
          <w:rFonts w:eastAsia="Times New Roman"/>
        </w:rPr>
        <w:t>аспартатаминотрансфераза (</w:t>
      </w:r>
      <w:r w:rsidR="00B32FFA" w:rsidRPr="003959BD">
        <w:rPr>
          <w:iCs/>
        </w:rPr>
        <w:t>АСТ</w:t>
      </w:r>
      <w:r w:rsidR="003959BD" w:rsidRPr="003959BD">
        <w:rPr>
          <w:iCs/>
        </w:rPr>
        <w:t>)</w:t>
      </w:r>
      <w:r w:rsidR="00B32FFA" w:rsidRPr="003959BD">
        <w:rPr>
          <w:iCs/>
        </w:rPr>
        <w:t xml:space="preserve">, </w:t>
      </w:r>
      <w:r w:rsidR="003959BD" w:rsidRPr="003959BD">
        <w:rPr>
          <w:rFonts w:eastAsia="Times New Roman"/>
        </w:rPr>
        <w:t>лактатдегидрогеназа (</w:t>
      </w:r>
      <w:r w:rsidR="00B32FFA" w:rsidRPr="003959BD">
        <w:rPr>
          <w:iCs/>
        </w:rPr>
        <w:t>ЛДГ</w:t>
      </w:r>
      <w:r w:rsidR="003959BD" w:rsidRPr="003959BD">
        <w:rPr>
          <w:iCs/>
        </w:rPr>
        <w:t>)</w:t>
      </w:r>
      <w:r w:rsidR="00B32FFA" w:rsidRPr="003959BD">
        <w:rPr>
          <w:iCs/>
        </w:rPr>
        <w:t>, магний, натрий, калий, кальций)</w:t>
      </w:r>
      <w:r w:rsidR="00B32FFA" w:rsidRPr="003959BD">
        <w:rPr>
          <w:i/>
          <w:iCs/>
        </w:rPr>
        <w:t xml:space="preserve"> </w:t>
      </w:r>
      <w:r w:rsidR="002164AF">
        <w:t xml:space="preserve">для оценки общего состояния пациента, </w:t>
      </w:r>
      <w:r w:rsidR="00B212DE">
        <w:t>функций орган</w:t>
      </w:r>
      <w:r w:rsidR="002164AF">
        <w:t xml:space="preserve">ов и систем, а также для </w:t>
      </w:r>
      <w:r w:rsidR="00B212DE">
        <w:t>контроля за осложнениями ИСТ</w:t>
      </w:r>
      <w:r w:rsidR="00E46DC6" w:rsidRPr="00D07EC1">
        <w:t xml:space="preserve"> </w:t>
      </w:r>
      <w:r w:rsidR="007532E4">
        <w:fldChar w:fldCharType="begin" w:fldLock="1"/>
      </w:r>
      <w:r w:rsidR="00083277">
        <w:instrText>ADDIN CSL_CITATION {"citationItems":[{"id":"ITEM-1","itemData":{"DOI":"10.1007/s11864-017-0511-z","ISSN":"15346277","abstract":"OPINION STATEMENT: Acquired aplastic anemia (AA) is a rare, life-threatening bone marrow failure (BMF) disorder that affects patients of all ages and is caused by lymphocyte destruction of early hematopoietic cells. Diagnosis of AA requires a comprehensive approach with prompt evaluation for inherited and secondary causes of bone marrow aplasia, while providing aggressive supportive care. The choice of frontline therapy is determined by a number of factors including AA severity, age of the patient, donor availability, and access to optimal therapies. For newly diagnosed severe aplastic anemia, bone marrow transplant should be pursued in all pediatric patients and in younger adult patients when a matched sibling donor is available. Frontline therapy in older adult patients and in all patients lacking a matched sibling donor involves immunosuppressive therapy (IST) with horse antithymocyte globulin and cyclosporine A. Recent improvements in upfront therapy include encouraging results with closely matched unrelated donor transplants in younger patients and the emerging benefits of eltrombopag combined with initial IST, with randomized studies underway. In the refractory setting, several therapeutic options exist, with improving outcomes of matched unrelated donor and haploidentical bone marrow transplantation as well as the addition of eltrombopag to the non-transplant AA armamentarium. With the recent appreciation of frequent clonal hematopoiesis in AA patients and with the growing use of next-generation sequencing in the clinic, utmost caution should be exercised in interpreting the significance of somatic mutations in AA. Future longitudinal studies of large numbers of patients are needed to determine the prognostic significance of somatic mutations and to guide optimal surveillance and treatment approaches to prevent long-term clonal complications.","author":[{"dropping-particle":"","family":"Peslak","given":"Scott A.","non-dropping-particle":"","parse-names":false,"suffix":""},{"dropping-particle":"","family":"Olson","given":"Timothy","non-dropping-particle":"","parse-names":false,"suffix":""},{"dropping-particle":"V.","family":"Babushok","given":"Daria","non-dropping-particle":"","parse-names":false,"suffix":""}],"container-title":"Current Treatment Options in Oncology","id":"ITEM-1","issue":"12","issued":{"date-parts":[["2017","12","1"]]},"publisher":"Springer New York LLC","title":"Diagnosis and Treatment of Aplastic Anemia","type":"article","volume":"18"},"uris":["http://www.mendeley.com/documents/?uuid=4d385968-1ae3-39b5-9fa1-9a526548c1e8"]},{"id":"ITEM-2","itemData":{"DOI":"10.1111/bjh.13853","ISSN":"1365-2141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haematology","id":"ITEM-2","issue":"2","issued":{"date-parts":[["2016","1"]]},"language":"eng","page":"187-207","publisher-place":"England","title":"Guidelines for the diagnosis and management of adult aplastic anaemia.","type":"article-journal","volume":"172"},"uris":["http://www.mendeley.com/documents/?uuid=81dbb232-4526-4205-bab8-854e3c2bd2e8"]}],"mendeley":{"formattedCitation":"[13,18]","plainTextFormattedCitation":"[13,18]","previouslyFormattedCitation":"[13,18]"},"properties":{"noteIndex":0},"schema":"https://github.com/citation-style-language/schema/raw/master/csl-citation.json"}</w:instrText>
      </w:r>
      <w:r w:rsidR="007532E4">
        <w:fldChar w:fldCharType="separate"/>
      </w:r>
      <w:r w:rsidR="0012563C" w:rsidRPr="0012563C">
        <w:rPr>
          <w:noProof/>
        </w:rPr>
        <w:t>[13,18]</w:t>
      </w:r>
      <w:r w:rsidR="007532E4">
        <w:fldChar w:fldCharType="end"/>
      </w:r>
      <w:r w:rsidR="003959BD">
        <w:t>.</w:t>
      </w:r>
    </w:p>
    <w:p w14:paraId="4C7B4D7D" w14:textId="22A7FC02" w:rsidR="00CE69A2" w:rsidRPr="003959BD" w:rsidRDefault="00CE69A2" w:rsidP="003959BD">
      <w:pPr>
        <w:ind w:firstLine="709"/>
        <w:contextualSpacing/>
        <w:rPr>
          <w:rFonts w:eastAsia="Times New Roman"/>
        </w:rPr>
      </w:pPr>
      <w:r w:rsidRPr="00477355">
        <w:rPr>
          <w:b/>
        </w:rPr>
        <w:t xml:space="preserve">Уровень убедительности рекомендаций </w:t>
      </w:r>
      <w:r w:rsidR="007532E4">
        <w:rPr>
          <w:b/>
          <w:lang w:val="en-US"/>
        </w:rPr>
        <w:t>C</w:t>
      </w:r>
      <w:r w:rsidRPr="00477355">
        <w:rPr>
          <w:b/>
        </w:rPr>
        <w:t xml:space="preserve"> (уровень достоверности доказательств </w:t>
      </w:r>
      <w:r w:rsidR="007532E4" w:rsidRPr="007532E4">
        <w:rPr>
          <w:b/>
        </w:rPr>
        <w:t>5</w:t>
      </w:r>
      <w:r w:rsidRPr="00477355">
        <w:rPr>
          <w:b/>
        </w:rPr>
        <w:t>)</w:t>
      </w:r>
    </w:p>
    <w:p w14:paraId="39CB3CDA" w14:textId="73578C96" w:rsidR="00477355" w:rsidRDefault="00031607" w:rsidP="00BF4D82">
      <w:pPr>
        <w:pStyle w:val="afd"/>
        <w:numPr>
          <w:ilvl w:val="0"/>
          <w:numId w:val="10"/>
        </w:numPr>
        <w:spacing w:before="100" w:after="100" w:line="360" w:lineRule="auto"/>
        <w:contextualSpacing/>
      </w:pPr>
      <w:r w:rsidRPr="006D3D80">
        <w:rPr>
          <w:b/>
        </w:rPr>
        <w:t>Рекомендуется</w:t>
      </w:r>
      <w:r w:rsidRPr="00D07EC1">
        <w:t xml:space="preserve"> </w:t>
      </w:r>
      <w:r w:rsidR="006D3D80">
        <w:t>всем пациентам</w:t>
      </w:r>
      <w:r w:rsidR="008605F7" w:rsidRPr="008605F7">
        <w:t xml:space="preserve"> </w:t>
      </w:r>
      <w:r w:rsidR="003125DC">
        <w:t xml:space="preserve">при подозрении на АА, а также </w:t>
      </w:r>
      <w:r w:rsidR="008605F7">
        <w:t xml:space="preserve">получающим терапию (в особенности </w:t>
      </w:r>
      <w:r w:rsidR="004D571C">
        <w:t xml:space="preserve">заместительную гемокомпонентную </w:t>
      </w:r>
      <w:r w:rsidR="008605F7">
        <w:t>терапию) по поводу АА</w:t>
      </w:r>
      <w:r w:rsidR="003125DC">
        <w:t>:</w:t>
      </w:r>
      <w:r w:rsidR="00A53E3B" w:rsidRPr="00D07EC1">
        <w:t xml:space="preserve"> </w:t>
      </w:r>
      <w:r w:rsidR="00800E17">
        <w:t xml:space="preserve">исследование уровня ферритина в крови, комплекса исследований для диагностики железодефицитной анемии </w:t>
      </w:r>
      <w:r w:rsidR="003125DC" w:rsidRPr="00D07EC1">
        <w:t>для оценки степени перегрузки железом</w:t>
      </w:r>
      <w:r w:rsidR="003125DC">
        <w:t xml:space="preserve"> </w:t>
      </w:r>
      <w:r w:rsidR="000278C4">
        <w:fldChar w:fldCharType="begin" w:fldLock="1"/>
      </w:r>
      <w:r w:rsidR="007F478E">
        <w:instrText>ADDIN CSL_CITATION {"citationItems":[{"id":"ITEM-1","itemData":{"DOI":"10.1016/j.blre.2018.04.004","ISSN":"1532-1681 (Electronic)","PMID":"29699840","abstract":"Excess iron can be extremely toxic for the body and may cause organ damage in the absence of iron chelation therapy. Preclinical studies on the role of free iron on bone marrow function have shown that iron toxicity leads to the accumulation of reactive oxygen species, affects the expression of genes coding for proteins that regulate hematopoiesis, and disrupts hematopoiesis. These effects could be partially attenuated by iron-chelation treatment with deferasirox, suggesting iron toxicity may have a negative impact on the hematopoietic microenvironment. Iron toxicity is of concern in transfusion-dependent patients. Importantly, iron chelation with deferasirox can cause the loss of transfusion dependency and may induce hematological responses, although the mechanisms through which deferasirox exerts this action are currently unknown. This review will focus on the possible mechanisms of toxicity of free iron at the bone marrow level and in the bone marrow microenvironment.","author":[{"dropping-particle":"","family":"Isidori","given":"Alessandro","non-dropping-particle":"","parse-names":false,"suffix":""},{"dropping-particle":"","family":"Borin","given":"Lorenza","non-dropping-particle":"","parse-names":false,"suffix":""},{"dropping-particle":"","family":"Elli","given":"Elena","non-dropping-particle":"","parse-names":false,"suffix":""},{"dropping-particle":"","family":"Latagliata","given":"Roberto","non-dropping-particle":"","parse-names":false,"suffix":""},{"dropping-particle":"","family":"Martino","given":"Bruno","non-dropping-particle":"","parse-names":false,"suffix":""},{"dropping-particle":"","family":"Palumbo","given":"Giuseppe","non-dropping-particle":"","parse-names":false,"suffix":""},{"dropping-particle":"","family":"Pilo","given":"Federica","non-dropping-particle":"","parse-names":false,"suffix":""},{"dropping-particle":"","family":"Loscocco","given":"Federica","non-dropping-particle":"","parse-names":false,"suffix":""},{"dropping-particle":"","family":"Visani","given":"Giuseppe","non-dropping-particle":"","parse-names":false,"suffix":""},{"dropping-particle":"","family":"Cianciulli","given":"Paolo","non-dropping-particle":"","parse-names":false,"suffix":""}],"container-title":"Blood reviews","id":"ITEM-1","issue":"6","issued":{"date-parts":[["2018","11"]]},"language":"eng","page":"473-479","publisher-place":"England","title":"Iron toxicity - Its effect on the bone marrow.","type":"article-journal","volume":"32"},"uris":["http://www.mendeley.com/documents/?uuid=6765363b-2796-4e20-9e2b-7687b8217179","http://www.mendeley.com/documents/?uuid=c3266122-7688-4d55-a1f5-0c95f15013eb"]},{"id":"ITEM-2","itemData":{"ISSN":"0006-4971","author":[{"dropping-particle":"","family":"Nielsen","given":"Peter","non-dropping-particle":"","parse-names":false,"suffix":""},{"dropping-particle":"","family":"Bruemmendorf","given":"Tim H.","non-dropping-particle":"","parse-names":false,"suffix":""},{"dropping-particle":"","family":"Grosse","given":"Regine","non-dropping-particle":"","parse-names":false,"suffix":""},{"dropping-particle":"","family":"Engelhardt","given":"Rainer","non-dropping-particle":"","parse-names":false,"suffix":""},{"dropping-particle":"","family":"Kroeger","given":"Nicolaus","non-dropping-particle":"","parse-names":false,"suffix":""},{"dropping-particle":"","family":"Kabisch","given":"Hartmut","non-dropping-particle":"","parse-names":false,"suffix":""},{"dropping-particle":"","family":"Leismann","given":"Oliver","non-dropping-particle":"","parse-names":false,"suffix":""},{"dropping-particle":"","family":"Fischer","given":"Roland","non-dropping-particle":"","parse-names":false,"suffix":""},{"dropping-particle":"","family":"Zander","given":"Axel R.","non-dropping-particle":"","parse-names":false,"suffix":""}],"container-title":"Blood","id":"ITEM-2","issue":"11","issued":{"date-parts":[["2006"]]},"page":"3726-3726","title":"Iron Stores in Patients with Myelodysplasia and Aplastic Anemia.","type":"article-journal","volume":"108"},"uris":["http://www.mendeley.com/documents/?uuid=4839a4b7-e7f5-33e5-9afc-8cc2b656b700","http://www.mendeley.com/documents/?uuid=7b878cb2-66c2-4f1a-b01d-6ccc13c99b4d"]}],"mendeley":{"formattedCitation":"[1,19]","plainTextFormattedCitation":"[1,19]","previouslyFormattedCitation":"[1,19]"},"properties":{"noteIndex":0},"schema":"https://github.com/citation-style-language/schema/raw/master/csl-citation.json"}</w:instrText>
      </w:r>
      <w:r w:rsidR="000278C4">
        <w:fldChar w:fldCharType="separate"/>
      </w:r>
      <w:r w:rsidR="0012563C" w:rsidRPr="0012563C">
        <w:rPr>
          <w:noProof/>
        </w:rPr>
        <w:t>[1,19]</w:t>
      </w:r>
      <w:r w:rsidR="000278C4">
        <w:fldChar w:fldCharType="end"/>
      </w:r>
      <w:r w:rsidR="005D3723">
        <w:t>.</w:t>
      </w:r>
    </w:p>
    <w:p w14:paraId="315896DE" w14:textId="76FF8DF3" w:rsidR="00CE69A2" w:rsidRPr="003F005E" w:rsidRDefault="00CE69A2" w:rsidP="00477355">
      <w:pPr>
        <w:pStyle w:val="afd"/>
        <w:spacing w:before="100" w:after="100" w:line="360" w:lineRule="auto"/>
        <w:ind w:firstLine="709"/>
        <w:contextualSpacing/>
        <w:rPr>
          <w:b/>
        </w:rPr>
      </w:pPr>
      <w:r w:rsidRPr="00477355">
        <w:rPr>
          <w:b/>
        </w:rPr>
        <w:t xml:space="preserve">Уровень убедительности рекомендаций </w:t>
      </w:r>
      <w:r w:rsidR="003125DC">
        <w:rPr>
          <w:b/>
        </w:rPr>
        <w:t>С</w:t>
      </w:r>
      <w:r w:rsidRPr="00477355">
        <w:rPr>
          <w:b/>
        </w:rPr>
        <w:t xml:space="preserve"> (уровень достоверности доказательств </w:t>
      </w:r>
      <w:r w:rsidR="003125DC">
        <w:rPr>
          <w:b/>
        </w:rPr>
        <w:t>5</w:t>
      </w:r>
      <w:r w:rsidRPr="00477355">
        <w:rPr>
          <w:b/>
        </w:rPr>
        <w:t>)</w:t>
      </w:r>
    </w:p>
    <w:p w14:paraId="78C30D4A" w14:textId="781EB375" w:rsidR="00D23199" w:rsidRPr="00D07EC1" w:rsidRDefault="00031607" w:rsidP="00CE69A2">
      <w:pPr>
        <w:pStyle w:val="afd"/>
        <w:spacing w:beforeAutospacing="0" w:afterAutospacing="0" w:line="360" w:lineRule="auto"/>
        <w:ind w:firstLine="709"/>
        <w:contextualSpacing/>
      </w:pPr>
      <w:r w:rsidRPr="00D07EC1">
        <w:rPr>
          <w:rStyle w:val="affa"/>
        </w:rPr>
        <w:t>Комментарии:</w:t>
      </w:r>
      <w:r w:rsidRPr="00D07EC1">
        <w:rPr>
          <w:rStyle w:val="affb"/>
        </w:rPr>
        <w:t xml:space="preserve"> </w:t>
      </w:r>
      <w:r w:rsidR="00AE677A">
        <w:rPr>
          <w:rStyle w:val="affb"/>
        </w:rPr>
        <w:t>в</w:t>
      </w:r>
      <w:r w:rsidR="00AE677A" w:rsidRPr="00D07EC1">
        <w:rPr>
          <w:rStyle w:val="affb"/>
        </w:rPr>
        <w:t xml:space="preserve"> </w:t>
      </w:r>
      <w:r w:rsidRPr="00D07EC1">
        <w:rPr>
          <w:rStyle w:val="affb"/>
        </w:rPr>
        <w:t>результате частых трансфузий донорских эритроцитов</w:t>
      </w:r>
      <w:r w:rsidR="008605F7">
        <w:rPr>
          <w:rStyle w:val="affb"/>
        </w:rPr>
        <w:t xml:space="preserve"> возможно</w:t>
      </w:r>
      <w:r w:rsidRPr="00D07EC1">
        <w:rPr>
          <w:rStyle w:val="affb"/>
        </w:rPr>
        <w:t xml:space="preserve"> разви</w:t>
      </w:r>
      <w:r w:rsidR="008605F7">
        <w:rPr>
          <w:rStyle w:val="affb"/>
        </w:rPr>
        <w:t xml:space="preserve">тие </w:t>
      </w:r>
      <w:r w:rsidRPr="00D07EC1">
        <w:rPr>
          <w:rStyle w:val="affb"/>
        </w:rPr>
        <w:t>вторичн</w:t>
      </w:r>
      <w:r w:rsidR="008605F7">
        <w:rPr>
          <w:rStyle w:val="affb"/>
        </w:rPr>
        <w:t>ого</w:t>
      </w:r>
      <w:r w:rsidRPr="00D07EC1">
        <w:rPr>
          <w:rStyle w:val="affb"/>
        </w:rPr>
        <w:t xml:space="preserve"> гемосидероз</w:t>
      </w:r>
      <w:r w:rsidR="008605F7">
        <w:rPr>
          <w:rStyle w:val="affb"/>
        </w:rPr>
        <w:t>а</w:t>
      </w:r>
      <w:r w:rsidRPr="00D07EC1">
        <w:rPr>
          <w:rStyle w:val="affb"/>
        </w:rPr>
        <w:t xml:space="preserve"> органов и тканей.</w:t>
      </w:r>
    </w:p>
    <w:p w14:paraId="017B6736" w14:textId="4C6B2FDD" w:rsidR="00974B28" w:rsidRDefault="00974B28" w:rsidP="00BF4D82">
      <w:pPr>
        <w:pStyle w:val="afd"/>
        <w:numPr>
          <w:ilvl w:val="0"/>
          <w:numId w:val="10"/>
        </w:numPr>
        <w:spacing w:before="100" w:after="100" w:line="360" w:lineRule="auto"/>
        <w:contextualSpacing/>
      </w:pPr>
      <w:r w:rsidRPr="006D3D80">
        <w:rPr>
          <w:b/>
        </w:rPr>
        <w:t>Рекомендуется</w:t>
      </w:r>
      <w:r w:rsidRPr="00D07EC1">
        <w:t xml:space="preserve"> </w:t>
      </w:r>
      <w:r>
        <w:t>всем пациентам</w:t>
      </w:r>
      <w:r w:rsidRPr="00D07EC1">
        <w:t xml:space="preserve"> </w:t>
      </w:r>
      <w:r>
        <w:t xml:space="preserve">при </w:t>
      </w:r>
      <w:r w:rsidRPr="006A5BCA">
        <w:t>диагностике АА, а также в процессе терапии АА каждые 6—12 месяцев до достижения ответа:</w:t>
      </w:r>
      <w:r w:rsidRPr="00D07EC1">
        <w:t xml:space="preserve"> </w:t>
      </w:r>
      <w:r w:rsidR="003E42BD" w:rsidRPr="003E42BD">
        <w:t xml:space="preserve">получение цитологического </w:t>
      </w:r>
      <w:r w:rsidR="0018711F">
        <w:t xml:space="preserve">препарата </w:t>
      </w:r>
      <w:r w:rsidR="003E42BD" w:rsidRPr="003E42BD">
        <w:t>путем пункции</w:t>
      </w:r>
      <w:r w:rsidR="003E42BD">
        <w:t xml:space="preserve"> </w:t>
      </w:r>
      <w:r w:rsidR="003E42BD" w:rsidRPr="00F11F75">
        <w:t>(</w:t>
      </w:r>
      <w:r w:rsidRPr="00F11F75">
        <w:t>стернальн</w:t>
      </w:r>
      <w:r w:rsidR="003E42BD" w:rsidRPr="00F11F75">
        <w:t>ая пункция)</w:t>
      </w:r>
      <w:r w:rsidR="003E42BD">
        <w:t xml:space="preserve"> </w:t>
      </w:r>
      <w:r w:rsidR="0018711F">
        <w:t>и исследование мазка</w:t>
      </w:r>
      <w:r w:rsidR="0018711F" w:rsidRPr="003E42BD">
        <w:t xml:space="preserve"> костного мозга</w:t>
      </w:r>
      <w:r w:rsidR="0018711F">
        <w:t xml:space="preserve"> (миелограммы) </w:t>
      </w:r>
      <w:r w:rsidR="003E42BD">
        <w:t xml:space="preserve">для </w:t>
      </w:r>
      <w:r>
        <w:t>оценки клеточного состава костномозгового кроветворения</w:t>
      </w:r>
      <w:r w:rsidR="00A6084F">
        <w:t xml:space="preserve"> – исключения гемобластозов и поражения костного мозга метастазами солидных опухолей </w:t>
      </w:r>
      <w:r>
        <w:t xml:space="preserve"> </w:t>
      </w:r>
      <w:r>
        <w:fldChar w:fldCharType="begin" w:fldLock="1"/>
      </w:r>
      <w:r w:rsidR="003115E7">
        <w:instrText>ADDIN CSL_CITATION {"citationItems":[{"id":"ITEM-1","itemData":{"DOI":"10.1016/j.bcmd.2015.03.007","ISBN":"1079-9796","ISSN":"10960961","PMID":"25976466","abstract":"Acquired aplastic anemia (AA) is a rare heterogeneous disease characterized by pancytopenia and hypoplastic bone marrow. The incidence is 2-3/million inhabitants/year, in Europe, but higher in East Asia. Survival in severe aplastic anemia (SAA) has markedly improved in the past 2. decades because of advances in hematopoietic stem cell transplantation, immunosuppressive and biologic drugs, and supportive care. In SAA hematopoietic stem cell transplant (HSCT) from a matched sibling donor (MSD) is the treatment of choice. If a MSD is not available, the options include immunosuppressive therapy (IST) or unrelated donor HSCT. The objective of this guideline is to provide healthcare professionals with clear guidance on the diagnosis and management of pediatric patients with AA. A preliminary, evidence-based document issued by a group of pediatric hematologists was discussed, modified and approved during a series of \"Consensus Conferences\" according to procedures previously validated by the AIEOP Board. The guidelines highlight the importance of referring pediatric patients with AA to pediatric centers with long experience in diagnosis, differential diagnosis, management, supportive care and follow-up of AA.","author":[{"dropping-particle":"","family":"Barone","given":"Angelica","non-dropping-particle":"","parse-names":false,"suffix":""},{"dropping-particle":"","family":"Lucarelli","given":"Annunziata","non-dropping-particle":"","parse-names":false,"suffix":""},{"dropping-particle":"","family":"Onofrillo","given":"Daniela","non-dropping-particle":"","parse-names":false,"suffix":""},{"dropping-particle":"","family":"Verzegnassi","given":"Federico","non-dropping-particle":"","parse-names":false,"suffix":""},{"dropping-particle":"","family":"Bonanomi","given":"Sonia","non-dropping-particle":"","parse-names":false,"suffix":""},{"dropping-particle":"","family":"Cesaro","given":"Simone","non-dropping-particle":"","parse-names":false,"suffix":""},{"dropping-particle":"","family":"Fioredda","given":"Francesca","non-dropping-particle":"","parse-names":false,"suffix":""},{"dropping-particle":"","family":"Iori","given":"Anna Paola","non-dropping-particle":"","parse-names":false,"suffix":""},{"dropping-particle":"","family":"Ladogana","given":"Saverio","non-dropping-particle":"","parse-names":false,"suffix":""},{"dropping-particle":"","family":"Locasciulli","given":"Anna","non-dropping-particle":"","parse-names":false,"suffix":""},{"dropping-particle":"","family":"Longoni","given":"Daniela","non-dropping-particle":"","parse-names":false,"suffix":""},{"dropping-particle":"","family":"Lanciotti","given":"Marina","non-dropping-particle":"","parse-names":false,"suffix":""},{"dropping-particle":"","family":"Macaluso","given":"Alessandra","non-dropping-particle":"","parse-names":false,"suffix":""},{"dropping-particle":"","family":"Mandaglio","given":"Rosalba","non-dropping-particle":"","parse-names":false,"suffix":""},{"dropping-particle":"","family":"Marra","given":"Nicoletta","non-dropping-particle":"","parse-names":false,"suffix":""},{"dropping-particle":"","family":"Martire","given":"Baldo","non-dropping-particle":"","parse-names":false,"suffix":""},{"dropping-particle":"","family":"Maruzzi","given":"Matteo","non-dropping-particle":"","parse-names":false,"suffix":""},{"dropping-particle":"","family":"Menna","given":"Giuseppe","non-dropping-particle":"","parse-names":false,"suffix":""},{"dropping-particle":"","family":"Notarangelo","given":"Lucia Dora","non-dropping-particle":"","parse-names":false,"suffix":""},{"dropping-particle":"","family":"Palazzi","given":"Giovanni","non-dropping-particle":"","parse-names":false,"suffix":""},{"dropping-particle":"","family":"Pillon","given":"Marta","non-dropping-particle":"","parse-names":false,"suffix":""},{"dropping-particle":"","family":"Ramenghi","given":"Ugo","non-dropping-particle":"","parse-names":false,"suffix":""},{"dropping-particle":"","family":"Russo","given":"Giovanna","non-dropping-particle":"","parse-names":false,"suffix":""},{"dropping-particle":"","family":"Svahn","given":"Johanna","non-dropping-particle":"","parse-names":false,"suffix":""},{"dropping-particle":"","family":"Timeus","given":"Fabio","non-dropping-particle":"","parse-names":false,"suffix":""},{"dropping-particle":"","family":"Tucci","given":"Fabio","non-dropping-particle":"","parse-names":false,"suffix":""},{"dropping-particle":"","family":"Cugno","given":"Chiara","non-dropping-particle":"","parse-names":false,"suffix":""},{"dropping-particle":"","family":"Zecca","given":"Marco","non-dropping-particle":"","parse-names":false,"suffix":""},{"dropping-particle":"","family":"Farruggia","given":"Piero","non-dropping-particle":"","parse-names":false,"suffix":""},{"dropping-particle":"","family":"Dufour","given":"Carlo","non-dropping-particle":"","parse-names":false,"suffix":""},{"dropping-particle":"","family":"Saracco","given":"Paola","non-dropping-particle":"","parse-names":false,"suffix":""}],"container-title":"Blood Cells, Molecules, and Diseases","id":"ITEM-1","issue":"1","issued":{"date-parts":[["2015"]]},"page":"40-47","publisher":"Elsevier B.V.","title":"Diagnosis and management of acquired aplastic anemia in childhood. Guidelines from the Marrow Failure Study Group of the Pediatric Haemato-Oncology Italian Association (AIEOP)","type":"article-journal","volume":"55"},"uris":["http://www.mendeley.com/documents/?uuid=b06c8ee4-e4ff-4eb2-b688-ad0726a1a80d","http://www.mendeley.com/documents/?uuid=30ddf315-6888-41bf-9918-8dfa363b6584"]},{"id":"ITEM-2","itemData":{"DOI":"10.1111/j.1365-2141.2009.07842.x","ISBN":"1365-2141","ISSN":"00071048","PMID":"19673883","abstract":"BACKGROUND: The standard treatment for patients with diffuse large-B-cell lymphoma is cyclophosphamide, doxorubicin, vincristine, and prednisone (CHOP). Rituximab, a chimeric monoclonal antibody against the CD20 B-cell antigen, has therapeutic activity in diffuse large-B-cell lymphoma. We conducted a randomized trial to compare CHOP chemotherapy plus rituximab with CHOP alone in elderly patients with diffuse large-B-cell lymphoma. METHODS: Previously untreated patients with diffuse large-B-cell lymphoma, 60 to 80 years old, were randomly assigned to receive either eight cycles of CHOP every three weeks (197 patients) or eight cycles of CHOP plus rituximab given on day 1 of each cycle (202 patients). RESULTS: The rate of complete response was significantly higher in the group that received CHOP plus rituximab than in the group that received CHOP alone (76 percent vs. 63 percent, P=0.005). With a median follow-up of two years, event-free and overall survival times were significantly higher in the CHOP-plus-rituximab group (P&lt;0.001 and P=0.007, respectively). The addition of rituximab to standard CHOP chemotherapy significantly reduced the risk of treatment failure and death (risk ratios, 0.58 95 percent confidence interval, 0.44 to 0.77 and 0.64 0.45 to 0.89, respectively). Clinically relevant toxicity was not significantly greater with CHOP plus rituximab. CONCLUSIONS: The addition of rituximab to the CHOP regimen increases the complete-response rate and prolongs event-free and overall survival in elderly patients with diffuse large-B-cell lymphoma, without a clinically significant increase in toxicity.","author":[{"dropping-particle":"","family":"Marsh","given":"Judith C W","non-dropping-particle":"","parse-names":false,"suffix":""},{"dropping-particle":"","family":"Ball","given":"Sarah E.","non-dropping-particle":"","parse-names":false,"suffix":""},{"dropping-particle":"","family":"Cavenagh","given":"Jamie","non-dropping-particle":"","parse-names":false,"suffix":""},{"dropping-particle":"","family":"Darbyshire","given":"Phil","non-dropping-particle":"","parse-names":false,"suffix":""},{"dropping-particle":"","family":"Dokal","given":"Inderjeet","non-dropping-particle":"","parse-names":false,"suffix":""},{"dropping-particle":"","family":"Gordon-Smith","given":"Edward C.","non-dropping-particle":"","parse-names":false,"suffix":""},{"dropping-particle":"","family":"Keidan","given":"Jane","non-dropping-particle":"","parse-names":false,"suffix":""},{"dropping-particle":"","family":"Laurie","given":"Andrew","non-dropping-particle":"","parse-names":false,"suffix":""},{"dropping-particle":"","family":"Martin","given":"Anna","non-dropping-particle":"","parse-names":false,"suffix":""},{"dropping-particle":"","family":"Mercieca","given":"Jane","non-dropping-particle":"","parse-names":false,"suffix":""},{"dropping-particle":"","family":"Killick","given":"Sally B.","non-dropping-particle":"","parse-names":false,"suffix":""},{"dropping-particle":"","family":"Stewart","given":"Rhona","non-dropping-particle":"","parse-names":false,"suffix":""},{"dropping-particle":"","family":"Yin","given":"John A L","non-dropping-particle":"","parse-names":false,"suffix":""}],"container-title":"British Journal of Haematology","id":"ITEM-2","issue":"1","issued":{"date-parts":[["2009"]]},"page":"43-70","title":"Guidelines for the diagnosis and management of aplastic anaemia","type":"article-journal","volume":"147"},"uris":["http://www.mendeley.com/documents/?uuid=9cbdb240-40c3-4435-be6f-20cc66c92036","http://www.mendeley.com/documents/?uuid=e9add32b-b599-49df-af4d-63324be11069"]},{"id":"ITEM-3","itemData":{"DOI":"10.1136/jcp.27.3.231","ISSN":"00219746","abstract":"Bone marrow preparations were examined from 80 patients with aplastic anaemia. The degree of cellularity varied greatly and in a third of the cases it was normal or even hypercellular at one site of aspiration. In the severely hypoplastic marrows lymphoid cells were predominant and this situation was associated with a worse prognosis. There was no correlation between marrow lymphoid cell content and blood lymphocyte count but there was an inverse relationship between blood lymphocyte count and marrow erythroblasts and a close direct relationship between the blood neutrophil count and marrow myeloid cell content. In all cases a proportion of the erythroblasts showed morphological abnormalities. These included especially megaloblastic changes and asynchrony of nuclear-cytoplasmic maturation. There were also binucleated cells, internuclear chromatin bridges, intercellular cytoplasmic connexions, nuclear degenerative changes, namely, blurred outlines, irregular shapes, budding and fragmentation, and atypical mitotic figures. These appearances illustrate the extent to which a qualitative defect of erythropoiesis occurs as part of the haematological pattern in aplastic anaemia, and in some cases dominates the bone marrow picture. Similar cytological features were found in all cases, including five patients with Fanconi's anaemia.","author":[{"dropping-particle":"","family":"Frisch","given":"B.","non-dropping-particle":"","parse-names":false,"suffix":""},{"dropping-particle":"","family":"Lewis","given":"S. M.","non-dropping-particle":"","parse-names":false,"suffix":""}],"container-title":"Journal of Clinical Pathology","id":"ITEM-3","issue":"3","issued":{"date-parts":[["1974"]]},"page":"231-241","title":"The bone marrow in aplastic anaemia: diagnostic and prognostic features","type":"article-journal","volume":"27"},"uris":["http://www.mendeley.com/documents/?uuid=4a028734-8c04-3776-bff4-20dcb25a9cff"]},{"id":"ITEM-4","itemData":{"DOI":"10.1111/bjh.13853","ISSN":"1365-2141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haematology","id":"ITEM-4","issue":"2","issued":{"date-parts":[["2016","1"]]},"language":"eng","page":"187-207","publisher-place":"England","title":"Guidelines for the diagnosis and management of adult aplastic anaemia.","type":"article-journal","volume":"172"},"uris":["http://www.mendeley.com/documents/?uuid=81dbb232-4526-4205-bab8-854e3c2bd2e8"]}],"mendeley":{"formattedCitation":"[13,17,20,21]","plainTextFormattedCitation":"[13,17,20,21]","previouslyFormattedCitation":"[13,17,20,21]"},"properties":{"noteIndex":0},"schema":"https://github.com/citation-style-language/schema/raw/master/csl-citation.json"}</w:instrText>
      </w:r>
      <w:r>
        <w:fldChar w:fldCharType="separate"/>
      </w:r>
      <w:r w:rsidR="00083277" w:rsidRPr="00083277">
        <w:rPr>
          <w:noProof/>
        </w:rPr>
        <w:t>[13,17,20,21]</w:t>
      </w:r>
      <w:r>
        <w:fldChar w:fldCharType="end"/>
      </w:r>
    </w:p>
    <w:p w14:paraId="763343F4" w14:textId="77777777" w:rsidR="00974B28" w:rsidRPr="00CE69A2" w:rsidRDefault="00974B28" w:rsidP="00974B28">
      <w:pPr>
        <w:pStyle w:val="afd"/>
        <w:spacing w:before="100" w:after="100" w:line="360" w:lineRule="auto"/>
        <w:ind w:firstLine="709"/>
        <w:contextualSpacing/>
        <w:rPr>
          <w:b/>
        </w:rPr>
      </w:pPr>
      <w:r w:rsidRPr="00CE69A2">
        <w:rPr>
          <w:b/>
        </w:rPr>
        <w:t>Уровень убедительности ре</w:t>
      </w:r>
      <w:r>
        <w:rPr>
          <w:b/>
        </w:rPr>
        <w:t xml:space="preserve">комендаций </w:t>
      </w:r>
      <w:r>
        <w:rPr>
          <w:b/>
          <w:lang w:val="en-US"/>
        </w:rPr>
        <w:t>C</w:t>
      </w:r>
      <w:r w:rsidRPr="00CE69A2">
        <w:rPr>
          <w:b/>
        </w:rPr>
        <w:t xml:space="preserve"> (уровен</w:t>
      </w:r>
      <w:r>
        <w:rPr>
          <w:b/>
        </w:rPr>
        <w:t xml:space="preserve">ь достоверности доказательств </w:t>
      </w:r>
      <w:r w:rsidRPr="00F61A30">
        <w:rPr>
          <w:b/>
        </w:rPr>
        <w:t>5</w:t>
      </w:r>
      <w:r w:rsidRPr="00CE69A2">
        <w:rPr>
          <w:b/>
        </w:rPr>
        <w:t>)</w:t>
      </w:r>
    </w:p>
    <w:p w14:paraId="1322FC8C" w14:textId="613A18F9" w:rsidR="00D23199" w:rsidRPr="00F11F75" w:rsidRDefault="00031607" w:rsidP="00C00AD2">
      <w:pPr>
        <w:pStyle w:val="afd"/>
        <w:spacing w:before="100" w:after="100" w:line="360" w:lineRule="auto"/>
        <w:ind w:firstLine="709"/>
        <w:contextualSpacing/>
        <w:rPr>
          <w:rStyle w:val="affb"/>
        </w:rPr>
      </w:pPr>
      <w:r w:rsidRPr="00D07EC1">
        <w:rPr>
          <w:rStyle w:val="affa"/>
        </w:rPr>
        <w:t>Комментарии:</w:t>
      </w:r>
      <w:r w:rsidRPr="00D07EC1">
        <w:rPr>
          <w:rStyle w:val="affb"/>
        </w:rPr>
        <w:t xml:space="preserve"> при </w:t>
      </w:r>
      <w:r w:rsidR="002F5D9E">
        <w:rPr>
          <w:rStyle w:val="affb"/>
        </w:rPr>
        <w:t>АА</w:t>
      </w:r>
      <w:r w:rsidRPr="00D07EC1">
        <w:rPr>
          <w:rStyle w:val="affb"/>
        </w:rPr>
        <w:t xml:space="preserve"> пунктат </w:t>
      </w:r>
      <w:r w:rsidR="002F5D9E">
        <w:rPr>
          <w:rStyle w:val="affb"/>
        </w:rPr>
        <w:t>КМ</w:t>
      </w:r>
      <w:r w:rsidRPr="00D07EC1">
        <w:rPr>
          <w:rStyle w:val="affb"/>
        </w:rPr>
        <w:t xml:space="preserve"> малоклеточный, определяется относительный лимфоцитоз, отсутствуют мегакариоциты.</w:t>
      </w:r>
      <w:r w:rsidR="000278C4" w:rsidRPr="000278C4">
        <w:rPr>
          <w:rStyle w:val="affb"/>
        </w:rPr>
        <w:t xml:space="preserve"> </w:t>
      </w:r>
      <w:r w:rsidR="000278C4">
        <w:rPr>
          <w:rStyle w:val="affb"/>
        </w:rPr>
        <w:t>Пункция грудин</w:t>
      </w:r>
      <w:r w:rsidR="00117113">
        <w:rPr>
          <w:rStyle w:val="affb"/>
        </w:rPr>
        <w:t xml:space="preserve">ы </w:t>
      </w:r>
      <w:r w:rsidR="00117113" w:rsidRPr="00F11F75">
        <w:rPr>
          <w:rStyle w:val="affb"/>
        </w:rPr>
        <w:t>может быть выполнена у пациентов</w:t>
      </w:r>
      <w:r w:rsidR="000278C4" w:rsidRPr="00F11F75">
        <w:rPr>
          <w:rStyle w:val="affb"/>
        </w:rPr>
        <w:t xml:space="preserve"> с глубокой тромбоцитопенией без предварительной трансфузионной подготовки </w:t>
      </w:r>
      <w:r w:rsidR="000278C4" w:rsidRPr="00F11F75">
        <w:rPr>
          <w:rStyle w:val="affb"/>
        </w:rPr>
        <w:fldChar w:fldCharType="begin" w:fldLock="1"/>
      </w:r>
      <w:r w:rsidR="003115E7">
        <w:rPr>
          <w:rStyle w:val="affb"/>
        </w:rPr>
        <w:instrText>ADDIN CSL_CITATION {"citationItems":[{"id":"ITEM-1","itemData":{"DOI":"10.1046/j.1365-2141.2003.04468.x","author":[{"dropping-particle":"","family":"Kelsey","given":"P","non-dropping-particle":"","parse-names":false,"suffix":""},{"dropping-particle":"","family":"Murphy","given":"M F","non-dropping-particle":"","parse-names":false,"suffix":""},{"dropping-particle":"","family":"Brown","given":"M","non-dropping-particle":"","parse-names":false,"suffix":""},{"dropping-particle":"","family":"Carrington","given":"P","non-dropping-particle":"","parse-names":false,"suffix":""},{"dropping-particle":"","family":"Hall","given":"G","non-dropping-particle":"","parse-names":false,"suffix":""},{"dropping-particle":"","family":"Jeffrey","given":"R R","non-dropping-particle":"","parse-names":false,"suffix":""},{"dropping-particle":"","family":"Machin","given":"S","non-dropping-particle":"","parse-names":false,"suffix":""},{"dropping-particle":"","family":"Taylor","given":"C","non-dropping-particle":"","parse-names":false,"suffix":""},{"dropping-particle":"","family":"Thomas","given":"D","non-dropping-particle":"","parse-names":false,"suffix":""},{"dropping-particle":"","family":"Boulton","given":"F","non-dropping-particle":"","parse-names":false,"suffix":""},{"dropping-particle":"","family":"Bruce","given":"M","non-dropping-particle":"","parse-names":false,"suffix":""},{"dropping-particle":"","family":"Cohen","given":"H","non-dropping-particle":"","parse-names":false,"suffix":""},{"dropping-particle":"","family":"Duguid","given":"J","non-dropping-particle":"","parse-names":false,"suffix":""},{"dropping-particle":"","family":"Knowles","given":"S M","non-dropping-particle":"","parse-names":false,"suffix":""},{"dropping-particle":"","family":"Murphy","given":"M F","non-dropping-particle":"","parse-names":false,"suffix":""},{"dropping-particle":"","family":"Poole","given":"G","non-dropping-particle":"","parse-names":false,"suffix":""},{"dropping-particle":"","family":"Williamson","given":"L M","non-dropping-particle":"","parse-names":false,"suffix":""}],"container-title":"British Journal of Haematology","id":"ITEM-1","issue":"1","issued":{"date-parts":[["2003"]]},"page":"10-23","title":"Guidelines for the use of platelet transfusions","type":"article-journal","volume":"122"},"uris":["http://www.mendeley.com/documents/?uuid=a40b78a4-8a25-4dc3-91aa-cd77b82f1d80","http://www.mendeley.com/documents/?uuid=ae13e39e-d447-4417-a36a-495acada282e"]}],"mendeley":{"formattedCitation":"[22]","plainTextFormattedCitation":"[22]","previouslyFormattedCitation":"[22]"},"properties":{"noteIndex":0},"schema":"https://github.com/citation-style-language/schema/raw/master/csl-citation.json"}</w:instrText>
      </w:r>
      <w:r w:rsidR="000278C4" w:rsidRPr="00F11F75">
        <w:rPr>
          <w:rStyle w:val="affb"/>
        </w:rPr>
        <w:fldChar w:fldCharType="separate"/>
      </w:r>
      <w:r w:rsidR="00083277" w:rsidRPr="00083277">
        <w:rPr>
          <w:rStyle w:val="affb"/>
          <w:i w:val="0"/>
          <w:noProof/>
        </w:rPr>
        <w:t>[22]</w:t>
      </w:r>
      <w:r w:rsidR="000278C4" w:rsidRPr="00F11F75">
        <w:rPr>
          <w:rStyle w:val="affb"/>
        </w:rPr>
        <w:fldChar w:fldCharType="end"/>
      </w:r>
      <w:r w:rsidR="0070185B" w:rsidRPr="00F11F75">
        <w:rPr>
          <w:rStyle w:val="affb"/>
        </w:rPr>
        <w:t>.</w:t>
      </w:r>
      <w:r w:rsidR="000278C4" w:rsidRPr="00F11F75">
        <w:rPr>
          <w:rStyle w:val="affb"/>
        </w:rPr>
        <w:t xml:space="preserve"> </w:t>
      </w:r>
    </w:p>
    <w:p w14:paraId="5A6B206A" w14:textId="2B2B398A" w:rsidR="005319F6" w:rsidRDefault="00C00AD2" w:rsidP="00BF4D82">
      <w:pPr>
        <w:pStyle w:val="afd"/>
        <w:numPr>
          <w:ilvl w:val="0"/>
          <w:numId w:val="10"/>
        </w:numPr>
        <w:spacing w:before="100" w:after="100" w:line="360" w:lineRule="auto"/>
        <w:contextualSpacing/>
      </w:pPr>
      <w:r w:rsidRPr="006D3D80">
        <w:rPr>
          <w:b/>
        </w:rPr>
        <w:t>Рекомендуется</w:t>
      </w:r>
      <w:r w:rsidRPr="00D07EC1">
        <w:t xml:space="preserve"> </w:t>
      </w:r>
      <w:r>
        <w:t>всем пациентам</w:t>
      </w:r>
      <w:r w:rsidR="00031607" w:rsidRPr="00D07EC1">
        <w:t xml:space="preserve"> </w:t>
      </w:r>
      <w:r w:rsidR="00FA2AE2">
        <w:t xml:space="preserve">при диагностике АА </w:t>
      </w:r>
      <w:r w:rsidR="00031607" w:rsidRPr="00F11F75">
        <w:t>стандартн</w:t>
      </w:r>
      <w:r w:rsidR="00117113" w:rsidRPr="00F11F75">
        <w:t>ое цитогенетическое исследование</w:t>
      </w:r>
      <w:r w:rsidR="00C145BD" w:rsidRPr="00F11F75">
        <w:t xml:space="preserve"> (кариотип)</w:t>
      </w:r>
      <w:r w:rsidR="00031607" w:rsidRPr="00F11F75">
        <w:t xml:space="preserve"> клеток </w:t>
      </w:r>
      <w:r w:rsidR="002F5D9E" w:rsidRPr="00F11F75">
        <w:t>КМ</w:t>
      </w:r>
      <w:r w:rsidR="00C145BD" w:rsidRPr="00F11F75">
        <w:t xml:space="preserve"> </w:t>
      </w:r>
      <w:r w:rsidR="00A6084F" w:rsidRPr="00F11F75">
        <w:t xml:space="preserve">и </w:t>
      </w:r>
      <w:r w:rsidR="00B866ED" w:rsidRPr="00B866ED">
        <w:t xml:space="preserve">Молекулярно-цитогенетическое исследование (FISH-метод) на одну пару хромосом </w:t>
      </w:r>
      <w:r w:rsidR="00B866ED">
        <w:t>(</w:t>
      </w:r>
      <w:r w:rsidR="00A6084F" w:rsidRPr="00F11F75">
        <w:rPr>
          <w:lang w:val="en-US"/>
        </w:rPr>
        <w:t>FISH</w:t>
      </w:r>
      <w:r w:rsidR="00A6084F" w:rsidRPr="00F11F75">
        <w:t xml:space="preserve"> </w:t>
      </w:r>
      <w:r w:rsidR="00B866ED" w:rsidRPr="00F11F75">
        <w:t>исследовани</w:t>
      </w:r>
      <w:r w:rsidR="00045FA5">
        <w:t>е</w:t>
      </w:r>
      <w:r w:rsidR="00B866ED" w:rsidRPr="00F11F75">
        <w:t xml:space="preserve"> </w:t>
      </w:r>
      <w:r w:rsidR="00A6084F" w:rsidRPr="00F11F75">
        <w:t>на наличие моносомии 7</w:t>
      </w:r>
      <w:r w:rsidR="00B866ED">
        <w:t>)</w:t>
      </w:r>
      <w:r w:rsidR="00031607" w:rsidRPr="00F11F75">
        <w:t xml:space="preserve"> </w:t>
      </w:r>
      <w:r w:rsidRPr="00F11F75">
        <w:rPr>
          <w:rStyle w:val="affb"/>
          <w:i w:val="0"/>
        </w:rPr>
        <w:t>для дифференциальной диагностики</w:t>
      </w:r>
      <w:r w:rsidRPr="00C00AD2">
        <w:rPr>
          <w:rStyle w:val="affb"/>
          <w:i w:val="0"/>
        </w:rPr>
        <w:t xml:space="preserve"> с МДС</w:t>
      </w:r>
      <w:r w:rsidR="00DE6A00" w:rsidRPr="00DE6A00">
        <w:t xml:space="preserve"> </w:t>
      </w:r>
      <w:r w:rsidR="00DE6A00">
        <w:fldChar w:fldCharType="begin" w:fldLock="1"/>
      </w:r>
      <w:r w:rsidR="003115E7">
        <w:instrText>ADDIN CSL_CITATION {"citationItems":[{"id":"ITEM-1","itemData":{"DOI":"10.1182/blood-2008-02-130435","abstract":"Over the years, methods of cytogenetic analysis evolved and became part of routine laboratory testing, providing valuable diagnostic and prognostic information in hematologic disorders. Karyotypic aberrations contribute to the understanding of the molecular pathogenesis of disease and thereby to rational application of therapeutic modalities. Most of the progress in this field stems from the application of metaphase cytogenetics (MC), but recently, novel molecular technologies have been introduced that complement MC and overcome many of the limitations of traditional cytogenetics, including a need for cell culture. Whole genome scanning using comparative genomic hybridization and single nucleotide polymorphism arrays (CGH-A; SNP-A) can be used for analysis of somatic or clonal unbalanced chromosomal defects. In SNP-A, the combination of copy number detection and genotyping enables diagnosis of copy-neutral loss of heterozygosity, a lesion that cannot be detected using MC but may have important pathogenetic implications. Overall, whole genome scanning arrays, despite the drawback of an inability to detect balanced translocations, allow for discovery of chromosomal defects in a higher proportion of patients with hematologic malignancies. Newly detected chromosomal aberrations, including somatic uniparental disomy, may lead to more precise prognostic schemes in many diseases. © 2008 by The American Society of Hematology.","author":[{"dropping-particle":"","family":"Maciejewski","given":"J.P.","non-dropping-particle":"","parse-names":false,"suffix":""},{"dropping-particle":"","family":"Mufti","given":"G.J.","non-dropping-particle":"","parse-names":false,"suffix":""}],"container-title":"Blood","id":"ITEM-1","issue":"4","issued":{"date-parts":[["2008"]]},"page":"965-974","title":"Whole genome scanning as a cytogenetic tool in hematologic malignancies","type":"article-journal","volume":"112"},"uris":["http://www.mendeley.com/documents/?uuid=b37fe15d-8048-360c-aa7f-4ddbc3cfb699","http://www.mendeley.com/documents/?uuid=15b65375-262d-4805-8085-f5861f94ed6b"]},{"id":"ITEM-2","itemData":{"DOI":"10.1182/blood.V99.9.3129","abstract":"A serious complication of aplastic anemia (AA) is its evolution to clonal hematologic diseases such as myelodysplasia (MDS) and leukemia, which is usually associated with the appearance of a cytogenetic abnormality in bone marrow cells. We present here an analysis of a cohort of 30 patients with otherwise typical AA in whom clonal karyotypic evolution was observed during frequent periodic marrow examinations. The actuarial risk for this complication has been estimated in other studies at around 15% at 5 years. Conversion from normal to abnormal karyotype occurred at a constant rate after initial diagnosis, with about 50% of cases developing within the first 30 months. Transient chromosomal abnormalities were infrequent. Clinically, AA patients with clonal cytogenetic patterns were heterogenous; a variety of karyotypic defects with numerical and structural abnormalities of chromosome 7 accounted for 40% of all cases followed by trisomy 8, structural and numerical abnormalities of chromosome 13, deletion of Y chromosome, and complex cytogenetic abnormalities. Unlike in primary MDS, aberrancies of chromosome 5 and 20 were infrequent. The clinical course depended on the specific abnormal cytogenetic pattern. Most deaths related to leukemic transformation occurred in patients with abnormalities of chromosome 7 or complex cytogenetic alterations or both. Evolution of chromosome 7 abnormalities was seen most often in refractory patients who had failed to respond to therapy. In contrast, trisomy 8 developed in patients with good hematologic responses who often required chronic immunosuppression with cyclosporine A (CsA), and survival was excellent. Although AA patients with monosomy 7 showed a similar prognosis to those with primary MDS, trisomy 8 in AA appears to have a more favorable prognosis than in MDS. © 2002 by The American Society of Hematology.","author":[{"dropping-particle":"","family":"Maciejewski","given":"J.P.","non-dropping-particle":"","parse-names":false,"suffix":""},{"dropping-particle":"","family":"Risitano","given":"A.","non-dropping-particle":"","parse-names":false,"suffix":""},{"dropping-particle":"","family":"Sloand","given":"E.M.","non-dropping-particle":"","parse-names":false,"suffix":""},{"dropping-particle":"","family":"Nunez","given":"O.","non-dropping-particle":"","parse-names":false,"suffix":""},{"dropping-particle":"","family":"Young","given":"N.S.","non-dropping-particle":"","parse-names":false,"suffix":""}],"container-title":"Blood","id":"ITEM-2","issue":"9","issued":{"date-parts":[["2002"]]},"page":"3129-3135","title":"Distinct clinical outcomes for cytogenetic abnormalities evolving from aplastic anemia","type":"article-journal","volume":"99"},"uris":["http://www.mendeley.com/documents/?uuid=ef2d71ab-0460-3e06-b116-945ba95cf2d2","http://www.mendeley.com/documents/?uuid=b4e55466-17fb-4d03-ac35-37a1ccd03dab"]},{"id":"ITEM-3","itemData":{"DOI":"10.1111/j.1365-2141.2006.06105.x","abstract":"The outcome of 81 adult aplastic anaemia patients who had successful cytogenetics at diagnosis and received immunosuppressive therapy was evaluated. Ten patients had an abnormal karyotype, six of which had a trisomy. Four of five evaluable patients with a trisomy responded. One patient with monosomy 7 achieved a complete response and later developed haemolytic paroxysmal nocturnal haemoglobinuria but no recurrence of monosomy 7. None of the patients with a non-numerical karyotypic abnormality responded. No significant differences in survival or later clonal disorders were observed between patients with a normal karyotype and those with an abnormal karyotype. © 2006 Blackwell Publishing Ltd.","author":[{"dropping-particle":"","family":"Gupta","given":"V.","non-dropping-particle":"","parse-names":false,"suffix":""},{"dropping-particle":"","family":"Brooker","given":"C.","non-dropping-particle":"","parse-names":false,"suffix":""},{"dropping-particle":"","family":"Tooze","given":"J.A.","non-dropping-particle":"","parse-names":false,"suffix":""},{"dropping-particle":"","family":"Yi","given":"Q.-L.","non-dropping-particle":"","parse-names":false,"suffix":""},{"dropping-particle":"","family":"Sage","given":"D.","non-dropping-particle":"","parse-names":false,"suffix":""},{"dropping-particle":"","family":"Turner","given":"D.","non-dropping-particle":"","parse-names":false,"suffix":""},{"dropping-particle":"","family":"Kangasabapathy","given":"P.","non-dropping-particle":"","parse-names":false,"suffix":""},{"dropping-particle":"","family":"Marsh","given":"J.C.W.","non-dropping-particle":"","parse-names":false,"suffix":""}],"container-title":"British Journal of Haematology","id":"ITEM-3","issue":"1","issued":{"date-parts":[["2006"]]},"page":"95-99","title":"Clinical relevance of cytogenetic abnormalities at diagnosis of acquired aplastic anaemia in adults","type":"article-journal","volume":"134"},"uris":["http://www.mendeley.com/documents/?uuid=fbca0601-5bb8-36cb-bb2b-4c8553b79124","http://www.mendeley.com/documents/?uuid=e165f73f-8ac5-4980-b75d-8aa433e11e34"]}],"mendeley":{"formattedCitation":"[23–25]","plainTextFormattedCitation":"[23–25]","previouslyFormattedCitation":"[23–25]"},"properties":{"noteIndex":0},"schema":"https://github.com/citation-style-language/schema/raw/master/csl-citation.json"}</w:instrText>
      </w:r>
      <w:r w:rsidR="00DE6A00">
        <w:fldChar w:fldCharType="separate"/>
      </w:r>
      <w:r w:rsidR="00083277" w:rsidRPr="00083277">
        <w:rPr>
          <w:noProof/>
        </w:rPr>
        <w:t>[23–25]</w:t>
      </w:r>
      <w:r w:rsidR="00DE6A00">
        <w:fldChar w:fldCharType="end"/>
      </w:r>
      <w:r>
        <w:t>.</w:t>
      </w:r>
    </w:p>
    <w:p w14:paraId="60C30E8C" w14:textId="1E28A045" w:rsidR="00CE69A2" w:rsidRDefault="00CE69A2" w:rsidP="005319F6">
      <w:pPr>
        <w:pStyle w:val="afd"/>
        <w:spacing w:before="100" w:after="100" w:line="360" w:lineRule="auto"/>
        <w:ind w:firstLine="709"/>
        <w:contextualSpacing/>
        <w:rPr>
          <w:b/>
        </w:rPr>
      </w:pPr>
      <w:r w:rsidRPr="005319F6">
        <w:rPr>
          <w:b/>
        </w:rPr>
        <w:t xml:space="preserve">Уровень убедительности рекомендаций </w:t>
      </w:r>
      <w:r w:rsidR="00707A95">
        <w:rPr>
          <w:b/>
        </w:rPr>
        <w:t>С</w:t>
      </w:r>
      <w:r w:rsidRPr="005319F6">
        <w:rPr>
          <w:b/>
        </w:rPr>
        <w:t xml:space="preserve"> (уровень достоверности доказательств </w:t>
      </w:r>
      <w:r w:rsidR="00707A95">
        <w:rPr>
          <w:b/>
        </w:rPr>
        <w:t>4)</w:t>
      </w:r>
    </w:p>
    <w:p w14:paraId="179934BC" w14:textId="77777777" w:rsidR="00EE57D0" w:rsidRPr="005319F6" w:rsidRDefault="00EE57D0" w:rsidP="005319F6">
      <w:pPr>
        <w:pStyle w:val="afd"/>
        <w:spacing w:before="100" w:after="100" w:line="360" w:lineRule="auto"/>
        <w:ind w:firstLine="709"/>
        <w:contextualSpacing/>
        <w:rPr>
          <w:b/>
        </w:rPr>
      </w:pPr>
    </w:p>
    <w:p w14:paraId="15D25AE7" w14:textId="795F9145" w:rsidR="00D23199" w:rsidRPr="00D07EC1" w:rsidRDefault="00775E01" w:rsidP="00401119">
      <w:pPr>
        <w:pStyle w:val="afd"/>
        <w:spacing w:before="100" w:after="100" w:line="360" w:lineRule="auto"/>
        <w:ind w:firstLine="709"/>
        <w:contextualSpacing/>
      </w:pPr>
      <w:r w:rsidRPr="00D07EC1">
        <w:rPr>
          <w:rStyle w:val="affa"/>
        </w:rPr>
        <w:lastRenderedPageBreak/>
        <w:t>Комментарии:</w:t>
      </w:r>
      <w:r w:rsidRPr="00D07EC1">
        <w:rPr>
          <w:rStyle w:val="affb"/>
        </w:rPr>
        <w:t xml:space="preserve"> </w:t>
      </w:r>
      <w:r>
        <w:rPr>
          <w:rStyle w:val="affb"/>
        </w:rPr>
        <w:t>Выявление клональных аберраций, характерных для МДС</w:t>
      </w:r>
      <w:r w:rsidR="002F5D9E">
        <w:rPr>
          <w:rStyle w:val="affb"/>
        </w:rPr>
        <w:t>,</w:t>
      </w:r>
      <w:r>
        <w:rPr>
          <w:rStyle w:val="affb"/>
        </w:rPr>
        <w:t xml:space="preserve"> исключает диагноз приобретенной </w:t>
      </w:r>
      <w:r w:rsidR="002F5D9E">
        <w:rPr>
          <w:rStyle w:val="affb"/>
        </w:rPr>
        <w:t>АА</w:t>
      </w:r>
      <w:r w:rsidR="00117113">
        <w:rPr>
          <w:rStyle w:val="affb"/>
        </w:rPr>
        <w:t>.</w:t>
      </w:r>
      <w:r w:rsidR="00401119">
        <w:rPr>
          <w:rStyle w:val="affb"/>
        </w:rPr>
        <w:t xml:space="preserve"> В</w:t>
      </w:r>
      <w:r w:rsidR="00031607" w:rsidRPr="00D07EC1">
        <w:rPr>
          <w:rStyle w:val="affb"/>
        </w:rPr>
        <w:t xml:space="preserve">ыполнение FISH-исследования необходимо с зондами, наиболее характерными для </w:t>
      </w:r>
      <w:r w:rsidR="002F5D9E">
        <w:rPr>
          <w:rStyle w:val="affb"/>
        </w:rPr>
        <w:t>МДС</w:t>
      </w:r>
      <w:r w:rsidR="006365A8">
        <w:rPr>
          <w:rStyle w:val="affb"/>
        </w:rPr>
        <w:t>/ОМЛ</w:t>
      </w:r>
      <w:r w:rsidR="00031607" w:rsidRPr="00D07EC1">
        <w:rPr>
          <w:rStyle w:val="affb"/>
        </w:rPr>
        <w:t xml:space="preserve"> (для определения </w:t>
      </w:r>
      <w:r w:rsidR="00F42A9A" w:rsidRPr="00D07EC1">
        <w:rPr>
          <w:rStyle w:val="affb"/>
        </w:rPr>
        <w:t>аномалий</w:t>
      </w:r>
      <w:r w:rsidR="00031607" w:rsidRPr="00D07EC1">
        <w:rPr>
          <w:rStyle w:val="affb"/>
        </w:rPr>
        <w:t xml:space="preserve"> 7</w:t>
      </w:r>
      <w:r w:rsidR="00F42A9A" w:rsidRPr="00D07EC1">
        <w:rPr>
          <w:rStyle w:val="affb"/>
        </w:rPr>
        <w:t xml:space="preserve"> хромосомы</w:t>
      </w:r>
      <w:r w:rsidR="00031607" w:rsidRPr="00D07EC1">
        <w:rPr>
          <w:rStyle w:val="affb"/>
        </w:rPr>
        <w:t xml:space="preserve">, трисомии 8, делеции 5q), несмотря на отсутствие цитогенетических аберраций или митозов при стандартном цитогенетическом исследовании. </w:t>
      </w:r>
    </w:p>
    <w:p w14:paraId="6C250959" w14:textId="6FD94D42" w:rsidR="00477355" w:rsidRDefault="00C00AD2" w:rsidP="00BF4D82">
      <w:pPr>
        <w:pStyle w:val="afd"/>
        <w:numPr>
          <w:ilvl w:val="0"/>
          <w:numId w:val="10"/>
        </w:numPr>
        <w:spacing w:before="100" w:after="100" w:line="360" w:lineRule="auto"/>
        <w:contextualSpacing/>
      </w:pPr>
      <w:r w:rsidRPr="006D3D80">
        <w:rPr>
          <w:b/>
        </w:rPr>
        <w:t>Рекомендуется</w:t>
      </w:r>
      <w:r w:rsidRPr="00D07EC1">
        <w:t xml:space="preserve"> </w:t>
      </w:r>
      <w:r>
        <w:t>всем пациентам</w:t>
      </w:r>
      <w:r w:rsidR="00FA2AE2">
        <w:t xml:space="preserve"> при диагностике АА</w:t>
      </w:r>
      <w:r w:rsidR="009F48F8">
        <w:t>,</w:t>
      </w:r>
      <w:r w:rsidR="006A5BCA">
        <w:t xml:space="preserve"> </w:t>
      </w:r>
      <w:r w:rsidR="006A5BCA" w:rsidRPr="006A5BCA">
        <w:t>а также в процессе терапии АА каждые 6</w:t>
      </w:r>
      <w:r w:rsidR="00974B28">
        <w:t>-</w:t>
      </w:r>
      <w:r w:rsidR="00C85EB8">
        <w:t xml:space="preserve">12 месяцев до достижения ответа получение гистологического препарата костного мозга  и </w:t>
      </w:r>
      <w:r w:rsidR="0018711F">
        <w:t xml:space="preserve">выполнение </w:t>
      </w:r>
      <w:r w:rsidR="00B866ED">
        <w:t>п</w:t>
      </w:r>
      <w:r w:rsidR="00B866ED" w:rsidRPr="00B866ED">
        <w:t>атолого</w:t>
      </w:r>
      <w:r w:rsidR="00C85EB8">
        <w:t>-анатомическое исследования</w:t>
      </w:r>
      <w:r w:rsidR="00B866ED" w:rsidRPr="00B866ED">
        <w:t xml:space="preserve"> биопсийного (операционного) материала костного мозга</w:t>
      </w:r>
      <w:r w:rsidR="006365A8">
        <w:t xml:space="preserve"> </w:t>
      </w:r>
      <w:r w:rsidR="007D5F92">
        <w:fldChar w:fldCharType="begin" w:fldLock="1"/>
      </w:r>
      <w:r w:rsidR="003115E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терапия","type":"chapter"},"uris":["http://www.mendeley.com/documents/?uuid=413fbfc6-d5c2-44d1-9422-1094132713b2","http://www.mendeley.com/documents/?uuid=201edef4-c098-4a20-af3d-38c9a80b0631"]},{"id":"ITEM-2","itemData":{"DOI":"10.1007/s12185-015-1787-z","abstract":"© 2015, The Japanese Society of Hematology. Aplastic anemia is a rare disorder characterized by suppression of bone marrow function resulting in progressive pancytopenia. A trigger-related abnormal T cell response facilitated by some genetic predisposition has been postulated as the pathogenetic mechanism leading to the overproduction of bone marrow-inhibiting cytokines. Immuno-mediated pathogenesis is confirmed by the response to immunosuppressive treatment (IST) (cyclosporin A+ATG), which represents the first-choice therapy for patients  &lt; 40 years when a matched sibling donor (MSD) is not available for transplant. MSD hematopoietic stem cell transplantation (HSCT) is associated with cure in ~90 % of patients. IST up-front provides an overall survival (OS) rate of above 90 %, but a response rate of about 60 %. Front-line matched unrelated donor (MUD) appears to be a viable option in children with similar OS and event-free survival to that in MSD HSCT. MUD HSCT post-IST failure proved to be a very good rescue strategy. Haploidentical donors/cord blood transplants or alternative immunosuppressive therapies, such as alemtuzumab, may represent valid tools for resistant/relapsing cases. New promising strategies, such as eltrombopag, are now under investigation. Patients should be offered an accurate diagnostic work-up in order to rule out other underlying disorders, primarily constitutional marrow failures, which may require different approaches.","author":[{"dropping-particle":"","family":"Miano","given":"M.","non-dropping-particle":"","parse-names":false,"suffix":""},{"dropping-particle":"","family":"Dufour","given":"C.","non-dropping-particle":"","parse-names":false,"suffix":""}],"container-title":"International Journal of Hematology","id":"ITEM-2","issue":"6","issued":{"date-parts":[["2015"]]},"page":"527-535","title":"The diagnosis and treatment of aplastic anemia: a review","type":"article-journal","volume":"101"},"uris":["http://www.mendeley.com/documents/?uuid=2347d6aa-44c1-34a0-bf32-7b6fef8280d7","http://www.mendeley.com/documents/?uuid=8a2da98d-227b-4338-b173-d4822b6126f8"]},{"id":"ITEM-3","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haematology","id":"ITEM-3","issue":"2","issued":{"date-parts":[["2016","1"]]},"language":"eng","page":"187-207","publisher-place":"England","title":"Guidelines for the diagnosis and management of adult aplastic anaemia.","type":"article-journal","volume":"172"},"uris":["http://www.mendeley.com/documents/?uuid=81dbb232-4526-4205-bab8-854e3c2bd2e8"]}],"mendeley":{"formattedCitation":"[12,13,26]","plainTextFormattedCitation":"[12,13,26]","previouslyFormattedCitation":"[12,13,26]"},"properties":{"noteIndex":0},"schema":"https://github.com/citation-style-language/schema/raw/master/csl-citation.json"}</w:instrText>
      </w:r>
      <w:r w:rsidR="007D5F92">
        <w:fldChar w:fldCharType="separate"/>
      </w:r>
      <w:r w:rsidR="00083277" w:rsidRPr="00083277">
        <w:rPr>
          <w:noProof/>
        </w:rPr>
        <w:t>[12,13,26]</w:t>
      </w:r>
      <w:r w:rsidR="007D5F92">
        <w:fldChar w:fldCharType="end"/>
      </w:r>
    </w:p>
    <w:p w14:paraId="57915A17" w14:textId="080FC5B7" w:rsidR="00C00AD2" w:rsidRPr="00477355" w:rsidRDefault="00C00AD2" w:rsidP="00477355">
      <w:pPr>
        <w:pStyle w:val="afd"/>
        <w:spacing w:before="100" w:after="100" w:line="360" w:lineRule="auto"/>
        <w:ind w:firstLine="709"/>
        <w:contextualSpacing/>
        <w:rPr>
          <w:b/>
        </w:rPr>
      </w:pPr>
      <w:r w:rsidRPr="00477355">
        <w:rPr>
          <w:b/>
        </w:rPr>
        <w:t xml:space="preserve">Уровень убедительности рекомендаций </w:t>
      </w:r>
      <w:r w:rsidR="002B5693">
        <w:rPr>
          <w:b/>
          <w:lang w:val="en-US"/>
        </w:rPr>
        <w:t>C</w:t>
      </w:r>
      <w:r w:rsidRPr="00477355">
        <w:rPr>
          <w:b/>
        </w:rPr>
        <w:t xml:space="preserve"> (урове</w:t>
      </w:r>
      <w:r w:rsidR="002B5693">
        <w:rPr>
          <w:b/>
        </w:rPr>
        <w:t xml:space="preserve">нь достоверности доказательств </w:t>
      </w:r>
      <w:r w:rsidR="007D5F92" w:rsidRPr="007D5F92">
        <w:rPr>
          <w:b/>
        </w:rPr>
        <w:t>5</w:t>
      </w:r>
      <w:r w:rsidRPr="00477355">
        <w:rPr>
          <w:b/>
        </w:rPr>
        <w:t>)</w:t>
      </w:r>
    </w:p>
    <w:p w14:paraId="75E5A02D" w14:textId="77777777" w:rsidR="006365A8" w:rsidRDefault="00031607" w:rsidP="006365A8">
      <w:pPr>
        <w:pStyle w:val="afd"/>
        <w:spacing w:beforeAutospacing="0" w:afterAutospacing="0" w:line="360" w:lineRule="auto"/>
        <w:ind w:firstLine="709"/>
        <w:contextualSpacing/>
        <w:rPr>
          <w:rStyle w:val="affb"/>
        </w:rPr>
      </w:pPr>
      <w:r w:rsidRPr="006365A8">
        <w:rPr>
          <w:b/>
          <w:bCs/>
        </w:rPr>
        <w:t>Комментарии</w:t>
      </w:r>
      <w:r w:rsidRPr="006365A8">
        <w:rPr>
          <w:b/>
          <w:i/>
          <w:iCs/>
        </w:rPr>
        <w:t>:</w:t>
      </w:r>
      <w:r w:rsidRPr="006365A8">
        <w:rPr>
          <w:rStyle w:val="affb"/>
        </w:rPr>
        <w:t xml:space="preserve"> </w:t>
      </w:r>
      <w:r w:rsidR="009F48F8" w:rsidRPr="006365A8">
        <w:rPr>
          <w:rStyle w:val="affb"/>
        </w:rPr>
        <w:t xml:space="preserve">необходимо </w:t>
      </w:r>
      <w:r w:rsidRPr="006365A8">
        <w:rPr>
          <w:rStyle w:val="affb"/>
        </w:rPr>
        <w:t xml:space="preserve">выполнение билатеральной трепанобиопсии передних или </w:t>
      </w:r>
      <w:r w:rsidR="00C00AD2" w:rsidRPr="006365A8">
        <w:rPr>
          <w:rStyle w:val="affb"/>
        </w:rPr>
        <w:t>задних остей подвздошных костей</w:t>
      </w:r>
      <w:r w:rsidR="005460EF" w:rsidRPr="006365A8">
        <w:rPr>
          <w:rStyle w:val="affb"/>
        </w:rPr>
        <w:t xml:space="preserve">  </w:t>
      </w:r>
    </w:p>
    <w:p w14:paraId="665E1D04" w14:textId="5E8CF3F3" w:rsidR="00477355" w:rsidRPr="00B87A26" w:rsidRDefault="00C00AD2" w:rsidP="00BF4D82">
      <w:pPr>
        <w:pStyle w:val="afd"/>
        <w:numPr>
          <w:ilvl w:val="0"/>
          <w:numId w:val="10"/>
        </w:numPr>
        <w:spacing w:beforeAutospacing="0" w:afterAutospacing="0" w:line="360" w:lineRule="auto"/>
        <w:contextualSpacing/>
      </w:pPr>
      <w:r w:rsidRPr="00147C5B">
        <w:rPr>
          <w:b/>
        </w:rPr>
        <w:t>Ре</w:t>
      </w:r>
      <w:r w:rsidRPr="00147C5B">
        <w:rPr>
          <w:b/>
          <w:bCs/>
        </w:rPr>
        <w:t>комендуется</w:t>
      </w:r>
      <w:r w:rsidRPr="00D07EC1">
        <w:t xml:space="preserve"> </w:t>
      </w:r>
      <w:r>
        <w:t>всем пациентам</w:t>
      </w:r>
      <w:r w:rsidR="00031607" w:rsidRPr="00D07EC1">
        <w:t xml:space="preserve"> </w:t>
      </w:r>
      <w:r w:rsidR="00A67918">
        <w:t xml:space="preserve">с подозрением на АА и </w:t>
      </w:r>
      <w:r w:rsidR="00FA2AE2">
        <w:t xml:space="preserve">с выявленным в пунктате </w:t>
      </w:r>
      <w:r w:rsidR="00A01726">
        <w:t>костного мозга</w:t>
      </w:r>
      <w:r w:rsidR="00FA2AE2">
        <w:t xml:space="preserve"> </w:t>
      </w:r>
      <w:r w:rsidR="00A67918">
        <w:t>расширенн</w:t>
      </w:r>
      <w:r w:rsidR="00FA2AE2">
        <w:t>ым</w:t>
      </w:r>
      <w:r w:rsidR="00A67918">
        <w:t xml:space="preserve"> красн</w:t>
      </w:r>
      <w:r w:rsidR="00FA2AE2">
        <w:t>ым</w:t>
      </w:r>
      <w:r w:rsidR="00A67918">
        <w:t xml:space="preserve"> ростк</w:t>
      </w:r>
      <w:r w:rsidR="00FA2AE2">
        <w:t>ом</w:t>
      </w:r>
      <w:r w:rsidR="00C231F6">
        <w:t xml:space="preserve"> цитохимическое исследование микропрепарата костного мозга </w:t>
      </w:r>
      <w:r w:rsidR="00A67918">
        <w:t xml:space="preserve"> </w:t>
      </w:r>
      <w:r w:rsidR="00117113">
        <w:rPr>
          <w:rStyle w:val="affb"/>
        </w:rPr>
        <w:fldChar w:fldCharType="begin" w:fldLock="1"/>
      </w:r>
      <w:r w:rsidR="003115E7">
        <w:rPr>
          <w:rStyle w:val="affb"/>
        </w:rPr>
        <w:instrText>ADDIN CSL_CITATION {"citationItems":[{"id":"ITEM-1","itemData":{"DOI":"10.1182/blood-2014-10-607572","abstract":"Copyright 2011 by The American Society of Hematology; all rights reserved. The pathophysiology of severe aplastic anemia (SAA) is immune-mediated destruction of hematopoietic stem and progenitor cells (HSPCs). Most patients respond to immunosuppressive therapies, but a minority transform to myelodysplastic syndrome (MDS) and acute myeloid leukemia (AML), frequently associated with monosomy 7 (-7). Thirteen SAA patients were analyzed for acquired mutations in myeloid cells at the time of evolution to 27, and all had a dominant HSPC clone bearing specific acquired mutations. However, mutations in genes associated with MDS/AML were present in only 4 cases. Patients who evolved to MDS and AML showed marked progressive telomere attrition before the emergence of 27. Single telomere length analysis confirmed accumulation of short telomere fragments of individual chromosomes. Our results indicate that accelerated telomere attrition in the setting of a decreased HSPC pool is characteristic of early myeloid oncogenesis, specifically chromosome 7 loss, in MDS/AML after SAA, and provides a possible mechanism for development of aneuploidy.","author":[{"dropping-particle":"","family":"Dumitriu","given":"B.","non-dropping-particle":"","parse-names":false,"suffix":""},{"dropping-particle":"","family":"Feng","given":"X.","non-dropping-particle":"","parse-names":false,"suffix":""},{"dropping-particle":"","family":"Townsley","given":"D.M.","non-dropping-particle":"","parse-names":false,"suffix":""},{"dropping-particle":"","family":"Ueda","given":"Y.","non-dropping-particle":"","parse-names":false,"suffix":""},{"dropping-particle":"","family":"Yoshizato","given":"T.","non-dropping-particle":"","parse-names":false,"suffix":""},{"dropping-particle":"","family":"Calado","given":"R.T.","non-dropping-particle":"","parse-names":false,"suffix":""},{"dropping-particle":"","family":"Yang","given":"Y.","non-dropping-particle":"","parse-names":false,"suffix":""},{"dropping-particle":"","family":"Wakabayashi","given":"Y.","non-dropping-particle":"","parse-names":false,"suffix":""},{"dropping-particle":"","family":"Kajigaya","given":"S.","non-dropping-particle":"","parse-names":false,"suffix":""},{"dropping-particle":"","family":"Ogawa","given":"S.","non-dropping-particle":"","parse-names":false,"suffix":""},{"dropping-particle":"","family":"Zhu","given":"J.","non-dropping-particle":"","parse-names":false,"suffix":""},{"dropping-particle":"","family":"Young","given":"N.S.","non-dropping-particle":"","parse-names":false,"suffix":""}],"container-title":"Blood","id":"ITEM-1","issue":"4","issued":{"date-parts":[["2015"]]},"page":"706-709","title":"Red cells, iron, and erythropoiesis: Telomere attrition and candidate gene mutations preceding monosomy 7 in aplastic anemia","type":"article-journal","volume":"125"},"uris":["http://www.mendeley.com/documents/?uuid=cfd70184-6a80-313c-9981-64d43a9c66f9","http://www.mendeley.com/documents/?uuid=d83bdb88-d40b-4c94-988c-4787441a15d9"]},{"id":"ITEM-2","itemData":{"DOI":"10.1182/blood-2013-04-494930","abstract":"Large granular lymphocyte leukemia (LGL) is often associated with immune cytopenias and can cooccur in the context of aplastic anemia (AA) and myelodysplastic syndromes (MDS). We took advantage of the recent description of signal transducer and activator of transcription 3 (STAT3) mutations in LGL clonal expansions to test, using sensitive methods, for the presence of these mutations in a large cohort of 367 MDS and 140 AA cases. STAT3 clones can be found not only in known LGL concomitant cases, but in a small proportion of unsuspected ones (7% AA and 2.5% MDS). In STAT3-mutated AA patients, an interesting trend toward better responses of immunosuppressive therapy and an association with the presence of human leukocyte antigen-DR15 were found. MDSs harboring a STAT3 mutant clone showed a lower degree of bone marrow cellularity and a higher frequency of developing chromosome 7 abnormalities. STAT3-mutant LGL clones may facilitate a persistently dysregulated autoimmune activation, responsible for the primary induction of bone marrow failure in a subset of AA and MDS patients. © 2013 by The American Society of Hematology.","author":[{"dropping-particle":"","family":"Jerez","given":"A.","non-dropping-particle":"","parse-names":false,"suffix":""},{"dropping-particle":"","family":"Clemente","given":"M.J.","non-dropping-particle":"","parse-names":false,"suffix":""},{"dropping-particle":"","family":"Makishima","given":"H.","non-dropping-particle":"","parse-names":false,"suffix":""},{"dropping-particle":"","family":"Rajala","given":"H.","non-dropping-particle":"","parse-names":false,"suffix":""},{"dropping-particle":"","family":"Goḿez-Seguí","given":"I.","non-dropping-particle":"","parse-names":false,"suffix":""},{"dropping-particle":"","family":"Olson","given":"T.","non-dropping-particle":"","parse-names":false,"suffix":""},{"dropping-particle":"","family":"McGraw","given":"K.","non-dropping-particle":"","parse-names":false,"suffix":""},{"dropping-particle":"","family":"Przychodzen","given":"B.","non-dropping-particle":"","parse-names":false,"suffix":""},{"dropping-particle":"","family":"Kulasekararaj","given":"A.","non-dropping-particle":"","parse-names":false,"suffix":""},{"dropping-particle":"","family":"Afable","given":"M.","non-dropping-particle":"","parse-names":false,"suffix":""},{"dropping-particle":"","family":"Husseinzadeh","given":"H.D.","non-dropping-particle":"","parse-names":false,"suffix":""},{"dropping-particle":"","family":"Hosono","given":"N.","non-dropping-particle":"","parse-names":false,"suffix":""},{"dropping-particle":"","family":"LeBlanc","given":"F.","non-dropping-particle":"","parse-names":false,"suffix":""},{"dropping-particle":"","family":"Lagstrom̈","given":"S.","non-dropping-particle":"","parse-names":false,"suffix":""},{"dropping-particle":"","family":"Zhang","given":"D.","non-dropping-particle":"","parse-names":false,"suffix":""},{"dropping-particle":"","family":"Ellonen","given":"P.","non-dropping-particle":"","parse-names":false,"suffix":""},{"dropping-particle":"","family":"Tichelli","given":"A.","non-dropping-particle":"","parse-names":false,"suffix":""},{"dropping-particle":"","family":"Nissen","given":"C.","non-dropping-particle":"","parse-names":false,"suffix":""},{"dropping-particle":"","family":"Lichtin","given":"A.E.","non-dropping-particle":"","parse-names":false,"suffix":""},{"dropping-particle":"","family":"Wodnar-Filipowicz","given":"A.","non-dropping-particle":"","parse-names":false,"suffix":""},{"dropping-particle":"","family":"Mufti","given":"G.J.","non-dropping-particle":"","parse-names":false,"suffix":""},{"dropping-particle":"","family":"List","given":"A.F.","non-dropping-particle":"","parse-names":false,"suffix":""},{"dropping-particle":"","family":"Mustjoki","given":"S.","non-dropping-particle":"","parse-names":false,"suffix":""},{"dropping-particle":"","family":"Loughran Jr.","given":"T.P.","non-dropping-particle":"","parse-names":false,"suffix":""},{"dropping-particle":"","family":"Maciejewski","given":"J.P.","non-dropping-particle":"","parse-names":false,"suffix":""}],"container-title":"Blood","id":"ITEM-2","issue":"14","issued":{"date-parts":[["2013"]]},"page":"2453-2459","title":"STAT3 mutations indicate the presence of subclinical T-cell clones in a subset of aplastic anemia and myelodysplastic syndrome patients","type":"article-journal","volume":"122"},"uris":["http://www.mendeley.com/documents/?uuid=4028573a-88c5-3452-ac34-dd9a0dfc55a7","http://www.mendeley.com/documents/?uuid=82bc4e31-8bc4-4e1d-b20d-3203e2b1fb23"]},{"id":"ITEM-3","itemData":{"DOI":"10.1159/000479422","ISSN":"1421-9662 (Electronic)","PMID":"28866669","abstract":"BACKGROUND: This study focuses on the iron overload (IOL) of patients with transfused aplastic anemia (AA) or a low/intermediate-1 risk of myelodysplastic syndrome (MDS). METHODS: Ninety-two AA or MDS patients with IOL were prospectively recruited. Clinical data were collected every 6 months, and organ magnetic resonance imaging T2* values were collected annually. Patients with IOL were chelated. RESULTS: Serum ferritin was correlated with liver T2* and pancreatic T2* in the AA and MDS groups. Transfusion amounts were correlated with serum ferritin values, liver T2*, and pancreatic T2* in the AA group. At the 6-month and 1-year evaluations, patients with sufficient chelation experienced significant decreases in serum ferritin, and those with decreased serum ferritin experienced an obvious increase in hemoglobin. At their 1-year-follow-up, patients with adequate chelation showed significant increases in hepatic T2*, cardiac T2*, and left ventricular ejection fraction (LVEF). Patients with decreased serum ferritin (including those without chelation) experienced an increase in hemoglobin, hepatic T2*, cardiac T2*, and LVEF. CONCLUSION: The transfusion amount was more reliable at predicting IOL in patients with AA than in those with MDS. Adequate iron chelation can decrease serum ferritin levels and may improve hepatic T2*, cardiac T2*, and LVEF levels. A decrease in serum ferritin, even in the absence of chelation, may also benefit patients.","author":[{"dropping-particle":"","family":"Du","given":"Yali","non-dropping-particle":"","parse-names":false,"suffix":""},{"dropping-particle":"","family":"Long","given":"Zhangbiao","non-dropping-particle":"","parse-names":false,"suffix":""},{"dropping-particle":"","family":"Chen","given":"Miao","non-dropping-particle":"","parse-names":false,"suffix":""},{"dropping-particle":"","family":"Han","given":"Bing","non-dropping-particle":"","parse-names":false,"suffix":""},{"dropping-particle":"","family":"Hou","given":"Bo","non-dropping-particle":"","parse-names":false,"suffix":""},{"dropping-particle":"","family":"Feng","given":"Feng","non-dropping-particle":"","parse-names":false,"suffix":""}],"container-title":"Acta haematologica","id":"ITEM-3","issue":"2","issued":{"date-parts":[["2017"]]},"language":"eng","page":"119-128","publisher-place":"Switzerland","title":"Observational Monitoring of Patients with Aplastic Anemia and Low/Intermediate-1  Risk of Myelodysplastic Syndromes Complicated with Iron Overload.","type":"article-journal","volume":"138"},"uris":["http://www.mendeley.com/documents/?uuid=e1dc8272-91d5-4364-b959-2f7329139780","http://www.mendeley.com/documents/?uuid=e9c66f37-1869-4ae3-a809-4af2b81fb6e6"]}],"mendeley":{"formattedCitation":"[27–29]","plainTextFormattedCitation":"[27–29]","previouslyFormattedCitation":"[27–29]"},"properties":{"noteIndex":0},"schema":"https://github.com/citation-style-language/schema/raw/master/csl-citation.json"}</w:instrText>
      </w:r>
      <w:r w:rsidR="00117113">
        <w:rPr>
          <w:rStyle w:val="affb"/>
        </w:rPr>
        <w:fldChar w:fldCharType="separate"/>
      </w:r>
      <w:r w:rsidR="00083277" w:rsidRPr="00083277">
        <w:rPr>
          <w:rStyle w:val="affb"/>
          <w:i w:val="0"/>
          <w:noProof/>
        </w:rPr>
        <w:t>[27–29]</w:t>
      </w:r>
      <w:r w:rsidR="00117113">
        <w:rPr>
          <w:rStyle w:val="affb"/>
        </w:rPr>
        <w:fldChar w:fldCharType="end"/>
      </w:r>
      <w:r w:rsidR="005460EF">
        <w:rPr>
          <w:rStyle w:val="affb"/>
        </w:rPr>
        <w:t xml:space="preserve">. </w:t>
      </w:r>
    </w:p>
    <w:p w14:paraId="7E39FEF1" w14:textId="07C40608" w:rsidR="00C00AD2" w:rsidRPr="006365A8" w:rsidRDefault="00C00AD2" w:rsidP="00627465">
      <w:pPr>
        <w:pStyle w:val="afd"/>
        <w:spacing w:before="100" w:after="100" w:line="360" w:lineRule="auto"/>
        <w:ind w:firstLine="709"/>
        <w:contextualSpacing/>
        <w:rPr>
          <w:b/>
        </w:rPr>
      </w:pPr>
      <w:r w:rsidRPr="006365A8">
        <w:rPr>
          <w:b/>
        </w:rPr>
        <w:t xml:space="preserve">Уровень убедительности рекомендаций </w:t>
      </w:r>
      <w:r w:rsidR="002B5693" w:rsidRPr="006365A8">
        <w:rPr>
          <w:b/>
        </w:rPr>
        <w:t>C</w:t>
      </w:r>
      <w:r w:rsidRPr="006365A8">
        <w:rPr>
          <w:b/>
        </w:rPr>
        <w:t xml:space="preserve"> (урове</w:t>
      </w:r>
      <w:r w:rsidR="002B5693" w:rsidRPr="006365A8">
        <w:rPr>
          <w:b/>
        </w:rPr>
        <w:t xml:space="preserve">нь достоверности доказательств </w:t>
      </w:r>
      <w:r w:rsidR="00404E4C" w:rsidRPr="006365A8">
        <w:rPr>
          <w:b/>
        </w:rPr>
        <w:t>5</w:t>
      </w:r>
      <w:r w:rsidRPr="006365A8">
        <w:rPr>
          <w:b/>
        </w:rPr>
        <w:t>)</w:t>
      </w:r>
    </w:p>
    <w:p w14:paraId="543E7CF2" w14:textId="25B2115E" w:rsidR="000E3050" w:rsidRPr="00D62EDF" w:rsidRDefault="00031607" w:rsidP="000E3050">
      <w:pPr>
        <w:pStyle w:val="afd"/>
        <w:spacing w:beforeAutospacing="0" w:afterAutospacing="0" w:line="360" w:lineRule="auto"/>
        <w:ind w:firstLine="709"/>
        <w:contextualSpacing/>
        <w:rPr>
          <w:rStyle w:val="affb"/>
        </w:rPr>
      </w:pPr>
      <w:r w:rsidRPr="00147C5B">
        <w:rPr>
          <w:b/>
          <w:bCs/>
        </w:rPr>
        <w:t>Комментарии</w:t>
      </w:r>
      <w:r w:rsidRPr="00147C5B">
        <w:rPr>
          <w:rStyle w:val="affb"/>
          <w:b/>
        </w:rPr>
        <w:t>:</w:t>
      </w:r>
      <w:r w:rsidRPr="00D62EDF">
        <w:rPr>
          <w:rStyle w:val="affb"/>
        </w:rPr>
        <w:t xml:space="preserve"> </w:t>
      </w:r>
      <w:r w:rsidR="00EE57D0" w:rsidRPr="0070244E">
        <w:rPr>
          <w:rStyle w:val="affb"/>
        </w:rPr>
        <w:t>определение количества сидеробластов и сидероцитов цитохимическим методо</w:t>
      </w:r>
      <w:r w:rsidR="00EE57D0">
        <w:rPr>
          <w:rStyle w:val="affb"/>
        </w:rPr>
        <w:t>м. В</w:t>
      </w:r>
      <w:r w:rsidR="009F48F8" w:rsidRPr="00D62EDF">
        <w:rPr>
          <w:rStyle w:val="affb"/>
        </w:rPr>
        <w:t xml:space="preserve">ыявление </w:t>
      </w:r>
      <w:r w:rsidRPr="00D62EDF">
        <w:rPr>
          <w:rStyle w:val="affb"/>
        </w:rPr>
        <w:t xml:space="preserve">кольцевых сидеробластов в количестве более 5% требует дополнительного обследования для исключения </w:t>
      </w:r>
      <w:r w:rsidR="002F5D9E" w:rsidRPr="00D62EDF">
        <w:rPr>
          <w:rStyle w:val="affb"/>
        </w:rPr>
        <w:t>МДС</w:t>
      </w:r>
      <w:r w:rsidR="00E539F7" w:rsidRPr="00D62EDF">
        <w:rPr>
          <w:rStyle w:val="affb"/>
        </w:rPr>
        <w:t>.</w:t>
      </w:r>
      <w:r w:rsidR="000E3050" w:rsidRPr="00D62EDF">
        <w:rPr>
          <w:rStyle w:val="affb"/>
        </w:rPr>
        <w:t xml:space="preserve"> </w:t>
      </w:r>
    </w:p>
    <w:p w14:paraId="0B436A52" w14:textId="521817FA" w:rsidR="00147C5B" w:rsidRPr="00045FA5" w:rsidRDefault="00C00AD2" w:rsidP="00BF4D82">
      <w:pPr>
        <w:pStyle w:val="aff4"/>
        <w:numPr>
          <w:ilvl w:val="0"/>
          <w:numId w:val="10"/>
        </w:numPr>
        <w:spacing w:line="360" w:lineRule="auto"/>
        <w:rPr>
          <w:b/>
          <w:sz w:val="24"/>
          <w:szCs w:val="24"/>
        </w:rPr>
      </w:pPr>
      <w:r w:rsidRPr="00045FA5">
        <w:rPr>
          <w:b/>
          <w:sz w:val="24"/>
          <w:szCs w:val="24"/>
        </w:rPr>
        <w:t xml:space="preserve">Рекомендуется </w:t>
      </w:r>
      <w:r w:rsidRPr="00045FA5">
        <w:rPr>
          <w:sz w:val="24"/>
          <w:szCs w:val="24"/>
        </w:rPr>
        <w:t>всем пациентам</w:t>
      </w:r>
      <w:r w:rsidR="00031607" w:rsidRPr="00045FA5">
        <w:rPr>
          <w:sz w:val="24"/>
          <w:szCs w:val="24"/>
        </w:rPr>
        <w:t xml:space="preserve"> </w:t>
      </w:r>
      <w:r w:rsidR="00FA2AE2" w:rsidRPr="00045FA5">
        <w:rPr>
          <w:sz w:val="24"/>
          <w:szCs w:val="24"/>
        </w:rPr>
        <w:t>при подозрении на АА</w:t>
      </w:r>
      <w:r w:rsidR="00B97284" w:rsidRPr="00045FA5">
        <w:rPr>
          <w:sz w:val="24"/>
          <w:szCs w:val="24"/>
        </w:rPr>
        <w:t xml:space="preserve">, а также всем пациентам с выявленной АА каждые 6-12 мес. </w:t>
      </w:r>
      <w:r w:rsidR="004104D1" w:rsidRPr="00045FA5">
        <w:rPr>
          <w:sz w:val="24"/>
          <w:szCs w:val="24"/>
        </w:rPr>
        <w:t xml:space="preserve"> проводить иммунофенотипирование клеток периферической крови для диагностики пароксизмальной ночной гемоглобинурии расширенной панелью маркеров, включая FLAER (флюоресцентно-меченый аэролизин</w:t>
      </w:r>
      <w:r w:rsidR="002135E1">
        <w:rPr>
          <w:sz w:val="24"/>
          <w:szCs w:val="24"/>
        </w:rPr>
        <w:t>)</w:t>
      </w:r>
      <w:r w:rsidR="00147C5B" w:rsidRPr="00045FA5">
        <w:rPr>
          <w:sz w:val="24"/>
          <w:szCs w:val="24"/>
        </w:rPr>
        <w:t xml:space="preserve"> с целью выявления ПНГ-клона</w:t>
      </w:r>
      <w:r w:rsidR="002135E1">
        <w:rPr>
          <w:sz w:val="24"/>
          <w:szCs w:val="24"/>
        </w:rPr>
        <w:t>; определение активности лактатдегидрогеназы в крови и исследование свободного и связанного гемоглобина в крови с целью оценки клинико-лабораторных признаков гемолиза</w:t>
      </w:r>
      <w:r w:rsidR="00147C5B" w:rsidRPr="00045FA5">
        <w:rPr>
          <w:sz w:val="24"/>
          <w:szCs w:val="24"/>
        </w:rPr>
        <w:t xml:space="preserve"> </w:t>
      </w:r>
      <w:r w:rsidR="00147C5B" w:rsidRPr="00045FA5">
        <w:rPr>
          <w:rFonts w:eastAsia="Times New Roman" w:cs="Times New Roman"/>
          <w:sz w:val="24"/>
          <w:szCs w:val="24"/>
          <w:lang w:eastAsia="ru-RU"/>
        </w:rPr>
        <w:fldChar w:fldCharType="begin" w:fldLock="1"/>
      </w:r>
      <w:r w:rsidR="003115E7">
        <w:rPr>
          <w:sz w:val="24"/>
          <w:szCs w:val="24"/>
        </w:rPr>
        <w:instrText>ADDIN CSL_CITATION {"citationItems":[{"id":"ITEM-1","itemData":{"DOI":"10.1002/cyto.b.20525","ISBN":"1552-4957 (Electronic) 1552-4949 (Linking)","ISSN":"15524957","PMID":"20533382","abstract":"Background: Paroxysmal nocturnal hemoglobinuria (PNH) is a rare hematopoietic stem cell disorder characterized by a somatic mutation in the PIGA gene, leading to a deficiency of proteins linked to the cell membrane via glycophosphatidylinositol (GPI) anchors. While flow cytometry is the method of choice for identifying cells deficient in GPI-linked proteins and is, therefore, necessary for the diagnosis of PNH, to date there has not been an attempt to standardize the methodology used to identify these cells. Methods: In this document, we present a consensus effort that describes flow cytometric procedures for detecting PNH cells. Results: We discuss clinical indications and offer recommendations on data interpretation and reporting but mostly focus on analytical procedures important for analysis. We distinguish between routine analysis (defined as identifying an abnormal population of 1% or more) and high-sensitivity analysis (in which as few as 0.01% PNH cells are detected). Antibody panels and gating strategies necessary for both procedures are presented in detail. We discuss methods for assessing PNH populations in both white blood cells and red blood cells and the relative advantages of measuring each. We present steps needed to validate the more elaborate high-sensitivity techniques, including the need for careful titration of reagents and determination of background rates in normal populations, and discuss technical pitfalls that might affect interpretation. Conclusions: This document should both enable laboratories interested in beginning PNH testing to establish a valid procedure and allow experienced laboratories to improve their techniques.","author":[{"dropping-particle":"","family":"Borowitz","given":"Michael J.","non-dropping-particle":"","parse-names":false,"suffix":""},{"dropping-particle":"","family":"Craig","given":"Fiona E.","non-dropping-particle":"","parse-names":false,"suffix":""},{"dropping-particle":"","family":"Digiuseppe","given":"Joseph A.","non-dropping-particle":"","parse-names":false,"suffix":""},{"dropping-particle":"","family":"Illingworth","given":"Andrea J.","non-dropping-particle":"","parse-names":false,"suffix":""},{"dropping-particle":"","family":"Rosse","given":"Wendell","non-dropping-particle":"","parse-names":false,"suffix":""},{"dropping-particle":"","family":"Sutherland","given":"D. Robert","non-dropping-particle":"","parse-names":false,"suffix":""},{"dropping-particle":"","family":"Wittwer","given":"Carl T.","non-dropping-particle":"","parse-names":false,"suffix":""},{"dropping-particle":"","family":"Richards","given":"Stephen J.","non-dropping-particle":"","parse-names":false,"suffix":""}],"container-title":"Cytometry Part B - Clinical Cytometry","id":"ITEM-1","issue":"4","issued":{"date-parts":[["2010","7"]]},"page":"211-230","publisher":"Wiley-Liss Inc.","title":"Guidelines for the diagnosis and monitoring of paroxysmal nocturnal hemoglobinuria and related disorders by flow cytometry","type":"article-journal","volume":"78"},"uris":["http://www.mendeley.com/documents/?uuid=746933bf-2d98-4aa1-ae4f-dca07ee013d1","http://www.mendeley.com/documents/?uuid=fbf36cdb-12a0-4912-b60d-6a539cfb08d4"]},{"id":"ITEM-2","itemData":{"DOI":"10.1182/blood-2016-01-636381","ISBN":"0006-4971","ISSN":"15280020","PMID":"27121470","abstract":"Clonal hematopoiesis (CH) in aplastic anemia (AA) has been closely linked to the evolution of late clonal disorders, including paroxysmal nocturnal hemoglobinuria (PNH) and myelodysplastic syndromes (MDS)/acute myeloid leukemia (AML), even after successful immunosuppressive therapy (IST). With the advent of high-throughput sequencing of recent years, the molecular aspect of CH in AA has been clarified by comprehensive detection of somatic mutations that drive clonal evolution. Genetic abnormalities are found in ~50% of the patients with AA and, except for PIGA mutations and copy neutral loss-of-heterozygosity in 6p (6pUPD), most frequently represented by mutations involving genes commonly mutated in myeloid malignancies, including DNMT3A, ASXL1, and BCOR/BCORL1 Mutations exhibit distinct chronological profiles and clinical impacts. BCOR/BCORL1 and PIGA mutations tend to disappear or show stable clone size and predict significantly better response to IST and clinical outcome, compared to mutations in DNMT3A, ASXL1, and other genes, which are likely to increase their clone size and associated with a faster progression to MDS/AML and predict an unfavorable survival. High frequency of 6pUPD and overrepresentation of PIGA and BCOR/BCORL1 mutations are unique to AA, suggesting the role of autoimmunity in clonal selection. By contrast, DNMT3A and ASXL1 mutations, also commonly seen in CH in the general population, indicating a close link to CH in the aged bone marrow, in terms of the mechanism for selection. Detection and close monitoring of somatic mutations/evolution may help prediction and diagnosis of clonal evolution of MDS/AML and better management of patients with AA.","author":[{"dropping-particle":"","family":"Ogawa","given":"Seishi","non-dropping-particle":"","parse-names":false,"suffix":""}],"container-title":"Blood","id":"ITEM-2","issue":"3","issued":{"date-parts":[["2016"]]},"page":"337-347","title":"Clonal hematopoiesis in acquired aplastic anemia","type":"article","volume":"128"},"uris":["http://www.mendeley.com/documents/?uuid=59d0d9bb-2efe-3dca-81aa-50d3af451dce","http://www.mendeley.com/documents/?uuid=03353e0e-d890-4559-8e42-00e33eeb7c88"]},{"id":"ITEM-3","itemData":{"DOI":"10.1182/asheducation-2016.1.208","ISSN":"1520-4383 (Electronic)","PMID":"27913482","abstract":"Once suspected, the diagnosis of paroxysmal nocturnal hemoglobinuria (PNH) is straightforward when flow cytometric analysis of the peripheral blood reveals a population of glycosyl phosphatidylinositol anchor protein-deficient cells. But PNH is clinically heterogeneous, with some patients having a disease process characterized by florid intravascular, complement-mediated hemolysis, whereas in others, bone marrow failure dominates the clinical picture with modest or even no evidence of hemolysis observed. The clinical heterogeneity is due to the close, though incompletely understood, relationship between PNH and immune-mediated bone marrow failure, and that PNH is an acquired, nonmalignant clonal disease of the hematopoietic stem cells. Bone marrow failure complicates management of PNH because compromised erythropoiesis contributes, to a greater or lesser degree, to the anemia; in addition, the extent to which the mutant stem cell clone expands in an individual patient determines the magnitude of the hemolytic component of the disease. An understanding of the unique pathobiology of PNH in relationship both to complement physiology and immune-mediated bone marrow failure provides the basis for a systematic approach to management.","author":[{"dropping-particle":"","family":"Parker","given":"Charles J","non-dropping-particle":"","parse-names":false,"suffix":""}],"container-title":"Hematology","id":"ITEM-3","issue":"1","issued":{"date-parts":[["2016","12"]]},"language":"eng","page":"208-216","publisher-place":"United States","title":"Update on the diagnosis and management of paroxysmal nocturnal hemoglobinuria.","type":"article-journal","volume":"2016"},"uris":["http://www.mendeley.com/documents/?uuid=72471ecf-7e0b-44f2-bc1e-26a93590b317","http://www.mendeley.com/documents/?uuid=7f4a7392-ed55-404b-aad5-8ab9d5b8f112"]},{"id":"ITEM-4","itemData":{"abstract":"Paroxysmal nocturnal hemoglobinuria (PNH) is a rare acquired clonal blood disorder caused by somatic mutation of the phosphatidylinosi- tol glycan complementation group A gene (PIG-A) in a hematopoietic stem cell. PNH is characterized by chronic intravascular hemolysis, bone marrow failure, thrombosis, renal dysfunction and other severe clinical syndromes. These clinical guidelines include definition, classi- fication, methods and diagnostic criteria of PNH, indications for screening, optimal treatment including targeted therapy with eculizumab, bone marrow transplantation and symptomatic therapy.","author":[{"dropping-particle":"","family":"Кулагин А.Д., Лисуков И.А., Птушкин В.В., Шилова Е.Р., Цветаева Н.В.","given":"Михайлова Е.А.","non-dropping-particle":"","parse-names":false,"suffix":""}],"container-title":"Онкогематология","id":"ITEM-4","issued":{"date-parts":[["2014"]]},"page":"20-28","title":"Национальные рекомендации по диагностике и лечениюпроксизмальной ночной гемоглобинурии","type":"article-journal","volume":"2"},"uris":["http://www.mendeley.com/documents/?uuid=896a92c4-141c-4a8e-bf24-ff99c1767f35","http://www.mendeley.com/documents/?uuid=a2c321ea-848d-4b11-bf3b-a77f80f38ecb"]}],"mendeley":{"formattedCitation":"[10,30–32]","plainTextFormattedCitation":"[10,30–32]","previouslyFormattedCitation":"[10,30–32]"},"properties":{"noteIndex":0},"schema":"https://github.com/citation-style-language/schema/raw/master/csl-citation.json"}</w:instrText>
      </w:r>
      <w:r w:rsidR="00147C5B" w:rsidRPr="00045FA5">
        <w:rPr>
          <w:rFonts w:eastAsia="Times New Roman" w:cs="Times New Roman"/>
          <w:sz w:val="24"/>
          <w:szCs w:val="24"/>
          <w:lang w:eastAsia="ru-RU"/>
        </w:rPr>
        <w:fldChar w:fldCharType="separate"/>
      </w:r>
      <w:r w:rsidR="00083277" w:rsidRPr="00083277">
        <w:rPr>
          <w:noProof/>
          <w:sz w:val="24"/>
          <w:szCs w:val="24"/>
        </w:rPr>
        <w:t>[10,30–32]</w:t>
      </w:r>
      <w:r w:rsidR="00147C5B" w:rsidRPr="00045FA5">
        <w:rPr>
          <w:rFonts w:eastAsia="Times New Roman" w:cs="Times New Roman"/>
          <w:sz w:val="24"/>
          <w:szCs w:val="24"/>
          <w:lang w:eastAsia="ru-RU"/>
        </w:rPr>
        <w:fldChar w:fldCharType="end"/>
      </w:r>
      <w:r w:rsidR="00147C5B" w:rsidRPr="00045FA5">
        <w:rPr>
          <w:sz w:val="24"/>
          <w:szCs w:val="24"/>
        </w:rPr>
        <w:t>.</w:t>
      </w:r>
    </w:p>
    <w:p w14:paraId="11F6548C" w14:textId="40CCC7D7" w:rsidR="00C00AD2" w:rsidRPr="00D62EDF" w:rsidRDefault="00C00AD2" w:rsidP="00477355">
      <w:pPr>
        <w:pStyle w:val="afd"/>
        <w:spacing w:before="100" w:after="100" w:line="360" w:lineRule="auto"/>
        <w:ind w:firstLine="709"/>
        <w:contextualSpacing/>
        <w:rPr>
          <w:b/>
        </w:rPr>
      </w:pPr>
      <w:r w:rsidRPr="00D62EDF">
        <w:rPr>
          <w:b/>
        </w:rPr>
        <w:t xml:space="preserve">Уровень убедительности рекомендаций </w:t>
      </w:r>
      <w:r w:rsidR="00FA2AE2" w:rsidRPr="00D62EDF">
        <w:rPr>
          <w:b/>
        </w:rPr>
        <w:t>С</w:t>
      </w:r>
      <w:r w:rsidRPr="00D62EDF">
        <w:rPr>
          <w:b/>
        </w:rPr>
        <w:t xml:space="preserve"> (уровень достоверности доказательств</w:t>
      </w:r>
      <w:r w:rsidR="00FA2AE2" w:rsidRPr="00D62EDF">
        <w:rPr>
          <w:b/>
        </w:rPr>
        <w:t xml:space="preserve"> 5</w:t>
      </w:r>
      <w:r w:rsidRPr="00D62EDF">
        <w:rPr>
          <w:b/>
        </w:rPr>
        <w:t>)</w:t>
      </w:r>
    </w:p>
    <w:p w14:paraId="7665F71E" w14:textId="7B0E0721" w:rsidR="00D23199" w:rsidRPr="00D07EC1" w:rsidRDefault="00031607" w:rsidP="005D3723">
      <w:pPr>
        <w:pStyle w:val="afd"/>
        <w:spacing w:line="360" w:lineRule="auto"/>
        <w:ind w:firstLine="709"/>
        <w:contextualSpacing/>
      </w:pPr>
      <w:r w:rsidRPr="00D07EC1">
        <w:rPr>
          <w:rStyle w:val="affa"/>
        </w:rPr>
        <w:t>Комментарии:</w:t>
      </w:r>
      <w:r w:rsidRPr="00D07EC1">
        <w:rPr>
          <w:rStyle w:val="affb"/>
        </w:rPr>
        <w:t xml:space="preserve"> </w:t>
      </w:r>
      <w:r w:rsidR="009F48F8">
        <w:rPr>
          <w:rStyle w:val="affb"/>
        </w:rPr>
        <w:t>в</w:t>
      </w:r>
      <w:r w:rsidR="009F48F8" w:rsidRPr="00D07EC1">
        <w:rPr>
          <w:rStyle w:val="affb"/>
        </w:rPr>
        <w:t xml:space="preserve">ыявление </w:t>
      </w:r>
      <w:r w:rsidRPr="00D07EC1">
        <w:rPr>
          <w:rStyle w:val="affb"/>
        </w:rPr>
        <w:t>ПНГ-клона вне зависимости от процентного содержани</w:t>
      </w:r>
      <w:r w:rsidR="004D571C">
        <w:rPr>
          <w:rStyle w:val="affb"/>
        </w:rPr>
        <w:t>я</w:t>
      </w:r>
      <w:r w:rsidR="00AF6C24">
        <w:rPr>
          <w:rStyle w:val="affb"/>
        </w:rPr>
        <w:t xml:space="preserve"> </w:t>
      </w:r>
      <w:r w:rsidRPr="00D07EC1">
        <w:rPr>
          <w:rStyle w:val="affb"/>
        </w:rPr>
        <w:t xml:space="preserve">ГФИ-дефектных клеток среди гранулоцитов, эритроцитов и моноцитов не исключает диагноз АА. </w:t>
      </w:r>
    </w:p>
    <w:p w14:paraId="229C0B09" w14:textId="3A96C5DA" w:rsidR="00D62EDF" w:rsidRPr="00D62EDF" w:rsidRDefault="00C00AD2" w:rsidP="00BF4D82">
      <w:pPr>
        <w:pStyle w:val="afd"/>
        <w:numPr>
          <w:ilvl w:val="0"/>
          <w:numId w:val="10"/>
        </w:numPr>
        <w:spacing w:before="100" w:after="100" w:line="360" w:lineRule="auto"/>
        <w:ind w:left="0" w:firstLine="709"/>
        <w:contextualSpacing/>
        <w:rPr>
          <w:b/>
        </w:rPr>
      </w:pPr>
      <w:r w:rsidRPr="00D62EDF">
        <w:rPr>
          <w:b/>
        </w:rPr>
        <w:lastRenderedPageBreak/>
        <w:t>Рекомендуется</w:t>
      </w:r>
      <w:r w:rsidRPr="00D62EDF">
        <w:t xml:space="preserve"> всем пациентам</w:t>
      </w:r>
      <w:r w:rsidR="00FA2AE2" w:rsidRPr="00D62EDF">
        <w:t xml:space="preserve"> при диагностике АА</w:t>
      </w:r>
      <w:r w:rsidR="00031607" w:rsidRPr="00D62EDF">
        <w:t xml:space="preserve"> проведение</w:t>
      </w:r>
      <w:r w:rsidR="004C36F5" w:rsidRPr="00D62EDF">
        <w:t xml:space="preserve"> прямого антиглобулинового теста (прямой пробы Кумбса)</w:t>
      </w:r>
      <w:r w:rsidR="00031607" w:rsidRPr="00D62EDF">
        <w:t xml:space="preserve"> </w:t>
      </w:r>
      <w:r w:rsidR="00C11619" w:rsidRPr="00D62EDF">
        <w:t>для исключения аутоиммунн</w:t>
      </w:r>
      <w:r w:rsidR="00AB2CF1" w:rsidRPr="00D62EDF">
        <w:t>ой гемолитической анемии</w:t>
      </w:r>
      <w:r w:rsidR="00A43B51" w:rsidRPr="00D62EDF">
        <w:t xml:space="preserve"> </w:t>
      </w:r>
      <w:r w:rsidR="00AB2CF1" w:rsidRPr="00D62EDF">
        <w:fldChar w:fldCharType="begin" w:fldLock="1"/>
      </w:r>
      <w:r w:rsidR="003115E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AB2CF1" w:rsidRPr="00D62EDF">
        <w:fldChar w:fldCharType="separate"/>
      </w:r>
      <w:r w:rsidR="00083277" w:rsidRPr="00083277">
        <w:rPr>
          <w:noProof/>
        </w:rPr>
        <w:t>[12]</w:t>
      </w:r>
      <w:r w:rsidR="00AB2CF1" w:rsidRPr="00D62EDF">
        <w:fldChar w:fldCharType="end"/>
      </w:r>
      <w:r w:rsidR="003B414C" w:rsidRPr="00D62EDF">
        <w:t>.</w:t>
      </w:r>
      <w:r w:rsidR="005460EF" w:rsidRPr="00D62EDF">
        <w:t xml:space="preserve"> </w:t>
      </w:r>
    </w:p>
    <w:p w14:paraId="011DFDE5" w14:textId="77735F98" w:rsidR="00F140D0" w:rsidRPr="00D62EDF" w:rsidRDefault="00BD3716" w:rsidP="00BD3716">
      <w:pPr>
        <w:pStyle w:val="afd"/>
        <w:spacing w:before="100" w:after="100" w:line="360" w:lineRule="auto"/>
        <w:contextualSpacing/>
        <w:rPr>
          <w:b/>
        </w:rPr>
      </w:pPr>
      <w:r>
        <w:rPr>
          <w:b/>
        </w:rPr>
        <w:t xml:space="preserve">      </w:t>
      </w:r>
      <w:r w:rsidR="00C00AD2" w:rsidRPr="00D62EDF">
        <w:rPr>
          <w:b/>
        </w:rPr>
        <w:t xml:space="preserve">Уровень убедительности рекомендаций </w:t>
      </w:r>
      <w:r w:rsidR="00FA2AE2" w:rsidRPr="00D62EDF">
        <w:rPr>
          <w:b/>
        </w:rPr>
        <w:t>С</w:t>
      </w:r>
      <w:r w:rsidR="00C00AD2" w:rsidRPr="00D62EDF">
        <w:rPr>
          <w:b/>
        </w:rPr>
        <w:t xml:space="preserve"> (уровень достоверности доказательств </w:t>
      </w:r>
      <w:r w:rsidR="00FA2AE2" w:rsidRPr="00D62EDF">
        <w:rPr>
          <w:b/>
        </w:rPr>
        <w:t>5</w:t>
      </w:r>
      <w:r w:rsidR="00477355" w:rsidRPr="00D62EDF">
        <w:rPr>
          <w:b/>
        </w:rPr>
        <w:t>)</w:t>
      </w:r>
    </w:p>
    <w:p w14:paraId="36A385CC" w14:textId="1D67AE1B" w:rsidR="00D62EDF" w:rsidRDefault="00BD3716" w:rsidP="00BD3716">
      <w:pPr>
        <w:pStyle w:val="afd"/>
        <w:spacing w:before="100" w:after="100" w:line="360" w:lineRule="auto"/>
        <w:contextualSpacing/>
        <w:rPr>
          <w:rStyle w:val="affb"/>
        </w:rPr>
      </w:pPr>
      <w:r>
        <w:rPr>
          <w:rStyle w:val="affa"/>
        </w:rPr>
        <w:t xml:space="preserve">        </w:t>
      </w:r>
      <w:r w:rsidR="00031607" w:rsidRPr="00F140D0">
        <w:rPr>
          <w:rStyle w:val="affa"/>
        </w:rPr>
        <w:t>Комментарии:</w:t>
      </w:r>
      <w:r w:rsidR="00031607" w:rsidRPr="00D07EC1">
        <w:rPr>
          <w:rStyle w:val="affa"/>
        </w:rPr>
        <w:t xml:space="preserve"> </w:t>
      </w:r>
      <w:r w:rsidR="00031607" w:rsidRPr="00D62EDF">
        <w:rPr>
          <w:rStyle w:val="affb"/>
        </w:rPr>
        <w:t>наличие положительной пробы сомнительно для диагноза</w:t>
      </w:r>
      <w:r w:rsidR="00031607" w:rsidRPr="00F140D0">
        <w:rPr>
          <w:rStyle w:val="affb"/>
        </w:rPr>
        <w:t xml:space="preserve"> АА</w:t>
      </w:r>
      <w:r w:rsidR="005460EF" w:rsidRPr="00D62EDF">
        <w:rPr>
          <w:rStyle w:val="affb"/>
        </w:rPr>
        <w:t xml:space="preserve">. </w:t>
      </w:r>
    </w:p>
    <w:p w14:paraId="396BAF19" w14:textId="5E3E4583" w:rsidR="00477355" w:rsidRDefault="005D3723" w:rsidP="00BF4D82">
      <w:pPr>
        <w:pStyle w:val="afd"/>
        <w:numPr>
          <w:ilvl w:val="0"/>
          <w:numId w:val="10"/>
        </w:numPr>
        <w:spacing w:before="100" w:after="100" w:line="360" w:lineRule="auto"/>
        <w:contextualSpacing/>
      </w:pPr>
      <w:r w:rsidRPr="006D3D80">
        <w:rPr>
          <w:b/>
        </w:rPr>
        <w:t>Рекомендуется</w:t>
      </w:r>
      <w:r w:rsidRPr="00D07EC1">
        <w:t xml:space="preserve"> </w:t>
      </w:r>
      <w:r>
        <w:t>всем пациента</w:t>
      </w:r>
      <w:r w:rsidR="00847319">
        <w:t>м при диагностике АА</w:t>
      </w:r>
      <w:r w:rsidR="006A5BCA">
        <w:t xml:space="preserve">, а также всем пациентам с установленной АА </w:t>
      </w:r>
      <w:r w:rsidR="006A5BCA" w:rsidRPr="006A5BCA">
        <w:t xml:space="preserve">1 раз в </w:t>
      </w:r>
      <w:r w:rsidR="00D62EDF">
        <w:t xml:space="preserve">2-4 </w:t>
      </w:r>
      <w:r w:rsidR="006A5BCA" w:rsidRPr="006A5BCA">
        <w:t>недел</w:t>
      </w:r>
      <w:r w:rsidR="00D62EDF">
        <w:t>и</w:t>
      </w:r>
      <w:r w:rsidR="006A5BCA" w:rsidRPr="006A5BCA">
        <w:t xml:space="preserve"> до достижения ответа, в дальнейшем – 1 раз в месяц</w:t>
      </w:r>
      <w:r w:rsidR="006A5BCA">
        <w:t>:</w:t>
      </w:r>
      <w:r w:rsidR="00031607" w:rsidRPr="00D07EC1">
        <w:t xml:space="preserve"> проведение общего анализа мочи</w:t>
      </w:r>
      <w:r w:rsidR="00A43B51" w:rsidRPr="00D07EC1">
        <w:t xml:space="preserve"> </w:t>
      </w:r>
      <w:r>
        <w:t xml:space="preserve">для </w:t>
      </w:r>
      <w:r w:rsidR="00AB2CF1">
        <w:t>выявления</w:t>
      </w:r>
      <w:r>
        <w:t xml:space="preserve"> сопутствующей патологии</w:t>
      </w:r>
      <w:r w:rsidR="00D62EDF">
        <w:t xml:space="preserve"> и оценки токсичности терапии</w:t>
      </w:r>
      <w:r w:rsidR="00C11619" w:rsidRPr="00D07EC1">
        <w:t xml:space="preserve"> </w:t>
      </w:r>
      <w:r w:rsidR="00AB2CF1">
        <w:fldChar w:fldCharType="begin" w:fldLock="1"/>
      </w:r>
      <w:r w:rsidR="0008327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AB2CF1">
        <w:fldChar w:fldCharType="separate"/>
      </w:r>
      <w:r w:rsidR="0012563C" w:rsidRPr="0012563C">
        <w:rPr>
          <w:noProof/>
        </w:rPr>
        <w:t>[12]</w:t>
      </w:r>
      <w:r w:rsidR="00AB2CF1">
        <w:fldChar w:fldCharType="end"/>
      </w:r>
      <w:r>
        <w:t>.</w:t>
      </w:r>
      <w:r w:rsidR="005460EF">
        <w:t xml:space="preserve"> </w:t>
      </w:r>
    </w:p>
    <w:p w14:paraId="1817649B" w14:textId="490E2435" w:rsidR="00C00AD2" w:rsidRPr="00477355" w:rsidRDefault="00C00AD2" w:rsidP="00F140D0">
      <w:pPr>
        <w:pStyle w:val="afd"/>
        <w:spacing w:before="100" w:after="100" w:line="360" w:lineRule="auto"/>
        <w:ind w:firstLine="709"/>
        <w:contextualSpacing/>
        <w:rPr>
          <w:b/>
        </w:rPr>
      </w:pPr>
      <w:r w:rsidRPr="00477355">
        <w:rPr>
          <w:b/>
        </w:rPr>
        <w:t xml:space="preserve">Уровень убедительности рекомендаций </w:t>
      </w:r>
      <w:r w:rsidR="00FA2AE2">
        <w:rPr>
          <w:b/>
        </w:rPr>
        <w:t>С</w:t>
      </w:r>
      <w:r w:rsidRPr="00477355">
        <w:rPr>
          <w:b/>
        </w:rPr>
        <w:t xml:space="preserve"> (уровень достоверности доказательств </w:t>
      </w:r>
      <w:r w:rsidR="00FA2AE2">
        <w:rPr>
          <w:b/>
        </w:rPr>
        <w:t>5</w:t>
      </w:r>
      <w:r w:rsidRPr="00477355">
        <w:rPr>
          <w:b/>
        </w:rPr>
        <w:t>)</w:t>
      </w:r>
    </w:p>
    <w:p w14:paraId="65807F6A" w14:textId="5462F0A5" w:rsidR="00960461" w:rsidRDefault="00C00AD2" w:rsidP="00BF4D82">
      <w:pPr>
        <w:pStyle w:val="afd"/>
        <w:numPr>
          <w:ilvl w:val="0"/>
          <w:numId w:val="10"/>
        </w:numPr>
        <w:spacing w:before="100" w:after="100" w:line="360" w:lineRule="auto"/>
        <w:contextualSpacing/>
      </w:pPr>
      <w:r w:rsidRPr="007475AD">
        <w:rPr>
          <w:b/>
        </w:rPr>
        <w:t>Рекомендуется</w:t>
      </w:r>
      <w:r w:rsidRPr="00D07EC1">
        <w:t xml:space="preserve"> </w:t>
      </w:r>
      <w:r>
        <w:t>всем пациентам</w:t>
      </w:r>
      <w:r w:rsidR="001C766E">
        <w:t xml:space="preserve"> при диагностике АА</w:t>
      </w:r>
      <w:r w:rsidR="007475AD">
        <w:t xml:space="preserve"> </w:t>
      </w:r>
      <w:r w:rsidR="00BD3716">
        <w:t>обследование на сифилис, В</w:t>
      </w:r>
      <w:r w:rsidR="005143EC">
        <w:t xml:space="preserve">ИЧ, вирусные гепатиты, </w:t>
      </w:r>
      <w:r w:rsidR="00BD3716">
        <w:t>гер</w:t>
      </w:r>
      <w:r w:rsidR="005143EC">
        <w:t>пес-вирусы</w:t>
      </w:r>
      <w:r w:rsidR="008E2004" w:rsidRPr="008E2004">
        <w:t xml:space="preserve"> </w:t>
      </w:r>
      <w:r w:rsidR="008E2004">
        <w:t xml:space="preserve">для исключения сопутствующей патологии или осложнений </w:t>
      </w:r>
      <w:r w:rsidR="008E2004">
        <w:fldChar w:fldCharType="begin" w:fldLock="1"/>
      </w:r>
      <w:r w:rsidR="003115E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id":"ITEM-2","itemData":{"DOI":"10.1056/NEJM199704103361504","author":[{"dropping-particle":"","family":"Brown","given":"K E","non-dropping-particle":"","parse-names":false,"suffix":""},{"dropping-particle":"","family":"Tisdale","given":"J","non-dropping-particle":"","parse-names":false,"suffix":""},{"dropping-particle":"","family":"Barrett","given":"A J","non-dropping-particle":"","parse-names":false,"suffix":""},{"dropping-particle":"","family":"Dunbar","given":"C E","non-dropping-particle":"","parse-names":false,"suffix":""},{"dropping-particle":"","family":"Young","given":"N S","non-dropping-particle":"","parse-names":false,"suffix":""}],"container-title":"New England Journal of Medicine","id":"ITEM-2","issue":"15","issued":{"date-parts":[["1997"]]},"page":"1059-1064","title":"Hepatitis-associated aplastic anemia","type":"article-journal","volume":"336"},"uris":["http://www.mendeley.com/documents/?uuid=2cf5344f-07cd-4a93-97e3-82e49ffd8065","http://www.mendeley.com/documents/?uuid=f2dd4e57-3bd5-4f06-b440-02319d2ba819"]}],"mendeley":{"formattedCitation":"[12,33]","plainTextFormattedCitation":"[12,33]","previouslyFormattedCitation":"[12,33]"},"properties":{"noteIndex":0},"schema":"https://github.com/citation-style-language/schema/raw/master/csl-citation.json"}</w:instrText>
      </w:r>
      <w:r w:rsidR="008E2004">
        <w:fldChar w:fldCharType="separate"/>
      </w:r>
      <w:r w:rsidR="00083277" w:rsidRPr="00083277">
        <w:rPr>
          <w:noProof/>
        </w:rPr>
        <w:t>[12,33]</w:t>
      </w:r>
      <w:r w:rsidR="008E2004">
        <w:fldChar w:fldCharType="end"/>
      </w:r>
      <w:r w:rsidR="005143EC">
        <w:t xml:space="preserve">: </w:t>
      </w:r>
    </w:p>
    <w:p w14:paraId="389CDFC9" w14:textId="5B555B97" w:rsidR="00960461" w:rsidRPr="00B87A26" w:rsidRDefault="00960461" w:rsidP="00BF4D82">
      <w:pPr>
        <w:pStyle w:val="afe"/>
        <w:numPr>
          <w:ilvl w:val="1"/>
          <w:numId w:val="7"/>
        </w:numPr>
        <w:spacing w:before="120" w:after="120"/>
      </w:pPr>
      <w:r>
        <w:t>Определение антител к бледной трепонеме (</w:t>
      </w:r>
      <w:r w:rsidRPr="00036AA8">
        <w:rPr>
          <w:i/>
          <w:iCs/>
        </w:rPr>
        <w:t>Treponema pallidum</w:t>
      </w:r>
      <w:r>
        <w:t>) иммуноферментным методом (ИФА) в крови</w:t>
      </w:r>
      <w:r>
        <w:rPr>
          <w:color w:val="000000" w:themeColor="text1"/>
          <w:szCs w:val="24"/>
        </w:rPr>
        <w:t xml:space="preserve">) или </w:t>
      </w:r>
      <w:r w:rsidR="00A82CEF">
        <w:t>о</w:t>
      </w:r>
      <w:r>
        <w:t>пределение антител к бледной трепонеме (</w:t>
      </w:r>
      <w:r w:rsidRPr="00036AA8">
        <w:rPr>
          <w:i/>
          <w:iCs/>
        </w:rPr>
        <w:t>Treponema pallidum</w:t>
      </w:r>
      <w:r>
        <w:t>) в нетрепонемных тестах (RPR, РМП) (качественное и полуколичественное исследование) в сыворотке крови</w:t>
      </w:r>
      <w:r w:rsidRPr="00852CA2">
        <w:rPr>
          <w:color w:val="000000" w:themeColor="text1"/>
          <w:szCs w:val="24"/>
        </w:rPr>
        <w:t>;</w:t>
      </w:r>
      <w:r w:rsidRPr="00852CA2">
        <w:rPr>
          <w:szCs w:val="24"/>
        </w:rPr>
        <w:t xml:space="preserve"> </w:t>
      </w:r>
    </w:p>
    <w:p w14:paraId="7541F88F" w14:textId="5CFAE512" w:rsidR="00960461" w:rsidRPr="00B87A26" w:rsidRDefault="00960461" w:rsidP="00BF4D82">
      <w:pPr>
        <w:pStyle w:val="afe"/>
        <w:numPr>
          <w:ilvl w:val="1"/>
          <w:numId w:val="7"/>
        </w:numPr>
        <w:spacing w:before="120" w:after="120"/>
      </w:pPr>
      <w:r>
        <w:t>Определение антител классов M, G (IgM, IgG) к вирусу иммунодефицита человека ВИЧ-1 (</w:t>
      </w:r>
      <w:r w:rsidRPr="00960461">
        <w:rPr>
          <w:i/>
          <w:iCs/>
        </w:rPr>
        <w:t>Human immunodeficiency virus HIV 1</w:t>
      </w:r>
      <w:r w:rsidR="00A82CEF">
        <w:t>) в крови; о</w:t>
      </w:r>
      <w:r>
        <w:t>пределение антител классов M, G (IgM, IgG) к вирусу иммунодефицита человека ВИЧ-2 (</w:t>
      </w:r>
      <w:r w:rsidRPr="00960461">
        <w:rPr>
          <w:i/>
          <w:iCs/>
        </w:rPr>
        <w:t>Human immunodeficiency virus HIV 2</w:t>
      </w:r>
      <w:r>
        <w:t>) в крови</w:t>
      </w:r>
      <w:r w:rsidRPr="00960461">
        <w:rPr>
          <w:color w:val="000000" w:themeColor="text1"/>
          <w:szCs w:val="24"/>
        </w:rPr>
        <w:t>;</w:t>
      </w:r>
    </w:p>
    <w:p w14:paraId="42B3253E" w14:textId="5A7D4B86" w:rsidR="00A82CEF" w:rsidRDefault="00960461" w:rsidP="00BF4D82">
      <w:pPr>
        <w:pStyle w:val="afe"/>
        <w:numPr>
          <w:ilvl w:val="1"/>
          <w:numId w:val="7"/>
        </w:numPr>
        <w:spacing w:before="120" w:after="120"/>
      </w:pPr>
      <w:r w:rsidRPr="001E4BB1">
        <w:t>Определение антигена (HbsAg) вируса гепатита B (</w:t>
      </w:r>
      <w:r w:rsidRPr="00A82CEF">
        <w:rPr>
          <w:i/>
          <w:iCs/>
        </w:rPr>
        <w:t>Hepatitis B virus</w:t>
      </w:r>
      <w:r w:rsidRPr="00D012C9">
        <w:t>) в крови</w:t>
      </w:r>
      <w:r>
        <w:t xml:space="preserve"> и </w:t>
      </w:r>
      <w:r w:rsidR="00A82CEF">
        <w:t>определение антител к вирусу гепатита C (Hepatitis C virus) в крови;</w:t>
      </w:r>
    </w:p>
    <w:p w14:paraId="7CA714DA" w14:textId="36BD27D6" w:rsidR="00477355" w:rsidRDefault="00B87A26" w:rsidP="00BF4D82">
      <w:pPr>
        <w:pStyle w:val="afe"/>
        <w:numPr>
          <w:ilvl w:val="1"/>
          <w:numId w:val="7"/>
        </w:numPr>
        <w:spacing w:before="120" w:after="120"/>
      </w:pPr>
      <w:r>
        <w:t xml:space="preserve"> Определение антител к вирусу простого герпеса (</w:t>
      </w:r>
      <w:r w:rsidR="00A82CEF">
        <w:t>Herpes simplex virus) в крови; о</w:t>
      </w:r>
      <w:r w:rsidR="007475AD" w:rsidRPr="00D62EDF">
        <w:t>пределение антител к вирусу герпеса человека 6 типа (Herpes-virus 6) в крови</w:t>
      </w:r>
      <w:r w:rsidR="007F478E">
        <w:t xml:space="preserve">; </w:t>
      </w:r>
      <w:r w:rsidR="00A82CEF">
        <w:t>о</w:t>
      </w:r>
      <w:r>
        <w:t>пределение антител классов M, G (IgM, IgG) к вирусу Эпштейна-Барра (</w:t>
      </w:r>
      <w:r w:rsidR="00A82CEF">
        <w:t>Epstein - Barr virus) в крови; о</w:t>
      </w:r>
      <w:r>
        <w:t>пределение антител классов M, G (IgM, IgG) к цитомегалов</w:t>
      </w:r>
      <w:r w:rsidR="00A82CEF">
        <w:t>ирусу (Cytomegalovirus) в крови.</w:t>
      </w:r>
    </w:p>
    <w:p w14:paraId="547B5D35" w14:textId="40BE11FA" w:rsidR="00C00AD2" w:rsidRPr="00477355" w:rsidRDefault="00C00AD2" w:rsidP="00477355">
      <w:pPr>
        <w:pStyle w:val="afd"/>
        <w:spacing w:before="100" w:after="100" w:line="360" w:lineRule="auto"/>
        <w:ind w:firstLine="709"/>
        <w:contextualSpacing/>
        <w:rPr>
          <w:b/>
        </w:rPr>
      </w:pPr>
      <w:r w:rsidRPr="00477355">
        <w:rPr>
          <w:b/>
        </w:rPr>
        <w:t xml:space="preserve">Уровень убедительности рекомендаций </w:t>
      </w:r>
      <w:r w:rsidR="00906236">
        <w:rPr>
          <w:b/>
        </w:rPr>
        <w:t>С</w:t>
      </w:r>
      <w:r w:rsidRPr="00477355">
        <w:rPr>
          <w:b/>
        </w:rPr>
        <w:t xml:space="preserve"> (урове</w:t>
      </w:r>
      <w:r w:rsidR="002B5693">
        <w:rPr>
          <w:b/>
        </w:rPr>
        <w:t xml:space="preserve">нь достоверности доказательств </w:t>
      </w:r>
      <w:r w:rsidR="00906236">
        <w:rPr>
          <w:b/>
        </w:rPr>
        <w:t>5</w:t>
      </w:r>
      <w:r w:rsidRPr="00477355">
        <w:rPr>
          <w:b/>
        </w:rPr>
        <w:t>)</w:t>
      </w:r>
    </w:p>
    <w:p w14:paraId="245CE49D" w14:textId="792F93B6" w:rsidR="00477355" w:rsidRDefault="00C00AD2" w:rsidP="00BF4D82">
      <w:pPr>
        <w:pStyle w:val="afd"/>
        <w:numPr>
          <w:ilvl w:val="0"/>
          <w:numId w:val="7"/>
        </w:numPr>
        <w:spacing w:before="100" w:after="100" w:line="360" w:lineRule="auto"/>
        <w:contextualSpacing/>
      </w:pPr>
      <w:r w:rsidRPr="00CB2EED">
        <w:rPr>
          <w:b/>
        </w:rPr>
        <w:t>Рекомендуется</w:t>
      </w:r>
      <w:r>
        <w:t xml:space="preserve"> пациентам</w:t>
      </w:r>
      <w:r w:rsidR="00906236">
        <w:t xml:space="preserve"> с АА, которым планируется ИСТ, при госпитализации</w:t>
      </w:r>
      <w:r w:rsidR="00CB2EED">
        <w:t xml:space="preserve"> микробиологическое (культуральное) исследование мочи на бактериальные </w:t>
      </w:r>
      <w:r w:rsidR="00CB2EED">
        <w:lastRenderedPageBreak/>
        <w:t>патогены</w:t>
      </w:r>
      <w:r w:rsidR="003E105E">
        <w:t xml:space="preserve"> в соответствии с методическими рекомендациями по сопроводительной терапии</w:t>
      </w:r>
      <w:r w:rsidR="0070244E" w:rsidRPr="0070244E">
        <w:t xml:space="preserve"> </w:t>
      </w:r>
      <w:r w:rsidR="0070244E">
        <w:fldChar w:fldCharType="begin" w:fldLock="1"/>
      </w:r>
      <w:r w:rsidR="0008327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70244E">
        <w:fldChar w:fldCharType="separate"/>
      </w:r>
      <w:r w:rsidR="0070244E" w:rsidRPr="0012563C">
        <w:rPr>
          <w:noProof/>
        </w:rPr>
        <w:t>[12]</w:t>
      </w:r>
      <w:r w:rsidR="0070244E">
        <w:fldChar w:fldCharType="end"/>
      </w:r>
      <w:r w:rsidR="00860F2B">
        <w:t>.</w:t>
      </w:r>
    </w:p>
    <w:p w14:paraId="33721B69" w14:textId="6F32E6CA" w:rsidR="00477355" w:rsidRDefault="00C00AD2" w:rsidP="00477355">
      <w:pPr>
        <w:pStyle w:val="afd"/>
        <w:spacing w:before="100" w:after="100" w:line="360" w:lineRule="auto"/>
        <w:ind w:firstLine="709"/>
        <w:contextualSpacing/>
        <w:rPr>
          <w:b/>
        </w:rPr>
      </w:pPr>
      <w:r w:rsidRPr="00477355">
        <w:rPr>
          <w:b/>
        </w:rPr>
        <w:t xml:space="preserve">Уровень убедительности рекомендаций </w:t>
      </w:r>
      <w:r w:rsidR="00906236">
        <w:rPr>
          <w:b/>
        </w:rPr>
        <w:t>В</w:t>
      </w:r>
      <w:r w:rsidRPr="00477355">
        <w:rPr>
          <w:b/>
        </w:rPr>
        <w:t xml:space="preserve"> (урове</w:t>
      </w:r>
      <w:r w:rsidR="002B5693">
        <w:rPr>
          <w:b/>
        </w:rPr>
        <w:t>нь достоверности доказательств 2</w:t>
      </w:r>
      <w:r w:rsidRPr="00477355">
        <w:rPr>
          <w:b/>
        </w:rPr>
        <w:t>)</w:t>
      </w:r>
    </w:p>
    <w:p w14:paraId="4CE940B0" w14:textId="7E712D09" w:rsidR="00D23199" w:rsidRDefault="00031607" w:rsidP="0070244E">
      <w:pPr>
        <w:pStyle w:val="afd"/>
        <w:spacing w:before="100" w:after="100" w:line="360" w:lineRule="auto"/>
        <w:ind w:firstLine="709"/>
        <w:contextualSpacing/>
        <w:rPr>
          <w:rStyle w:val="affb"/>
        </w:rPr>
      </w:pPr>
      <w:r w:rsidRPr="00477355">
        <w:rPr>
          <w:rStyle w:val="affa"/>
        </w:rPr>
        <w:t>Комментарии:</w:t>
      </w:r>
      <w:r w:rsidRPr="00C00AD2">
        <w:rPr>
          <w:rStyle w:val="affb"/>
          <w:b/>
        </w:rPr>
        <w:t xml:space="preserve"> </w:t>
      </w:r>
      <w:r w:rsidRPr="00477355">
        <w:rPr>
          <w:rStyle w:val="affb"/>
        </w:rPr>
        <w:t xml:space="preserve">определение </w:t>
      </w:r>
      <w:r w:rsidRPr="003C5912">
        <w:rPr>
          <w:rStyle w:val="affb"/>
        </w:rPr>
        <w:t xml:space="preserve">колонизации кишечника условно патогенными </w:t>
      </w:r>
      <w:r w:rsidR="002B588F">
        <w:rPr>
          <w:rStyle w:val="affb"/>
        </w:rPr>
        <w:t xml:space="preserve">антибиотикорезистентными </w:t>
      </w:r>
      <w:r w:rsidRPr="003C5912">
        <w:rPr>
          <w:rStyle w:val="affb"/>
        </w:rPr>
        <w:t>штаммами бактерий необходимо для подбора адекватной антиб</w:t>
      </w:r>
      <w:r w:rsidR="003C5912" w:rsidRPr="003C5912">
        <w:rPr>
          <w:rStyle w:val="affb"/>
        </w:rPr>
        <w:t>актериальной</w:t>
      </w:r>
      <w:r w:rsidRPr="003C5912">
        <w:rPr>
          <w:rStyle w:val="affb"/>
        </w:rPr>
        <w:t xml:space="preserve"> терапии, а также возможной антиб</w:t>
      </w:r>
      <w:r w:rsidR="003C5912" w:rsidRPr="003C5912">
        <w:rPr>
          <w:rStyle w:val="affb"/>
        </w:rPr>
        <w:t>актериальной</w:t>
      </w:r>
      <w:r w:rsidRPr="003C5912">
        <w:rPr>
          <w:rStyle w:val="affb"/>
        </w:rPr>
        <w:t xml:space="preserve"> профилактики</w:t>
      </w:r>
      <w:r w:rsidR="00860F2B" w:rsidRPr="003C5912">
        <w:rPr>
          <w:rStyle w:val="affb"/>
        </w:rPr>
        <w:t>.</w:t>
      </w:r>
    </w:p>
    <w:p w14:paraId="0C4BC081" w14:textId="0CFA24F6" w:rsidR="004C5875" w:rsidRDefault="004C5875" w:rsidP="00BF4D82">
      <w:pPr>
        <w:pStyle w:val="afd"/>
        <w:numPr>
          <w:ilvl w:val="0"/>
          <w:numId w:val="7"/>
        </w:numPr>
        <w:spacing w:before="100" w:after="100" w:line="360" w:lineRule="auto"/>
        <w:contextualSpacing/>
      </w:pPr>
      <w:r w:rsidRPr="00CB2EED">
        <w:rPr>
          <w:b/>
        </w:rPr>
        <w:t>Рекомендуется</w:t>
      </w:r>
      <w:r>
        <w:t xml:space="preserve"> пациентам с АА, которым планируется ИСТ, при госпитализации м</w:t>
      </w:r>
      <w:r w:rsidRPr="00B866ED">
        <w:t>икробиологическое (культуральное) исследование кала на аэробные и факультативно-анаэробные микроорганизмы</w:t>
      </w:r>
      <w:r>
        <w:t xml:space="preserve"> в соответствии с методическими рекомендациями по сопроводительной терапии</w:t>
      </w:r>
      <w:r w:rsidR="0070244E" w:rsidRPr="0070244E">
        <w:t xml:space="preserve"> </w:t>
      </w:r>
      <w:r w:rsidR="0070244E">
        <w:fldChar w:fldCharType="begin" w:fldLock="1"/>
      </w:r>
      <w:r w:rsidR="0008327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70244E">
        <w:fldChar w:fldCharType="separate"/>
      </w:r>
      <w:r w:rsidR="0070244E" w:rsidRPr="0012563C">
        <w:rPr>
          <w:noProof/>
        </w:rPr>
        <w:t>[12]</w:t>
      </w:r>
      <w:r w:rsidR="0070244E">
        <w:fldChar w:fldCharType="end"/>
      </w:r>
      <w:r>
        <w:t>.</w:t>
      </w:r>
    </w:p>
    <w:p w14:paraId="5124BEF9" w14:textId="77777777" w:rsidR="004C5875" w:rsidRDefault="004C5875" w:rsidP="004C5875">
      <w:pPr>
        <w:pStyle w:val="afd"/>
        <w:spacing w:before="100" w:after="100" w:line="360" w:lineRule="auto"/>
        <w:ind w:firstLine="709"/>
        <w:contextualSpacing/>
        <w:rPr>
          <w:b/>
        </w:rPr>
      </w:pPr>
      <w:r w:rsidRPr="00477355">
        <w:rPr>
          <w:b/>
        </w:rPr>
        <w:t xml:space="preserve">Уровень убедительности рекомендаций </w:t>
      </w:r>
      <w:r>
        <w:rPr>
          <w:b/>
        </w:rPr>
        <w:t>В</w:t>
      </w:r>
      <w:r w:rsidRPr="00477355">
        <w:rPr>
          <w:b/>
        </w:rPr>
        <w:t xml:space="preserve"> (урове</w:t>
      </w:r>
      <w:r>
        <w:rPr>
          <w:b/>
        </w:rPr>
        <w:t>нь достоверности доказательств 2</w:t>
      </w:r>
      <w:r w:rsidRPr="00477355">
        <w:rPr>
          <w:b/>
        </w:rPr>
        <w:t>)</w:t>
      </w:r>
    </w:p>
    <w:p w14:paraId="09BF3EF3" w14:textId="77777777" w:rsidR="004C5875" w:rsidRPr="00477355" w:rsidRDefault="004C5875" w:rsidP="004C5875">
      <w:pPr>
        <w:pStyle w:val="afd"/>
        <w:spacing w:before="100" w:after="100" w:line="360" w:lineRule="auto"/>
        <w:ind w:firstLine="709"/>
        <w:contextualSpacing/>
      </w:pPr>
      <w:r w:rsidRPr="00477355">
        <w:rPr>
          <w:rStyle w:val="affa"/>
        </w:rPr>
        <w:t>Комментарии:</w:t>
      </w:r>
      <w:r w:rsidRPr="00C00AD2">
        <w:rPr>
          <w:rStyle w:val="affb"/>
          <w:b/>
        </w:rPr>
        <w:t xml:space="preserve"> </w:t>
      </w:r>
      <w:r w:rsidRPr="00477355">
        <w:rPr>
          <w:rStyle w:val="affb"/>
        </w:rPr>
        <w:t xml:space="preserve">определение </w:t>
      </w:r>
      <w:r w:rsidRPr="003C5912">
        <w:rPr>
          <w:rStyle w:val="affb"/>
        </w:rPr>
        <w:t xml:space="preserve">колонизации кишечника условно патогенными </w:t>
      </w:r>
      <w:r>
        <w:rPr>
          <w:rStyle w:val="affb"/>
        </w:rPr>
        <w:t xml:space="preserve">антибиотикорезистентными </w:t>
      </w:r>
      <w:r w:rsidRPr="003C5912">
        <w:rPr>
          <w:rStyle w:val="affb"/>
        </w:rPr>
        <w:t>штаммами бактерий необходимо для подбора адекватной антибактериальной терапии, а также возможной антибактериальной профилактики.</w:t>
      </w:r>
    </w:p>
    <w:p w14:paraId="013C95CE" w14:textId="77777777" w:rsidR="004C5875" w:rsidRPr="00477355" w:rsidRDefault="004C5875" w:rsidP="00477355">
      <w:pPr>
        <w:pStyle w:val="afd"/>
        <w:spacing w:before="100" w:after="100" w:line="360" w:lineRule="auto"/>
        <w:ind w:firstLine="709"/>
        <w:contextualSpacing/>
      </w:pPr>
    </w:p>
    <w:p w14:paraId="5F88310A" w14:textId="09C3AA77" w:rsidR="00477355" w:rsidRDefault="00C00AD2" w:rsidP="00BF4D82">
      <w:pPr>
        <w:pStyle w:val="afd"/>
        <w:numPr>
          <w:ilvl w:val="0"/>
          <w:numId w:val="7"/>
        </w:numPr>
        <w:spacing w:before="100" w:after="100" w:line="360" w:lineRule="auto"/>
        <w:contextualSpacing/>
      </w:pPr>
      <w:r w:rsidRPr="006D3D80">
        <w:rPr>
          <w:b/>
        </w:rPr>
        <w:t>Рекомендуется</w:t>
      </w:r>
      <w:r w:rsidRPr="00D07EC1">
        <w:t xml:space="preserve"> </w:t>
      </w:r>
      <w:r>
        <w:t>всем пациентам</w:t>
      </w:r>
      <w:r w:rsidR="001C766E">
        <w:t xml:space="preserve"> при диагностике АА</w:t>
      </w:r>
      <w:r w:rsidR="00031607" w:rsidRPr="00D07EC1">
        <w:t xml:space="preserve"> проведение коагулограммы (</w:t>
      </w:r>
      <w:r w:rsidR="00567974">
        <w:t>активированное частичное тромбопластиновое время (</w:t>
      </w:r>
      <w:r w:rsidR="00C11619" w:rsidRPr="00D07EC1">
        <w:t>АЧТВ</w:t>
      </w:r>
      <w:r w:rsidR="00567974">
        <w:t>)</w:t>
      </w:r>
      <w:r w:rsidR="00C11619" w:rsidRPr="00D07EC1">
        <w:t>,</w:t>
      </w:r>
      <w:r w:rsidR="00CB2EED">
        <w:t xml:space="preserve"> определение протромбинового (тромбопластинового) времени в крови или плазме</w:t>
      </w:r>
      <w:r w:rsidR="00C11619" w:rsidRPr="00D07EC1">
        <w:t>, фибриноген)</w:t>
      </w:r>
      <w:r w:rsidR="003E4C3E" w:rsidRPr="00D07EC1">
        <w:t xml:space="preserve"> </w:t>
      </w:r>
      <w:r w:rsidR="00C11619" w:rsidRPr="00D07EC1">
        <w:t>с целью оценки наличия коагулогических нарушений</w:t>
      </w:r>
      <w:r w:rsidR="00CB2EED">
        <w:t xml:space="preserve"> для определения тактики сопроводительной терапии</w:t>
      </w:r>
      <w:r w:rsidR="00C11619" w:rsidRPr="00D07EC1">
        <w:t xml:space="preserve"> </w:t>
      </w:r>
      <w:r w:rsidR="007F4687">
        <w:fldChar w:fldCharType="begin" w:fldLock="1"/>
      </w:r>
      <w:r w:rsidR="0008327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7F4687">
        <w:fldChar w:fldCharType="separate"/>
      </w:r>
      <w:r w:rsidR="0012563C" w:rsidRPr="0012563C">
        <w:rPr>
          <w:noProof/>
        </w:rPr>
        <w:t>[12]</w:t>
      </w:r>
      <w:r w:rsidR="007F4687">
        <w:fldChar w:fldCharType="end"/>
      </w:r>
      <w:r w:rsidR="00860F2B">
        <w:t>.</w:t>
      </w:r>
    </w:p>
    <w:p w14:paraId="2000CBDA" w14:textId="3AF8072D" w:rsidR="00C00AD2" w:rsidRPr="00477355" w:rsidRDefault="00C00AD2" w:rsidP="00477355">
      <w:pPr>
        <w:pStyle w:val="afd"/>
        <w:spacing w:before="100" w:after="100" w:line="360" w:lineRule="auto"/>
        <w:ind w:firstLine="709"/>
        <w:contextualSpacing/>
        <w:rPr>
          <w:b/>
        </w:rPr>
      </w:pPr>
      <w:r w:rsidRPr="00477355">
        <w:rPr>
          <w:b/>
        </w:rPr>
        <w:t xml:space="preserve">Уровень убедительности рекомендаций </w:t>
      </w:r>
      <w:r w:rsidR="00906236">
        <w:rPr>
          <w:b/>
        </w:rPr>
        <w:t>С</w:t>
      </w:r>
      <w:r w:rsidRPr="00477355">
        <w:rPr>
          <w:b/>
        </w:rPr>
        <w:t xml:space="preserve"> (уровень достоверности доказательств </w:t>
      </w:r>
      <w:r w:rsidR="00906236">
        <w:rPr>
          <w:b/>
        </w:rPr>
        <w:t>5</w:t>
      </w:r>
      <w:r w:rsidRPr="00477355">
        <w:rPr>
          <w:b/>
        </w:rPr>
        <w:t>)</w:t>
      </w:r>
    </w:p>
    <w:p w14:paraId="2254FF0A" w14:textId="285D3BEB" w:rsidR="00D23199" w:rsidRPr="00D07EC1" w:rsidRDefault="00C00AD2" w:rsidP="00BF4D82">
      <w:pPr>
        <w:pStyle w:val="afd"/>
        <w:numPr>
          <w:ilvl w:val="0"/>
          <w:numId w:val="7"/>
        </w:numPr>
        <w:spacing w:beforeAutospacing="0" w:afterAutospacing="0" w:line="360" w:lineRule="auto"/>
        <w:contextualSpacing/>
      </w:pPr>
      <w:r w:rsidRPr="00022158">
        <w:rPr>
          <w:b/>
        </w:rPr>
        <w:t>Рекомендуется</w:t>
      </w:r>
      <w:r w:rsidRPr="00D07EC1">
        <w:t xml:space="preserve"> </w:t>
      </w:r>
      <w:r>
        <w:t>всем пациентам</w:t>
      </w:r>
      <w:r w:rsidR="001C766E">
        <w:t xml:space="preserve"> с АА</w:t>
      </w:r>
      <w:r w:rsidR="00A82CEF">
        <w:t xml:space="preserve"> о</w:t>
      </w:r>
      <w:r w:rsidR="00022158">
        <w:t xml:space="preserve">пределение основных групп по системе AB0; определение антигена D системы Резус (резус-фактор); определение фенотипа по антигенам C, c, E, e, Cw, K, k и определение антиэритроцитарных антител </w:t>
      </w:r>
      <w:r w:rsidR="00860F2B">
        <w:t xml:space="preserve">с </w:t>
      </w:r>
      <w:r w:rsidR="00C11619" w:rsidRPr="00D07EC1">
        <w:t>целью подбора трансфузионных сред и минимизации трансфузионных реакций</w:t>
      </w:r>
      <w:r w:rsidR="007F4687">
        <w:t xml:space="preserve"> </w:t>
      </w:r>
      <w:r w:rsidR="007F4687">
        <w:fldChar w:fldCharType="begin" w:fldLock="1"/>
      </w:r>
      <w:r w:rsidR="0008327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7F4687">
        <w:fldChar w:fldCharType="separate"/>
      </w:r>
      <w:r w:rsidR="0012563C" w:rsidRPr="0012563C">
        <w:rPr>
          <w:noProof/>
        </w:rPr>
        <w:t>[12]</w:t>
      </w:r>
      <w:r w:rsidR="007F4687">
        <w:fldChar w:fldCharType="end"/>
      </w:r>
      <w:r w:rsidR="00860F2B">
        <w:t>.</w:t>
      </w:r>
    </w:p>
    <w:p w14:paraId="6CA69769" w14:textId="62A4AB68" w:rsidR="00C00AD2" w:rsidRDefault="00C00AD2" w:rsidP="005D3723">
      <w:pPr>
        <w:pStyle w:val="afff1"/>
        <w:ind w:left="0" w:firstLine="709"/>
      </w:pPr>
      <w:r w:rsidRPr="00B104EF">
        <w:t>Уровень</w:t>
      </w:r>
      <w:r>
        <w:t xml:space="preserve"> убедительности рекомендаций </w:t>
      </w:r>
      <w:r w:rsidR="00906236">
        <w:t>С</w:t>
      </w:r>
      <w:r w:rsidRPr="006D3D80">
        <w:t xml:space="preserve"> </w:t>
      </w:r>
      <w:r w:rsidRPr="00B104EF">
        <w:t xml:space="preserve">(уровень </w:t>
      </w:r>
      <w:r>
        <w:t xml:space="preserve">достоверности доказательств </w:t>
      </w:r>
      <w:r w:rsidR="00906236">
        <w:t>5</w:t>
      </w:r>
      <w:r w:rsidRPr="00B104EF">
        <w:t>)</w:t>
      </w:r>
    </w:p>
    <w:p w14:paraId="6E704EDD" w14:textId="11AE1649" w:rsidR="006D0BCB" w:rsidRPr="00A82CEF" w:rsidRDefault="00031607" w:rsidP="00A82CEF">
      <w:pPr>
        <w:pStyle w:val="afff1"/>
        <w:ind w:left="0" w:firstLine="709"/>
        <w:rPr>
          <w:b w:val="0"/>
          <w:i/>
          <w:iCs/>
        </w:rPr>
      </w:pPr>
      <w:r w:rsidRPr="00860F2B">
        <w:rPr>
          <w:rStyle w:val="affa"/>
          <w:b/>
        </w:rPr>
        <w:t>Комментарии:</w:t>
      </w:r>
      <w:r w:rsidRPr="00D07EC1">
        <w:rPr>
          <w:rStyle w:val="affb"/>
        </w:rPr>
        <w:t xml:space="preserve"> </w:t>
      </w:r>
      <w:r w:rsidRPr="00C00AD2">
        <w:rPr>
          <w:rStyle w:val="affb"/>
          <w:b w:val="0"/>
        </w:rPr>
        <w:t xml:space="preserve">Учитывая высокую частоту трансфузий и развивающиеся впоследствии </w:t>
      </w:r>
      <w:r w:rsidR="009F48F8" w:rsidRPr="00C00AD2">
        <w:rPr>
          <w:rStyle w:val="affb"/>
          <w:b w:val="0"/>
        </w:rPr>
        <w:t>сенсибилизаци</w:t>
      </w:r>
      <w:r w:rsidR="009F48F8">
        <w:rPr>
          <w:rStyle w:val="affb"/>
          <w:b w:val="0"/>
        </w:rPr>
        <w:t>ю</w:t>
      </w:r>
      <w:r w:rsidR="009F48F8" w:rsidRPr="00C00AD2">
        <w:rPr>
          <w:rStyle w:val="affb"/>
          <w:b w:val="0"/>
        </w:rPr>
        <w:t xml:space="preserve"> </w:t>
      </w:r>
      <w:r w:rsidRPr="00C00AD2">
        <w:rPr>
          <w:rStyle w:val="affb"/>
          <w:b w:val="0"/>
        </w:rPr>
        <w:t>к донорским компонентам крови и эритроцитарный химеризм</w:t>
      </w:r>
      <w:r w:rsidR="00F61E12">
        <w:rPr>
          <w:rStyle w:val="affb"/>
          <w:b w:val="0"/>
        </w:rPr>
        <w:t>,</w:t>
      </w:r>
      <w:r w:rsidRPr="00C00AD2">
        <w:rPr>
          <w:rStyle w:val="affb"/>
          <w:b w:val="0"/>
        </w:rPr>
        <w:t xml:space="preserve"> проведение трансфузий эритроцитной массы должн</w:t>
      </w:r>
      <w:r w:rsidR="002F5D9E">
        <w:rPr>
          <w:rStyle w:val="affb"/>
          <w:b w:val="0"/>
        </w:rPr>
        <w:t>о</w:t>
      </w:r>
      <w:r w:rsidRPr="00C00AD2">
        <w:rPr>
          <w:rStyle w:val="affb"/>
          <w:b w:val="0"/>
        </w:rPr>
        <w:t xml:space="preserve"> проводит</w:t>
      </w:r>
      <w:r w:rsidR="002F5D9E">
        <w:rPr>
          <w:rStyle w:val="affb"/>
          <w:b w:val="0"/>
        </w:rPr>
        <w:t>ь</w:t>
      </w:r>
      <w:r w:rsidRPr="00C00AD2">
        <w:rPr>
          <w:rStyle w:val="affb"/>
          <w:b w:val="0"/>
        </w:rPr>
        <w:t xml:space="preserve">ся с учетом фенотипа. </w:t>
      </w:r>
    </w:p>
    <w:p w14:paraId="3F2F024E" w14:textId="77777777" w:rsidR="005143EC" w:rsidRDefault="005143EC" w:rsidP="005143EC">
      <w:pPr>
        <w:pStyle w:val="2"/>
      </w:pPr>
      <w:bookmarkStart w:id="20" w:name="_Toc24362717"/>
      <w:bookmarkStart w:id="21" w:name="_Toc67522230"/>
      <w:r w:rsidRPr="00B46390">
        <w:lastRenderedPageBreak/>
        <w:t xml:space="preserve">2.4 </w:t>
      </w:r>
      <w:r>
        <w:t xml:space="preserve">Инструментальные </w:t>
      </w:r>
      <w:r w:rsidRPr="00B46390">
        <w:t>диагно</w:t>
      </w:r>
      <w:r>
        <w:t>стические исследования</w:t>
      </w:r>
      <w:bookmarkEnd w:id="20"/>
      <w:bookmarkEnd w:id="21"/>
    </w:p>
    <w:p w14:paraId="4D851A32" w14:textId="439C12B8" w:rsidR="00477355" w:rsidRPr="00477355" w:rsidRDefault="00C00AD2" w:rsidP="00BF4D82">
      <w:pPr>
        <w:pStyle w:val="afd"/>
        <w:numPr>
          <w:ilvl w:val="0"/>
          <w:numId w:val="7"/>
        </w:numPr>
        <w:spacing w:before="100" w:after="100" w:line="360" w:lineRule="auto"/>
        <w:contextualSpacing/>
        <w:rPr>
          <w:rFonts w:eastAsiaTheme="minorEastAsia"/>
        </w:rPr>
      </w:pPr>
      <w:r w:rsidRPr="006D3D80">
        <w:rPr>
          <w:b/>
        </w:rPr>
        <w:t>Рекомендуется</w:t>
      </w:r>
      <w:r w:rsidRPr="00D07EC1">
        <w:t xml:space="preserve"> </w:t>
      </w:r>
      <w:r>
        <w:t>всем пациентам</w:t>
      </w:r>
      <w:r w:rsidR="00C16400" w:rsidRPr="00C16400">
        <w:t xml:space="preserve"> </w:t>
      </w:r>
      <w:r w:rsidR="00C16400">
        <w:t>при диагностике АА</w:t>
      </w:r>
      <w:r w:rsidR="009B3AD9">
        <w:t xml:space="preserve">, а так же на протяжении всего периода проведения иммуносупрессивной терапии и при появлении показаний, </w:t>
      </w:r>
      <w:r w:rsidR="00C16400">
        <w:t xml:space="preserve">выполнить электрокардиографию </w:t>
      </w:r>
      <w:r w:rsidR="0074382F">
        <w:t>(</w:t>
      </w:r>
      <w:r w:rsidR="002F5D9E">
        <w:t>ЭКГ</w:t>
      </w:r>
      <w:r w:rsidR="0074382F">
        <w:t>)</w:t>
      </w:r>
      <w:r w:rsidR="002F5D9E">
        <w:t xml:space="preserve"> </w:t>
      </w:r>
      <w:r w:rsidR="00C16400" w:rsidRPr="003147A2">
        <w:t xml:space="preserve">для </w:t>
      </w:r>
      <w:r w:rsidR="00C16400">
        <w:t>уточнения функции сердца</w:t>
      </w:r>
      <w:r w:rsidR="00C16400" w:rsidRPr="00C16400">
        <w:t xml:space="preserve"> </w:t>
      </w:r>
      <w:r w:rsidR="00C16400">
        <w:t xml:space="preserve">и выявления возможных противопоказаний для </w:t>
      </w:r>
      <w:r w:rsidR="00FC715E">
        <w:t>специфического лечения</w:t>
      </w:r>
      <w:r w:rsidR="00F60983">
        <w:t xml:space="preserve"> </w:t>
      </w:r>
      <w:r w:rsidR="009B3AD9">
        <w:t>в соответствии</w:t>
      </w:r>
      <w:r w:rsidR="00CE0CDF">
        <w:t xml:space="preserve"> с методическими рекомендациями по сопроводительной терапии</w:t>
      </w:r>
      <w:r w:rsidR="009B3AD9">
        <w:t xml:space="preserve"> </w:t>
      </w:r>
      <w:r w:rsidR="00F60983">
        <w:fldChar w:fldCharType="begin" w:fldLock="1"/>
      </w:r>
      <w:r w:rsidR="0008327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F60983">
        <w:fldChar w:fldCharType="separate"/>
      </w:r>
      <w:r w:rsidR="0012563C" w:rsidRPr="0012563C">
        <w:rPr>
          <w:noProof/>
        </w:rPr>
        <w:t>[12]</w:t>
      </w:r>
      <w:r w:rsidR="00F60983">
        <w:fldChar w:fldCharType="end"/>
      </w:r>
      <w:r w:rsidR="00860F2B">
        <w:t>.</w:t>
      </w:r>
    </w:p>
    <w:p w14:paraId="6880F31C" w14:textId="5C956B28" w:rsidR="00D23199" w:rsidRPr="00477355" w:rsidRDefault="00C00AD2" w:rsidP="00477355">
      <w:pPr>
        <w:pStyle w:val="afd"/>
        <w:spacing w:before="100" w:after="100" w:line="360" w:lineRule="auto"/>
        <w:ind w:firstLine="709"/>
        <w:contextualSpacing/>
        <w:rPr>
          <w:rFonts w:eastAsiaTheme="minorEastAsia"/>
          <w:b/>
        </w:rPr>
      </w:pPr>
      <w:r w:rsidRPr="00477355">
        <w:rPr>
          <w:b/>
        </w:rPr>
        <w:t xml:space="preserve">Уровень убедительности рекомендаций </w:t>
      </w:r>
      <w:r w:rsidR="00C16400">
        <w:rPr>
          <w:b/>
        </w:rPr>
        <w:t>С</w:t>
      </w:r>
      <w:r w:rsidRPr="00477355">
        <w:rPr>
          <w:b/>
        </w:rPr>
        <w:t xml:space="preserve"> (уровень достоверности доказательств </w:t>
      </w:r>
      <w:r w:rsidR="00C16400">
        <w:rPr>
          <w:b/>
        </w:rPr>
        <w:t>5</w:t>
      </w:r>
      <w:r w:rsidRPr="00477355">
        <w:rPr>
          <w:b/>
        </w:rPr>
        <w:t>)</w:t>
      </w:r>
    </w:p>
    <w:p w14:paraId="326E226E" w14:textId="0A5AFBAA" w:rsidR="00477355" w:rsidRDefault="00C00AD2" w:rsidP="00BF4D82">
      <w:pPr>
        <w:pStyle w:val="afd"/>
        <w:numPr>
          <w:ilvl w:val="0"/>
          <w:numId w:val="7"/>
        </w:numPr>
        <w:spacing w:before="100" w:after="100" w:line="360" w:lineRule="auto"/>
        <w:contextualSpacing/>
      </w:pPr>
      <w:r w:rsidRPr="006D3D80">
        <w:rPr>
          <w:b/>
        </w:rPr>
        <w:t>Рекомендуется</w:t>
      </w:r>
      <w:r w:rsidRPr="00D07EC1">
        <w:t xml:space="preserve"> </w:t>
      </w:r>
      <w:r>
        <w:t>всем пациентам</w:t>
      </w:r>
      <w:r w:rsidR="001C766E">
        <w:t xml:space="preserve"> с</w:t>
      </w:r>
      <w:r w:rsidR="00971B82">
        <w:t xml:space="preserve"> АА и/или получающим ИСТ по поводу АА </w:t>
      </w:r>
      <w:r w:rsidR="00CD44CA">
        <w:t>для исключения геморрагического инсульта или инфекционного поражения головного мозга</w:t>
      </w:r>
      <w:r w:rsidR="005E65AF">
        <w:t xml:space="preserve"> –</w:t>
      </w:r>
      <w:r w:rsidR="00031607" w:rsidRPr="00D07EC1">
        <w:t xml:space="preserve"> </w:t>
      </w:r>
      <w:r w:rsidR="00F61E12">
        <w:t>компьютерную томографию (</w:t>
      </w:r>
      <w:r w:rsidR="00031607" w:rsidRPr="00D07EC1">
        <w:t>КТ</w:t>
      </w:r>
      <w:r w:rsidR="00F61E12">
        <w:t>)</w:t>
      </w:r>
      <w:r w:rsidR="00031607" w:rsidRPr="00D07EC1">
        <w:t xml:space="preserve"> головного мозга</w:t>
      </w:r>
      <w:r w:rsidR="00CE0CDF">
        <w:t xml:space="preserve"> в соответствии с методическими рекомендациями по сопроводительной терапии</w:t>
      </w:r>
      <w:r w:rsidR="00C11619" w:rsidRPr="00D07EC1">
        <w:t xml:space="preserve"> </w:t>
      </w:r>
      <w:r w:rsidR="00383CBF">
        <w:fldChar w:fldCharType="begin" w:fldLock="1"/>
      </w:r>
      <w:r w:rsidR="0008327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383CBF">
        <w:fldChar w:fldCharType="separate"/>
      </w:r>
      <w:r w:rsidR="0012563C" w:rsidRPr="0012563C">
        <w:rPr>
          <w:noProof/>
        </w:rPr>
        <w:t>[12]</w:t>
      </w:r>
      <w:r w:rsidR="00383CBF">
        <w:fldChar w:fldCharType="end"/>
      </w:r>
      <w:r w:rsidR="00A01726">
        <w:t>.</w:t>
      </w:r>
    </w:p>
    <w:p w14:paraId="029A442B" w14:textId="29F4123E" w:rsidR="00860F2B" w:rsidRDefault="00860F2B" w:rsidP="00477355">
      <w:pPr>
        <w:pStyle w:val="afd"/>
        <w:spacing w:before="100" w:after="100" w:line="360" w:lineRule="auto"/>
        <w:ind w:firstLine="709"/>
        <w:contextualSpacing/>
        <w:rPr>
          <w:b/>
        </w:rPr>
      </w:pPr>
      <w:r w:rsidRPr="00477355">
        <w:rPr>
          <w:b/>
        </w:rPr>
        <w:t xml:space="preserve">Уровень убедительности рекомендаций </w:t>
      </w:r>
      <w:r w:rsidR="005E65AF">
        <w:rPr>
          <w:b/>
        </w:rPr>
        <w:t>С</w:t>
      </w:r>
      <w:r w:rsidRPr="00477355">
        <w:rPr>
          <w:b/>
        </w:rPr>
        <w:t xml:space="preserve"> (уровень достоверности доказательств </w:t>
      </w:r>
      <w:r w:rsidR="005E65AF">
        <w:rPr>
          <w:b/>
        </w:rPr>
        <w:t>5</w:t>
      </w:r>
      <w:r w:rsidRPr="00477355">
        <w:rPr>
          <w:b/>
        </w:rPr>
        <w:t>)</w:t>
      </w:r>
    </w:p>
    <w:p w14:paraId="2713396A" w14:textId="07E7D130" w:rsidR="00971B82" w:rsidRDefault="00971B82" w:rsidP="00BF4D82">
      <w:pPr>
        <w:pStyle w:val="afd"/>
        <w:numPr>
          <w:ilvl w:val="0"/>
          <w:numId w:val="7"/>
        </w:numPr>
        <w:spacing w:before="100" w:after="100" w:line="360" w:lineRule="auto"/>
        <w:contextualSpacing/>
      </w:pPr>
      <w:r w:rsidRPr="006D3D80">
        <w:rPr>
          <w:b/>
        </w:rPr>
        <w:t>Рекомендуется</w:t>
      </w:r>
      <w:r>
        <w:t xml:space="preserve"> пациентам</w:t>
      </w:r>
      <w:r w:rsidRPr="00D07EC1">
        <w:t xml:space="preserve"> </w:t>
      </w:r>
      <w:r w:rsidR="001C766E">
        <w:t>с</w:t>
      </w:r>
      <w:r w:rsidR="005E65AF">
        <w:t xml:space="preserve"> АА и получающим ИСТ с подозрением на инфекционные осложнения ИСТ</w:t>
      </w:r>
      <w:r w:rsidR="004A5061">
        <w:t xml:space="preserve"> проведение компьютерной томографии</w:t>
      </w:r>
      <w:r w:rsidRPr="00D07EC1">
        <w:t xml:space="preserve"> органов грудной клетки</w:t>
      </w:r>
      <w:r w:rsidR="0070244E" w:rsidRPr="0070244E">
        <w:t xml:space="preserve"> </w:t>
      </w:r>
      <w:r w:rsidR="0070244E">
        <w:fldChar w:fldCharType="begin" w:fldLock="1"/>
      </w:r>
      <w:r w:rsidR="0008327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70244E">
        <w:fldChar w:fldCharType="separate"/>
      </w:r>
      <w:r w:rsidR="0070244E" w:rsidRPr="0012563C">
        <w:rPr>
          <w:noProof/>
        </w:rPr>
        <w:t>[12]</w:t>
      </w:r>
      <w:r w:rsidR="0070244E">
        <w:fldChar w:fldCharType="end"/>
      </w:r>
      <w:r w:rsidR="00A01726">
        <w:t>.</w:t>
      </w:r>
    </w:p>
    <w:p w14:paraId="278E673C" w14:textId="0FB922D2" w:rsidR="00971B82" w:rsidRDefault="00971B82" w:rsidP="00971B82">
      <w:pPr>
        <w:pStyle w:val="afd"/>
        <w:spacing w:before="100" w:after="100" w:line="360" w:lineRule="auto"/>
        <w:ind w:firstLine="709"/>
        <w:contextualSpacing/>
        <w:rPr>
          <w:b/>
        </w:rPr>
      </w:pPr>
      <w:r w:rsidRPr="00477355">
        <w:rPr>
          <w:b/>
        </w:rPr>
        <w:t xml:space="preserve">Уровень убедительности рекомендаций </w:t>
      </w:r>
      <w:r w:rsidR="005E65AF">
        <w:rPr>
          <w:b/>
        </w:rPr>
        <w:t>С</w:t>
      </w:r>
      <w:r w:rsidRPr="00477355">
        <w:rPr>
          <w:b/>
        </w:rPr>
        <w:t xml:space="preserve"> (уровень достоверности доказательств </w:t>
      </w:r>
      <w:r w:rsidR="005E65AF">
        <w:rPr>
          <w:b/>
        </w:rPr>
        <w:t>5</w:t>
      </w:r>
      <w:r w:rsidRPr="00477355">
        <w:rPr>
          <w:b/>
        </w:rPr>
        <w:t>)</w:t>
      </w:r>
    </w:p>
    <w:p w14:paraId="4C798C95" w14:textId="2FCC9281" w:rsidR="004A5061" w:rsidRPr="00477355" w:rsidRDefault="004A5061" w:rsidP="00971B82">
      <w:pPr>
        <w:pStyle w:val="afd"/>
        <w:spacing w:before="100" w:after="100" w:line="360" w:lineRule="auto"/>
        <w:ind w:firstLine="709"/>
        <w:contextualSpacing/>
        <w:rPr>
          <w:b/>
        </w:rPr>
      </w:pPr>
      <w:r w:rsidRPr="00860F2B">
        <w:rPr>
          <w:rStyle w:val="affa"/>
          <w:b w:val="0"/>
        </w:rPr>
        <w:t>Комментарии:</w:t>
      </w:r>
      <w:r w:rsidRPr="00D07EC1">
        <w:rPr>
          <w:rStyle w:val="affb"/>
        </w:rPr>
        <w:t xml:space="preserve"> </w:t>
      </w:r>
      <w:r w:rsidRPr="004A5061">
        <w:rPr>
          <w:rStyle w:val="affb"/>
          <w:bCs/>
        </w:rPr>
        <w:t>с целью определения инфекционных очагов мелкого калибра, не визуализируемых при рентгенографии в соответствии с методическими рекомендациями по сопроводительной терапии</w:t>
      </w:r>
      <w:r w:rsidR="0070244E">
        <w:rPr>
          <w:rStyle w:val="affb"/>
          <w:bCs/>
        </w:rPr>
        <w:t>.</w:t>
      </w:r>
    </w:p>
    <w:p w14:paraId="13BB7150" w14:textId="5532D142" w:rsidR="00477355" w:rsidRDefault="00C00AD2" w:rsidP="00BF4D82">
      <w:pPr>
        <w:pStyle w:val="afd"/>
        <w:numPr>
          <w:ilvl w:val="0"/>
          <w:numId w:val="7"/>
        </w:numPr>
        <w:spacing w:before="100" w:after="100" w:line="360" w:lineRule="auto"/>
        <w:contextualSpacing/>
      </w:pPr>
      <w:r w:rsidRPr="006D3D80">
        <w:rPr>
          <w:b/>
        </w:rPr>
        <w:t>Рекомендуется</w:t>
      </w:r>
      <w:r w:rsidRPr="00D07EC1">
        <w:t xml:space="preserve"> </w:t>
      </w:r>
      <w:r>
        <w:t>всем пациентам</w:t>
      </w:r>
      <w:r w:rsidR="000644C5">
        <w:t>, обследуемым по поводу АА,</w:t>
      </w:r>
      <w:r w:rsidR="00C113A3">
        <w:t xml:space="preserve"> </w:t>
      </w:r>
      <w:r w:rsidR="004A5061">
        <w:t>ультразвукового исследования</w:t>
      </w:r>
      <w:r w:rsidR="004A5061" w:rsidRPr="00D07EC1">
        <w:t xml:space="preserve"> </w:t>
      </w:r>
      <w:r w:rsidR="00031607" w:rsidRPr="00D07EC1">
        <w:t>органов брюшной полости</w:t>
      </w:r>
      <w:r w:rsidR="00C113A3">
        <w:t>,</w:t>
      </w:r>
      <w:r w:rsidR="00D62EDF">
        <w:t xml:space="preserve"> почек, </w:t>
      </w:r>
      <w:r w:rsidR="00C113A3" w:rsidRPr="00D07EC1">
        <w:t xml:space="preserve">органов малого таза у </w:t>
      </w:r>
      <w:r w:rsidR="00C113A3" w:rsidRPr="00D62EDF">
        <w:t>женщин</w:t>
      </w:r>
      <w:r w:rsidR="002B588F" w:rsidRPr="00D62EDF">
        <w:t xml:space="preserve"> старше 18 лет</w:t>
      </w:r>
      <w:r w:rsidR="00C113A3" w:rsidRPr="00D07EC1">
        <w:t xml:space="preserve"> и</w:t>
      </w:r>
      <w:r w:rsidR="004A5061">
        <w:t xml:space="preserve"> ультразвукового исследования</w:t>
      </w:r>
      <w:r w:rsidR="00C113A3">
        <w:t xml:space="preserve"> предстательной железы у мужчин</w:t>
      </w:r>
      <w:r w:rsidR="002B588F">
        <w:t xml:space="preserve"> </w:t>
      </w:r>
      <w:r w:rsidR="002B588F" w:rsidRPr="00D62EDF">
        <w:t>после 40 лет</w:t>
      </w:r>
      <w:r w:rsidR="00C113A3" w:rsidRPr="00D62EDF">
        <w:t>,</w:t>
      </w:r>
      <w:r w:rsidR="00C11619" w:rsidRPr="00D07EC1">
        <w:t xml:space="preserve"> </w:t>
      </w:r>
      <w:r w:rsidR="004A5061">
        <w:t xml:space="preserve">ультразвукового исследования </w:t>
      </w:r>
      <w:r w:rsidR="00C113A3" w:rsidRPr="00C113A3">
        <w:t>периферических и внутрибрюшных лимфоузлов</w:t>
      </w:r>
      <w:r w:rsidR="00C113A3" w:rsidRPr="00D07EC1">
        <w:t xml:space="preserve"> </w:t>
      </w:r>
      <w:r w:rsidR="002848DD">
        <w:t>для выявления сопутствующей патологии</w:t>
      </w:r>
      <w:r w:rsidR="00CE0CDF">
        <w:t xml:space="preserve"> в соответствии с методическими рекомендациями по сопроводительной терапии</w:t>
      </w:r>
      <w:r w:rsidR="002848DD">
        <w:t xml:space="preserve"> </w:t>
      </w:r>
      <w:r w:rsidR="00383CBF">
        <w:fldChar w:fldCharType="begin" w:fldLock="1"/>
      </w:r>
      <w:r w:rsidR="0008327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383CBF">
        <w:fldChar w:fldCharType="separate"/>
      </w:r>
      <w:r w:rsidR="0012563C" w:rsidRPr="0012563C">
        <w:rPr>
          <w:noProof/>
        </w:rPr>
        <w:t>[12]</w:t>
      </w:r>
      <w:r w:rsidR="00383CBF">
        <w:fldChar w:fldCharType="end"/>
      </w:r>
      <w:r w:rsidR="00A01726">
        <w:t>.</w:t>
      </w:r>
    </w:p>
    <w:p w14:paraId="0C12EBD3" w14:textId="0C0AA201" w:rsidR="00477355" w:rsidRDefault="00860F2B" w:rsidP="00477355">
      <w:pPr>
        <w:pStyle w:val="afd"/>
        <w:spacing w:before="100" w:after="100" w:line="360" w:lineRule="auto"/>
        <w:ind w:firstLine="709"/>
        <w:contextualSpacing/>
        <w:rPr>
          <w:b/>
        </w:rPr>
      </w:pPr>
      <w:r w:rsidRPr="00477355">
        <w:rPr>
          <w:b/>
        </w:rPr>
        <w:t xml:space="preserve">Уровень убедительности рекомендаций </w:t>
      </w:r>
      <w:r w:rsidR="000644C5">
        <w:rPr>
          <w:b/>
        </w:rPr>
        <w:t>С</w:t>
      </w:r>
      <w:r w:rsidRPr="00477355">
        <w:rPr>
          <w:b/>
        </w:rPr>
        <w:t xml:space="preserve"> (уровень достоверности доказательств </w:t>
      </w:r>
      <w:r w:rsidR="000644C5">
        <w:rPr>
          <w:b/>
        </w:rPr>
        <w:t>5</w:t>
      </w:r>
      <w:r w:rsidRPr="00477355">
        <w:rPr>
          <w:b/>
        </w:rPr>
        <w:t>)</w:t>
      </w:r>
    </w:p>
    <w:p w14:paraId="11A0D01E" w14:textId="28E70276" w:rsidR="00C113A3" w:rsidRDefault="00C113A3" w:rsidP="000644C5">
      <w:pPr>
        <w:pStyle w:val="afd"/>
        <w:spacing w:beforeAutospacing="0" w:afterAutospacing="0" w:line="360" w:lineRule="auto"/>
        <w:ind w:firstLine="709"/>
        <w:contextualSpacing/>
        <w:rPr>
          <w:i/>
        </w:rPr>
      </w:pPr>
      <w:r w:rsidRPr="00477355">
        <w:rPr>
          <w:b/>
        </w:rPr>
        <w:t>Комментарии:</w:t>
      </w:r>
      <w:r>
        <w:t xml:space="preserve"> </w:t>
      </w:r>
      <w:r w:rsidRPr="00477355">
        <w:rPr>
          <w:i/>
        </w:rPr>
        <w:t>УЗИ органов брюшной полости проводится для оценки размеров печени, селезенки и наличия лимфаденопатии</w:t>
      </w:r>
      <w:r w:rsidR="00293933" w:rsidRPr="00477355">
        <w:rPr>
          <w:i/>
        </w:rPr>
        <w:t>;</w:t>
      </w:r>
      <w:r w:rsidRPr="00477355">
        <w:rPr>
          <w:i/>
        </w:rPr>
        <w:t xml:space="preserve"> малого таза у женщин и предстательной железы у мужчин -</w:t>
      </w:r>
      <w:r w:rsidR="007B2017" w:rsidRPr="00F61E12">
        <w:rPr>
          <w:i/>
        </w:rPr>
        <w:t xml:space="preserve"> </w:t>
      </w:r>
      <w:r w:rsidRPr="00477355">
        <w:rPr>
          <w:i/>
        </w:rPr>
        <w:t>для исключения патологических новообразований</w:t>
      </w:r>
      <w:r w:rsidR="00293933" w:rsidRPr="00477355">
        <w:rPr>
          <w:i/>
        </w:rPr>
        <w:t xml:space="preserve">; </w:t>
      </w:r>
      <w:r w:rsidRPr="00477355">
        <w:rPr>
          <w:i/>
        </w:rPr>
        <w:t xml:space="preserve">периферических и внутрибрюшных лимфоузлов </w:t>
      </w:r>
      <w:r w:rsidR="000644C5">
        <w:rPr>
          <w:i/>
        </w:rPr>
        <w:t xml:space="preserve">– </w:t>
      </w:r>
      <w:r w:rsidRPr="00477355">
        <w:rPr>
          <w:i/>
        </w:rPr>
        <w:t>с целью исключения лимфаденопатии</w:t>
      </w:r>
      <w:r w:rsidR="00293933" w:rsidRPr="00477355">
        <w:rPr>
          <w:i/>
        </w:rPr>
        <w:t>.</w:t>
      </w:r>
    </w:p>
    <w:p w14:paraId="69DEEF13" w14:textId="55170349" w:rsidR="000644C5" w:rsidRDefault="000644C5" w:rsidP="00BF4D82">
      <w:pPr>
        <w:pStyle w:val="afd"/>
        <w:numPr>
          <w:ilvl w:val="0"/>
          <w:numId w:val="7"/>
        </w:numPr>
        <w:spacing w:before="100" w:after="100" w:line="360" w:lineRule="auto"/>
        <w:contextualSpacing/>
      </w:pPr>
      <w:r w:rsidRPr="006D3D80">
        <w:rPr>
          <w:b/>
        </w:rPr>
        <w:lastRenderedPageBreak/>
        <w:t>Рекомендуется</w:t>
      </w:r>
      <w:r w:rsidRPr="00D07EC1">
        <w:t xml:space="preserve"> </w:t>
      </w:r>
      <w:r>
        <w:t>всем пациентам,</w:t>
      </w:r>
      <w:r w:rsidRPr="000644C5">
        <w:t xml:space="preserve"> </w:t>
      </w:r>
      <w:r w:rsidR="00007339">
        <w:t>обследуемым по поводу АА</w:t>
      </w:r>
      <w:r>
        <w:t xml:space="preserve"> </w:t>
      </w:r>
      <w:r w:rsidR="00007339">
        <w:t>эхокардиографию (</w:t>
      </w:r>
      <w:r w:rsidRPr="00293933">
        <w:t>ЭХО-КГ</w:t>
      </w:r>
      <w:r w:rsidR="00007339">
        <w:t>)</w:t>
      </w:r>
      <w:r w:rsidRPr="00D07EC1">
        <w:t xml:space="preserve"> </w:t>
      </w:r>
      <w:r>
        <w:t>для выявления сопутствующей патологии</w:t>
      </w:r>
      <w:r w:rsidR="00CE0CDF">
        <w:t xml:space="preserve"> в соответствии с методическими рекомендациями по сопроводительной терапии</w:t>
      </w:r>
      <w:r>
        <w:t xml:space="preserve"> </w:t>
      </w:r>
      <w:r>
        <w:fldChar w:fldCharType="begin" w:fldLock="1"/>
      </w:r>
      <w:r w:rsidR="0008327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fldChar w:fldCharType="separate"/>
      </w:r>
      <w:r w:rsidR="0012563C" w:rsidRPr="0012563C">
        <w:rPr>
          <w:noProof/>
        </w:rPr>
        <w:t>[12]</w:t>
      </w:r>
      <w:r>
        <w:fldChar w:fldCharType="end"/>
      </w:r>
      <w:r w:rsidR="00007339">
        <w:t>.</w:t>
      </w:r>
    </w:p>
    <w:p w14:paraId="2886AD4E" w14:textId="3A0A11A4" w:rsidR="000644C5" w:rsidRDefault="000644C5" w:rsidP="000644C5">
      <w:pPr>
        <w:pStyle w:val="afd"/>
        <w:spacing w:before="100" w:after="100" w:line="360" w:lineRule="auto"/>
        <w:ind w:firstLine="709"/>
        <w:contextualSpacing/>
        <w:rPr>
          <w:b/>
        </w:rPr>
      </w:pPr>
      <w:r w:rsidRPr="00477355">
        <w:rPr>
          <w:b/>
        </w:rPr>
        <w:t xml:space="preserve">Уровень убедительности рекомендаций </w:t>
      </w:r>
      <w:r>
        <w:rPr>
          <w:b/>
        </w:rPr>
        <w:t>С</w:t>
      </w:r>
      <w:r w:rsidRPr="00477355">
        <w:rPr>
          <w:b/>
        </w:rPr>
        <w:t xml:space="preserve"> (уровень достоверности доказательств </w:t>
      </w:r>
      <w:r>
        <w:rPr>
          <w:b/>
        </w:rPr>
        <w:t>5</w:t>
      </w:r>
      <w:r w:rsidRPr="00477355">
        <w:rPr>
          <w:b/>
        </w:rPr>
        <w:t>)</w:t>
      </w:r>
    </w:p>
    <w:p w14:paraId="7838FDCA" w14:textId="7D73DDEE" w:rsidR="00D23199" w:rsidRPr="00D07EC1" w:rsidRDefault="002848DD" w:rsidP="00D07EC1">
      <w:pPr>
        <w:pStyle w:val="2"/>
        <w:contextualSpacing/>
        <w:rPr>
          <w:rFonts w:eastAsia="Times New Roman"/>
        </w:rPr>
      </w:pPr>
      <w:bookmarkStart w:id="22" w:name="_Toc67522231"/>
      <w:r>
        <w:rPr>
          <w:rFonts w:eastAsia="Times New Roman"/>
        </w:rPr>
        <w:t xml:space="preserve">2.5 </w:t>
      </w:r>
      <w:r w:rsidR="00031607" w:rsidRPr="00D07EC1">
        <w:rPr>
          <w:rFonts w:eastAsia="Times New Roman"/>
        </w:rPr>
        <w:t>Иная диагностика</w:t>
      </w:r>
      <w:bookmarkEnd w:id="22"/>
    </w:p>
    <w:p w14:paraId="40D1EAE1" w14:textId="4224EF0F" w:rsidR="00EF6F94" w:rsidRDefault="00293933" w:rsidP="00BF4D82">
      <w:pPr>
        <w:pStyle w:val="afd"/>
        <w:numPr>
          <w:ilvl w:val="0"/>
          <w:numId w:val="7"/>
        </w:numPr>
        <w:spacing w:before="100" w:after="100" w:line="360" w:lineRule="auto"/>
        <w:contextualSpacing/>
      </w:pPr>
      <w:r w:rsidRPr="00713176">
        <w:rPr>
          <w:b/>
        </w:rPr>
        <w:t>Рекомендуется</w:t>
      </w:r>
      <w:r w:rsidRPr="00713176">
        <w:t xml:space="preserve"> всем пациентам</w:t>
      </w:r>
      <w:r w:rsidR="002B588F">
        <w:t xml:space="preserve"> старше 18 лет</w:t>
      </w:r>
      <w:r w:rsidR="000644C5">
        <w:t xml:space="preserve"> при</w:t>
      </w:r>
      <w:r w:rsidR="009D32E3">
        <w:t xml:space="preserve"> </w:t>
      </w:r>
      <w:r w:rsidR="000644C5">
        <w:t>диагностике</w:t>
      </w:r>
      <w:r w:rsidR="009D32E3">
        <w:t xml:space="preserve"> АА: определение содержания </w:t>
      </w:r>
      <w:r w:rsidR="00007339">
        <w:t xml:space="preserve">в крови </w:t>
      </w:r>
      <w:r w:rsidR="009D32E3">
        <w:t xml:space="preserve">антител к кардиолипину, антител к </w:t>
      </w:r>
      <w:r w:rsidR="00031607" w:rsidRPr="00713176">
        <w:t xml:space="preserve"> </w:t>
      </w:r>
      <w:r w:rsidR="009D32E3" w:rsidRPr="00713176">
        <w:t>бета-2-гликопротеину</w:t>
      </w:r>
      <w:r w:rsidR="00A82CEF">
        <w:t xml:space="preserve"> в крови</w:t>
      </w:r>
      <w:r w:rsidR="00022158">
        <w:t>; исследование уровня антител фосфолипидов в крови (</w:t>
      </w:r>
      <w:r w:rsidR="009D32E3" w:rsidRPr="00713176">
        <w:t>волчаночн</w:t>
      </w:r>
      <w:r w:rsidR="00022158">
        <w:t>ый</w:t>
      </w:r>
      <w:r w:rsidR="009D32E3" w:rsidRPr="00713176">
        <w:t xml:space="preserve"> антикоагулянт</w:t>
      </w:r>
      <w:r w:rsidR="00022158">
        <w:t>);</w:t>
      </w:r>
      <w:r w:rsidR="00F367D4">
        <w:t xml:space="preserve"> определение содержания антинукеарных антител, </w:t>
      </w:r>
      <w:r w:rsidR="009D32E3" w:rsidRPr="00713176">
        <w:t xml:space="preserve">антител к двуспиральной (нативной) ДНК </w:t>
      </w:r>
      <w:r w:rsidR="009D32E3">
        <w:t xml:space="preserve">для </w:t>
      </w:r>
      <w:r w:rsidR="00031607" w:rsidRPr="00713176">
        <w:t>искл</w:t>
      </w:r>
      <w:r w:rsidR="000C6BDD">
        <w:t>ючени</w:t>
      </w:r>
      <w:r w:rsidR="009D32E3">
        <w:t>я</w:t>
      </w:r>
      <w:r w:rsidR="000C6BDD">
        <w:t xml:space="preserve"> системных коллагенозов</w:t>
      </w:r>
      <w:r w:rsidR="00031607" w:rsidRPr="00713176">
        <w:t> </w:t>
      </w:r>
      <w:r w:rsidR="00383CBF">
        <w:fldChar w:fldCharType="begin" w:fldLock="1"/>
      </w:r>
      <w:r w:rsidR="003115E7">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mendeley":{"formattedCitation":"[13]","plainTextFormattedCitation":"[13]","previouslyFormattedCitation":"[13]"},"properties":{"noteIndex":0},"schema":"https://github.com/citation-style-language/schema/raw/master/csl-citation.json"}</w:instrText>
      </w:r>
      <w:r w:rsidR="00383CBF">
        <w:fldChar w:fldCharType="separate"/>
      </w:r>
      <w:r w:rsidR="00083277" w:rsidRPr="00083277">
        <w:rPr>
          <w:noProof/>
        </w:rPr>
        <w:t>[13]</w:t>
      </w:r>
      <w:r w:rsidR="00383CBF">
        <w:fldChar w:fldCharType="end"/>
      </w:r>
      <w:r w:rsidR="00A01726">
        <w:t>.</w:t>
      </w:r>
    </w:p>
    <w:p w14:paraId="6B41156C" w14:textId="57E7294D" w:rsidR="00713176" w:rsidRPr="00EF6F94" w:rsidRDefault="00713176" w:rsidP="00EF6F94">
      <w:pPr>
        <w:pStyle w:val="afd"/>
        <w:spacing w:before="100" w:after="100" w:line="360" w:lineRule="auto"/>
        <w:ind w:firstLine="709"/>
        <w:contextualSpacing/>
        <w:rPr>
          <w:rFonts w:eastAsiaTheme="minorEastAsia"/>
          <w:b/>
        </w:rPr>
      </w:pPr>
      <w:r w:rsidRPr="00EF6F94">
        <w:rPr>
          <w:b/>
        </w:rPr>
        <w:t xml:space="preserve">Уровень убедительности рекомендаций </w:t>
      </w:r>
      <w:r w:rsidR="00832BA2">
        <w:rPr>
          <w:b/>
        </w:rPr>
        <w:t>С</w:t>
      </w:r>
      <w:r w:rsidRPr="00EF6F94">
        <w:rPr>
          <w:b/>
        </w:rPr>
        <w:t xml:space="preserve"> (уровень достоверности доказательств </w:t>
      </w:r>
      <w:r w:rsidR="00832BA2">
        <w:rPr>
          <w:b/>
        </w:rPr>
        <w:t>5</w:t>
      </w:r>
      <w:r w:rsidRPr="00EF6F94">
        <w:rPr>
          <w:b/>
        </w:rPr>
        <w:t>)</w:t>
      </w:r>
    </w:p>
    <w:p w14:paraId="3ABB0FDD" w14:textId="39816BCB" w:rsidR="00EF6F94" w:rsidRDefault="00293933" w:rsidP="00BF4D82">
      <w:pPr>
        <w:pStyle w:val="afd"/>
        <w:numPr>
          <w:ilvl w:val="0"/>
          <w:numId w:val="11"/>
        </w:numPr>
        <w:spacing w:before="100" w:after="100" w:line="360" w:lineRule="auto"/>
        <w:contextualSpacing/>
      </w:pPr>
      <w:r w:rsidRPr="00713176">
        <w:rPr>
          <w:b/>
        </w:rPr>
        <w:t>Рекомендуется</w:t>
      </w:r>
      <w:r w:rsidRPr="00713176">
        <w:t xml:space="preserve"> всем пациентам</w:t>
      </w:r>
      <w:r w:rsidR="00623763" w:rsidRPr="00623763">
        <w:t xml:space="preserve"> </w:t>
      </w:r>
      <w:r w:rsidR="00623763">
        <w:t>с рефрактерным к ИСТ течением АА:</w:t>
      </w:r>
      <w:r w:rsidR="00CA3186">
        <w:t xml:space="preserve"> исследование клеток крови для определения кариотипа методом дифференциальной окраски хромосом при различных генетических нарушениях</w:t>
      </w:r>
      <w:r w:rsidR="00031607" w:rsidRPr="00713176">
        <w:t xml:space="preserve"> с целью исключения</w:t>
      </w:r>
      <w:r w:rsidR="00383CBF" w:rsidRPr="00383CBF">
        <w:t xml:space="preserve"> </w:t>
      </w:r>
      <w:r w:rsidR="00383CBF">
        <w:t>генетических аномалий, характерных для</w:t>
      </w:r>
      <w:r w:rsidR="00031607" w:rsidRPr="00713176">
        <w:t xml:space="preserve"> конституциональных форм АА </w:t>
      </w:r>
      <w:r w:rsidR="00383CBF">
        <w:fldChar w:fldCharType="begin" w:fldLock="1"/>
      </w:r>
      <w:r w:rsidR="003115E7">
        <w:instrText xml:space="preserve">ADDIN CSL_CITATION {"citationItems":[{"id":"ITEM-1","itemData":{"DOI":"10.1182/blood-2013-05-498279","ISSN":"1528-0020","PMID":"24052548","abstract":"Refractory aplastic anemia (AA) is defined as a lack of response to first-line immunosuppressive therapy (IST) with antithymocyte globulin and cyclosporin and is manifested as persistence of severe cytopenias at 6 months after IST. Although supportive care is critical for AA patients, it is of paramount importance for refractory disease in view of the longer duration of pancytopenia and susceptibility to life-threatening infections due to IST. Improvements in supportive care have largely contributed to better outcome over the past 2 decades, with 5-year overall survival reaching 57% during 2002 to 2008 for patients with AA unresponsive to initial IST. Exclusion of hypocellular myelodysplastic syndrome and constitutional BM failure masquerading as apparent idiopathic AA should be done in conjunction with centers of excellence. Hematopoietic stem cell transplantation is indicated if refractory AA patients are fit and have a suitably matched donor, either a sibling (&gt;40-50 years) or unrelated donor. Patients lacking a fully matched donor should be considered for a second course of antithymocyte globulin plus cyclosporin, although response in the refractory setting is only </w:instrText>
      </w:r>
      <w:r w:rsidR="003115E7">
        <w:rPr>
          <w:rFonts w:ascii="Cambria Math" w:hAnsi="Cambria Math" w:cs="Cambria Math"/>
        </w:rPr>
        <w:instrText>∼</w:instrText>
      </w:r>
      <w:r w:rsidR="003115E7">
        <w:instrText>30% to 35%. Response may also occur with alemtuzumab or the thrombopoietin mimetic eltrombopag in refractory AA. The emerging data for alternate donor (cord or haploidentical) transplantation in AA has provided additional therapeutic choices to consider in refractory disease.","author":[{"dropping-particle":"","family":"Marsh","given":"Judith C W","non-dropping-particle":"","parse-names":false,"suffix":""},{"dropping-particle":"","family":"Kulasekararaj","given":"Austin G","non-dropping-particle":"","parse-names":false,"suffix":""}],"container-title":"Blood","id":"ITEM-1","issue":"22","issued":{"date-parts":[["2013","11"]]},"page":"3561-7","title":"Management of the refractory aplastic anemia patient: what are the options?","type":"article-journal","volume":"122"},"uris":["http://www.mendeley.com/documents/?uuid=35cc91e8-37b8-4c6d-8212-2a10dba01c8a","http://www.mendeley.com/documents/?uuid=70e24b08-e61e-4d29-a8b6-70a2cccbf452"]}],"mendeley":{"formattedCitation":"[2]","plainTextFormattedCitation":"[2]","previouslyFormattedCitation":"[2]"},"properties":{"noteIndex":0},"schema":"https://github.com/citation-style-language/schema/raw/master/csl-citation.json"}</w:instrText>
      </w:r>
      <w:r w:rsidR="00383CBF">
        <w:fldChar w:fldCharType="separate"/>
      </w:r>
      <w:r w:rsidR="00083277" w:rsidRPr="00083277">
        <w:rPr>
          <w:noProof/>
        </w:rPr>
        <w:t>[2]</w:t>
      </w:r>
      <w:r w:rsidR="00383CBF">
        <w:fldChar w:fldCharType="end"/>
      </w:r>
      <w:r w:rsidR="00A01726">
        <w:t>.</w:t>
      </w:r>
    </w:p>
    <w:p w14:paraId="1A5E0183" w14:textId="553D8178" w:rsidR="00293933" w:rsidRPr="00477355" w:rsidRDefault="00293933" w:rsidP="00477355">
      <w:pPr>
        <w:pStyle w:val="afd"/>
        <w:spacing w:before="100" w:after="100" w:line="360" w:lineRule="auto"/>
        <w:ind w:firstLine="709"/>
        <w:contextualSpacing/>
        <w:rPr>
          <w:b/>
        </w:rPr>
      </w:pPr>
      <w:r w:rsidRPr="00477355">
        <w:rPr>
          <w:b/>
        </w:rPr>
        <w:t xml:space="preserve">Уровень убедительности рекомендаций </w:t>
      </w:r>
      <w:r w:rsidR="00623763">
        <w:rPr>
          <w:b/>
          <w:lang w:val="en-US"/>
        </w:rPr>
        <w:t>C</w:t>
      </w:r>
      <w:r w:rsidRPr="00477355">
        <w:rPr>
          <w:b/>
        </w:rPr>
        <w:t xml:space="preserve"> (уровень достоверности доказательств </w:t>
      </w:r>
      <w:r w:rsidR="00623763" w:rsidRPr="00623763">
        <w:rPr>
          <w:b/>
        </w:rPr>
        <w:t>5</w:t>
      </w:r>
      <w:r w:rsidRPr="00477355">
        <w:rPr>
          <w:b/>
        </w:rPr>
        <w:t>)</w:t>
      </w:r>
    </w:p>
    <w:p w14:paraId="52785EE1" w14:textId="579E62FA" w:rsidR="00EF6F94" w:rsidRPr="00D62EDF" w:rsidRDefault="00F42A9A" w:rsidP="00BF4D82">
      <w:pPr>
        <w:pStyle w:val="afd"/>
        <w:numPr>
          <w:ilvl w:val="0"/>
          <w:numId w:val="11"/>
        </w:numPr>
        <w:spacing w:before="100" w:after="100" w:line="360" w:lineRule="auto"/>
        <w:contextualSpacing/>
      </w:pPr>
      <w:r w:rsidRPr="00713176">
        <w:rPr>
          <w:b/>
        </w:rPr>
        <w:t>Рекомендуется</w:t>
      </w:r>
      <w:r w:rsidRPr="00713176">
        <w:t xml:space="preserve"> </w:t>
      </w:r>
      <w:r w:rsidR="00383CBF">
        <w:t xml:space="preserve">всем </w:t>
      </w:r>
      <w:r w:rsidR="00713176">
        <w:t>пациентам</w:t>
      </w:r>
      <w:r w:rsidR="00463493">
        <w:t xml:space="preserve"> при </w:t>
      </w:r>
      <w:r w:rsidR="00D62EDF">
        <w:t>подозрении на конституциональную АА:</w:t>
      </w:r>
      <w:r w:rsidR="00713176">
        <w:t xml:space="preserve"> </w:t>
      </w:r>
      <w:r w:rsidRPr="00713176">
        <w:t>проведение теста на ломкость</w:t>
      </w:r>
      <w:r w:rsidR="008C20F4" w:rsidRPr="00713176">
        <w:t xml:space="preserve"> </w:t>
      </w:r>
      <w:r w:rsidRPr="00713176">
        <w:t>хромосом с ис</w:t>
      </w:r>
      <w:r w:rsidR="008C20F4" w:rsidRPr="00713176">
        <w:t>п</w:t>
      </w:r>
      <w:r w:rsidRPr="00713176">
        <w:t xml:space="preserve">ользованием </w:t>
      </w:r>
      <w:r w:rsidR="00732AB7" w:rsidRPr="00D62EDF">
        <w:t xml:space="preserve">бифункционального </w:t>
      </w:r>
      <w:r w:rsidRPr="00D62EDF">
        <w:t>алкилирующего</w:t>
      </w:r>
      <w:r w:rsidRPr="00713176">
        <w:t xml:space="preserve"> агента</w:t>
      </w:r>
      <w:r w:rsidR="00732AB7">
        <w:t xml:space="preserve"> (диэпоксибутан)</w:t>
      </w:r>
      <w:r w:rsidRPr="00713176">
        <w:t xml:space="preserve"> для исключения </w:t>
      </w:r>
      <w:r w:rsidR="00732AB7">
        <w:t xml:space="preserve">анемии </w:t>
      </w:r>
      <w:r w:rsidR="00732AB7" w:rsidRPr="00D62EDF">
        <w:t xml:space="preserve">Фанкони и секвенирования панели генов анемии Фанкони и врожденного дискератоза </w:t>
      </w:r>
      <w:r w:rsidR="0087625C" w:rsidRPr="00D62EDF">
        <w:fldChar w:fldCharType="begin" w:fldLock="1"/>
      </w:r>
      <w:r w:rsidR="003115E7">
        <w:instrText>ADDIN CSL_CITATION {"citationItems":[{"id":"ITEM-1","itemData":{"DOI":"10.1182/asheducation-2007.1.29","ISSN":"15204391","abstract":"The inherited bone marrow failure syndromes are traditionally considered to be pediatric disorders, but in fact, many of the patients now are diagnosed as adults, and many diagnosed as children now live to reach adulthood. The most common of these rare disorders include Fanconi anemia, dyskeratosis congenita, Shwachman-Diamond syndrome and amegakaryocytic thrombocytopenia, which often develop aplastic anemia and may evolve into myelodysplastic syndrome and acute myeloid leukemia; and Diamond-Blackfan anemia, severe congenital neutropenia, and thrombocytopenia absent radii, single cytopenias that rarely if ever become aplastic but have increased risks of leukemia. In addition, the first three syndromes have high risks of solid tumors: head and neck and anogenital squamous cell carcinoma in Fanconi anemia and dyskeratosis congenita, and osteogenic sarcoma in Diamond-Blackfan anemia. Diagnosis of a marrow failure syndrome requires recognition of characteristic physical abnormalities when present, and consideration of these disorders in the differential diagnosis of patients who present with \"acquired\" aplastic anemia, myelodysplastic syndrome, acute myeloid leukemia, or atypically early cancers of the types seen in the syndromes. Ultimate proof will come from identification of pathogenic mutations in genes associated with each syndrome.","author":[{"dropping-particle":"","family":"Alter","given":"Blanche P","non-dropping-particle":"","parse-names":false,"suffix":""}],"container-title":"Hematology","id":"ITEM-1","issued":{"date-parts":[["2007"]]},"page":"29-39","title":"Diagnosis, genetics, and management of inherited bone marrow failure syndromes.","type":"article"},"uris":["http://www.mendeley.com/documents/?uuid=222d3de4-b5d9-4cf6-b783-798b1059bf62","http://www.mendeley.com/documents/?uuid=c6b578cb-2844-4e0e-82d5-c421ab5c649d"]},{"id":"ITEM-2","itemData":{"DOI":"10.1111/bjh.13853","ISSN":"1365-2141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haematology","id":"ITEM-2","issue":"2","issued":{"date-parts":[["2016","1"]]},"language":"eng","page":"187-207","publisher-place":"England","title":"Guidelines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mendeley":{"formattedCitation":"[13,34]","plainTextFormattedCitation":"[13,34]","previouslyFormattedCitation":"[13,34]"},"properties":{"noteIndex":0},"schema":"https://github.com/citation-style-language/schema/raw/master/csl-citation.json"}</w:instrText>
      </w:r>
      <w:r w:rsidR="0087625C" w:rsidRPr="00D62EDF">
        <w:fldChar w:fldCharType="separate"/>
      </w:r>
      <w:r w:rsidR="00083277" w:rsidRPr="00083277">
        <w:rPr>
          <w:noProof/>
        </w:rPr>
        <w:t>[13,34]</w:t>
      </w:r>
      <w:r w:rsidR="0087625C" w:rsidRPr="00D62EDF">
        <w:fldChar w:fldCharType="end"/>
      </w:r>
      <w:r w:rsidR="00713176" w:rsidRPr="00D62EDF">
        <w:t>.</w:t>
      </w:r>
    </w:p>
    <w:p w14:paraId="2DB7EE82" w14:textId="1A4D2C8D" w:rsidR="00293933" w:rsidRPr="00EF6F94" w:rsidRDefault="00293933" w:rsidP="00477355">
      <w:pPr>
        <w:pStyle w:val="afd"/>
        <w:spacing w:before="100" w:after="100" w:line="360" w:lineRule="auto"/>
        <w:ind w:firstLine="709"/>
        <w:contextualSpacing/>
        <w:rPr>
          <w:b/>
        </w:rPr>
      </w:pPr>
      <w:r w:rsidRPr="00EF6F94">
        <w:rPr>
          <w:b/>
        </w:rPr>
        <w:t xml:space="preserve">Уровень убедительности рекомендаций </w:t>
      </w:r>
      <w:r w:rsidR="0087625C">
        <w:rPr>
          <w:b/>
        </w:rPr>
        <w:t>С</w:t>
      </w:r>
      <w:r w:rsidRPr="00EF6F94">
        <w:rPr>
          <w:b/>
        </w:rPr>
        <w:t xml:space="preserve"> (уровень достоверности доказательств </w:t>
      </w:r>
      <w:r w:rsidR="0087625C">
        <w:rPr>
          <w:b/>
        </w:rPr>
        <w:t>5</w:t>
      </w:r>
      <w:r w:rsidRPr="00EF6F94">
        <w:rPr>
          <w:b/>
        </w:rPr>
        <w:t>)</w:t>
      </w:r>
    </w:p>
    <w:p w14:paraId="15E7D729" w14:textId="395919FB" w:rsidR="00EF6F94" w:rsidRDefault="00031607" w:rsidP="00BF4D82">
      <w:pPr>
        <w:pStyle w:val="afd"/>
        <w:numPr>
          <w:ilvl w:val="0"/>
          <w:numId w:val="7"/>
        </w:numPr>
        <w:spacing w:before="100" w:after="100" w:line="360" w:lineRule="auto"/>
        <w:contextualSpacing/>
      </w:pPr>
      <w:r w:rsidRPr="00713176">
        <w:rPr>
          <w:rStyle w:val="affa"/>
        </w:rPr>
        <w:t>Рекомендуется</w:t>
      </w:r>
      <w:r w:rsidRPr="00713176">
        <w:t xml:space="preserve"> </w:t>
      </w:r>
      <w:r w:rsidR="005B38CF">
        <w:t xml:space="preserve">всем пациентам </w:t>
      </w:r>
      <w:r w:rsidR="0087625C">
        <w:t>при диагностике АА</w:t>
      </w:r>
      <w:r w:rsidR="00874032">
        <w:t xml:space="preserve">, </w:t>
      </w:r>
      <w:r w:rsidR="00D62EDF">
        <w:t xml:space="preserve">констатации рефрактерности АА </w:t>
      </w:r>
      <w:r w:rsidR="002D32CA" w:rsidRPr="002D32CA">
        <w:t xml:space="preserve">а также их сиблингам </w:t>
      </w:r>
      <w:r w:rsidR="00DD3CB3">
        <w:t>м</w:t>
      </w:r>
      <w:r w:rsidR="00DD3CB3" w:rsidRPr="00DD3CB3">
        <w:t xml:space="preserve">олекулярно-генетическое исследование гистосовместимости (HLA </w:t>
      </w:r>
      <w:r w:rsidR="001E0CF7">
        <w:t>высок</w:t>
      </w:r>
      <w:r w:rsidR="00DD3CB3" w:rsidRPr="00DD3CB3">
        <w:t xml:space="preserve">ого разрешения при помощи секвенирования) для подбора родственного донора костного мозга </w:t>
      </w:r>
      <w:r w:rsidR="00D62EDF">
        <w:t>и</w:t>
      </w:r>
      <w:r w:rsidR="00874032" w:rsidRPr="00874032">
        <w:t xml:space="preserve"> консультаци</w:t>
      </w:r>
      <w:r w:rsidR="00D62EDF">
        <w:t>я</w:t>
      </w:r>
      <w:r w:rsidR="00874032" w:rsidRPr="00874032">
        <w:t xml:space="preserve"> в трансплантационном центре </w:t>
      </w:r>
      <w:r w:rsidRPr="00713176">
        <w:t xml:space="preserve">с целью </w:t>
      </w:r>
      <w:r w:rsidR="005B38CF">
        <w:t xml:space="preserve">выбора метода лечения </w:t>
      </w:r>
      <w:r w:rsidR="005B38CF">
        <w:fldChar w:fldCharType="begin" w:fldLock="1"/>
      </w:r>
      <w:r w:rsidR="00B97284">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mendeley":{"formattedCitation":"[13]","plainTextFormattedCitation":"[13]","previouslyFormattedCitation":"[13]"},"properties":{"noteIndex":0},"schema":"https://github.com/citation-style-language/schema/raw/master/csl-citation.json"}</w:instrText>
      </w:r>
      <w:r w:rsidR="005B38CF">
        <w:fldChar w:fldCharType="separate"/>
      </w:r>
      <w:r w:rsidR="0012563C" w:rsidRPr="0012563C">
        <w:rPr>
          <w:noProof/>
        </w:rPr>
        <w:t>[13]</w:t>
      </w:r>
      <w:r w:rsidR="005B38CF">
        <w:fldChar w:fldCharType="end"/>
      </w:r>
      <w:r w:rsidR="00A01726">
        <w:t>.</w:t>
      </w:r>
    </w:p>
    <w:p w14:paraId="0445B57D" w14:textId="6A45AF15" w:rsidR="00293933" w:rsidRPr="00EF6F94" w:rsidRDefault="00293933" w:rsidP="00EF6F94">
      <w:pPr>
        <w:pStyle w:val="afd"/>
        <w:spacing w:before="100" w:after="100" w:line="360" w:lineRule="auto"/>
        <w:ind w:firstLine="709"/>
        <w:contextualSpacing/>
        <w:rPr>
          <w:b/>
        </w:rPr>
      </w:pPr>
      <w:r w:rsidRPr="00EF6F94">
        <w:rPr>
          <w:b/>
        </w:rPr>
        <w:t xml:space="preserve">Уровень убедительности рекомендаций </w:t>
      </w:r>
      <w:r w:rsidR="004A5061">
        <w:rPr>
          <w:b/>
        </w:rPr>
        <w:t>В</w:t>
      </w:r>
      <w:r w:rsidR="004A5061" w:rsidRPr="00EF6F94">
        <w:rPr>
          <w:b/>
        </w:rPr>
        <w:t xml:space="preserve"> </w:t>
      </w:r>
      <w:r w:rsidRPr="00EF6F94">
        <w:rPr>
          <w:b/>
        </w:rPr>
        <w:t xml:space="preserve">(уровень достоверности доказательств </w:t>
      </w:r>
      <w:r w:rsidR="004A5061">
        <w:rPr>
          <w:b/>
        </w:rPr>
        <w:t>3</w:t>
      </w:r>
      <w:r w:rsidRPr="00EF6F94">
        <w:rPr>
          <w:b/>
        </w:rPr>
        <w:t>)</w:t>
      </w:r>
    </w:p>
    <w:p w14:paraId="2E7D03DB" w14:textId="0B28C583" w:rsidR="00455DE9" w:rsidRDefault="00455DE9" w:rsidP="00BF4D82">
      <w:pPr>
        <w:pStyle w:val="afd"/>
        <w:numPr>
          <w:ilvl w:val="0"/>
          <w:numId w:val="11"/>
        </w:numPr>
        <w:spacing w:before="100" w:after="100" w:line="360" w:lineRule="auto"/>
        <w:contextualSpacing/>
      </w:pPr>
      <w:r w:rsidRPr="00713176">
        <w:rPr>
          <w:b/>
        </w:rPr>
        <w:lastRenderedPageBreak/>
        <w:t>Рекомендуется</w:t>
      </w:r>
      <w:r>
        <w:t xml:space="preserve"> </w:t>
      </w:r>
      <w:r w:rsidRPr="00713176">
        <w:t xml:space="preserve"> пациентам </w:t>
      </w:r>
      <w:r>
        <w:t xml:space="preserve">при диагностике АА при наличии </w:t>
      </w:r>
      <w:r w:rsidR="001B5E55" w:rsidRPr="00D62EDF">
        <w:t>клинических и/или лабораторных показаний</w:t>
      </w:r>
      <w:r w:rsidR="001B5E55">
        <w:t xml:space="preserve"> </w:t>
      </w:r>
      <w:r w:rsidR="001C766E">
        <w:t xml:space="preserve">консультация </w:t>
      </w:r>
      <w:r w:rsidR="00A0257E">
        <w:t>врача-</w:t>
      </w:r>
      <w:r w:rsidR="001C766E">
        <w:t xml:space="preserve">ревматолога </w:t>
      </w:r>
      <w:r w:rsidRPr="00713176">
        <w:t>для дифференциальной диагностики с системными коллагенозами</w:t>
      </w:r>
      <w:r>
        <w:t xml:space="preserve"> </w:t>
      </w:r>
      <w:r>
        <w:fldChar w:fldCharType="begin" w:fldLock="1"/>
      </w:r>
      <w:r w:rsidR="0008327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fldChar w:fldCharType="separate"/>
      </w:r>
      <w:r w:rsidR="0012563C" w:rsidRPr="0012563C">
        <w:rPr>
          <w:noProof/>
        </w:rPr>
        <w:t>[12]</w:t>
      </w:r>
      <w:r>
        <w:fldChar w:fldCharType="end"/>
      </w:r>
      <w:r w:rsidR="00A01726">
        <w:t>.</w:t>
      </w:r>
    </w:p>
    <w:p w14:paraId="0D09C313" w14:textId="570C1C53" w:rsidR="00455DE9" w:rsidRDefault="00455DE9" w:rsidP="00455DE9">
      <w:pPr>
        <w:pStyle w:val="afd"/>
        <w:spacing w:before="100" w:after="100" w:line="360" w:lineRule="auto"/>
        <w:ind w:firstLine="709"/>
        <w:contextualSpacing/>
        <w:rPr>
          <w:b/>
        </w:rPr>
      </w:pPr>
      <w:r w:rsidRPr="00EF6F94">
        <w:rPr>
          <w:b/>
        </w:rPr>
        <w:t xml:space="preserve">Уровень убедительности рекомендаций </w:t>
      </w:r>
      <w:r>
        <w:rPr>
          <w:b/>
        </w:rPr>
        <w:t>С</w:t>
      </w:r>
      <w:r w:rsidRPr="00EF6F94">
        <w:rPr>
          <w:b/>
        </w:rPr>
        <w:t xml:space="preserve"> (уровень достоверности доказательств </w:t>
      </w:r>
      <w:r>
        <w:rPr>
          <w:b/>
        </w:rPr>
        <w:t>5</w:t>
      </w:r>
      <w:r w:rsidRPr="00EF6F94">
        <w:rPr>
          <w:b/>
        </w:rPr>
        <w:t>)</w:t>
      </w:r>
    </w:p>
    <w:p w14:paraId="7323E890" w14:textId="5A0B2706" w:rsidR="0087625C" w:rsidRDefault="0087625C" w:rsidP="00BF4D82">
      <w:pPr>
        <w:pStyle w:val="afd"/>
        <w:numPr>
          <w:ilvl w:val="0"/>
          <w:numId w:val="11"/>
        </w:numPr>
        <w:spacing w:before="100" w:after="100" w:line="360" w:lineRule="auto"/>
        <w:contextualSpacing/>
      </w:pPr>
      <w:r w:rsidRPr="00713176">
        <w:rPr>
          <w:b/>
        </w:rPr>
        <w:t>Рекомендуется</w:t>
      </w:r>
      <w:r w:rsidRPr="00713176">
        <w:t xml:space="preserve"> пациентам при</w:t>
      </w:r>
      <w:r w:rsidR="00455DE9">
        <w:t xml:space="preserve"> диагностике АА </w:t>
      </w:r>
      <w:r w:rsidR="00455DE9" w:rsidRPr="00713176">
        <w:t xml:space="preserve">при наличии геморрагического синдрома </w:t>
      </w:r>
      <w:r w:rsidRPr="00713176">
        <w:t>консультаци</w:t>
      </w:r>
      <w:r w:rsidR="00455DE9">
        <w:t>я</w:t>
      </w:r>
      <w:r w:rsidRPr="00713176">
        <w:t xml:space="preserve"> </w:t>
      </w:r>
      <w:r w:rsidR="00A0257E">
        <w:t>врача-</w:t>
      </w:r>
      <w:r w:rsidRPr="00713176">
        <w:t xml:space="preserve">офтальмолога </w:t>
      </w:r>
      <w:r>
        <w:t>для диагностики сопутствующей патологии</w:t>
      </w:r>
      <w:r w:rsidRPr="00713176">
        <w:t xml:space="preserve"> </w:t>
      </w:r>
      <w:r>
        <w:fldChar w:fldCharType="begin" w:fldLock="1"/>
      </w:r>
      <w:r w:rsidR="00083277">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fldChar w:fldCharType="separate"/>
      </w:r>
      <w:r w:rsidR="0012563C" w:rsidRPr="0012563C">
        <w:rPr>
          <w:noProof/>
        </w:rPr>
        <w:t>[12,13]</w:t>
      </w:r>
      <w:r>
        <w:fldChar w:fldCharType="end"/>
      </w:r>
      <w:r w:rsidRPr="00713176">
        <w:t>.</w:t>
      </w:r>
    </w:p>
    <w:p w14:paraId="439DC477" w14:textId="25E0B2E0" w:rsidR="0087625C" w:rsidRDefault="0087625C" w:rsidP="0087625C">
      <w:pPr>
        <w:pStyle w:val="afd"/>
        <w:spacing w:before="100" w:after="100" w:line="360" w:lineRule="auto"/>
        <w:ind w:firstLine="709"/>
        <w:contextualSpacing/>
        <w:rPr>
          <w:b/>
        </w:rPr>
      </w:pPr>
      <w:r w:rsidRPr="00EF6F94">
        <w:rPr>
          <w:b/>
        </w:rPr>
        <w:t xml:space="preserve">Уровень убедительности рекомендаций </w:t>
      </w:r>
      <w:r w:rsidR="00455DE9">
        <w:rPr>
          <w:b/>
        </w:rPr>
        <w:t>С</w:t>
      </w:r>
      <w:r w:rsidRPr="00EF6F94">
        <w:rPr>
          <w:b/>
        </w:rPr>
        <w:t xml:space="preserve"> (уровень достоверности доказательств </w:t>
      </w:r>
      <w:r w:rsidR="00455DE9">
        <w:rPr>
          <w:b/>
        </w:rPr>
        <w:t>5</w:t>
      </w:r>
      <w:r w:rsidRPr="00EF6F94">
        <w:rPr>
          <w:b/>
        </w:rPr>
        <w:t>)</w:t>
      </w:r>
    </w:p>
    <w:p w14:paraId="4C6A9F02" w14:textId="0DAC6AFF" w:rsidR="00455DE9" w:rsidRDefault="00455DE9" w:rsidP="00BF4D82">
      <w:pPr>
        <w:pStyle w:val="afd"/>
        <w:numPr>
          <w:ilvl w:val="0"/>
          <w:numId w:val="11"/>
        </w:numPr>
        <w:spacing w:before="100" w:after="100" w:line="360" w:lineRule="auto"/>
        <w:contextualSpacing/>
      </w:pPr>
      <w:r w:rsidRPr="00713176">
        <w:rPr>
          <w:b/>
        </w:rPr>
        <w:t>Рекомендуется</w:t>
      </w:r>
      <w:r w:rsidRPr="00713176">
        <w:t xml:space="preserve"> пациентам при</w:t>
      </w:r>
      <w:r>
        <w:t xml:space="preserve"> диагностике АА </w:t>
      </w:r>
      <w:r w:rsidRPr="00713176">
        <w:t>при наличии инфекционных, геморрагических и иных осложнений со стороны ЛОР-органов</w:t>
      </w:r>
      <w:r>
        <w:t xml:space="preserve"> </w:t>
      </w:r>
      <w:r w:rsidRPr="00713176">
        <w:t>консультаци</w:t>
      </w:r>
      <w:r>
        <w:t>я</w:t>
      </w:r>
      <w:r w:rsidRPr="00713176">
        <w:t xml:space="preserve"> </w:t>
      </w:r>
      <w:r w:rsidR="00A0257E">
        <w:t>врача-</w:t>
      </w:r>
      <w:r w:rsidRPr="00713176">
        <w:t>ото</w:t>
      </w:r>
      <w:r w:rsidR="00A0257E">
        <w:t>рино</w:t>
      </w:r>
      <w:r w:rsidRPr="00713176">
        <w:t xml:space="preserve">ларинголога </w:t>
      </w:r>
      <w:r>
        <w:t>для диагностики сопутствующей патологии</w:t>
      </w:r>
      <w:r w:rsidRPr="00713176">
        <w:t xml:space="preserve"> </w:t>
      </w:r>
      <w:r>
        <w:fldChar w:fldCharType="begin" w:fldLock="1"/>
      </w:r>
      <w:r w:rsidR="00083277">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fldChar w:fldCharType="separate"/>
      </w:r>
      <w:r w:rsidR="0012563C" w:rsidRPr="0012563C">
        <w:rPr>
          <w:noProof/>
        </w:rPr>
        <w:t>[12,13]</w:t>
      </w:r>
      <w:r>
        <w:fldChar w:fldCharType="end"/>
      </w:r>
      <w:r w:rsidRPr="00713176">
        <w:t>.</w:t>
      </w:r>
    </w:p>
    <w:p w14:paraId="3162E632" w14:textId="3D7F113E" w:rsidR="00455DE9" w:rsidRDefault="00455DE9" w:rsidP="00455DE9">
      <w:pPr>
        <w:pStyle w:val="afd"/>
        <w:spacing w:before="100" w:after="100" w:line="360" w:lineRule="auto"/>
        <w:ind w:firstLine="709"/>
        <w:contextualSpacing/>
        <w:rPr>
          <w:b/>
        </w:rPr>
      </w:pPr>
      <w:r w:rsidRPr="00EF6F94">
        <w:rPr>
          <w:b/>
        </w:rPr>
        <w:t xml:space="preserve">Уровень убедительности рекомендаций </w:t>
      </w:r>
      <w:r>
        <w:rPr>
          <w:b/>
        </w:rPr>
        <w:t>С</w:t>
      </w:r>
      <w:r w:rsidRPr="00EF6F94">
        <w:rPr>
          <w:b/>
        </w:rPr>
        <w:t xml:space="preserve"> (уровень достоверности доказательств </w:t>
      </w:r>
      <w:r>
        <w:rPr>
          <w:b/>
        </w:rPr>
        <w:t>5</w:t>
      </w:r>
      <w:r w:rsidRPr="00EF6F94">
        <w:rPr>
          <w:b/>
        </w:rPr>
        <w:t>)</w:t>
      </w:r>
    </w:p>
    <w:p w14:paraId="016ABE7F" w14:textId="2A75E38C" w:rsidR="00455DE9" w:rsidRDefault="00455DE9" w:rsidP="00BF4D82">
      <w:pPr>
        <w:pStyle w:val="afd"/>
        <w:numPr>
          <w:ilvl w:val="0"/>
          <w:numId w:val="11"/>
        </w:numPr>
        <w:spacing w:before="100" w:after="100" w:line="360" w:lineRule="auto"/>
        <w:contextualSpacing/>
      </w:pPr>
      <w:r w:rsidRPr="00713176">
        <w:rPr>
          <w:b/>
        </w:rPr>
        <w:t>Рекомендуется</w:t>
      </w:r>
      <w:r w:rsidRPr="00713176">
        <w:t xml:space="preserve"> пациентам при</w:t>
      </w:r>
      <w:r>
        <w:t xml:space="preserve"> диагностике АА </w:t>
      </w:r>
      <w:r w:rsidRPr="00713176">
        <w:t>при наличии геморрагического, инфекционного или иного поражения нервной системы</w:t>
      </w:r>
      <w:r>
        <w:t xml:space="preserve"> </w:t>
      </w:r>
      <w:r w:rsidRPr="00713176">
        <w:t>консультаци</w:t>
      </w:r>
      <w:r>
        <w:t xml:space="preserve">я </w:t>
      </w:r>
      <w:r w:rsidR="00A0257E">
        <w:t>врача-</w:t>
      </w:r>
      <w:r>
        <w:t>невролога для диагностики сопутствующей патологии</w:t>
      </w:r>
      <w:r w:rsidRPr="00713176">
        <w:t xml:space="preserve"> </w:t>
      </w:r>
      <w:r>
        <w:fldChar w:fldCharType="begin" w:fldLock="1"/>
      </w:r>
      <w:r w:rsidR="00083277">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fldChar w:fldCharType="separate"/>
      </w:r>
      <w:r w:rsidR="0012563C" w:rsidRPr="0012563C">
        <w:rPr>
          <w:noProof/>
        </w:rPr>
        <w:t>[12,13]</w:t>
      </w:r>
      <w:r>
        <w:fldChar w:fldCharType="end"/>
      </w:r>
      <w:r w:rsidRPr="00713176">
        <w:t>.</w:t>
      </w:r>
    </w:p>
    <w:p w14:paraId="771ACD73" w14:textId="3EFF565F" w:rsidR="00455DE9" w:rsidRDefault="00455DE9" w:rsidP="00455DE9">
      <w:pPr>
        <w:pStyle w:val="afd"/>
        <w:spacing w:before="100" w:after="100" w:line="360" w:lineRule="auto"/>
        <w:ind w:firstLine="709"/>
        <w:contextualSpacing/>
        <w:rPr>
          <w:b/>
        </w:rPr>
      </w:pPr>
      <w:r w:rsidRPr="00EF6F94">
        <w:rPr>
          <w:b/>
        </w:rPr>
        <w:t xml:space="preserve">Уровень убедительности рекомендаций </w:t>
      </w:r>
      <w:r>
        <w:rPr>
          <w:b/>
        </w:rPr>
        <w:t>С</w:t>
      </w:r>
      <w:r w:rsidRPr="00EF6F94">
        <w:rPr>
          <w:b/>
        </w:rPr>
        <w:t xml:space="preserve"> (уровень достоверности доказательств </w:t>
      </w:r>
      <w:r>
        <w:rPr>
          <w:b/>
        </w:rPr>
        <w:t>5</w:t>
      </w:r>
      <w:r w:rsidRPr="00EF6F94">
        <w:rPr>
          <w:b/>
        </w:rPr>
        <w:t>)</w:t>
      </w:r>
    </w:p>
    <w:p w14:paraId="54F6652D" w14:textId="36652DD7" w:rsidR="00C30790" w:rsidRPr="00C57107" w:rsidRDefault="00CF6A33" w:rsidP="00BF4D82">
      <w:pPr>
        <w:pStyle w:val="afd"/>
        <w:numPr>
          <w:ilvl w:val="0"/>
          <w:numId w:val="11"/>
        </w:numPr>
        <w:spacing w:before="100" w:after="100" w:line="360" w:lineRule="auto"/>
        <w:contextualSpacing/>
      </w:pPr>
      <w:r w:rsidRPr="00C57107">
        <w:t xml:space="preserve">По клиническим показаниям, для диагностики </w:t>
      </w:r>
      <w:r w:rsidR="00C30790" w:rsidRPr="00C57107">
        <w:t>осложнений</w:t>
      </w:r>
      <w:r w:rsidRPr="00C57107">
        <w:t xml:space="preserve"> АА</w:t>
      </w:r>
      <w:r w:rsidR="00C30790" w:rsidRPr="00C57107">
        <w:t xml:space="preserve">,  </w:t>
      </w:r>
      <w:r w:rsidRPr="00C57107">
        <w:t xml:space="preserve">а также диагностике осложнений терапии АА, </w:t>
      </w:r>
      <w:r w:rsidRPr="00C57107">
        <w:rPr>
          <w:b/>
          <w:bCs/>
        </w:rPr>
        <w:t>рекомендуется</w:t>
      </w:r>
      <w:r w:rsidRPr="00C57107">
        <w:t xml:space="preserve"> </w:t>
      </w:r>
      <w:r w:rsidR="00C30790" w:rsidRPr="00C57107">
        <w:t>пров</w:t>
      </w:r>
      <w:r w:rsidRPr="00C57107">
        <w:t xml:space="preserve">едение необходимого комплекса исследований согласно Методическому руководству по </w:t>
      </w:r>
      <w:r w:rsidR="00C30790" w:rsidRPr="00C57107">
        <w:t xml:space="preserve"> сопроводительной терапии</w:t>
      </w:r>
      <w:r w:rsidRPr="00C57107">
        <w:t xml:space="preserve"> в гематологии</w:t>
      </w:r>
      <w:r w:rsidR="00C30790" w:rsidRPr="00C57107">
        <w:t xml:space="preserve"> </w:t>
      </w:r>
      <w:r w:rsidR="00C30790" w:rsidRPr="00C57107">
        <w:fldChar w:fldCharType="begin" w:fldLock="1"/>
      </w:r>
      <w:r w:rsidR="00083277">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00C30790" w:rsidRPr="00C57107">
        <w:fldChar w:fldCharType="separate"/>
      </w:r>
      <w:r w:rsidR="00C30790" w:rsidRPr="00C57107">
        <w:rPr>
          <w:noProof/>
        </w:rPr>
        <w:t>[12,13]</w:t>
      </w:r>
      <w:r w:rsidR="00C30790" w:rsidRPr="00C57107">
        <w:fldChar w:fldCharType="end"/>
      </w:r>
      <w:r w:rsidR="00C30790" w:rsidRPr="00C57107">
        <w:t>.</w:t>
      </w:r>
    </w:p>
    <w:p w14:paraId="0B9450AF" w14:textId="77777777" w:rsidR="00C30790" w:rsidRDefault="00C30790" w:rsidP="00C30790">
      <w:pPr>
        <w:pStyle w:val="afd"/>
        <w:spacing w:before="100" w:after="100" w:line="360" w:lineRule="auto"/>
        <w:ind w:firstLine="709"/>
        <w:contextualSpacing/>
        <w:rPr>
          <w:b/>
        </w:rPr>
      </w:pPr>
      <w:r w:rsidRPr="00C57107">
        <w:rPr>
          <w:b/>
        </w:rPr>
        <w:t>Уровень убедительности рекомендаций С (уровень достоверности доказательств 5)</w:t>
      </w:r>
    </w:p>
    <w:p w14:paraId="64A1400B" w14:textId="77777777" w:rsidR="00C30790" w:rsidRPr="00EF6F94" w:rsidRDefault="00C30790" w:rsidP="00455DE9">
      <w:pPr>
        <w:pStyle w:val="afd"/>
        <w:spacing w:before="100" w:after="100" w:line="360" w:lineRule="auto"/>
        <w:ind w:firstLine="709"/>
        <w:contextualSpacing/>
        <w:rPr>
          <w:b/>
        </w:rPr>
      </w:pPr>
    </w:p>
    <w:p w14:paraId="5C5894A9" w14:textId="7EDB1C0A" w:rsidR="001B5E55" w:rsidRPr="00A0257E" w:rsidRDefault="00A0257E" w:rsidP="00A0257E">
      <w:pPr>
        <w:pStyle w:val="11"/>
        <w:ind w:left="360"/>
        <w:rPr>
          <w:szCs w:val="28"/>
          <w:u w:val="none"/>
        </w:rPr>
      </w:pPr>
      <w:bookmarkStart w:id="23" w:name="_Toc67522232"/>
      <w:r>
        <w:rPr>
          <w:szCs w:val="28"/>
          <w:u w:val="none"/>
        </w:rPr>
        <w:t>3.</w:t>
      </w:r>
      <w:r w:rsidR="005F7C37" w:rsidRPr="005F7C37">
        <w:rPr>
          <w:szCs w:val="28"/>
          <w:u w:val="none"/>
        </w:rPr>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3"/>
    </w:p>
    <w:p w14:paraId="07FB093F" w14:textId="5FE94B8C" w:rsidR="00D23199" w:rsidRPr="001B5E55" w:rsidRDefault="00F9313B" w:rsidP="00045FA5">
      <w:pPr>
        <w:pStyle w:val="afd"/>
        <w:spacing w:before="100" w:after="100" w:line="360" w:lineRule="auto"/>
        <w:ind w:firstLine="709"/>
        <w:contextualSpacing/>
      </w:pPr>
      <w:r w:rsidRPr="00F9313B">
        <w:rPr>
          <w:i/>
          <w:iCs/>
        </w:rPr>
        <w:t>Пр</w:t>
      </w:r>
      <w:r w:rsidR="00A0257E">
        <w:rPr>
          <w:i/>
          <w:iCs/>
        </w:rPr>
        <w:t>ограмма лечения взрослых пациентов с</w:t>
      </w:r>
      <w:r w:rsidRPr="00F9313B">
        <w:rPr>
          <w:i/>
          <w:iCs/>
        </w:rPr>
        <w:t xml:space="preserve"> апластической анемией — это комбинированная иммуносупрессивная терапия, проводимая с использованием  двух основных препаратов, обладающих выраженным иммуносупрессивным действием: АТГ</w:t>
      </w:r>
      <w:r w:rsidR="00A0257E">
        <w:rPr>
          <w:i/>
          <w:iCs/>
        </w:rPr>
        <w:t xml:space="preserve">** </w:t>
      </w:r>
      <w:r w:rsidR="00A0257E">
        <w:rPr>
          <w:i/>
          <w:iCs/>
        </w:rPr>
        <w:lastRenderedPageBreak/>
        <w:t>и циклоспорин**</w:t>
      </w:r>
      <w:r w:rsidRPr="00F9313B">
        <w:rPr>
          <w:i/>
          <w:iCs/>
        </w:rPr>
        <w:t xml:space="preserve">, и/или трансплантация гемопоэтических стволовых клеток (ТГСК) </w:t>
      </w:r>
      <w:r w:rsidR="008D0526">
        <w:rPr>
          <w:rStyle w:val="affb"/>
        </w:rPr>
        <w:fldChar w:fldCharType="begin" w:fldLock="1"/>
      </w:r>
      <w:r w:rsidR="003115E7">
        <w:rPr>
          <w:rStyle w:val="affb"/>
        </w:rPr>
        <w:instrText>ADDIN CSL_CITATION {"citationItems":[{"id":"ITEM-1","itemData":{"DOI":"10.1182/asheducation-2012.1.292","ISBN":"1520-4383 (Electronic)\\r1520-4383 (Linking)","ISSN":"1520-4383","PMID":"23233595","abstract":"Advances in hematopoietic stem cell transplantation (HSCT) and immunosuppressive therapy (IST) have improved survival in severe aplastic anemia (SAA) from 10%-20% in the 1960s to 80%-90% today. A matched sibling HSCT is the treatment of choice in younger patients, whereas IST is often used in older patients or in those who lack a histocompatible sibling. Graft rejection, GVHD, and poor immune reconstitution (with associated infectious complications) limit the success of HSCT, whereas lack of response, relapse, and clonal evolution limit the success of IST. The historically high rate of graft rejection in SAA is now less problematic in the matched setting, but with greater rates observed with unrelated and umbilical cord donors. The correlation of increasing age with the risk of GVHD and the significant morbidity and mortality of this transplantation complication continue to affect the decision to pursue HSCT versus IST as initial therapy in adults with SAA. Outcomes with matched unrelated donor HSCT have improved, likely due to better donor selection, supportive care, and improved transplantation protocols. Results with mismatched unrelated donor and umbilical HSCT are not as favorable, with higher rates of graft rejection, GVHD, and infectious complications. Investigation of several upfront alternative IST protocols has not improved outcomes beyond horse antithymocyte globulin and cyclosporine. More recently, the role of alemtuzumab in SAA has been better defined and an oral thrombomimetic, eltrombopag, is showing promising activity in refractory cases. The most recent advances in HSCT and IST in SAA are discussed in this review.","author":[{"dropping-particle":"","family":"Scheinberg","given":"Phillip","non-dropping-particle":"","parse-names":false,"suffix":""}],"container-title":"Hematology","id":"ITEM-1","issued":{"date-parts":[["2012"]]},"page":"292-300","title":"Aplastic anemia: therapeutic updates in immunosuppression and transplantation.","type":"article-journal"},"uris":["http://www.mendeley.com/documents/?uuid=87252fc5-eba6-4e4d-9d7a-355e39cf067e","http://www.mendeley.com/documents/?uuid=57f0dab3-c143-4103-93a2-0a8fc667920e"]},{"id":"ITEM-2","itemData":{"DOI":"10.1182/asheducation-2016.1.83","abstract":"Nontransplant therapeutic options for acquired and constitutional aplastic anemia have significantly expanded during the last 5 years. In the future, transplant may be required less frequently. That trilineage hematologic responses could be achieved with the single agent eltrombopag in refractory aplastic anemia promotes new interest in growth factors after years of failed trials using other growth factor agents. Preliminary results adding eltrombopag to immunosuppressive therapy are promising, but long-term follow-up data evaluating clonal evolution rates are required before promoting its standard use in treatment-naive disease. Danazol, which is traditionally less preferred for treating cytopenias, is capable of preventing telomere attrition associated with hematologic responses in constitutional bone marrow failure resulting from telomere disease.","author":[{"dropping-particle":"","family":"Townsley","given":"Danielle M","non-dropping-particle":"","parse-names":false,"suffix":""},{"dropping-particle":"","family":"Winkler","given":"Thomas","non-dropping-particle":"","parse-names":false,"suffix":""}],"container-title":"ASH Education Program Book","id":"ITEM-2","issue":"1","issued":{"date-parts":[["2016"]]},"page":"83-89","title":"Nontransplant therapy for bone marrow failure","type":"article-journal","volume":"2016"},"uris":["http://www.mendeley.com/documents/?uuid=7dda08d9-5f6c-4ca1-aef2-1c44d4191d6b","http://www.mendeley.com/documents/?uuid=d76c6501-3793-4c9c-b7c3-af170017c645"]},{"id":"ITEM-3","itemData":{"DOI":"10.1182/blood-2013-10-534743","ISBN":"2013105347","ISSN":"15280020","PMID":"24345753","author":[{"dropping-particle":"","family":"Desmond","given":"Ronan","non-dropping-particle":"","parse-names":false,"suffix":""},{"dropping-particle":"","family":"Townsley","given":"Danielle M. D.M.","non-dropping-particle":"","parse-names":false,"suffix":""},{"dropping-particle":"","family":"Dumitriu","given":"Bogdan","non-dropping-particle":"","parse-names":false,"suffix":""},{"dropping-particle":"","family":"Olnes","given":"Matthew J. M.J.","non-dropping-particle":"","parse-names":false,"suffix":""},{"dropping-particle":"","family":"Scheinberg","given":"Phillip","non-dropping-particle":"","parse-names":false,"suffix":""},{"dropping-particle":"","family":"Bevans","given":"Margaret","non-dropping-particle":"","parse-names":false,"suffix":""},{"dropping-particle":"","family":"Parikh","given":"A.R. Ankur R.","non-dropping-particle":"","parse-names":false,"suffix":""},{"dropping-particle":"","family":"Broder","given":"Kinneret","non-dropping-particle":"","parse-names":false,"suffix":""},{"dropping-particle":"","family":"Calvo","given":"K.R. Katherine R.","non-dropping-particle":"","parse-names":false,"suffix":""},{"dropping-particle":"","family":"Wu","given":"Colin O. C.O.","non-dropping-particle":"","parse-names":false,"suffix":""},{"dropping-particle":"","family":"Young","given":"N.S. Neal S.","non-dropping-particle":"","parse-names":false,"suffix":""},{"dropping-particle":"","family":"Dunbar","given":"Cynthia E. C.E.","non-dropping-particle":"","parse-names":false,"suffix":""}],"container-title":"Blood","id":"ITEM-3","issue":"12","issued":{"date-parts":[["2014"]]},"page":"1818-1825","title":"Eltrombopag restores trilineage hematopoiesis in refractory severe aplastic anemia that can be sustained on discontinuation of drug","type":"article-journal","volume":"123"},"uris":["http://www.mendeley.com/documents/?uuid=9ce41dec-f8d2-41f6-a57f-6495319ab3da"]},{"id":"ITEM-4","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-4","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[12,35–37]","plainTextFormattedCitation":"[12,35–37]","previouslyFormattedCitation":"[12,35–37]"},"properties":{"noteIndex":0},"schema":"https://github.com/citation-style-language/schema/raw/master/csl-citation.json"}</w:instrText>
      </w:r>
      <w:r w:rsidR="008D0526">
        <w:rPr>
          <w:rStyle w:val="affb"/>
        </w:rPr>
        <w:fldChar w:fldCharType="separate"/>
      </w:r>
      <w:r w:rsidR="00083277" w:rsidRPr="00083277">
        <w:rPr>
          <w:rStyle w:val="affb"/>
          <w:i w:val="0"/>
          <w:noProof/>
        </w:rPr>
        <w:t>[12,35–37]</w:t>
      </w:r>
      <w:r w:rsidR="008D0526">
        <w:rPr>
          <w:rStyle w:val="affb"/>
        </w:rPr>
        <w:fldChar w:fldCharType="end"/>
      </w:r>
      <w:r w:rsidR="001B5E55">
        <w:rPr>
          <w:rStyle w:val="affb"/>
        </w:rPr>
        <w:t xml:space="preserve"> </w:t>
      </w:r>
    </w:p>
    <w:p w14:paraId="1F033A7B" w14:textId="4CE51ADF" w:rsidR="00F9313B" w:rsidRPr="00F9313B" w:rsidRDefault="00F9313B" w:rsidP="00F9313B">
      <w:pPr>
        <w:pStyle w:val="afd"/>
        <w:spacing w:line="360" w:lineRule="auto"/>
        <w:ind w:firstLine="709"/>
        <w:contextualSpacing/>
        <w:rPr>
          <w:i/>
          <w:iCs/>
        </w:rPr>
      </w:pPr>
      <w:r w:rsidRPr="00F9313B">
        <w:rPr>
          <w:i/>
          <w:iCs/>
        </w:rPr>
        <w:t>Современная патогенети</w:t>
      </w:r>
      <w:r w:rsidR="00A0257E">
        <w:rPr>
          <w:i/>
          <w:iCs/>
        </w:rPr>
        <w:t>ческая терапия пациентов с</w:t>
      </w:r>
      <w:r w:rsidRPr="00F9313B">
        <w:rPr>
          <w:i/>
          <w:iCs/>
        </w:rPr>
        <w:t xml:space="preserve"> апластической анемией может включать кроме препаратов с иммуносупрессивным действием (</w:t>
      </w:r>
      <w:r w:rsidR="00771049">
        <w:rPr>
          <w:i/>
          <w:iCs/>
        </w:rPr>
        <w:t>АТГ</w:t>
      </w:r>
      <w:r w:rsidR="00A0257E">
        <w:rPr>
          <w:i/>
          <w:iCs/>
        </w:rPr>
        <w:t>**, циклоспорин**</w:t>
      </w:r>
      <w:r w:rsidRPr="00F9313B">
        <w:rPr>
          <w:i/>
          <w:iCs/>
        </w:rPr>
        <w:t>) лекарственные препараты, направленные на активацию пролиферации клеток-предшественниц кроветворения и одновременное подавление активации цитотоксических клеток. Многочисленными клиническими исследованиями было показано значительное улучшение гематологических показателей под влиянием элтромбопага</w:t>
      </w:r>
      <w:r w:rsidR="00A0257E">
        <w:rPr>
          <w:i/>
          <w:iCs/>
        </w:rPr>
        <w:t>**</w:t>
      </w:r>
      <w:r w:rsidRPr="00F9313B">
        <w:rPr>
          <w:i/>
          <w:iCs/>
        </w:rPr>
        <w:t xml:space="preserve"> </w:t>
      </w:r>
      <w:r w:rsidRPr="00F9313B">
        <w:rPr>
          <w:i/>
          <w:iCs/>
        </w:rPr>
        <w:fldChar w:fldCharType="begin" w:fldLock="1"/>
      </w:r>
      <w:r w:rsidR="003115E7">
        <w:rPr>
          <w:i/>
          <w:iCs/>
        </w:rPr>
        <w:instrText>ADDIN CSL_CITATION {"citationItems":[{"id":"ITEM-1","itemData":{"DOI":"10.1053/j.seminhematol.2014.10.002","ISBN":"1532-8686 (Electronic)\\r0037-1963 (Linking)","ISSN":"15328686","PMID":"25578417","abstract":"The treatment of aplastic anemia is currently with immunosuppressive therapy (IST) with anti-thymocyte globulin (ATG) and cyclosporine, to which two thirds of patients respond. However, a significant proportion of these responders relapse and many have persistent cytopenias. The management of these patients is challenging. Modifications to this standard approach using alternative immunosuppressive agents or adding hematopoietic cytokines such as granulocyte colony-stimulating factor (G-CSF) and erythropoietin (EPO) have not improved outcome. A recent trial has shown that eltrombopag, a thrombopoeitin mimetic, is efficacious in the treatment of patients with severe aplastic anemia (SAA) refractory to IST. There is evidence that this drug works by directly stimulating marrow stem and progenitor cells thereby promoting hematopoietic recovery in patients with bone marrow failure. Several trials are ongoing in our institution using this very promising drug in combination therapy in the upfront treatment of SAA, in IST-refractory SAA and in moderate disease.","author":[{"dropping-particle":"","family":"Desmond","given":"Ronan","non-dropping-particle":"","parse-names":false,"suffix":""},{"dropping-particle":"","family":"Townsley","given":"Danielle M.","non-dropping-particle":"","parse-names":false,"suffix":""},{"dropping-particle":"","family":"Dunbar","given":"Cynthia","non-dropping-particle":"","parse-names":false,"suffix":""},{"dropping-particle":"","family":"Young","given":"Neal S.","non-dropping-particle":"","parse-names":false,"suffix":""}],"container-title":"Seminars in Hematology","id":"ITEM-1","issue":"1","issued":{"date-parts":[["2015"]]},"page":"31-37","title":"Eltrombopag in Aplastic Anemia","type":"article","volume":"52"},"uris":["http://www.mendeley.com/documents/?uuid=105c355d-4b17-3299-8751-dd1fd32b5f11","http://www.mendeley.com/documents/?uuid=28b27e63-adee-4bb5-97aa-94dd5b0fc36e"]},{"id":"ITEM-2","itemData":{"DOI":"10.1182/blood-2013-10-534743","ISBN":"2013105347","ISSN":"15280020","PMID":"24345753","author":[{"dropping-particle":"","family":"Desmond","given":"Ronan","non-dropping-particle":"","parse-names":false,"suffix":""},{"dropping-particle":"","family":"Townsley","given":"Danielle M. D.M.","non-dropping-particle":"","parse-names":false,"suffix":""},{"dropping-particle":"","family":"Dumitriu","given":"Bogdan","non-dropping-particle":"","parse-names":false,"suffix":""},{"dropping-particle":"","family":"Olnes","given":"Matthew J. M.J.","non-dropping-particle":"","parse-names":false,"suffix":""},{"dropping-particle":"","family":"Scheinberg","given":"Phillip","non-dropping-particle":"","parse-names":false,"suffix":""},{"dropping-particle":"","family":"Bevans","given":"Margaret","non-dropping-particle":"","parse-names":false,"suffix":""},{"dropping-particle":"","family":"Parikh","given":"A.R. Ankur R.","non-dropping-particle":"","parse-names":false,"suffix":""},{"dropping-particle":"","family":"Broder","given":"Kinneret","non-dropping-particle":"","parse-names":false,"suffix":""},{"dropping-particle":"","family":"Calvo","given":"K.R. Katherine R.","non-dropping-particle":"","parse-names":false,"suffix":""},{"dropping-particle":"","family":"Wu","given":"Colin O. C.O.","non-dropping-particle":"","parse-names":false,"suffix":""},{"dropping-particle":"","family":"Young","given":"N.S. Neal S.","non-dropping-particle":"","parse-names":false,"suffix":""},{"dropping-particle":"","family":"Dunbar","given":"Cynthia E. C.E.","non-dropping-particle":"","parse-names":false,"suffix":""}],"container-title":"Blood","id":"ITEM-2","issue":"12","issued":{"date-parts":[["2014"]]},"page":"1818-1825","title":"Eltrombopag restores trilineage hematopoiesis in refractory severe aplastic anemia that can be sustained on discontinuation of drug","type":"article-journal","volume":"123"},"uris":["http://www.mendeley.com/documents/?uuid=9ce41dec-f8d2-41f6-a57f-6495319ab3da"]}],"mendeley":{"formattedCitation":"[37,38]","plainTextFormattedCitation":"[37,38]","previouslyFormattedCitation":"[37,38]"},"properties":{"noteIndex":0},"schema":"https://github.com/citation-style-language/schema/raw/master/csl-citation.json"}</w:instrText>
      </w:r>
      <w:r w:rsidRPr="00F9313B">
        <w:rPr>
          <w:i/>
          <w:iCs/>
        </w:rPr>
        <w:fldChar w:fldCharType="separate"/>
      </w:r>
      <w:r w:rsidR="00083277" w:rsidRPr="00083277">
        <w:rPr>
          <w:iCs/>
          <w:noProof/>
        </w:rPr>
        <w:t>[37,38]</w:t>
      </w:r>
      <w:r w:rsidRPr="00F9313B">
        <w:rPr>
          <w:i/>
          <w:iCs/>
        </w:rPr>
        <w:fldChar w:fldCharType="end"/>
      </w:r>
      <w:r w:rsidRPr="00F9313B">
        <w:rPr>
          <w:i/>
          <w:iCs/>
        </w:rPr>
        <w:t>.  Элтромбопаг</w:t>
      </w:r>
      <w:r w:rsidR="00A0257E">
        <w:rPr>
          <w:i/>
          <w:iCs/>
        </w:rPr>
        <w:t>**</w:t>
      </w:r>
      <w:r w:rsidRPr="00F9313B">
        <w:rPr>
          <w:i/>
          <w:iCs/>
        </w:rPr>
        <w:t xml:space="preserve"> является агонистом тромбопоэтиновых рецепторов, которые локализуются не только на мегакариоцитах, но и на стволовых клетках крови. Элтромбопаг</w:t>
      </w:r>
      <w:r w:rsidR="00A0257E">
        <w:rPr>
          <w:i/>
          <w:iCs/>
        </w:rPr>
        <w:t>**</w:t>
      </w:r>
      <w:r w:rsidRPr="00F9313B">
        <w:rPr>
          <w:i/>
          <w:iCs/>
        </w:rPr>
        <w:t xml:space="preserve"> связывается с трансмембранным доменом тромбопоэтиновых рецепторов, не конкурируя с эндогенным тромбопоэтином, и обладает иммуномодулирующими свойствами посредством активации Т-регуляторных клеток. Кроме того элтромбопаг</w:t>
      </w:r>
      <w:r w:rsidR="00A0257E">
        <w:rPr>
          <w:i/>
          <w:iCs/>
        </w:rPr>
        <w:t>**</w:t>
      </w:r>
      <w:r w:rsidRPr="00F9313B">
        <w:rPr>
          <w:i/>
          <w:iCs/>
        </w:rPr>
        <w:t xml:space="preserve"> обладает хелаторной активностью и способствует выведению токсического железа из клеток печени, сердца и других внутренних органов </w:t>
      </w:r>
      <w:r w:rsidR="00A0257E">
        <w:rPr>
          <w:i/>
          <w:iCs/>
        </w:rPr>
        <w:t>при перегрузке железом у пациентов с</w:t>
      </w:r>
      <w:r w:rsidRPr="00F9313B">
        <w:rPr>
          <w:i/>
          <w:iCs/>
        </w:rPr>
        <w:t xml:space="preserve"> АА, зависимых от трансфузий донорских эритроцитов </w:t>
      </w:r>
      <w:r w:rsidRPr="00F9313B">
        <w:rPr>
          <w:i/>
          <w:iCs/>
        </w:rPr>
        <w:fldChar w:fldCharType="begin" w:fldLock="1"/>
      </w:r>
      <w:r w:rsidR="003115E7">
        <w:rPr>
          <w:i/>
          <w:iCs/>
        </w:rPr>
        <w:instrText>ADDIN CSL_CITATION {"citationItems":[{"id":"ITEM-1","itemData":{"DOI":"10.1002/ajh.25550","ISSN":"1096-8652 (Electronic)","PMID":"31172568","author":[{"dropping-particle":"","family":"Fattizzo","given":"Bruno","non-dropping-particle":"","parse-names":false,"suffix":""},{"dropping-particle":"","family":"Cavallaro","given":"Francesca","non-dropping-particle":"","parse-names":false,"suffix":""},{"dropping-particle":"","family":"Milesi","given":"Giulia","non-dropping-particle":"","parse-names":false,"suffix":""},{"dropping-particle":"","family":"Barcellini","given":"Wilma","non-dropping-particle":"","parse-names":false,"suffix":""}],"container-title":"American journal of hematology","id":"ITEM-1","issued":{"date-parts":[["2019","6"]]},"language":"eng","publisher-place":"United States","title":"Iron mobilization in a real life cohort of aplastic anemia patients treated with  eltrombopag.","type":"article"},"uris":["http://www.mendeley.com/documents/?uuid=0f29c9f7-631b-436b-9e26-a910ab3e4e39","http://www.mendeley.com/documents/?uuid=871cf0e0-2139-46f2-90ae-97bde4a55014"]}],"mendeley":{"formattedCitation":"[39]","plainTextFormattedCitation":"[39]","previouslyFormattedCitation":"[39]"},"properties":{"noteIndex":0},"schema":"https://github.com/citation-style-language/schema/raw/master/csl-citation.json"}</w:instrText>
      </w:r>
      <w:r w:rsidRPr="00F9313B">
        <w:rPr>
          <w:i/>
          <w:iCs/>
        </w:rPr>
        <w:fldChar w:fldCharType="separate"/>
      </w:r>
      <w:r w:rsidR="00083277" w:rsidRPr="00083277">
        <w:rPr>
          <w:iCs/>
          <w:noProof/>
        </w:rPr>
        <w:t>[39]</w:t>
      </w:r>
      <w:r w:rsidRPr="00F9313B">
        <w:rPr>
          <w:i/>
          <w:iCs/>
        </w:rPr>
        <w:fldChar w:fldCharType="end"/>
      </w:r>
      <w:r w:rsidRPr="00F9313B">
        <w:rPr>
          <w:i/>
          <w:iCs/>
        </w:rPr>
        <w:t>.  Клиническое использование элтромбопага</w:t>
      </w:r>
      <w:r w:rsidR="00A0257E">
        <w:rPr>
          <w:i/>
          <w:iCs/>
        </w:rPr>
        <w:t>**</w:t>
      </w:r>
      <w:r w:rsidRPr="00F9313B">
        <w:rPr>
          <w:i/>
          <w:iCs/>
        </w:rPr>
        <w:t xml:space="preserve"> может сопровождаться моно-, би-, трехлинейным ге</w:t>
      </w:r>
      <w:r w:rsidR="00A0257E">
        <w:rPr>
          <w:i/>
          <w:iCs/>
        </w:rPr>
        <w:t>матологическим ответом у пациентов с</w:t>
      </w:r>
      <w:r w:rsidRPr="00F9313B">
        <w:rPr>
          <w:i/>
          <w:iCs/>
        </w:rPr>
        <w:t xml:space="preserve"> рефрактерной апластической анемией, а его использование в программах комбинированной терапии  апластической анемии  достоверно повышает частоту достижения полного отв</w:t>
      </w:r>
      <w:r w:rsidR="00C201AD">
        <w:rPr>
          <w:i/>
          <w:iCs/>
        </w:rPr>
        <w:t>ета и общую выживаемость пациентов</w:t>
      </w:r>
      <w:r w:rsidRPr="00F9313B">
        <w:rPr>
          <w:i/>
          <w:iCs/>
        </w:rPr>
        <w:t xml:space="preserve"> </w:t>
      </w:r>
      <w:r w:rsidRPr="00F9313B">
        <w:rPr>
          <w:i/>
          <w:iCs/>
        </w:rPr>
        <w:fldChar w:fldCharType="begin" w:fldLock="1"/>
      </w:r>
      <w:r w:rsidR="003115E7">
        <w:rPr>
          <w:i/>
          <w:iCs/>
        </w:rPr>
        <w:instrText>ADDIN CSL_CITATION {"citationItems":[{"id":"ITEM-1","itemData":{"DOI":"10.1182/blood-2013-10-534743","ISBN":"2013105347","ISSN":"15280020","PMID":"24345753","author":[{"dropping-particle":"","family":"Desmond","given":"Ronan","non-dropping-particle":"","parse-names":false,"suffix":""},{"dropping-particle":"","family":"Townsley","given":"Danielle M. D.M.","non-dropping-particle":"","parse-names":false,"suffix":""},{"dropping-particle":"","family":"Dumitriu","given":"Bogdan","non-dropping-particle":"","parse-names":false,"suffix":""},{"dropping-particle":"","family":"Olnes","given":"Matthew J. M.J.","non-dropping-particle":"","parse-names":false,"suffix":""},{"dropping-particle":"","family":"Scheinberg","given":"Phillip","non-dropping-particle":"","parse-names":false,"suffix":""},{"dropping-particle":"","family":"Bevans","given":"Margaret","non-dropping-particle":"","parse-names":false,"suffix":""},{"dropping-particle":"","family":"Parikh","given":"A.R. Ankur R.","non-dropping-particle":"","parse-names":false,"suffix":""},{"dropping-particle":"","family":"Broder","given":"Kinneret","non-dropping-particle":"","parse-names":false,"suffix":""},{"dropping-particle":"","family":"Calvo","given":"K.R. Katherine R.","non-dropping-particle":"","parse-names":false,"suffix":""},{"dropping-particle":"","family":"Wu","given":"Colin O. C.O.","non-dropping-particle":"","parse-names":false,"suffix":""},{"dropping-particle":"","family":"Young","given":"N.S. Neal S.","non-dropping-particle":"","parse-names":false,"suffix":""},{"dropping-particle":"","family":"Dunbar","given":"Cynthia E. C.E.","non-dropping-particle":"","parse-names":false,"suffix":""}],"container-title":"Blood","id":"ITEM-1","issue":"12","issued":{"date-parts":[["2014"]]},"page":"1818-1825","title":"Eltrombopag restores trilineage hematopoiesis in refractory severe aplastic anemia that can be sustained on discontinuation of drug","type":"article-journal","volume":"123"},"uris":["http://www.mendeley.com/documents/?uuid=9ce41dec-f8d2-41f6-a57f-6495319ab3da"]}],"mendeley":{"formattedCitation":"[37]","plainTextFormattedCitation":"[37]","previouslyFormattedCitation":"[37]"},"properties":{"noteIndex":0},"schema":"https://github.com/citation-style-language/schema/raw/master/csl-citation.json"}</w:instrText>
      </w:r>
      <w:r w:rsidRPr="00F9313B">
        <w:rPr>
          <w:i/>
          <w:iCs/>
        </w:rPr>
        <w:fldChar w:fldCharType="separate"/>
      </w:r>
      <w:r w:rsidR="00083277" w:rsidRPr="00083277">
        <w:rPr>
          <w:iCs/>
          <w:noProof/>
        </w:rPr>
        <w:t>[37]</w:t>
      </w:r>
      <w:r w:rsidRPr="00F9313B">
        <w:rPr>
          <w:i/>
          <w:iCs/>
        </w:rPr>
        <w:fldChar w:fldCharType="end"/>
      </w:r>
      <w:r w:rsidRPr="00F9313B">
        <w:rPr>
          <w:i/>
          <w:iCs/>
        </w:rPr>
        <w:t xml:space="preserve">. Программа лечения может включать и другие терапевтические воздействия, в частности хелаторную терапию, а также спленэктомию </w:t>
      </w:r>
      <w:r w:rsidRPr="00F9313B">
        <w:rPr>
          <w:i/>
          <w:iCs/>
        </w:rPr>
        <w:fldChar w:fldCharType="begin" w:fldLock="1"/>
      </w:r>
      <w:r w:rsidR="003115E7">
        <w:rPr>
          <w:i/>
          <w:iCs/>
        </w:rPr>
        <w:instrText xml:space="preserve">ADDIN CSL_CITATION {"citationItems":[{"id":"ITEM-1","itemData":{"DOI":"10.1182/blood-2010-01-261289","author":[{"dropping-particle":"","family":"Lee","given":"J W","non-dropping-particle":"","parse-names":false,"suffix":""},{"dropping-particle":"","family":"Yoon","given":"S.-S.","non-dropping-particle":"","parse-names":false,"suffix":""},{"dropping-particle":"","family":"Shen","given":"Z X","non-dropping-particle":"","parse-names":false,"suffix":""},{"dropping-particle":"","family":"Ganser","given":"A","non-dropping-particle":"","parse-names":false,"suffix":""},{"dropping-particle":"","family":"Hsu","given":"H.-C.","non-dropping-particle":"","parse-names":false,"suffix":""},{"dropping-particle":"","family":"Habr","given":"D","non-dropping-particle":"","parse-names":false,"suffix":""},{"dropping-particle":"","family":"Domokos","given":"G","non-dropping-particle":"","parse-names":false,"suffix":""},{"dropping-particle":"","family":"Roubert","given":"B","non-dropping-particle":"","parse-names":false,"suffix":""},{"dropping-particle":"","family":"Porter","given":"J B","non-dropping-particle":"","parse-names":false,"suffix":""}],"container-title":"Blood","id":"ITEM-1","issue":"14","issued":{"date-parts":[["2010"]]},"page":"2448-2454","title":"Iron chelation therapy with deferasirox in patients with aplastic anemia: A subgroup analysis of 116 patients from the EPIC trial","type":"article-journal","volume":"116"},"uris":["http://www.mendeley.com/documents/?uuid=01f54754-b50b-4f04-a4cf-126c9a15ec3a","http://www.mendeley.com/documents/?uuid=0b6ecf31-51d7-40e2-b374-f9943507b519"]},{"id":"ITEM-2","itemData":{"DOI":"10.1182/blood-2013-05-498279","ISSN":"1528-0020","PMID":"24052548","abstract":"Refractory aplastic anemia (AA) is defined as a lack of response to first-line immunosuppressive therapy (IST) with antithymocyte globulin and cyclosporin and is manifested as persistence of severe cytopenias at 6 months after IST. Although supportive care is critical for AA patients, it is of paramount importance for refractory disease in view of the longer duration of pancytopenia and susceptibility to life-threatening infections due to IST. Improvements in supportive care have largely contributed to better outcome over the past 2 decades, with 5-year overall survival reaching 57% during 2002 to 2008 for patients with AA unresponsive to initial IST. Exclusion of hypocellular myelodysplastic syndrome and constitutional BM failure masquerading as apparent idiopathic AA should be done in conjunction with centers of excellence. Hematopoietic stem cell transplantation is indicated if refractory AA patients are fit and have a suitably matched donor, either a sibling (&gt;40-50 years) or unrelated donor. Patients lacking a fully matched donor should be considered for a second course of antithymocyte globulin plus cyclosporin, although response in the refractory setting is only </w:instrText>
      </w:r>
      <w:r w:rsidR="003115E7">
        <w:rPr>
          <w:rFonts w:ascii="Cambria Math" w:hAnsi="Cambria Math" w:cs="Cambria Math"/>
          <w:i/>
          <w:iCs/>
        </w:rPr>
        <w:instrText>∼</w:instrText>
      </w:r>
      <w:r w:rsidR="003115E7">
        <w:rPr>
          <w:i/>
          <w:iCs/>
        </w:rPr>
        <w:instrText>30% to 35%. Response may also occur with alemtuzumab or the thrombopoietin mimetic eltrombopag in refractory AA. The emerging data for alternate donor (cord or haploidentical) transplantation in AA has provided additional therapeutic choices to consider in refractory disease.","author":[{"dropping-particle":"","family":"Marsh","given":"Judith C W","non-dropping-particle":"","parse-names":false,"suffix":""},{"dropping-particle":"","family":"Kulasekararaj","given":"Austin G","non-dropping-particle":"","parse-names":false,"suffix":""}],"container-title":"Blood","id":"ITEM-2","issue":"22","issued":{"date-parts":[["2013","11"]]},"page":"3561-7","title":"Management of the refractory aplastic anemia patient: what are the options?","type":"article-journal","volume":"122"},"uris":["http://www.mendeley.com/documents/?uuid=70e24b08-e61e-4d29-a8b6-70a2cccbf452","http://www.mendeley.com/documents/?uuid=35cc91e8-37b8-4c6d-8212-2a10dba01c8a"]},{"id":"ITEM-3","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-3","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http://www.mendeley.com/documents/?uuid=04f43ef8-27db-488f-ab00-7ec6ea55e620"]}],"mendeley":{"formattedCitation":"[2,12,40]","plainTextFormattedCitation":"[2,12,40]","previouslyFormattedCitation":"[2,12,40]"},"properties":{"noteIndex":0},"schema":"https://github.com/citation-style-language/schema/raw/master/csl-citation.json"}</w:instrText>
      </w:r>
      <w:r w:rsidRPr="00F9313B">
        <w:rPr>
          <w:i/>
          <w:iCs/>
        </w:rPr>
        <w:fldChar w:fldCharType="separate"/>
      </w:r>
      <w:r w:rsidR="00083277" w:rsidRPr="00083277">
        <w:rPr>
          <w:iCs/>
          <w:noProof/>
        </w:rPr>
        <w:t>[2,12,40]</w:t>
      </w:r>
      <w:r w:rsidRPr="00F9313B">
        <w:rPr>
          <w:i/>
          <w:iCs/>
        </w:rPr>
        <w:fldChar w:fldCharType="end"/>
      </w:r>
      <w:r w:rsidRPr="00F9313B">
        <w:rPr>
          <w:i/>
          <w:iCs/>
        </w:rPr>
        <w:t xml:space="preserve">. Огромную роль в реализации программы лечения больных апластической анемией играет заместительная гемотрансфузионная терапия: трансфузии донорских клеток крови (эритроцитная взвесь и тромбоконцентраты) </w:t>
      </w:r>
      <w:r w:rsidRPr="00F9313B">
        <w:rPr>
          <w:i/>
          <w:iCs/>
        </w:rPr>
        <w:fldChar w:fldCharType="begin" w:fldLock="1"/>
      </w:r>
      <w:r w:rsidR="003115E7">
        <w:rPr>
          <w:i/>
          <w:iCs/>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id":"ITEM-2","itemData":{"DOI":"10.1046/j.1365-2141.2003.04468.x","author":[{"dropping-particle":"","family":"Kelsey","given":"P","non-dropping-particle":"","parse-names":false,"suffix":""},{"dropping-particle":"","family":"Murphy","given":"M F","non-dropping-particle":"","parse-names":false,"suffix":""},{"dropping-particle":"","family":"Brown","given":"M","non-dropping-particle":"","parse-names":false,"suffix":""},{"dropping-particle":"","family":"Carrington","given":"P","non-dropping-particle":"","parse-names":false,"suffix":""},{"dropping-particle":"","family":"Hall","given":"G","non-dropping-particle":"","parse-names":false,"suffix":""},{"dropping-particle":"","family":"Jeffrey","given":"R R","non-dropping-particle":"","parse-names":false,"suffix":""},{"dropping-particle":"","family":"Machin","given":"S","non-dropping-particle":"","parse-names":false,"suffix":""},{"dropping-particle":"","family":"Taylor","given":"C","non-dropping-particle":"","parse-names":false,"suffix":""},{"dropping-particle":"","family":"Thomas","given":"D","non-dropping-particle":"","parse-names":false,"suffix":""},{"dropping-particle":"","family":"Boulton","given":"F","non-dropping-particle":"","parse-names":false,"suffix":""},{"dropping-particle":"","family":"Bruce","given":"M","non-dropping-particle":"","parse-names":false,"suffix":""},{"dropping-particle":"","family":"Cohen","given":"H","non-dropping-particle":"","parse-names":false,"suffix":""},{"dropping-particle":"","family":"Duguid","given":"J","non-dropping-particle":"","parse-names":false,"suffix":""},{"dropping-particle":"","family":"Knowles","given":"S M","non-dropping-particle":"","parse-names":false,"suffix":""},{"dropping-particle":"","family":"Murphy","given":"M F","non-dropping-particle":"","parse-names":false,"suffix":""},{"dropping-particle":"","family":"Poole","given":"G","non-dropping-particle":"","parse-names":false,"suffix":""},{"dropping-particle":"","family":"Williamson","given":"L M","non-dropping-particle":"","parse-names":false,"suffix":""}],"container-title":"British Journal of Haematology","id":"ITEM-2","issue":"1","issued":{"date-parts":[["2003"]]},"page":"10-23","title":"Guidelines for the use of platelet transfusions","type":"article-journal","volume":"122"},"uris":["http://www.mendeley.com/documents/?uuid=ae13e39e-d447-4417-a36a-495acada282e","http://www.mendeley.com/documents/?uuid=a40b78a4-8a25-4dc3-91aa-cd77b82f1d80","http://www.mendeley.com/documents/?uuid=bcc98be7-7dde-4e4c-9ab4-e34b0c85d37e"]},{"id":"ITEM-3","itemData":{"DOI":"10.1111/j.1365-2141.2009.07842.x","ISBN":"1365-2141","ISSN":"00071048","PMID":"19673883","abstract":"BACKGROUND: The standard treatment for patients with diffuse large-B-cell lymphoma is cyclophosphamide, doxorubicin, vincristine, and prednisone (CHOP). Rituximab, a chimeric monoclonal antibody against the CD20 B-cell antigen, has therapeutic activity in diffuse large-B-cell lymphoma. We conducted a randomized trial to compare CHOP chemotherapy plus rituximab with CHOP alone in elderly patients with diffuse large-B-cell lymphoma. METHODS: Previously untreated patients with diffuse large-B-cell lymphoma, 60 to 80 years old, were randomly assigned to receive either eight cycles of CHOP every three weeks (197 patients) or eight cycles of CHOP plus rituximab given on day 1 of each cycle (202 patients). RESULTS: The rate of complete response was significantly higher in the group that received CHOP plus rituximab than in the group that received CHOP alone (76 percent vs. 63 percent, P=0.005). With a median follow-up of two years, event-free and overall survival times were significantly higher in the CHOP-plus-rituximab group (P&lt;0.001 and P=0.007, respectively). The addition of rituximab to standard CHOP chemotherapy significantly reduced the risk of treatment failure and death (risk ratios, 0.58 95 percent confidence interval, 0.44 to 0.77 and 0.64 0.45 to 0.89, respectively). Clinically relevant toxicity was not significantly greater with CHOP plus rituximab. CONCLUSIONS: The addition of rituximab to the CHOP regimen increases the complete-response rate and prolongs event-free and overall survival in elderly patients with diffuse large-B-cell lymphoma, without a clinically significant increase in toxicity.","author":[{"dropping-particle":"","family":"Marsh","given":"Judith C W","non-dropping-particle":"","parse-names":false,"suffix":""},{"dropping-particle":"","family":"Ball","given":"Sarah E.","non-dropping-particle":"","parse-names":false,"suffix":""},{"dropping-particle":"","family":"Cavenagh","given":"Jamie","non-dropping-particle":"","parse-names":false,"suffix":""},{"dropping-particle":"","family":"Darbyshire","given":"Phil","non-dropping-particle":"","parse-names":false,"suffix":""},{"dropping-particle":"","family":"Dokal","given":"Inderjeet","non-dropping-particle":"","parse-names":false,"suffix":""},{"dropping-particle":"","family":"Gordon-Smith","given":"Edward C.","non-dropping-particle":"","parse-names":false,"suffix":""},{"dropping-particle":"","family":"Keidan","given":"Jane","non-dropping-particle":"","parse-names":false,"suffix":""},{"dropping-particle":"","family":"Laurie","given":"Andrew","non-dropping-particle":"","parse-names":false,"suffix":""},{"dropping-particle":"","family":"Martin","given":"Anna","non-dropping-particle":"","parse-names":false,"suffix":""},{"dropping-particle":"","family":"Mercieca","given":"Jane","non-dropping-particle":"","parse-names":false,"suffix":""},{"dropping-particle":"","family":"Killick","given":"Sally B.","non-dropping-particle":"","parse-names":false,"suffix":""},{"dropping-particle":"","family":"Stewart","given":"Rhona","non-dropping-particle":"","parse-names":false,"suffix":""},{"dropping-particle":"","family":"Yin","given":"John A L","non-dropping-particle":"","parse-names":false,"suffix":""}],"container-title":"British Journal of Haematology","id":"ITEM-3","issue":"1","issued":{"date-parts":[["2009"]]},"page":"43-70","title":"Guidelines for the diagnosis and management of aplastic anaemia","type":"article-journal","volume":"147"},"uris":["http://www.mendeley.com/documents/?uuid=e9add32b-b599-49df-af4d-63324be11069","http://www.mendeley.com/documents/?uuid=5a64073a-94c6-4a24-9a5c-6249d3e8d0dc","http://www.mendeley.com/documents/?uuid=31416412-79fb-41da-a460-b717ace8001b"]}],"mendeley":{"formattedCitation":"[12,17,22]","plainTextFormattedCitation":"[12,17,22]","previouslyFormattedCitation":"[12,17,22]"},"properties":{"noteIndex":0},"schema":"https://github.com/citation-style-language/schema/raw/master/csl-citation.json"}</w:instrText>
      </w:r>
      <w:r w:rsidRPr="00F9313B">
        <w:rPr>
          <w:i/>
          <w:iCs/>
        </w:rPr>
        <w:fldChar w:fldCharType="separate"/>
      </w:r>
      <w:r w:rsidR="00083277" w:rsidRPr="00083277">
        <w:rPr>
          <w:iCs/>
          <w:noProof/>
        </w:rPr>
        <w:t>[12,17,22]</w:t>
      </w:r>
      <w:r w:rsidRPr="00F9313B">
        <w:rPr>
          <w:i/>
          <w:iCs/>
        </w:rPr>
        <w:fldChar w:fldCharType="end"/>
      </w:r>
      <w:r w:rsidRPr="00F9313B">
        <w:rPr>
          <w:i/>
          <w:iCs/>
        </w:rPr>
        <w:t>.</w:t>
      </w:r>
    </w:p>
    <w:p w14:paraId="59E73B5A" w14:textId="4BED6543" w:rsidR="00F9313B" w:rsidRPr="00F9313B" w:rsidRDefault="00F9313B" w:rsidP="00F9313B">
      <w:pPr>
        <w:pStyle w:val="afd"/>
        <w:spacing w:line="360" w:lineRule="auto"/>
        <w:ind w:firstLine="709"/>
        <w:contextualSpacing/>
        <w:rPr>
          <w:i/>
          <w:iCs/>
        </w:rPr>
      </w:pPr>
      <w:r w:rsidRPr="00F9313B">
        <w:rPr>
          <w:i/>
          <w:iCs/>
        </w:rPr>
        <w:t>ТГСК в р</w:t>
      </w:r>
      <w:r w:rsidR="00C201AD">
        <w:rPr>
          <w:i/>
          <w:iCs/>
        </w:rPr>
        <w:t xml:space="preserve">амках алгоритма лечения пациентов с </w:t>
      </w:r>
      <w:r w:rsidRPr="00F9313B">
        <w:rPr>
          <w:i/>
          <w:iCs/>
        </w:rPr>
        <w:t xml:space="preserve">АА занимает определенное место: наличие  </w:t>
      </w:r>
      <w:r w:rsidRPr="00F9313B">
        <w:rPr>
          <w:i/>
          <w:iCs/>
          <w:lang w:val="en-US"/>
        </w:rPr>
        <w:t>HLA</w:t>
      </w:r>
      <w:r w:rsidRPr="00F9313B">
        <w:rPr>
          <w:i/>
          <w:iCs/>
        </w:rPr>
        <w:t>-идентичного  родственного донора, молодой возраст, короткий гемотрансфузионный анамнез и тяжелая форма заболевания</w:t>
      </w:r>
      <w:r w:rsidRPr="00F9313B">
        <w:rPr>
          <w:i/>
          <w:iCs/>
          <w:lang w:val="en-US"/>
        </w:rPr>
        <w:t> </w:t>
      </w:r>
      <w:r w:rsidRPr="00F9313B">
        <w:rPr>
          <w:i/>
          <w:iCs/>
        </w:rPr>
        <w:t xml:space="preserve">— условия, при которых ТГСК может рассматриваться как терапия выбора (терапия 1 линии) </w:t>
      </w:r>
      <w:r w:rsidRPr="00F9313B">
        <w:rPr>
          <w:i/>
          <w:iCs/>
        </w:rPr>
        <w:fldChar w:fldCharType="begin" w:fldLock="1"/>
      </w:r>
      <w:r w:rsidR="003115E7">
        <w:rPr>
          <w:i/>
          <w:iCs/>
        </w:rPr>
        <w:instrText>ADDIN CSL_CITATION {"citationItems":[{"id":"ITEM-1","itemData":{"ISSN":"00371963","abstract":"Patients with severe aplastic anemia (SAA) can be successfully treated with bone marrow transplantation (BMT) or immunosuppressive therapy (IS). The current outcome using both forms of therapy among 3,669 patients treated in Europe between 1976 and 1998 is reviewed. Significant progress has been made and the overall risk of failure is now low, with survival rates greater than 80% for both treatments. Chronic graft-versus-host disease (GvHD) remains a problem for BMT patients, and carries a high risk of lethal complications. On the other hand, IS patients are exposed to late failure due to relapse or clonal/malignant diseases. First-line BMT from identical siblings is compared with IS therapy in an intent-to-treat analysis of 1,765 patients, regardless of subsequent transplant status. The outcome of SAA patients has improved considerably over time and is influenced by patient variables such as severity of the disease and age, but also by the choice of the Initial treatment. Copyright (C) 2000 by W.B. Saunders Company.","author":[{"dropping-particle":"","family":"Bacigalupo","given":"Andrea","non-dropping-particle":"","parse-names":false,"suffix":""},{"dropping-particle":"","family":"Brand","given":"Ronald","non-dropping-particle":"","parse-names":false,"suffix":""},{"dropping-particle":"","family":"Oneto","given":"Rosi","non-dropping-particle":"","parse-names":false,"suffix":""},{"dropping-particle":"","family":"Bruno","given":"Barbara","non-dropping-particle":"","parse-names":false,"suffix":""},{"dropping-particle":"","family":"Socié","given":"Gerard","non-dropping-particle":"","parse-names":false,"suffix":""},{"dropping-particle":"","family":"Passweg","given":"Jakob","non-dropping-particle":"","parse-names":false,"suffix":""},{"dropping-particle":"","family":"Locasciulli","given":"Anna","non-dropping-particle":"","parse-names":false,"suffix":""},{"dropping-particle":"","family":"Lint","given":"Maria Teresa","non-dropping-particle":"Van","parse-names":false,"suffix":""},{"dropping-particle":"","family":"Tichelli","given":"André","non-dropping-particle":"","parse-names":false,"suffix":""},{"dropping-particle":"","family":"McCann","given":"Shaun","non-dropping-particle":"","parse-names":false,"suffix":""},{"dropping-particle":"","family":"Marsh","given":"Judith","non-dropping-particle":"","parse-names":false,"suffix":""},{"dropping-particle":"","family":"Ljungman","given":"Per","non-dropping-particle":"","parse-names":false,"suffix":""},{"dropping-particle":"","family":"Hows","given":"Jill","non-dropping-particle":"","parse-names":false,"suffix":""},{"dropping-particle":"","family":"Marin","given":"Pedro","non-dropping-particle":"","parse-names":false,"suffix":""},{"dropping-particle":"","family":"Schrezenmeier","given":"Hubert","non-dropping-particle":"","parse-names":false,"suffix":""}],"container-title":"Seminars in Hematology","id":"ITEM-1","issue":"1","issued":{"date-parts":[["2000"]]},"page":"69-80","title":"Treatment of acquired severe aplastic anemia: Bone marrow transplantation compared with immunosuppressive therapy - The European Group for blood and marrow transplantation experience","type":"article-journal","volume":"37"},"uris":["http://www.mendeley.com/documents/?uuid=94427aad-6443-45b5-b5d7-c4736820c63a","http://www.mendeley.com/documents/?uuid=e1d2ce93-1d0a-4cf8-a541-fd3d3bd8fc4f"]}],"mendeley":{"formattedCitation":"[41]","plainTextFormattedCitation":"[41]","previouslyFormattedCitation":"[41]"},"properties":{"noteIndex":0},"schema":"https://github.com/citation-style-language/schema/raw/master/csl-citation.json"}</w:instrText>
      </w:r>
      <w:r w:rsidRPr="00F9313B">
        <w:rPr>
          <w:i/>
          <w:iCs/>
        </w:rPr>
        <w:fldChar w:fldCharType="separate"/>
      </w:r>
      <w:r w:rsidR="00083277" w:rsidRPr="00083277">
        <w:rPr>
          <w:iCs/>
          <w:noProof/>
        </w:rPr>
        <w:t>[41]</w:t>
      </w:r>
      <w:r w:rsidRPr="00F9313B">
        <w:rPr>
          <w:i/>
          <w:iCs/>
        </w:rPr>
        <w:fldChar w:fldCharType="end"/>
      </w:r>
      <w:r w:rsidRPr="00F9313B">
        <w:rPr>
          <w:i/>
          <w:iCs/>
        </w:rPr>
        <w:t xml:space="preserve">. Существенным недостатком этого метода является ограниченная возможность применения, связанная с отсутствием родственного донора костного мозга у большинства взрослых больных. Тем не менее, ТГСК в настоящее время рассматривается как терапия выбора на первом этапе лечения молодых  больных  тяжелой апластической анемией, имеющих </w:t>
      </w:r>
      <w:r w:rsidRPr="00F9313B">
        <w:rPr>
          <w:i/>
          <w:iCs/>
          <w:lang w:val="en-US"/>
        </w:rPr>
        <w:t>HLA</w:t>
      </w:r>
      <w:r w:rsidRPr="00F9313B">
        <w:rPr>
          <w:i/>
          <w:iCs/>
        </w:rPr>
        <w:t xml:space="preserve">-идентичного родственного донора костного мозга </w:t>
      </w:r>
      <w:r w:rsidRPr="00F9313B">
        <w:rPr>
          <w:i/>
          <w:iCs/>
        </w:rPr>
        <w:fldChar w:fldCharType="begin" w:fldLock="1"/>
      </w:r>
      <w:r w:rsidR="003115E7">
        <w:rPr>
          <w:i/>
          <w:iCs/>
        </w:rPr>
        <w:instrText>ADDIN CSL_CITATION {"citationItems":[{"id":"ITEM-1","itemData":{"DOI":"10.1111/j.1365-2141.1989.tb00230.x","ISSN":"13652141","author":[{"dropping-particle":"","family":"Bacigalupo","given":"A.","non-dropping-particle":"","parse-names":false,"suffix":""},{"dropping-particle":"","family":"Würsch","given":"A.","non-dropping-particle":"","parse-names":false,"suffix":""},{"dropping-particle":"","family":"Hows","given":"Jill M.","non-dropping-particle":"","parse-names":false,"suffix":""},{"dropping-particle":"","family":"Devergie","given":"Agnes","non-dropping-particle":"","parse-names":false,"suffix":""},{"dropping-particle":"","family":"Frickhofen","given":"N.","non-dropping-particle":"","parse-names":false,"suffix":""},{"dropping-particle":"","family":"Brand","given":"Anneke","non-dropping-particle":"","parse-names":false,"suffix":""},{"dropping-particle":"","family":"Nissen","given":"Catherine","non-dropping-particle":"","parse-names":false,"suffix":""}],"container-title":"British Journal of Haematology","id":"ITEM-1","issue":"1","issued":{"date-parts":[["1989"]]},"page":"121-126","title":"Long‐term follow‐up of severe aplastic anaemia patients treated with antithymocyte globulin","type":"article-journal","volume":"73"},"uris":["http://www.mendeley.com/documents/?uuid=c3c48e68-f7d4-3bd2-8f7b-52ac6dacf6b4","http://www.mendeley.com/documents/?uuid=523c1271-ca1a-4b8e-b789-521e5c8722a2"]},{"id":"ITEM-2","itemData":{"DOI":"10.1001/jama.289.9.1130","ISSN":"00987484","abstract":"CONTEXT: In most patients, aplastic anemia results from T-cell-mediated immune destruction of bone marrow. Aplastic anemia can be effectively treated by stem cell transplantation or immunosuppression. OBJECTIVE: To assess long-term outcomes after immunosuppressive therapy. DESIGN, SETTING, AND PATIENTS: Cohort of 122 patients (31 were &lt; or =18 years and 91 were &gt;18 years) with severe aplastic anemia, as determined by bone marrow cellularity and blood cell count criteria, were enrolled in a single-arm interventional research protocol from 1991 to 1998 at a federal government research hospital. INTERVENTIONS: A dose of 40 mg/kg per day of antithymocyte globulin administered for 4 days, 10 to 12 mg/kg per day of cyclosporine for 6 months (adjusted for blood levels), and a short course of corticosteroids (1 mg/d of methylprednisolone for about 2 weeks). MAIN OUTCOME MEASURES: Survival, improvement of pancytopenia and transfusion-independence, relapse, and evolution to other hematologic diseases. RESULTS: Response rates were 60% at 3 months after initiation of treatment, 61% at 6 months, and 58% at 1 year. The blood cell counts of patients who responded no longer satisfied severity criteria and they were transfusion-independent. Overall actuarial survival at 7 years was 55%. Survival was associated with early satisfaction of response criteria (86% vs 40% at 5 years; P&lt;.001) and by blood counts at 3 months (reticulocyte count or platelet count of &gt;50 x 10(3)/ microL predicted survival at 5 years of 90% [64/71] vs 42% [12/34] for patients with less robust recovery [P&lt;.001 by log-rank test]). There were no deaths among responders more than 3 years after treatment. Relapse was common, but severe pancytopenia usually did not recur. Relapse did not influence survival. Thirteen patients showed evolution to other hematologic diseases, including monosomy 7. CONCLUSIONS: Approximately half of patients with severe aplastic anemia treated with antithymocyte globulin and cyclosporine have durable recovery and excellent long-term survival. These outcomes were related to the quality of hematologic recovery.","author":[{"dropping-particle":"","family":"Rosenfeld","given":"Stephen","non-dropping-particle":"","parse-names":false,"suffix":""},{"dropping-particle":"","family":"Follmann","given":"Dean","non-dropping-particle":"","parse-names":false,"suffix":""},{"dropping-particle":"","family":"Nunez","given":"Olga","non-dropping-particle":"","parse-names":false,"suffix":""},{"dropping-particle":"","family":"Young","given":"Neal S.","non-dropping-particle":"","parse-names":false,"suffix":""}],"container-title":"Journal of the American Medical Association","id":"ITEM-2","issue":"9","issued":{"date-parts":[["2003","3","5"]]},"page":"1130-1135","title":"Antithymocyte Globulin and Cyclosporine for Severe Aplastic Anemia: Association between Hematologic Response and Long-term Outcome","type":"article-journal","volume":"289"},"uris":["http://www.mendeley.com/documents/?uuid=1e4be8b9-3b1d-3c0a-bf41-cc4ccaa2f8d6","http://www.mendeley.com/documents/?uuid=36abbf00-9a0b-4232-b9ee-ebeb99bf37e6"]}],"mendeley":{"formattedCitation":"[42,43]","plainTextFormattedCitation":"[42,43]","previouslyFormattedCitation":"[42,43]"},"properties":{"noteIndex":0},"schema":"https://github.com/citation-style-language/schema/raw/master/csl-citation.json"}</w:instrText>
      </w:r>
      <w:r w:rsidRPr="00F9313B">
        <w:rPr>
          <w:i/>
          <w:iCs/>
        </w:rPr>
        <w:fldChar w:fldCharType="separate"/>
      </w:r>
      <w:r w:rsidR="00083277" w:rsidRPr="00083277">
        <w:rPr>
          <w:iCs/>
          <w:noProof/>
        </w:rPr>
        <w:t>[42,43]</w:t>
      </w:r>
      <w:r w:rsidRPr="00F9313B">
        <w:rPr>
          <w:i/>
          <w:iCs/>
        </w:rPr>
        <w:fldChar w:fldCharType="end"/>
      </w:r>
      <w:r w:rsidRPr="00F9313B">
        <w:rPr>
          <w:i/>
          <w:iCs/>
        </w:rPr>
        <w:t xml:space="preserve">. </w:t>
      </w:r>
      <w:r w:rsidRPr="00F9313B">
        <w:rPr>
          <w:i/>
          <w:iCs/>
        </w:rPr>
        <w:lastRenderedPageBreak/>
        <w:t xml:space="preserve">Поэтому, уже при диагностировании АА необходимо выполнение </w:t>
      </w:r>
      <w:r w:rsidRPr="00F9313B">
        <w:rPr>
          <w:i/>
          <w:iCs/>
          <w:lang w:val="en-US"/>
        </w:rPr>
        <w:t>HLA</w:t>
      </w:r>
      <w:r w:rsidR="00C201AD">
        <w:rPr>
          <w:i/>
          <w:iCs/>
        </w:rPr>
        <w:t>-типирования пациентов</w:t>
      </w:r>
      <w:r w:rsidRPr="00F9313B">
        <w:rPr>
          <w:i/>
          <w:iCs/>
        </w:rPr>
        <w:t xml:space="preserve"> и поиск возможного родственного донора. Абсолютным показанием к проведению ТГСК при АА на любом этапе течения болезни является выявление при цитогенетическом исследовании неблагоприятных хромосомных аберраций и, прежде всего, моносомии 7 хромосомы, свидетельствующие о прогрессии в МДС или ОМЛ.</w:t>
      </w:r>
    </w:p>
    <w:p w14:paraId="16DCCE27" w14:textId="53679E93" w:rsidR="00F9313B" w:rsidRPr="00F9313B" w:rsidRDefault="00F9313B" w:rsidP="00F9313B">
      <w:pPr>
        <w:pStyle w:val="afd"/>
        <w:spacing w:line="360" w:lineRule="auto"/>
        <w:ind w:firstLine="709"/>
        <w:contextualSpacing/>
        <w:rPr>
          <w:i/>
          <w:iCs/>
        </w:rPr>
      </w:pPr>
      <w:r w:rsidRPr="00F9313B">
        <w:rPr>
          <w:i/>
          <w:iCs/>
        </w:rPr>
        <w:t>Совершенствование иммуносупрессивной терапии, реализация программы на ранних этапах течения болезни позволили значительно повысить эффективность лечения апластической анемии: вероятность</w:t>
      </w:r>
      <w:r w:rsidR="00C201AD">
        <w:rPr>
          <w:i/>
          <w:iCs/>
        </w:rPr>
        <w:t xml:space="preserve"> длительной выживаемости пациентов с </w:t>
      </w:r>
      <w:r w:rsidRPr="00F9313B">
        <w:rPr>
          <w:i/>
          <w:iCs/>
        </w:rPr>
        <w:t xml:space="preserve"> апластической анемией возросла до 80 - 90% </w:t>
      </w:r>
      <w:r w:rsidRPr="00F9313B">
        <w:rPr>
          <w:i/>
          <w:iCs/>
        </w:rPr>
        <w:fldChar w:fldCharType="begin" w:fldLock="1"/>
      </w:r>
      <w:r w:rsidR="003115E7">
        <w:rPr>
          <w:i/>
          <w:iCs/>
        </w:rPr>
        <w:instrText>ADDIN CSL_CITATION {"citationItems":[{"id":"ITEM-1","itemData":{"abstract":"The efficiency of repeated courses of antithymocytic globulin (ATG) and algorithm thereof in combination with long-term cyclosporin A (CsA) therapy were studied. The incidence and time course of the cell clone characteristic of paroxysmal nocturnal hemoglobinuria (PNH clone) were studied in patients with aplastic anemia (AA) at different stages of immunosuppressive therapy (IST). The therapeutic algorithm used in the study led to positive response in the majority (84.9%) of AA patients. Remission was attained in 76.7% responding patients, complete remission in 76.8% of these. The majority of patients (61.6%) responded to therapy after the first course of ATG. Clinical hematological improvement was attained in 52.8% patients after 3 months of therapy; after 6 months common response was recorded in 83.4% patients. This period (3-6 months after the beginning of IST) should be regarded, in cases without response to ATG course 1, as the optimal for ATG course 2. Course 2 of ATG led to positive response in 16 more patients, that is, 80.2% patients responded to therapy after two ATG courses. Patients with AA not responding to therapy after two courses of ATG 6-9 months after the beginning of treatment could be referred to the group of patients with refractory AA. Overall and uneventful 7-year survival of AA patients after combined 1ST was 89% (95% CI 83-96%) and 93% (95% CI 88-97%), respectively. The PNH clone was detected before 1ST in 20 (61%) of 33 patients with AA. The median of PNH clone for granulocytes was 1.93% (0.1-99.5%). The clone emerged and persisted in 6 (46%) of 13 patients in whom it was detected before 1ST. All six patients responded to 1ST. Seventeen (85%) of 20 AA patients with PNH clone, detected before IST, responded to IST. In the remaining 3 (15%) patients the PNH clone reduced more than 5-fold, up to complete elimination. Of AA patients without PNH clone before therapy, 8 (61%) responded to therapy. Our results confirmed the probability of response to 1ST in AA patients with PNH clone. The results of combined IST in AA patients indicated high efficiency of the protocol including repeated ATG courses and lonc CsA therapy.","author":[{"dropping-particle":"","family":"Михайлова Е.А., Фидарова З.Т., Устинова Е.Н., Троицкая В.В., Гальцева И.В., Шитарева И.В.","given":"и др.","non-dropping-particle":"","parse-names":false,"suffix":""}],"container-title":"Гематология и трансфузиология","id":"ITEM-1","issue":"4","issued":{"date-parts":[["2014"]]},"page":"11-18","title":"Комбинированная иммуносупрессивная теарпия у больных апластической анемией: эффективность повторных курсов.","type":"article-journal","volume":"59"},"uris":["http://www.mendeley.com/documents/?uuid=bcaf4d8e-0fd8-42e5-bb70-54f907ba41fb","http://www.mendeley.com/documents/?uuid=d9d5e99e-b088-410a-b737-8c966612717c"]},{"id":"ITEM-2","itemData":{"DOI":"10.1111/j.1365-2141.2008.07450.x","abstract":"Horse anti-thymocyte globulin (h-ATG) and ciclosporin are the initial therapy for most patients with severe aplastic anaemia (SAA), but there is no practical and reliable method to predict response to this treatment. To determine whether pretreatment blood counts discriminate patients with SAA who have a higher likelihood of haematological response at 6 months to immunosuppressive therapy (IST), we conducted a single institution retrospective analysis on 316 SAA patients treated with h-ATG-based IST from 1989 to 2005. In multivariate analysis, younger age, higher baseline absolute reticulocyte count (ARC), and absolute lymphocyte count (ALC) were highly predictive of response at 6 months. Patients with baseline ARC ≥ 25 × 10 9 /l and ALC ≥ 1 × 10 9 /l had a much greater probability of response at 6 months following IST compared to those with lower ARC and ALC (83% vs. 41%, respectively; P  &lt;  0.001). This higher likelihood of response translated to greater rate of 5-year survival in patients in the high ARC/ALC group (92%) compared to those with a low ARC/ALC (53%). In the era of IST, the baseline ARC and ALC together serve as a simple predictor of response following IST, which should guide in risk stratification among patients with SAA.","author":[{"dropping-particle":"","family":"Scheinberg","given":"P.","non-dropping-particle":"","parse-names":false,"suffix":""},{"dropping-particle":"","family":"Wu","given":"C.O.","non-dropping-particle":"","parse-names":false,"suffix":""},{"dropping-particle":"","family":"Nunez","given":"O.","non-dropping-particle":"","parse-names":false,"suffix":""},{"dropping-particle":"","family":"Young","given":"N.S.","non-dropping-particle":"","parse-names":false,"suffix":""}],"container-title":"British Journal of Haematology","id":"ITEM-2","issue":"2","issued":{"date-parts":[["2009"]]},"page":"206-216","title":"Predicting response to immunosuppressive therapy and survival in severe aplastic anaemia","type":"article-journal","volume":"144"},"uris":["http://www.mendeley.com/documents/?uuid=5c81da74-b3c5-31a8-8dfa-fc2c09818951","http://www.mendeley.com/documents/?uuid=928fbf0f-8258-458c-af1f-2902a3058a17"]}],"mendeley":{"formattedCitation":"[44,45]","plainTextFormattedCitation":"[44,45]","previouslyFormattedCitation":"[44,45]"},"properties":{"noteIndex":0},"schema":"https://github.com/citation-style-language/schema/raw/master/csl-citation.json"}</w:instrText>
      </w:r>
      <w:r w:rsidRPr="00F9313B">
        <w:rPr>
          <w:i/>
          <w:iCs/>
        </w:rPr>
        <w:fldChar w:fldCharType="separate"/>
      </w:r>
      <w:r w:rsidR="00083277" w:rsidRPr="00083277">
        <w:rPr>
          <w:iCs/>
          <w:noProof/>
        </w:rPr>
        <w:t>[44,45]</w:t>
      </w:r>
      <w:r w:rsidRPr="00F9313B">
        <w:rPr>
          <w:i/>
          <w:iCs/>
        </w:rPr>
        <w:fldChar w:fldCharType="end"/>
      </w:r>
      <w:r w:rsidRPr="00F9313B">
        <w:rPr>
          <w:i/>
          <w:iCs/>
        </w:rPr>
        <w:t>. Эффективность лечения в первую очередь зависит от своевременной диагностики апластической анемии, от тяжести з</w:t>
      </w:r>
      <w:r w:rsidR="00DD2420">
        <w:rPr>
          <w:i/>
          <w:iCs/>
        </w:rPr>
        <w:t>аболевания, от возраста пациент</w:t>
      </w:r>
      <w:r w:rsidR="00C201AD">
        <w:rPr>
          <w:i/>
          <w:iCs/>
        </w:rPr>
        <w:t>а</w:t>
      </w:r>
      <w:r w:rsidRPr="00F9313B">
        <w:rPr>
          <w:i/>
          <w:iCs/>
        </w:rPr>
        <w:t xml:space="preserve">, сопутствующей патологии и возможности проведения   комбинированной иммуносупрессивной  терапии или ТГСК  уже на первых этапах лечения </w:t>
      </w:r>
      <w:r w:rsidRPr="00F9313B">
        <w:rPr>
          <w:i/>
          <w:iCs/>
        </w:rPr>
        <w:fldChar w:fldCharType="begin" w:fldLock="1"/>
      </w:r>
      <w:r w:rsidR="003115E7">
        <w:rPr>
          <w:i/>
          <w:iCs/>
        </w:rPr>
        <w:instrText>ADDIN CSL_CITATION {"citationItems":[{"id":"ITEM-1","itemData":{"DOI":"10.1186/1741-7015-9-41","abstract":"A tumour biomarker is a characteristic that is objectively measured and evaluated in tumour samples as an indicator of normal biological processes, pathogenic processes, or pharmacologic responses to a therapeutic intervention. The development of a biomarker contemplates distinct phases, including discovery by hypothesis-generating preclinical or exploratory studies, development and qualification of the assay for the identification of the biomarker in clinical samples, and validation of its clinical significance. Although guidelines for the development and validation of biomarkers are available, their implementation is challenging, owing to the diversity of biomarkers being developed. The term 'validation' undoubtedly has several meanings; however, in the context of biomarker research, a test may be considered valid if it is 'fit for purpose'. In the process of validation of a biomarker assay, a key point is the validation of the methodology. Here we discuss the challenges for the technical validation of immunohistochemical and gene expression assays to detect tumour biomarkers and provide suggestions of pragmatic solutions to address these challenges. © 2011 Marchiò et al; licensee BioMed Central Ltd.","author":[{"dropping-particle":"","family":"Marchiò","given":"C.","non-dropping-particle":"","parse-names":false,"suffix":""},{"dropping-particle":"","family":"Dowsett","given":"M.","non-dropping-particle":"","parse-names":false,"suffix":""},{"dropping-particle":"","family":"Reis-Filho","given":"J.S.","non-dropping-particle":"","parse-names":false,"suffix":""}],"container-title":"BMC Medicine","id":"ITEM-1","issued":{"date-parts":[["2011"]]},"title":"Revisiting the technical validation of tumour biomarker assays: How to open a Pandora's box","type":"article-journal","volume":"9"},"uris":["http://www.mendeley.com/documents/?uuid=f814e65b-f9ce-4a97-86cd-c41f028de2c7","http://www.mendeley.com/documents/?uuid=7e12b85f-ba18-4165-bb19-cc7a473c51a5"]},{"id":"ITEM-2","itemData":{"ISSN":"00071048","abstract":"This is an analysis of 509 patients with severe aplastic anaemia (SAA) treated in Europe between 1981 and 1986; 218 patients were treated by allogeneic bone marrow transplantation (BMT) from HLA identical sibling donors and 291 with immunosuppressive therapy (IS) with antilymphocyte globulin (ALG). The overall actuarial survival was 63% after BMT and 61% after IS therapy at 6 years. All patients fulfilled the criteria of SAA; however, most patients with a neutrophil count of &lt; 0.2 x 109/l also had infections and haemorrhages. Therefore a further subcassification was defined by pretreatment peripheral blood neutrophil count: very severe aplastic anaemia (vSAA) (&lt; 0.2 x 109/l neutrophils) and moderately severe aplastic anaemia (mSAA) (0.2-0.5 x 109/l neutrophils). A Cox regression analysis showed that the only significant pre-treatment variables were a low neutrophil count (P = 0.001) and increasing age (P = 0.05). Thus it seemed reasonable to analyse survival data after combined stratification for neutrophils (vSAA versus mSAA) and age (cut off at 20 years). BMT was superior to IS in patients with vSAA under 20 years of age (64% v. 38%; P = 0.01). IS was superior to BMT in patients with mSAA aged 20 or more (82% v. 62%; P = 0.002). The two treatments gave comparable results in young patients with mSAA (BMT = 58%, IS = 62%; P = 0.1), and in older patients with vSAA (BMT = 44%, IS = 43%; P = 0.06). Overall 75/218 and 87/291 patients, given BMT or IS respectively, died. The major cause of failure in BMT patients was graft rejection (n = 22) or problems associated with graft-versus-host disease. For ALG patients the major problem was persistence of the aplasia with haemorrhage (n = 32) or infections (n = 46). This study indicates that over 60% of patients with SAA can be successfully treated with either BMT or IS. Overall survival does not differ in the two groups, though significant differences emerge after stratification for severity of the aplasia and age.","author":[{"dropping-particle":"","family":"Bacigalupo","given":"A.","non-dropping-particle":"","parse-names":false,"suffix":""},{"dropping-particle":"","family":"Hows","given":"J.","non-dropping-particle":"","parse-names":false,"suffix":""},{"dropping-particle":"","family":"Gluckman","given":"E.","non-dropping-particle":"","parse-names":false,"suffix":""},{"dropping-particle":"","family":"Nissen","given":"C.","non-dropping-particle":"","parse-names":false,"suffix":""},{"dropping-particle":"","family":"Marsh","given":"J.","non-dropping-particle":"","parse-names":false,"suffix":""},{"dropping-particle":"","family":"Lint","given":"M. T.","non-dropping-particle":"Van","parse-names":false,"suffix":""},{"dropping-particle":"","family":"Congiu","given":"M.","non-dropping-particle":"","parse-names":false,"suffix":""},{"dropping-particle":"","family":"Planque","given":"M. M.","non-dropping-particle":"De","parse-names":false,"suffix":""},{"dropping-particle":"","family":"Ernst","given":"P.","non-dropping-particle":"","parse-names":false,"suffix":""},{"dropping-particle":"","family":"McCann","given":"S.","non-dropping-particle":"","parse-names":false,"suffix":""},{"dropping-particle":"","family":"Ragavashar","given":"A.","non-dropping-particle":"","parse-names":false,"suffix":""},{"dropping-particle":"","family":"Frickhofen","given":"N.","non-dropping-particle":"","parse-names":false,"suffix":""},{"dropping-particle":"","family":"Wursch","given":"A.","non-dropping-particle":"","parse-names":false,"suffix":""},{"dropping-particle":"","family":"Marmont","given":"A. M.","non-dropping-particle":"","parse-names":false,"suffix":""},{"dropping-particle":"","family":"Cordon-Smith","given":"E. C.","non-dropping-particle":"","parse-names":false,"suffix":""}],"container-title":"British Journal of Haematology","id":"ITEM-2","issue":"2","issued":{"date-parts":[["1988"]]},"page":"177-182","title":"Bone marrow transplantation (BMT) versus immunosuppression for the treatment of severe aplastic anaemia (SAA): A report of the EBMT SAA Working Party","type":"article-journal","volume":"70"},"uris":["http://www.mendeley.com/documents/?uuid=510f6e8c-c352-403b-b621-52e21b44ff5a","http://www.mendeley.com/documents/?uuid=b9f04848-396a-4257-a31a-d8196291f4ca"]},{"id":"ITEM-3","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-3","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терапия","type":"chapter"},"uris":["http://www.mendeley.com/documents/?uuid=413fbfc6-d5c2-44d1-9422-1094132713b2"]},{"id":"ITEM-4","itemData":{"DOI":"10.1111/j.1365-2141.2009.07842.x","ISBN":"1365-2141","ISSN":"00071048","PMID":"19673883","abstract":"BACKGROUND: The standard treatment for patients with diffuse large-B-cell lymphoma is cyclophosphamide, doxorubicin, vincristine, and prednisone (CHOP). Rituximab, a chimeric monoclonal antibody against the CD20 B-cell antigen, has therapeutic activity in diffuse large-B-cell lymphoma. We conducted a randomized trial to compare CHOP chemotherapy plus rituximab with CHOP alone in elderly patients with diffuse large-B-cell lymphoma. METHODS: Previously untreated patients with diffuse large-B-cell lymphoma, 60 to 80 years old, were randomly assigned to receive either eight cycles of CHOP every three weeks (197 patients) or eight cycles of CHOP plus rituximab given on day 1 of each cycle (202 patients). RESULTS: The rate of complete response was significantly higher in the group that received CHOP plus rituximab than in the group that received CHOP alone (76 percent vs. 63 percent, P=0.005). With a median follow-up of two years, event-free and overall survival times were significantly higher in the CHOP-plus-rituximab group (P&lt;0.001 and P=0.007, respectively). The addition of rituximab to standard CHOP chemotherapy significantly reduced the risk of treatment failure and death (risk ratios, 0.58 95 percent confidence interval, 0.44 to 0.77 and 0.64 0.45 to 0.89, respectively). Clinically relevant toxicity was not significantly greater with CHOP plus rituximab. CONCLUSIONS: The addition of rituximab to the CHOP regimen increases the complete-response rate and prolongs event-free and overall survival in elderly patients with diffuse large-B-cell lymphoma, without a clinically significant increase in toxicity.","author":[{"dropping-particle":"","family":"Marsh","given":"Judith C W","non-dropping-particle":"","parse-names":false,"suffix":""},{"dropping-particle":"","family":"Ball","given":"Sarah E.","non-dropping-particle":"","parse-names":false,"suffix":""},{"dropping-particle":"","family":"Cavenagh","given":"Jamie","non-dropping-particle":"","parse-names":false,"suffix":""},{"dropping-particle":"","family":"Darbyshire","given":"Phil","non-dropping-particle":"","parse-names":false,"suffix":""},{"dropping-particle":"","family":"Dokal","given":"Inderjeet","non-dropping-particle":"","parse-names":false,"suffix":""},{"dropping-particle":"","family":"Gordon-Smith","given":"Edward C.","non-dropping-particle":"","parse-names":false,"suffix":""},{"dropping-particle":"","family":"Keidan","given":"Jane","non-dropping-particle":"","parse-names":false,"suffix":""},{"dropping-particle":"","family":"Laurie","given":"Andrew","non-dropping-particle":"","parse-names":false,"suffix":""},{"dropping-particle":"","family":"Martin","given":"Anna","non-dropping-particle":"","parse-names":false,"suffix":""},{"dropping-particle":"","family":"Mercieca","given":"Jane","non-dropping-particle":"","parse-names":false,"suffix":""},{"dropping-particle":"","family":"Killick","given":"Sally B.","non-dropping-particle":"","parse-names":false,"suffix":""},{"dropping-particle":"","family":"Stewart","given":"Rhona","non-dropping-particle":"","parse-names":false,"suffix":""},{"dropping-particle":"","family":"Yin","given":"John A L","non-dropping-particle":"","parse-names":false,"suffix":""}],"container-title":"British Journal of Haematology","id":"ITEM-4","issue":"1","issued":{"date-parts":[["2009"]]},"page":"43-70","title":"Guidelines for the diagnosis and management of aplastic anaemia","type":"article-journal","volume":"147"},"uris":["http://www.mendeley.com/documents/?uuid=e9add32b-b599-49df-af4d-63324be11069"]}],"mendeley":{"formattedCitation":"[12,17,46,47]","plainTextFormattedCitation":"[12,17,46,47]","previouslyFormattedCitation":"[12,17,46,47]"},"properties":{"noteIndex":0},"schema":"https://github.com/citation-style-language/schema/raw/master/csl-citation.json"}</w:instrText>
      </w:r>
      <w:r w:rsidRPr="00F9313B">
        <w:rPr>
          <w:i/>
          <w:iCs/>
        </w:rPr>
        <w:fldChar w:fldCharType="separate"/>
      </w:r>
      <w:r w:rsidR="00083277" w:rsidRPr="00083277">
        <w:rPr>
          <w:iCs/>
          <w:noProof/>
        </w:rPr>
        <w:t>[12,17,46,47]</w:t>
      </w:r>
      <w:r w:rsidRPr="00F9313B">
        <w:rPr>
          <w:i/>
          <w:iCs/>
        </w:rPr>
        <w:fldChar w:fldCharType="end"/>
      </w:r>
      <w:r w:rsidRPr="00F9313B">
        <w:rPr>
          <w:i/>
          <w:iCs/>
        </w:rPr>
        <w:t>. Ис</w:t>
      </w:r>
      <w:r w:rsidR="00C201AD">
        <w:rPr>
          <w:i/>
          <w:iCs/>
        </w:rPr>
        <w:t xml:space="preserve">пользование при лечении пациентов </w:t>
      </w:r>
      <w:r w:rsidRPr="00F9313B">
        <w:rPr>
          <w:i/>
          <w:iCs/>
        </w:rPr>
        <w:t>апластической анемией глюкокортико</w:t>
      </w:r>
      <w:r w:rsidR="005864C0">
        <w:rPr>
          <w:i/>
          <w:iCs/>
        </w:rPr>
        <w:t>стеро</w:t>
      </w:r>
      <w:r w:rsidRPr="00F9313B">
        <w:rPr>
          <w:i/>
          <w:iCs/>
        </w:rPr>
        <w:t>идов как основного метода терапии, неконтролируемой длител</w:t>
      </w:r>
      <w:r w:rsidR="00C201AD">
        <w:rPr>
          <w:i/>
          <w:iCs/>
        </w:rPr>
        <w:t>ьной монотерапии циклоспорином**</w:t>
      </w:r>
      <w:r w:rsidRPr="00F9313B">
        <w:rPr>
          <w:i/>
          <w:iCs/>
        </w:rPr>
        <w:t xml:space="preserve"> (более 6 месяцев) и необоснованное применение колониестимулирующих факторов создают неблагоприятные условия для начала  комбинированной иммуносупрессивной терапии и ухудшают ее эффективность </w:t>
      </w:r>
      <w:r w:rsidRPr="00F9313B">
        <w:rPr>
          <w:i/>
          <w:iCs/>
        </w:rPr>
        <w:fldChar w:fldCharType="begin" w:fldLock="1"/>
      </w:r>
      <w:r w:rsidR="00083277">
        <w:rPr>
          <w:i/>
          <w:iCs/>
        </w:rPr>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http://www.mendeley.com/documents/?uuid=f6a95751-ac7b-4db0-8b22-e59c0ad12a2d"]}],"mendeley":{"formattedCitation":"[12,13]","plainTextFormattedCitation":"[12,13]","previouslyFormattedCitation":"[12,13]"},"properties":{"noteIndex":0},"schema":"https://github.com/citation-style-language/schema/raw/master/csl-citation.json"}</w:instrText>
      </w:r>
      <w:r w:rsidRPr="00F9313B">
        <w:rPr>
          <w:i/>
          <w:iCs/>
        </w:rPr>
        <w:fldChar w:fldCharType="separate"/>
      </w:r>
      <w:r w:rsidR="007F478E" w:rsidRPr="007F478E">
        <w:rPr>
          <w:iCs/>
          <w:noProof/>
        </w:rPr>
        <w:t>[12,13]</w:t>
      </w:r>
      <w:r w:rsidRPr="00F9313B">
        <w:rPr>
          <w:i/>
          <w:iCs/>
        </w:rPr>
        <w:fldChar w:fldCharType="end"/>
      </w:r>
      <w:r w:rsidRPr="00F9313B">
        <w:rPr>
          <w:i/>
          <w:iCs/>
        </w:rPr>
        <w:t>.</w:t>
      </w:r>
    </w:p>
    <w:p w14:paraId="2FDD7B92" w14:textId="3E6D5562" w:rsidR="00F9313B" w:rsidRPr="00F9313B" w:rsidRDefault="00F9313B" w:rsidP="00F9313B">
      <w:pPr>
        <w:pStyle w:val="afd"/>
        <w:spacing w:line="360" w:lineRule="auto"/>
        <w:ind w:firstLine="709"/>
        <w:contextualSpacing/>
        <w:rPr>
          <w:i/>
          <w:iCs/>
        </w:rPr>
      </w:pPr>
      <w:r w:rsidRPr="00F9313B">
        <w:rPr>
          <w:i/>
          <w:iCs/>
        </w:rPr>
        <w:t>Анализ эффективности  комбинированной  иммуносупрес</w:t>
      </w:r>
      <w:r w:rsidR="00C201AD">
        <w:rPr>
          <w:i/>
          <w:iCs/>
        </w:rPr>
        <w:t>сивной  терапии взрослых пациентов с</w:t>
      </w:r>
      <w:r w:rsidRPr="00F9313B">
        <w:rPr>
          <w:i/>
          <w:iCs/>
        </w:rPr>
        <w:t xml:space="preserve"> апластической анемией, представленный  в систематических обзорах клинических исследований в 2010—2019 гг.,  посвя</w:t>
      </w:r>
      <w:r w:rsidR="00C201AD">
        <w:rPr>
          <w:i/>
          <w:iCs/>
        </w:rPr>
        <w:t>щенных проблеме лечения  пациентов с</w:t>
      </w:r>
      <w:r w:rsidRPr="00F9313B">
        <w:rPr>
          <w:i/>
          <w:iCs/>
        </w:rPr>
        <w:t xml:space="preserve"> апластической анемией, позволяет рекомендовать разработанный алгоритм лечения как основной протокол иммуносупре</w:t>
      </w:r>
      <w:r w:rsidR="00C201AD">
        <w:rPr>
          <w:i/>
          <w:iCs/>
        </w:rPr>
        <w:t>ссивной терапии взрослых пациентов с</w:t>
      </w:r>
      <w:r w:rsidRPr="00F9313B">
        <w:rPr>
          <w:i/>
          <w:iCs/>
        </w:rPr>
        <w:t xml:space="preserve"> апластической анемией  </w:t>
      </w:r>
      <w:r w:rsidRPr="00F9313B">
        <w:rPr>
          <w:i/>
          <w:iCs/>
        </w:rPr>
        <w:fldChar w:fldCharType="begin" w:fldLock="1"/>
      </w:r>
      <w:r w:rsidR="003115E7">
        <w:rPr>
          <w:i/>
          <w:iCs/>
        </w:rPr>
        <w:instrText>ADDIN CSL_CITATION {"citationItems":[{"id":"ITEM-1","itemData":{"DOI":"10.1002/ajh.23669","ISBN":"1096-8652","ISSN":"10968652","PMID":"24415649","abstract":"The effectiveness of salvage therapy for aplastic anemia patients unresponsive to initial rabbit antithymocyte globulin (r-ATG) or cyclophosphamide is not known. We investigated standard horse ATG (h-ATG) plus cyclosporine (CsA) in patients who were refractory to initial r-ATG/CsA (n=19) or cyclophosphamide/CsA (n=6) (registered at clinicaltrials.gov as NCT00944749). The primary endpoint was hematologic response at 3 months and was defined as no longer meeting criteria for severe aplastic anemia. Of the 19 patients who received r-ATG as initial therapy, 4 (21%) achieved a hematologic response by 3 months, and of the 6 patients who received cyclophosphamide, only 1 (17%) responded at 6 months. Among responders there have been no cases of relapse, and in nonresponders 2 patients evolved to monosomy 7. The overall survival for the cohort at 3 years was 68% (95% CI, 50-91%). These results suggest that only a minority can be successfully salvaged after receiving as first therapy either r-ATG or cyclophosphamide. While h-ATG may be utilized in the salvage setting, the overall response rate likely will be lower than when h-ATG is used as initial treatment.","author":[{"dropping-particle":"","family":"Scheinberg","given":"Phillip","non-dropping-particle":"","parse-names":false,"suffix":""},{"dropping-particle":"","family":"Townsley","given":"Danielle","non-dropping-particle":"","parse-names":false,"suffix":""},{"dropping-particle":"","family":"Dumitriu","given":"Bogdan","non-dropping-particle":"","parse-names":false,"suffix":""},{"dropping-particle":"","family":"Scheinberg","given":"Priscila","non-dropping-particle":"","parse-names":false,"suffix":""},{"dropping-particle":"","family":"Weinstein","given":"Barbara","non-dropping-particle":"","parse-names":false,"suffix":""},{"dropping-particle":"","family":"Rios","given":"Olga","non-dropping-particle":"","parse-names":false,"suffix":""},{"dropping-particle":"","family":"Wu","given":"Colin O.","non-dropping-particle":"","parse-names":false,"suffix":""},{"dropping-particle":"","family":"Young","given":"Neal S.","non-dropping-particle":"","parse-names":false,"suffix":""}],"container-title":"American Journal of Hematology","id":"ITEM-1","issue":"5","issued":{"date-parts":[["2014"]]},"page":"467-469","title":"Horse antithymocyte globulin as salvage therapy after rabbit antithymocyte globulin for severe aplastic anemia","type":"article-journal","volume":"89"},"uris":["http://www.mendeley.com/documents/?uuid=31eb4fe4-ac29-45a6-862e-56a1efade9c3","http://www.mendeley.com/documents/?uuid=640ac947-6494-4189-95ad-1ae6d15baf7e"]},{"id":"ITEM-2","itemData":{"DOI":"10.1182/asheducation-2012.1.292","ISBN":"1520-4383 (Electronic)\\r1520-4383 (Linking)","ISSN":"1520-4383","PMID":"23233595","abstract":"Advances in hematopoietic stem cell transplantation (HSCT) and immunosuppressive therapy (IST) have improved survival in severe aplastic anemia (SAA) from 10%-20% in the 1960s to 80%-90% today. A matched sibling HSCT is the treatment of choice in younger patients, whereas IST is often used in older patients or in those who lack a histocompatible sibling. Graft rejection, GVHD, and poor immune reconstitution (with associated infectious complications) limit the success of HSCT, whereas lack of response, relapse, and clonal evolution limit the success of IST. The historically high rate of graft rejection in SAA is now less problematic in the matched setting, but with greater rates observed with unrelated and umbilical cord donors. The correlation of increasing age with the risk of GVHD and the significant morbidity and mortality of this transplantation complication continue to affect the decision to pursue HSCT versus IST as initial therapy in adults with SAA. Outcomes with matched unrelated donor HSCT have improved, likely due to better donor selection, supportive care, and improved transplantation protocols. Results with mismatched unrelated donor and umbilical HSCT are not as favorable, with higher rates of graft rejection, GVHD, and infectious complications. Investigation of several upfront alternative IST protocols has not improved outcomes beyond horse antithymocyte globulin and cyclosporine. More recently, the role of alemtuzumab in SAA has been better defined and an oral thrombomimetic, eltrombopag, is showing promising activity in refractory cases. The most recent advances in HSCT and IST in SAA are discussed in this review.","author":[{"dropping-particle":"","family":"Scheinberg","given":"Phillip","non-dropping-particle":"","parse-names":false,"suffix":""}],"container-title":"Hematology","id":"ITEM-2","issued":{"date-parts":[["2012"]]},"page":"292-300","title":"Aplastic anemia: therapeutic updates in immunosuppression and transplantation.","type":"article-journal"},"uris":["http://www.mendeley.com/documents/?uuid=57f0dab3-c143-4103-93a2-0a8fc667920e","http://www.mendeley.com/documents/?uuid=87252fc5-eba6-4e4d-9d7a-355e39cf067e"]},{"id":"ITEM-3","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haematology","id":"ITEM-3","issue":"2","issued":{"date-parts":[["2016","1"]]},"language":"eng","page":"187-207","publisher-place":"England","title":"Guidelines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http://www.mendeley.com/documents/?uuid=4b8eb8c8-6cd6-45ec-b69e-dbe3e8f77ed7"]},{"id":"ITEM-4","itemData":{"DOI":"10.1007/s12185-015-1787-z","abstract":"© 2015, The Japanese Society of Hematology. Aplastic anemia is a rare disorder characterized by suppression of bone marrow function resulting in progressive pancytopenia. A trigger-related abnormal T cell response facilitated by some genetic predisposition has been postulated as the pathogenetic mechanism leading to the overproduction of bone marrow-inhibiting cytokines. Immuno-mediated pathogenesis is confirmed by the response to immunosuppressive treatment (IST) (cyclosporin A+ATG), which represents the first-choice therapy for patients  &lt; 40 years when a matched sibling donor (MSD) is not available for transplant. MSD hematopoietic stem cell transplantation (HSCT) is associated with cure in ~90 % of patients. IST up-front provides an overall survival (OS) rate of above 90 %, but a response rate of about 60 %. Front-line matched unrelated donor (MUD) appears to be a viable option in children with similar OS and event-free survival to that in MSD HSCT. MUD HSCT post-IST failure proved to be a very good rescue strategy. Haploidentical donors/cord blood transplants or alternative immunosuppressive therapies, such as alemtuzumab, may represent valid tools for resistant/relapsing cases. New promising strategies, such as eltrombopag, are now under investigation. Patients should be offered an accurate diagnostic work-up in order to rule out other underlying disorders, primarily constitutional marrow failures, which may require different approaches.","author":[{"dropping-particle":"","family":"Miano","given":"M.","non-dropping-particle":"","parse-names":false,"suffix":""},{"dropping-particle":"","family":"Dufour","given":"C.","non-dropping-particle":"","parse-names":false,"suffix":""}],"container-title":"International Journal of Hematology","id":"ITEM-4","issue":"6","issued":{"date-parts":[["2015"]]},"page":"527-535","title":"The diagnosis and treatment of aplastic anemia: a review","type":"article-journal","volume":"101"},"uris":["http://www.mendeley.com/documents/?uuid=8a2da98d-227b-4338-b173-d4822b6126f8","http://www.mendeley.com/documents/?uuid=2347d6aa-44c1-34a0-bf32-7b6fef8280d7","http://www.mendeley.com/documents/?uuid=8636ba37-f3fa-4915-8bd2-03fa12311f79"]},{"id":"ITEM-5","itemData":{"DOI":"10.1002/ajh.25050","ISSN":"1096-8652 (Electronic)","PMID":"29377260","abstract":"Antithymocyte globulins (ATG) plus cyclosporine (CSA) is the gold standard immunosuppressive treatment (IST) for patients with aplastic anemia. A prospective randomized trial showed in 2011 that hATG was superior to rabbit ATG for first-line treatment of severe AA. The French Health Agency (ANSM) permitted a patient-named authorization for temporary use (ATU) program of hATG (ATGAM, Pfizer) in patients with AA in 2011 since commercial access to hATG is not approved. We took advantage of this program to analyze the outcomes of 465 patients who received antithymocyte globulins (ATGAM) plus CSA as first line treatment (n = 379; 81.5%), or for refractory (n = 26) or relapsed disease (n = 33), from September 2011 to March 2017. In the entire cohort one year, 72% of the patients had partial and 13% had complete response, with worse response for patients with severe AA and a longer interval between diagnosis and IST (more than 6 months). Severe adverse events were mainly linked to infections (24%), hemorrhages (6%), and elevated liver function tests (5%). Overall at 12 months, 9.7% of patients required second line IST and 15.6% received transplantation. Fifty-five patients died during the study mainly because of infections (53%). Factors predicting independently worse survival were age over 40 years, neutrophils less than 0.5 x 10(9) /L, male gender and longer delay between diagnosis and hATG (&gt;6 months period). This study does illustrate the results of ATGAM with CSA in a true-life perspective and confirms ATGAM as standard of care IST to treat patients with AA not eligible for HSCT.","author":[{"dropping-particle":"","family":"Peffault de Latour","given":"Regis","non-dropping-particle":"","parse-names":false,"suffix":""},{"dropping-particle":"","family":"Tabrizi","given":"Reza","non-dropping-particle":"","parse-names":false,"suffix":""},{"dropping-particle":"","family":"Marcais","given":"Ambroise","non-dropping-particle":"","parse-names":false,"suffix":""},{"dropping-particle":"","family":"Leblanc","given":"Thierry","non-dropping-particle":"","parse-names":false,"suffix":""},{"dropping-particle":"","family":"Lamy","given":"Thierry","non-dropping-particle":"","parse-names":false,"suffix":""},{"dropping-particle":"","family":"Mohty","given":"Mohamad","non-dropping-particle":"","parse-names":false,"suffix":""},{"dropping-particle":"","family":"Tavitian","given":"Suzanne","non-dropping-particle":"","parse-names":false,"suffix":""},{"dropping-particle":"","family":"Jubert","given":"Charlotte","non-dropping-particle":"","parse-names":false,"suffix":""},{"dropping-particle":"","family":"Pasquet","given":"Marlene","non-dropping-particle":"","parse-names":false,"suffix":""},{"dropping-particle":"","family":"Galambrun","given":"Claire","non-dropping-particle":"","parse-names":false,"suffix":""},{"dropping-particle":"","family":"Nguyen","given":"Stephanie","non-dropping-particle":"","parse-names":false,"suffix":""},{"dropping-particle":"","family":"Cahn","given":"Jean Yves","non-dropping-particle":"","parse-names":false,"suffix":""},{"dropping-particle":"","family":"Braun","given":"Thorsten","non-dropping-particle":"","parse-names":false,"suffix":""},{"dropping-particle":"","family":"Deconinck","given":"Eric","non-dropping-particle":"","parse-names":false,"suffix":""},{"dropping-particle":"","family":"Bay","given":"Jacques Olivier","non-dropping-particle":"","parse-names":false,"suffix":""},{"dropping-particle":"","family":"Sicre de Fontbrune","given":"Flore","non-dropping-particle":"","parse-names":false,"suffix":""},{"dropping-particle":"","family":"Barraco","given":"Fiorenza","non-dropping-particle":"","parse-names":false,"suffix":""},{"dropping-particle":"","family":"Socie","given":"Gerard","non-dropping-particle":"","parse-names":false,"suffix":""}],"container-title":"American journal of hematology","id":"ITEM-5","issue":"5","issued":{"date-parts":[["2018","5"]]},"language":"eng","page":"635-642","publisher-place":"United States","title":"Nationwide survey on the use of horse antithymocyte globulins (ATGAM) in patients with acquired aplastic anemia: A report on behalf of the French Reference Center for Aplastic Anemia.","type":"article-journal","volume":"93"},"uris":["http://www.mendeley.com/documents/?uuid=46909236-beab-4a17-a152-0d3ec77f2608","http://www.mendeley.com/documents/?uuid=e3065bc8-2222-4b1e-890f-f8030092f431"]}],"mendeley":{"formattedCitation":"[13,26,35,48,49]","plainTextFormattedCitation":"[13,26,35,48,49]","previouslyFormattedCitation":"[13,26,35,48,49]"},"properties":{"noteIndex":0},"schema":"https://github.com/citation-style-language/schema/raw/master/csl-citation.json"}</w:instrText>
      </w:r>
      <w:r w:rsidRPr="00F9313B">
        <w:rPr>
          <w:i/>
          <w:iCs/>
        </w:rPr>
        <w:fldChar w:fldCharType="separate"/>
      </w:r>
      <w:r w:rsidR="00083277" w:rsidRPr="00083277">
        <w:rPr>
          <w:iCs/>
          <w:noProof/>
        </w:rPr>
        <w:t>[13,26,35,48,49]</w:t>
      </w:r>
      <w:r w:rsidRPr="00F9313B">
        <w:rPr>
          <w:i/>
          <w:iCs/>
        </w:rPr>
        <w:fldChar w:fldCharType="end"/>
      </w:r>
      <w:r w:rsidRPr="00F9313B">
        <w:rPr>
          <w:i/>
          <w:iCs/>
        </w:rPr>
        <w:t>.</w:t>
      </w:r>
    </w:p>
    <w:p w14:paraId="1FC30D51" w14:textId="63C9DE6A" w:rsidR="00764E6B" w:rsidRDefault="00764E6B" w:rsidP="00F01BFA">
      <w:pPr>
        <w:pStyle w:val="afd"/>
        <w:spacing w:line="360" w:lineRule="auto"/>
        <w:ind w:firstLine="709"/>
        <w:contextualSpacing/>
        <w:rPr>
          <w:i/>
        </w:rPr>
      </w:pPr>
      <w:r w:rsidRPr="000C6BDD">
        <w:rPr>
          <w:i/>
        </w:rPr>
        <w:t xml:space="preserve">Программная комбинированная </w:t>
      </w:r>
      <w:r w:rsidR="007B2017">
        <w:rPr>
          <w:i/>
        </w:rPr>
        <w:t>ИСТ</w:t>
      </w:r>
      <w:r w:rsidRPr="000C6BDD">
        <w:rPr>
          <w:i/>
        </w:rPr>
        <w:t xml:space="preserve"> проводится </w:t>
      </w:r>
      <w:r w:rsidR="007B2017">
        <w:rPr>
          <w:i/>
        </w:rPr>
        <w:t xml:space="preserve">у </w:t>
      </w:r>
      <w:r>
        <w:rPr>
          <w:rStyle w:val="affb"/>
        </w:rPr>
        <w:t xml:space="preserve">пациентов с </w:t>
      </w:r>
      <w:r>
        <w:rPr>
          <w:i/>
        </w:rPr>
        <w:t>приобретенной</w:t>
      </w:r>
      <w:r>
        <w:rPr>
          <w:rStyle w:val="affb"/>
        </w:rPr>
        <w:t xml:space="preserve"> АА</w:t>
      </w:r>
      <w:r>
        <w:rPr>
          <w:i/>
        </w:rPr>
        <w:t>, установленной</w:t>
      </w:r>
      <w:r w:rsidRPr="000C6BDD">
        <w:rPr>
          <w:i/>
        </w:rPr>
        <w:t xml:space="preserve"> на основании данных комплексного обследования, в т.ч. анализа периферической крови, миелограммы (стернальная пункция), </w:t>
      </w:r>
      <w:r w:rsidR="00124240">
        <w:rPr>
          <w:i/>
        </w:rPr>
        <w:t xml:space="preserve">просмотра </w:t>
      </w:r>
      <w:r w:rsidRPr="000C6BDD">
        <w:rPr>
          <w:i/>
        </w:rPr>
        <w:t xml:space="preserve">гистологических препаратов </w:t>
      </w:r>
      <w:r w:rsidR="007B2017">
        <w:rPr>
          <w:i/>
        </w:rPr>
        <w:t>КМ</w:t>
      </w:r>
      <w:r w:rsidRPr="000C6BDD">
        <w:rPr>
          <w:i/>
        </w:rPr>
        <w:t xml:space="preserve"> (билатеральная трепанобиопсия подвздошной кости), исключения клональных заболеваний (цитогенетическое исследование клеток </w:t>
      </w:r>
      <w:r w:rsidR="007B2017">
        <w:rPr>
          <w:i/>
        </w:rPr>
        <w:t>КМ</w:t>
      </w:r>
      <w:r w:rsidRPr="000C6BDD">
        <w:rPr>
          <w:i/>
        </w:rPr>
        <w:t xml:space="preserve">) </w:t>
      </w:r>
      <w:r w:rsidR="00FF0EAA">
        <w:rPr>
          <w:i/>
        </w:rPr>
        <w:t>при</w:t>
      </w:r>
      <w:r w:rsidR="00FF0EAA" w:rsidRPr="000C6BDD">
        <w:rPr>
          <w:i/>
        </w:rPr>
        <w:t xml:space="preserve"> </w:t>
      </w:r>
      <w:r w:rsidRPr="000C6BDD">
        <w:rPr>
          <w:i/>
        </w:rPr>
        <w:t>отсутстви</w:t>
      </w:r>
      <w:r w:rsidR="0098000C">
        <w:rPr>
          <w:i/>
        </w:rPr>
        <w:t>и</w:t>
      </w:r>
      <w:r w:rsidRPr="000C6BDD">
        <w:rPr>
          <w:i/>
        </w:rPr>
        <w:t xml:space="preserve"> клинических противопоказаний.</w:t>
      </w:r>
    </w:p>
    <w:p w14:paraId="25192A96" w14:textId="77777777" w:rsidR="00F9313B" w:rsidRPr="009F7F8A" w:rsidRDefault="004774F3" w:rsidP="009F7F8A">
      <w:pPr>
        <w:pStyle w:val="2"/>
      </w:pPr>
      <w:bookmarkStart w:id="24" w:name="_Toc67522233"/>
      <w:r w:rsidRPr="009F7F8A">
        <w:t>3.1</w:t>
      </w:r>
      <w:r w:rsidR="004864D4" w:rsidRPr="009F7F8A">
        <w:t xml:space="preserve"> Консервативная терапия</w:t>
      </w:r>
      <w:bookmarkEnd w:id="24"/>
      <w:r w:rsidR="001B5E55" w:rsidRPr="009F7F8A">
        <w:t xml:space="preserve"> </w:t>
      </w:r>
    </w:p>
    <w:p w14:paraId="1C992F97" w14:textId="0D21D61F" w:rsidR="00581D3C" w:rsidRDefault="001B5E55" w:rsidP="00BF4D82">
      <w:pPr>
        <w:pStyle w:val="afd"/>
        <w:numPr>
          <w:ilvl w:val="0"/>
          <w:numId w:val="7"/>
        </w:numPr>
        <w:spacing w:line="360" w:lineRule="auto"/>
        <w:contextualSpacing/>
      </w:pPr>
      <w:r>
        <w:rPr>
          <w:b/>
        </w:rPr>
        <w:t>Р</w:t>
      </w:r>
      <w:r w:rsidR="0052026B" w:rsidRPr="000C6BDD">
        <w:rPr>
          <w:b/>
        </w:rPr>
        <w:t>екомендуется</w:t>
      </w:r>
      <w:r w:rsidR="000C6BDD">
        <w:rPr>
          <w:b/>
        </w:rPr>
        <w:t xml:space="preserve"> </w:t>
      </w:r>
      <w:r w:rsidR="000C6BDD" w:rsidRPr="000C6BDD">
        <w:t>пациентам</w:t>
      </w:r>
      <w:r w:rsidR="001C766E">
        <w:t xml:space="preserve"> с</w:t>
      </w:r>
      <w:r w:rsidR="00DC0326">
        <w:t xml:space="preserve"> АА</w:t>
      </w:r>
      <w:r w:rsidR="003848AE" w:rsidRPr="003848AE">
        <w:t xml:space="preserve"> </w:t>
      </w:r>
      <w:r w:rsidR="003848AE">
        <w:t xml:space="preserve">моложе 40 лет и наличием </w:t>
      </w:r>
      <w:r w:rsidR="003848AE" w:rsidRPr="00D07EC1">
        <w:t>HLA-идентичного родственного донора</w:t>
      </w:r>
      <w:r w:rsidR="003848AE">
        <w:t xml:space="preserve"> </w:t>
      </w:r>
      <w:r w:rsidR="0052026B" w:rsidRPr="00D07EC1">
        <w:t xml:space="preserve">проведение </w:t>
      </w:r>
      <w:r w:rsidR="001C766E">
        <w:t>трансплантации костного мозга (</w:t>
      </w:r>
      <w:r w:rsidR="00066BD5">
        <w:t>аллоТГСК</w:t>
      </w:r>
      <w:r w:rsidR="001C766E">
        <w:t>)</w:t>
      </w:r>
      <w:r w:rsidR="00066BD5" w:rsidRPr="00D07EC1">
        <w:t xml:space="preserve"> </w:t>
      </w:r>
      <w:r w:rsidR="0052026B" w:rsidRPr="00D07EC1">
        <w:t xml:space="preserve">в первой линии терапии </w:t>
      </w:r>
      <w:r w:rsidR="00DD2420">
        <w:t xml:space="preserve">для достижения излечения </w:t>
      </w:r>
      <w:r w:rsidR="003848AE">
        <w:t>при отсутствии клинических</w:t>
      </w:r>
      <w:r w:rsidR="004774F3">
        <w:t xml:space="preserve"> противопоказаний как у пациента</w:t>
      </w:r>
      <w:r w:rsidR="003848AE">
        <w:t xml:space="preserve">, так и у донора </w:t>
      </w:r>
      <w:r w:rsidR="00372B33">
        <w:fldChar w:fldCharType="begin" w:fldLock="1"/>
      </w:r>
      <w:r w:rsidR="003115E7">
        <w:instrText>ADDIN CSL_CITATION {"citationItems":[{"id":"ITEM-1","itemData":{"ISSN":"00371963","abstract":"Patients with severe aplastic anemia (SAA) can be successfully treated with bone marrow transplantation (BMT) or immunosuppressive therapy (IS). The current outcome using both forms of therapy among 3,669 patients treated in Europe between 1976 and 1998 is reviewed. Significant progress has been made and the overall risk of failure is now low, with survival rates greater than 80% for both treatments. Chronic graft-versus-host disease (GvHD) remains a problem for BMT patients, and carries a high risk of lethal complications. On the other hand, IS patients are exposed to late failure due to relapse or clonal/malignant diseases. First-line BMT from identical siblings is compared with IS therapy in an intent-to-treat analysis of 1,765 patients, regardless of subsequent transplant status. The outcome of SAA patients has improved considerably over time and is influenced by patient variables such as severity of the disease and age, but also by the choice of the Initial treatment. Copyright (C) 2000 by W.B. Saunders Company.","author":[{"dropping-particle":"","family":"Bacigalupo","given":"Andrea","non-dropping-particle":"","parse-names":false,"suffix":""},{"dropping-particle":"","family":"Brand","given":"Ronald","non-dropping-particle":"","parse-names":false,"suffix":""},{"dropping-particle":"","family":"Oneto","given":"Rosi","non-dropping-particle":"","parse-names":false,"suffix":""},{"dropping-particle":"","family":"Bruno","given":"Barbara","non-dropping-particle":"","parse-names":false,"suffix":""},{"dropping-particle":"","family":"Socié","given":"Gerard","non-dropping-particle":"","parse-names":false,"suffix":""},{"dropping-particle":"","family":"Passweg","given":"Jakob","non-dropping-particle":"","parse-names":false,"suffix":""},{"dropping-particle":"","family":"Locasciulli","given":"Anna","non-dropping-particle":"","parse-names":false,"suffix":""},{"dropping-particle":"","family":"Lint","given":"Maria Teresa","non-dropping-particle":"Van","parse-names":false,"suffix":""},{"dropping-particle":"","family":"Tichelli","given":"André","non-dropping-particle":"","parse-names":false,"suffix":""},{"dropping-particle":"","family":"McCann","given":"Shaun","non-dropping-particle":"","parse-names":false,"suffix":""},{"dropping-particle":"","family":"Marsh","given":"Judith","non-dropping-particle":"","parse-names":false,"suffix":""},{"dropping-particle":"","family":"Ljungman","given":"Per","non-dropping-particle":"","parse-names":false,"suffix":""},{"dropping-particle":"","family":"Hows","given":"Jill","non-dropping-particle":"","parse-names":false,"suffix":""},{"dropping-particle":"","family":"Marin","given":"Pedro","non-dropping-particle":"","parse-names":false,"suffix":""},{"dropping-particle":"","family":"Schrezenmeier","given":"Hubert","non-dropping-particle":"","parse-names":false,"suffix":""}],"container-title":"Seminars in Hematology","id":"ITEM-1","issue":"1","issued":{"date-parts":[["2000"]]},"page":"69-80","title":"Treatment of acquired severe aplastic anemia: Bone marrow transplantation compared with immunosuppressive therapy - The European Group for blood and marrow transplantation experience","type":"article-journal","volume":"37"},"uris":["http://www.mendeley.com/documents/?uuid=94427aad-6443-45b5-b5d7-c4736820c63a","http://www.mendeley.com/documents/?uuid=e1d2ce93-1d0a-4cf8-a541-fd3d3bd8fc4f"]}],"mendeley":{"formattedCitation":"[41]","plainTextFormattedCitation":"[41]","previouslyFormattedCitation":"[41]"},"properties":{"noteIndex":0},"schema":"https://github.com/citation-style-language/schema/raw/master/csl-citation.json"}</w:instrText>
      </w:r>
      <w:r w:rsidR="00372B33">
        <w:fldChar w:fldCharType="separate"/>
      </w:r>
      <w:r w:rsidR="00083277" w:rsidRPr="00083277">
        <w:rPr>
          <w:noProof/>
        </w:rPr>
        <w:t>[41]</w:t>
      </w:r>
      <w:r w:rsidR="00372B33">
        <w:fldChar w:fldCharType="end"/>
      </w:r>
      <w:r w:rsidR="001C766E">
        <w:t>.</w:t>
      </w:r>
    </w:p>
    <w:p w14:paraId="0CF50DF4" w14:textId="323A8D93" w:rsidR="00EF6F94" w:rsidRDefault="00B06759" w:rsidP="00EF6F94">
      <w:pPr>
        <w:pStyle w:val="afd"/>
        <w:spacing w:before="100" w:after="100" w:line="360" w:lineRule="auto"/>
        <w:ind w:firstLine="709"/>
        <w:contextualSpacing/>
        <w:rPr>
          <w:b/>
        </w:rPr>
      </w:pPr>
      <w:r w:rsidRPr="00EF6F94">
        <w:rPr>
          <w:b/>
        </w:rPr>
        <w:lastRenderedPageBreak/>
        <w:t xml:space="preserve">Уровень убедительности рекомендаций </w:t>
      </w:r>
      <w:r w:rsidR="008C7EB1">
        <w:rPr>
          <w:b/>
        </w:rPr>
        <w:t>А</w:t>
      </w:r>
      <w:r w:rsidRPr="00EF6F94">
        <w:rPr>
          <w:b/>
        </w:rPr>
        <w:t xml:space="preserve"> (уровень</w:t>
      </w:r>
      <w:r w:rsidR="00D97F2C">
        <w:rPr>
          <w:b/>
        </w:rPr>
        <w:t xml:space="preserve"> достоверности доказательств 2</w:t>
      </w:r>
      <w:r w:rsidR="007636E1" w:rsidRPr="00EF6F94">
        <w:rPr>
          <w:b/>
        </w:rPr>
        <w:t>)</w:t>
      </w:r>
    </w:p>
    <w:p w14:paraId="4EA0DD43" w14:textId="36BE5F83" w:rsidR="0052026B" w:rsidRPr="00EF6F94" w:rsidRDefault="0052026B" w:rsidP="00EF6F94">
      <w:pPr>
        <w:pStyle w:val="afd"/>
        <w:spacing w:before="100" w:after="100" w:line="360" w:lineRule="auto"/>
        <w:ind w:firstLine="709"/>
        <w:contextualSpacing/>
        <w:rPr>
          <w:i/>
        </w:rPr>
      </w:pPr>
      <w:r w:rsidRPr="00EF6F94">
        <w:rPr>
          <w:rStyle w:val="affa"/>
        </w:rPr>
        <w:t>Комментарии</w:t>
      </w:r>
      <w:r w:rsidRPr="00EF6F94">
        <w:t>:</w:t>
      </w:r>
      <w:r w:rsidRPr="00D07EC1">
        <w:t xml:space="preserve"> </w:t>
      </w:r>
      <w:r w:rsidRPr="00EF6F94">
        <w:rPr>
          <w:i/>
          <w:lang w:val="en-US"/>
        </w:rPr>
        <w:t>HLA</w:t>
      </w:r>
      <w:r w:rsidRPr="00EF6F94">
        <w:rPr>
          <w:i/>
        </w:rPr>
        <w:t xml:space="preserve">-типирование </w:t>
      </w:r>
      <w:r w:rsidR="000C6BDD" w:rsidRPr="007E472F">
        <w:rPr>
          <w:rStyle w:val="affb"/>
          <w:iCs w:val="0"/>
        </w:rPr>
        <w:t>пациентов с АА</w:t>
      </w:r>
      <w:r w:rsidR="000C6BDD" w:rsidRPr="00EF6F94">
        <w:rPr>
          <w:i/>
        </w:rPr>
        <w:t xml:space="preserve"> </w:t>
      </w:r>
      <w:r w:rsidR="007E472F">
        <w:rPr>
          <w:i/>
        </w:rPr>
        <w:t>и</w:t>
      </w:r>
      <w:r w:rsidRPr="00EF6F94">
        <w:rPr>
          <w:i/>
        </w:rPr>
        <w:t xml:space="preserve"> сиблинг</w:t>
      </w:r>
      <w:r w:rsidR="007E472F">
        <w:rPr>
          <w:i/>
        </w:rPr>
        <w:t>ов</w:t>
      </w:r>
      <w:r w:rsidRPr="00EF6F94">
        <w:rPr>
          <w:i/>
        </w:rPr>
        <w:t xml:space="preserve"> должно проводиться сразу после установления диагноза. </w:t>
      </w:r>
      <w:r w:rsidR="0027323B" w:rsidRPr="00EF6F94">
        <w:rPr>
          <w:i/>
        </w:rPr>
        <w:t xml:space="preserve">При наличии родственного полностью совместимого донора должна быть проведена консультация </w:t>
      </w:r>
      <w:r w:rsidR="000C6BDD" w:rsidRPr="007E472F">
        <w:rPr>
          <w:rStyle w:val="affb"/>
          <w:iCs w:val="0"/>
        </w:rPr>
        <w:t>пациентов с АА</w:t>
      </w:r>
      <w:r w:rsidR="000C6BDD" w:rsidRPr="00EF6F94">
        <w:rPr>
          <w:i/>
        </w:rPr>
        <w:t xml:space="preserve"> в </w:t>
      </w:r>
      <w:r w:rsidR="0027323B" w:rsidRPr="00EF6F94">
        <w:rPr>
          <w:i/>
        </w:rPr>
        <w:t xml:space="preserve">трансплантационном центре. </w:t>
      </w:r>
    </w:p>
    <w:p w14:paraId="58FE98A2" w14:textId="0195BAB1" w:rsidR="00F140D0" w:rsidRPr="004F64DA" w:rsidRDefault="00031607" w:rsidP="00BF4D82">
      <w:pPr>
        <w:pStyle w:val="afe"/>
        <w:numPr>
          <w:ilvl w:val="0"/>
          <w:numId w:val="7"/>
        </w:numPr>
        <w:rPr>
          <w:rFonts w:eastAsia="Times New Roman"/>
        </w:rPr>
      </w:pPr>
      <w:r w:rsidRPr="00407B27">
        <w:rPr>
          <w:b/>
        </w:rPr>
        <w:t>Рекомендуется</w:t>
      </w:r>
      <w:r w:rsidRPr="00D07EC1">
        <w:t xml:space="preserve"> </w:t>
      </w:r>
      <w:r w:rsidR="000C6BDD">
        <w:t>пациентам</w:t>
      </w:r>
      <w:r w:rsidR="001C766E">
        <w:t xml:space="preserve"> с АА</w:t>
      </w:r>
      <w:r w:rsidR="000C6BDD">
        <w:t xml:space="preserve"> </w:t>
      </w:r>
      <w:r w:rsidR="00A70954">
        <w:t xml:space="preserve">без родственного </w:t>
      </w:r>
      <w:r w:rsidR="00A70954" w:rsidRPr="00407B27">
        <w:rPr>
          <w:lang w:val="en-US"/>
        </w:rPr>
        <w:t>HLA</w:t>
      </w:r>
      <w:r w:rsidR="00A70954" w:rsidRPr="00A70954">
        <w:t>-</w:t>
      </w:r>
      <w:r w:rsidR="00407B27">
        <w:t>идентичного донора</w:t>
      </w:r>
      <w:r w:rsidR="00F9313B">
        <w:t xml:space="preserve"> </w:t>
      </w:r>
      <w:r w:rsidRPr="00D07EC1">
        <w:t>проведение курса</w:t>
      </w:r>
      <w:r w:rsidR="00B37AA6" w:rsidRPr="00B37AA6">
        <w:t xml:space="preserve"> </w:t>
      </w:r>
      <w:r w:rsidR="00B37AA6">
        <w:t>терапии</w:t>
      </w:r>
      <w:r w:rsidRPr="00D07EC1">
        <w:t xml:space="preserve"> </w:t>
      </w:r>
      <w:r w:rsidR="00B37AA6" w:rsidRPr="00D07EC1">
        <w:t>лошадиным</w:t>
      </w:r>
      <w:r w:rsidR="00204208">
        <w:t xml:space="preserve"> </w:t>
      </w:r>
      <w:r w:rsidR="00886E7D" w:rsidRPr="00886E7D">
        <w:t>#</w:t>
      </w:r>
      <w:r w:rsidR="00B37AA6">
        <w:t xml:space="preserve">АТГ** </w:t>
      </w:r>
      <w:r w:rsidR="00C653F7">
        <w:t xml:space="preserve"> в\в </w:t>
      </w:r>
      <w:r w:rsidR="00F9313B">
        <w:t>в сочетании с циклоспорином</w:t>
      </w:r>
      <w:r w:rsidR="00C201AD">
        <w:t>**</w:t>
      </w:r>
      <w:r w:rsidR="00F9313B">
        <w:t xml:space="preserve"> </w:t>
      </w:r>
      <w:r w:rsidR="007F478E">
        <w:t xml:space="preserve">в дозе 5-10 мг/кг/сутки </w:t>
      </w:r>
      <w:r w:rsidR="00B37AA6">
        <w:fldChar w:fldCharType="begin" w:fldLock="1"/>
      </w:r>
      <w:r w:rsidR="003115E7">
        <w:instrText>ADDIN CSL_CITATION {"citationItems":[{"id":"ITEM-1","itemData":{"DOI":"10.1111/j.1365-2141.1989.tb00230.x","ISSN":"13652141","author":[{"dropping-particle":"","family":"Bacigalupo","given":"A.","non-dropping-particle":"","parse-names":false,"suffix":""},{"dropping-particle":"","family":"Würsch","given":"A.","non-dropping-particle":"","parse-names":false,"suffix":""},{"dropping-particle":"","family":"Hows","given":"Jill M.","non-dropping-particle":"","parse-names":false,"suffix":""},{"dropping-particle":"","family":"Devergie","given":"Agnes","non-dropping-particle":"","parse-names":false,"suffix":""},{"dropping-particle":"","family":"Frickhofen","given":"N.","non-dropping-particle":"","parse-names":false,"suffix":""},{"dropping-particle":"","family":"Brand","given":"Anneke","non-dropping-particle":"","parse-names":false,"suffix":""},{"dropping-particle":"","family":"Nissen","given":"Catherine","non-dropping-particle":"","parse-names":false,"suffix":""}],"container-title":"British Journal of Haematology","id":"ITEM-1","issue":"1","issued":{"date-parts":[["1989"]]},"page":"121-126","title":"Long‐term follow‐up of severe aplastic anaemia patients treated with antithymocyte globulin","type":"article-journal","volume":"73"},"uris":["http://www.mendeley.com/documents/?uuid=c3c48e68-f7d4-3bd2-8f7b-52ac6dacf6b4"]},{"id":"ITEM-2","itemData":{"DOI":"10.1001/jama.289.9.1130","ISSN":"00987484","abstract":"CONTEXT: In most patients, aplastic anemia results from T-cell-mediated immune destruction of bone marrow. Aplastic anemia can be effectively treated by stem cell transplantation or immunosuppression. OBJECTIVE: To assess long-term outcomes after immunosuppressive therapy. DESIGN, SETTING, AND PATIENTS: Cohort of 122 patients (31 were &lt; or =18 years and 91 were &gt;18 years) with severe aplastic anemia, as determined by bone marrow cellularity and blood cell count criteria, were enrolled in a single-arm interventional research protocol from 1991 to 1998 at a federal government research hospital. INTERVENTIONS: A dose of 40 mg/kg per day of antithymocyte globulin administered for 4 days, 10 to 12 mg/kg per day of cyclosporine for 6 months (adjusted for blood levels), and a short course of corticosteroids (1 mg/d of methylprednisolone for about 2 weeks). MAIN OUTCOME MEASURES: Survival, improvement of pancytopenia and transfusion-independence, relapse, and evolution to other hematologic diseases. RESULTS: Response rates were 60% at 3 months after initiation of treatment, 61% at 6 months, and 58% at 1 year. The blood cell counts of patients who responded no longer satisfied severity criteria and they were transfusion-independent. Overall actuarial survival at 7 years was 55%. Survival was associated with early satisfaction of response criteria (86% vs 40% at 5 years; P&lt;.001) and by blood counts at 3 months (reticulocyte count or platelet count of &gt;50 x 10(3)/ microL predicted survival at 5 years of 90% [64/71] vs 42% [12/34] for patients with less robust recovery [P&lt;.001 by log-rank test]). There were no deaths among responders more than 3 years after treatment. Relapse was common, but severe pancytopenia usually did not recur. Relapse did not influence survival. Thirteen patients showed evolution to other hematologic diseases, including monosomy 7. CONCLUSIONS: Approximately half of patients with severe aplastic anemia treated with antithymocyte globulin and cyclosporine have durable recovery and excellent long-term survival. These outcomes were related to the quality of hematologic recovery.","author":[{"dropping-particle":"","family":"Rosenfeld","given":"Stephen","non-dropping-particle":"","parse-names":false,"suffix":""},{"dropping-particle":"","family":"Follmann","given":"Dean","non-dropping-particle":"","parse-names":false,"suffix":""},{"dropping-particle":"","family":"Nunez","given":"Olga","non-dropping-particle":"","parse-names":false,"suffix":""},{"dropping-particle":"","family":"Young","given":"Neal S.","non-dropping-particle":"","parse-names":false,"suffix":""}],"container-title":"Journal of the American Medical Association","id":"ITEM-2","issue":"9","issued":{"date-parts":[["2003","3","5"]]},"page":"1130-1135","title":"Antithymocyte Globulin and Cyclosporine for Severe Aplastic Anemia: Association between Hematologic Response and Long-term Outcome","type":"article-journal","volume":"289"},"uris":["http://www.mendeley.com/documents/?uuid=1e4be8b9-3b1d-3c0a-bf41-cc4ccaa2f8d6"]}],"mendeley":{"formattedCitation":"[42,43]","manualFormatting":"[50,51,52]","plainTextFormattedCitation":"[42,43]","previouslyFormattedCitation":"[42,43]"},"properties":{"noteIndex":0},"schema":"https://github.com/citation-style-language/schema/raw/master/csl-citation.json"}</w:instrText>
      </w:r>
      <w:r w:rsidR="00B37AA6">
        <w:fldChar w:fldCharType="separate"/>
      </w:r>
      <w:r w:rsidR="00B37AA6" w:rsidRPr="00B37AA6">
        <w:rPr>
          <w:noProof/>
        </w:rPr>
        <w:t>[50,51</w:t>
      </w:r>
      <w:r w:rsidR="004F64DA">
        <w:rPr>
          <w:noProof/>
        </w:rPr>
        <w:t>,52</w:t>
      </w:r>
      <w:r w:rsidR="00B37AA6" w:rsidRPr="00B37AA6">
        <w:rPr>
          <w:noProof/>
        </w:rPr>
        <w:t>]</w:t>
      </w:r>
      <w:r w:rsidR="00B37AA6">
        <w:fldChar w:fldCharType="end"/>
      </w:r>
    </w:p>
    <w:p w14:paraId="7F81CFBA" w14:textId="2C12A279" w:rsidR="00886E7D" w:rsidRDefault="004F64DA" w:rsidP="00D87298">
      <w:pPr>
        <w:pStyle w:val="afe"/>
        <w:rPr>
          <w:i/>
          <w:iCs/>
          <w:szCs w:val="24"/>
        </w:rPr>
      </w:pPr>
      <w:r w:rsidRPr="004F64DA">
        <w:rPr>
          <w:rStyle w:val="affb"/>
          <w:i w:val="0"/>
          <w:szCs w:val="24"/>
        </w:rPr>
        <w:t xml:space="preserve">Доза лошадиного </w:t>
      </w:r>
      <w:r w:rsidR="00886E7D" w:rsidRPr="00886E7D">
        <w:rPr>
          <w:rStyle w:val="affb"/>
          <w:i w:val="0"/>
          <w:szCs w:val="24"/>
        </w:rPr>
        <w:t>#</w:t>
      </w:r>
      <w:r w:rsidRPr="004F64DA">
        <w:rPr>
          <w:rStyle w:val="affb"/>
          <w:i w:val="0"/>
          <w:szCs w:val="24"/>
        </w:rPr>
        <w:t>АТГ** составляет 20 или 40 мг/кг/сутки</w:t>
      </w:r>
      <w:r w:rsidR="00C62A0F">
        <w:rPr>
          <w:rStyle w:val="affb"/>
          <w:i w:val="0"/>
          <w:szCs w:val="24"/>
        </w:rPr>
        <w:t xml:space="preserve"> (что соответствует отечественным и мировым протоколам лечения)</w:t>
      </w:r>
      <w:r w:rsidRPr="004F64DA">
        <w:rPr>
          <w:rStyle w:val="affb"/>
          <w:i w:val="0"/>
          <w:szCs w:val="24"/>
        </w:rPr>
        <w:t xml:space="preserve">, при продолжительности курса 5 и 4 дня соответственно, включает непрерывное введение суточной дозы препарата 12-ти часовой инфузией. #АТГ** должен назначаться в рамках Протокола </w:t>
      </w:r>
      <w:r w:rsidRPr="004F64DA">
        <w:rPr>
          <w:i/>
          <w:iCs/>
          <w:szCs w:val="24"/>
        </w:rPr>
        <w:t>№1 (см. Приложение А3)</w:t>
      </w:r>
      <w:r w:rsidR="007F478E">
        <w:rPr>
          <w:i/>
          <w:iCs/>
          <w:szCs w:val="24"/>
        </w:rPr>
        <w:t xml:space="preserve"> </w:t>
      </w:r>
      <w:r w:rsidR="00824631">
        <w:rPr>
          <w:i/>
          <w:iCs/>
          <w:szCs w:val="24"/>
        </w:rPr>
        <w:fldChar w:fldCharType="begin" w:fldLock="1"/>
      </w:r>
      <w:r w:rsidR="003115E7">
        <w:rPr>
          <w:i/>
          <w:iCs/>
          <w:szCs w:val="24"/>
        </w:rPr>
        <w:instrText>ADDIN CSL_CITATION {"citationItems":[{"id":"ITEM-1","itemData":{"DOI":"10.1182/blood-2016-08-693481","ISBN":"2011122740","ISSN":"15280020","PMID":"28096088","abstract":"Acquired severe aplastic anemia (SAA) is a rare hematologic disease associated with significant morbidity and mortality. Immune destruction of hemopoietic stem cells plays an important role in pathogenesis, as shown by successful treatment with immunosuppressive agents, leading to transfusion independence or complete recovery of peripheral blood counts in a proportion of patients. Growth factors can be combined with immunosuppressive therapy (IST) and may improve response rates, as recently shown with thrombopoietin analogs. Anabolic steroids may still play a role in combination with IST. The problem with IST is failure to respond and the development of late clonal disorders. Bone marrow transplantation (BMT) is the other therapeutic option: a matched sibling donor remains the best choice. For patients lacking a matched family donor, unrelated donors can be readily found, although mostly for patients of Caucasian origin. Other BMT options include unrelated cord blood or mismatched family donors. Acute and chronic graft-versus-host disease remain important complications of BMT. Patient age is a strong predictor of outcome for both IST and BMT, and must be considered when designing therapeutic strategies. Early diagnosis and treatment, as well as long-term monitoring, remain crucial steps for successful treatment of SAA.","author":[{"dropping-particle":"","family":"Bacigalupo","given":"Andrea","non-dropping-particle":"","parse-names":false,"suffix":""}],"container-title":"Blood","id":"ITEM-1","issue":"11","issued":{"date-parts":[["2017"]]},"page":"1428-1436","title":"How I treat acquired aplastic anemia","type":"article-journal","volume":"129"},"uris":["http://www.mendeley.com/documents/?uuid=253cefd7-b1c7-4639-9b46-5a2c049195ca"]},{"id":"ITEM-2","itemData":{"DOI":"10.1182/blood-2011-12-274019","ISSN":"1528-0020","PMID":"22517900","abstract":"Survival in severe aplastic anemia (SAA) has markedly improved in the past 4 decades because of advances in hematopoietic stem cell transplantation, immunosuppressive biologics and drugs, and supportive care. However, management of SAA patients remains challenging, both acutely in addressing the immediate consequences of pancytopenia and in the long term because of the disease's natural history and the consequences of therapy. Recent insights into pathophysiology have practical implications. We review key aspects of differential diagnosis, considerations in the choice of first- and second-line therapies, and the management of patients after immunosuppression, based on both a critical review of the recent literature and our large personal and research protocol experience of bone marrow failure in the Hematology Branch of the National Heart, Lung, and Blood Institute.","author":[{"dropping-particle":"","family":"Scheinberg","given":"Phillip","non-dropping-particle":"","parse-names":false,"suffix":""},{"dropping-particle":"","family":"Young","given":"Neal S","non-dropping-particle":"","parse-names":false,"suffix":""}],"container-title":"Blood","id":"ITEM-2","issue":"6","issued":{"date-parts":[["2012","8"]]},"page":"1185-96","title":"How I treat acquired aplastic anemia.","type":"article-journal","volume":"120"},"uris":["http://www.mendeley.com/documents/?uuid=069f768d-c41e-4d45-ac74-62b688c6d7b3"]},{"id":"ITEM-3","itemData":{"DOI":"10.1002/ajh.23669","ISBN":"1096-8652","ISSN":"10968652","PMID":"24415649","abstract":"The effectiveness of salvage therapy for aplastic anemia patients unresponsive to initial rabbit antithymocyte globulin (r-ATG) or cyclophosphamide is not known. We investigated standard horse ATG (h-ATG) plus cyclosporine (CsA) in patients who were refractory to initial r-ATG/CsA (n=19) or cyclophosphamide/CsA (n=6) (registered at clinicaltrials.gov as NCT00944749). The primary endpoint was hematologic response at 3 months and was defined as no longer meeting criteria for severe aplastic anemia. Of the 19 patients who received r-ATG as initial therapy, 4 (21%) achieved a hematologic response by 3 months, and of the 6 patients who received cyclophosphamide, only 1 (17%) responded at 6 months. Among responders there have been no cases of relapse, and in nonresponders 2 patients evolved to monosomy 7. The overall survival for the cohort at 3 years was 68% (95% CI, 50-91%). These results suggest that only a minority can be successfully salvaged after receiving as first therapy either r-ATG or cyclophosphamide. While h-ATG may be utilized in the salvage setting, the overall response rate likely will be lower than when h-ATG is used as initial treatment.","author":[{"dropping-particle":"","family":"Scheinberg","given":"Phillip","non-dropping-particle":"","parse-names":false,"suffix":""},{"dropping-particle":"","family":"Townsley","given":"Danielle","non-dropping-particle":"","parse-names":false,"suffix":""},{"dropping-particle":"","family":"Dumitriu","given":"Bogdan","non-dropping-particle":"","parse-names":false,"suffix":""},{"dropping-particle":"","family":"Scheinberg","given":"Priscila","non-dropping-particle":"","parse-names":false,"suffix":""},{"dropping-particle":"","family":"Weinstein","given":"Barbara","non-dropping-particle":"","parse-names":false,"suffix":""},{"dropping-particle":"","family":"Rios","given":"Olga","non-dropping-particle":"","parse-names":false,"suffix":""},{"dropping-particle":"","family":"Wu","given":"Colin O.","non-dropping-particle":"","parse-names":false,"suffix":""},{"dropping-particle":"","family":"Young","given":"Neal S.","non-dropping-particle":"","parse-names":false,"suffix":""}],"container-title":"American Journal of Hematology","id":"ITEM-3","issue":"5","issued":{"date-parts":[["2014"]]},"page":"467-469","title":"Horse antithymocyte globulin as salvage therapy after rabbit antithymocyte globulin for severe aplastic anemia","type":"article-journal","volume":"89"},"uris":["http://www.mendeley.com/documents/?uuid=640ac947-6494-4189-95ad-1ae6d15baf7e"]},{"id":"ITEM-4","itemData":{"DOI":"10.1182/asheducation-2012.1.292","ISBN":"1520-4383 (Electronic)\\r1520-4383 (Linking)","ISSN":"1520-4383","PMID":"23233595","abstract":"Advances in hematopoietic stem cell transplantation (HSCT) and immunosuppressive therapy (IST) have improved survival in severe aplastic anemia (SAA) from 10%-20% in the 1960s to 80%-90% today. A matched sibling HSCT is the treatment of choice in younger patients, whereas IST is often used in older patients or in those who lack a histocompatible sibling. Graft rejection, GVHD, and poor immune reconstitution (with associated infectious complications) limit the success of HSCT, whereas lack of response, relapse, and clonal evolution limit the success of IST. The historically high rate of graft rejection in SAA is now less problematic in the matched setting, but with greater rates observed with unrelated and umbilical cord donors. The correlation of increasing age with the risk of GVHD and the significant morbidity and mortality of this transplantation complication continue to affect the decision to pursue HSCT versus IST as initial therapy in adults with SAA. Outcomes with matched unrelated donor HSCT have improved, likely due to better donor selection, supportive care, and improved transplantation protocols. Results with mismatched unrelated donor and umbilical HSCT are not as favorable, with higher rates of graft rejection, GVHD, and infectious complications. Investigation of several upfront alternative IST protocols has not improved outcomes beyond horse antithymocyte globulin and cyclosporine. More recently, the role of alemtuzumab in SAA has been better defined and an oral thrombomimetic, eltrombopag, is showing promising activity in refractory cases. The most recent advances in HSCT and IST in SAA are discussed in this review.","author":[{"dropping-particle":"","family":"Scheinberg","given":"Phillip","non-dropping-particle":"","parse-names":false,"suffix":""}],"container-title":"Hematology","id":"ITEM-4","issued":{"date-parts":[["2012"]]},"page":"292-300","title":"Aplastic anemia: therapeutic updates in immunosuppression and transplantation.","type":"article-journal"},"uris":["http://www.mendeley.com/documents/?uuid=57f0dab3-c143-4103-93a2-0a8fc667920e"]},{"id":"ITEM-5","itemData":{"DOI":"10.1111/bjh.13853","ISSN":"1365-2141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haematology","id":"ITEM-5","issue":"2","issued":{"date-parts":[["2016","1"]]},"language":"eng","page":"187-207","publisher-place":"England","title":"Guidelines for the diagnosis and management of adult aplastic anaemia.","type":"article-journal","volume":"172"},"uris":["http://www.mendeley.com/documents/?uuid=81dbb232-4526-4205-bab8-854e3c2bd2e8"]},{"id":"ITEM-6","itemData":{"DOI":"10.1111/j.1365-2141.2009.07842.x","ISBN":"1365-2141","ISSN":"00071048","PMID":"19673883","abstract":"BACKGROUND: The standard treatment for patients with diffuse large-B-cell lymphoma is cyclophosphamide, doxorubicin, vincristine, and prednisone (CHOP). Rituximab, a chimeric monoclonal antibody against the CD20 B-cell antigen, has therapeutic activity in diffuse large-B-cell lymphoma. We conducted a randomized trial to compare CHOP chemotherapy plus rituximab with CHOP alone in elderly patients with diffuse large-B-cell lymphoma. METHODS: Previously untreated patients with diffuse large-B-cell lymphoma, 60 to 80 years old, were randomly assigned to receive either eight cycles of CHOP every three weeks (197 patients) or eight cycles of CHOP plus rituximab given on day 1 of each cycle (202 patients). RESULTS: The rate of complete response was significantly higher in the group that received CHOP plus rituximab than in the group that received CHOP alone (76 percent vs. 63 percent, P=0.005). With a median follow-up of two years, event-free and overall survival times were significantly higher in the CHOP-plus-rituximab group (P&lt;0.001 and P=0.007, respectively). The addition of rituximab to standard CHOP chemotherapy significantly reduced the risk of treatment failure and death (risk ratios, 0.58 95 percent confidence interval, 0.44 to 0.77 and 0.64 0.45 to 0.89, respectively). Clinically relevant toxicity was not significantly greater with CHOP plus rituximab. CONCLUSIONS: The addition of rituximab to the CHOP regimen increases the complete-response rate and prolongs event-free and overall survival in elderly patients with diffuse large-B-cell lymphoma, without a clinically significant increase in toxicity.","author":[{"dropping-particle":"","family":"Marsh","given":"Judith C W","non-dropping-particle":"","parse-names":false,"suffix":""},{"dropping-particle":"","family":"Ball","given":"Sarah E.","non-dropping-particle":"","parse-names":false,"suffix":""},{"dropping-particle":"","family":"Cavenagh","given":"Jamie","non-dropping-particle":"","parse-names":false,"suffix":""},{"dropping-particle":"","family":"Darbyshire","given":"Phil","non-dropping-particle":"","parse-names":false,"suffix":""},{"dropping-particle":"","family":"Dokal","given":"Inderjeet","non-dropping-particle":"","parse-names":false,"suffix":""},{"dropping-particle":"","family":"Gordon-Smith","given":"Edward C.","non-dropping-particle":"","parse-names":false,"suffix":""},{"dropping-particle":"","family":"Keidan","given":"Jane","non-dropping-particle":"","parse-names":false,"suffix":""},{"dropping-particle":"","family":"Laurie","given":"Andrew","non-dropping-particle":"","parse-names":false,"suffix":""},{"dropping-particle":"","family":"Martin","given":"Anna","non-dropping-particle":"","parse-names":false,"suffix":""},{"dropping-particle":"","family":"Mercieca","given":"Jane","non-dropping-particle":"","parse-names":false,"suffix":""},{"dropping-particle":"","family":"Killick","given":"Sally B.","non-dropping-particle":"","parse-names":false,"suffix":""},{"dropping-particle":"","family":"Stewart","given":"Rhona","non-dropping-particle":"","parse-names":false,"suffix":""},{"dropping-particle":"","family":"Yin","given":"John A L","non-dropping-particle":"","parse-names":false,"suffix":""}],"container-title":"British Journal of Haematology","id":"ITEM-6","issue":"1","issued":{"date-parts":[["2009"]]},"page":"43-70","title":"Guidelines for the diagnosis and management of aplastic anaemia","type":"article-journal","volume":"147"},"uris":["http://www.mendeley.com/documents/?uuid=e9add32b-b599-49df-af4d-63324be11069"]},{"id":"ITEM-7","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-7","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mendeley":{"formattedCitation":"[12,13,17,35,48,50,51]","plainTextFormattedCitation":"[12,13,17,35,48,50,51]","previouslyFormattedCitation":"[12,13,17,35,48,50,51]"},"properties":{"noteIndex":0},"schema":"https://github.com/citation-style-language/schema/raw/master/csl-citation.json"}</w:instrText>
      </w:r>
      <w:r w:rsidR="00824631">
        <w:rPr>
          <w:i/>
          <w:iCs/>
          <w:szCs w:val="24"/>
        </w:rPr>
        <w:fldChar w:fldCharType="separate"/>
      </w:r>
      <w:r w:rsidR="00083277" w:rsidRPr="00083277">
        <w:rPr>
          <w:iCs/>
          <w:noProof/>
          <w:szCs w:val="24"/>
        </w:rPr>
        <w:t>[12,13,17,35,48,50,51]</w:t>
      </w:r>
      <w:r w:rsidR="00824631">
        <w:rPr>
          <w:i/>
          <w:iCs/>
          <w:szCs w:val="24"/>
        </w:rPr>
        <w:fldChar w:fldCharType="end"/>
      </w:r>
      <w:r w:rsidR="00824631" w:rsidRPr="00824631">
        <w:rPr>
          <w:i/>
          <w:iCs/>
          <w:szCs w:val="24"/>
        </w:rPr>
        <w:t xml:space="preserve"> </w:t>
      </w:r>
    </w:p>
    <w:p w14:paraId="19B6C871" w14:textId="320B0EE1" w:rsidR="00F140D0" w:rsidRDefault="00B06759" w:rsidP="00D87298">
      <w:pPr>
        <w:pStyle w:val="afe"/>
        <w:rPr>
          <w:b/>
        </w:rPr>
      </w:pPr>
      <w:r w:rsidRPr="00F140D0">
        <w:rPr>
          <w:b/>
        </w:rPr>
        <w:t xml:space="preserve">Уровень убедительности рекомендаций </w:t>
      </w:r>
      <w:r w:rsidR="00B37AA6">
        <w:rPr>
          <w:b/>
          <w:lang w:val="en-US"/>
        </w:rPr>
        <w:t>A</w:t>
      </w:r>
      <w:r w:rsidRPr="00F140D0">
        <w:rPr>
          <w:b/>
        </w:rPr>
        <w:t xml:space="preserve"> (уровень достоверности</w:t>
      </w:r>
      <w:r w:rsidR="00EF6F94" w:rsidRPr="00F140D0">
        <w:rPr>
          <w:b/>
        </w:rPr>
        <w:t xml:space="preserve"> доказательств </w:t>
      </w:r>
      <w:r w:rsidR="00B37AA6" w:rsidRPr="00B37AA6">
        <w:rPr>
          <w:b/>
        </w:rPr>
        <w:t>1</w:t>
      </w:r>
      <w:r w:rsidR="00EF6F94" w:rsidRPr="00F140D0">
        <w:rPr>
          <w:b/>
        </w:rPr>
        <w:t>)</w:t>
      </w:r>
    </w:p>
    <w:p w14:paraId="6305827E" w14:textId="3746A9A2" w:rsidR="00C15037" w:rsidRPr="00BD162E" w:rsidRDefault="00031607" w:rsidP="00C15037">
      <w:pPr>
        <w:ind w:firstLine="709"/>
        <w:contextualSpacing/>
        <w:rPr>
          <w:strike/>
        </w:rPr>
      </w:pPr>
      <w:r w:rsidRPr="00EF6F94">
        <w:rPr>
          <w:rStyle w:val="affa"/>
        </w:rPr>
        <w:t>Комментарии:</w:t>
      </w:r>
      <w:r w:rsidRPr="00D07EC1">
        <w:rPr>
          <w:rStyle w:val="affb"/>
        </w:rPr>
        <w:t xml:space="preserve"> </w:t>
      </w:r>
      <w:r w:rsidRPr="00EF6F94">
        <w:rPr>
          <w:rStyle w:val="affb"/>
        </w:rPr>
        <w:t xml:space="preserve">Учитывая данные многоцентровых исследований, демонстрирующих терапевтический эффект лошадиного </w:t>
      </w:r>
      <w:r w:rsidR="008E2004" w:rsidRPr="008E2004">
        <w:rPr>
          <w:rStyle w:val="affb"/>
        </w:rPr>
        <w:t>#</w:t>
      </w:r>
      <w:r w:rsidRPr="00EF6F94">
        <w:rPr>
          <w:rStyle w:val="affb"/>
        </w:rPr>
        <w:t>АТГ</w:t>
      </w:r>
      <w:r w:rsidR="00AD12DA" w:rsidRPr="00EF6F94">
        <w:rPr>
          <w:rStyle w:val="affb"/>
        </w:rPr>
        <w:t>**</w:t>
      </w:r>
      <w:r w:rsidRPr="00EF6F94">
        <w:rPr>
          <w:rStyle w:val="affb"/>
        </w:rPr>
        <w:t xml:space="preserve">, превосходящий </w:t>
      </w:r>
      <w:r w:rsidR="00E6069D" w:rsidRPr="00EF6F94">
        <w:rPr>
          <w:rStyle w:val="affb"/>
        </w:rPr>
        <w:t>кроличи</w:t>
      </w:r>
      <w:r w:rsidR="00E6069D">
        <w:rPr>
          <w:rStyle w:val="affb"/>
        </w:rPr>
        <w:t>й</w:t>
      </w:r>
      <w:r w:rsidRPr="00EF6F94">
        <w:rPr>
          <w:rStyle w:val="affb"/>
        </w:rPr>
        <w:t>, представленные рекомендации включают лишь протокол лечения лошадиным АТГ</w:t>
      </w:r>
      <w:r w:rsidR="00FF0EAA">
        <w:rPr>
          <w:rStyle w:val="affb"/>
        </w:rPr>
        <w:t>**</w:t>
      </w:r>
      <w:r w:rsidRPr="00EF6F94">
        <w:rPr>
          <w:rStyle w:val="affb"/>
        </w:rPr>
        <w:t xml:space="preserve"> </w:t>
      </w:r>
      <w:r w:rsidR="00A70954">
        <w:fldChar w:fldCharType="begin" w:fldLock="1"/>
      </w:r>
      <w:r w:rsidR="003115E7">
        <w:instrText>ADDIN CSL_CITATION {"citationItems":[{"id":"ITEM-1","itemData":{"DOI":"10.1056/NEJMoa1103975","abstract":"BACKGROUND: In severe acquired aplastic anemia, hematopoietic failure is the result of immunemediated destruction of bone marrow stem and progenitor cells. Immunosuppressive therapy with antithymocyte globulin (ATG) plus cyclosporine is an effective alternative to stem-cell transplantation and improves blood counts and survival. Although horse ATG is the standard therapy, rabbit ATG is more potent in depleting peripheralblood lymphocytes and is preferred in other clinical circumstances. METHODS: From December 2005 through July 2010, we performed a randomized trial comparing these two ATG formulations in conventional regimens. Patients were treated at a single facility. The primary outcome was hematologic response at 6 months, as determined by blood counts. The study was designed to enroll 60 patients each for the rabbit-ATG and horse-ATG groups and was powered to detect a difference of 25 percentage points in the response rate. RESULTS: A large, unexpected difference was observed in the rate of hematologic response at 6 months in favor of horse ATG (68%; 95% confidence interval [CI], 56 to 80) as compared with rabbit ATG (37%; 95% CI, 24 to 49; P&lt;0.001). Overall survival at 3 years also differed, with a survival rate of 96% (95% CI, 90 to 100) in the horse-ATG group as compared with 76% (95% CI, 61 to 95) in the rabbit-ATG group (P = 0.04) when data were censored at the time of stem-cell transplantation, and 94% (95% CI, 88 to 100) as compared with 70% (95% CI, 56 to 86; P = 0.008) in the respective groups when stem-cell-transplantation events were not censored. CONCLUSIONS: In a randomized study, rabbit ATG was inferior to horse ATG as a first treatment for severe aplastic anemia, as indicated by hematologic response and survival. (Funded by the Intramural Research Program of the National Institutes of Health; ClinicalTrials.gov number, NCT00260689.) Copyright © 2011 Massachusetts Medical Society. All rights reserved.","author":[{"dropping-particle":"","family":"Scheinberg","given":"P.","non-dropping-particle":"","parse-names":false,"suffix":""},{"dropping-particle":"","family":"Nunez","given":"O.","non-dropping-particle":"","parse-names":false,"suffix":""},{"dropping-particle":"","family":"Weinstein","given":"B.","non-dropping-particle":"","parse-names":false,"suffix":""},{"dropping-particle":"","family":"Scheinberg","given":"P.","non-dropping-particle":"","parse-names":false,"suffix":""},{"dropping-particle":"","family":"Biancotto","given":"A.","non-dropping-particle":"","parse-names":false,"suffix":""},{"dropping-particle":"","family":"Wu","given":"C.O.","non-dropping-particle":"","parse-names":false,"suffix":""},{"dropping-particle":"","family":"Young","given":"N.S.","non-dropping-particle":"","parse-names":false,"suffix":""}],"container-title":"New England Journal of Medicine","id":"ITEM-1","issue":"5","issued":{"date-parts":[["2011"]]},"page":"430-438","title":"Horse versus rabbit antithymocyte globulin in acquired aplastic anemia","type":"article-journal","volume":"365"},"uris":["http://www.mendeley.com/documents/?uuid=66d804b3-ec53-3621-b63d-1de10ab7a38b","http://www.mendeley.com/documents/?uuid=610c3abb-04a5-4669-af20-8eb538c6af62"]}],"mendeley":{"formattedCitation":"[52]","plainTextFormattedCitation":"[52]","previouslyFormattedCitation":"[52]"},"properties":{"noteIndex":0},"schema":"https://github.com/citation-style-language/schema/raw/master/csl-citation.json"}</w:instrText>
      </w:r>
      <w:r w:rsidR="00A70954">
        <w:fldChar w:fldCharType="separate"/>
      </w:r>
      <w:r w:rsidR="00083277" w:rsidRPr="00083277">
        <w:rPr>
          <w:noProof/>
        </w:rPr>
        <w:t>[52]</w:t>
      </w:r>
      <w:r w:rsidR="00A70954">
        <w:fldChar w:fldCharType="end"/>
      </w:r>
      <w:r w:rsidRPr="00EF6F94">
        <w:rPr>
          <w:rStyle w:val="affb"/>
        </w:rPr>
        <w:t xml:space="preserve">. </w:t>
      </w:r>
    </w:p>
    <w:p w14:paraId="4994F765" w14:textId="38125057" w:rsidR="00C15037" w:rsidRPr="00F9313B" w:rsidRDefault="00C15037" w:rsidP="00C15037">
      <w:pPr>
        <w:ind w:firstLine="709"/>
        <w:contextualSpacing/>
        <w:rPr>
          <w:i/>
          <w:iCs/>
        </w:rPr>
      </w:pPr>
      <w:r>
        <w:rPr>
          <w:i/>
          <w:iCs/>
        </w:rPr>
        <w:t xml:space="preserve">В связи с высоким риском развития инфекционных осложнений в курсовом и посткурсовом периоде, </w:t>
      </w:r>
      <w:r w:rsidRPr="00C15037">
        <w:rPr>
          <w:i/>
          <w:iCs/>
        </w:rPr>
        <w:t>курс терапии</w:t>
      </w:r>
      <w:r>
        <w:rPr>
          <w:i/>
          <w:iCs/>
        </w:rPr>
        <w:t xml:space="preserve"> лошадиным</w:t>
      </w:r>
      <w:r w:rsidRPr="00C15037">
        <w:rPr>
          <w:i/>
          <w:iCs/>
        </w:rPr>
        <w:t xml:space="preserve"> </w:t>
      </w:r>
      <w:r w:rsidR="008E2004" w:rsidRPr="008E2004">
        <w:rPr>
          <w:i/>
          <w:iCs/>
        </w:rPr>
        <w:t>#</w:t>
      </w:r>
      <w:r w:rsidRPr="00C15037">
        <w:rPr>
          <w:i/>
          <w:iCs/>
        </w:rPr>
        <w:t xml:space="preserve">АТГ** </w:t>
      </w:r>
      <w:r>
        <w:rPr>
          <w:i/>
          <w:iCs/>
        </w:rPr>
        <w:t xml:space="preserve">рекомендуется проводить </w:t>
      </w:r>
      <w:r w:rsidRPr="00C15037">
        <w:rPr>
          <w:i/>
          <w:iCs/>
        </w:rPr>
        <w:t>в условиях асептической одноместной палаты</w:t>
      </w:r>
      <w:r>
        <w:rPr>
          <w:i/>
          <w:iCs/>
        </w:rPr>
        <w:t xml:space="preserve">. Также пациенту рекомендуется </w:t>
      </w:r>
      <w:r w:rsidRPr="00F9313B">
        <w:rPr>
          <w:i/>
          <w:iCs/>
        </w:rPr>
        <w:t>пребывание в ней в течение 21-28 дней после окончания курса.</w:t>
      </w:r>
    </w:p>
    <w:p w14:paraId="2671A709" w14:textId="4BB1A234" w:rsidR="00F9313B" w:rsidRPr="004F64DA" w:rsidRDefault="00031607" w:rsidP="00BF4D82">
      <w:pPr>
        <w:pStyle w:val="afe"/>
        <w:numPr>
          <w:ilvl w:val="0"/>
          <w:numId w:val="7"/>
        </w:numPr>
        <w:rPr>
          <w:b/>
        </w:rPr>
      </w:pPr>
      <w:r w:rsidRPr="004F64DA">
        <w:rPr>
          <w:b/>
        </w:rPr>
        <w:t>Рекомендуется</w:t>
      </w:r>
      <w:r w:rsidRPr="00F9313B">
        <w:t xml:space="preserve"> </w:t>
      </w:r>
      <w:r w:rsidR="00FD79D6" w:rsidRPr="00F9313B">
        <w:t xml:space="preserve">пациентам, которым проводится курс </w:t>
      </w:r>
      <w:r w:rsidR="00886E7D" w:rsidRPr="00886E7D">
        <w:t>#</w:t>
      </w:r>
      <w:r w:rsidR="00FD79D6" w:rsidRPr="00F9313B">
        <w:t>АТГ</w:t>
      </w:r>
      <w:r w:rsidR="00AB56EB" w:rsidRPr="00F9313B">
        <w:t xml:space="preserve"> (лошадиного)</w:t>
      </w:r>
      <w:r w:rsidR="00FD79D6" w:rsidRPr="00F9313B">
        <w:t>**,</w:t>
      </w:r>
      <w:r w:rsidR="00FD79D6" w:rsidRPr="00D07EC1">
        <w:t xml:space="preserve"> </w:t>
      </w:r>
      <w:r w:rsidR="00FD79D6">
        <w:t xml:space="preserve">проведение </w:t>
      </w:r>
      <w:r w:rsidR="00E6069D" w:rsidRPr="00D07EC1">
        <w:t>сопроводительн</w:t>
      </w:r>
      <w:r w:rsidR="00E6069D">
        <w:t>ой</w:t>
      </w:r>
      <w:r w:rsidR="00E6069D" w:rsidRPr="00D07EC1">
        <w:t xml:space="preserve"> </w:t>
      </w:r>
      <w:r w:rsidRPr="00D07EC1">
        <w:t>терапии</w:t>
      </w:r>
      <w:r w:rsidR="00204208">
        <w:t xml:space="preserve"> в возрастных дозировках</w:t>
      </w:r>
      <w:r w:rsidR="00FD79D6">
        <w:t>,</w:t>
      </w:r>
      <w:r w:rsidRPr="00D07EC1">
        <w:t xml:space="preserve"> включающей профилактику инфек</w:t>
      </w:r>
      <w:r w:rsidR="00204208">
        <w:t xml:space="preserve">ционных осложнений </w:t>
      </w:r>
      <w:r w:rsidR="004F64DA">
        <w:t xml:space="preserve">в соответствии с зарегистрированными показаниями </w:t>
      </w:r>
      <w:r w:rsidR="00204208" w:rsidRPr="00F9313B">
        <w:t>(</w:t>
      </w:r>
      <w:r w:rsidR="005864C0">
        <w:t>Ко-тримоксазол</w:t>
      </w:r>
      <w:r w:rsidR="00B06759">
        <w:t>**</w:t>
      </w:r>
      <w:r w:rsidR="00857DE4" w:rsidRPr="00D07EC1">
        <w:t>,</w:t>
      </w:r>
      <w:r w:rsidR="00F9313B">
        <w:t xml:space="preserve"> </w:t>
      </w:r>
      <w:r w:rsidR="00857DE4" w:rsidRPr="00D07EC1">
        <w:t>флуконазол</w:t>
      </w:r>
      <w:r w:rsidR="00B06759">
        <w:t>**</w:t>
      </w:r>
      <w:r w:rsidRPr="00D07EC1">
        <w:t>, ацикловир</w:t>
      </w:r>
      <w:r w:rsidR="00B06759">
        <w:t>**</w:t>
      </w:r>
      <w:r w:rsidRPr="00D07EC1">
        <w:t xml:space="preserve">), профилактику развития аллергических реакций, в том числе и </w:t>
      </w:r>
      <w:r w:rsidR="001948BB">
        <w:t>сывороточной болезни</w:t>
      </w:r>
      <w:r w:rsidR="005F38BA">
        <w:t xml:space="preserve"> </w:t>
      </w:r>
      <w:r w:rsidR="005F38BA">
        <w:rPr>
          <w:rStyle w:val="affb"/>
        </w:rPr>
        <w:fldChar w:fldCharType="begin" w:fldLock="1"/>
      </w:r>
      <w:r w:rsidR="003115E7">
        <w:rPr>
          <w:rStyle w:val="affb"/>
        </w:rPr>
        <w:instrText>ADDIN CSL_CITATION {"citationItems":[{"id":"ITEM-1","itemData":{"DOI":"10.1093/cid/ciq245","ISSN":"1537-6591","PMID":"21367725","abstract":"BACKGROUND: Persistent neutropenia associated with severe aplastic anemia (SAA) is an important risk factor for development of life-threatening infections. Earlier studies underscored the high mortality associated with invasive fungal infections (IFIs) in SAA. However, little is known about the current patterns of infections and the impact of advances in anti-infective therapy on survival in SAA. METHODS: We reviewed the records of 174 patients with SAA admitted to the Hematology Branch at NHLBI from 1989 to 2008 who were unresponsive to initial immunosuppressive therapy (IST) at 6 months. Three patient groups determined by IST protocol and time interval were compared: group 1 (43 patients; December 1989-October 1996), group 2 (51 patients; November 1996-October 2002), and group 3 (80 patients; November 2002-April 2008). Outcome variables included infections, patterns of resistance, survival, and infection-related mortality. RESULTS: During the past 2 decades, infection-related mortality decreased from 37% in group 1 to 11% in group 3 (P &lt; .001), and the frequency of IFIs decreased from 49% in group 1 to 8% in group 3 (P &lt; .001). Overall 5-year survival for all patients (n = 420) increased from 64% in group 1 to 79% in group 3 (P &lt; .001). Among non-responders (n = 174), it increased from 23% in group 1 to 57% in group 3 (P &lt; .001). In multivariate analysis, younger age, absolute neutrophil count &gt; 200 cells/μL before IST, absence of IFIs, and use of voriconazole were independently predictive of survival. CONCLUSION: During the past 2 decades, there has been a significant decrease in IFIs, infection-related mortality, and overall mortality in patients with SAA unresponsive to initial IST.","author":[{"dropping-particle":"","family":"Valdez","given":"J.M. Jessica M","non-dropping-particle":"","parse-names":false,"suffix":""},{"dropping-particle":"","family":"Scheinberg","given":"Phillip","non-dropping-particle":"","parse-names":false,"suffix":""},{"dropping-particle":"","family":"Nunez","given":"Olga","non-dropping-particle":"","parse-names":false,"suffix":""},{"dropping-particle":"","family":"Wu","given":"Colin O C.O.","non-dropping-particle":"","parse-names":false,"suffix":""},{"dropping-particle":"","family":"Young","given":"N.S. Neal S","non-dropping-particle":"","parse-names":false,"suffix":""},{"dropping-particle":"","family":"Walsh","given":"Thomas J T.J.","non-dropping-particle":"","parse-names":false,"suffix":""}],"container-title":"Clinical infectious diseases","id":"ITEM-1","issue":"6","issued":{"date-parts":[["2011","3"]]},"page":"726-35","title":"Decreased infection-related mortality and improved survival in severe aplastic anemia in the past two decades.","type":"article-journal","volume":"52"},"uris":["http://www.mendeley.com/documents/?uuid=a5fa094d-c216-4954-bc4a-c2773bdea2fc","http://www.mendeley.com/documents/?uuid=2e64cf80-d2a4-403d-a4fa-bc45df578253"]},{"id":"ITEM-2","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haematology","id":"ITEM-2","issue":"2","issued":{"date-parts":[["2016","1"]]},"language":"eng","page":"187-207","publisher-place":"England","title":"Guidelines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http://www.mendeley.com/documents/?uuid=0b9d688f-1610-4332-9910-e4bd6aaa86b9"]}],"mendeley":{"formattedCitation":"[13,53]","plainTextFormattedCitation":"[13,53]","previouslyFormattedCitation":"[13,53]"},"properties":{"noteIndex":0},"schema":"https://github.com/citation-style-language/schema/raw/master/csl-citation.json"}</w:instrText>
      </w:r>
      <w:r w:rsidR="005F38BA">
        <w:rPr>
          <w:rStyle w:val="affb"/>
        </w:rPr>
        <w:fldChar w:fldCharType="separate"/>
      </w:r>
      <w:r w:rsidR="00083277" w:rsidRPr="00083277">
        <w:rPr>
          <w:rStyle w:val="affb"/>
          <w:i w:val="0"/>
          <w:noProof/>
        </w:rPr>
        <w:t>[13,53]</w:t>
      </w:r>
      <w:r w:rsidR="005F38BA">
        <w:rPr>
          <w:rStyle w:val="affb"/>
        </w:rPr>
        <w:fldChar w:fldCharType="end"/>
      </w:r>
      <w:r w:rsidR="00AD12DA">
        <w:t>.</w:t>
      </w:r>
      <w:r w:rsidR="00BD162E">
        <w:t xml:space="preserve"> </w:t>
      </w:r>
    </w:p>
    <w:p w14:paraId="221B2B05" w14:textId="0A794601" w:rsidR="00B06759" w:rsidRPr="004F64DA" w:rsidRDefault="004F64DA" w:rsidP="004F64DA">
      <w:pPr>
        <w:rPr>
          <w:b/>
        </w:rPr>
      </w:pPr>
      <w:r>
        <w:rPr>
          <w:b/>
        </w:rPr>
        <w:t xml:space="preserve">         </w:t>
      </w:r>
      <w:r w:rsidR="00B06759" w:rsidRPr="004F64DA">
        <w:rPr>
          <w:b/>
        </w:rPr>
        <w:t xml:space="preserve">Уровень убедительности рекомендаций </w:t>
      </w:r>
      <w:r w:rsidR="00D97F2C" w:rsidRPr="004F64DA">
        <w:rPr>
          <w:b/>
          <w:lang w:val="en-US"/>
        </w:rPr>
        <w:t>C</w:t>
      </w:r>
      <w:r w:rsidR="00B06759" w:rsidRPr="004F64DA">
        <w:rPr>
          <w:b/>
        </w:rPr>
        <w:t xml:space="preserve"> (урове</w:t>
      </w:r>
      <w:r w:rsidR="00D97F2C" w:rsidRPr="004F64DA">
        <w:rPr>
          <w:b/>
        </w:rPr>
        <w:t xml:space="preserve">нь достоверности доказательств </w:t>
      </w:r>
      <w:r w:rsidR="001644E6" w:rsidRPr="004F64DA">
        <w:rPr>
          <w:b/>
        </w:rPr>
        <w:t>5</w:t>
      </w:r>
      <w:r w:rsidR="00B06759" w:rsidRPr="004F64DA">
        <w:rPr>
          <w:b/>
        </w:rPr>
        <w:t>)</w:t>
      </w:r>
    </w:p>
    <w:p w14:paraId="7B5E80C4" w14:textId="77777777" w:rsidR="0078224E" w:rsidRDefault="00031607" w:rsidP="0078224E">
      <w:pPr>
        <w:pStyle w:val="afd"/>
        <w:spacing w:beforeAutospacing="0" w:afterAutospacing="0" w:line="360" w:lineRule="auto"/>
        <w:ind w:firstLine="709"/>
        <w:contextualSpacing/>
      </w:pPr>
      <w:r w:rsidRPr="00D07EC1">
        <w:rPr>
          <w:rStyle w:val="affa"/>
        </w:rPr>
        <w:t xml:space="preserve">Комментарии: </w:t>
      </w:r>
      <w:r w:rsidRPr="00D07EC1">
        <w:rPr>
          <w:rStyle w:val="affb"/>
        </w:rPr>
        <w:t xml:space="preserve">Проведение профилактики возможных осложнений на курсе начинается за 2 дня от начала терапии и продолжается 2 недели после окончания курса. </w:t>
      </w:r>
    </w:p>
    <w:p w14:paraId="0FADE07D" w14:textId="72DCAC45" w:rsidR="00EF0FAE" w:rsidRPr="0078224E" w:rsidRDefault="00031607" w:rsidP="0078224E">
      <w:pPr>
        <w:pStyle w:val="afd"/>
        <w:spacing w:beforeAutospacing="0" w:afterAutospacing="0" w:line="360" w:lineRule="auto"/>
        <w:contextualSpacing/>
        <w:rPr>
          <w:rStyle w:val="affa"/>
          <w:b w:val="0"/>
          <w:bCs w:val="0"/>
        </w:rPr>
      </w:pPr>
      <w:r w:rsidRPr="00E81F86">
        <w:rPr>
          <w:b/>
        </w:rPr>
        <w:lastRenderedPageBreak/>
        <w:t>Р</w:t>
      </w:r>
      <w:r w:rsidR="00857DE4" w:rsidRPr="00E81F86">
        <w:rPr>
          <w:b/>
        </w:rPr>
        <w:t>екомендуется</w:t>
      </w:r>
      <w:r w:rsidR="00B06759" w:rsidRPr="00E81F86">
        <w:rPr>
          <w:b/>
        </w:rPr>
        <w:t xml:space="preserve"> </w:t>
      </w:r>
      <w:r w:rsidR="00B06759" w:rsidRPr="00B06759">
        <w:t>пациентам</w:t>
      </w:r>
      <w:r w:rsidR="001644E6" w:rsidRPr="001644E6">
        <w:t xml:space="preserve"> </w:t>
      </w:r>
      <w:r w:rsidR="00E6069D">
        <w:t xml:space="preserve">с АА </w:t>
      </w:r>
      <w:r w:rsidR="001644E6">
        <w:t>без родст</w:t>
      </w:r>
      <w:r w:rsidR="001644E6" w:rsidRPr="00E81F86">
        <w:t xml:space="preserve">венного </w:t>
      </w:r>
      <w:r w:rsidR="001644E6" w:rsidRPr="00E81F86">
        <w:rPr>
          <w:lang w:val="en-US"/>
        </w:rPr>
        <w:t>HLA</w:t>
      </w:r>
      <w:r w:rsidR="001644E6" w:rsidRPr="00E81F86">
        <w:t>-идентичного донора или старше 40 лет</w:t>
      </w:r>
      <w:r w:rsidR="00857DE4" w:rsidRPr="00E81F86">
        <w:t xml:space="preserve"> длительная</w:t>
      </w:r>
      <w:r w:rsidR="001644E6" w:rsidRPr="00E81F86">
        <w:t xml:space="preserve"> </w:t>
      </w:r>
      <w:r w:rsidR="00EF0FAE" w:rsidRPr="00E81F86">
        <w:t xml:space="preserve">терапия </w:t>
      </w:r>
      <w:r w:rsidR="00886E7D">
        <w:t>Циклоспорином</w:t>
      </w:r>
      <w:r w:rsidR="001948BB" w:rsidRPr="00E81F86">
        <w:t>**</w:t>
      </w:r>
      <w:r w:rsidR="00886E7D">
        <w:t>,</w:t>
      </w:r>
      <w:r w:rsidR="005A5B76" w:rsidRPr="00E81F86">
        <w:t xml:space="preserve"> </w:t>
      </w:r>
      <w:r w:rsidR="00EF0FAE" w:rsidRPr="00E81F86">
        <w:rPr>
          <w:rStyle w:val="affb"/>
          <w:i w:val="0"/>
        </w:rPr>
        <w:t xml:space="preserve">назначается </w:t>
      </w:r>
      <w:r w:rsidR="00DA7CAA">
        <w:rPr>
          <w:rStyle w:val="affb"/>
          <w:i w:val="0"/>
        </w:rPr>
        <w:t>с 14</w:t>
      </w:r>
      <w:r w:rsidR="00EF0FAE" w:rsidRPr="00E81F86">
        <w:rPr>
          <w:rStyle w:val="affb"/>
          <w:i w:val="0"/>
        </w:rPr>
        <w:t xml:space="preserve"> дня курса </w:t>
      </w:r>
      <w:r w:rsidR="00886E7D" w:rsidRPr="00886E7D">
        <w:rPr>
          <w:rStyle w:val="affb"/>
          <w:i w:val="0"/>
        </w:rPr>
        <w:t>#</w:t>
      </w:r>
      <w:r w:rsidR="00EF0FAE" w:rsidRPr="00E81F86">
        <w:rPr>
          <w:rStyle w:val="affb"/>
          <w:i w:val="0"/>
        </w:rPr>
        <w:t>АТГ</w:t>
      </w:r>
      <w:r w:rsidR="00C653F7">
        <w:rPr>
          <w:rStyle w:val="affb"/>
          <w:i w:val="0"/>
        </w:rPr>
        <w:t>**</w:t>
      </w:r>
      <w:r w:rsidR="00EF0FAE" w:rsidRPr="00E81F86">
        <w:rPr>
          <w:rStyle w:val="affb"/>
          <w:i w:val="0"/>
        </w:rPr>
        <w:t xml:space="preserve"> в зависимости от функции почек и эффективности контроля артериального давления</w:t>
      </w:r>
      <w:r w:rsidR="004F64DA">
        <w:rPr>
          <w:rStyle w:val="affb"/>
          <w:i w:val="0"/>
        </w:rPr>
        <w:t>.</w:t>
      </w:r>
      <w:r w:rsidR="004F64DA" w:rsidRPr="004F64DA">
        <w:rPr>
          <w:rStyle w:val="affb"/>
        </w:rPr>
        <w:t xml:space="preserve"> </w:t>
      </w:r>
      <w:r w:rsidR="004F64DA" w:rsidRPr="004F64DA">
        <w:rPr>
          <w:rStyle w:val="affb"/>
          <w:i w:val="0"/>
        </w:rPr>
        <w:t>Начальная доза препарата — 5 мг/кг в сутки</w:t>
      </w:r>
      <w:r w:rsidR="004F64DA">
        <w:rPr>
          <w:rStyle w:val="affb"/>
          <w:i w:val="0"/>
        </w:rPr>
        <w:t xml:space="preserve"> внутрь</w:t>
      </w:r>
      <w:r w:rsidR="00C653F7">
        <w:rPr>
          <w:rStyle w:val="affb"/>
          <w:i w:val="0"/>
        </w:rPr>
        <w:t xml:space="preserve"> или в\в</w:t>
      </w:r>
      <w:r w:rsidR="004F64DA" w:rsidRPr="004F64DA">
        <w:rPr>
          <w:rStyle w:val="affb"/>
          <w:i w:val="0"/>
        </w:rPr>
        <w:t>. У пациентов старше 60 лет стартовая доза может быть снижена до 3 мг/кг в сутки. В дальнейшем суточная доза изменяется в зависимости от индивидуальной фармакокинетики и индивидуальной переносимости препарата</w:t>
      </w:r>
      <w:r w:rsidR="009E7B42" w:rsidRPr="004F64DA">
        <w:rPr>
          <w:rStyle w:val="affb"/>
          <w:i w:val="0"/>
        </w:rPr>
        <w:t xml:space="preserve"> </w:t>
      </w:r>
      <w:r w:rsidR="009E7B42" w:rsidRPr="00E81F86">
        <w:rPr>
          <w:rStyle w:val="affb"/>
          <w:i w:val="0"/>
        </w:rPr>
        <w:fldChar w:fldCharType="begin" w:fldLock="1"/>
      </w:r>
      <w:r w:rsidR="003115E7">
        <w:rPr>
          <w:rStyle w:val="affb"/>
          <w:i w:val="0"/>
        </w:rPr>
        <w:instrText>ADDIN CSL_CITATION {"citationItems":[{"id":"ITEM-1","itemData":{"DOI":"10.1159/000203403","ISSN":"1421-9662","PMID":"19246887","abstract":"BACKGROUND Immunosuppression is the therapeutic alternative for patients with aplastic anemia who are ineligible for allogeneic transplant. We aimed to assess the benefit of the combination of antithymocyte globulin (ATG) and cyclosporine (CsA). METHODS We performed a systematic review and meta-analysis of all randomized controlled trials that compared ATG and CsA to ATG alone as first-line treatment for patients with severe and nonsevere aplastic anemia. The Cochrane Library, Medline, conference proceedings and references were searched until 2008. Relative risks (RR) with 95% confidence intervals (CIs) were estimated for each trial and pooled. RESULTS Our search yielded 4 trials. For patients with severe aplastic anemia, there was a significant reduction in mortality in the ATG and CsA arm, which began at 3 months (RR = 0.50, 95% CI 0.29-0.85) and was maintained over a long follow-up of 5 years (RR = 0.58, 95 % CI 0.36-0.93). Conversely, in patients with nonsevere aplastic anemia, there was no difference in mortality. CONCLUSIONS The combination of both drugs should be considered the gold standard only for patients with severe aplastic anemia.","author":[{"dropping-particle":"","family":"Gafter-Gvili","given":"Anat","non-dropping-particle":"","parse-names":false,"suffix":""},{"dropping-particle":"","family":"Ram","given":"Ron","non-dropping-particle":"","parse-names":false,"suffix":""},{"dropping-particle":"","family":"Gurion","given":"Ronit","non-dropping-particle":"","parse-names":false,"suffix":""},{"dropping-particle":"","family":"Paul","given":"Mical","non-dropping-particle":"","parse-names":false,"suffix":""},{"dropping-particle":"","family":"Yeshurun","given":"Moshe","non-dropping-particle":"","parse-names":false,"suffix":""},{"dropping-particle":"","family":"Raanani","given":"Pia","non-dropping-particle":"","parse-names":false,"suffix":""},{"dropping-particle":"","family":"Shpilberg","given":"Ofer","non-dropping-particle":"","parse-names":false,"suffix":""}],"container-title":"Acta haematologica","id":"ITEM-1","issue":"4","issued":{"date-parts":[["2008"]]},"page":"237-43","title":"ATG plus cyclosporine reduces all-cause mortality in patients with severe aplastic anemia--systematic review and meta-analysis.","type":"article-journal","volume":"120"},"uris":["http://www.mendeley.com/documents/?uuid=b44743cc-d311-3b88-b5a6-666c93d6f10b","http://www.mendeley.com/documents/?uuid=73e33c0f-320d-4f2b-8ed8-b8cf04cf08db"]}],"mendeley":{"formattedCitation":"[54]","plainTextFormattedCitation":"[54]","previouslyFormattedCitation":"[54]"},"properties":{"noteIndex":0},"schema":"https://github.com/citation-style-language/schema/raw/master/csl-citation.json"}</w:instrText>
      </w:r>
      <w:r w:rsidR="009E7B42" w:rsidRPr="00E81F86">
        <w:rPr>
          <w:rStyle w:val="affb"/>
          <w:i w:val="0"/>
        </w:rPr>
        <w:fldChar w:fldCharType="separate"/>
      </w:r>
      <w:r w:rsidR="00083277" w:rsidRPr="00083277">
        <w:rPr>
          <w:rStyle w:val="affb"/>
          <w:i w:val="0"/>
          <w:noProof/>
        </w:rPr>
        <w:t>[54]</w:t>
      </w:r>
      <w:r w:rsidR="009E7B42" w:rsidRPr="00E81F86">
        <w:rPr>
          <w:rStyle w:val="affb"/>
          <w:i w:val="0"/>
        </w:rPr>
        <w:fldChar w:fldCharType="end"/>
      </w:r>
      <w:r w:rsidR="00407B27" w:rsidRPr="00E81F86">
        <w:rPr>
          <w:rStyle w:val="affa"/>
          <w:i/>
        </w:rPr>
        <w:t>.</w:t>
      </w:r>
      <w:r w:rsidR="00EF0FAE" w:rsidRPr="00E81F86">
        <w:rPr>
          <w:rStyle w:val="affa"/>
          <w:i/>
        </w:rPr>
        <w:t xml:space="preserve"> </w:t>
      </w:r>
    </w:p>
    <w:p w14:paraId="0E2D3DEF" w14:textId="7D32AFF8" w:rsidR="00776F49" w:rsidRDefault="00B06759" w:rsidP="00776F49">
      <w:pPr>
        <w:pStyle w:val="afd"/>
        <w:spacing w:before="100" w:after="100" w:line="360" w:lineRule="auto"/>
        <w:ind w:firstLine="709"/>
        <w:contextualSpacing/>
        <w:rPr>
          <w:b/>
        </w:rPr>
      </w:pPr>
      <w:r w:rsidRPr="00EF6F94">
        <w:rPr>
          <w:b/>
        </w:rPr>
        <w:t xml:space="preserve">Уровень убедительности рекомендаций </w:t>
      </w:r>
      <w:r w:rsidR="009E7B42">
        <w:rPr>
          <w:b/>
          <w:lang w:val="en-US"/>
        </w:rPr>
        <w:t>A</w:t>
      </w:r>
      <w:r w:rsidRPr="00EF6F94">
        <w:rPr>
          <w:b/>
        </w:rPr>
        <w:t xml:space="preserve"> (уровень</w:t>
      </w:r>
      <w:r w:rsidR="00EF6F94" w:rsidRPr="00EF6F94">
        <w:rPr>
          <w:b/>
        </w:rPr>
        <w:t xml:space="preserve"> достоверности доказательств </w:t>
      </w:r>
      <w:r w:rsidR="009E7B42" w:rsidRPr="009E7B42">
        <w:rPr>
          <w:b/>
        </w:rPr>
        <w:t>1</w:t>
      </w:r>
      <w:r w:rsidR="00EF6F94" w:rsidRPr="00EF6F94">
        <w:rPr>
          <w:b/>
        </w:rPr>
        <w:t>)</w:t>
      </w:r>
    </w:p>
    <w:p w14:paraId="410F1CDF" w14:textId="5011C9E9" w:rsidR="00407B27" w:rsidRDefault="00031607" w:rsidP="00407B27">
      <w:pPr>
        <w:pStyle w:val="afd"/>
        <w:spacing w:before="100" w:after="100" w:line="360" w:lineRule="auto"/>
        <w:ind w:firstLine="709"/>
        <w:contextualSpacing/>
        <w:rPr>
          <w:rStyle w:val="affb"/>
        </w:rPr>
      </w:pPr>
      <w:r w:rsidRPr="00776F49">
        <w:rPr>
          <w:rStyle w:val="affa"/>
        </w:rPr>
        <w:t>Комментарии</w:t>
      </w:r>
      <w:r w:rsidRPr="00776F49">
        <w:t xml:space="preserve">: </w:t>
      </w:r>
      <w:r w:rsidR="00DD2420">
        <w:rPr>
          <w:rStyle w:val="affb"/>
        </w:rPr>
        <w:t>Циклоспорин</w:t>
      </w:r>
      <w:r w:rsidR="00AD12DA" w:rsidRPr="00776F49">
        <w:rPr>
          <w:rStyle w:val="affb"/>
        </w:rPr>
        <w:t>**</w:t>
      </w:r>
      <w:r w:rsidRPr="00776F49">
        <w:rPr>
          <w:rStyle w:val="affb"/>
        </w:rPr>
        <w:t xml:space="preserve"> назначается через 2—3 недели после начала курса </w:t>
      </w:r>
      <w:r w:rsidR="00AB56EB">
        <w:rPr>
          <w:rStyle w:val="affb"/>
        </w:rPr>
        <w:t xml:space="preserve">лошадиным </w:t>
      </w:r>
      <w:r w:rsidR="00886E7D" w:rsidRPr="00886E7D">
        <w:rPr>
          <w:rStyle w:val="affb"/>
        </w:rPr>
        <w:t>#</w:t>
      </w:r>
      <w:r w:rsidRPr="00776F49">
        <w:rPr>
          <w:rStyle w:val="affb"/>
        </w:rPr>
        <w:t>АТГ</w:t>
      </w:r>
      <w:r w:rsidR="00AD12DA" w:rsidRPr="00776F49">
        <w:rPr>
          <w:rStyle w:val="affb"/>
        </w:rPr>
        <w:t>**</w:t>
      </w:r>
      <w:r w:rsidRPr="00776F49">
        <w:rPr>
          <w:rStyle w:val="affb"/>
        </w:rPr>
        <w:t xml:space="preserve"> или после спленэктомии. </w:t>
      </w:r>
      <w:r w:rsidR="0083361B">
        <w:rPr>
          <w:rStyle w:val="affb"/>
        </w:rPr>
        <w:t>Целевая резидуальная (то есть взятая</w:t>
      </w:r>
      <w:r w:rsidR="00056391">
        <w:rPr>
          <w:rStyle w:val="affb"/>
        </w:rPr>
        <w:t xml:space="preserve"> перед приемом) концентрация </w:t>
      </w:r>
      <w:r w:rsidR="00DD2420">
        <w:rPr>
          <w:rStyle w:val="affb"/>
        </w:rPr>
        <w:t>циклоспорина</w:t>
      </w:r>
      <w:r w:rsidR="00DD2420" w:rsidRPr="00776F49">
        <w:rPr>
          <w:rStyle w:val="affb"/>
        </w:rPr>
        <w:t xml:space="preserve">** </w:t>
      </w:r>
      <w:r w:rsidR="0083361B">
        <w:rPr>
          <w:rStyle w:val="affb"/>
        </w:rPr>
        <w:t xml:space="preserve">в цельной крови составляет </w:t>
      </w:r>
      <w:r w:rsidR="00DA7CAA">
        <w:rPr>
          <w:rStyle w:val="affb"/>
        </w:rPr>
        <w:t>200</w:t>
      </w:r>
      <w:r w:rsidR="0083361B">
        <w:rPr>
          <w:rStyle w:val="affb"/>
        </w:rPr>
        <w:t>-</w:t>
      </w:r>
      <w:r w:rsidR="00DA7CAA">
        <w:rPr>
          <w:rStyle w:val="affb"/>
        </w:rPr>
        <w:t>4</w:t>
      </w:r>
      <w:r w:rsidR="0083361B">
        <w:rPr>
          <w:rStyle w:val="affb"/>
        </w:rPr>
        <w:t xml:space="preserve">00 нг/мл. </w:t>
      </w:r>
      <w:r w:rsidR="00EF0FAE">
        <w:rPr>
          <w:rStyle w:val="affb"/>
        </w:rPr>
        <w:t>При развитии почечной токсичности (повышение мочевины и креатинина), неконтролируемой двумя препаратами артериальной гипертен</w:t>
      </w:r>
      <w:r w:rsidR="00C653F7">
        <w:rPr>
          <w:rStyle w:val="affb"/>
        </w:rPr>
        <w:t xml:space="preserve">зии и печеночной токсичности </w:t>
      </w:r>
      <w:r w:rsidR="00DD2420">
        <w:rPr>
          <w:rStyle w:val="affb"/>
        </w:rPr>
        <w:t>циклоспорин</w:t>
      </w:r>
      <w:r w:rsidR="00DD2420" w:rsidRPr="00776F49">
        <w:rPr>
          <w:rStyle w:val="affb"/>
        </w:rPr>
        <w:t xml:space="preserve">** </w:t>
      </w:r>
      <w:r w:rsidR="00EF0FAE">
        <w:rPr>
          <w:rStyle w:val="affb"/>
        </w:rPr>
        <w:t xml:space="preserve"> останавливается полностью, независимо от дозы и концентрации в крови. После полного купирования токсичности</w:t>
      </w:r>
      <w:r w:rsidR="00C653F7">
        <w:rPr>
          <w:rStyle w:val="affb"/>
        </w:rPr>
        <w:t xml:space="preserve"> </w:t>
      </w:r>
      <w:r w:rsidR="00DD2420">
        <w:rPr>
          <w:rStyle w:val="affb"/>
        </w:rPr>
        <w:t>циклоспорина</w:t>
      </w:r>
      <w:r w:rsidR="00DD2420" w:rsidRPr="00776F49">
        <w:rPr>
          <w:rStyle w:val="affb"/>
        </w:rPr>
        <w:t xml:space="preserve">** </w:t>
      </w:r>
      <w:r w:rsidR="0083361B">
        <w:rPr>
          <w:rStyle w:val="affb"/>
        </w:rPr>
        <w:t xml:space="preserve">возобновляется в суточной дозе, равной ½ дозы на которой развилась токсичность. </w:t>
      </w:r>
      <w:r w:rsidRPr="00776F49">
        <w:rPr>
          <w:rStyle w:val="affb"/>
        </w:rPr>
        <w:t xml:space="preserve"> </w:t>
      </w:r>
      <w:r w:rsidR="0083361B">
        <w:rPr>
          <w:rStyle w:val="affb"/>
        </w:rPr>
        <w:t>П</w:t>
      </w:r>
      <w:r w:rsidR="0083361B" w:rsidRPr="00776F49">
        <w:rPr>
          <w:rStyle w:val="affb"/>
        </w:rPr>
        <w:t>ри повышении уровня</w:t>
      </w:r>
      <w:r w:rsidR="00056391">
        <w:rPr>
          <w:rStyle w:val="affb"/>
        </w:rPr>
        <w:t xml:space="preserve"> </w:t>
      </w:r>
      <w:r w:rsidR="00DD2420">
        <w:rPr>
          <w:rStyle w:val="affb"/>
        </w:rPr>
        <w:t>циклоспорина</w:t>
      </w:r>
      <w:r w:rsidR="00DD2420" w:rsidRPr="00776F49">
        <w:rPr>
          <w:rStyle w:val="affb"/>
        </w:rPr>
        <w:t xml:space="preserve">** </w:t>
      </w:r>
      <w:r w:rsidR="00E81F86">
        <w:rPr>
          <w:rStyle w:val="affb"/>
        </w:rPr>
        <w:t xml:space="preserve">в плазме </w:t>
      </w:r>
      <w:r w:rsidR="0083361B" w:rsidRPr="00776F49">
        <w:rPr>
          <w:rStyle w:val="affb"/>
        </w:rPr>
        <w:t xml:space="preserve">выше </w:t>
      </w:r>
      <w:r w:rsidR="00DA7CAA">
        <w:rPr>
          <w:rStyle w:val="affb"/>
        </w:rPr>
        <w:t xml:space="preserve">400 </w:t>
      </w:r>
      <w:r w:rsidR="0083361B">
        <w:rPr>
          <w:rStyle w:val="affb"/>
        </w:rPr>
        <w:t xml:space="preserve">нг/мл </w:t>
      </w:r>
      <w:r w:rsidR="0083361B" w:rsidRPr="00776F49">
        <w:rPr>
          <w:rStyle w:val="affb"/>
        </w:rPr>
        <w:t>проводится</w:t>
      </w:r>
      <w:r w:rsidR="0083361B">
        <w:rPr>
          <w:rStyle w:val="affb"/>
        </w:rPr>
        <w:t xml:space="preserve"> </w:t>
      </w:r>
      <w:r w:rsidRPr="00776F49">
        <w:rPr>
          <w:rStyle w:val="affb"/>
        </w:rPr>
        <w:t xml:space="preserve">снижение суточной дозы </w:t>
      </w:r>
      <w:r w:rsidR="0083361B">
        <w:rPr>
          <w:rStyle w:val="affb"/>
        </w:rPr>
        <w:t xml:space="preserve">для вхождения в терапевтических коридор. </w:t>
      </w:r>
      <w:r w:rsidRPr="00776F49">
        <w:rPr>
          <w:rStyle w:val="affb"/>
        </w:rPr>
        <w:t xml:space="preserve">Средняя суточная доза </w:t>
      </w:r>
      <w:r w:rsidR="00DD2420">
        <w:rPr>
          <w:rStyle w:val="affb"/>
        </w:rPr>
        <w:t>циклоспорина</w:t>
      </w:r>
      <w:r w:rsidR="00DD2420" w:rsidRPr="00776F49">
        <w:rPr>
          <w:rStyle w:val="affb"/>
        </w:rPr>
        <w:t xml:space="preserve">** </w:t>
      </w:r>
      <w:r w:rsidRPr="00776F49">
        <w:rPr>
          <w:rStyle w:val="affb"/>
        </w:rPr>
        <w:t xml:space="preserve">на протяжении курса лечения </w:t>
      </w:r>
      <w:r w:rsidR="0083361B">
        <w:rPr>
          <w:rStyle w:val="affb"/>
        </w:rPr>
        <w:t>определяется переносимостью и уровнем достигнутой концентрации. Не</w:t>
      </w:r>
      <w:r w:rsidR="00C653F7">
        <w:rPr>
          <w:rStyle w:val="affb"/>
        </w:rPr>
        <w:t xml:space="preserve"> рекомендуется повышать дозу </w:t>
      </w:r>
      <w:r w:rsidR="0083361B">
        <w:rPr>
          <w:rStyle w:val="affb"/>
        </w:rPr>
        <w:t xml:space="preserve">до терапевтической при плохой переносимости. </w:t>
      </w:r>
      <w:r w:rsidR="006D0BCB">
        <w:rPr>
          <w:rStyle w:val="affb"/>
        </w:rPr>
        <w:t>Терапия циклоспорином</w:t>
      </w:r>
      <w:r w:rsidR="008E2004" w:rsidRPr="00DD2420">
        <w:rPr>
          <w:rStyle w:val="affb"/>
        </w:rPr>
        <w:t>**</w:t>
      </w:r>
      <w:r w:rsidR="006D0BCB">
        <w:rPr>
          <w:rStyle w:val="affb"/>
        </w:rPr>
        <w:t xml:space="preserve"> продолжается </w:t>
      </w:r>
      <w:r w:rsidR="00DA7CAA">
        <w:rPr>
          <w:rStyle w:val="affb"/>
        </w:rPr>
        <w:t>2</w:t>
      </w:r>
      <w:r w:rsidR="006D0BCB">
        <w:rPr>
          <w:rStyle w:val="affb"/>
        </w:rPr>
        <w:t xml:space="preserve"> год</w:t>
      </w:r>
      <w:r w:rsidR="00DA7CAA">
        <w:rPr>
          <w:rStyle w:val="affb"/>
        </w:rPr>
        <w:t>а с медленной отменой</w:t>
      </w:r>
      <w:r w:rsidR="00DD2420">
        <w:rPr>
          <w:rStyle w:val="affb"/>
        </w:rPr>
        <w:t>.</w:t>
      </w:r>
      <w:r w:rsidR="00DA7CAA">
        <w:rPr>
          <w:rStyle w:val="affb"/>
        </w:rPr>
        <w:t xml:space="preserve"> </w:t>
      </w:r>
    </w:p>
    <w:p w14:paraId="7FD4A741" w14:textId="115F299E" w:rsidR="00D23199" w:rsidRPr="00E81F86" w:rsidRDefault="00031607" w:rsidP="00BF4D82">
      <w:pPr>
        <w:pStyle w:val="afd"/>
        <w:numPr>
          <w:ilvl w:val="0"/>
          <w:numId w:val="7"/>
        </w:numPr>
        <w:spacing w:before="100" w:after="100" w:line="360" w:lineRule="auto"/>
        <w:contextualSpacing/>
        <w:rPr>
          <w:u w:val="single"/>
        </w:rPr>
      </w:pPr>
      <w:r w:rsidRPr="00D864DB">
        <w:rPr>
          <w:b/>
        </w:rPr>
        <w:t>Рекомендуется</w:t>
      </w:r>
      <w:r w:rsidRPr="00D07EC1">
        <w:t xml:space="preserve"> применение хелаторной терапии деферазироксом</w:t>
      </w:r>
      <w:r w:rsidR="00595B9C">
        <w:t>**</w:t>
      </w:r>
      <w:r w:rsidR="0027323B" w:rsidRPr="00D07EC1">
        <w:t xml:space="preserve"> </w:t>
      </w:r>
      <w:r w:rsidR="00407B27">
        <w:t xml:space="preserve">у </w:t>
      </w:r>
      <w:r w:rsidR="00407B27" w:rsidRPr="00E81F86">
        <w:t>пациентов с</w:t>
      </w:r>
      <w:r w:rsidRPr="00E81F86">
        <w:t xml:space="preserve"> АА </w:t>
      </w:r>
      <w:r w:rsidR="00313E31" w:rsidRPr="00E81F86">
        <w:t xml:space="preserve">и наличием перегрузки железом </w:t>
      </w:r>
      <w:r w:rsidRPr="00E81F86">
        <w:t>в начальной дозе 10 мг/кг/сут</w:t>
      </w:r>
      <w:r w:rsidR="005F38BA" w:rsidRPr="00E81F86">
        <w:t>ки</w:t>
      </w:r>
      <w:r w:rsidR="00C653F7">
        <w:t xml:space="preserve"> внутрь</w:t>
      </w:r>
      <w:r w:rsidRPr="00E81F86">
        <w:t>, с дальнейшим постепенным увеличением дозы при не</w:t>
      </w:r>
      <w:r w:rsidR="005F38BA" w:rsidRPr="00E81F86">
        <w:t>эффективности</w:t>
      </w:r>
      <w:r w:rsidRPr="00E81F86">
        <w:t xml:space="preserve"> </w:t>
      </w:r>
      <w:r w:rsidR="005F38BA" w:rsidRPr="00E81F86">
        <w:t xml:space="preserve">до 30 мг/кг/сутки </w:t>
      </w:r>
      <w:r w:rsidRPr="00E81F86">
        <w:t>и отсутствии признаков токсичности</w:t>
      </w:r>
      <w:r w:rsidR="002E3046">
        <w:t xml:space="preserve"> для </w:t>
      </w:r>
      <w:r w:rsidR="00056391">
        <w:t>купирования перегрузки железом</w:t>
      </w:r>
      <w:r w:rsidR="00313E31" w:rsidRPr="00E81F86">
        <w:t xml:space="preserve"> </w:t>
      </w:r>
      <w:r w:rsidR="009E7B42" w:rsidRPr="00E81F86">
        <w:fldChar w:fldCharType="begin" w:fldLock="1"/>
      </w:r>
      <w:r w:rsidR="003115E7">
        <w:instrText>ADDIN CSL_CITATION {"citationItems":[{"id":"ITEM-1","itemData":{"DOI":"10.1182/blood-2010-01-261289","author":[{"dropping-particle":"","family":"Lee","given":"J W","non-dropping-particle":"","parse-names":false,"suffix":""},{"dropping-particle":"","family":"Yoon","given":"S.-S.","non-dropping-particle":"","parse-names":false,"suffix":""},{"dropping-particle":"","family":"Shen","given":"Z X","non-dropping-particle":"","parse-names":false,"suffix":""},{"dropping-particle":"","family":"Ganser","given":"A","non-dropping-particle":"","parse-names":false,"suffix":""},{"dropping-particle":"","family":"Hsu","given":"H.-C.","non-dropping-particle":"","parse-names":false,"suffix":""},{"dropping-particle":"","family":"Habr","given":"D","non-dropping-particle":"","parse-names":false,"suffix":""},{"dropping-particle":"","family":"Domokos","given":"G","non-dropping-particle":"","parse-names":false,"suffix":""},{"dropping-particle":"","family":"Roubert","given":"B","non-dropping-particle":"","parse-names":false,"suffix":""},{"dropping-particle":"","family":"Porter","given":"J B","non-dropping-particle":"","parse-names":false,"suffix":""}],"container-title":"Blood","id":"ITEM-1","issue":"14","issued":{"date-parts":[["2010"]]},"page":"2448-2454","title":"Iron chelation therapy with deferasirox in patients with aplastic anemia: A subgroup analysis of 116 patients from the EPIC trial","type":"article-journal","volume":"116"},"uris":["http://www.mendeley.com/documents/?uuid=0b6ecf31-51d7-40e2-b374-f9943507b519"]}],"mendeley":{"formattedCitation":"[40]","plainTextFormattedCitation":"[40]","previouslyFormattedCitation":"[40]"},"properties":{"noteIndex":0},"schema":"https://github.com/citation-style-language/schema/raw/master/csl-citation.json"}</w:instrText>
      </w:r>
      <w:r w:rsidR="009E7B42" w:rsidRPr="00E81F86">
        <w:fldChar w:fldCharType="separate"/>
      </w:r>
      <w:r w:rsidR="00083277" w:rsidRPr="00083277">
        <w:rPr>
          <w:noProof/>
        </w:rPr>
        <w:t>[40]</w:t>
      </w:r>
      <w:r w:rsidR="009E7B42" w:rsidRPr="00E81F86">
        <w:fldChar w:fldCharType="end"/>
      </w:r>
      <w:r w:rsidRPr="00E81F86">
        <w:t>.</w:t>
      </w:r>
      <w:r w:rsidR="0083361B" w:rsidRPr="00E81F86">
        <w:t xml:space="preserve"> </w:t>
      </w:r>
    </w:p>
    <w:p w14:paraId="68B7A14F" w14:textId="2F11D7B5" w:rsidR="00EF6F94" w:rsidRDefault="00031607" w:rsidP="00EF6F94">
      <w:pPr>
        <w:pStyle w:val="afd"/>
        <w:spacing w:line="360" w:lineRule="auto"/>
        <w:ind w:firstLine="709"/>
        <w:contextualSpacing/>
        <w:rPr>
          <w:rStyle w:val="affa"/>
        </w:rPr>
      </w:pPr>
      <w:r w:rsidRPr="00D07EC1">
        <w:rPr>
          <w:rStyle w:val="affa"/>
        </w:rPr>
        <w:t>Урове</w:t>
      </w:r>
      <w:r w:rsidR="00D97F2C">
        <w:rPr>
          <w:rStyle w:val="affa"/>
        </w:rPr>
        <w:t xml:space="preserve">нь убедительности рекомендаций </w:t>
      </w:r>
      <w:r w:rsidR="004A5061">
        <w:rPr>
          <w:rStyle w:val="affa"/>
        </w:rPr>
        <w:t>С</w:t>
      </w:r>
      <w:r w:rsidR="004A5061" w:rsidRPr="00D07EC1">
        <w:rPr>
          <w:rStyle w:val="affa"/>
        </w:rPr>
        <w:t xml:space="preserve"> </w:t>
      </w:r>
      <w:r w:rsidRPr="00D07EC1">
        <w:rPr>
          <w:rStyle w:val="affa"/>
        </w:rPr>
        <w:t>(уровень</w:t>
      </w:r>
      <w:r w:rsidR="00D97F2C">
        <w:rPr>
          <w:rStyle w:val="affa"/>
        </w:rPr>
        <w:t xml:space="preserve"> достоверности доказательств – </w:t>
      </w:r>
      <w:r w:rsidR="004A5061">
        <w:rPr>
          <w:rStyle w:val="affa"/>
        </w:rPr>
        <w:t>4</w:t>
      </w:r>
      <w:r w:rsidR="00EE3940">
        <w:rPr>
          <w:rStyle w:val="affa"/>
        </w:rPr>
        <w:t>)</w:t>
      </w:r>
    </w:p>
    <w:p w14:paraId="4A2EDB1E" w14:textId="4520FE0C" w:rsidR="00D23199" w:rsidRPr="00EF6F94" w:rsidRDefault="00031607" w:rsidP="00EF6F94">
      <w:pPr>
        <w:pStyle w:val="afd"/>
        <w:spacing w:line="360" w:lineRule="auto"/>
        <w:ind w:firstLine="709"/>
        <w:contextualSpacing/>
      </w:pPr>
      <w:r w:rsidRPr="00D07EC1">
        <w:rPr>
          <w:rStyle w:val="affa"/>
        </w:rPr>
        <w:t>Комментарии</w:t>
      </w:r>
      <w:r w:rsidRPr="00D07EC1">
        <w:t xml:space="preserve">: </w:t>
      </w:r>
      <w:r w:rsidR="00FF0EAA">
        <w:rPr>
          <w:i/>
        </w:rPr>
        <w:t>п</w:t>
      </w:r>
      <w:r w:rsidR="00FF0EAA" w:rsidRPr="00EF6F94">
        <w:rPr>
          <w:i/>
        </w:rPr>
        <w:t xml:space="preserve">ерегрузка </w:t>
      </w:r>
      <w:r w:rsidR="00EF6F94" w:rsidRPr="00EF6F94">
        <w:rPr>
          <w:i/>
        </w:rPr>
        <w:t>железом в результате множественных гемотрансфузий служит показанием к проведению хелаторной терапии. При повышении ферритина сыворотки &gt;1000 н</w:t>
      </w:r>
      <w:r w:rsidR="008C14FB">
        <w:rPr>
          <w:i/>
        </w:rPr>
        <w:t xml:space="preserve">г/мл в программу лечения пациентов с </w:t>
      </w:r>
      <w:r w:rsidR="00EF6F94" w:rsidRPr="00EF6F94">
        <w:rPr>
          <w:i/>
        </w:rPr>
        <w:t xml:space="preserve">рефрактерной </w:t>
      </w:r>
      <w:r w:rsidR="007E2D4A">
        <w:rPr>
          <w:i/>
        </w:rPr>
        <w:t>АА</w:t>
      </w:r>
      <w:r w:rsidR="00EF6F94" w:rsidRPr="00EF6F94">
        <w:rPr>
          <w:i/>
        </w:rPr>
        <w:t xml:space="preserve"> рекомендуется включить деферазирокс**. Деферазирокс** назна</w:t>
      </w:r>
      <w:r w:rsidR="00AB56EB">
        <w:rPr>
          <w:i/>
        </w:rPr>
        <w:t>ч</w:t>
      </w:r>
      <w:r w:rsidR="00EF6F94" w:rsidRPr="00EF6F94">
        <w:rPr>
          <w:i/>
        </w:rPr>
        <w:t xml:space="preserve">ают внутрь в таблетках в средней суточной дозе 20 мг/кг; в зависимости от уровня ферритина сыворотки, переносимости терапии препаратом и сопутствующей патологии, возможно уменьшение или увеличение </w:t>
      </w:r>
      <w:r w:rsidR="00EF6F94" w:rsidRPr="00EF6F94">
        <w:rPr>
          <w:i/>
        </w:rPr>
        <w:lastRenderedPageBreak/>
        <w:t>дозы на 5—10 мг/кг/сут.</w:t>
      </w:r>
      <w:r w:rsidRPr="00D07EC1">
        <w:rPr>
          <w:rStyle w:val="affb"/>
        </w:rPr>
        <w:t xml:space="preserve"> При сочетан</w:t>
      </w:r>
      <w:r w:rsidR="00213C63">
        <w:rPr>
          <w:rStyle w:val="affb"/>
        </w:rPr>
        <w:t xml:space="preserve">ном применении с </w:t>
      </w:r>
      <w:r w:rsidR="00DD2420">
        <w:rPr>
          <w:rStyle w:val="affb"/>
        </w:rPr>
        <w:t>циклоспорином</w:t>
      </w:r>
      <w:r w:rsidR="00DD2420" w:rsidRPr="00776F49">
        <w:rPr>
          <w:rStyle w:val="affb"/>
        </w:rPr>
        <w:t xml:space="preserve">** </w:t>
      </w:r>
      <w:r w:rsidRPr="00D07EC1">
        <w:rPr>
          <w:rStyle w:val="affb"/>
        </w:rPr>
        <w:t>необходим более тщательный мониторинг состояния функции почек.</w:t>
      </w:r>
    </w:p>
    <w:p w14:paraId="0298F7DA" w14:textId="4F695BA8" w:rsidR="00D23199" w:rsidRPr="00D07EC1" w:rsidRDefault="00031607" w:rsidP="00BF4D82">
      <w:pPr>
        <w:pStyle w:val="afd"/>
        <w:numPr>
          <w:ilvl w:val="0"/>
          <w:numId w:val="11"/>
        </w:numPr>
        <w:spacing w:before="100" w:after="100" w:line="360" w:lineRule="auto"/>
        <w:contextualSpacing/>
      </w:pPr>
      <w:r w:rsidRPr="00213C63">
        <w:rPr>
          <w:b/>
        </w:rPr>
        <w:t>Рекомендуется</w:t>
      </w:r>
      <w:r w:rsidRPr="00D07EC1">
        <w:t xml:space="preserve"> </w:t>
      </w:r>
      <w:r w:rsidR="00213C63">
        <w:t xml:space="preserve">пациентам </w:t>
      </w:r>
      <w:r w:rsidR="00E92F56">
        <w:rPr>
          <w:lang w:val="en-US"/>
        </w:rPr>
        <w:t>c</w:t>
      </w:r>
      <w:r w:rsidR="00E92F56" w:rsidRPr="00D07EC1">
        <w:t xml:space="preserve"> рефрактерной АА </w:t>
      </w:r>
      <w:r w:rsidRPr="00D07EC1">
        <w:t>проведение терапии элтромбопагом</w:t>
      </w:r>
      <w:r w:rsidR="00213C63">
        <w:t>**</w:t>
      </w:r>
      <w:r w:rsidR="0027323B" w:rsidRPr="00D07EC1">
        <w:t xml:space="preserve"> в дозе </w:t>
      </w:r>
      <w:r w:rsidR="00E572DC">
        <w:t xml:space="preserve">до </w:t>
      </w:r>
      <w:r w:rsidR="0027323B" w:rsidRPr="00D07EC1">
        <w:t xml:space="preserve">150 мг/сут в течение 6 месяцев </w:t>
      </w:r>
      <w:r w:rsidRPr="00D07EC1">
        <w:t xml:space="preserve">и более при достижении </w:t>
      </w:r>
      <w:r w:rsidR="002B633F">
        <w:t xml:space="preserve"> гематологического </w:t>
      </w:r>
      <w:r w:rsidRPr="00D07EC1">
        <w:t>эффекта</w:t>
      </w:r>
      <w:r w:rsidR="00956629" w:rsidRPr="00956629">
        <w:t xml:space="preserve"> </w:t>
      </w:r>
      <w:r w:rsidR="00956629">
        <w:fldChar w:fldCharType="begin" w:fldLock="1"/>
      </w:r>
      <w:r w:rsidR="003115E7">
        <w:instrText>ADDIN CSL_CITATION {"citationItems":[{"id":"ITEM-1","itemData":{"DOI":"10.1007/s40261-018-0725-2","ISSN":"1179-1918","PMID":"30406906","abstract":"BACKGROUND AND OBJECTIVES Eltrombopag seems to be effective in treating patients with aplastic anemia in several clinical trials. This paper aims to perform the first meta-analysis analyzing the efficacy and safety of eltrombopag for aplastic anemia. METHODS Literatures were retrieved from PubMed, EMBASE, OVID, Web of Science, Cochrane, Wanfang, http://clinicaltrials.gov and World Health Organization International Clinical Trials Registry Platform search portal from establishment to July 2018. Using Stata statistical software version 12.0, subgroup analyses and sensitivity analyses were conducted. RESULTS The overall hematologic response rate is 88% (95% CI 83-94%) for patients treated with eltrombopag plus immunosuppressive therapy, and 47% (95% CI 38-56%) for patients with refractory aplastic anemia using eltrombopag alone. Karyotype abnormality rates include an overall rate of 10% (95% CI 7-14%), a subtotal rate of 8% (95% CI 3-13%) for patients who are treated with eltrombopag plus immunosuppressive therapy without using antithymocyte globulin before, and a subtotal rate of 17% (95% CI 10-24%) for patients with refractory aplastic anemia treated with eltrombopag alone. CONCLUSIONS With different treatments and in different conditions eltrombopag showed a distinctive effect for aplastic anemia. However, clone evolution and adverse events were associated with treatment.","author":[{"dropping-particle":"","family":"Hong","given":"Yaqun","non-dropping-particle":"","parse-names":false,"suffix":""},{"dropping-particle":"","family":"Li","given":"Xiaofan","non-dropping-particle":"","parse-names":false,"suffix":""},{"dropping-particle":"","family":"Wan","given":"Bo","non-dropping-particle":"","parse-names":false,"suffix":""},{"dropping-particle":"","family":"Li","given":"Nainong","non-dropping-particle":"","parse-names":false,"suffix":""},{"dropping-particle":"","family":"Chen","given":"Yuanzhong","non-dropping-particle":"","parse-names":false,"suffix":""}],"container-title":"Clinical drug investigation","id":"ITEM-1","issue":"2","issued":{"date-parts":[["2019","2"]]},"page":"141-156","title":"Efficacy and Safety of Eltrombopag for Aplastic Anemia: A Systematic Review and Meta-analysis.","type":"article-journal","volume":"39"},"uris":["http://www.mendeley.com/documents/?uuid=bb6aa75f-b218-33e3-acd5-131ebca1b453","http://www.mendeley.com/documents/?uuid=ea699a45-cae9-465a-8940-750bcd8ccf6b"]}],"mendeley":{"formattedCitation":"[55]","plainTextFormattedCitation":"[55]","previouslyFormattedCitation":"[55]"},"properties":{"noteIndex":0},"schema":"https://github.com/citation-style-language/schema/raw/master/csl-citation.json"}</w:instrText>
      </w:r>
      <w:r w:rsidR="00956629">
        <w:fldChar w:fldCharType="separate"/>
      </w:r>
      <w:r w:rsidR="00083277" w:rsidRPr="00083277">
        <w:rPr>
          <w:noProof/>
        </w:rPr>
        <w:t>[55]</w:t>
      </w:r>
      <w:r w:rsidR="00956629">
        <w:fldChar w:fldCharType="end"/>
      </w:r>
      <w:r w:rsidRPr="00D07EC1">
        <w:t>.</w:t>
      </w:r>
    </w:p>
    <w:p w14:paraId="41691387" w14:textId="3D7888B9" w:rsidR="00D23199" w:rsidRPr="00D07EC1" w:rsidRDefault="00031607" w:rsidP="00D07EC1">
      <w:pPr>
        <w:pStyle w:val="afd"/>
        <w:spacing w:line="360" w:lineRule="auto"/>
        <w:ind w:firstLine="709"/>
        <w:contextualSpacing/>
      </w:pPr>
      <w:r w:rsidRPr="00D07EC1">
        <w:rPr>
          <w:rStyle w:val="affa"/>
        </w:rPr>
        <w:t>Уровень убедительн</w:t>
      </w:r>
      <w:r w:rsidR="00D97F2C">
        <w:rPr>
          <w:rStyle w:val="affa"/>
        </w:rPr>
        <w:t xml:space="preserve">ости рекомендаций </w:t>
      </w:r>
      <w:r w:rsidR="004A5061">
        <w:rPr>
          <w:rStyle w:val="affa"/>
        </w:rPr>
        <w:t>В</w:t>
      </w:r>
      <w:r w:rsidR="004A5061" w:rsidRPr="00D07EC1">
        <w:rPr>
          <w:rStyle w:val="affa"/>
        </w:rPr>
        <w:t xml:space="preserve"> </w:t>
      </w:r>
      <w:r w:rsidRPr="00D07EC1">
        <w:rPr>
          <w:rStyle w:val="affa"/>
        </w:rPr>
        <w:t>(уровень</w:t>
      </w:r>
      <w:r w:rsidR="00D97F2C">
        <w:rPr>
          <w:rStyle w:val="affa"/>
        </w:rPr>
        <w:t xml:space="preserve"> достоверности доказательств – </w:t>
      </w:r>
      <w:r w:rsidR="004A5061">
        <w:rPr>
          <w:rStyle w:val="affa"/>
        </w:rPr>
        <w:t>2</w:t>
      </w:r>
      <w:r w:rsidR="00056391">
        <w:rPr>
          <w:rStyle w:val="affa"/>
        </w:rPr>
        <w:t>)</w:t>
      </w:r>
    </w:p>
    <w:p w14:paraId="771EF7C3" w14:textId="6659BD7F" w:rsidR="00D23199" w:rsidRPr="00D07EC1" w:rsidRDefault="00031607" w:rsidP="00D07EC1">
      <w:pPr>
        <w:pStyle w:val="afd"/>
        <w:spacing w:line="360" w:lineRule="auto"/>
        <w:ind w:firstLine="709"/>
        <w:contextualSpacing/>
      </w:pPr>
      <w:r w:rsidRPr="00D07EC1">
        <w:rPr>
          <w:rStyle w:val="affa"/>
        </w:rPr>
        <w:t>Комментарии</w:t>
      </w:r>
      <w:r w:rsidRPr="00D07EC1">
        <w:t xml:space="preserve">: </w:t>
      </w:r>
      <w:r w:rsidRPr="00D07EC1">
        <w:rPr>
          <w:rStyle w:val="affb"/>
        </w:rPr>
        <w:t>проведение терапии элтромбопагом</w:t>
      </w:r>
      <w:r w:rsidR="00213C63">
        <w:rPr>
          <w:rStyle w:val="affb"/>
        </w:rPr>
        <w:t>**</w:t>
      </w:r>
      <w:r w:rsidRPr="00D07EC1">
        <w:rPr>
          <w:rStyle w:val="affb"/>
        </w:rPr>
        <w:t xml:space="preserve"> возможно при отсутствии эффекта от проведенных 2х курсов </w:t>
      </w:r>
      <w:r w:rsidR="00AB56EB">
        <w:rPr>
          <w:rStyle w:val="affb"/>
        </w:rPr>
        <w:t xml:space="preserve">лошадиным </w:t>
      </w:r>
      <w:r w:rsidR="004104D1" w:rsidRPr="008E2004">
        <w:rPr>
          <w:rStyle w:val="affb"/>
        </w:rPr>
        <w:t>#</w:t>
      </w:r>
      <w:r w:rsidRPr="00D07EC1">
        <w:rPr>
          <w:rStyle w:val="affb"/>
        </w:rPr>
        <w:t>АТ</w:t>
      </w:r>
      <w:r w:rsidR="0027323B" w:rsidRPr="00D07EC1">
        <w:rPr>
          <w:rStyle w:val="affb"/>
        </w:rPr>
        <w:t>Г</w:t>
      </w:r>
      <w:r w:rsidR="00AD12DA">
        <w:rPr>
          <w:rStyle w:val="affb"/>
        </w:rPr>
        <w:t>**</w:t>
      </w:r>
      <w:r w:rsidR="0027323B" w:rsidRPr="00D07EC1">
        <w:rPr>
          <w:rStyle w:val="affb"/>
        </w:rPr>
        <w:t xml:space="preserve"> в сочетании с </w:t>
      </w:r>
      <w:r w:rsidR="00DD2420">
        <w:rPr>
          <w:rStyle w:val="affb"/>
        </w:rPr>
        <w:t>циклоспорином</w:t>
      </w:r>
      <w:r w:rsidR="00DD2420" w:rsidRPr="00776F49">
        <w:rPr>
          <w:rStyle w:val="affb"/>
        </w:rPr>
        <w:t xml:space="preserve">** </w:t>
      </w:r>
      <w:r w:rsidRPr="00D07EC1">
        <w:rPr>
          <w:rStyle w:val="affb"/>
        </w:rPr>
        <w:t>и отсутствии возможности проведения алло-ТКМ. Также терапия элтромбопагом</w:t>
      </w:r>
      <w:r w:rsidR="004104D1" w:rsidRPr="008E2004">
        <w:rPr>
          <w:rStyle w:val="affb"/>
        </w:rPr>
        <w:t>**</w:t>
      </w:r>
      <w:r w:rsidRPr="00D07EC1">
        <w:rPr>
          <w:rStyle w:val="affb"/>
        </w:rPr>
        <w:t xml:space="preserve"> возможна как при сохранении одноростковой цитопении (тромбоцитопении)</w:t>
      </w:r>
      <w:r w:rsidR="009E2966">
        <w:rPr>
          <w:rStyle w:val="affb"/>
        </w:rPr>
        <w:t>,</w:t>
      </w:r>
      <w:r w:rsidRPr="00D07EC1">
        <w:rPr>
          <w:rStyle w:val="affb"/>
        </w:rPr>
        <w:t xml:space="preserve"> так и панцитопении для улучшения полученных результатов лечения. </w:t>
      </w:r>
    </w:p>
    <w:p w14:paraId="7A13DCE3" w14:textId="384E20C3" w:rsidR="00D23199" w:rsidRPr="00D07EC1" w:rsidRDefault="00031607" w:rsidP="00BF4D82">
      <w:pPr>
        <w:pStyle w:val="afd"/>
        <w:numPr>
          <w:ilvl w:val="0"/>
          <w:numId w:val="11"/>
        </w:numPr>
        <w:spacing w:before="100" w:after="100" w:line="360" w:lineRule="auto"/>
        <w:contextualSpacing/>
      </w:pPr>
      <w:r w:rsidRPr="00AD12DA">
        <w:rPr>
          <w:b/>
        </w:rPr>
        <w:t>Рекомендуется</w:t>
      </w:r>
      <w:r w:rsidR="00AD12DA">
        <w:t xml:space="preserve"> </w:t>
      </w:r>
      <w:r w:rsidR="002E2111">
        <w:t xml:space="preserve">рефрактерным </w:t>
      </w:r>
      <w:r w:rsidR="00AD12DA">
        <w:t>пациентам</w:t>
      </w:r>
      <w:r w:rsidRPr="00D07EC1">
        <w:t xml:space="preserve"> проведение повторного курса </w:t>
      </w:r>
      <w:r w:rsidR="0027323B" w:rsidRPr="00D07EC1">
        <w:t>терапии лошади</w:t>
      </w:r>
      <w:r w:rsidR="00EE3940">
        <w:t xml:space="preserve">ным </w:t>
      </w:r>
      <w:r w:rsidR="004104D1" w:rsidRPr="00045FA5">
        <w:t>#</w:t>
      </w:r>
      <w:r w:rsidR="00EE3940">
        <w:t>АТГ**</w:t>
      </w:r>
      <w:r w:rsidRPr="00D07EC1">
        <w:t xml:space="preserve"> через 3-6 месяцев при отсутствии эффективности после 1</w:t>
      </w:r>
      <w:r w:rsidR="007761DF">
        <w:t>-</w:t>
      </w:r>
      <w:r w:rsidRPr="00D07EC1">
        <w:t xml:space="preserve">го курса. В некоторых случаях может быть обсужден вопрос о возможности проведения </w:t>
      </w:r>
      <w:r w:rsidR="00F06196">
        <w:rPr>
          <w:lang w:val="en-US"/>
        </w:rPr>
        <w:t>c</w:t>
      </w:r>
      <w:r w:rsidRPr="00D07EC1">
        <w:t xml:space="preserve">очетанной терапии </w:t>
      </w:r>
      <w:r w:rsidR="003D5E87" w:rsidRPr="00D07EC1">
        <w:t xml:space="preserve">с </w:t>
      </w:r>
      <w:r w:rsidRPr="00D07EC1">
        <w:t>элтромбопагом</w:t>
      </w:r>
      <w:r w:rsidR="00AD12DA">
        <w:t>**</w:t>
      </w:r>
      <w:r w:rsidR="002E2111">
        <w:t xml:space="preserve"> </w:t>
      </w:r>
      <w:r w:rsidR="0083361B">
        <w:t>в первой линии</w:t>
      </w:r>
      <w:r w:rsidR="00056391" w:rsidRPr="00056391">
        <w:t xml:space="preserve"> </w:t>
      </w:r>
      <w:r w:rsidR="00F06196">
        <w:fldChar w:fldCharType="begin" w:fldLock="1"/>
      </w:r>
      <w:r w:rsidR="003115E7">
        <w:instrText>ADDIN CSL_CITATION {"citationItems":[{"id":"ITEM-1","itemData":{"DOI":"10.1056/NEJMoa1200931","ISSN":"1533-4406","PMID":"22762314","abstract":"BACKGROUND: Severe aplastic anemia, which is characterized by immune-mediated bone marrow hypoplasia and pancytopenia, can be treated effectively with immunosuppressive therapy or allogeneic transplantation. One third of patients have disease that is refractory to immunosuppression, with persistent, severe cytopenia and a profound deficit in hematopoietic stem cells and progenitor cells. Thrombopoietin may increase the number of hematopoietic stem cells and progenitor cells.\n\nMETHODS: We conducted a phase 2 study involving patients with aplastic anemia that was refractory to immunosuppression to determine whether the oral thrombopoietin mimetic eltrombopag (Promacta) can improve blood counts. Twenty-five patients received eltrombopag at a dose of 50 mg, which could be increased, as needed, to a maximum dose of 150 mg daily, for a total of 12 weeks. Primary end points were clinically significant changes in blood counts or transfusion independence. Patients with a response continued to receive eltrombopag.\n\nRESULTS: Eleven of 25 patients (44%) had a hematologic response in at least one lineage at 12 weeks, with minimal toxic effects. Nine patients no longer needed platelet transfusions (median increase in platelet count, 44,000 per cubic millimeter). Six patients had improved hemoglobin levels (median increase, 4.4 g per deciliter); 3 of them were previously dependent on red-cell transfusions and no longer needed transfusions. Nine patients had increased neutrophil counts (median increase, 1350 per cubic millimeter). Serial bone marrow biopsies showed normalization of trilineage hematopoiesis in patients who had a response, without increased fibrosis. Monitoring of immune function revealed no consistent changes.\n\nCONCLUSIONS: Treatment with eltrombopag was associated with multilineage clinical responses in some patients with refractory severe aplastic anemia. (Funded by the National Heart, Lung, and Blood Institute; ClinicalTrials.gov number, NCT00922883.).","author":[{"dropping-particle":"","family":"Olnes","given":"Matthew J","non-dropping-particle":"","parse-names":false,"suffix":""},{"dropping-particle":"","family":"Scheinberg","given":"Phillip","non-dropping-particle":"","parse-names":false,"suffix":""},{"dropping-particle":"","family":"Calvo","given":"Katherine R","non-dropping-particle":"","parse-names":false,"suffix":""},{"dropping-particle":"","family":"Desmond","given":"Ronan","non-dropping-particle":"","parse-names":false,"suffix":""},{"dropping-particle":"","family":"Tang","given":"Yong","non-dropping-particle":"","parse-names":false,"suffix":""},{"dropping-particle":"","family":"Dumitriu","given":"Bogdan","non-dropping-particle":"","parse-names":false,"suffix":""},{"dropping-particle":"","family":"Parikh","given":"Ankur R","non-dropping-particle":"","parse-names":false,"suffix":""},{"dropping-particle":"","family":"Soto","given":"Susan","non-dropping-particle":"","parse-names":false,"suffix":""},{"dropping-particle":"","family":"Biancotto","given":"Angelique","non-dropping-particle":"","parse-names":false,"suffix":""},{"dropping-particle":"","family":"Feng","given":"Xingmin","non-dropping-particle":"","parse-names":false,"suffix":""},{"dropping-particle":"","family":"Lozier","given":"Jay","non-dropping-particle":"","parse-names":false,"suffix":""},{"dropping-particle":"","family":"Wu","given":"Colin O","non-dropping-particle":"","parse-names":false,"suffix":""},{"dropping-particle":"","family":"Young","given":"Neal S","non-dropping-particle":"","parse-names":false,"suffix":""},{"dropping-particle":"","family":"Dunbar","given":"Cynthia E","non-dropping-particle":"","parse-names":false,"suffix":""}],"container-title":"The New England journal of medicine","id":"ITEM-1","issue":"1","issued":{"date-parts":[["2012","7"]]},"page":"11-9","title":"Eltrombopag and improved hematopoiesis in refractory aplastic anemia.","type":"article-journal","volume":"367"},"uris":["http://www.mendeley.com/documents/?uuid=e73211a7-c5fe-4ecc-89ba-af5dbb0618bc"]},{"id":"ITEM-2","itemData":{"abstract":"The efficiency of repeated courses of antithymocytic globulin (ATG) and algorithm thereof in combination with long-term cyclosporin A (CsA) therapy were studied. The incidence and time course of the cell clone characteristic of paroxysmal nocturnal hemoglobinuria (PNH clone) were studied in patients with aplastic anemia (AA) at different stages of immunosuppressive therapy (IST). The therapeutic algorithm used in the study led to positive response in the majority (84.9%) of AA patients. Remission was attained in 76.7% responding patients, complete remission in 76.8% of these. The majority of patients (61.6%) responded to therapy after the first course of ATG. Clinical hematological improvement was attained in 52.8% patients after 3 months of therapy; after 6 months common response was recorded in 83.4% patients. This period (3-6 months after the beginning of IST) should be regarded, in cases without response to ATG course 1, as the optimal for ATG course 2. Course 2 of ATG led to positive response in 16 more patients, that is, 80.2% patients responded to therapy after two ATG courses. Patients with AA not responding to therapy after two courses of ATG 6-9 months after the beginning of treatment could be referred to the group of patients with refractory AA. Overall and uneventful 7-year survival of AA patients after combined 1ST was 89% (95% CI 83-96%) and 93% (95% CI 88-97%), respectively. The PNH clone was detected before 1ST in 20 (61%) of 33 patients with AA. The median of PNH clone for granulocytes was 1.93% (0.1-99.5%). The clone emerged and persisted in 6 (46%) of 13 patients in whom it was detected before 1ST. All six patients responded to 1ST. Seventeen (85%) of 20 AA patients with PNH clone, detected before IST, responded to IST. In the remaining 3 (15%) patients the PNH clone reduced more than 5-fold, up to complete elimination. Of AA patients without PNH clone before therapy, 8 (61%) responded to therapy. Our results confirmed the probability of response to 1ST in AA patients with PNH clone. The results of combined IST in AA patients indicated high efficiency of the protocol including repeated ATG courses and lonc CsA therapy.","author":[{"dropping-particle":"","family":"Михайлова","given":"Е.А.","non-dropping-particle":"","parse-names":false,"suffix":""},{"dropping-particle":"","family":"Фидарова","given":"З.Т.","non-dropping-particle":"","parse-names":false,"suffix":""},{"dropping-particle":"","family":"Устинова","given":"Е.Н.","non-dropping-particle":"","parse-names":false,"suffix":""},{"dropping-particle":"","family":"Троицкая","given":"В.В.","non-dropping-particle":"","parse-names":false,"suffix":""},{"dropping-particle":"","family":"Гальцева","given":"И.В.","non-dropping-particle":"","parse-names":false,"suffix":""},{"dropping-particle":"","family":"Шитарева","given":"И.В.","non-dropping-particle":"","parse-names":false,"suffix":""}],"container-title":"ГЕМАТОЛОГИЯ И ТРАНСФУЗИОЛОГИЯ","id":"ITEM-2","issue":"4","issued":{"date-parts":[["2014"]]},"page":"11-18","title":"Комбинированная иммуносупрессивная терапия больных апластической анемией: повторные курсы антитимоцитарного глобулина","type":"article-journal","volume":"59"},"uris":["http://www.mendeley.com/documents/?uuid=1a80e30c-fb6d-4bb0-8a09-03a7e53dfb50"]}],"mendeley":{"formattedCitation":"[56,57]","plainTextFormattedCitation":"[56,57]","previouslyFormattedCitation":"[56,57]"},"properties":{"noteIndex":0},"schema":"https://github.com/citation-style-language/schema/raw/master/csl-citation.json"}</w:instrText>
      </w:r>
      <w:r w:rsidR="00F06196">
        <w:fldChar w:fldCharType="separate"/>
      </w:r>
      <w:r w:rsidR="00083277" w:rsidRPr="00083277">
        <w:rPr>
          <w:noProof/>
        </w:rPr>
        <w:t>[56,57]</w:t>
      </w:r>
      <w:r w:rsidR="00F06196">
        <w:fldChar w:fldCharType="end"/>
      </w:r>
      <w:r w:rsidR="00AD12DA">
        <w:t>.</w:t>
      </w:r>
    </w:p>
    <w:p w14:paraId="670DE3C7" w14:textId="75A25F42" w:rsidR="00D23199" w:rsidRPr="00D07EC1" w:rsidRDefault="00031607" w:rsidP="00D07EC1">
      <w:pPr>
        <w:pStyle w:val="afd"/>
        <w:spacing w:line="360" w:lineRule="auto"/>
        <w:ind w:firstLine="709"/>
        <w:contextualSpacing/>
      </w:pPr>
      <w:r w:rsidRPr="00D07EC1">
        <w:rPr>
          <w:rStyle w:val="affa"/>
        </w:rPr>
        <w:t>Урове</w:t>
      </w:r>
      <w:r w:rsidR="00D97F2C">
        <w:rPr>
          <w:rStyle w:val="affa"/>
        </w:rPr>
        <w:t>нь убедительности рекомендаций A</w:t>
      </w:r>
      <w:r w:rsidRPr="00D07EC1">
        <w:rPr>
          <w:rStyle w:val="affa"/>
        </w:rPr>
        <w:t xml:space="preserve"> (уровень д</w:t>
      </w:r>
      <w:r w:rsidR="00D97F2C">
        <w:rPr>
          <w:rStyle w:val="affa"/>
        </w:rPr>
        <w:t xml:space="preserve">остоверности доказательств – </w:t>
      </w:r>
      <w:r w:rsidR="00B210AD" w:rsidRPr="00B210AD">
        <w:rPr>
          <w:rStyle w:val="affa"/>
        </w:rPr>
        <w:t>2</w:t>
      </w:r>
      <w:r w:rsidR="007761DF">
        <w:rPr>
          <w:rStyle w:val="affa"/>
        </w:rPr>
        <w:t>)</w:t>
      </w:r>
    </w:p>
    <w:p w14:paraId="1AE8381D" w14:textId="6250C99E" w:rsidR="00D23199" w:rsidRDefault="00031607" w:rsidP="00D07EC1">
      <w:pPr>
        <w:pStyle w:val="afd"/>
        <w:spacing w:line="360" w:lineRule="auto"/>
        <w:ind w:firstLine="709"/>
        <w:contextualSpacing/>
        <w:rPr>
          <w:rStyle w:val="affb"/>
        </w:rPr>
      </w:pPr>
      <w:r w:rsidRPr="00D07EC1">
        <w:rPr>
          <w:rStyle w:val="affa"/>
        </w:rPr>
        <w:t xml:space="preserve">Комментарии: </w:t>
      </w:r>
      <w:r w:rsidRPr="00D07EC1">
        <w:rPr>
          <w:rStyle w:val="affb"/>
        </w:rPr>
        <w:t xml:space="preserve">в настоящее время для повторного курса терапией выбора является также лошадиный </w:t>
      </w:r>
      <w:r w:rsidR="004104D1" w:rsidRPr="00045FA5">
        <w:rPr>
          <w:rStyle w:val="affb"/>
        </w:rPr>
        <w:t>#</w:t>
      </w:r>
      <w:r w:rsidRPr="00D07EC1">
        <w:rPr>
          <w:rStyle w:val="affb"/>
        </w:rPr>
        <w:t>АТГ</w:t>
      </w:r>
      <w:r w:rsidR="00AD12DA">
        <w:rPr>
          <w:rStyle w:val="affb"/>
        </w:rPr>
        <w:t>**</w:t>
      </w:r>
      <w:r w:rsidRPr="00D07EC1">
        <w:rPr>
          <w:rStyle w:val="affb"/>
        </w:rPr>
        <w:t>.</w:t>
      </w:r>
    </w:p>
    <w:p w14:paraId="744C753F" w14:textId="792A16D3" w:rsidR="002E2111" w:rsidRDefault="002E2111" w:rsidP="00BF4D82">
      <w:pPr>
        <w:pStyle w:val="afd"/>
        <w:numPr>
          <w:ilvl w:val="0"/>
          <w:numId w:val="7"/>
        </w:numPr>
        <w:spacing w:line="360" w:lineRule="auto"/>
        <w:contextualSpacing/>
        <w:rPr>
          <w:bCs/>
        </w:rPr>
      </w:pPr>
      <w:r w:rsidRPr="00A03572">
        <w:rPr>
          <w:bCs/>
        </w:rPr>
        <w:t xml:space="preserve">Пациентам с констатированной рефрактерностью к 1-му курсу терапии </w:t>
      </w:r>
      <w:r w:rsidR="004104D1" w:rsidRPr="00045FA5">
        <w:rPr>
          <w:bCs/>
        </w:rPr>
        <w:t>#</w:t>
      </w:r>
      <w:r w:rsidRPr="00A03572">
        <w:rPr>
          <w:bCs/>
        </w:rPr>
        <w:t>АТГ</w:t>
      </w:r>
      <w:r w:rsidR="007761DF">
        <w:rPr>
          <w:bCs/>
        </w:rPr>
        <w:t>**</w:t>
      </w:r>
      <w:r w:rsidRPr="00A03572">
        <w:rPr>
          <w:b/>
        </w:rPr>
        <w:t xml:space="preserve"> рекомендуется </w:t>
      </w:r>
      <w:r w:rsidRPr="00A03572">
        <w:rPr>
          <w:bCs/>
        </w:rPr>
        <w:t>консультация в трансплантационном центре с целью оценки возможности проведения трансплантации аллогенных гемоп</w:t>
      </w:r>
      <w:r w:rsidR="00A03572" w:rsidRPr="00A03572">
        <w:rPr>
          <w:bCs/>
        </w:rPr>
        <w:t>оэтических клеток</w:t>
      </w:r>
      <w:r w:rsidR="00E572DC">
        <w:rPr>
          <w:bCs/>
        </w:rPr>
        <w:t xml:space="preserve"> </w:t>
      </w:r>
      <w:r w:rsidR="00CA3765">
        <w:rPr>
          <w:bCs/>
        </w:rPr>
        <w:t xml:space="preserve">крови или </w:t>
      </w:r>
      <w:r w:rsidR="00E572DC">
        <w:rPr>
          <w:bCs/>
        </w:rPr>
        <w:t>костного мозга</w:t>
      </w:r>
      <w:r w:rsidR="00A03572" w:rsidRPr="00A03572">
        <w:rPr>
          <w:bCs/>
        </w:rPr>
        <w:t xml:space="preserve"> от неродственного или гаплоидентичного донора</w:t>
      </w:r>
      <w:r w:rsidR="002042EA" w:rsidRPr="002042EA">
        <w:rPr>
          <w:bCs/>
        </w:rPr>
        <w:t xml:space="preserve"> </w:t>
      </w:r>
      <w:r w:rsidR="00B210AD">
        <w:rPr>
          <w:bCs/>
        </w:rPr>
        <w:fldChar w:fldCharType="begin" w:fldLock="1"/>
      </w:r>
      <w:r w:rsidR="003115E7">
        <w:rPr>
          <w:bCs/>
        </w:rPr>
        <w:instrText>ADDIN CSL_CITATION {"citationItems":[{"id":"ITEM-1","itemData":{"DOI":"10.1182/blood-2012-03-417758","ISSN":"00064971","abstract":"The importance of human leukocyte antigen (HLA) matching in unrelated donor transplantation for nonmalignant diseases (NMD) has yet to be defined. We analyzed data from 663 unrelated marrow and peripheral blood stem cell transplants performed from 1995 to 2007 for treatment of NMD. Transplantation from a donor mismatched at the HLA-A, -B, -C, or -DRB1, but not -DQB1 or -DPB1, loci was associated with higher mortality in multivariate analyses (P = .002). The hazard ratio for mortality for single (7/8) and double mismatched (6/8) transplants was 1.29 (0.97-1.72; P = .079) and 1.82 (1.30- 2.55; P = .0004), respectively, compared with 8/8 matched transplants. HLA mismatches were not associated with acute or chronic GVHD, but were strongly associated with graft failure. After adjustment for other factors, the odds ratio for graft failure for 7/8 and 6/8 (allele and/or antigen) matched pairs compared with 8/8 matched transplants was 2.81 (1.74-4.54; P &lt; .0001) and 2.22 (1.26-3.97; P = .006), respectively. Patients with NMD should receive transplants from allele matched (8/8) donors if possible. Unlike the case with malignancies, HLAmismatching inNMDis associated with graft failure rather than GVHD. ? 2012 by The American Society of Hematology.","author":[{"dropping-particle":"","family":"Horan","given":"John","non-dropping-particle":"","parse-names":false,"suffix":""},{"dropping-particle":"","family":"Wang","given":"Tao","non-dropping-particle":"","parse-names":false,"suffix":""},{"dropping-particle":"","family":"Haagenson","given":"Michael","non-dropping-particle":"","parse-names":false,"suffix":""},{"dropping-particle":"","family":"Spellman","given":"Stephen R.","non-dropping-particle":"","parse-names":false,"suffix":""},{"dropping-particle":"","family":"Dehn","given":"Jason","non-dropping-particle":"","parse-names":false,"suffix":""},{"dropping-particle":"","family":"Eapen","given":"Mary","non-dropping-particle":"","parse-names":false,"suffix":""},{"dropping-particle":"","family":"Frangoul","given":"Haydar","non-dropping-particle":"","parse-names":false,"suffix":""},{"dropping-particle":"","family":"Gupta","given":"Vikas","non-dropping-particle":"","parse-names":false,"suffix":""},{"dropping-particle":"","family":"Hale","given":"Gregory A.","non-dropping-particle":"","parse-names":false,"suffix":""},{"dropping-particle":"","family":"Hurley","given":"Carolyn K.","non-dropping-particle":"","parse-names":false,"suffix":""},{"dropping-particle":"","family":"Marino","given":"Susana","non-dropping-particle":"","parse-names":false,"suffix":""},{"dropping-particle":"","family":"Oudshoorn","given":"Machteld","non-dropping-particle":"","parse-names":false,"suffix":""},{"dropping-particle":"","family":"Reddy","given":"Vijay","non-dropping-particle":"","parse-names":false,"suffix":""},{"dropping-particle":"","family":"Shaw","given":"Peter","non-dropping-particle":"","parse-names":false,"suffix":""},{"dropping-particle":"","family":"Lee","given":"Stephanie J.","non-dropping-particle":"","parse-names":false,"suffix":""},{"dropping-particle":"","family":"Woolfrey","given":"Ann","non-dropping-particle":"","parse-names":false,"suffix":""}],"container-title":"Blood","id":"ITEM-1","issue":"14","issued":{"date-parts":[["2012","10","4"]]},"page":"2918-2924","title":"Evaluation of HLA matching in unrelated hematopoietic stem cell transplantation for nonmalignant disorders","type":"article-journal","volume":"120"},"uris":["http://www.mendeley.com/documents/?uuid=5ac3c23e-b40a-3f63-b542-7ed7ed41e189","http://www.mendeley.com/documents/?uuid=6cefe606-a119-4162-a064-59bc4ffa1247"]}],"mendeley":{"formattedCitation":"[58]","plainTextFormattedCitation":"[58]","previouslyFormattedCitation":"[58]"},"properties":{"noteIndex":0},"schema":"https://github.com/citation-style-language/schema/raw/master/csl-citation.json"}</w:instrText>
      </w:r>
      <w:r w:rsidR="00B210AD">
        <w:rPr>
          <w:bCs/>
        </w:rPr>
        <w:fldChar w:fldCharType="separate"/>
      </w:r>
      <w:r w:rsidR="00083277" w:rsidRPr="00083277">
        <w:rPr>
          <w:bCs/>
          <w:noProof/>
        </w:rPr>
        <w:t>[58]</w:t>
      </w:r>
      <w:r w:rsidR="00B210AD">
        <w:rPr>
          <w:bCs/>
        </w:rPr>
        <w:fldChar w:fldCharType="end"/>
      </w:r>
      <w:r w:rsidR="00E572DC">
        <w:rPr>
          <w:bCs/>
        </w:rPr>
        <w:t>.</w:t>
      </w:r>
    </w:p>
    <w:p w14:paraId="036854E2" w14:textId="5CCC928A" w:rsidR="00A03572" w:rsidRPr="00D07EC1" w:rsidRDefault="00A03572" w:rsidP="003C080B">
      <w:pPr>
        <w:pStyle w:val="afd"/>
        <w:spacing w:line="360" w:lineRule="auto"/>
        <w:ind w:left="720"/>
        <w:contextualSpacing/>
      </w:pPr>
      <w:r w:rsidRPr="00D07EC1">
        <w:rPr>
          <w:rStyle w:val="affa"/>
        </w:rPr>
        <w:t>Уровень убедительности рекомендаций В (уровень достоверности</w:t>
      </w:r>
      <w:r w:rsidR="003C080B" w:rsidRPr="003C080B">
        <w:rPr>
          <w:rStyle w:val="affa"/>
        </w:rPr>
        <w:t xml:space="preserve"> </w:t>
      </w:r>
      <w:r w:rsidR="007761DF">
        <w:rPr>
          <w:rStyle w:val="affa"/>
        </w:rPr>
        <w:t xml:space="preserve">доказательств – </w:t>
      </w:r>
      <w:r w:rsidR="00B210AD" w:rsidRPr="003C080B">
        <w:rPr>
          <w:rStyle w:val="affa"/>
        </w:rPr>
        <w:t>3</w:t>
      </w:r>
      <w:r w:rsidR="007761DF">
        <w:rPr>
          <w:rStyle w:val="affa"/>
        </w:rPr>
        <w:t>)</w:t>
      </w:r>
    </w:p>
    <w:p w14:paraId="59BD7CD0" w14:textId="2EC5B254" w:rsidR="00D23199" w:rsidRPr="00D07EC1" w:rsidRDefault="00031607" w:rsidP="00BF4D82">
      <w:pPr>
        <w:pStyle w:val="afd"/>
        <w:numPr>
          <w:ilvl w:val="0"/>
          <w:numId w:val="11"/>
        </w:numPr>
        <w:spacing w:before="100" w:after="100" w:line="360" w:lineRule="auto"/>
        <w:contextualSpacing/>
      </w:pPr>
      <w:r w:rsidRPr="00AD12DA">
        <w:rPr>
          <w:b/>
        </w:rPr>
        <w:t>Рекомендуется</w:t>
      </w:r>
      <w:r w:rsidR="00AD12DA" w:rsidRPr="007761DF">
        <w:t xml:space="preserve"> пациентам</w:t>
      </w:r>
      <w:r w:rsidR="003C080B" w:rsidRPr="003C080B">
        <w:t xml:space="preserve"> </w:t>
      </w:r>
      <w:r w:rsidR="003C080B">
        <w:t>с циклоспорин</w:t>
      </w:r>
      <w:r w:rsidR="002B633F">
        <w:t xml:space="preserve">зависимым </w:t>
      </w:r>
      <w:r w:rsidR="003C080B">
        <w:t>рецидивом</w:t>
      </w:r>
      <w:r w:rsidRPr="00D07EC1">
        <w:t xml:space="preserve"> </w:t>
      </w:r>
      <w:r w:rsidR="002B633F">
        <w:t xml:space="preserve">(развитием рецидива на фоне постепенного снижения дозы или сразу после полной отмены - </w:t>
      </w:r>
      <w:r w:rsidRPr="00D07EC1">
        <w:t>возоб</w:t>
      </w:r>
      <w:r w:rsidR="00AD12DA">
        <w:t xml:space="preserve">новление терапии </w:t>
      </w:r>
      <w:r w:rsidR="00E572DC">
        <w:t>циклоспорином</w:t>
      </w:r>
      <w:r w:rsidR="00AD12DA">
        <w:t>**</w:t>
      </w:r>
      <w:r w:rsidR="002E3046">
        <w:t xml:space="preserve"> в соответствии с зарегистрированными показаниями</w:t>
      </w:r>
      <w:r w:rsidRPr="00D07EC1">
        <w:t xml:space="preserve"> </w:t>
      </w:r>
      <w:r w:rsidR="002B633F">
        <w:t xml:space="preserve">даже при </w:t>
      </w:r>
      <w:r w:rsidRPr="00D07EC1">
        <w:t>отсутствии трансфузионной зависимости</w:t>
      </w:r>
      <w:r w:rsidR="00E81D75" w:rsidRPr="00D07EC1">
        <w:t xml:space="preserve"> </w:t>
      </w:r>
      <w:r w:rsidR="00F06196">
        <w:fldChar w:fldCharType="begin" w:fldLock="1"/>
      </w:r>
      <w:r w:rsidR="003115E7">
        <w:instrText>ADDIN CSL_CITATION {"citationItems":[{"id":"ITEM-1","itemData":{"abstract":"The efficiency of repeated courses of antithymocytic globulin (ATG) and algorithm thereof in combination with long-term cyclosporin A (CsA) therapy were studied. The incidence and time course of the cell clone characteristic of paroxysmal nocturnal hemoglobinuria (PNH clone) were studied in patients with aplastic anemia (AA) at different stages of immunosuppressive therapy (IST). The therapeutic algorithm used in the study led to positive response in the majority (84.9%) of AA patients. Remission was attained in 76.7% responding patients, complete remission in 76.8% of these. The majority of patients (61.6%) responded to therapy after the first course of ATG. Clinical hematological improvement was attained in 52.8% patients after 3 months of therapy; after 6 months common response was recorded in 83.4% patients. This period (3-6 months after the beginning of IST) should be regarded, in cases without response to ATG course 1, as the optimal for ATG course 2. Course 2 of ATG led to positive response in 16 more patients, that is, 80.2% patients responded to therapy after two ATG courses. Patients with AA not responding to therapy after two courses of ATG 6-9 months after the beginning of treatment could be referred to the group of patients with refractory AA. Overall and uneventful 7-year survival of AA patients after combined 1ST was 89% (95% CI 83-96%) and 93% (95% CI 88-97%), respectively. The PNH clone was detected before 1ST in 20 (61%) of 33 patients with AA. The median of PNH clone for granulocytes was 1.93% (0.1-99.5%). The clone emerged and persisted in 6 (46%) of 13 patients in whom it was detected before 1ST. All six patients responded to 1ST. Seventeen (85%) of 20 AA patients with PNH clone, detected before IST, responded to IST. In the remaining 3 (15%) patients the PNH clone reduced more than 5-fold, up to complete elimination. Of AA patients without PNH clone before therapy, 8 (61%) responded to therapy. Our results confirmed the probability of response to 1ST in AA patients with PNH clone. The results of combined IST in AA patients indicated high efficiency of the protocol including repeated ATG courses and lonc CsA therapy.","author":[{"dropping-particle":"","family":"Михайлова","given":"Е.А.","non-dropping-particle":"","parse-names":false,"suffix":""},{"dropping-particle":"","family":"Фидарова","given":"З.Т.","non-dropping-particle":"","parse-names":false,"suffix":""},{"dropping-particle":"","family":"Устинова","given":"Е.Н.","non-dropping-particle":"","parse-names":false,"suffix":""},{"dropping-particle":"","family":"Троицкая","given":"В.В.","non-dropping-particle":"","parse-names":false,"suffix":""},{"dropping-particle":"","family":"Гальцева","given":"И.В.","non-dropping-particle":"","parse-names":false,"suffix":""},{"dropping-particle":"","family":"Шитарева","given":"И.В.","non-dropping-particle":"","parse-names":false,"suffix":""}],"container-title":"ГЕМАТОЛОГИЯ И ТРАНСФУЗИОЛОГИЯ","id":"ITEM-1","issue":"4","issued":{"date-parts":[["2014"]]},"page":"11-18","title":"Комбинированная иммуносупрессивная терапия больных апластической анемией: повторные курсы антитимоцитарного глобулина","type":"article-journal","volume":"59"},"uris":["http://www.mendeley.com/documents/?uuid=1a80e30c-fb6d-4bb0-8a09-03a7e53dfb50","http://www.mendeley.com/documents/?uuid=9bc3433a-4d46-425c-a019-b09f9eaba437"]},{"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http://www.mendeley.com/documents/?uuid=431cbaf1-6677-4417-9c9e-2883397f879a"]}],"mendeley":{"formattedCitation":"[12,57]","plainTextFormattedCitation":"[12,57]","previouslyFormattedCitation":"[12,57]"},"properties":{"noteIndex":0},"schema":"https://github.com/citation-style-language/schema/raw/master/csl-citation.json"}</w:instrText>
      </w:r>
      <w:r w:rsidR="00F06196">
        <w:fldChar w:fldCharType="separate"/>
      </w:r>
      <w:r w:rsidR="00083277" w:rsidRPr="00083277">
        <w:rPr>
          <w:noProof/>
        </w:rPr>
        <w:t>[12,57]</w:t>
      </w:r>
      <w:r w:rsidR="00F06196">
        <w:fldChar w:fldCharType="end"/>
      </w:r>
      <w:r w:rsidR="00AD12DA">
        <w:t>.</w:t>
      </w:r>
    </w:p>
    <w:p w14:paraId="556A0DF4" w14:textId="2BE777E1" w:rsidR="00D23199" w:rsidRPr="00D07EC1" w:rsidRDefault="00031607" w:rsidP="00D07EC1">
      <w:pPr>
        <w:pStyle w:val="afd"/>
        <w:spacing w:line="360" w:lineRule="auto"/>
        <w:ind w:firstLine="709"/>
        <w:contextualSpacing/>
      </w:pPr>
      <w:r w:rsidRPr="00D07EC1">
        <w:rPr>
          <w:rStyle w:val="affa"/>
        </w:rPr>
        <w:t>Урове</w:t>
      </w:r>
      <w:r w:rsidR="00D97F2C">
        <w:rPr>
          <w:rStyle w:val="affa"/>
        </w:rPr>
        <w:t>нь убедительности рекомендаций C</w:t>
      </w:r>
      <w:r w:rsidRPr="00D07EC1">
        <w:rPr>
          <w:rStyle w:val="affa"/>
        </w:rPr>
        <w:t xml:space="preserve"> (уровень д</w:t>
      </w:r>
      <w:r w:rsidR="00EE3940">
        <w:rPr>
          <w:rStyle w:val="affa"/>
        </w:rPr>
        <w:t xml:space="preserve">остоверности доказательств – </w:t>
      </w:r>
      <w:r w:rsidR="00B43813" w:rsidRPr="00B43813">
        <w:rPr>
          <w:rStyle w:val="affa"/>
        </w:rPr>
        <w:t>5</w:t>
      </w:r>
      <w:r w:rsidR="00EE3940">
        <w:rPr>
          <w:rStyle w:val="affa"/>
        </w:rPr>
        <w:t>)</w:t>
      </w:r>
    </w:p>
    <w:p w14:paraId="60A6340A" w14:textId="5053AAA8" w:rsidR="00D23199" w:rsidRPr="00D07EC1" w:rsidRDefault="00031607" w:rsidP="00AD12DA">
      <w:pPr>
        <w:pStyle w:val="afd"/>
        <w:spacing w:line="360" w:lineRule="auto"/>
        <w:ind w:firstLine="709"/>
        <w:contextualSpacing/>
      </w:pPr>
      <w:r w:rsidRPr="00D07EC1">
        <w:rPr>
          <w:rStyle w:val="affa"/>
        </w:rPr>
        <w:t xml:space="preserve">Комментарии: </w:t>
      </w:r>
      <w:r w:rsidRPr="00D07EC1">
        <w:rPr>
          <w:rStyle w:val="affb"/>
        </w:rPr>
        <w:t xml:space="preserve">при отсутствии эффекта через 2-3 месяца – обсуждение вопроса о проведении курса </w:t>
      </w:r>
      <w:r w:rsidR="004104D1" w:rsidRPr="008E2004">
        <w:rPr>
          <w:rStyle w:val="affb"/>
        </w:rPr>
        <w:t>#</w:t>
      </w:r>
      <w:r w:rsidRPr="00D07EC1">
        <w:rPr>
          <w:rStyle w:val="affb"/>
        </w:rPr>
        <w:t>АТГ</w:t>
      </w:r>
      <w:r w:rsidR="00AD12DA">
        <w:rPr>
          <w:rStyle w:val="affb"/>
        </w:rPr>
        <w:t>**.</w:t>
      </w:r>
    </w:p>
    <w:p w14:paraId="6B80C78E" w14:textId="7A7414BD" w:rsidR="00EF6F94" w:rsidRDefault="00031607" w:rsidP="00BF4D82">
      <w:pPr>
        <w:pStyle w:val="afd"/>
        <w:numPr>
          <w:ilvl w:val="0"/>
          <w:numId w:val="11"/>
        </w:numPr>
        <w:spacing w:before="100" w:after="100" w:line="360" w:lineRule="auto"/>
        <w:contextualSpacing/>
      </w:pPr>
      <w:r w:rsidRPr="00AD12DA">
        <w:rPr>
          <w:b/>
        </w:rPr>
        <w:lastRenderedPageBreak/>
        <w:t>Рекомендуется</w:t>
      </w:r>
      <w:r w:rsidR="00AD12DA">
        <w:rPr>
          <w:b/>
        </w:rPr>
        <w:t xml:space="preserve"> </w:t>
      </w:r>
      <w:r w:rsidR="00AD12DA" w:rsidRPr="00AD12DA">
        <w:t>пациентам</w:t>
      </w:r>
      <w:r w:rsidRPr="00AD12DA">
        <w:rPr>
          <w:b/>
        </w:rPr>
        <w:t xml:space="preserve"> </w:t>
      </w:r>
      <w:r w:rsidR="00B43813" w:rsidRPr="00D07EC1">
        <w:t xml:space="preserve">при развитии рецидива АА </w:t>
      </w:r>
      <w:r w:rsidRPr="00D07EC1">
        <w:t>проведение повторного курса</w:t>
      </w:r>
      <w:r w:rsidR="00CA3765">
        <w:t xml:space="preserve"> лошадиного</w:t>
      </w:r>
      <w:r w:rsidRPr="00D07EC1">
        <w:t xml:space="preserve"> </w:t>
      </w:r>
      <w:r w:rsidR="004104D1" w:rsidRPr="008E2004">
        <w:t>#</w:t>
      </w:r>
      <w:r w:rsidRPr="00D07EC1">
        <w:t>АТГ</w:t>
      </w:r>
      <w:r w:rsidR="00AD12DA">
        <w:t>**</w:t>
      </w:r>
      <w:r w:rsidR="002B633F">
        <w:t xml:space="preserve"> в прежнем режиме дозирования</w:t>
      </w:r>
      <w:r w:rsidR="006D0BCB">
        <w:t xml:space="preserve"> (20 мг/кг/сут или 40 мг/кг/сут)</w:t>
      </w:r>
      <w:r w:rsidRPr="00D07EC1">
        <w:t xml:space="preserve"> </w:t>
      </w:r>
      <w:r w:rsidR="00B43813">
        <w:fldChar w:fldCharType="begin" w:fldLock="1"/>
      </w:r>
      <w:r w:rsidR="003115E7">
        <w:instrText xml:space="preserve">ADDIN CSL_CITATION {"citationItems":[{"id":"ITEM-1","itemData":{"DOI":"10.1182/blood-2013-05-498279","ISSN":"1528-0020","PMID":"24052548","abstract":"Refractory aplastic anemia (AA) is defined as a lack of response to first-line immunosuppressive therapy (IST) with antithymocyte globulin and cyclosporin and is manifested as persistence of severe cytopenias at 6 months after IST. Although supportive care is critical for AA patients, it is of paramount importance for refractory disease in view of the longer duration of pancytopenia and susceptibility to life-threatening infections due to IST. Improvements in supportive care have largely contributed to better outcome over the past 2 decades, with 5-year overall survival reaching 57% during 2002 to 2008 for patients with AA unresponsive to initial IST. Exclusion of hypocellular myelodysplastic syndrome and constitutional BM failure masquerading as apparent idiopathic AA should be done in conjunction with centers of excellence. Hematopoietic stem cell transplantation is indicated if refractory AA patients are fit and have a suitably matched donor, either a sibling (&gt;40-50 years) or unrelated donor. Patients lacking a fully matched donor should be considered for a second course of antithymocyte globulin plus cyclosporin, although response in the refractory setting is only </w:instrText>
      </w:r>
      <w:r w:rsidR="003115E7">
        <w:rPr>
          <w:rFonts w:ascii="Cambria Math" w:hAnsi="Cambria Math" w:cs="Cambria Math"/>
        </w:rPr>
        <w:instrText>∼</w:instrText>
      </w:r>
      <w:r w:rsidR="003115E7">
        <w:instrText>30% to 35%. Response may also occur with alemtuzumab or the thrombopoietin mimetic eltrombopag in refractory AA. The emerging data for alternate donor (cord or haploidentical) transplantation in AA has provided additional therapeutic choices to consider in refractory disease.","author":[{"dropping-particle":"","family":"Marsh","given":"Judith C W","non-dropping-particle":"","parse-names":false,"suffix":""},{"dropping-particle":"","family":"Kulasekararaj","given":"Austin G","non-dropping-particle":"","parse-names":false,"suffix":""}],"container-title":"Blood","id":"ITEM-1","issue":"22","issued":{"date-parts":[["2013","11"]]},"page":"3561-7","title":"Management of the refractory aplastic anemia patient: what are the options?","type":"article-journal","volume":"122"},"uris":["http://www.mendeley.com/documents/?uuid=70e24b08-e61e-4d29-a8b6-70a2cccbf452"]},{"id":"ITEM-2","itemData":{"abstract":"The efficiency of repeated courses of antithymocytic globulin (ATG) and algorithm thereof in combination with long-term cyclosporin A (CsA) therapy were studied. The incidence and time course of the cell clone characteristic of paroxysmal nocturnal hemoglobinuria (PNH clone) were studied in patients with aplastic anemia (AA) at different stages of immunosuppressive therapy (IST). The therapeutic algorithm used in the study led to positive response in the majority (84.9%) of AA patients. Remission was attained in 76.7% responding patients, complete remission in 76.8% of these. The majority of patients (61.6%) responded to therapy after the first course of ATG. Clinical hematological improvement was attained in 52.8% patients after 3 months of therapy; after 6 months common response was recorded in 83.4% patients. This period (3-6 months after the beginning of IST) should be regarded, in cases without response to ATG course 1, as the optimal for ATG course 2. Course 2 of ATG led to positive response in 16 more patients, that is, 80.2% patients responded to therapy after two ATG courses. Patients with AA not responding to therapy after two courses of ATG 6-9 months after the beginning of treatment could be referred to the group of patients with refractory AA. Overall and uneventful 7-year survival of AA patients after combined 1ST was 89% (95% CI 83-96%) and 93% (95% CI 88-97%), respectively. The PNH clone was detected before 1ST in 20 (61%) of 33 patients with AA. The median of PNH clone for granulocytes was 1.93% (0.1-99.5%). The clone emerged and persisted in 6 (46%) of 13 patients in whom it was detected before 1ST. All six patients responded to 1ST. Seventeen (85%) of 20 AA patients with PNH clone, detected before IST, responded to IST. In the remaining 3 (15%) patients the PNH clone reduced more than 5-fold, up to complete elimination. Of AA patients without PNH clone before therapy, 8 (61%) responded to therapy. Our results confirmed the probability of response to 1ST in AA patients with PNH clone. The results of combined IST in AA patients indicated high efficiency of the protocol including repeated ATG courses and lonc CsA therapy.","author":[{"dropping-particle":"","family":"Михайлова","given":"Е.А.","non-dropping-particle":"","parse-names":false,"suffix":""},{"dropping-particle":"","family":"Фидарова","given":"З.Т.","non-dropping-particle":"","parse-names":false,"suffix":""},{"dropping-particle":"","family":"Устинова","given":"Е.Н.","non-dropping-particle":"","parse-names":false,"suffix":""},{"dropping-particle":"","family":"Троицкая","given":"В.В.","non-dropping-particle":"","parse-names":false,"suffix":""},{"dropping-particle":"","family":"Гальцева","given":"И.В.","non-dropping-particle":"","parse-names":false,"suffix":""},{"dropping-particle":"","family":"Шитарева","given":"И.В.","non-dropping-particle":"","parse-names":false,"suffix":""}],"container-title":"ГЕМАТОЛОГИЯ И ТРАНСФУЗИОЛОГИЯ","id":"ITEM-2","issue":"4","issued":{"date-parts":[["2014"]]},"page":"11-18","title":"Комбинированная иммуносупрессивная терапия больных апластической анемией: повторные курсы антитимоцитарного глобулина","type":"article-journal","volume":"59"},"uris":["http://www.mendeley.com/documents/?uuid=1a80e30c-fb6d-4bb0-8a09-03a7e53dfb50"]}],"mendeley":{"formattedCitation":"[2,57]","plainTextFormattedCitation":"[2,57]","previouslyFormattedCitation":"[2,57]"},"properties":{"noteIndex":0},"schema":"https://github.com/citation-style-language/schema/raw/master/csl-citation.json"}</w:instrText>
      </w:r>
      <w:r w:rsidR="00B43813">
        <w:fldChar w:fldCharType="separate"/>
      </w:r>
      <w:r w:rsidR="00083277" w:rsidRPr="00083277">
        <w:rPr>
          <w:noProof/>
        </w:rPr>
        <w:t>[2,57]</w:t>
      </w:r>
      <w:r w:rsidR="00B43813">
        <w:fldChar w:fldCharType="end"/>
      </w:r>
      <w:r w:rsidR="007761DF">
        <w:t>.</w:t>
      </w:r>
    </w:p>
    <w:p w14:paraId="708E04F6" w14:textId="59818E9B" w:rsidR="00AD12DA" w:rsidRPr="00EF6F94" w:rsidRDefault="00AD12DA" w:rsidP="00F01BFA">
      <w:pPr>
        <w:pStyle w:val="afd"/>
        <w:spacing w:before="100" w:after="100" w:line="360" w:lineRule="auto"/>
        <w:ind w:firstLine="709"/>
        <w:contextualSpacing/>
        <w:rPr>
          <w:b/>
        </w:rPr>
      </w:pPr>
      <w:r w:rsidRPr="00EF6F94">
        <w:rPr>
          <w:b/>
        </w:rPr>
        <w:t xml:space="preserve">Уровень убедительности рекомендаций </w:t>
      </w:r>
      <w:r w:rsidR="004A5061">
        <w:rPr>
          <w:b/>
        </w:rPr>
        <w:t>С</w:t>
      </w:r>
      <w:r w:rsidR="004A5061" w:rsidRPr="00EF6F94">
        <w:rPr>
          <w:b/>
        </w:rPr>
        <w:t xml:space="preserve"> </w:t>
      </w:r>
      <w:r w:rsidRPr="00EF6F94">
        <w:rPr>
          <w:b/>
        </w:rPr>
        <w:t>(урове</w:t>
      </w:r>
      <w:r w:rsidR="00D97F2C">
        <w:rPr>
          <w:b/>
        </w:rPr>
        <w:t xml:space="preserve">нь достоверности доказательств </w:t>
      </w:r>
      <w:r w:rsidR="004A5061">
        <w:rPr>
          <w:b/>
        </w:rPr>
        <w:t>5</w:t>
      </w:r>
      <w:r w:rsidRPr="00EF6F94">
        <w:rPr>
          <w:b/>
        </w:rPr>
        <w:t>)</w:t>
      </w:r>
    </w:p>
    <w:p w14:paraId="29455401" w14:textId="32A5EB98" w:rsidR="008D51EC" w:rsidRPr="00D07EC1" w:rsidRDefault="008D51EC" w:rsidP="00BF4D82">
      <w:pPr>
        <w:pStyle w:val="afd"/>
        <w:numPr>
          <w:ilvl w:val="0"/>
          <w:numId w:val="11"/>
        </w:numPr>
        <w:spacing w:beforeAutospacing="0" w:afterAutospacing="0" w:line="360" w:lineRule="auto"/>
        <w:contextualSpacing/>
      </w:pPr>
      <w:r w:rsidRPr="00EE3940">
        <w:rPr>
          <w:b/>
        </w:rPr>
        <w:t>Не рекомендуется</w:t>
      </w:r>
      <w:r w:rsidRPr="00D07EC1">
        <w:t xml:space="preserve"> </w:t>
      </w:r>
      <w:r w:rsidR="00B43813">
        <w:t xml:space="preserve">пациентам с АА </w:t>
      </w:r>
      <w:r w:rsidRPr="00D07EC1">
        <w:t>проведение тера</w:t>
      </w:r>
      <w:r w:rsidR="002E3046">
        <w:t xml:space="preserve">пии </w:t>
      </w:r>
      <w:r w:rsidR="005864C0">
        <w:t xml:space="preserve">глюкокортикостероидами </w:t>
      </w:r>
      <w:r w:rsidR="00AB450A">
        <w:fldChar w:fldCharType="begin" w:fldLock="1"/>
      </w:r>
      <w:r w:rsidR="00083277">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http://www.mendeley.com/documents/?uuid=f6a95751-ac7b-4db0-8b22-e59c0ad12a2d"]}],"mendeley":{"formattedCitation":"[12,13]","plainTextFormattedCitation":"[12,13]","previouslyFormattedCitation":"[12,13]"},"properties":{"noteIndex":0},"schema":"https://github.com/citation-style-language/schema/raw/master/csl-citation.json"}</w:instrText>
      </w:r>
      <w:r w:rsidR="00AB450A">
        <w:fldChar w:fldCharType="separate"/>
      </w:r>
      <w:r w:rsidR="0012563C" w:rsidRPr="0012563C">
        <w:rPr>
          <w:noProof/>
        </w:rPr>
        <w:t>[12,13]</w:t>
      </w:r>
      <w:r w:rsidR="00AB450A">
        <w:fldChar w:fldCharType="end"/>
      </w:r>
      <w:r w:rsidR="00EE3940">
        <w:t>.</w:t>
      </w:r>
    </w:p>
    <w:p w14:paraId="1361485B" w14:textId="0783DDAE" w:rsidR="00AD12DA" w:rsidRPr="00713176" w:rsidRDefault="00AD12DA" w:rsidP="00EE3940">
      <w:pPr>
        <w:pStyle w:val="afff1"/>
        <w:ind w:left="0" w:firstLine="720"/>
      </w:pPr>
      <w:r w:rsidRPr="00713176">
        <w:t xml:space="preserve">Уровень убедительности рекомендаций </w:t>
      </w:r>
      <w:r w:rsidR="00B43813">
        <w:t>С</w:t>
      </w:r>
      <w:r w:rsidRPr="00713176">
        <w:t xml:space="preserve"> (уровень достоверности доказательств </w:t>
      </w:r>
      <w:r w:rsidR="00B43813">
        <w:t>5</w:t>
      </w:r>
      <w:r w:rsidRPr="00713176">
        <w:t>)</w:t>
      </w:r>
    </w:p>
    <w:p w14:paraId="2C07A932" w14:textId="37614A91" w:rsidR="008D51EC" w:rsidRDefault="008D51EC" w:rsidP="00EE3940">
      <w:pPr>
        <w:pStyle w:val="afd"/>
        <w:spacing w:beforeAutospacing="0" w:afterAutospacing="0" w:line="360" w:lineRule="auto"/>
        <w:ind w:firstLine="720"/>
        <w:contextualSpacing/>
        <w:rPr>
          <w:rStyle w:val="affa"/>
          <w:b w:val="0"/>
          <w:i/>
        </w:rPr>
      </w:pPr>
      <w:r w:rsidRPr="00D07EC1">
        <w:rPr>
          <w:rStyle w:val="affa"/>
        </w:rPr>
        <w:t>Комментарии:</w:t>
      </w:r>
      <w:r w:rsidRPr="00D07EC1">
        <w:rPr>
          <w:rStyle w:val="affa"/>
          <w:b w:val="0"/>
        </w:rPr>
        <w:t xml:space="preserve"> </w:t>
      </w:r>
      <w:r w:rsidR="00EE3940">
        <w:rPr>
          <w:rStyle w:val="affa"/>
          <w:b w:val="0"/>
          <w:i/>
        </w:rPr>
        <w:t>терапия</w:t>
      </w:r>
      <w:r w:rsidR="002E3046">
        <w:rPr>
          <w:rStyle w:val="affa"/>
          <w:b w:val="0"/>
          <w:i/>
        </w:rPr>
        <w:t xml:space="preserve"> </w:t>
      </w:r>
      <w:r w:rsidR="005864C0">
        <w:rPr>
          <w:rStyle w:val="affa"/>
          <w:b w:val="0"/>
          <w:i/>
        </w:rPr>
        <w:t xml:space="preserve">глюкокортикостероидными </w:t>
      </w:r>
      <w:r w:rsidR="002E3046">
        <w:rPr>
          <w:rStyle w:val="affa"/>
          <w:b w:val="0"/>
          <w:i/>
        </w:rPr>
        <w:t>средствами</w:t>
      </w:r>
      <w:r w:rsidRPr="00EE3940">
        <w:rPr>
          <w:rStyle w:val="affa"/>
          <w:b w:val="0"/>
          <w:i/>
        </w:rPr>
        <w:t xml:space="preserve"> не является патогенетической для </w:t>
      </w:r>
      <w:r w:rsidR="007E2D4A">
        <w:rPr>
          <w:rStyle w:val="affa"/>
          <w:b w:val="0"/>
          <w:i/>
        </w:rPr>
        <w:t>АА</w:t>
      </w:r>
      <w:r w:rsidRPr="00EE3940">
        <w:rPr>
          <w:rStyle w:val="affa"/>
          <w:b w:val="0"/>
          <w:i/>
        </w:rPr>
        <w:t>. Применение глюкокортико</w:t>
      </w:r>
      <w:r w:rsidR="005864C0">
        <w:rPr>
          <w:rStyle w:val="affa"/>
          <w:b w:val="0"/>
          <w:i/>
        </w:rPr>
        <w:t>стеро</w:t>
      </w:r>
      <w:r w:rsidRPr="00EE3940">
        <w:rPr>
          <w:rStyle w:val="affa"/>
          <w:b w:val="0"/>
          <w:i/>
        </w:rPr>
        <w:t>ид</w:t>
      </w:r>
      <w:r w:rsidR="004104D1">
        <w:rPr>
          <w:rStyle w:val="affa"/>
          <w:b w:val="0"/>
          <w:i/>
        </w:rPr>
        <w:t>ов</w:t>
      </w:r>
      <w:r w:rsidRPr="00EE3940">
        <w:rPr>
          <w:rStyle w:val="affa"/>
          <w:b w:val="0"/>
          <w:i/>
        </w:rPr>
        <w:t xml:space="preserve"> </w:t>
      </w:r>
      <w:r w:rsidR="00D97F2C" w:rsidRPr="00EE3940">
        <w:rPr>
          <w:rStyle w:val="affa"/>
          <w:b w:val="0"/>
          <w:i/>
        </w:rPr>
        <w:t>целесообразно</w:t>
      </w:r>
      <w:r w:rsidRPr="00EE3940">
        <w:rPr>
          <w:rStyle w:val="affa"/>
          <w:b w:val="0"/>
          <w:i/>
        </w:rPr>
        <w:t xml:space="preserve"> лишь в рамках протокола введения </w:t>
      </w:r>
      <w:r w:rsidR="00CA3765">
        <w:rPr>
          <w:rStyle w:val="affa"/>
          <w:b w:val="0"/>
          <w:i/>
        </w:rPr>
        <w:t xml:space="preserve">лошадиного </w:t>
      </w:r>
      <w:r w:rsidR="004104D1" w:rsidRPr="008E2004">
        <w:rPr>
          <w:rStyle w:val="affa"/>
          <w:b w:val="0"/>
          <w:i/>
        </w:rPr>
        <w:t>#</w:t>
      </w:r>
      <w:r w:rsidRPr="00EE3940">
        <w:rPr>
          <w:rStyle w:val="affa"/>
          <w:b w:val="0"/>
          <w:i/>
        </w:rPr>
        <w:t>АТГ</w:t>
      </w:r>
      <w:r w:rsidR="00EE3940">
        <w:rPr>
          <w:rStyle w:val="affa"/>
          <w:b w:val="0"/>
          <w:i/>
        </w:rPr>
        <w:t>**</w:t>
      </w:r>
      <w:r w:rsidRPr="00EE3940">
        <w:rPr>
          <w:rStyle w:val="affa"/>
          <w:b w:val="0"/>
          <w:i/>
        </w:rPr>
        <w:t xml:space="preserve">. </w:t>
      </w:r>
    </w:p>
    <w:p w14:paraId="707F4FBC" w14:textId="6059BF38" w:rsidR="007636E1" w:rsidRPr="007636E1" w:rsidRDefault="007636E1" w:rsidP="00BF4D82">
      <w:pPr>
        <w:pStyle w:val="afd"/>
        <w:numPr>
          <w:ilvl w:val="0"/>
          <w:numId w:val="7"/>
        </w:numPr>
        <w:spacing w:beforeAutospacing="0" w:afterAutospacing="0" w:line="360" w:lineRule="auto"/>
        <w:contextualSpacing/>
        <w:rPr>
          <w:bCs/>
        </w:rPr>
      </w:pPr>
      <w:r w:rsidRPr="007636E1">
        <w:rPr>
          <w:rStyle w:val="affa"/>
        </w:rPr>
        <w:t>Рекомендуется</w:t>
      </w:r>
      <w:r w:rsidRPr="007636E1">
        <w:rPr>
          <w:rStyle w:val="affa"/>
          <w:b w:val="0"/>
        </w:rPr>
        <w:t xml:space="preserve"> всем пациентам</w:t>
      </w:r>
      <w:r w:rsidR="00B43813">
        <w:rPr>
          <w:rStyle w:val="affa"/>
          <w:b w:val="0"/>
        </w:rPr>
        <w:t xml:space="preserve"> с АА при наличии показаний</w:t>
      </w:r>
      <w:r w:rsidRPr="007636E1">
        <w:rPr>
          <w:rStyle w:val="affa"/>
          <w:b w:val="0"/>
        </w:rPr>
        <w:t xml:space="preserve"> проведение </w:t>
      </w:r>
      <w:r>
        <w:t>заместительной трансфузионной терапии компонентами крови</w:t>
      </w:r>
      <w:r w:rsidR="00147B50">
        <w:t xml:space="preserve"> для купирования анемического </w:t>
      </w:r>
      <w:r w:rsidR="00C30790">
        <w:t xml:space="preserve">и геморрагического </w:t>
      </w:r>
      <w:r w:rsidR="00147B50">
        <w:t>синдром</w:t>
      </w:r>
      <w:r w:rsidR="00C30790">
        <w:t>ов</w:t>
      </w:r>
      <w:r w:rsidR="00776F12">
        <w:t xml:space="preserve"> </w:t>
      </w:r>
      <w:r w:rsidR="00776F12">
        <w:fldChar w:fldCharType="begin" w:fldLock="1"/>
      </w:r>
      <w:r w:rsidR="003115E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id":"ITEM-2","itemData":{"DOI":"10.1046/j.1365-2141.2003.04468.x","author":[{"dropping-particle":"","family":"Kelsey","given":"P","non-dropping-particle":"","parse-names":false,"suffix":""},{"dropping-particle":"","family":"Murphy","given":"M F","non-dropping-particle":"","parse-names":false,"suffix":""},{"dropping-particle":"","family":"Brown","given":"M","non-dropping-particle":"","parse-names":false,"suffix":""},{"dropping-particle":"","family":"Carrington","given":"P","non-dropping-particle":"","parse-names":false,"suffix":""},{"dropping-particle":"","family":"Hall","given":"G","non-dropping-particle":"","parse-names":false,"suffix":""},{"dropping-particle":"","family":"Jeffrey","given":"R R","non-dropping-particle":"","parse-names":false,"suffix":""},{"dropping-particle":"","family":"Machin","given":"S","non-dropping-particle":"","parse-names":false,"suffix":""},{"dropping-particle":"","family":"Taylor","given":"C","non-dropping-particle":"","parse-names":false,"suffix":""},{"dropping-particle":"","family":"Thomas","given":"D","non-dropping-particle":"","parse-names":false,"suffix":""},{"dropping-particle":"","family":"Boulton","given":"F","non-dropping-particle":"","parse-names":false,"suffix":""},{"dropping-particle":"","family":"Bruce","given":"M","non-dropping-particle":"","parse-names":false,"suffix":""},{"dropping-particle":"","family":"Cohen","given":"H","non-dropping-particle":"","parse-names":false,"suffix":""},{"dropping-particle":"","family":"Duguid","given":"J","non-dropping-particle":"","parse-names":false,"suffix":""},{"dropping-particle":"","family":"Knowles","given":"S M","non-dropping-particle":"","parse-names":false,"suffix":""},{"dropping-particle":"","family":"Murphy","given":"M F","non-dropping-particle":"","parse-names":false,"suffix":""},{"dropping-particle":"","family":"Poole","given":"G","non-dropping-particle":"","parse-names":false,"suffix":""},{"dropping-particle":"","family":"Williamson","given":"L M","non-dropping-particle":"","parse-names":false,"suffix":""}],"container-title":"British Journal of Haematology","id":"ITEM-2","issue":"1","issued":{"date-parts":[["2003"]]},"page":"10-23","title":"Guidelines for the use of platelet transfusions","type":"article-journal","volume":"122"},"uris":["http://www.mendeley.com/documents/?uuid=ae13e39e-d447-4417-a36a-495acada282e","http://www.mendeley.com/documents/?uuid=a40b78a4-8a25-4dc3-91aa-cd77b82f1d80","http://www.mendeley.com/documents/?uuid=c6468d4a-d515-48e4-82dd-9d3872be2577"]},{"id":"ITEM-3","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haematology","id":"ITEM-3","issue":"2","issued":{"date-parts":[["2016","1"]]},"language":"eng","page":"187-207","publisher-place":"England","title":"Guidelines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http://www.mendeley.com/documents/?uuid=5e58acc2-a712-420d-81ac-367838b7eb94"]}],"mendeley":{"formattedCitation":"[12,13,22]","plainTextFormattedCitation":"[12,13,22]","previouslyFormattedCitation":"[12,13,22]"},"properties":{"noteIndex":0},"schema":"https://github.com/citation-style-language/schema/raw/master/csl-citation.json"}</w:instrText>
      </w:r>
      <w:r w:rsidR="00776F12">
        <w:fldChar w:fldCharType="separate"/>
      </w:r>
      <w:r w:rsidR="00083277" w:rsidRPr="00083277">
        <w:rPr>
          <w:noProof/>
        </w:rPr>
        <w:t>[12,13,22]</w:t>
      </w:r>
      <w:r w:rsidR="00776F12">
        <w:fldChar w:fldCharType="end"/>
      </w:r>
      <w:r w:rsidR="00776F12">
        <w:t xml:space="preserve"> </w:t>
      </w:r>
      <w:r>
        <w:t>.</w:t>
      </w:r>
    </w:p>
    <w:p w14:paraId="2F0AA8A9" w14:textId="53E4BB2D" w:rsidR="007636E1" w:rsidRPr="00713176" w:rsidRDefault="007636E1" w:rsidP="00F01BFA">
      <w:pPr>
        <w:pStyle w:val="afff1"/>
        <w:ind w:left="0" w:firstLine="709"/>
      </w:pPr>
      <w:r w:rsidRPr="00713176">
        <w:t xml:space="preserve">Уровень убедительности рекомендаций </w:t>
      </w:r>
      <w:r w:rsidR="00B43813">
        <w:t>С</w:t>
      </w:r>
      <w:r w:rsidRPr="00713176">
        <w:t xml:space="preserve"> (уровень достоверности доказательств </w:t>
      </w:r>
      <w:r w:rsidR="00B43813">
        <w:t>5</w:t>
      </w:r>
      <w:r w:rsidRPr="00713176">
        <w:t>)</w:t>
      </w:r>
    </w:p>
    <w:p w14:paraId="521A3CA5" w14:textId="15CA511C" w:rsidR="007636E1" w:rsidRPr="00EF6F94" w:rsidRDefault="007636E1" w:rsidP="007636E1">
      <w:pPr>
        <w:pStyle w:val="afd"/>
        <w:spacing w:beforeAutospacing="0" w:afterAutospacing="0" w:line="360" w:lineRule="auto"/>
        <w:ind w:firstLine="709"/>
        <w:contextualSpacing/>
        <w:rPr>
          <w:b/>
          <w:bCs/>
          <w:i/>
        </w:rPr>
      </w:pPr>
      <w:r w:rsidRPr="007636E1">
        <w:rPr>
          <w:rStyle w:val="affa"/>
        </w:rPr>
        <w:t>Комментарии:</w:t>
      </w:r>
      <w:r>
        <w:rPr>
          <w:rStyle w:val="affa"/>
        </w:rPr>
        <w:t xml:space="preserve"> </w:t>
      </w:r>
      <w:r w:rsidR="002E3046">
        <w:rPr>
          <w:i/>
        </w:rPr>
        <w:t>применяется эритроцитная масса и тромбоконцентрат</w:t>
      </w:r>
      <w:r w:rsidRPr="00EF6F94">
        <w:rPr>
          <w:i/>
        </w:rPr>
        <w:t>, алгоритм применения которых определяется тяжестью течения болезни, то есть выраженностью анемического и геморрагического синдромов и этапом терапии.</w:t>
      </w:r>
    </w:p>
    <w:p w14:paraId="7634E431" w14:textId="11CA5E66" w:rsidR="007636E1" w:rsidRPr="00EF6F94" w:rsidRDefault="007636E1" w:rsidP="007636E1">
      <w:pPr>
        <w:pStyle w:val="afd"/>
        <w:spacing w:beforeAutospacing="0" w:afterAutospacing="0" w:line="360" w:lineRule="auto"/>
        <w:ind w:firstLine="709"/>
        <w:contextualSpacing/>
        <w:rPr>
          <w:b/>
          <w:bCs/>
          <w:i/>
        </w:rPr>
      </w:pPr>
      <w:r w:rsidRPr="00EF6F94">
        <w:rPr>
          <w:i/>
        </w:rPr>
        <w:t>Для купирования анемического синдрома при АА должна использоваться эритроцитная масса, очищенная от лейкоцитов и тромбоцитов, с учетом фенотипа эритроцитов донора и реципиента. Для однократного переливания донорских тромбоцитов используют не менее 6—10 доз</w:t>
      </w:r>
      <w:r w:rsidR="0083361B">
        <w:rPr>
          <w:i/>
        </w:rPr>
        <w:t xml:space="preserve"> (одна доза - 0,5-0,7х10</w:t>
      </w:r>
      <w:r w:rsidR="0083361B">
        <w:rPr>
          <w:i/>
          <w:vertAlign w:val="superscript"/>
        </w:rPr>
        <w:t>11</w:t>
      </w:r>
      <w:r w:rsidR="0083361B">
        <w:rPr>
          <w:i/>
        </w:rPr>
        <w:t>)</w:t>
      </w:r>
      <w:r w:rsidRPr="00EF6F94">
        <w:rPr>
          <w:i/>
        </w:rPr>
        <w:t xml:space="preserve"> тромбоконцентрата, полученного от одного донора; трансфузии проводят с частотой от 1</w:t>
      </w:r>
      <w:r w:rsidR="0083361B">
        <w:rPr>
          <w:i/>
        </w:rPr>
        <w:t xml:space="preserve"> раза в неделю до 1 раза в </w:t>
      </w:r>
      <w:r w:rsidR="0083361B" w:rsidRPr="00E81F86">
        <w:rPr>
          <w:i/>
        </w:rPr>
        <w:t xml:space="preserve">день в зависимости от следующих факторов: проведение терапии </w:t>
      </w:r>
      <w:r w:rsidR="008E2004" w:rsidRPr="008E2004">
        <w:rPr>
          <w:i/>
        </w:rPr>
        <w:t>#</w:t>
      </w:r>
      <w:r w:rsidR="0083361B" w:rsidRPr="00E81F86">
        <w:rPr>
          <w:i/>
        </w:rPr>
        <w:t>АТГ</w:t>
      </w:r>
      <w:r w:rsidR="00147B50">
        <w:rPr>
          <w:i/>
        </w:rPr>
        <w:t>** (в дни введения</w:t>
      </w:r>
      <w:r w:rsidR="0083361B" w:rsidRPr="00E81F86">
        <w:rPr>
          <w:i/>
        </w:rPr>
        <w:t>), наличие кровоточивости, лечение антикоагулянтами, наличие активной инфекции</w:t>
      </w:r>
      <w:r w:rsidR="00C20841" w:rsidRPr="00E81F86">
        <w:rPr>
          <w:i/>
        </w:rPr>
        <w:t>, адекватность трансфузионного прироста.</w:t>
      </w:r>
      <w:r w:rsidR="00C20841">
        <w:rPr>
          <w:i/>
        </w:rPr>
        <w:t xml:space="preserve"> </w:t>
      </w:r>
      <w:r w:rsidRPr="00EF6F94">
        <w:rPr>
          <w:i/>
        </w:rPr>
        <w:t xml:space="preserve"> Использование тромбоконцентратов, приготовленных при тромбоцит</w:t>
      </w:r>
      <w:r w:rsidR="0033681E">
        <w:rPr>
          <w:i/>
        </w:rPr>
        <w:t>а</w:t>
      </w:r>
      <w:r w:rsidRPr="00EF6F94">
        <w:rPr>
          <w:i/>
        </w:rPr>
        <w:t xml:space="preserve">ферезе, позволяет значительно уменьшить число </w:t>
      </w:r>
      <w:r w:rsidRPr="00E81F86">
        <w:rPr>
          <w:i/>
        </w:rPr>
        <w:t>доноров</w:t>
      </w:r>
      <w:r w:rsidR="006B2B71" w:rsidRPr="00E81F86">
        <w:rPr>
          <w:i/>
        </w:rPr>
        <w:t xml:space="preserve"> на реципиента</w:t>
      </w:r>
      <w:r w:rsidRPr="00E81F86">
        <w:rPr>
          <w:i/>
        </w:rPr>
        <w:t xml:space="preserve"> и снизить риск аллосенсибилизации пациентов. При тяжелом</w:t>
      </w:r>
      <w:r w:rsidRPr="00EF6F94">
        <w:rPr>
          <w:i/>
        </w:rPr>
        <w:t xml:space="preserve"> геморрагическом синдроме, характеризующимся маточными, желудочно-кишечными кровотечениями, сопровождающимся развитием ДВС-синдрома, необходимо использовать свежезамороженную плазму.</w:t>
      </w:r>
    </w:p>
    <w:p w14:paraId="79A68126" w14:textId="36600E31" w:rsidR="007636E1" w:rsidRPr="00EF6F94" w:rsidRDefault="007636E1" w:rsidP="007636E1">
      <w:pPr>
        <w:pStyle w:val="afd"/>
        <w:spacing w:beforeAutospacing="0" w:afterAutospacing="0" w:line="360" w:lineRule="auto"/>
        <w:ind w:firstLine="709"/>
        <w:contextualSpacing/>
        <w:rPr>
          <w:b/>
          <w:bCs/>
          <w:i/>
        </w:rPr>
      </w:pPr>
      <w:r w:rsidRPr="00EF6F94">
        <w:rPr>
          <w:i/>
        </w:rPr>
        <w:t xml:space="preserve">Тактика использования компонентов крови зависит от этапа </w:t>
      </w:r>
      <w:r w:rsidR="007E2D4A">
        <w:rPr>
          <w:i/>
        </w:rPr>
        <w:t>ИСТ</w:t>
      </w:r>
      <w:r w:rsidRPr="00EF6F94">
        <w:rPr>
          <w:i/>
        </w:rPr>
        <w:t>.</w:t>
      </w:r>
    </w:p>
    <w:p w14:paraId="03B59B13" w14:textId="73A4A823" w:rsidR="007636E1" w:rsidRPr="00EF6F94" w:rsidRDefault="007636E1" w:rsidP="007636E1">
      <w:pPr>
        <w:pStyle w:val="afd"/>
        <w:spacing w:beforeAutospacing="0" w:afterAutospacing="0" w:line="360" w:lineRule="auto"/>
        <w:ind w:firstLine="709"/>
        <w:contextualSpacing/>
        <w:rPr>
          <w:i/>
        </w:rPr>
      </w:pPr>
      <w:r w:rsidRPr="00EF6F94">
        <w:rPr>
          <w:i/>
        </w:rPr>
        <w:lastRenderedPageBreak/>
        <w:t xml:space="preserve">В период подготовки к курсу лечения </w:t>
      </w:r>
      <w:r w:rsidR="00CA3765">
        <w:rPr>
          <w:i/>
        </w:rPr>
        <w:t xml:space="preserve">лошадиным </w:t>
      </w:r>
      <w:r w:rsidR="004104D1" w:rsidRPr="008E2004">
        <w:rPr>
          <w:i/>
        </w:rPr>
        <w:t>#</w:t>
      </w:r>
      <w:r w:rsidRPr="00EF6F94">
        <w:rPr>
          <w:i/>
        </w:rPr>
        <w:t>АТГ** необходимо купировать геморрагический синдром, если он имеет место, и повысить количество тромбоцитов выше 30,0 х 10</w:t>
      </w:r>
      <w:r w:rsidRPr="00EF6F94">
        <w:rPr>
          <w:i/>
          <w:vertAlign w:val="superscript"/>
        </w:rPr>
        <w:t>9</w:t>
      </w:r>
      <w:r w:rsidRPr="00EF6F94">
        <w:rPr>
          <w:i/>
        </w:rPr>
        <w:t xml:space="preserve">/л, а уровень гемоглобина — выше </w:t>
      </w:r>
      <w:r w:rsidR="006B2B71">
        <w:rPr>
          <w:i/>
        </w:rPr>
        <w:t>9</w:t>
      </w:r>
      <w:r w:rsidRPr="00EF6F94">
        <w:rPr>
          <w:i/>
        </w:rPr>
        <w:t>0,0 г/л.</w:t>
      </w:r>
      <w:r w:rsidR="00C20841">
        <w:rPr>
          <w:i/>
        </w:rPr>
        <w:t xml:space="preserve"> (кровотечение лучше останавливается при хорошем гемоглобине!!!)</w:t>
      </w:r>
      <w:r w:rsidRPr="00EF6F94">
        <w:rPr>
          <w:i/>
        </w:rPr>
        <w:t xml:space="preserve"> Частота переливаний определяется индивидуально.</w:t>
      </w:r>
    </w:p>
    <w:p w14:paraId="60BCE7D7" w14:textId="559237CC" w:rsidR="007636E1" w:rsidRPr="00EF6F94" w:rsidRDefault="007636E1" w:rsidP="007636E1">
      <w:pPr>
        <w:pStyle w:val="afd"/>
        <w:spacing w:beforeAutospacing="0" w:afterAutospacing="0" w:line="360" w:lineRule="auto"/>
        <w:ind w:firstLine="709"/>
        <w:contextualSpacing/>
        <w:rPr>
          <w:i/>
        </w:rPr>
      </w:pPr>
      <w:r w:rsidRPr="00EF6F94">
        <w:rPr>
          <w:i/>
        </w:rPr>
        <w:t xml:space="preserve">Тактика гемотрансфузионной терапии в период индукции ремиссии на фоне приема </w:t>
      </w:r>
      <w:r w:rsidR="00DD2420">
        <w:rPr>
          <w:rStyle w:val="affb"/>
        </w:rPr>
        <w:t>циклоспорина</w:t>
      </w:r>
      <w:r w:rsidR="00DD2420" w:rsidRPr="00776F49">
        <w:rPr>
          <w:rStyle w:val="affb"/>
        </w:rPr>
        <w:t xml:space="preserve">** </w:t>
      </w:r>
      <w:r w:rsidRPr="00EF6F94">
        <w:rPr>
          <w:i/>
        </w:rPr>
        <w:t xml:space="preserve">вырабатывается индивидуально и зависит </w:t>
      </w:r>
      <w:r w:rsidRPr="00E81F86">
        <w:rPr>
          <w:i/>
        </w:rPr>
        <w:t>от</w:t>
      </w:r>
      <w:r w:rsidR="006B2B71" w:rsidRPr="00E81F86">
        <w:rPr>
          <w:i/>
        </w:rPr>
        <w:t xml:space="preserve"> минимально оптимальных</w:t>
      </w:r>
      <w:r w:rsidRPr="00EF6F94">
        <w:rPr>
          <w:i/>
        </w:rPr>
        <w:t xml:space="preserve"> </w:t>
      </w:r>
      <w:r w:rsidR="00911681">
        <w:rPr>
          <w:i/>
        </w:rPr>
        <w:t xml:space="preserve">для данного пациента </w:t>
      </w:r>
      <w:r w:rsidRPr="00EF6F94">
        <w:rPr>
          <w:i/>
        </w:rPr>
        <w:t>уровней гемоглобина и тромбоцитов.</w:t>
      </w:r>
    </w:p>
    <w:p w14:paraId="29D876AC" w14:textId="77777777" w:rsidR="0078224E" w:rsidRDefault="007636E1" w:rsidP="0078224E">
      <w:pPr>
        <w:pStyle w:val="afd"/>
        <w:spacing w:beforeAutospacing="0" w:afterAutospacing="0" w:line="360" w:lineRule="auto"/>
        <w:ind w:firstLine="709"/>
        <w:contextualSpacing/>
        <w:rPr>
          <w:i/>
        </w:rPr>
      </w:pPr>
      <w:r w:rsidRPr="00EF6F94">
        <w:rPr>
          <w:i/>
        </w:rPr>
        <w:t xml:space="preserve">Тактика заместительной трансфузионной терапии компонентами крови (донорские эритроциты и тромбоциты) при рефрактерной </w:t>
      </w:r>
      <w:r w:rsidR="007E2D4A">
        <w:rPr>
          <w:i/>
        </w:rPr>
        <w:t>АА</w:t>
      </w:r>
      <w:r w:rsidRPr="00EF6F94">
        <w:rPr>
          <w:i/>
        </w:rPr>
        <w:t xml:space="preserve"> определяется степенью трансфузионной зависимост</w:t>
      </w:r>
      <w:r w:rsidR="00F01BFA">
        <w:rPr>
          <w:i/>
        </w:rPr>
        <w:t>и пациента</w:t>
      </w:r>
      <w:r w:rsidRPr="00EF6F94">
        <w:rPr>
          <w:i/>
        </w:rPr>
        <w:t xml:space="preserve">. </w:t>
      </w:r>
    </w:p>
    <w:p w14:paraId="59711D80" w14:textId="3E29E168" w:rsidR="00EF6F94" w:rsidRPr="0078224E" w:rsidRDefault="008D51EC" w:rsidP="00BF4D82">
      <w:pPr>
        <w:pStyle w:val="afd"/>
        <w:numPr>
          <w:ilvl w:val="0"/>
          <w:numId w:val="10"/>
        </w:numPr>
        <w:spacing w:beforeAutospacing="0" w:afterAutospacing="0" w:line="360" w:lineRule="auto"/>
        <w:contextualSpacing/>
        <w:rPr>
          <w:i/>
        </w:rPr>
      </w:pPr>
      <w:r w:rsidRPr="00E81F86">
        <w:rPr>
          <w:rStyle w:val="affa"/>
        </w:rPr>
        <w:t>Рекомендуется</w:t>
      </w:r>
      <w:r w:rsidR="00EE3940" w:rsidRPr="00E81F86">
        <w:rPr>
          <w:rStyle w:val="affa"/>
          <w:b w:val="0"/>
        </w:rPr>
        <w:t xml:space="preserve"> всем</w:t>
      </w:r>
      <w:r w:rsidRPr="00E81F86">
        <w:rPr>
          <w:rStyle w:val="affa"/>
          <w:b w:val="0"/>
        </w:rPr>
        <w:t xml:space="preserve"> </w:t>
      </w:r>
      <w:r w:rsidR="00EE3940" w:rsidRPr="00E81F86">
        <w:rPr>
          <w:rStyle w:val="affa"/>
          <w:b w:val="0"/>
        </w:rPr>
        <w:t xml:space="preserve">пациентам с АА </w:t>
      </w:r>
      <w:r w:rsidRPr="00E81F86">
        <w:rPr>
          <w:rStyle w:val="affa"/>
          <w:b w:val="0"/>
        </w:rPr>
        <w:t>проведение премедикации перед т</w:t>
      </w:r>
      <w:r w:rsidR="00EE3940" w:rsidRPr="00E81F86">
        <w:rPr>
          <w:rStyle w:val="affa"/>
          <w:b w:val="0"/>
        </w:rPr>
        <w:t>р</w:t>
      </w:r>
      <w:r w:rsidRPr="00E81F86">
        <w:rPr>
          <w:rStyle w:val="affa"/>
          <w:b w:val="0"/>
        </w:rPr>
        <w:t>ансфузиями донорски</w:t>
      </w:r>
      <w:r w:rsidR="00EE3940" w:rsidRPr="00E81F86">
        <w:rPr>
          <w:rStyle w:val="affa"/>
          <w:b w:val="0"/>
        </w:rPr>
        <w:t xml:space="preserve">х компонентов крови </w:t>
      </w:r>
      <w:r w:rsidR="00CA3765" w:rsidRPr="00E81F86">
        <w:rPr>
          <w:rStyle w:val="affa"/>
          <w:b w:val="0"/>
        </w:rPr>
        <w:t>#</w:t>
      </w:r>
      <w:r w:rsidR="004864D4" w:rsidRPr="00E81F86">
        <w:rPr>
          <w:rStyle w:val="affa"/>
          <w:b w:val="0"/>
        </w:rPr>
        <w:t xml:space="preserve">кальция </w:t>
      </w:r>
      <w:r w:rsidR="00147B50">
        <w:rPr>
          <w:rStyle w:val="affa"/>
          <w:b w:val="0"/>
        </w:rPr>
        <w:t>глюконатом</w:t>
      </w:r>
      <w:r w:rsidR="004864D4" w:rsidRPr="00E81F86">
        <w:rPr>
          <w:rStyle w:val="affa"/>
          <w:b w:val="0"/>
        </w:rPr>
        <w:t>**</w:t>
      </w:r>
      <w:r w:rsidRPr="00E81F86">
        <w:rPr>
          <w:rStyle w:val="affa"/>
          <w:b w:val="0"/>
        </w:rPr>
        <w:t xml:space="preserve"> в сочетании с </w:t>
      </w:r>
      <w:r w:rsidR="008D0C70">
        <w:rPr>
          <w:bCs/>
        </w:rPr>
        <w:t xml:space="preserve">противоаллергическими средствами (блокаторами Н1-гистаминовых рецепторов) </w:t>
      </w:r>
      <w:r w:rsidR="00147B50">
        <w:rPr>
          <w:rStyle w:val="affa"/>
          <w:b w:val="0"/>
        </w:rPr>
        <w:t xml:space="preserve"> в соответствии с зарегистрированными показаниями</w:t>
      </w:r>
      <w:r w:rsidRPr="00E81F86">
        <w:rPr>
          <w:rStyle w:val="affa"/>
          <w:b w:val="0"/>
        </w:rPr>
        <w:t xml:space="preserve"> </w:t>
      </w:r>
      <w:r w:rsidR="00556C79" w:rsidRPr="00E81F86">
        <w:rPr>
          <w:rStyle w:val="affa"/>
          <w:b w:val="0"/>
        </w:rPr>
        <w:fldChar w:fldCharType="begin" w:fldLock="1"/>
      </w:r>
      <w:r w:rsidR="00083277">
        <w:rPr>
          <w:rStyle w:val="affa"/>
          <w:b w:val="0"/>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mendeley":{"formattedCitation":"[12]","plainTextFormattedCitation":"[12]","previouslyFormattedCitation":"[12]"},"properties":{"noteIndex":0},"schema":"https://github.com/citation-style-language/schema/raw/master/csl-citation.json"}</w:instrText>
      </w:r>
      <w:r w:rsidR="00556C79" w:rsidRPr="00E81F86">
        <w:rPr>
          <w:rStyle w:val="affa"/>
          <w:b w:val="0"/>
        </w:rPr>
        <w:fldChar w:fldCharType="separate"/>
      </w:r>
      <w:r w:rsidR="00556C79" w:rsidRPr="00E81F86">
        <w:rPr>
          <w:rStyle w:val="affa"/>
          <w:b w:val="0"/>
          <w:noProof/>
        </w:rPr>
        <w:t>[12]</w:t>
      </w:r>
      <w:r w:rsidR="00556C79" w:rsidRPr="00E81F86">
        <w:rPr>
          <w:rStyle w:val="affa"/>
          <w:b w:val="0"/>
        </w:rPr>
        <w:fldChar w:fldCharType="end"/>
      </w:r>
      <w:r w:rsidR="00E572DC" w:rsidRPr="00E81F86">
        <w:rPr>
          <w:rStyle w:val="affa"/>
          <w:b w:val="0"/>
        </w:rPr>
        <w:t>.</w:t>
      </w:r>
      <w:r w:rsidR="00C20841" w:rsidRPr="00E81F86">
        <w:rPr>
          <w:b/>
        </w:rPr>
        <w:t xml:space="preserve"> </w:t>
      </w:r>
    </w:p>
    <w:p w14:paraId="16218F9F" w14:textId="402A235A" w:rsidR="00AD12DA" w:rsidRPr="00CF6A33" w:rsidRDefault="00AD12DA" w:rsidP="0078224E">
      <w:pPr>
        <w:pStyle w:val="afd"/>
        <w:spacing w:before="100" w:after="100" w:line="360" w:lineRule="auto"/>
        <w:ind w:left="360"/>
        <w:contextualSpacing/>
        <w:rPr>
          <w:rStyle w:val="affa"/>
        </w:rPr>
      </w:pPr>
      <w:r w:rsidRPr="00E81F86">
        <w:rPr>
          <w:rStyle w:val="affa"/>
        </w:rPr>
        <w:t xml:space="preserve">Уровень убедительности рекомендаций </w:t>
      </w:r>
      <w:r w:rsidR="00556C79" w:rsidRPr="00E81F86">
        <w:rPr>
          <w:rStyle w:val="affa"/>
        </w:rPr>
        <w:t>С</w:t>
      </w:r>
      <w:r w:rsidRPr="00E81F86">
        <w:rPr>
          <w:rStyle w:val="affa"/>
        </w:rPr>
        <w:t xml:space="preserve"> (уровень достоверности </w:t>
      </w:r>
      <w:r w:rsidRPr="00CF6A33">
        <w:rPr>
          <w:rStyle w:val="affa"/>
        </w:rPr>
        <w:t xml:space="preserve">доказательств </w:t>
      </w:r>
      <w:r w:rsidR="00556C79" w:rsidRPr="00CF6A33">
        <w:rPr>
          <w:rStyle w:val="affa"/>
        </w:rPr>
        <w:t>5</w:t>
      </w:r>
      <w:r w:rsidRPr="00CF6A33">
        <w:rPr>
          <w:rStyle w:val="affa"/>
        </w:rPr>
        <w:t>)</w:t>
      </w:r>
    </w:p>
    <w:p w14:paraId="7EA7EB30" w14:textId="77777777" w:rsidR="0078224E" w:rsidRDefault="00CF366F" w:rsidP="0078224E">
      <w:pPr>
        <w:pStyle w:val="afd"/>
        <w:spacing w:line="360" w:lineRule="auto"/>
        <w:ind w:left="360"/>
        <w:contextualSpacing/>
        <w:rPr>
          <w:bCs/>
          <w:i/>
        </w:rPr>
      </w:pPr>
      <w:r w:rsidRPr="00E81F86">
        <w:rPr>
          <w:rStyle w:val="affa"/>
        </w:rPr>
        <w:t>Комментарии</w:t>
      </w:r>
      <w:r w:rsidRPr="00E81F86">
        <w:rPr>
          <w:b/>
          <w:bCs/>
          <w:i/>
        </w:rPr>
        <w:t>:</w:t>
      </w:r>
      <w:r w:rsidRPr="00E81F86">
        <w:rPr>
          <w:b/>
          <w:bCs/>
        </w:rPr>
        <w:t xml:space="preserve"> </w:t>
      </w:r>
      <w:r w:rsidRPr="00E81F86">
        <w:rPr>
          <w:bCs/>
          <w:i/>
        </w:rPr>
        <w:t xml:space="preserve">премедикация перед трансфузиями необходима как для предупреждения цитратной реакции, так и </w:t>
      </w:r>
      <w:r w:rsidR="0034562D" w:rsidRPr="00E81F86">
        <w:rPr>
          <w:bCs/>
          <w:i/>
        </w:rPr>
        <w:t xml:space="preserve">для </w:t>
      </w:r>
      <w:r w:rsidRPr="00E81F86">
        <w:rPr>
          <w:bCs/>
          <w:i/>
        </w:rPr>
        <w:t xml:space="preserve">подавления аллергической реакции. </w:t>
      </w:r>
    </w:p>
    <w:p w14:paraId="5458BFD0" w14:textId="433273AF" w:rsidR="00C30790" w:rsidRPr="0078224E" w:rsidRDefault="00C30790" w:rsidP="00BF4D82">
      <w:pPr>
        <w:pStyle w:val="afd"/>
        <w:numPr>
          <w:ilvl w:val="0"/>
          <w:numId w:val="10"/>
        </w:numPr>
        <w:spacing w:line="360" w:lineRule="auto"/>
        <w:contextualSpacing/>
        <w:rPr>
          <w:bCs/>
          <w:i/>
        </w:rPr>
      </w:pPr>
      <w:r w:rsidRPr="00E81F86">
        <w:rPr>
          <w:rStyle w:val="affa"/>
        </w:rPr>
        <w:t>Рекомендуется</w:t>
      </w:r>
      <w:r w:rsidRPr="0078224E">
        <w:rPr>
          <w:rStyle w:val="affa"/>
          <w:b w:val="0"/>
        </w:rPr>
        <w:t xml:space="preserve"> всем пациентам с АА, при развитии осложнений инфекционного, геморрагического характера, проведение терапии в соответствие с методическими рекомендациями по проведению сопутствующей терапии у больных с заболеваниями системы крови </w:t>
      </w:r>
      <w:r w:rsidRPr="0078224E">
        <w:rPr>
          <w:rStyle w:val="affa"/>
          <w:b w:val="0"/>
        </w:rPr>
        <w:fldChar w:fldCharType="begin" w:fldLock="1"/>
      </w:r>
      <w:r w:rsidR="00083277">
        <w:rPr>
          <w:rStyle w:val="affa"/>
          <w:b w:val="0"/>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mendeley":{"formattedCitation":"[12]","plainTextFormattedCitation":"[12]","previouslyFormattedCitation":"[12]"},"properties":{"noteIndex":0},"schema":"https://github.com/citation-style-language/schema/raw/master/csl-citation.json"}</w:instrText>
      </w:r>
      <w:r w:rsidRPr="0078224E">
        <w:rPr>
          <w:rStyle w:val="affa"/>
          <w:b w:val="0"/>
        </w:rPr>
        <w:fldChar w:fldCharType="separate"/>
      </w:r>
      <w:r w:rsidRPr="0078224E">
        <w:rPr>
          <w:rStyle w:val="affa"/>
          <w:b w:val="0"/>
          <w:noProof/>
        </w:rPr>
        <w:t>[12]</w:t>
      </w:r>
      <w:r w:rsidRPr="0078224E">
        <w:rPr>
          <w:rStyle w:val="affa"/>
          <w:b w:val="0"/>
        </w:rPr>
        <w:fldChar w:fldCharType="end"/>
      </w:r>
      <w:r w:rsidRPr="0078224E">
        <w:rPr>
          <w:rStyle w:val="affa"/>
          <w:b w:val="0"/>
        </w:rPr>
        <w:t>.</w:t>
      </w:r>
      <w:r w:rsidRPr="0078224E">
        <w:rPr>
          <w:b/>
        </w:rPr>
        <w:t xml:space="preserve"> </w:t>
      </w:r>
    </w:p>
    <w:p w14:paraId="6BC37C2E" w14:textId="77777777" w:rsidR="00C30790" w:rsidRPr="00E81F86" w:rsidRDefault="00C30790" w:rsidP="0078224E">
      <w:pPr>
        <w:pStyle w:val="afd"/>
        <w:spacing w:before="100" w:after="100" w:line="360" w:lineRule="auto"/>
        <w:ind w:left="360"/>
        <w:contextualSpacing/>
        <w:rPr>
          <w:rStyle w:val="affa"/>
        </w:rPr>
      </w:pPr>
      <w:r w:rsidRPr="00E81F86">
        <w:rPr>
          <w:rStyle w:val="affa"/>
        </w:rPr>
        <w:t>Уровень убедительности рекомендаций С (уровень достоверности доказательств 5)</w:t>
      </w:r>
    </w:p>
    <w:p w14:paraId="7220187F" w14:textId="77777777" w:rsidR="00C30790" w:rsidRPr="00E81F86" w:rsidRDefault="00C30790" w:rsidP="00EE3940">
      <w:pPr>
        <w:pStyle w:val="afd"/>
        <w:spacing w:line="360" w:lineRule="auto"/>
        <w:ind w:firstLine="720"/>
        <w:contextualSpacing/>
        <w:rPr>
          <w:bCs/>
          <w:i/>
        </w:rPr>
      </w:pPr>
    </w:p>
    <w:p w14:paraId="606641D0" w14:textId="77777777" w:rsidR="00D23199" w:rsidRDefault="00031607" w:rsidP="00D07EC1">
      <w:pPr>
        <w:pStyle w:val="2"/>
        <w:contextualSpacing/>
        <w:rPr>
          <w:rFonts w:eastAsia="Times New Roman"/>
        </w:rPr>
      </w:pPr>
      <w:bookmarkStart w:id="25" w:name="_Toc67522234"/>
      <w:r w:rsidRPr="00D07EC1">
        <w:rPr>
          <w:rFonts w:eastAsia="Times New Roman"/>
        </w:rPr>
        <w:t>3.2 Хирургическое лечение</w:t>
      </w:r>
      <w:bookmarkEnd w:id="25"/>
    </w:p>
    <w:p w14:paraId="09F36257" w14:textId="0F9C8F35" w:rsidR="00EA5A6E" w:rsidRPr="00E81F86" w:rsidRDefault="00031607" w:rsidP="00BF4D82">
      <w:pPr>
        <w:pStyle w:val="afd"/>
        <w:numPr>
          <w:ilvl w:val="0"/>
          <w:numId w:val="7"/>
        </w:numPr>
        <w:spacing w:before="100" w:after="100" w:line="360" w:lineRule="auto"/>
        <w:contextualSpacing/>
        <w:rPr>
          <w:rStyle w:val="affa"/>
          <w:rFonts w:eastAsiaTheme="minorHAnsi"/>
          <w:b w:val="0"/>
          <w:u w:val="single"/>
          <w:lang w:eastAsia="en-US"/>
        </w:rPr>
      </w:pPr>
      <w:r w:rsidRPr="00E81F86">
        <w:rPr>
          <w:rStyle w:val="affa"/>
        </w:rPr>
        <w:t xml:space="preserve">Рекомендуется </w:t>
      </w:r>
      <w:r w:rsidRPr="00E81F86">
        <w:rPr>
          <w:rStyle w:val="affa"/>
          <w:b w:val="0"/>
        </w:rPr>
        <w:t>проведение лапароскопической спленэктомии</w:t>
      </w:r>
      <w:r w:rsidR="00E81D75" w:rsidRPr="00E81F86">
        <w:rPr>
          <w:rStyle w:val="affa"/>
          <w:b w:val="0"/>
        </w:rPr>
        <w:t xml:space="preserve"> </w:t>
      </w:r>
      <w:r w:rsidR="00EE3940" w:rsidRPr="00E81F86">
        <w:rPr>
          <w:rStyle w:val="affa"/>
          <w:b w:val="0"/>
        </w:rPr>
        <w:t>рефрактерным пациентам</w:t>
      </w:r>
      <w:r w:rsidR="00EA5A6E" w:rsidRPr="00E81F86">
        <w:rPr>
          <w:rStyle w:val="affa"/>
          <w:b w:val="0"/>
        </w:rPr>
        <w:t xml:space="preserve"> после </w:t>
      </w:r>
      <w:r w:rsidR="00E81F86">
        <w:rPr>
          <w:rStyle w:val="affa"/>
          <w:b w:val="0"/>
        </w:rPr>
        <w:t xml:space="preserve">неэффективной </w:t>
      </w:r>
      <w:r w:rsidR="007E2D4A" w:rsidRPr="00E81F86">
        <w:rPr>
          <w:rStyle w:val="affa"/>
          <w:b w:val="0"/>
        </w:rPr>
        <w:t>ИСТ</w:t>
      </w:r>
      <w:r w:rsidR="00EA5A6E" w:rsidRPr="00E81F86">
        <w:rPr>
          <w:rStyle w:val="affa"/>
          <w:b w:val="0"/>
        </w:rPr>
        <w:t xml:space="preserve"> в сочетании с элтромбопагом</w:t>
      </w:r>
      <w:r w:rsidR="00EE3940" w:rsidRPr="00E81F86">
        <w:rPr>
          <w:rStyle w:val="affa"/>
          <w:b w:val="0"/>
        </w:rPr>
        <w:t>**</w:t>
      </w:r>
      <w:r w:rsidR="00EA5A6E" w:rsidRPr="00E81F86">
        <w:rPr>
          <w:rStyle w:val="affa"/>
          <w:b w:val="0"/>
        </w:rPr>
        <w:t xml:space="preserve"> и отсут</w:t>
      </w:r>
      <w:r w:rsidR="00AD5C9F" w:rsidRPr="00E81F86">
        <w:rPr>
          <w:rStyle w:val="affa"/>
          <w:b w:val="0"/>
        </w:rPr>
        <w:t>ствии возможности проведения трансплантации костного мозга</w:t>
      </w:r>
      <w:r w:rsidR="00EA5A6E" w:rsidRPr="00E81F86">
        <w:rPr>
          <w:rStyle w:val="affa"/>
          <w:b w:val="0"/>
        </w:rPr>
        <w:t xml:space="preserve"> от альтернативного донора</w:t>
      </w:r>
      <w:r w:rsidR="00E81F86" w:rsidRPr="00E81F86">
        <w:t xml:space="preserve"> </w:t>
      </w:r>
      <w:r w:rsidR="00E81F86" w:rsidRPr="00ED6E80">
        <w:t>а так же в ряде случаев необходимости проведения дифференциальной диагностики</w:t>
      </w:r>
      <w:r w:rsidR="009B30E1" w:rsidRPr="00E81F86">
        <w:rPr>
          <w:rStyle w:val="affa"/>
          <w:b w:val="0"/>
        </w:rPr>
        <w:t xml:space="preserve"> </w:t>
      </w:r>
      <w:r w:rsidR="009B30E1" w:rsidRPr="00E81F86">
        <w:rPr>
          <w:rStyle w:val="affa"/>
          <w:b w:val="0"/>
        </w:rPr>
        <w:fldChar w:fldCharType="begin" w:fldLock="1"/>
      </w:r>
      <w:r w:rsidR="00083277">
        <w:rPr>
          <w:rStyle w:val="affa"/>
          <w:b w:val="0"/>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9B30E1" w:rsidRPr="00E81F86">
        <w:rPr>
          <w:rStyle w:val="affa"/>
          <w:b w:val="0"/>
        </w:rPr>
        <w:fldChar w:fldCharType="separate"/>
      </w:r>
      <w:r w:rsidR="0012563C" w:rsidRPr="00E81F86">
        <w:rPr>
          <w:rStyle w:val="affa"/>
          <w:b w:val="0"/>
          <w:noProof/>
        </w:rPr>
        <w:t>[12]</w:t>
      </w:r>
      <w:r w:rsidR="009B30E1" w:rsidRPr="00E81F86">
        <w:rPr>
          <w:rStyle w:val="affa"/>
          <w:b w:val="0"/>
        </w:rPr>
        <w:fldChar w:fldCharType="end"/>
      </w:r>
      <w:r w:rsidR="00AD5C9F" w:rsidRPr="00E81F86">
        <w:rPr>
          <w:rStyle w:val="affa"/>
          <w:b w:val="0"/>
        </w:rPr>
        <w:t>.</w:t>
      </w:r>
      <w:r w:rsidR="00EA5A6E" w:rsidRPr="00E81F86">
        <w:rPr>
          <w:rStyle w:val="affa"/>
          <w:b w:val="0"/>
        </w:rPr>
        <w:t xml:space="preserve"> </w:t>
      </w:r>
    </w:p>
    <w:p w14:paraId="321DC412" w14:textId="757F7DBE" w:rsidR="00D23199" w:rsidRPr="00E81F86" w:rsidRDefault="00031607" w:rsidP="007761DF">
      <w:pPr>
        <w:pStyle w:val="afd"/>
        <w:spacing w:before="100" w:after="100" w:line="360" w:lineRule="auto"/>
        <w:ind w:firstLine="709"/>
        <w:contextualSpacing/>
        <w:rPr>
          <w:rStyle w:val="affa"/>
        </w:rPr>
      </w:pPr>
      <w:r w:rsidRPr="00E81F86">
        <w:rPr>
          <w:rStyle w:val="affa"/>
        </w:rPr>
        <w:t>Уровень убедительности рекоменда</w:t>
      </w:r>
      <w:r w:rsidR="00D97F2C" w:rsidRPr="00E81F86">
        <w:rPr>
          <w:rStyle w:val="affa"/>
        </w:rPr>
        <w:t xml:space="preserve">ций </w:t>
      </w:r>
      <w:r w:rsidR="00556C79" w:rsidRPr="00E81F86">
        <w:rPr>
          <w:rStyle w:val="affa"/>
        </w:rPr>
        <w:t>С</w:t>
      </w:r>
      <w:r w:rsidRPr="00E81F86">
        <w:rPr>
          <w:rStyle w:val="affa"/>
        </w:rPr>
        <w:t xml:space="preserve"> (уровень д</w:t>
      </w:r>
      <w:r w:rsidR="00D97F2C" w:rsidRPr="00E81F86">
        <w:rPr>
          <w:rStyle w:val="affa"/>
        </w:rPr>
        <w:t xml:space="preserve">остоверности доказательств – </w:t>
      </w:r>
      <w:r w:rsidR="00556C79" w:rsidRPr="00E81F86">
        <w:rPr>
          <w:rStyle w:val="affa"/>
        </w:rPr>
        <w:t>5</w:t>
      </w:r>
      <w:r w:rsidR="007761DF" w:rsidRPr="00E81F86">
        <w:rPr>
          <w:rStyle w:val="affa"/>
        </w:rPr>
        <w:t>)</w:t>
      </w:r>
    </w:p>
    <w:p w14:paraId="4ACD5ABA" w14:textId="168F11F8" w:rsidR="00EA5A6E" w:rsidRPr="00E81F86" w:rsidRDefault="00031607" w:rsidP="00EE3940">
      <w:pPr>
        <w:pStyle w:val="afd"/>
        <w:spacing w:before="100" w:after="100" w:line="360" w:lineRule="auto"/>
        <w:ind w:firstLine="709"/>
        <w:contextualSpacing/>
        <w:rPr>
          <w:rStyle w:val="affa"/>
          <w:b w:val="0"/>
          <w:i/>
          <w:iCs/>
        </w:rPr>
      </w:pPr>
      <w:r w:rsidRPr="00E81F86">
        <w:rPr>
          <w:rStyle w:val="affa"/>
        </w:rPr>
        <w:t xml:space="preserve">Комментарии: </w:t>
      </w:r>
      <w:r w:rsidR="00ED6F07" w:rsidRPr="00E81F86">
        <w:rPr>
          <w:rStyle w:val="affa"/>
          <w:b w:val="0"/>
          <w:i/>
          <w:iCs/>
        </w:rPr>
        <w:t xml:space="preserve">в </w:t>
      </w:r>
      <w:r w:rsidRPr="00E81F86">
        <w:rPr>
          <w:rStyle w:val="affa"/>
          <w:b w:val="0"/>
          <w:i/>
          <w:iCs/>
        </w:rPr>
        <w:t>случаях непереносимости АТГ</w:t>
      </w:r>
      <w:r w:rsidR="004864D4" w:rsidRPr="00E81F86">
        <w:rPr>
          <w:rStyle w:val="affa"/>
          <w:b w:val="0"/>
          <w:i/>
          <w:iCs/>
        </w:rPr>
        <w:t>**</w:t>
      </w:r>
      <w:r w:rsidRPr="00E81F86">
        <w:rPr>
          <w:rStyle w:val="affa"/>
          <w:b w:val="0"/>
          <w:i/>
          <w:iCs/>
        </w:rPr>
        <w:t>,</w:t>
      </w:r>
      <w:r w:rsidR="00EA5A6E" w:rsidRPr="00E81F86">
        <w:rPr>
          <w:rStyle w:val="affa"/>
          <w:b w:val="0"/>
          <w:i/>
          <w:iCs/>
        </w:rPr>
        <w:t xml:space="preserve"> при констатации рефрактерной АА</w:t>
      </w:r>
      <w:r w:rsidR="007E2D4A" w:rsidRPr="00E81F86">
        <w:rPr>
          <w:rStyle w:val="affa"/>
          <w:b w:val="0"/>
          <w:i/>
          <w:iCs/>
        </w:rPr>
        <w:t>,</w:t>
      </w:r>
      <w:r w:rsidR="00EA5A6E" w:rsidRPr="00E81F86">
        <w:rPr>
          <w:rStyle w:val="affa"/>
          <w:b w:val="0"/>
          <w:i/>
          <w:iCs/>
        </w:rPr>
        <w:t xml:space="preserve"> отсутствии других терапевтических </w:t>
      </w:r>
      <w:r w:rsidR="009E2966" w:rsidRPr="00E81F86">
        <w:rPr>
          <w:rStyle w:val="affa"/>
          <w:b w:val="0"/>
          <w:i/>
          <w:iCs/>
        </w:rPr>
        <w:t xml:space="preserve">опций </w:t>
      </w:r>
      <w:r w:rsidR="00EA5A6E" w:rsidRPr="00E81F86">
        <w:rPr>
          <w:rStyle w:val="affa"/>
          <w:b w:val="0"/>
          <w:i/>
          <w:iCs/>
        </w:rPr>
        <w:t xml:space="preserve">и возможности проведения </w:t>
      </w:r>
      <w:r w:rsidR="00DD2420">
        <w:rPr>
          <w:rStyle w:val="affa"/>
          <w:b w:val="0"/>
          <w:i/>
          <w:iCs/>
        </w:rPr>
        <w:lastRenderedPageBreak/>
        <w:t>трансплантации костного мозга</w:t>
      </w:r>
      <w:r w:rsidR="0033681E" w:rsidRPr="00E81F86">
        <w:rPr>
          <w:rStyle w:val="affa"/>
          <w:b w:val="0"/>
          <w:i/>
          <w:iCs/>
        </w:rPr>
        <w:t xml:space="preserve"> </w:t>
      </w:r>
      <w:r w:rsidR="00EA5A6E" w:rsidRPr="00E81F86">
        <w:rPr>
          <w:rStyle w:val="affa"/>
          <w:b w:val="0"/>
          <w:i/>
          <w:iCs/>
        </w:rPr>
        <w:t xml:space="preserve">в программу </w:t>
      </w:r>
      <w:r w:rsidRPr="00E81F86">
        <w:rPr>
          <w:rStyle w:val="affa"/>
          <w:b w:val="0"/>
          <w:i/>
          <w:iCs/>
        </w:rPr>
        <w:t>лечени</w:t>
      </w:r>
      <w:r w:rsidR="00EA5A6E" w:rsidRPr="00E81F86">
        <w:rPr>
          <w:rStyle w:val="affa"/>
          <w:b w:val="0"/>
          <w:i/>
          <w:iCs/>
        </w:rPr>
        <w:t>я</w:t>
      </w:r>
      <w:r w:rsidRPr="00E81F86">
        <w:rPr>
          <w:rStyle w:val="affa"/>
          <w:b w:val="0"/>
          <w:i/>
          <w:iCs/>
        </w:rPr>
        <w:t xml:space="preserve"> может быть </w:t>
      </w:r>
      <w:r w:rsidR="00EA5A6E" w:rsidRPr="00E81F86">
        <w:rPr>
          <w:rStyle w:val="affa"/>
          <w:b w:val="0"/>
          <w:i/>
          <w:iCs/>
        </w:rPr>
        <w:t>включена</w:t>
      </w:r>
      <w:r w:rsidRPr="00E81F86">
        <w:rPr>
          <w:rStyle w:val="affa"/>
          <w:b w:val="0"/>
          <w:i/>
          <w:iCs/>
        </w:rPr>
        <w:t xml:space="preserve"> спленэктоми</w:t>
      </w:r>
      <w:r w:rsidR="00EA5A6E" w:rsidRPr="00E81F86">
        <w:rPr>
          <w:rStyle w:val="affa"/>
          <w:b w:val="0"/>
          <w:i/>
          <w:iCs/>
        </w:rPr>
        <w:t>я</w:t>
      </w:r>
      <w:r w:rsidRPr="00E81F86">
        <w:rPr>
          <w:rStyle w:val="affa"/>
          <w:b w:val="0"/>
          <w:i/>
          <w:iCs/>
        </w:rPr>
        <w:t xml:space="preserve">. </w:t>
      </w:r>
    </w:p>
    <w:p w14:paraId="4CD8A3B4" w14:textId="560CB4B4" w:rsidR="00D23199" w:rsidRPr="00E81F86" w:rsidRDefault="00031607" w:rsidP="00BF4D82">
      <w:pPr>
        <w:pStyle w:val="afd"/>
        <w:numPr>
          <w:ilvl w:val="0"/>
          <w:numId w:val="7"/>
        </w:numPr>
        <w:spacing w:before="100" w:after="100" w:line="360" w:lineRule="auto"/>
        <w:contextualSpacing/>
        <w:rPr>
          <w:rStyle w:val="affa"/>
          <w:b w:val="0"/>
        </w:rPr>
      </w:pPr>
      <w:r w:rsidRPr="00E81F86">
        <w:rPr>
          <w:rStyle w:val="affa"/>
        </w:rPr>
        <w:t xml:space="preserve">Не рекомендуется </w:t>
      </w:r>
      <w:r w:rsidRPr="00E81F86">
        <w:rPr>
          <w:rStyle w:val="affa"/>
          <w:b w:val="0"/>
        </w:rPr>
        <w:t>проведение лапароскопической сп</w:t>
      </w:r>
      <w:r w:rsidR="007761DF" w:rsidRPr="00E81F86">
        <w:rPr>
          <w:rStyle w:val="affa"/>
          <w:b w:val="0"/>
        </w:rPr>
        <w:t>ленэктомии у пациентов</w:t>
      </w:r>
      <w:r w:rsidRPr="00E81F86">
        <w:rPr>
          <w:rStyle w:val="affa"/>
          <w:b w:val="0"/>
        </w:rPr>
        <w:t xml:space="preserve"> с размером ПНГ-клона более 10% и/или наличием ПНГ-синдрома</w:t>
      </w:r>
      <w:r w:rsidR="00556C79" w:rsidRPr="00E81F86">
        <w:rPr>
          <w:rStyle w:val="affa"/>
          <w:b w:val="0"/>
        </w:rPr>
        <w:t xml:space="preserve"> </w:t>
      </w:r>
      <w:r w:rsidR="00556C79" w:rsidRPr="00E81F86">
        <w:rPr>
          <w:rStyle w:val="affa"/>
          <w:b w:val="0"/>
        </w:rPr>
        <w:fldChar w:fldCharType="begin" w:fldLock="1"/>
      </w:r>
      <w:r w:rsidR="00083277">
        <w:rPr>
          <w:rStyle w:val="affa"/>
          <w:b w:val="0"/>
        </w:rPr>
        <w:instrText>ADDIN CSL_CITATION {"citationItems":[{"id":"ITEM-1","itemData":{"abstract":"Paroxysmal nocturnal hemoglobinuria (PNH) is a rare acquired clonal blood disorder caused by somatic mutation of the phosphatidylinosi- tol glycan complementation group A gene (PIG-A) in a hematopoietic stem cell. PNH is characterized by chronic intravascular hemolysis, bone marrow failure, thrombosis, renal dysfunction and other severe clinical syndromes. These clinical guidelines include definition, classi- fication, methods and diagnostic criteria of PNH, indications for screening, optimal treatment including targeted therapy with eculizumab, bone marrow transplantation and symptomatic therapy.","author":[{"dropping-particle":"","family":"Кулагин А.Д., Лисуков И.А., Птушкин В.В., Шилова Е.Р., Цветаева Н.В.","given":"Михайлова Е.А.","non-dropping-particle":"","parse-names":false,"suffix":""}],"container-title":"Онкогематология","id":"ITEM-1","issued":{"date-parts":[["2014"]]},"page":"20-28","title":"Национальные рекомендации по диагностике и лечениюпроксизмальной ночной гемоглобинурии","type":"article-journal","volume":"2"},"uris":["http://www.mendeley.com/documents/?uuid=896a92c4-141c-4a8e-bf24-ff99c1767f35","http://www.mendeley.com/documents/?uuid=a2c321ea-848d-4b11-bf3b-a77f80f38ecb"]}],"mendeley":{"formattedCitation":"[10]","plainTextFormattedCitation":"[10]","previouslyFormattedCitation":"[10]"},"properties":{"noteIndex":0},"schema":"https://github.com/citation-style-language/schema/raw/master/csl-citation.json"}</w:instrText>
      </w:r>
      <w:r w:rsidR="00556C79" w:rsidRPr="00E81F86">
        <w:rPr>
          <w:rStyle w:val="affa"/>
          <w:b w:val="0"/>
        </w:rPr>
        <w:fldChar w:fldCharType="separate"/>
      </w:r>
      <w:r w:rsidR="00556C79" w:rsidRPr="00E81F86">
        <w:rPr>
          <w:rStyle w:val="affa"/>
          <w:b w:val="0"/>
          <w:noProof/>
        </w:rPr>
        <w:t>[10]</w:t>
      </w:r>
      <w:r w:rsidR="00556C79" w:rsidRPr="00E81F86">
        <w:rPr>
          <w:rStyle w:val="affa"/>
          <w:b w:val="0"/>
        </w:rPr>
        <w:fldChar w:fldCharType="end"/>
      </w:r>
      <w:r w:rsidRPr="00E81F86">
        <w:rPr>
          <w:rStyle w:val="affa"/>
          <w:b w:val="0"/>
        </w:rPr>
        <w:t>.</w:t>
      </w:r>
    </w:p>
    <w:p w14:paraId="2E0D1578" w14:textId="7CAC09E3" w:rsidR="00D23199" w:rsidRPr="00E81F86" w:rsidRDefault="00031607" w:rsidP="00EE3940">
      <w:pPr>
        <w:pStyle w:val="afd"/>
        <w:spacing w:before="100" w:after="100" w:line="360" w:lineRule="auto"/>
        <w:ind w:firstLine="709"/>
        <w:contextualSpacing/>
        <w:rPr>
          <w:rStyle w:val="affa"/>
        </w:rPr>
      </w:pPr>
      <w:r w:rsidRPr="00E81F86">
        <w:rPr>
          <w:rStyle w:val="affa"/>
        </w:rPr>
        <w:t xml:space="preserve">Уровень убедительности рекомендаций </w:t>
      </w:r>
      <w:r w:rsidR="00556C79" w:rsidRPr="00E81F86">
        <w:rPr>
          <w:rStyle w:val="affa"/>
        </w:rPr>
        <w:t>С</w:t>
      </w:r>
      <w:r w:rsidRPr="00E81F86">
        <w:rPr>
          <w:rStyle w:val="affa"/>
        </w:rPr>
        <w:t xml:space="preserve"> (уровень достоверности доказательств – </w:t>
      </w:r>
      <w:r w:rsidR="00556C79" w:rsidRPr="00E81F86">
        <w:rPr>
          <w:rStyle w:val="affa"/>
        </w:rPr>
        <w:t>5</w:t>
      </w:r>
      <w:r w:rsidR="007761DF" w:rsidRPr="00E81F86">
        <w:rPr>
          <w:rStyle w:val="affa"/>
        </w:rPr>
        <w:t>)</w:t>
      </w:r>
    </w:p>
    <w:p w14:paraId="46FD77B5" w14:textId="45496DE7" w:rsidR="00D23199" w:rsidRPr="00E81F86" w:rsidRDefault="00031607" w:rsidP="00EE3940">
      <w:pPr>
        <w:pStyle w:val="afd"/>
        <w:spacing w:before="100" w:after="100" w:line="360" w:lineRule="auto"/>
        <w:ind w:firstLine="709"/>
        <w:contextualSpacing/>
        <w:rPr>
          <w:rStyle w:val="affa"/>
        </w:rPr>
      </w:pPr>
      <w:r w:rsidRPr="00E81F86">
        <w:rPr>
          <w:rStyle w:val="affa"/>
        </w:rPr>
        <w:t xml:space="preserve">Комментарии: </w:t>
      </w:r>
      <w:r w:rsidRPr="00E81F86">
        <w:rPr>
          <w:rStyle w:val="affa"/>
          <w:b w:val="0"/>
          <w:i/>
          <w:iCs/>
        </w:rPr>
        <w:t>существующие клинические наблюдения свидетельствуют о быстрой прогрессии в гемолитическую форму ПНГ с характерными тяжелыми тромботическими осложнениями</w:t>
      </w:r>
      <w:r w:rsidR="003426C1" w:rsidRPr="00E81F86">
        <w:rPr>
          <w:rStyle w:val="affa"/>
          <w:b w:val="0"/>
          <w:i/>
          <w:iCs/>
        </w:rPr>
        <w:t>.</w:t>
      </w:r>
    </w:p>
    <w:p w14:paraId="04E62FCD" w14:textId="39267552" w:rsidR="00D23199" w:rsidRPr="00E81F86" w:rsidRDefault="00031607" w:rsidP="00BF4D82">
      <w:pPr>
        <w:pStyle w:val="afd"/>
        <w:numPr>
          <w:ilvl w:val="0"/>
          <w:numId w:val="7"/>
        </w:numPr>
        <w:spacing w:before="100" w:after="100" w:line="360" w:lineRule="auto"/>
        <w:contextualSpacing/>
        <w:rPr>
          <w:rStyle w:val="affa"/>
          <w:b w:val="0"/>
        </w:rPr>
      </w:pPr>
      <w:r w:rsidRPr="00E81F86">
        <w:rPr>
          <w:rStyle w:val="affa"/>
        </w:rPr>
        <w:t xml:space="preserve">Не рекомендуется </w:t>
      </w:r>
      <w:r w:rsidRPr="00E81F86">
        <w:rPr>
          <w:rStyle w:val="affa"/>
          <w:b w:val="0"/>
        </w:rPr>
        <w:t>проведение лапароск</w:t>
      </w:r>
      <w:r w:rsidR="00EE3940" w:rsidRPr="00E81F86">
        <w:rPr>
          <w:rStyle w:val="affa"/>
          <w:b w:val="0"/>
        </w:rPr>
        <w:t>опической спленэктомии у пациентов</w:t>
      </w:r>
      <w:r w:rsidRPr="00E81F86">
        <w:rPr>
          <w:rStyle w:val="affa"/>
          <w:b w:val="0"/>
        </w:rPr>
        <w:t xml:space="preserve"> с выявленными </w:t>
      </w:r>
      <w:r w:rsidR="002B633F" w:rsidRPr="00E81F86">
        <w:rPr>
          <w:rStyle w:val="affa"/>
          <w:b w:val="0"/>
        </w:rPr>
        <w:t>аномалиями кариотипа</w:t>
      </w:r>
      <w:r w:rsidR="003426C1" w:rsidRPr="00E81F86">
        <w:rPr>
          <w:rStyle w:val="affa"/>
          <w:b w:val="0"/>
        </w:rPr>
        <w:t xml:space="preserve"> </w:t>
      </w:r>
      <w:r w:rsidR="003426C1" w:rsidRPr="00E81F86">
        <w:rPr>
          <w:rStyle w:val="affa"/>
          <w:b w:val="0"/>
        </w:rPr>
        <w:fldChar w:fldCharType="begin" w:fldLock="1"/>
      </w:r>
      <w:r w:rsidR="00083277">
        <w:rPr>
          <w:rStyle w:val="affa"/>
          <w:b w:val="0"/>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mendeley":{"formattedCitation":"[12]","plainTextFormattedCitation":"[12]","previouslyFormattedCitation":"[12]"},"properties":{"noteIndex":0},"schema":"https://github.com/citation-style-language/schema/raw/master/csl-citation.json"}</w:instrText>
      </w:r>
      <w:r w:rsidR="003426C1" w:rsidRPr="00E81F86">
        <w:rPr>
          <w:rStyle w:val="affa"/>
          <w:b w:val="0"/>
        </w:rPr>
        <w:fldChar w:fldCharType="separate"/>
      </w:r>
      <w:r w:rsidR="003426C1" w:rsidRPr="00E81F86">
        <w:rPr>
          <w:rStyle w:val="affa"/>
          <w:b w:val="0"/>
          <w:noProof/>
        </w:rPr>
        <w:t>[12]</w:t>
      </w:r>
      <w:r w:rsidR="003426C1" w:rsidRPr="00E81F86">
        <w:rPr>
          <w:rStyle w:val="affa"/>
          <w:b w:val="0"/>
        </w:rPr>
        <w:fldChar w:fldCharType="end"/>
      </w:r>
      <w:r w:rsidR="00147B50">
        <w:rPr>
          <w:rStyle w:val="affa"/>
          <w:b w:val="0"/>
        </w:rPr>
        <w:t>.</w:t>
      </w:r>
    </w:p>
    <w:p w14:paraId="0DC4852C" w14:textId="14E6C978" w:rsidR="00D23199" w:rsidRPr="00E81F86" w:rsidRDefault="00031607" w:rsidP="00EE3940">
      <w:pPr>
        <w:pStyle w:val="afd"/>
        <w:spacing w:before="100" w:after="100" w:line="360" w:lineRule="auto"/>
        <w:ind w:firstLine="709"/>
        <w:contextualSpacing/>
        <w:rPr>
          <w:rStyle w:val="affa"/>
        </w:rPr>
      </w:pPr>
      <w:r w:rsidRPr="00E81F86">
        <w:rPr>
          <w:rStyle w:val="affa"/>
        </w:rPr>
        <w:t xml:space="preserve">Уровень убедительности рекомендаций </w:t>
      </w:r>
      <w:r w:rsidR="003426C1" w:rsidRPr="00E81F86">
        <w:rPr>
          <w:rStyle w:val="affa"/>
        </w:rPr>
        <w:t>С</w:t>
      </w:r>
      <w:r w:rsidRPr="00E81F86">
        <w:rPr>
          <w:rStyle w:val="affa"/>
        </w:rPr>
        <w:t xml:space="preserve"> (уровень достоверности доказательств – </w:t>
      </w:r>
      <w:r w:rsidR="003426C1" w:rsidRPr="00E81F86">
        <w:rPr>
          <w:rStyle w:val="affa"/>
        </w:rPr>
        <w:t>5</w:t>
      </w:r>
      <w:r w:rsidR="007761DF" w:rsidRPr="00E81F86">
        <w:rPr>
          <w:rStyle w:val="affa"/>
        </w:rPr>
        <w:t>)</w:t>
      </w:r>
    </w:p>
    <w:p w14:paraId="1F4AFAB1" w14:textId="0AF690A5" w:rsidR="005C124F" w:rsidRDefault="00031607" w:rsidP="00C06AB8">
      <w:pPr>
        <w:pStyle w:val="afd"/>
        <w:spacing w:before="100" w:after="100" w:line="360" w:lineRule="auto"/>
        <w:ind w:firstLine="709"/>
        <w:contextualSpacing/>
        <w:rPr>
          <w:rStyle w:val="affa"/>
          <w:b w:val="0"/>
          <w:i/>
          <w:iCs/>
        </w:rPr>
      </w:pPr>
      <w:r w:rsidRPr="00E81F86">
        <w:rPr>
          <w:rStyle w:val="affa"/>
        </w:rPr>
        <w:t>Комментарии</w:t>
      </w:r>
      <w:r w:rsidRPr="00E81F86">
        <w:rPr>
          <w:rStyle w:val="affa"/>
          <w:b w:val="0"/>
        </w:rPr>
        <w:t>:</w:t>
      </w:r>
      <w:r w:rsidRPr="00E81F86">
        <w:rPr>
          <w:rStyle w:val="affa"/>
          <w:b w:val="0"/>
          <w:i/>
          <w:iCs/>
        </w:rPr>
        <w:t xml:space="preserve"> высокая частота трансформации в МДС/ОМЛ</w:t>
      </w:r>
      <w:r w:rsidR="003426C1" w:rsidRPr="00E81F86">
        <w:rPr>
          <w:rStyle w:val="affa"/>
          <w:b w:val="0"/>
          <w:i/>
          <w:iCs/>
        </w:rPr>
        <w:t>.</w:t>
      </w:r>
    </w:p>
    <w:p w14:paraId="18941183" w14:textId="0FFC8157" w:rsidR="0078224E" w:rsidRPr="00C57107" w:rsidRDefault="0078224E" w:rsidP="00BF4D82">
      <w:pPr>
        <w:pStyle w:val="afd"/>
        <w:numPr>
          <w:ilvl w:val="0"/>
          <w:numId w:val="11"/>
        </w:numPr>
        <w:spacing w:before="100" w:after="100" w:line="360" w:lineRule="auto"/>
        <w:contextualSpacing/>
      </w:pPr>
      <w:r w:rsidRPr="00C57107">
        <w:t xml:space="preserve">По клиническим показаниям, для лечения осложнений АА,  а также лечения осложнений терапии АА, профилактики осложнений, </w:t>
      </w:r>
      <w:r w:rsidRPr="00C57107">
        <w:rPr>
          <w:b/>
          <w:bCs/>
        </w:rPr>
        <w:t>рекомендуется</w:t>
      </w:r>
      <w:r w:rsidRPr="00C57107">
        <w:t xml:space="preserve"> проведение необходимого комплекса лечения и профилактики согласно Методическому руководству по  сопроводительной терапии в гематологии </w:t>
      </w:r>
      <w:r w:rsidRPr="00C57107">
        <w:fldChar w:fldCharType="begin" w:fldLock="1"/>
      </w:r>
      <w:r w:rsidR="00083277">
        <w:instrText>ADDIN CSL_CITATION {"citationItems":[{"id":"ITEM-1","itemData":{"DOI":"10.1111/bjh.13853","ISSN":"1365-2141 (Electronic)","PMID":"26568159","author":[{"dropping-particle":"","family":"Killick","given":"Sally B","non-dropping-particle":"","parse-names":false,"suffix":""},{"dropping-particle":"","family":"Bown","given":"Nick","non-dropping-particle":"","parse-names":false,"suffix":""},{"dropping-particle":"","family":"Cavenagh","given":"Jamie","non-dropping-particle":"","parse-names":false,"suffix":""},{"dropping-particle":"","family":"Dokal","given":"Inderjeet","non-dropping-particle":"","parse-names":false,"suffix":""},{"dropping-particle":"","family":"Foukaneli","given":"Theodora","non-dropping-particle":"","parse-names":false,"suffix":""},{"dropping-particle":"","family":"Hill","given":"Anita","non-dropping-particle":"","parse-names":false,"suffix":""},{"dropping-particle":"","family":"Hillmen","given":"Peter","non-dropping-particle":"","parse-names":false,"suffix":""},{"dropping-particle":"","family":"Ireland","given":"Robin","non-dropping-particle":"","parse-names":false,"suffix":""},{"dropping-particle":"","family":"Kulasekararaj","given":"Austin","non-dropping-particle":"","parse-names":false,"suffix":""},{"dropping-particle":"","family":"Mufti","given":"Ghulam","non-dropping-particle":"","parse-names":false,"suffix":""},{"dropping-particle":"","family":"Snowden","given":"John A","non-dropping-particle":"","parse-names":false,"suffix":""},{"dropping-particle":"","family":"Samarasinghe","given":"Sujith","non-dropping-particle":"","parse-names":false,"suffix":""},{"dropping-particle":"","family":"Wood","given":"Anna","non-dropping-particle":"","parse-names":false,"suffix":""},{"dropping-particle":"","family":"Marsh","given":"Judith C W","non-dropping-particle":"","parse-names":false,"suffix":""}],"container-title":"British journal of haematology","id":"ITEM-1","issue":"2","issued":{"date-parts":[["2016","1"]]},"language":"eng","page":"187-207","publisher-place":"England","title":"Guidelines for the diagnosis and management of adult aplastic anaemia.","type":"article-journal","volume":"172"},"uris":["http://www.mendeley.com/documents/?uuid=81dbb232-4526-4205-bab8-854e3c2bd2e8","http://www.mendeley.com/documents/?uuid=f26b8423-2f44-43fa-82fd-ec382db64a31"]},{"id":"ITEM-2","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-2","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[12,13]","plainTextFormattedCitation":"[12,13]","previouslyFormattedCitation":"[12,13]"},"properties":{"noteIndex":0},"schema":"https://github.com/citation-style-language/schema/raw/master/csl-citation.json"}</w:instrText>
      </w:r>
      <w:r w:rsidRPr="00C57107">
        <w:fldChar w:fldCharType="separate"/>
      </w:r>
      <w:r w:rsidRPr="00C57107">
        <w:rPr>
          <w:noProof/>
        </w:rPr>
        <w:t>[12,13]</w:t>
      </w:r>
      <w:r w:rsidRPr="00C57107">
        <w:fldChar w:fldCharType="end"/>
      </w:r>
      <w:r w:rsidRPr="00C57107">
        <w:t>.</w:t>
      </w:r>
    </w:p>
    <w:p w14:paraId="037098B3" w14:textId="77777777" w:rsidR="0078224E" w:rsidRDefault="0078224E" w:rsidP="0078224E">
      <w:pPr>
        <w:pStyle w:val="afd"/>
        <w:spacing w:before="100" w:after="100" w:line="360" w:lineRule="auto"/>
        <w:ind w:firstLine="709"/>
        <w:contextualSpacing/>
        <w:rPr>
          <w:b/>
        </w:rPr>
      </w:pPr>
      <w:r w:rsidRPr="00C57107">
        <w:rPr>
          <w:b/>
        </w:rPr>
        <w:t>Уровень убедительности рекомендаций С (уровень достоверности доказательств 5)</w:t>
      </w:r>
    </w:p>
    <w:p w14:paraId="3017B554" w14:textId="77777777" w:rsidR="0078224E" w:rsidRDefault="0078224E" w:rsidP="00C06AB8">
      <w:pPr>
        <w:pStyle w:val="afd"/>
        <w:spacing w:before="100" w:after="100" w:line="360" w:lineRule="auto"/>
        <w:ind w:firstLine="709"/>
        <w:contextualSpacing/>
        <w:rPr>
          <w:rStyle w:val="affa"/>
          <w:b w:val="0"/>
          <w:i/>
          <w:iCs/>
        </w:rPr>
      </w:pPr>
    </w:p>
    <w:p w14:paraId="35901F6D" w14:textId="3C9074B2" w:rsidR="00147B50" w:rsidRPr="00147B50" w:rsidRDefault="00147B50" w:rsidP="00C06AB8">
      <w:pPr>
        <w:pStyle w:val="afd"/>
        <w:spacing w:before="100" w:after="100" w:line="360" w:lineRule="auto"/>
        <w:ind w:firstLine="709"/>
        <w:contextualSpacing/>
        <w:rPr>
          <w:rStyle w:val="affa"/>
        </w:rPr>
      </w:pPr>
      <w:r>
        <w:rPr>
          <w:rStyle w:val="affa"/>
          <w:b w:val="0"/>
          <w:iCs/>
        </w:rPr>
        <w:t>Диетотер</w:t>
      </w:r>
      <w:r w:rsidRPr="00147B50">
        <w:rPr>
          <w:rStyle w:val="affa"/>
          <w:b w:val="0"/>
          <w:iCs/>
        </w:rPr>
        <w:t>апия и обезболивание не применяется</w:t>
      </w:r>
    </w:p>
    <w:p w14:paraId="6DF6F597" w14:textId="49358F85" w:rsidR="002C3C32" w:rsidRPr="009F7F8A" w:rsidRDefault="00031607" w:rsidP="00C06AB8">
      <w:pPr>
        <w:pStyle w:val="11"/>
        <w:rPr>
          <w:szCs w:val="28"/>
          <w:u w:val="none"/>
        </w:rPr>
      </w:pPr>
      <w:bookmarkStart w:id="26" w:name="_Toc67522235"/>
      <w:r w:rsidRPr="009F7F8A">
        <w:rPr>
          <w:szCs w:val="28"/>
          <w:u w:val="none"/>
        </w:rPr>
        <w:t xml:space="preserve">4. </w:t>
      </w:r>
      <w:r w:rsidR="009F7F8A" w:rsidRPr="009F7F8A">
        <w:rPr>
          <w:u w:val="none"/>
        </w:rPr>
        <w:t>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bookmarkEnd w:id="26"/>
    </w:p>
    <w:p w14:paraId="6459898C" w14:textId="77777777" w:rsidR="00C06AB8" w:rsidRPr="003426C1" w:rsidRDefault="00031607" w:rsidP="00D07EC1">
      <w:pPr>
        <w:pStyle w:val="afd"/>
        <w:spacing w:line="360" w:lineRule="auto"/>
        <w:ind w:firstLine="709"/>
        <w:contextualSpacing/>
        <w:rPr>
          <w:rStyle w:val="affb"/>
          <w:iCs w:val="0"/>
        </w:rPr>
      </w:pPr>
      <w:r w:rsidRPr="003426C1">
        <w:rPr>
          <w:rStyle w:val="affb"/>
          <w:iCs w:val="0"/>
        </w:rPr>
        <w:t xml:space="preserve">Специальных методов реабилитации при АА не существует. </w:t>
      </w:r>
    </w:p>
    <w:p w14:paraId="32D98BCA" w14:textId="46BB6A3D" w:rsidR="002C3C32" w:rsidRPr="00F01BFA" w:rsidRDefault="00031607" w:rsidP="00F01BFA">
      <w:pPr>
        <w:pStyle w:val="11"/>
        <w:rPr>
          <w:szCs w:val="28"/>
          <w:u w:val="none"/>
        </w:rPr>
      </w:pPr>
      <w:bookmarkStart w:id="27" w:name="_Toc67522236"/>
      <w:r w:rsidRPr="00F01BFA">
        <w:rPr>
          <w:szCs w:val="28"/>
          <w:u w:val="none"/>
        </w:rPr>
        <w:t xml:space="preserve">5. </w:t>
      </w:r>
      <w:r w:rsidR="005F7C37" w:rsidRPr="005F7C37">
        <w:rPr>
          <w:szCs w:val="28"/>
          <w:u w:val="none"/>
        </w:rPr>
        <w:t>Профилактика и диспансерное наблюдение, медицинские показания и противопоказания к применению методов профилактики</w:t>
      </w:r>
      <w:bookmarkEnd w:id="27"/>
    </w:p>
    <w:p w14:paraId="53309D9D" w14:textId="58767CC6" w:rsidR="003426C1" w:rsidRPr="003426C1" w:rsidRDefault="003426C1" w:rsidP="003426C1">
      <w:pPr>
        <w:pStyle w:val="afd"/>
        <w:spacing w:beforeAutospacing="0" w:afterAutospacing="0" w:line="360" w:lineRule="auto"/>
        <w:ind w:left="720"/>
        <w:contextualSpacing/>
        <w:rPr>
          <w:rStyle w:val="affb"/>
          <w:iCs w:val="0"/>
        </w:rPr>
      </w:pPr>
      <w:r w:rsidRPr="004F07FA">
        <w:rPr>
          <w:i/>
        </w:rPr>
        <w:t xml:space="preserve">Методов профилактики </w:t>
      </w:r>
      <w:r>
        <w:rPr>
          <w:i/>
        </w:rPr>
        <w:t>АА</w:t>
      </w:r>
      <w:r w:rsidRPr="004F07FA">
        <w:rPr>
          <w:i/>
        </w:rPr>
        <w:t xml:space="preserve"> в настоящее время не существует</w:t>
      </w:r>
      <w:r>
        <w:rPr>
          <w:i/>
        </w:rPr>
        <w:t>.</w:t>
      </w:r>
    </w:p>
    <w:p w14:paraId="26361D9C" w14:textId="2B07E6A7" w:rsidR="00C06AB8" w:rsidRPr="00C06AB8" w:rsidRDefault="00764E6B" w:rsidP="00BF4D82">
      <w:pPr>
        <w:pStyle w:val="afd"/>
        <w:numPr>
          <w:ilvl w:val="0"/>
          <w:numId w:val="7"/>
        </w:numPr>
        <w:spacing w:beforeAutospacing="0" w:afterAutospacing="0" w:line="360" w:lineRule="auto"/>
        <w:contextualSpacing/>
        <w:rPr>
          <w:i/>
        </w:rPr>
      </w:pPr>
      <w:r w:rsidRPr="00776F49">
        <w:rPr>
          <w:rStyle w:val="affb"/>
          <w:b/>
          <w:i w:val="0"/>
        </w:rPr>
        <w:lastRenderedPageBreak/>
        <w:t>Рекомендуе</w:t>
      </w:r>
      <w:r w:rsidR="00C06AB8" w:rsidRPr="00776F49">
        <w:rPr>
          <w:rStyle w:val="affb"/>
          <w:b/>
          <w:i w:val="0"/>
        </w:rPr>
        <w:t xml:space="preserve">тся </w:t>
      </w:r>
      <w:r w:rsidR="00C06AB8" w:rsidRPr="00C06AB8">
        <w:rPr>
          <w:rStyle w:val="affb"/>
          <w:i w:val="0"/>
        </w:rPr>
        <w:t>всем пациентам</w:t>
      </w:r>
      <w:r>
        <w:rPr>
          <w:rStyle w:val="affb"/>
          <w:i w:val="0"/>
        </w:rPr>
        <w:t xml:space="preserve"> с АА</w:t>
      </w:r>
      <w:r w:rsidR="00C06AB8" w:rsidRPr="00C06AB8">
        <w:rPr>
          <w:rStyle w:val="affb"/>
          <w:i w:val="0"/>
        </w:rPr>
        <w:t xml:space="preserve"> диспансерное наблюдение у</w:t>
      </w:r>
      <w:r w:rsidR="00147B50">
        <w:rPr>
          <w:rStyle w:val="affb"/>
          <w:i w:val="0"/>
        </w:rPr>
        <w:t xml:space="preserve"> врача-</w:t>
      </w:r>
      <w:r w:rsidR="00C06AB8" w:rsidRPr="00C06AB8">
        <w:rPr>
          <w:rStyle w:val="affb"/>
          <w:i w:val="0"/>
        </w:rPr>
        <w:t xml:space="preserve"> гематолога</w:t>
      </w:r>
      <w:r w:rsidR="00147B50">
        <w:rPr>
          <w:rStyle w:val="affb"/>
          <w:i w:val="0"/>
        </w:rPr>
        <w:t xml:space="preserve"> (режим определяется в индивидуальном порядке)</w:t>
      </w:r>
      <w:r w:rsidR="003C3010">
        <w:rPr>
          <w:rStyle w:val="affb"/>
          <w:i w:val="0"/>
        </w:rPr>
        <w:t xml:space="preserve"> для </w:t>
      </w:r>
      <w:r w:rsidR="002D54CB">
        <w:rPr>
          <w:rStyle w:val="affb"/>
          <w:i w:val="0"/>
        </w:rPr>
        <w:t>ранней диагностики</w:t>
      </w:r>
      <w:r w:rsidR="003C3010">
        <w:rPr>
          <w:rStyle w:val="affb"/>
          <w:i w:val="0"/>
        </w:rPr>
        <w:t xml:space="preserve"> рецидивов</w:t>
      </w:r>
      <w:r w:rsidR="002D54CB">
        <w:rPr>
          <w:rStyle w:val="affb"/>
          <w:i w:val="0"/>
        </w:rPr>
        <w:t xml:space="preserve"> и своевременного начала их лечения</w:t>
      </w:r>
      <w:r w:rsidR="00C06AB8" w:rsidRPr="00C06AB8">
        <w:rPr>
          <w:rStyle w:val="affb"/>
          <w:i w:val="0"/>
        </w:rPr>
        <w:t xml:space="preserve"> </w:t>
      </w:r>
      <w:r w:rsidR="0010440B">
        <w:rPr>
          <w:rStyle w:val="affb"/>
          <w:i w:val="0"/>
        </w:rPr>
        <w:fldChar w:fldCharType="begin" w:fldLock="1"/>
      </w:r>
      <w:r w:rsidR="00083277">
        <w:rPr>
          <w:rStyle w:val="affb"/>
          <w:i w:val="0"/>
        </w:rPr>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10440B">
        <w:rPr>
          <w:rStyle w:val="affb"/>
          <w:i w:val="0"/>
        </w:rPr>
        <w:fldChar w:fldCharType="separate"/>
      </w:r>
      <w:r w:rsidR="0012563C" w:rsidRPr="0012563C">
        <w:rPr>
          <w:rStyle w:val="affb"/>
          <w:i w:val="0"/>
          <w:noProof/>
        </w:rPr>
        <w:t>[12]</w:t>
      </w:r>
      <w:r w:rsidR="0010440B">
        <w:rPr>
          <w:rStyle w:val="affb"/>
          <w:i w:val="0"/>
        </w:rPr>
        <w:fldChar w:fldCharType="end"/>
      </w:r>
      <w:r w:rsidR="003C3010">
        <w:rPr>
          <w:rStyle w:val="affb"/>
          <w:i w:val="0"/>
        </w:rPr>
        <w:t>.</w:t>
      </w:r>
    </w:p>
    <w:p w14:paraId="205C3E4E" w14:textId="53E418E4" w:rsidR="00764E6B" w:rsidRDefault="00764E6B" w:rsidP="00F01BFA">
      <w:pPr>
        <w:pStyle w:val="afff1"/>
        <w:ind w:left="720"/>
      </w:pPr>
      <w:r w:rsidRPr="00713176">
        <w:t xml:space="preserve">Уровень убедительности рекомендаций </w:t>
      </w:r>
      <w:r w:rsidR="003426C1">
        <w:t>С</w:t>
      </w:r>
      <w:r w:rsidRPr="00713176">
        <w:t xml:space="preserve"> (уровень достоверности доказательств </w:t>
      </w:r>
      <w:r w:rsidR="003426C1">
        <w:t>5</w:t>
      </w:r>
      <w:r w:rsidRPr="00713176">
        <w:t>)</w:t>
      </w:r>
    </w:p>
    <w:p w14:paraId="08966F11" w14:textId="7054F60F" w:rsidR="009B30E1" w:rsidRDefault="009B30E1" w:rsidP="00464623">
      <w:pPr>
        <w:pStyle w:val="afff1"/>
        <w:ind w:left="0" w:firstLine="708"/>
        <w:rPr>
          <w:rStyle w:val="affb"/>
          <w:b w:val="0"/>
          <w:lang w:eastAsia="ru-RU"/>
        </w:rPr>
      </w:pPr>
      <w:r w:rsidRPr="0010440B">
        <w:rPr>
          <w:rStyle w:val="affb"/>
          <w:bCs/>
          <w:i w:val="0"/>
          <w:iCs w:val="0"/>
        </w:rPr>
        <w:t>Комментарии:</w:t>
      </w:r>
      <w:r w:rsidRPr="009B30E1">
        <w:rPr>
          <w:rStyle w:val="affb"/>
          <w:b w:val="0"/>
          <w:i w:val="0"/>
          <w:iCs w:val="0"/>
        </w:rPr>
        <w:t xml:space="preserve"> </w:t>
      </w:r>
      <w:r w:rsidRPr="0010440B">
        <w:rPr>
          <w:rStyle w:val="affb"/>
          <w:rFonts w:eastAsia="Times New Roman"/>
          <w:b w:val="0"/>
          <w:lang w:eastAsia="ru-RU"/>
        </w:rPr>
        <w:t>ч</w:t>
      </w:r>
      <w:r w:rsidRPr="009B30E1">
        <w:rPr>
          <w:rStyle w:val="affb"/>
          <w:b w:val="0"/>
          <w:lang w:eastAsia="ru-RU"/>
        </w:rPr>
        <w:t xml:space="preserve">астота наблюдения пациентов с </w:t>
      </w:r>
      <w:r w:rsidR="0010440B">
        <w:rPr>
          <w:rStyle w:val="affb"/>
          <w:b w:val="0"/>
          <w:lang w:eastAsia="ru-RU"/>
        </w:rPr>
        <w:t>АА</w:t>
      </w:r>
      <w:r w:rsidRPr="009B30E1">
        <w:rPr>
          <w:rStyle w:val="affb"/>
          <w:b w:val="0"/>
          <w:lang w:eastAsia="ru-RU"/>
        </w:rPr>
        <w:t xml:space="preserve"> после з</w:t>
      </w:r>
      <w:r w:rsidR="00464623">
        <w:rPr>
          <w:rStyle w:val="affb"/>
          <w:b w:val="0"/>
          <w:lang w:eastAsia="ru-RU"/>
        </w:rPr>
        <w:t xml:space="preserve">авершения лечения </w:t>
      </w:r>
      <w:r w:rsidRPr="009B30E1">
        <w:rPr>
          <w:rStyle w:val="affb"/>
          <w:b w:val="0"/>
          <w:lang w:eastAsia="ru-RU"/>
        </w:rPr>
        <w:t xml:space="preserve">не регламентирована. В течение первого года после завершения лечения пациент должен наблюдаться у </w:t>
      </w:r>
      <w:r w:rsidR="00147B50">
        <w:rPr>
          <w:rStyle w:val="affb"/>
          <w:b w:val="0"/>
          <w:lang w:eastAsia="ru-RU"/>
        </w:rPr>
        <w:t>врача-</w:t>
      </w:r>
      <w:r w:rsidRPr="009B30E1">
        <w:rPr>
          <w:rStyle w:val="affb"/>
          <w:b w:val="0"/>
          <w:lang w:eastAsia="ru-RU"/>
        </w:rPr>
        <w:t xml:space="preserve">гематолога не реже 1 раза в 3 месяца. Далее частота наблюдения устанавливается </w:t>
      </w:r>
      <w:r w:rsidR="00147B50">
        <w:rPr>
          <w:rStyle w:val="affb"/>
          <w:b w:val="0"/>
          <w:lang w:eastAsia="ru-RU"/>
        </w:rPr>
        <w:t>врачом-</w:t>
      </w:r>
      <w:r w:rsidRPr="009B30E1">
        <w:rPr>
          <w:rStyle w:val="affb"/>
          <w:b w:val="0"/>
          <w:lang w:eastAsia="ru-RU"/>
        </w:rPr>
        <w:t>гематологом индивидуально</w:t>
      </w:r>
      <w:r w:rsidR="007E2D4A">
        <w:rPr>
          <w:rStyle w:val="affb"/>
          <w:b w:val="0"/>
          <w:lang w:eastAsia="ru-RU"/>
        </w:rPr>
        <w:t>,</w:t>
      </w:r>
      <w:r w:rsidRPr="009B30E1">
        <w:rPr>
          <w:rStyle w:val="affb"/>
          <w:b w:val="0"/>
          <w:lang w:eastAsia="ru-RU"/>
        </w:rPr>
        <w:t xml:space="preserve"> в зависимости от общего состояния и самочувствия пациента, осложнений проведенной терапии, достигнутого ответа на терапию, но не должна быть реже 1 раза в год.</w:t>
      </w:r>
      <w:r w:rsidR="0010440B">
        <w:rPr>
          <w:rStyle w:val="affb"/>
          <w:b w:val="0"/>
          <w:lang w:eastAsia="ru-RU"/>
        </w:rPr>
        <w:t xml:space="preserve"> </w:t>
      </w:r>
      <w:r w:rsidRPr="009B30E1">
        <w:rPr>
          <w:rStyle w:val="affb"/>
          <w:b w:val="0"/>
          <w:lang w:eastAsia="ru-RU"/>
        </w:rPr>
        <w:t>При диспансерном наблюдении, кроме осмотра пациента и сбора анамнеза</w:t>
      </w:r>
      <w:r w:rsidR="00464623">
        <w:rPr>
          <w:rStyle w:val="affb"/>
          <w:b w:val="0"/>
          <w:lang w:eastAsia="ru-RU"/>
        </w:rPr>
        <w:t xml:space="preserve"> и жалоб</w:t>
      </w:r>
      <w:r w:rsidRPr="009B30E1">
        <w:rPr>
          <w:rStyle w:val="affb"/>
          <w:b w:val="0"/>
          <w:lang w:eastAsia="ru-RU"/>
        </w:rPr>
        <w:t>, необходимо выполнять общий анализ крови с исследованием лейкоцитарной формулы</w:t>
      </w:r>
      <w:r w:rsidR="0010440B">
        <w:rPr>
          <w:rStyle w:val="affb"/>
          <w:b w:val="0"/>
          <w:lang w:eastAsia="ru-RU"/>
        </w:rPr>
        <w:t>.</w:t>
      </w:r>
      <w:r w:rsidRPr="009B30E1">
        <w:rPr>
          <w:rStyle w:val="affb"/>
          <w:b w:val="0"/>
          <w:lang w:eastAsia="ru-RU"/>
        </w:rPr>
        <w:t xml:space="preserve"> Остальные методы обследования могут примен</w:t>
      </w:r>
      <w:r w:rsidR="00464623">
        <w:rPr>
          <w:rStyle w:val="affb"/>
          <w:b w:val="0"/>
          <w:lang w:eastAsia="ru-RU"/>
        </w:rPr>
        <w:t>яться на усмотрение гематолога при наличии показаний.</w:t>
      </w:r>
    </w:p>
    <w:p w14:paraId="254E6D60" w14:textId="61FF552E" w:rsidR="00464623" w:rsidRPr="003426C1" w:rsidRDefault="00464623" w:rsidP="00464623">
      <w:pPr>
        <w:pStyle w:val="afff1"/>
        <w:ind w:left="0" w:firstLine="708"/>
        <w:rPr>
          <w:b w:val="0"/>
          <w:i/>
          <w:iCs/>
          <w:lang w:eastAsia="ru-RU"/>
        </w:rPr>
      </w:pPr>
      <w:r w:rsidRPr="003426C1">
        <w:rPr>
          <w:b w:val="0"/>
          <w:i/>
          <w:iCs/>
        </w:rPr>
        <w:t xml:space="preserve">Следует учесть, что у пациента могут быть нестандартные проявления болезни, а также сочетание конкретной болезни с другими патологиями, что может диктовать лечащему врачу изменения в алгоритме выбора оптимальной тактики диагностики </w:t>
      </w:r>
      <w:r w:rsidR="007E2D4A">
        <w:rPr>
          <w:b w:val="0"/>
          <w:i/>
          <w:iCs/>
        </w:rPr>
        <w:t xml:space="preserve">и </w:t>
      </w:r>
      <w:r w:rsidRPr="003426C1">
        <w:rPr>
          <w:b w:val="0"/>
          <w:i/>
          <w:iCs/>
        </w:rPr>
        <w:t>лечения.</w:t>
      </w:r>
      <w:r w:rsidRPr="003426C1">
        <w:rPr>
          <w:b w:val="0"/>
          <w:i/>
          <w:iCs/>
        </w:rPr>
        <w:br w:type="page"/>
      </w:r>
    </w:p>
    <w:p w14:paraId="567E9851" w14:textId="067087B4" w:rsidR="005F7C37" w:rsidRPr="00764E6B" w:rsidRDefault="005F7C37" w:rsidP="005F7C37">
      <w:pPr>
        <w:pStyle w:val="affd"/>
        <w:ind w:firstLine="709"/>
        <w:rPr>
          <w:rFonts w:cs="Times New Roman"/>
          <w:szCs w:val="28"/>
        </w:rPr>
      </w:pPr>
      <w:bookmarkStart w:id="28" w:name="_Toc531609339"/>
      <w:bookmarkStart w:id="29" w:name="_Toc67522237"/>
      <w:bookmarkStart w:id="30" w:name="_Toc531609338"/>
      <w:r>
        <w:rPr>
          <w:rFonts w:cs="Times New Roman"/>
          <w:szCs w:val="28"/>
        </w:rPr>
        <w:lastRenderedPageBreak/>
        <w:t>6</w:t>
      </w:r>
      <w:r w:rsidRPr="00764E6B">
        <w:rPr>
          <w:rFonts w:cs="Times New Roman"/>
          <w:szCs w:val="28"/>
        </w:rPr>
        <w:t>. Организация</w:t>
      </w:r>
      <w:r w:rsidR="00147B50">
        <w:rPr>
          <w:rFonts w:cs="Times New Roman"/>
          <w:szCs w:val="28"/>
        </w:rPr>
        <w:t xml:space="preserve"> оказания</w:t>
      </w:r>
      <w:r w:rsidRPr="00764E6B">
        <w:rPr>
          <w:rFonts w:cs="Times New Roman"/>
          <w:szCs w:val="28"/>
        </w:rPr>
        <w:t xml:space="preserve"> медицинской помощи</w:t>
      </w:r>
      <w:bookmarkEnd w:id="28"/>
      <w:bookmarkEnd w:id="29"/>
    </w:p>
    <w:p w14:paraId="51A64BF8" w14:textId="77777777" w:rsidR="005F7C37" w:rsidRPr="00764E6B" w:rsidRDefault="005F7C37" w:rsidP="005F7C37">
      <w:pPr>
        <w:pStyle w:val="1f0"/>
        <w:ind w:firstLine="709"/>
        <w:contextualSpacing/>
        <w:rPr>
          <w:b/>
        </w:rPr>
      </w:pPr>
      <w:r w:rsidRPr="00764E6B">
        <w:rPr>
          <w:b/>
        </w:rPr>
        <w:t xml:space="preserve">Показания для плановой госпитализации: </w:t>
      </w:r>
    </w:p>
    <w:p w14:paraId="73BD3C30" w14:textId="0ED34246" w:rsidR="005F7C37" w:rsidRPr="00D07EC1" w:rsidRDefault="005F7C37" w:rsidP="005F7C37">
      <w:pPr>
        <w:pStyle w:val="1f0"/>
        <w:ind w:firstLine="709"/>
        <w:contextualSpacing/>
      </w:pPr>
      <w:r w:rsidRPr="00D07EC1">
        <w:t xml:space="preserve">1) Проведение курса терапии </w:t>
      </w:r>
      <w:r w:rsidR="004104D1" w:rsidRPr="00045FA5">
        <w:t>#</w:t>
      </w:r>
      <w:r w:rsidRPr="00D07EC1">
        <w:t>АТГ</w:t>
      </w:r>
      <w:r>
        <w:t>**</w:t>
      </w:r>
      <w:r w:rsidRPr="00D07EC1">
        <w:t>;</w:t>
      </w:r>
    </w:p>
    <w:p w14:paraId="3DBAE823" w14:textId="77777777" w:rsidR="005F7C37" w:rsidRPr="00D07EC1" w:rsidRDefault="005F7C37" w:rsidP="005F7C37">
      <w:pPr>
        <w:pStyle w:val="1f0"/>
        <w:ind w:firstLine="709"/>
        <w:contextualSpacing/>
      </w:pPr>
      <w:r w:rsidRPr="00D07EC1">
        <w:t xml:space="preserve">2) Проведение </w:t>
      </w:r>
      <w:r>
        <w:t>трансплантации костного мозга</w:t>
      </w:r>
      <w:r w:rsidRPr="00D07EC1">
        <w:t>;</w:t>
      </w:r>
    </w:p>
    <w:p w14:paraId="4668535E" w14:textId="77777777" w:rsidR="005F7C37" w:rsidRDefault="005F7C37" w:rsidP="005F7C37">
      <w:pPr>
        <w:pStyle w:val="1f0"/>
        <w:ind w:firstLine="709"/>
        <w:contextualSpacing/>
      </w:pPr>
      <w:r w:rsidRPr="00D07EC1">
        <w:t>3) Профилактические трансфузии донорских компонентов крови</w:t>
      </w:r>
    </w:p>
    <w:p w14:paraId="2B531005" w14:textId="77777777" w:rsidR="005F7C37" w:rsidRDefault="005F7C37" w:rsidP="005F7C37">
      <w:pPr>
        <w:pStyle w:val="1f0"/>
        <w:ind w:firstLine="709"/>
        <w:contextualSpacing/>
      </w:pPr>
      <w:r>
        <w:t>4)</w:t>
      </w:r>
      <w:r w:rsidRPr="00240605">
        <w:t xml:space="preserve"> </w:t>
      </w:r>
      <w:r w:rsidRPr="000155BF">
        <w:t>Обследование пациента, в том числе включающее биопсии и инвазивные вмешательства</w:t>
      </w:r>
      <w:r>
        <w:t>,</w:t>
      </w:r>
      <w:r w:rsidRPr="000155BF">
        <w:t xml:space="preserve"> в случаях, когда оно не может быть проведено амбулаторно</w:t>
      </w:r>
    </w:p>
    <w:p w14:paraId="2C9A659C" w14:textId="77777777" w:rsidR="005F7C37" w:rsidRPr="00D07EC1" w:rsidRDefault="005F7C37" w:rsidP="005F7C37">
      <w:pPr>
        <w:pStyle w:val="1f0"/>
        <w:ind w:firstLine="709"/>
        <w:contextualSpacing/>
      </w:pPr>
      <w:r>
        <w:t>5) Плановое хирургическое вмешательство</w:t>
      </w:r>
    </w:p>
    <w:p w14:paraId="3A38EAB0" w14:textId="77777777" w:rsidR="005F7C37" w:rsidRPr="00764E6B" w:rsidRDefault="005F7C37" w:rsidP="005F7C37">
      <w:pPr>
        <w:pStyle w:val="1f0"/>
        <w:ind w:firstLine="709"/>
        <w:contextualSpacing/>
        <w:rPr>
          <w:b/>
        </w:rPr>
      </w:pPr>
      <w:r w:rsidRPr="00764E6B">
        <w:rPr>
          <w:b/>
        </w:rPr>
        <w:t xml:space="preserve">Показания для экстренной госпитализации: </w:t>
      </w:r>
    </w:p>
    <w:p w14:paraId="349033AF" w14:textId="77777777" w:rsidR="005F7C37" w:rsidRPr="00D07EC1" w:rsidRDefault="005F7C37" w:rsidP="005F7C37">
      <w:pPr>
        <w:pStyle w:val="1f0"/>
        <w:ind w:firstLine="709"/>
        <w:contextualSpacing/>
      </w:pPr>
      <w:r w:rsidRPr="00D07EC1">
        <w:t>1) Развитие инфекционных и/или геморрагических осложнений;</w:t>
      </w:r>
    </w:p>
    <w:p w14:paraId="1B1BA0EF" w14:textId="77777777" w:rsidR="005F7C37" w:rsidRPr="00D07EC1" w:rsidRDefault="005F7C37" w:rsidP="005F7C37">
      <w:pPr>
        <w:pStyle w:val="1f0"/>
        <w:ind w:left="426" w:firstLine="709"/>
        <w:contextualSpacing/>
      </w:pPr>
      <w:r>
        <w:t xml:space="preserve">     </w:t>
      </w:r>
      <w:r w:rsidRPr="00D07EC1">
        <w:t>2) Глубокая тромбоцитопения и/или анемия, требующие экстренных заместительных трансфузий;</w:t>
      </w:r>
    </w:p>
    <w:p w14:paraId="0DF9BAEF" w14:textId="77777777" w:rsidR="005F7C37" w:rsidRPr="00764E6B" w:rsidRDefault="005F7C37" w:rsidP="005F7C37">
      <w:pPr>
        <w:pStyle w:val="1f0"/>
        <w:ind w:firstLine="709"/>
        <w:contextualSpacing/>
        <w:rPr>
          <w:b/>
        </w:rPr>
      </w:pPr>
      <w:r w:rsidRPr="00764E6B">
        <w:rPr>
          <w:b/>
        </w:rPr>
        <w:t>Показания к выписке пациента из стационара:</w:t>
      </w:r>
    </w:p>
    <w:p w14:paraId="40850897" w14:textId="59A23F23" w:rsidR="005F7C37" w:rsidRPr="00D07EC1" w:rsidRDefault="005F7C37" w:rsidP="005F7C37">
      <w:pPr>
        <w:pStyle w:val="1f0"/>
        <w:ind w:firstLine="709"/>
        <w:contextualSpacing/>
      </w:pPr>
      <w:r w:rsidRPr="00D07EC1">
        <w:t xml:space="preserve">1) После проведенного курса </w:t>
      </w:r>
      <w:r w:rsidR="004104D1" w:rsidRPr="00045FA5">
        <w:t>#</w:t>
      </w:r>
      <w:r w:rsidRPr="00D07EC1">
        <w:t>АТГ</w:t>
      </w:r>
      <w:r>
        <w:t>** или трансплантации костного мозга</w:t>
      </w:r>
      <w:r w:rsidRPr="00D07EC1">
        <w:t>– наблюдение в амбулаторном режиме;</w:t>
      </w:r>
    </w:p>
    <w:p w14:paraId="4AA75150" w14:textId="77777777" w:rsidR="005F7C37" w:rsidRDefault="005F7C37" w:rsidP="005F7C37">
      <w:pPr>
        <w:pStyle w:val="1f0"/>
        <w:ind w:firstLine="709"/>
        <w:contextualSpacing/>
      </w:pPr>
      <w:r w:rsidRPr="00D07EC1">
        <w:t>2) Купирование геморрагических и/или инфекционных осложнений в полном объеме</w:t>
      </w:r>
      <w:r>
        <w:t>.</w:t>
      </w:r>
    </w:p>
    <w:p w14:paraId="492E5269" w14:textId="2612A762" w:rsidR="005F7C37" w:rsidRPr="00147B50" w:rsidRDefault="005F7C37" w:rsidP="00147B50">
      <w:pPr>
        <w:pStyle w:val="1f0"/>
        <w:ind w:firstLine="709"/>
        <w:contextualSpacing/>
      </w:pPr>
      <w:r>
        <w:t>3) Выполненный комплекс диагностических мероприятий</w:t>
      </w:r>
    </w:p>
    <w:p w14:paraId="58764501" w14:textId="3331BE59" w:rsidR="00764E6B" w:rsidRDefault="005F7C37" w:rsidP="00764E6B">
      <w:pPr>
        <w:pStyle w:val="CustomContentNormal"/>
      </w:pPr>
      <w:bookmarkStart w:id="31" w:name="_Toc67522238"/>
      <w:r>
        <w:t>7</w:t>
      </w:r>
      <w:r w:rsidR="00764E6B">
        <w:t xml:space="preserve">. </w:t>
      </w:r>
      <w:bookmarkEnd w:id="30"/>
      <w:r w:rsidRPr="005F7C37">
        <w:t>Дополнительная информация (в том числе факторы, влияющие на исход заболевания или состояния)</w:t>
      </w:r>
      <w:bookmarkEnd w:id="31"/>
      <w:r w:rsidR="00764E6B">
        <w:t xml:space="preserve"> </w:t>
      </w:r>
    </w:p>
    <w:p w14:paraId="6B406814" w14:textId="1A377870" w:rsidR="00764E6B" w:rsidRPr="00066E26" w:rsidRDefault="00066E26" w:rsidP="00066E26">
      <w:pPr>
        <w:pStyle w:val="2"/>
      </w:pPr>
      <w:bookmarkStart w:id="32" w:name="_Toc67522239"/>
      <w:r>
        <w:rPr>
          <w:rStyle w:val="affa"/>
          <w:b/>
          <w:bCs w:val="0"/>
        </w:rPr>
        <w:t xml:space="preserve">7.1 </w:t>
      </w:r>
      <w:r w:rsidR="00464623" w:rsidRPr="00066E26">
        <w:rPr>
          <w:rStyle w:val="affa"/>
          <w:b/>
          <w:bCs w:val="0"/>
        </w:rPr>
        <w:t>Основные осложнения терапии АТГ</w:t>
      </w:r>
      <w:bookmarkEnd w:id="32"/>
    </w:p>
    <w:p w14:paraId="20E5C513" w14:textId="10EB47CD" w:rsidR="00764E6B" w:rsidRPr="00776F49" w:rsidRDefault="00764E6B" w:rsidP="00776F49">
      <w:pPr>
        <w:pStyle w:val="afd"/>
        <w:spacing w:beforeAutospacing="0" w:afterAutospacing="0" w:line="360" w:lineRule="auto"/>
        <w:ind w:firstLine="709"/>
        <w:contextualSpacing/>
      </w:pPr>
      <w:r w:rsidRPr="00776F49">
        <w:rPr>
          <w:rStyle w:val="affa"/>
        </w:rPr>
        <w:t>Аллергологические и анафилактические реакции</w:t>
      </w:r>
      <w:r w:rsidR="00776F49">
        <w:t xml:space="preserve"> во время введения АТГ**: о</w:t>
      </w:r>
      <w:r w:rsidRPr="00776F49">
        <w:t>зноб, лихорадка, эритематозная или уртикарная сыпь встре</w:t>
      </w:r>
      <w:r w:rsidR="00776F49">
        <w:t>чаются у 30—60% пациентов</w:t>
      </w:r>
      <w:r w:rsidRPr="00776F49">
        <w:t xml:space="preserve">. В этих случаях увеличивают дозы вводимых </w:t>
      </w:r>
      <w:r w:rsidR="005864C0" w:rsidRPr="00776F49">
        <w:t>глюкокортико</w:t>
      </w:r>
      <w:r w:rsidR="005864C0">
        <w:t>стероидов</w:t>
      </w:r>
      <w:r w:rsidR="005864C0" w:rsidRPr="00776F49">
        <w:t xml:space="preserve"> </w:t>
      </w:r>
      <w:r w:rsidRPr="00776F49">
        <w:t xml:space="preserve">и </w:t>
      </w:r>
      <w:r w:rsidR="00DA1B00">
        <w:t>противоаллергических средств (блокаторов Н1-рецепторов)</w:t>
      </w:r>
      <w:r w:rsidR="00507755">
        <w:t xml:space="preserve"> для системного применения</w:t>
      </w:r>
      <w:r w:rsidRPr="00776F49">
        <w:t xml:space="preserve"> в 1,5—2 раза и</w:t>
      </w:r>
      <w:r w:rsidR="009E2966">
        <w:t>,</w:t>
      </w:r>
      <w:r w:rsidRPr="00776F49">
        <w:t xml:space="preserve"> по возможности</w:t>
      </w:r>
      <w:r w:rsidR="009E2966">
        <w:t>,</w:t>
      </w:r>
      <w:r w:rsidRPr="00776F49">
        <w:t xml:space="preserve"> продолжают введение </w:t>
      </w:r>
      <w:r w:rsidR="004104D1" w:rsidRPr="00045FA5">
        <w:t>#</w:t>
      </w:r>
      <w:r w:rsidRPr="00776F49">
        <w:t>АТГ</w:t>
      </w:r>
      <w:r w:rsidR="00776F49">
        <w:t>**</w:t>
      </w:r>
      <w:r w:rsidRPr="00776F49">
        <w:t>.</w:t>
      </w:r>
    </w:p>
    <w:p w14:paraId="29C61C7B" w14:textId="49313382" w:rsidR="00764E6B" w:rsidRPr="00776F49" w:rsidRDefault="00764E6B" w:rsidP="00776F49">
      <w:pPr>
        <w:pStyle w:val="afd"/>
        <w:spacing w:beforeAutospacing="0" w:afterAutospacing="0" w:line="360" w:lineRule="auto"/>
        <w:ind w:firstLine="709"/>
        <w:contextualSpacing/>
      </w:pPr>
      <w:r w:rsidRPr="00776F49">
        <w:t xml:space="preserve">Значительно реже (у 2—3% больных) развиваются бронхоспазм, отек Квинке, артериальная гипотензия. В этих случаях прекращают введение </w:t>
      </w:r>
      <w:r w:rsidR="004104D1" w:rsidRPr="00045FA5">
        <w:t>#</w:t>
      </w:r>
      <w:r w:rsidRPr="00776F49">
        <w:t>АТГ</w:t>
      </w:r>
      <w:r w:rsidR="009E2966">
        <w:t>**</w:t>
      </w:r>
      <w:r w:rsidRPr="00776F49">
        <w:t xml:space="preserve"> и проводят соответствующее лечение.</w:t>
      </w:r>
    </w:p>
    <w:p w14:paraId="303F6577" w14:textId="60B9DD0D" w:rsidR="00764E6B" w:rsidRPr="00776F49" w:rsidRDefault="00764E6B" w:rsidP="00776F49">
      <w:pPr>
        <w:pStyle w:val="afd"/>
        <w:spacing w:beforeAutospacing="0" w:afterAutospacing="0" w:line="360" w:lineRule="auto"/>
        <w:ind w:firstLine="709"/>
        <w:contextualSpacing/>
      </w:pPr>
      <w:r w:rsidRPr="00776F49">
        <w:rPr>
          <w:rStyle w:val="affa"/>
        </w:rPr>
        <w:t>Сывороточная болезнь</w:t>
      </w:r>
      <w:r w:rsidRPr="00776F49">
        <w:t xml:space="preserve"> обычно развивается на 7—14-й день (5—20-й день) от начала</w:t>
      </w:r>
      <w:r w:rsidR="00776F49">
        <w:t xml:space="preserve"> терапии более чем у 50% пациентов</w:t>
      </w:r>
      <w:r w:rsidRPr="00776F49">
        <w:t xml:space="preserve">. Лихорадка, папулезные высыпания на коже, кожный зуд, полиартралгии, миалгии, головная боль, тошнота — наиболее часто встречающиеся симптомы сывороточной болезни; реже наблюдаются транзиторное </w:t>
      </w:r>
      <w:r w:rsidRPr="00776F49">
        <w:lastRenderedPageBreak/>
        <w:t xml:space="preserve">повышение активности аминотрансфераз, повышение артериального давления, желудочно-кишечные расстройства; в 1—2% случаев могут иметь место эпилептические судороги. Назначение </w:t>
      </w:r>
      <w:r w:rsidR="00DA1B00">
        <w:t xml:space="preserve">противоаллергических средств (блокаторов Н1-рецепторов) </w:t>
      </w:r>
      <w:r w:rsidR="003B5B81">
        <w:t>и глюкокортикостероидных средств</w:t>
      </w:r>
      <w:r w:rsidRPr="00776F49">
        <w:t xml:space="preserve"> (преднизолон</w:t>
      </w:r>
      <w:r w:rsidR="003B5B81">
        <w:t>**</w:t>
      </w:r>
      <w:r w:rsidRPr="00776F49">
        <w:t xml:space="preserve"> 30—60 мг</w:t>
      </w:r>
      <w:r w:rsidR="009E2966">
        <w:t>/сут</w:t>
      </w:r>
      <w:r w:rsidRPr="00776F49">
        <w:t>) в течение 1—2 недель, как правило, купирует сывороточную болезнь. В тяжелых случаях проводят сеансы плазмафереза.</w:t>
      </w:r>
    </w:p>
    <w:p w14:paraId="0B244459" w14:textId="201CBCCC" w:rsidR="00764E6B" w:rsidRPr="00776F49" w:rsidRDefault="00764E6B" w:rsidP="00776F49">
      <w:pPr>
        <w:pStyle w:val="afd"/>
        <w:spacing w:beforeAutospacing="0" w:afterAutospacing="0" w:line="360" w:lineRule="auto"/>
        <w:ind w:firstLine="709"/>
        <w:contextualSpacing/>
      </w:pPr>
      <w:r w:rsidRPr="00776F49">
        <w:t>Для предупреждения развития тяжелых аллергических осложнений рекомендуется непосредственно перед введением АТГ</w:t>
      </w:r>
      <w:r w:rsidR="00776F49">
        <w:t>**</w:t>
      </w:r>
      <w:r w:rsidRPr="00776F49">
        <w:t xml:space="preserve"> обязательно проводить внутрикожные те</w:t>
      </w:r>
      <w:r w:rsidR="00776F49">
        <w:t>сты на чувствительность пациента</w:t>
      </w:r>
      <w:r w:rsidRPr="00776F49">
        <w:t xml:space="preserve"> к препарату.</w:t>
      </w:r>
    </w:p>
    <w:p w14:paraId="095ED411" w14:textId="77777777" w:rsidR="00764E6B" w:rsidRPr="00776F49" w:rsidRDefault="00764E6B" w:rsidP="00776F49">
      <w:pPr>
        <w:pStyle w:val="afd"/>
        <w:spacing w:beforeAutospacing="0" w:afterAutospacing="0" w:line="360" w:lineRule="auto"/>
        <w:ind w:firstLine="709"/>
        <w:contextualSpacing/>
      </w:pPr>
      <w:r w:rsidRPr="00776F49">
        <w:t>Усиление геморрагического синдрома на фоне введения или после введения АТГ требует интенсивной заместительной терапии трансфузиями тромбоконцентрата и свежезамороженной плазмы.</w:t>
      </w:r>
    </w:p>
    <w:p w14:paraId="15FA3977" w14:textId="1D0A4215" w:rsidR="00764E6B" w:rsidRPr="00776F49" w:rsidRDefault="00764E6B" w:rsidP="00776F49">
      <w:pPr>
        <w:pStyle w:val="afd"/>
        <w:spacing w:beforeAutospacing="0" w:afterAutospacing="0" w:line="360" w:lineRule="auto"/>
        <w:ind w:firstLine="709"/>
        <w:contextualSpacing/>
      </w:pPr>
      <w:r w:rsidRPr="00776F49">
        <w:rPr>
          <w:rStyle w:val="affa"/>
        </w:rPr>
        <w:t xml:space="preserve">Основные осложнения терапии </w:t>
      </w:r>
      <w:r w:rsidR="0007006A">
        <w:rPr>
          <w:rStyle w:val="affa"/>
        </w:rPr>
        <w:t>циклоспорином</w:t>
      </w:r>
      <w:r w:rsidRPr="00776F49">
        <w:rPr>
          <w:rStyle w:val="affa"/>
        </w:rPr>
        <w:t>**</w:t>
      </w:r>
    </w:p>
    <w:p w14:paraId="3B7B40EE" w14:textId="765A6E22" w:rsidR="00764E6B" w:rsidRPr="00776F49" w:rsidRDefault="00764E6B" w:rsidP="00776F49">
      <w:pPr>
        <w:pStyle w:val="afd"/>
        <w:spacing w:beforeAutospacing="0" w:afterAutospacing="0" w:line="360" w:lineRule="auto"/>
        <w:ind w:firstLine="709"/>
        <w:contextualSpacing/>
      </w:pPr>
      <w:r w:rsidRPr="00776F49">
        <w:t>Наиболее часто встречающимся осложнением можно считать нарушение функции почек, связанное с нефротоксичностью препарата; при этом наблюдаются повышение содержания креатинина в сыворотке, периферические отеки и олигурия. Нередко повышается артериальное давление, появляются тремор пальцев рук, пар</w:t>
      </w:r>
      <w:r w:rsidR="00EA4AF7">
        <w:t>е</w:t>
      </w:r>
      <w:r w:rsidRPr="00776F49">
        <w:t xml:space="preserve">стезии, головные боли, в редких случаях </w:t>
      </w:r>
      <w:r w:rsidR="00776F49">
        <w:t>— энцефалопатия. У трети пациентов</w:t>
      </w:r>
      <w:r w:rsidRPr="00776F49">
        <w:t xml:space="preserve"> отмечается гиперплазия десен. Тошнота, рвота, боли в животе, диарея встречаются в 10—13% случаев. Гипербилирубинеми</w:t>
      </w:r>
      <w:r w:rsidR="00776F49">
        <w:t>ю можно обнаружить у 30% пациентов</w:t>
      </w:r>
      <w:r w:rsidRPr="00776F49">
        <w:t>, но повышение активности печеночных аминотрансфераз наблюдается значительно реже. Могут иметь место электролитные нарушения: гиперкалиемия, гипомагниемия. В некоторых случаях наблюдаются гинекомастия</w:t>
      </w:r>
      <w:r w:rsidR="002551C3" w:rsidRPr="004D3679">
        <w:t xml:space="preserve">, </w:t>
      </w:r>
      <w:r w:rsidRPr="00776F49">
        <w:t xml:space="preserve">гипертрихоз, а также аллергические реакции (аллергическая сыпь). Следует отметить, что чаще всего перечисленные осложнения появляются на фоне приема максимальной дозы </w:t>
      </w:r>
      <w:r w:rsidR="00507755" w:rsidRPr="00507755">
        <w:rPr>
          <w:rStyle w:val="affb"/>
          <w:i w:val="0"/>
        </w:rPr>
        <w:t>циклоспорина**</w:t>
      </w:r>
      <w:r w:rsidR="00507755" w:rsidRPr="00776F49">
        <w:rPr>
          <w:rStyle w:val="affb"/>
        </w:rPr>
        <w:t xml:space="preserve"> </w:t>
      </w:r>
      <w:r w:rsidRPr="00776F49">
        <w:t>(10 мг/кг</w:t>
      </w:r>
      <w:r w:rsidR="002551C3">
        <w:t>/сут</w:t>
      </w:r>
      <w:r w:rsidRPr="00776F49">
        <w:t>) в первые 2—3 недели терапии.</w:t>
      </w:r>
    </w:p>
    <w:p w14:paraId="0276B4DE" w14:textId="45B4E995" w:rsidR="00764E6B" w:rsidRPr="00776F49" w:rsidRDefault="00764E6B" w:rsidP="00776F49">
      <w:pPr>
        <w:pStyle w:val="afd"/>
        <w:spacing w:beforeAutospacing="0" w:afterAutospacing="0" w:line="360" w:lineRule="auto"/>
        <w:ind w:firstLine="709"/>
        <w:contextualSpacing/>
      </w:pPr>
      <w:r w:rsidRPr="00776F49">
        <w:t xml:space="preserve">Токсические осложнения терапии </w:t>
      </w:r>
      <w:r w:rsidR="00507755" w:rsidRPr="00507755">
        <w:rPr>
          <w:rStyle w:val="affb"/>
          <w:i w:val="0"/>
        </w:rPr>
        <w:t>циклоспорином**</w:t>
      </w:r>
      <w:r w:rsidRPr="00507755">
        <w:rPr>
          <w:i/>
        </w:rPr>
        <w:t>,</w:t>
      </w:r>
      <w:r w:rsidRPr="00776F49">
        <w:t xml:space="preserve"> как правило, корректируются уменьшением суточной дозы (на 25—50%) или временной отменой препарата. В ряде случаев необходима сопутствующая симптоматическая терапия.</w:t>
      </w:r>
    </w:p>
    <w:p w14:paraId="1F056A4A" w14:textId="47ABE8CE" w:rsidR="00764E6B" w:rsidRPr="00776F49" w:rsidRDefault="00764E6B" w:rsidP="00776F49">
      <w:pPr>
        <w:pStyle w:val="afd"/>
        <w:spacing w:beforeAutospacing="0" w:afterAutospacing="0" w:line="360" w:lineRule="auto"/>
        <w:ind w:firstLine="709"/>
        <w:contextualSpacing/>
      </w:pPr>
      <w:r w:rsidRPr="00776F49">
        <w:rPr>
          <w:rStyle w:val="affa"/>
        </w:rPr>
        <w:t xml:space="preserve">Инфекционные осложнения </w:t>
      </w:r>
      <w:r w:rsidR="00EA4AF7">
        <w:rPr>
          <w:rStyle w:val="affa"/>
        </w:rPr>
        <w:t>ИСТ</w:t>
      </w:r>
      <w:r w:rsidRPr="00776F49">
        <w:rPr>
          <w:rStyle w:val="affa"/>
        </w:rPr>
        <w:t xml:space="preserve"> </w:t>
      </w:r>
    </w:p>
    <w:p w14:paraId="2DCB50DC" w14:textId="35DF1CE3" w:rsidR="00764E6B" w:rsidRPr="00776F49" w:rsidRDefault="00764E6B" w:rsidP="00776F49">
      <w:pPr>
        <w:pStyle w:val="afd"/>
        <w:spacing w:beforeAutospacing="0" w:afterAutospacing="0" w:line="360" w:lineRule="auto"/>
        <w:ind w:firstLine="709"/>
        <w:contextualSpacing/>
      </w:pPr>
      <w:r w:rsidRPr="00776F49">
        <w:t xml:space="preserve">Инфекционные осложнения при проведении </w:t>
      </w:r>
      <w:r w:rsidR="00EA4AF7">
        <w:t>ИСТ</w:t>
      </w:r>
      <w:r w:rsidRPr="00776F49">
        <w:t xml:space="preserve"> возникают у большинства </w:t>
      </w:r>
      <w:r w:rsidR="00776F49">
        <w:t>пациентов</w:t>
      </w:r>
      <w:r w:rsidRPr="00776F49">
        <w:t xml:space="preserve"> </w:t>
      </w:r>
      <w:r w:rsidR="00EA4AF7">
        <w:t>АА</w:t>
      </w:r>
      <w:r w:rsidRPr="00776F49">
        <w:t xml:space="preserve">. На первых этапах терапии преобладают инфекции, вызванные бактериями, в дальнейшем, по мере удлинения периода гранулоцитопении и усиления иммуносупрессии, доминируют оппортунистические инфекции, обусловленные грибами, прежде </w:t>
      </w:r>
      <w:r w:rsidRPr="00776F49">
        <w:rPr>
          <w:rStyle w:val="affb"/>
        </w:rPr>
        <w:t>Aspergillus</w:t>
      </w:r>
      <w:r w:rsidRPr="00776F49">
        <w:t xml:space="preserve"> </w:t>
      </w:r>
      <w:r w:rsidRPr="00776F49">
        <w:rPr>
          <w:rStyle w:val="affb"/>
        </w:rPr>
        <w:t xml:space="preserve">spp., </w:t>
      </w:r>
      <w:r w:rsidRPr="00776F49">
        <w:t>пневмоцистами, герпесвирусами [2,9].</w:t>
      </w:r>
    </w:p>
    <w:p w14:paraId="6BE9C656" w14:textId="3223A17B" w:rsidR="00764E6B" w:rsidRPr="00776F49" w:rsidRDefault="00764E6B" w:rsidP="00776F49">
      <w:pPr>
        <w:pStyle w:val="afd"/>
        <w:spacing w:beforeAutospacing="0" w:afterAutospacing="0" w:line="360" w:lineRule="auto"/>
        <w:ind w:firstLine="709"/>
        <w:contextualSpacing/>
      </w:pPr>
      <w:r w:rsidRPr="00776F49">
        <w:lastRenderedPageBreak/>
        <w:t xml:space="preserve"> К особенностям инфекционных осложнений, регистр</w:t>
      </w:r>
      <w:r w:rsidR="00776F49">
        <w:t>ируемых при АА</w:t>
      </w:r>
      <w:r w:rsidRPr="00776F49">
        <w:t>, относят высокую частоту выявления возбудителя (микробиологически подтвержденные инфекции составляют до 75%) и преобладание смешанной микрофлоры в этиологии инфекционного процесса. Инфекции, вызванные разными микроорганизмами, могут регистрироваться как на «старте» возникновения инфекционных осложнений, так и возникать последовательно в процессе терапии этих осложнений. Первым симптомом инфекции является лихорадка. Лихорадка при гранулоцитопении (нейтропении) расценивается как инфекционная, если температура тела поднимается выше 38</w:t>
      </w:r>
      <w:r w:rsidRPr="00776F49">
        <w:rPr>
          <w:vertAlign w:val="superscript"/>
        </w:rPr>
        <w:t>0</w:t>
      </w:r>
      <w:r w:rsidRPr="00776F49">
        <w:t>С, сохраняется в течение 2 часов и не связана с введением пирогенных препаратов. Наличие лихорадки</w:t>
      </w:r>
      <w:r w:rsidR="00776F49">
        <w:t xml:space="preserve"> и/или очага инфекции у пациентов с АА</w:t>
      </w:r>
      <w:r w:rsidRPr="00776F49">
        <w:t xml:space="preserve"> является основанием для назначения антимикробных средств. На первом этапе эмпирической антибактериальной терапии применяют антибиотики, обладающие широким спектром действия, который обязательно включает грамотрицательные бактерии, в том числе синегнойную палочку. Антибиотики назначают в максимальных или субмаксимальных дозах до получения результатов бактериологического исследования. Используют сочетание цефалоспорина 3-го или 4-го поколения (цефоперазон</w:t>
      </w:r>
      <w:r w:rsidR="008D0C70">
        <w:t>+</w:t>
      </w:r>
      <w:r w:rsidRPr="00776F49">
        <w:t>сульбактам</w:t>
      </w:r>
      <w:r w:rsidR="00776F49">
        <w:t>**</w:t>
      </w:r>
      <w:r w:rsidRPr="00776F49">
        <w:t>, цефепима</w:t>
      </w:r>
      <w:r w:rsidR="00776F49">
        <w:t>**</w:t>
      </w:r>
      <w:r w:rsidRPr="00776F49">
        <w:t xml:space="preserve"> или цефтазидима</w:t>
      </w:r>
      <w:r w:rsidR="00776F49">
        <w:t>**</w:t>
      </w:r>
      <w:r w:rsidRPr="00776F49">
        <w:t>) с амикацином</w:t>
      </w:r>
      <w:r w:rsidR="00776F49">
        <w:t>**</w:t>
      </w:r>
      <w:r w:rsidRPr="00776F49">
        <w:t>. Эмпирическая терапия одним антибиотиком, за исключением карбапенемов, не проводится. Дальнейшая модификация терапии осуществляется в соответствии с результатами микробиологических исследований.</w:t>
      </w:r>
    </w:p>
    <w:p w14:paraId="026AB6D9" w14:textId="4848D245" w:rsidR="00764E6B" w:rsidRPr="00776F49" w:rsidRDefault="00764E6B" w:rsidP="00776F49">
      <w:pPr>
        <w:pStyle w:val="afd"/>
        <w:spacing w:beforeAutospacing="0" w:afterAutospacing="0" w:line="360" w:lineRule="auto"/>
        <w:ind w:firstLine="709"/>
        <w:contextualSpacing/>
      </w:pPr>
      <w:r w:rsidRPr="00776F49">
        <w:t xml:space="preserve">Эмпирическое назначение противогрибковых </w:t>
      </w:r>
      <w:r w:rsidR="007448D8">
        <w:t xml:space="preserve">средств </w:t>
      </w:r>
      <w:r w:rsidR="00464623">
        <w:t>в возрастных дозировках</w:t>
      </w:r>
      <w:r w:rsidRPr="00776F49">
        <w:t xml:space="preserve"> (амфотерицина В</w:t>
      </w:r>
      <w:r w:rsidR="00776F49">
        <w:t>**</w:t>
      </w:r>
      <w:r w:rsidRPr="00776F49">
        <w:t>, вориконазола</w:t>
      </w:r>
      <w:r w:rsidR="00776F49">
        <w:t>**</w:t>
      </w:r>
      <w:r w:rsidRPr="00776F49">
        <w:t xml:space="preserve"> или каспофунгина</w:t>
      </w:r>
      <w:r w:rsidR="00776F49">
        <w:t>**</w:t>
      </w:r>
      <w:r w:rsidRPr="00776F49">
        <w:t xml:space="preserve">) проводится на 3—7-й день фебрильной лихорадки, сохраняющейся при терапии антибиотиками широкого спектра действия. Более раннее применение противогрибковых </w:t>
      </w:r>
      <w:r w:rsidR="007448D8">
        <w:t>средств</w:t>
      </w:r>
      <w:r w:rsidR="007448D8" w:rsidRPr="00776F49">
        <w:t xml:space="preserve"> </w:t>
      </w:r>
      <w:r w:rsidRPr="00776F49">
        <w:t>(на 3—4-й день) показано в случаях, когда</w:t>
      </w:r>
      <w:r w:rsidR="00E731CF">
        <w:t>,</w:t>
      </w:r>
      <w:r w:rsidRPr="00776F49">
        <w:t xml:space="preserve"> наряду с фебрильной лихорадкой</w:t>
      </w:r>
      <w:r w:rsidR="00E731CF">
        <w:t>,</w:t>
      </w:r>
      <w:r w:rsidRPr="00776F49">
        <w:t xml:space="preserve"> имеется один из следующих признаков: инфильтрат в легких, колонизация слизистых дрожжевыми грибами </w:t>
      </w:r>
      <w:r w:rsidRPr="00776F49">
        <w:rPr>
          <w:rStyle w:val="affb"/>
        </w:rPr>
        <w:t>Candida</w:t>
      </w:r>
      <w:r w:rsidRPr="00776F49">
        <w:t xml:space="preserve"> </w:t>
      </w:r>
      <w:r w:rsidRPr="00776F49">
        <w:rPr>
          <w:rStyle w:val="affb"/>
        </w:rPr>
        <w:t>spp.,</w:t>
      </w:r>
      <w:r w:rsidRPr="00776F49">
        <w:t xml:space="preserve"> инвазивный микоз в анамнезе. При микробиологически подтвержденной инфекции, вызванной грамположительными бактериями (выделение бактерий из крови или бронхоальвеолярной жидкости)</w:t>
      </w:r>
      <w:r w:rsidR="00ED6F07">
        <w:t>,</w:t>
      </w:r>
      <w:r w:rsidRPr="004D3679">
        <w:t xml:space="preserve"> </w:t>
      </w:r>
      <w:r w:rsidRPr="00776F49">
        <w:t>к антибиотикам первого этапа добавляют ванкомицин</w:t>
      </w:r>
      <w:r w:rsidR="00776F49">
        <w:t>**</w:t>
      </w:r>
      <w:r w:rsidRPr="00776F49">
        <w:t>. При инфекциях, вызванных ванкомицинустойчивыми энтерококками, назначают линезолид</w:t>
      </w:r>
      <w:r w:rsidR="00776F49">
        <w:t>**</w:t>
      </w:r>
      <w:r w:rsidRPr="00776F49">
        <w:t>.</w:t>
      </w:r>
    </w:p>
    <w:p w14:paraId="52F561FF" w14:textId="633C3AE3" w:rsidR="00764E6B" w:rsidRDefault="00764E6B" w:rsidP="00776F49">
      <w:pPr>
        <w:pStyle w:val="afd"/>
        <w:spacing w:beforeAutospacing="0" w:afterAutospacing="0" w:line="360" w:lineRule="auto"/>
        <w:ind w:firstLine="709"/>
        <w:contextualSpacing/>
      </w:pPr>
      <w:r w:rsidRPr="00776F49">
        <w:t xml:space="preserve">Самыми частыми инфекционными осложнениями, развивающимися на фоне приема </w:t>
      </w:r>
      <w:r w:rsidR="0007006A">
        <w:t>Цс</w:t>
      </w:r>
      <w:r w:rsidR="00776F49">
        <w:t>**</w:t>
      </w:r>
      <w:r w:rsidRPr="00776F49">
        <w:t xml:space="preserve">, являются пневмоцистная пневмония и герпетические инфекции. Поражение легких, вызванное данными микроорганизмами, диагностируется при проведении бронхоальвеолярного лаважа с использованием комплекса исследований, включающего иммуноферментный метод и ПЦР </w:t>
      </w:r>
      <w:r w:rsidR="00345C68">
        <w:fldChar w:fldCharType="begin" w:fldLock="1"/>
      </w:r>
      <w:r w:rsidR="00083277">
        <w:instrText>ADDIN CSL_CITATION {"citationItems":[{"id":"ITEM-1","itemData":{"author":[{"dropping-particle":"","family":"Михайлова","given":"Е.А.","non-dropping-particle":"","parse-names":false,"suffix":""},{"dropping-particle":"","family":"Савченко","given":"В.Г.","non-dropping-particle":"","parse-names":false,"suffix":""}],"container-title":"Программное лечение заболеваний системы крови","editor":[{"dropping-particle":"","family":"В.Г.Савченко","given":"","non-dropping-particle":"","parse-names":false,"suffix":""}],"id":"ITEM-1","issued":{"date-parts":[["2012"]]},"page":"135-150","publisher":"Практика","publisher-place":"Москва","title":"Протокол программного лечения больных апластической анемией: комбинированная иммуносупрессивная терапия","type":"chapter"},"uris":["http://www.mendeley.com/documents/?uuid=413fbfc6-d5c2-44d1-9422-1094132713b2","http://www.mendeley.com/documents/?uuid=201edef4-c098-4a20-af3d-38c9a80b0631"]}],"mendeley":{"formattedCitation":"[12]","plainTextFormattedCitation":"[12]","previouslyFormattedCitation":"[12]"},"properties":{"noteIndex":0},"schema":"https://github.com/citation-style-language/schema/raw/master/csl-citation.json"}</w:instrText>
      </w:r>
      <w:r w:rsidR="00345C68">
        <w:fldChar w:fldCharType="separate"/>
      </w:r>
      <w:r w:rsidR="0012563C" w:rsidRPr="0012563C">
        <w:rPr>
          <w:noProof/>
        </w:rPr>
        <w:t>[12]</w:t>
      </w:r>
      <w:r w:rsidR="00345C68">
        <w:fldChar w:fldCharType="end"/>
      </w:r>
      <w:r w:rsidR="00345C68">
        <w:t>.</w:t>
      </w:r>
    </w:p>
    <w:p w14:paraId="18AC0A28" w14:textId="1B0E6565" w:rsidR="009F7F8A" w:rsidRDefault="009F7F8A" w:rsidP="00776F49">
      <w:pPr>
        <w:pStyle w:val="afd"/>
        <w:spacing w:beforeAutospacing="0" w:afterAutospacing="0" w:line="360" w:lineRule="auto"/>
        <w:ind w:firstLine="709"/>
        <w:contextualSpacing/>
      </w:pPr>
    </w:p>
    <w:p w14:paraId="5AE81600" w14:textId="39BBB18E" w:rsidR="009F7F8A" w:rsidRPr="003C1AEB" w:rsidRDefault="009F7F8A" w:rsidP="009F7F8A">
      <w:pPr>
        <w:pStyle w:val="2"/>
      </w:pPr>
      <w:bookmarkStart w:id="33" w:name="_Toc67522240"/>
      <w:r>
        <w:rPr>
          <w:rStyle w:val="affa"/>
          <w:b/>
          <w:bCs w:val="0"/>
        </w:rPr>
        <w:t>7.2</w:t>
      </w:r>
      <w:bookmarkStart w:id="34" w:name="_Toc64295967"/>
      <w:bookmarkStart w:id="35" w:name="_Toc64479399"/>
      <w:r>
        <w:rPr>
          <w:rStyle w:val="affa"/>
          <w:b/>
          <w:bCs w:val="0"/>
        </w:rPr>
        <w:t xml:space="preserve"> </w:t>
      </w:r>
      <w:r w:rsidRPr="003C1AEB">
        <w:rPr>
          <w:u w:color="000000"/>
          <w:lang w:eastAsia="ru-RU"/>
        </w:rPr>
        <w:t>Профилактика язвенной болезни желудка и 12-перстной кишки на фоне терапии глюкокортикостероидами</w:t>
      </w:r>
      <w:bookmarkEnd w:id="33"/>
      <w:bookmarkEnd w:id="34"/>
      <w:bookmarkEnd w:id="35"/>
    </w:p>
    <w:p w14:paraId="78B62E16" w14:textId="0B0003E3" w:rsidR="009F7F8A" w:rsidRDefault="009F7F8A" w:rsidP="009F7F8A">
      <w:pPr>
        <w:ind w:firstLine="708"/>
      </w:pPr>
      <w:r w:rsidRPr="00C96416">
        <w:t xml:space="preserve">В абсолютное большинство протоколов противоопухолевого лечения </w:t>
      </w:r>
      <w:r>
        <w:t>онко</w:t>
      </w:r>
      <w:r w:rsidRPr="003A77F4">
        <w:t>гематологических заболеваний</w:t>
      </w:r>
      <w:r w:rsidRPr="00C96416">
        <w:t xml:space="preserve"> включены высокие дозы глюкокортикостероидов (ГКС). Язва желудка или двенадцатиперстной кишки является одним из серьёзных побочных эффектов терапии ГКС. Механизм ульцерогенного действия ГКС заключается в повышении секреции соляной кислоты в желудке, изменении качественного состава слизи, торможении регенерации поверхностного эпителия. При сочетанном применении </w:t>
      </w:r>
      <w:r>
        <w:t xml:space="preserve">ГКС с </w:t>
      </w:r>
      <w:r w:rsidRPr="00C96416">
        <w:t>нестероидны</w:t>
      </w:r>
      <w:r>
        <w:t>ми</w:t>
      </w:r>
      <w:r w:rsidRPr="00C96416">
        <w:t xml:space="preserve"> противовоспалительны</w:t>
      </w:r>
      <w:r>
        <w:t>ми</w:t>
      </w:r>
      <w:r w:rsidRPr="00C96416">
        <w:t xml:space="preserve"> средств</w:t>
      </w:r>
      <w:r>
        <w:t xml:space="preserve">ами и антикоагулянтами </w:t>
      </w:r>
      <w:r w:rsidRPr="00C96416">
        <w:t>риск развития стероидных язв возрастает.</w:t>
      </w:r>
      <w:r>
        <w:t xml:space="preserve"> В связи с ульцерогенностью, при использовании ГКС необходимо проводить антисекреторную терапию с целью профилактики стероидных язв </w:t>
      </w:r>
      <w:r>
        <w:fldChar w:fldCharType="begin" w:fldLock="1"/>
      </w:r>
      <w:r w:rsidR="002C4EE9">
        <w:instrText>ADDIN CSL_CITATION {"citationItems":[{"id":"ITEM-1","itemData":{"DOI":"10.1136/bmjopen-2013-004587","ISSN":"20446055","PMID":"24833682","abstract":"Objective: To assess whether corticosteroids are associated with increased risk of gastrointestinal bleeding or perforation. Design: Systematic review and meta-analysis of randomised, double-blind, controlled trials comparing a corticosteroid to placebo for any medical condition or in healthy participants. Studies with steroids given either locally, as a single dose, or in crossover studies were excluded. Data sources: Literature search using MEDLINE, EMBASE and Cochrane Database of Systematic Reviews between 1983 and 22 May 2013. Outcome measure: Outcome measures were the occurrence of gastrointestinal bleeding or perforation. Predefined subgroup analyses were carried out for disease severity, use of non-steroidal anti-inflammatory drugs (NSAIDs) or gastroprotective drugs, and history of peptic ulcer. Results: 159 studies (N=33 253) were included. In total, 804 (2.4%) patients had a gastrointestinal bleeding or perforation (2.9% and 2.0% for corticosteroids and placebo). Corticosteroids increased the risk of gastrointestinal bleeding or perforation by 40% (OR 1.43, 95% CI 1.22 to 1.66). The risk was increased for hospitalised patients (OR 1.42, 95% CI 1.22 to 1.66). For patients in ambulatory care, the increased risk was not statistically significant (OR 1.63, 95% CI 0.42 to 6.34). Only 11 gastrointestinal bleeds or perforations occurred among 8651 patients in ambulatory care (0.13%). Increased risk was still present in subgroup analyses (studies with NSAID use excluded; OR 1.44, 95% CI 1.20 to 1.71, peptic ulcer as an exclusion criterion excluded; OR 1.47, 95% CI 1.21 to 1.78, and use of gastroprotective drugs excluded; OR 1.42, 95% CI 1.21 to 1.67). Conclusions: Corticosteroid use was associated with increased risk of gastrointestinal bleeding and perforation. The increased risk was statistically significant for hospitalised patients only. For patients in ambulatory care, the total occurrence of bleeding or perforation was very low, and the increased risk was not statistically significant.","author":[{"dropping-particle":"","family":"Narum","given":"Sigrid","non-dropping-particle":"","parse-names":false,"suffix":""},{"dropping-particle":"","family":"Westergren","given":"Tone","non-dropping-particle":"","parse-names":false,"suffix":""},{"dropping-particle":"","family":"Klemp","given":"Marianne","non-dropping-particle":"","parse-names":false,"suffix":""}],"container-title":"BMJ Open","id":"ITEM-1","issue":"5","issued":{"date-parts":[["2014"]]},"publisher":"BMJ Publishing Group","title":"Corticosteroids and risk of gastrointestinal bleeding: A systematic review and meta-analysis","type":"article-journal","volume":"4"},"uris":["http://www.mendeley.com/documents/?uuid=e701298a-dc65-3059-b1f1-21f394625ffe"]},{"id":"ITEM-2","itemData":{"DOI":"10.1111/j.1365-2796.1994.tb00855.x","ISSN":"0954-6820","PMID":"7989897","abstract":"OBJECTIVES This meta-analysis was performed to determine whether corticosteroid therapy induces the development of peptic ulcer and other putative complications of steroid therapy. DESIGN A retrospective investigation in which we analysed all the randomized, double-blind, controlled trials (RDBCT) in which steroids had been administered that we were able to identify. The number of episodes of peptic ulcer, dermatological effects, sepsis, diabetes, hypertension, osteoporosis, psychosis and tuberculosis reported in both the placebo and steroid groups were compared. SETTING The international medical literature was analysed for any RDBCT in which any steroid or ACTH had been administered in any dosage for any duration, and any putative complication of steroid therapy was reported. SUBJECTS Of 1857 articles, 93 satisfied our requirements and were analysed by the meta-analytic techniques of Peto, DerSimonian and Laird. A total of 6602 patients were included. MAIN OUTCOME MEASURES The relative frequencies of each of these eight 'complications' were compared in the placebo and steroid groups using conventional statistics and meta-analysis. The relative frequencies of 'annualized' subgroups of patients who received treatment for 1 to 7 days, 1 week to 1 month, 1 to 3 months and more than 3 months, were similarly analysed. RESULTS Nine of 3267 patients in the placebo group (0.3%) and 13 of 3335 patients in the steroid group (0.4%) were reported to develop peptic ulcer (P &gt; 0.05). The dermatological cosmetic effects of steroid therapy were observed more frequently in the steroid group (P &lt; 0.001), as was diabetes (P &lt; 0.001), hypertension (P &lt; 0.01) and psychosis (P &lt; 0.001). Sepsis, osteoporosis and tuberculosis all occurred more frequently in the steroid than in the placebo group, but the differences are not statistically significant. CONCLUSIONS Peptic ulcer is a rare complication of corticosteroid therapy that should not be considered a contraindication when steroid therapy is indicated.","author":[{"dropping-particle":"","family":"Conn","given":"H O","non-dropping-particle":"","parse-names":false,"suffix":""},{"dropping-particle":"","family":"Poynard","given":"T","non-dropping-particle":"","parse-names":false,"suffix":""}],"container-title":"Journal of internal medicine","id":"ITEM-2","issue":"6","issued":{"date-parts":[["1994","12"]]},"page":"619-32","publisher":"J Intern Med","title":"Corticosteroids and peptic ulcer: meta-analysis of adverse events during steroid therapy.","type":"article-journal","volume":"236"},"uris":["http://www.mendeley.com/documents/?uuid=84af1729-7cf0-45a4-828e-6c0ee9132476"]}],"mendeley":{"formattedCitation":"[59,60]","plainTextFormattedCitation":"[59,60]","previouslyFormattedCitation":"[59,60]"},"properties":{"noteIndex":0},"schema":"https://github.com/citation-style-language/schema/raw/master/csl-citation.json"}</w:instrText>
      </w:r>
      <w:r>
        <w:fldChar w:fldCharType="separate"/>
      </w:r>
      <w:r w:rsidRPr="009F7F8A">
        <w:rPr>
          <w:noProof/>
        </w:rPr>
        <w:t>[59,60]</w:t>
      </w:r>
      <w:r>
        <w:fldChar w:fldCharType="end"/>
      </w:r>
      <w:r>
        <w:t>.</w:t>
      </w:r>
    </w:p>
    <w:p w14:paraId="0012F78F" w14:textId="77777777" w:rsidR="009F7F8A" w:rsidRDefault="009F7F8A" w:rsidP="009F7F8A"/>
    <w:p w14:paraId="72AFDC46" w14:textId="77777777" w:rsidR="009F7F8A" w:rsidRPr="00A56C81" w:rsidRDefault="009F7F8A" w:rsidP="009F7F8A">
      <w:pPr>
        <w:pStyle w:val="Normal11"/>
        <w:tabs>
          <w:tab w:val="left" w:pos="0"/>
        </w:tabs>
        <w:spacing w:line="360" w:lineRule="auto"/>
        <w:ind w:firstLine="0"/>
        <w:rPr>
          <w:bCs/>
          <w:i/>
          <w:iCs/>
          <w:u w:val="single"/>
          <w:shd w:val="clear" w:color="auto" w:fill="FFFFFF"/>
        </w:rPr>
      </w:pPr>
      <w:r w:rsidRPr="00A56C81">
        <w:rPr>
          <w:bCs/>
          <w:i/>
          <w:iCs/>
          <w:u w:val="single"/>
          <w:shd w:val="clear" w:color="auto" w:fill="FFFFFF"/>
        </w:rPr>
        <w:t>Диагностика язвенной болезни желудка и 12-перстной кишки при применении ГСК</w:t>
      </w:r>
    </w:p>
    <w:p w14:paraId="5FA25387" w14:textId="77777777" w:rsidR="009F7F8A" w:rsidRDefault="009F7F8A" w:rsidP="009F7F8A">
      <w:pPr>
        <w:ind w:firstLine="709"/>
      </w:pPr>
      <w:r w:rsidRPr="00C96416">
        <w:t xml:space="preserve">Формирование язв </w:t>
      </w:r>
      <w:r>
        <w:t xml:space="preserve">ЖКТ </w:t>
      </w:r>
      <w:r w:rsidRPr="00C96416">
        <w:t xml:space="preserve">может проявляться диспепсическими явлениями и </w:t>
      </w:r>
      <w:r>
        <w:t xml:space="preserve">абдоминальными </w:t>
      </w:r>
      <w:r w:rsidRPr="00C96416">
        <w:t>болями, но нередко протекает и бессимптомно, манифестируя кровотечением или пер</w:t>
      </w:r>
      <w:r>
        <w:t xml:space="preserve">форацией. </w:t>
      </w:r>
    </w:p>
    <w:p w14:paraId="716B5175" w14:textId="77777777" w:rsidR="009F7F8A" w:rsidRPr="003A77F4" w:rsidRDefault="009F7F8A" w:rsidP="009F7F8A">
      <w:pPr>
        <w:ind w:firstLine="709"/>
      </w:pPr>
      <w:r>
        <w:t>Для диагностики язвенного поражения ЖКТ применяется э</w:t>
      </w:r>
      <w:r w:rsidRPr="006252FA">
        <w:t>зофагодуоденоскопия</w:t>
      </w:r>
      <w:r>
        <w:t xml:space="preserve">, при необходимости </w:t>
      </w:r>
      <w:r w:rsidRPr="003A77F4">
        <w:t xml:space="preserve">с биопсийным исследованием и тестом на наличие </w:t>
      </w:r>
      <w:r w:rsidRPr="003A77F4">
        <w:rPr>
          <w:lang w:val="en-US"/>
        </w:rPr>
        <w:t>H</w:t>
      </w:r>
      <w:r w:rsidRPr="003A77F4">
        <w:t xml:space="preserve">. </w:t>
      </w:r>
      <w:r w:rsidRPr="003A77F4">
        <w:rPr>
          <w:lang w:val="en-US"/>
        </w:rPr>
        <w:t>Pylori</w:t>
      </w:r>
      <w:r w:rsidRPr="003A77F4">
        <w:t>.</w:t>
      </w:r>
    </w:p>
    <w:p w14:paraId="3D20F987" w14:textId="77777777" w:rsidR="009F7F8A" w:rsidRDefault="009F7F8A" w:rsidP="009F7F8A">
      <w:pPr>
        <w:pStyle w:val="Normal11"/>
        <w:tabs>
          <w:tab w:val="left" w:pos="0"/>
        </w:tabs>
        <w:spacing w:line="360" w:lineRule="auto"/>
        <w:ind w:firstLine="699"/>
        <w:rPr>
          <w:bCs/>
          <w:i/>
          <w:iCs/>
          <w:u w:val="single"/>
          <w:shd w:val="clear" w:color="auto" w:fill="FFFFFF"/>
        </w:rPr>
      </w:pPr>
    </w:p>
    <w:p w14:paraId="35118BFB" w14:textId="77777777" w:rsidR="009F7F8A" w:rsidRPr="00A56C81" w:rsidRDefault="009F7F8A" w:rsidP="009F7F8A">
      <w:pPr>
        <w:pStyle w:val="Normal11"/>
        <w:tabs>
          <w:tab w:val="left" w:pos="0"/>
        </w:tabs>
        <w:spacing w:line="360" w:lineRule="auto"/>
        <w:ind w:firstLine="0"/>
        <w:rPr>
          <w:bCs/>
          <w:i/>
          <w:iCs/>
          <w:u w:val="single"/>
          <w:shd w:val="clear" w:color="auto" w:fill="FFFFFF"/>
        </w:rPr>
      </w:pPr>
      <w:r w:rsidRPr="00A56C81">
        <w:rPr>
          <w:bCs/>
          <w:i/>
          <w:iCs/>
          <w:u w:val="single"/>
          <w:shd w:val="clear" w:color="auto" w:fill="FFFFFF"/>
        </w:rPr>
        <w:t>Профилактика язвенной болезни желудка и 12-перстной кишки при применении ГКС.</w:t>
      </w:r>
    </w:p>
    <w:p w14:paraId="7D33F126" w14:textId="66DCD215" w:rsidR="009F7F8A" w:rsidRDefault="009F7F8A" w:rsidP="009F7F8A">
      <w:pPr>
        <w:ind w:firstLine="709"/>
      </w:pPr>
      <w:r w:rsidRPr="00A56C81">
        <w:t xml:space="preserve">По результатам </w:t>
      </w:r>
      <w:r w:rsidRPr="00C96416">
        <w:t>мета</w:t>
      </w:r>
      <w:r>
        <w:t>-</w:t>
      </w:r>
      <w:r w:rsidRPr="00C96416">
        <w:t>анализа 300 работ</w:t>
      </w:r>
      <w:r>
        <w:fldChar w:fldCharType="begin" w:fldLock="1"/>
      </w:r>
      <w:r w:rsidR="002C4EE9">
        <w:instrText>ADDIN CSL_CITATION {"citationItems":[{"id":"ITEM-1","itemData":{"DOI":"10.1016/0016-5085(90)91015-X","ISSN":"00165085","PMID":"2142113","abstract":"The optimal degree and duration of suppression of gastric acidity required for the healing of peptic ulcers has never been established. Although very potent inhibitors of acid secretion are now available, the need for this degree of suppression has not been shown, and there is a possibility of adverse effects because of pronounced acid inhibition. Therefore, a model has been constructed that defines the relationship between duodenal ulcer healing and antisecretory therapy. Acid suppression data were obtained directly from investigators as raw data from 24-hour studies of acid secretion. Twenty-one experiments from seven investigators provided 490 24-hour studies using 19 different treatment regimens. Healing data were collected from a metaanalysis of published clinical trials of duodenal ulcer healing. A total of 144 published trials in 14,208 patients provided healing data at several endoscopic endpoints for the 19 drug regimens for which acidity data were provided. Weighted least-squares polynomial regression analysis was used to define those parameters of antisecretory therapy that contributed most to duodenal ulcer healing and to define the shape of the response surface. A highly significant correlation (r = 0.9814) was found between healing and the degree of acid suppression, the duration of acid suppression, and the length of therapy. The shape of the contour expressing this relationship shows that healing increases as the duration of suppression increases and as gastric pH increases. However, suppression that increased pH beyond 3.0 was not found to increase ulcer healing further. It is concluded that a longer duration of antisecretory effect and/or a longer duration of therapy are of greater importance than potency for duodenal ulcer healing. © 1990.","author":[{"dropping-particle":"","family":"Burget","given":"Douglas W.","non-dropping-particle":"","parse-names":false,"suffix":""},{"dropping-particle":"","family":"Chiverton","given":"Stephen G.","non-dropping-particle":"","parse-names":false,"suffix":""},{"dropping-particle":"","family":"Hunt","given":"Richard H.","non-dropping-particle":"","parse-names":false,"suffix":""}],"container-title":"Gastroenterology","id":"ITEM-1","issue":"2","issued":{"date-parts":[["1990","8"]]},"page":"345-351","publisher":"Gastroenterology","title":"Is there an optimal degree of acid suppression for healing of duodenal ulcers? A model of the relationship between ulcer healing and acid suppression","type":"article-journal","volume":"99"},"uris":["http://www.mendeley.com/documents/?uuid=55c5fe56-6faa-4e55-bfe2-e8e5c51854a2"]}],"mendeley":{"formattedCitation":"[61]","plainTextFormattedCitation":"[61]","previouslyFormattedCitation":"[61]"},"properties":{"noteIndex":0},"schema":"https://github.com/citation-style-language/schema/raw/master/csl-citation.json"}</w:instrText>
      </w:r>
      <w:r>
        <w:fldChar w:fldCharType="separate"/>
      </w:r>
      <w:r w:rsidRPr="009F7F8A">
        <w:rPr>
          <w:noProof/>
        </w:rPr>
        <w:t>[61]</w:t>
      </w:r>
      <w:r>
        <w:fldChar w:fldCharType="end"/>
      </w:r>
      <w:r>
        <w:t xml:space="preserve">, </w:t>
      </w:r>
      <w:r w:rsidRPr="00C96416">
        <w:t>язвы желудка и двенадцатиперстной кишки рубцуются практически во всех случаях, если рН внутрижелудочного содержимого поддерживается более 3</w:t>
      </w:r>
      <w:r>
        <w:t xml:space="preserve"> </w:t>
      </w:r>
      <w:r w:rsidRPr="00C96416">
        <w:t xml:space="preserve">в течение суток </w:t>
      </w:r>
      <w:r>
        <w:t>на протяжении</w:t>
      </w:r>
      <w:r w:rsidRPr="00C96416">
        <w:t xml:space="preserve"> 18 часо</w:t>
      </w:r>
      <w:r>
        <w:t>в</w:t>
      </w:r>
      <w:r w:rsidRPr="00C96416">
        <w:t xml:space="preserve">. С учетом указанного правила в качестве противоязвенной терапии в настоящее время могут рассматриваться антациды, блокаторы Н2-гистаминовых рецепторов и ингибиторы протонной помпы </w:t>
      </w:r>
      <w:r>
        <w:t>(</w:t>
      </w:r>
      <w:r w:rsidRPr="00C96416">
        <w:t>ИПП</w:t>
      </w:r>
      <w:r>
        <w:t>)</w:t>
      </w:r>
      <w:r w:rsidRPr="00C96416">
        <w:t>. Согласно одному из последних мета</w:t>
      </w:r>
      <w:r>
        <w:t>-</w:t>
      </w:r>
      <w:r w:rsidRPr="00C96416">
        <w:t xml:space="preserve">анализов, при использовании </w:t>
      </w:r>
      <w:r>
        <w:t xml:space="preserve">ИПП </w:t>
      </w:r>
      <w:r w:rsidRPr="00C96416">
        <w:t>и</w:t>
      </w:r>
      <w:r>
        <w:t>ли</w:t>
      </w:r>
      <w:r w:rsidRPr="00C96416">
        <w:t xml:space="preserve"> блокатор</w:t>
      </w:r>
      <w:r>
        <w:t>ов</w:t>
      </w:r>
      <w:r w:rsidRPr="00C96416">
        <w:t xml:space="preserve"> Н2-гистаминовых рецепторов достоверно эффективнее достигается рубцевание язвенного дефекта, а также снижается риск повторного крово</w:t>
      </w:r>
      <w:r>
        <w:t>течения</w:t>
      </w:r>
      <w:r w:rsidRPr="00C96416">
        <w:t xml:space="preserve">. Лишь препараты этих двух групп позволяют достигать и поддерживать необходимую рН-среду желудка, при которой происходит заживление гастродуоденальных язв. </w:t>
      </w:r>
    </w:p>
    <w:p w14:paraId="4CB73E42" w14:textId="1AFD5913" w:rsidR="009F7F8A" w:rsidRPr="00C96416" w:rsidRDefault="009F7F8A" w:rsidP="009F7F8A">
      <w:pPr>
        <w:ind w:firstLine="709"/>
      </w:pPr>
      <w:r w:rsidRPr="00A56C81">
        <w:t>В настоящее время с антисекреторной целью для п</w:t>
      </w:r>
      <w:r w:rsidRPr="00294C11">
        <w:t>рофилактик</w:t>
      </w:r>
      <w:r>
        <w:t xml:space="preserve">и </w:t>
      </w:r>
      <w:r w:rsidRPr="00294C11">
        <w:t xml:space="preserve">язвенной болезни желудка и двенадцатиперстной кишки, в том числе на фоне терапии </w:t>
      </w:r>
      <w:r w:rsidRPr="00294C11">
        <w:lastRenderedPageBreak/>
        <w:t>глюкокортикостероидами</w:t>
      </w:r>
      <w:r>
        <w:t xml:space="preserve">, </w:t>
      </w:r>
      <w:r w:rsidRPr="00A56C81">
        <w:t>применяются два класса п</w:t>
      </w:r>
      <w:r w:rsidRPr="00C96416">
        <w:t>репаратов: ингибиторы протонной помпы и блокаторы Н2-гистаминовых рецепторов</w:t>
      </w:r>
      <w:r>
        <w:t xml:space="preserve"> </w:t>
      </w:r>
      <w:r>
        <w:fldChar w:fldCharType="begin" w:fldLock="1"/>
      </w:r>
      <w:r w:rsidR="002C4EE9">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общества).","type":"article-journal","volume":"30"},"uris":["http://www.mendeley.com/documents/?uuid=858a1835-2f3b-419a-91b4-8a8e3ef10cc9"]},{"id":"ITEM-2","itemData":{"DOI":"10.1016/S2468-1253(18)30037-2","ISSN":"24681253","PMID":"29475806","abstract":"Background: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and Hepatology","id":"ITEM-2","issue":"4","issued":{"date-parts":[["2018","4","1"]]},"page":"231-241","publisher":"Elsevier Ltd","title":"Effects of gastroprotectant drugs for the prevention and treatment of peptic ulcer disease and its complications: a meta-analysis of randomised trials","type":"article-journal","volume":"3"},"uris":["http://www.mendeley.com/documents/?uuid=f1962b3a-e3e6-3474-95a8-4fc5245efa04"]}],"mendeley":{"formattedCitation":"[62,63]","plainTextFormattedCitation":"[62,63]","previouslyFormattedCitation":"[62,63]"},"properties":{"noteIndex":0},"schema":"https://github.com/citation-style-language/schema/raw/master/csl-citation.json"}</w:instrText>
      </w:r>
      <w:r>
        <w:fldChar w:fldCharType="separate"/>
      </w:r>
      <w:r w:rsidRPr="009F7F8A">
        <w:rPr>
          <w:noProof/>
        </w:rPr>
        <w:t>[62,63]</w:t>
      </w:r>
      <w:r>
        <w:fldChar w:fldCharType="end"/>
      </w:r>
      <w:r w:rsidRPr="00C96416">
        <w:t>.</w:t>
      </w:r>
    </w:p>
    <w:p w14:paraId="2CDC42C5" w14:textId="77777777" w:rsidR="009F7F8A" w:rsidRDefault="009F7F8A" w:rsidP="009F7F8A">
      <w:pPr>
        <w:pStyle w:val="Normal11"/>
        <w:tabs>
          <w:tab w:val="left" w:pos="0"/>
        </w:tabs>
        <w:spacing w:line="360" w:lineRule="auto"/>
        <w:ind w:firstLine="699"/>
        <w:rPr>
          <w:bCs/>
          <w:i/>
          <w:iCs/>
          <w:u w:val="single"/>
          <w:shd w:val="clear" w:color="auto" w:fill="FFFFFF"/>
        </w:rPr>
      </w:pPr>
    </w:p>
    <w:p w14:paraId="18FA3C69" w14:textId="77777777" w:rsidR="009F7F8A" w:rsidRPr="00A56C81" w:rsidRDefault="009F7F8A" w:rsidP="009F7F8A">
      <w:pPr>
        <w:pStyle w:val="Normal11"/>
        <w:tabs>
          <w:tab w:val="left" w:pos="0"/>
        </w:tabs>
        <w:spacing w:line="360" w:lineRule="auto"/>
        <w:rPr>
          <w:bCs/>
          <w:i/>
          <w:iCs/>
          <w:u w:val="single"/>
          <w:shd w:val="clear" w:color="auto" w:fill="FFFFFF"/>
        </w:rPr>
      </w:pPr>
      <w:r w:rsidRPr="00A56C81">
        <w:rPr>
          <w:bCs/>
          <w:i/>
          <w:iCs/>
          <w:u w:val="single"/>
          <w:shd w:val="clear" w:color="auto" w:fill="FFFFFF"/>
        </w:rPr>
        <w:t>Ингибиторы протонной помпы (ИПП)</w:t>
      </w:r>
    </w:p>
    <w:p w14:paraId="52EC4E80" w14:textId="698C6DF4" w:rsidR="009F7F8A" w:rsidRDefault="009F7F8A" w:rsidP="009F7F8A">
      <w:pPr>
        <w:ind w:firstLine="709"/>
      </w:pPr>
      <w:r w:rsidRPr="00C96416">
        <w:t xml:space="preserve">Ингибиторы протоновой помпы (ингибиторы протонового насоса, блокаторы протонного насоса, блокаторы Н+/К+-АТФазы, блокаторы водородной помпы) — антисекреторные лекарственные </w:t>
      </w:r>
      <w:r>
        <w:t xml:space="preserve">препараты, </w:t>
      </w:r>
      <w:r w:rsidRPr="00C96416">
        <w:t>блокир</w:t>
      </w:r>
      <w:r>
        <w:t>ующие Н+/К+-АТФазу</w:t>
      </w:r>
      <w:r w:rsidRPr="00C96416">
        <w:t xml:space="preserve"> обкладочных (париетальных) клеток слизистой оболочки желудка</w:t>
      </w:r>
      <w:r>
        <w:t xml:space="preserve"> и уменьшающие </w:t>
      </w:r>
      <w:r w:rsidRPr="00C96416">
        <w:t>секреци</w:t>
      </w:r>
      <w:r>
        <w:t>ю</w:t>
      </w:r>
      <w:r w:rsidRPr="00C96416">
        <w:t xml:space="preserve"> соляной кислоты</w:t>
      </w:r>
      <w:r>
        <w:t xml:space="preserve">, путем </w:t>
      </w:r>
      <w:r w:rsidRPr="00C96416">
        <w:t>проник</w:t>
      </w:r>
      <w:r>
        <w:t>новения</w:t>
      </w:r>
      <w:r w:rsidRPr="00C96416">
        <w:t xml:space="preserve"> в париетальные клетки слизистой оболочки желудка</w:t>
      </w:r>
      <w:r>
        <w:t xml:space="preserve">, </w:t>
      </w:r>
      <w:r w:rsidRPr="00C96416">
        <w:t>концентр</w:t>
      </w:r>
      <w:r>
        <w:t>ации</w:t>
      </w:r>
      <w:r w:rsidRPr="00C96416">
        <w:t xml:space="preserve"> в секреторных канальцах</w:t>
      </w:r>
      <w:r>
        <w:t>, и активации</w:t>
      </w:r>
      <w:r w:rsidRPr="00C96416">
        <w:t xml:space="preserve"> при кислом значении рН. </w:t>
      </w:r>
      <w:r>
        <w:t xml:space="preserve">При активации </w:t>
      </w:r>
      <w:r w:rsidRPr="00C96416">
        <w:t>ИПП образуют прочные ковалентные связи с меркаптогруппами цистеиновых остатков Н+/К+-АТФазы, блокиру</w:t>
      </w:r>
      <w:r>
        <w:t>я</w:t>
      </w:r>
      <w:r w:rsidRPr="00C96416">
        <w:t xml:space="preserve"> действие протонной помпы</w:t>
      </w:r>
      <w:r>
        <w:t xml:space="preserve"> так</w:t>
      </w:r>
      <w:r w:rsidRPr="00C96416">
        <w:t xml:space="preserve">, </w:t>
      </w:r>
      <w:r>
        <w:t xml:space="preserve">что </w:t>
      </w:r>
      <w:r w:rsidRPr="00C96416">
        <w:t xml:space="preserve">она </w:t>
      </w:r>
      <w:r>
        <w:t>необратимо исключается</w:t>
      </w:r>
      <w:r w:rsidRPr="00C96416">
        <w:t xml:space="preserve"> из процесса секреции соляной кислоты. Влияние ИПП на последнюю стадию процесса образования соляной кислоты в желудке является дозозависимым и обеспечивает высокоэффективное ингибирование базальной и стимулированной секреции</w:t>
      </w:r>
      <w:r>
        <w:t xml:space="preserve"> соляной кислоты независимо от</w:t>
      </w:r>
      <w:r w:rsidRPr="00C96416">
        <w:t xml:space="preserve"> фактора</w:t>
      </w:r>
      <w:r>
        <w:t xml:space="preserve"> его вызывающего</w:t>
      </w:r>
      <w:r w:rsidRPr="00C96416">
        <w:t>.</w:t>
      </w:r>
      <w:r>
        <w:t xml:space="preserve"> В группу препаратов ИПП входят о</w:t>
      </w:r>
      <w:r w:rsidRPr="00C96416">
        <w:t>мепразол</w:t>
      </w:r>
      <w:r>
        <w:t>, лансопразол, п</w:t>
      </w:r>
      <w:r w:rsidRPr="00C96416">
        <w:t>антопразол</w:t>
      </w:r>
      <w:r>
        <w:t xml:space="preserve">, рабепразол, </w:t>
      </w:r>
      <w:r w:rsidRPr="00C96416">
        <w:t>зомепразол</w:t>
      </w:r>
      <w:r>
        <w:t xml:space="preserve">, применяемые во время проведения курсов специфической противоопухолевой терапии, включающей системные ГКС, в указанных в таблице 1 дозах </w:t>
      </w:r>
      <w:r>
        <w:fldChar w:fldCharType="begin" w:fldLock="1"/>
      </w:r>
      <w:r w:rsidR="002C4EE9">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общества).","type":"article-journal","volume":"30"},"uris":["http://www.mendeley.com/documents/?uuid=858a1835-2f3b-419a-91b4-8a8e3ef10cc9"]},{"id":"ITEM-2","itemData":{"DOI":"10.1016/S2468-1253(18)30037-2","ISSN":"24681253","PMID":"29475806","abstract":"Background: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and Hepatology","id":"ITEM-2","issue":"4","issued":{"date-parts":[["2018","4","1"]]},"page":"231-241","publisher":"Elsevier Ltd","title":"Effects of gastroprotectant drugs for the prevention and treatment of peptic ulcer disease and its complications: a meta-analysis of randomised trials","type":"article-journal","volume":"3"},"uris":["http://www.mendeley.com/documents/?uuid=f1962b3a-e3e6-3474-95a8-4fc5245efa04"]},{"id":"ITEM-3","itemData":{"DOI":"10.4103/1319-3767.199117","ISSN":"1319-3767","abstract":"Background/Aim: To compare the efficacy and tolerance of different proton pump inhibitors (PPIs) in different doses for patients with duodenal ulcers. Materials and Methods: An electronic database was searched to collect all randomized clinical trials (RCTs), and a pairwise and network meta-analysis were performed. Results: A total of 24 RCTs involving 6188 patients were included. The network meta-analysis showed that there were no significant differences for the 4-week healing rate of duodenal ulcer treated with different PPI regimens except pantoprazle 40 mg/d versus lansoprazole 15 mg/d [Relative risk (RR) = 3.57; 95% confidence interval (CI) = 1.36-10.31)] and lansoprazole 30 mg/d versus lansoprazole 15 mg/d (RR = 2.45; 95% CI = 1.01-6.14). In comparison with H2receptor antagonists (H2RA), pantoprazole 40 mg/d and lansoprazole 30 mg/d significantly increase the healing rate (RR = 2.96; 95% CI = 1.78-5.14 and RR = 2.04; 95% CI = 1.13-3.53, respectively). There was no significant difference for the rate of adverse events between different regimens, including H2RA for a duration of 4-week of follow up. Conclusion: There was no significant difference for the efficacy and tolerance between the ordinary doses of different PPIs with the exception of lansoprazle 15 mg/d.","author":[{"dropping-particle":"","family":"Hu","given":"Zhan-Hong","non-dropping-particle":"","parse-names":false,"suffix":""},{"dropping-particle":"","family":"Shi","given":"Ai-Ming","non-dropping-particle":"","parse-names":false,"suffix":""},{"dropping-particle":"","family":"Hu","given":"Duan-Min","non-dropping-particle":"","parse-names":false,"suffix":""},{"dropping-particle":"","family":"Bao","given":"Jun-Jie","non-dropping-particle":"","parse-names":false,"suffix":""}],"container-title":"Saudi Journal of Gastroenterology","id":"ITEM-3","issue":"1","issued":{"date-parts":[["2017","1","1"]]},"page":"11","publisher":"Medknow Publications","title":"Efficacy of proton pump inhibitors for patients with duodenal ulcers: A pairwise and network meta-analysis of randomized controlled trials","type":"article-journal","volume":"23"},"uris":["http://www.mendeley.com/documents/?uuid=d523d0fc-026a-365d-b2ac-773ed8aed036"]}],"mendeley":{"formattedCitation":"[62–64]","plainTextFormattedCitation":"[62–64]","previouslyFormattedCitation":"[62–64]"},"properties":{"noteIndex":0},"schema":"https://github.com/citation-style-language/schema/raw/master/csl-citation.json"}</w:instrText>
      </w:r>
      <w:r>
        <w:fldChar w:fldCharType="separate"/>
      </w:r>
      <w:r w:rsidRPr="009F7F8A">
        <w:rPr>
          <w:noProof/>
        </w:rPr>
        <w:t>[62–64]</w:t>
      </w:r>
      <w:r>
        <w:fldChar w:fldCharType="end"/>
      </w:r>
      <w:r>
        <w:t xml:space="preserve">. </w:t>
      </w:r>
    </w:p>
    <w:p w14:paraId="4E8C73D8" w14:textId="77777777" w:rsidR="009F7F8A" w:rsidRDefault="009F7F8A" w:rsidP="009F7F8A">
      <w:pPr>
        <w:rPr>
          <w:b/>
        </w:rPr>
      </w:pPr>
    </w:p>
    <w:p w14:paraId="7D44FC28" w14:textId="77777777" w:rsidR="009F7F8A" w:rsidRPr="005B1687" w:rsidRDefault="009F7F8A" w:rsidP="009F7F8A">
      <w:pPr>
        <w:rPr>
          <w:bCs/>
        </w:rPr>
      </w:pPr>
      <w:r w:rsidRPr="005B1687">
        <w:rPr>
          <w:bCs/>
        </w:rPr>
        <w:t>Таблица 1. Режим дозирования ИПП с целью профилактики язвенной болезни</w:t>
      </w:r>
    </w:p>
    <w:tbl>
      <w:tblPr>
        <w:tblStyle w:val="aff9"/>
        <w:tblW w:w="0" w:type="auto"/>
        <w:jc w:val="center"/>
        <w:tblLook w:val="04A0" w:firstRow="1" w:lastRow="0" w:firstColumn="1" w:lastColumn="0" w:noHBand="0" w:noVBand="1"/>
      </w:tblPr>
      <w:tblGrid>
        <w:gridCol w:w="2220"/>
        <w:gridCol w:w="2344"/>
        <w:gridCol w:w="3713"/>
      </w:tblGrid>
      <w:tr w:rsidR="009F7F8A" w:rsidRPr="00C96416" w14:paraId="0B5E31B3" w14:textId="77777777" w:rsidTr="009F7F8A">
        <w:trPr>
          <w:jc w:val="center"/>
        </w:trPr>
        <w:tc>
          <w:tcPr>
            <w:tcW w:w="2220" w:type="dxa"/>
          </w:tcPr>
          <w:p w14:paraId="5A8A90CD" w14:textId="77777777" w:rsidR="009F7F8A" w:rsidRPr="00C96416" w:rsidRDefault="009F7F8A" w:rsidP="009F7F8A">
            <w:pPr>
              <w:tabs>
                <w:tab w:val="left" w:pos="0"/>
              </w:tabs>
              <w:ind w:left="57" w:right="57"/>
              <w:rPr>
                <w:b/>
                <w:szCs w:val="24"/>
                <w:lang w:eastAsia="ru-RU"/>
              </w:rPr>
            </w:pPr>
            <w:r>
              <w:rPr>
                <w:b/>
                <w:szCs w:val="24"/>
                <w:lang w:eastAsia="ru-RU"/>
              </w:rPr>
              <w:t>Препарат</w:t>
            </w:r>
          </w:p>
        </w:tc>
        <w:tc>
          <w:tcPr>
            <w:tcW w:w="2344" w:type="dxa"/>
          </w:tcPr>
          <w:p w14:paraId="10E1F57F" w14:textId="77777777" w:rsidR="009F7F8A" w:rsidRPr="00C96416" w:rsidRDefault="009F7F8A" w:rsidP="009F7F8A">
            <w:pPr>
              <w:tabs>
                <w:tab w:val="left" w:pos="0"/>
              </w:tabs>
              <w:ind w:left="57" w:right="57"/>
              <w:rPr>
                <w:b/>
                <w:szCs w:val="24"/>
                <w:lang w:eastAsia="ru-RU"/>
              </w:rPr>
            </w:pPr>
            <w:r w:rsidRPr="00C96416">
              <w:rPr>
                <w:b/>
                <w:szCs w:val="24"/>
                <w:lang w:eastAsia="ru-RU"/>
              </w:rPr>
              <w:t xml:space="preserve">Суточная </w:t>
            </w:r>
            <w:r>
              <w:rPr>
                <w:b/>
                <w:szCs w:val="24"/>
                <w:lang w:eastAsia="ru-RU"/>
              </w:rPr>
              <w:t>д</w:t>
            </w:r>
            <w:r w:rsidRPr="00C96416">
              <w:rPr>
                <w:b/>
                <w:szCs w:val="24"/>
                <w:lang w:eastAsia="ru-RU"/>
              </w:rPr>
              <w:t>оза, мг</w:t>
            </w:r>
          </w:p>
        </w:tc>
        <w:tc>
          <w:tcPr>
            <w:tcW w:w="3713" w:type="dxa"/>
          </w:tcPr>
          <w:p w14:paraId="4793C7A0" w14:textId="77777777" w:rsidR="009F7F8A" w:rsidRPr="00C96416" w:rsidRDefault="009F7F8A" w:rsidP="009F7F8A">
            <w:pPr>
              <w:tabs>
                <w:tab w:val="left" w:pos="0"/>
              </w:tabs>
              <w:ind w:left="57" w:right="57"/>
              <w:rPr>
                <w:b/>
                <w:szCs w:val="24"/>
                <w:lang w:eastAsia="ru-RU"/>
              </w:rPr>
            </w:pPr>
            <w:r>
              <w:rPr>
                <w:b/>
                <w:szCs w:val="24"/>
                <w:lang w:eastAsia="ru-RU"/>
              </w:rPr>
              <w:t>Способ применения и р</w:t>
            </w:r>
            <w:r w:rsidRPr="00C96416">
              <w:rPr>
                <w:b/>
                <w:szCs w:val="24"/>
                <w:lang w:eastAsia="ru-RU"/>
              </w:rPr>
              <w:t>ежим дозирования</w:t>
            </w:r>
          </w:p>
        </w:tc>
      </w:tr>
      <w:tr w:rsidR="009F7F8A" w:rsidRPr="00C96416" w14:paraId="5DC364FB" w14:textId="77777777" w:rsidTr="009F7F8A">
        <w:trPr>
          <w:jc w:val="center"/>
        </w:trPr>
        <w:tc>
          <w:tcPr>
            <w:tcW w:w="2220" w:type="dxa"/>
          </w:tcPr>
          <w:p w14:paraId="37A55B12" w14:textId="77777777" w:rsidR="009F7F8A" w:rsidRPr="00C96416" w:rsidRDefault="009F7F8A" w:rsidP="009F7F8A">
            <w:pPr>
              <w:tabs>
                <w:tab w:val="left" w:pos="0"/>
              </w:tabs>
              <w:ind w:left="57" w:right="57"/>
              <w:rPr>
                <w:szCs w:val="24"/>
                <w:lang w:eastAsia="ru-RU"/>
              </w:rPr>
            </w:pPr>
            <w:r w:rsidRPr="00C96416">
              <w:rPr>
                <w:szCs w:val="24"/>
                <w:lang w:eastAsia="ru-RU"/>
              </w:rPr>
              <w:t>Омепразол</w:t>
            </w:r>
          </w:p>
        </w:tc>
        <w:tc>
          <w:tcPr>
            <w:tcW w:w="2344" w:type="dxa"/>
          </w:tcPr>
          <w:p w14:paraId="5DA3A079" w14:textId="77777777" w:rsidR="009F7F8A" w:rsidRDefault="009F7F8A" w:rsidP="009F7F8A">
            <w:pPr>
              <w:tabs>
                <w:tab w:val="left" w:pos="0"/>
              </w:tabs>
              <w:ind w:left="57" w:right="57"/>
              <w:rPr>
                <w:szCs w:val="24"/>
                <w:lang w:eastAsia="ru-RU"/>
              </w:rPr>
            </w:pPr>
            <w:r w:rsidRPr="00C96416">
              <w:rPr>
                <w:szCs w:val="24"/>
                <w:lang w:eastAsia="ru-RU"/>
              </w:rPr>
              <w:t>20</w:t>
            </w:r>
          </w:p>
          <w:p w14:paraId="6950211D" w14:textId="77777777" w:rsidR="009F7F8A" w:rsidRPr="00C96416" w:rsidRDefault="009F7F8A" w:rsidP="009F7F8A">
            <w:pPr>
              <w:tabs>
                <w:tab w:val="left" w:pos="0"/>
              </w:tabs>
              <w:ind w:left="57" w:right="57"/>
              <w:rPr>
                <w:szCs w:val="24"/>
                <w:lang w:eastAsia="ru-RU"/>
              </w:rPr>
            </w:pPr>
            <w:r>
              <w:rPr>
                <w:szCs w:val="24"/>
                <w:lang w:eastAsia="ru-RU"/>
              </w:rPr>
              <w:t>40</w:t>
            </w:r>
          </w:p>
        </w:tc>
        <w:tc>
          <w:tcPr>
            <w:tcW w:w="3713" w:type="dxa"/>
          </w:tcPr>
          <w:p w14:paraId="42134999" w14:textId="77777777" w:rsidR="009F7F8A" w:rsidRPr="00B56E4C" w:rsidRDefault="009F7F8A" w:rsidP="009F7F8A">
            <w:pPr>
              <w:tabs>
                <w:tab w:val="left" w:pos="0"/>
              </w:tabs>
              <w:ind w:left="57" w:right="57"/>
              <w:rPr>
                <w:szCs w:val="24"/>
                <w:lang w:eastAsia="ru-RU"/>
              </w:rPr>
            </w:pPr>
            <w:r>
              <w:rPr>
                <w:szCs w:val="24"/>
                <w:lang w:eastAsia="ru-RU"/>
              </w:rPr>
              <w:t>Внутрь, 1 раз в сутки;</w:t>
            </w:r>
          </w:p>
          <w:p w14:paraId="78FB5A48" w14:textId="77777777" w:rsidR="009F7F8A" w:rsidRPr="00D221D8" w:rsidRDefault="009F7F8A" w:rsidP="009F7F8A">
            <w:pPr>
              <w:tabs>
                <w:tab w:val="left" w:pos="0"/>
              </w:tabs>
              <w:ind w:left="57" w:right="57"/>
              <w:rPr>
                <w:szCs w:val="24"/>
                <w:lang w:eastAsia="ru-RU"/>
              </w:rPr>
            </w:pPr>
            <w:r>
              <w:rPr>
                <w:szCs w:val="24"/>
                <w:lang w:eastAsia="ru-RU"/>
              </w:rPr>
              <w:t xml:space="preserve"> в/в, 1 раз в сутки</w:t>
            </w:r>
          </w:p>
        </w:tc>
      </w:tr>
      <w:tr w:rsidR="009F7F8A" w:rsidRPr="00C96416" w14:paraId="1CBBAEF6" w14:textId="77777777" w:rsidTr="009F7F8A">
        <w:trPr>
          <w:jc w:val="center"/>
        </w:trPr>
        <w:tc>
          <w:tcPr>
            <w:tcW w:w="2220" w:type="dxa"/>
          </w:tcPr>
          <w:p w14:paraId="2C05CF85" w14:textId="77777777" w:rsidR="009F7F8A" w:rsidRPr="00C96416" w:rsidRDefault="009F7F8A" w:rsidP="009F7F8A">
            <w:pPr>
              <w:tabs>
                <w:tab w:val="left" w:pos="0"/>
              </w:tabs>
              <w:ind w:left="57" w:right="57"/>
              <w:rPr>
                <w:szCs w:val="24"/>
                <w:lang w:eastAsia="ru-RU"/>
              </w:rPr>
            </w:pPr>
            <w:r w:rsidRPr="00C96416">
              <w:rPr>
                <w:szCs w:val="24"/>
                <w:lang w:eastAsia="ru-RU"/>
              </w:rPr>
              <w:t>Лансопразол</w:t>
            </w:r>
          </w:p>
        </w:tc>
        <w:tc>
          <w:tcPr>
            <w:tcW w:w="2344" w:type="dxa"/>
          </w:tcPr>
          <w:p w14:paraId="75F6EF17" w14:textId="77777777" w:rsidR="009F7F8A" w:rsidRPr="00C96416" w:rsidRDefault="009F7F8A" w:rsidP="009F7F8A">
            <w:pPr>
              <w:tabs>
                <w:tab w:val="left" w:pos="0"/>
              </w:tabs>
              <w:ind w:left="57" w:right="57"/>
              <w:rPr>
                <w:szCs w:val="24"/>
                <w:lang w:eastAsia="ru-RU"/>
              </w:rPr>
            </w:pPr>
            <w:r w:rsidRPr="00C96416">
              <w:rPr>
                <w:szCs w:val="24"/>
                <w:lang w:eastAsia="ru-RU"/>
              </w:rPr>
              <w:t>30</w:t>
            </w:r>
          </w:p>
        </w:tc>
        <w:tc>
          <w:tcPr>
            <w:tcW w:w="3713" w:type="dxa"/>
          </w:tcPr>
          <w:p w14:paraId="1D3F3407" w14:textId="77777777" w:rsidR="009F7F8A" w:rsidRDefault="009F7F8A" w:rsidP="009F7F8A">
            <w:pPr>
              <w:ind w:left="57" w:right="57"/>
            </w:pPr>
            <w:r w:rsidRPr="00826EC3">
              <w:rPr>
                <w:szCs w:val="24"/>
                <w:lang w:eastAsia="ru-RU"/>
              </w:rPr>
              <w:t>Внутрь, 1 раз в сутки</w:t>
            </w:r>
          </w:p>
        </w:tc>
      </w:tr>
      <w:tr w:rsidR="009F7F8A" w:rsidRPr="00C96416" w14:paraId="575E0DA7" w14:textId="77777777" w:rsidTr="009F7F8A">
        <w:trPr>
          <w:jc w:val="center"/>
        </w:trPr>
        <w:tc>
          <w:tcPr>
            <w:tcW w:w="2220" w:type="dxa"/>
          </w:tcPr>
          <w:p w14:paraId="6733D29B" w14:textId="77777777" w:rsidR="009F7F8A" w:rsidRPr="00C96416" w:rsidRDefault="009F7F8A" w:rsidP="009F7F8A">
            <w:pPr>
              <w:tabs>
                <w:tab w:val="left" w:pos="0"/>
              </w:tabs>
              <w:ind w:left="57" w:right="57"/>
              <w:rPr>
                <w:szCs w:val="24"/>
                <w:lang w:eastAsia="ru-RU"/>
              </w:rPr>
            </w:pPr>
            <w:r>
              <w:rPr>
                <w:szCs w:val="24"/>
                <w:lang w:eastAsia="ru-RU"/>
              </w:rPr>
              <w:t>П</w:t>
            </w:r>
            <w:r w:rsidRPr="00C96416">
              <w:rPr>
                <w:szCs w:val="24"/>
                <w:lang w:eastAsia="ru-RU"/>
              </w:rPr>
              <w:t>антопразол</w:t>
            </w:r>
          </w:p>
        </w:tc>
        <w:tc>
          <w:tcPr>
            <w:tcW w:w="2344" w:type="dxa"/>
          </w:tcPr>
          <w:p w14:paraId="4A2369D6" w14:textId="77777777" w:rsidR="009F7F8A" w:rsidRPr="00C96416" w:rsidRDefault="009F7F8A" w:rsidP="009F7F8A">
            <w:pPr>
              <w:tabs>
                <w:tab w:val="left" w:pos="0"/>
              </w:tabs>
              <w:ind w:left="57" w:right="57"/>
              <w:rPr>
                <w:szCs w:val="24"/>
                <w:lang w:eastAsia="ru-RU"/>
              </w:rPr>
            </w:pPr>
            <w:r w:rsidRPr="00C96416">
              <w:rPr>
                <w:szCs w:val="24"/>
                <w:lang w:eastAsia="ru-RU"/>
              </w:rPr>
              <w:t>40</w:t>
            </w:r>
          </w:p>
        </w:tc>
        <w:tc>
          <w:tcPr>
            <w:tcW w:w="3713" w:type="dxa"/>
          </w:tcPr>
          <w:p w14:paraId="4BA0154D" w14:textId="77777777" w:rsidR="009F7F8A" w:rsidRDefault="009F7F8A" w:rsidP="009F7F8A">
            <w:pPr>
              <w:ind w:left="57" w:right="57"/>
            </w:pPr>
            <w:r w:rsidRPr="00826EC3">
              <w:rPr>
                <w:szCs w:val="24"/>
                <w:lang w:eastAsia="ru-RU"/>
              </w:rPr>
              <w:t>Внутрь, 1 раз в сутки</w:t>
            </w:r>
          </w:p>
        </w:tc>
      </w:tr>
      <w:tr w:rsidR="009F7F8A" w:rsidRPr="00C96416" w14:paraId="5829320D" w14:textId="77777777" w:rsidTr="009F7F8A">
        <w:trPr>
          <w:jc w:val="center"/>
        </w:trPr>
        <w:tc>
          <w:tcPr>
            <w:tcW w:w="2220" w:type="dxa"/>
          </w:tcPr>
          <w:p w14:paraId="4E3EA1F9" w14:textId="77777777" w:rsidR="009F7F8A" w:rsidRPr="00C96416" w:rsidRDefault="009F7F8A" w:rsidP="009F7F8A">
            <w:pPr>
              <w:tabs>
                <w:tab w:val="left" w:pos="0"/>
              </w:tabs>
              <w:ind w:left="57" w:right="57"/>
              <w:rPr>
                <w:szCs w:val="24"/>
                <w:lang w:eastAsia="ru-RU"/>
              </w:rPr>
            </w:pPr>
            <w:r>
              <w:rPr>
                <w:szCs w:val="24"/>
              </w:rPr>
              <w:t>Р</w:t>
            </w:r>
            <w:r w:rsidRPr="00C96416">
              <w:rPr>
                <w:szCs w:val="24"/>
              </w:rPr>
              <w:t>абепразол</w:t>
            </w:r>
          </w:p>
        </w:tc>
        <w:tc>
          <w:tcPr>
            <w:tcW w:w="2344" w:type="dxa"/>
          </w:tcPr>
          <w:p w14:paraId="53D8B349" w14:textId="77777777" w:rsidR="009F7F8A" w:rsidRPr="00C96416" w:rsidRDefault="009F7F8A" w:rsidP="009F7F8A">
            <w:pPr>
              <w:tabs>
                <w:tab w:val="left" w:pos="0"/>
              </w:tabs>
              <w:ind w:left="57" w:right="57"/>
              <w:rPr>
                <w:szCs w:val="24"/>
                <w:lang w:eastAsia="ru-RU"/>
              </w:rPr>
            </w:pPr>
            <w:r w:rsidRPr="00C96416">
              <w:rPr>
                <w:szCs w:val="24"/>
                <w:lang w:eastAsia="ru-RU"/>
              </w:rPr>
              <w:t>20</w:t>
            </w:r>
          </w:p>
        </w:tc>
        <w:tc>
          <w:tcPr>
            <w:tcW w:w="3713" w:type="dxa"/>
          </w:tcPr>
          <w:p w14:paraId="3B62CB97" w14:textId="77777777" w:rsidR="009F7F8A" w:rsidRDefault="009F7F8A" w:rsidP="009F7F8A">
            <w:pPr>
              <w:ind w:left="57" w:right="57"/>
            </w:pPr>
            <w:r w:rsidRPr="00826EC3">
              <w:rPr>
                <w:szCs w:val="24"/>
                <w:lang w:eastAsia="ru-RU"/>
              </w:rPr>
              <w:t>Внутрь, 1 раз в сутки</w:t>
            </w:r>
          </w:p>
        </w:tc>
      </w:tr>
      <w:tr w:rsidR="009F7F8A" w:rsidRPr="00C96416" w14:paraId="4B5D3761" w14:textId="77777777" w:rsidTr="009F7F8A">
        <w:trPr>
          <w:jc w:val="center"/>
        </w:trPr>
        <w:tc>
          <w:tcPr>
            <w:tcW w:w="2220" w:type="dxa"/>
          </w:tcPr>
          <w:p w14:paraId="3F720087" w14:textId="77777777" w:rsidR="009F7F8A" w:rsidRPr="00C96416" w:rsidRDefault="009F7F8A" w:rsidP="009F7F8A">
            <w:pPr>
              <w:tabs>
                <w:tab w:val="left" w:pos="0"/>
              </w:tabs>
              <w:ind w:left="57" w:right="57"/>
              <w:rPr>
                <w:szCs w:val="24"/>
              </w:rPr>
            </w:pPr>
            <w:r>
              <w:rPr>
                <w:szCs w:val="24"/>
              </w:rPr>
              <w:t>Э</w:t>
            </w:r>
            <w:r w:rsidRPr="00C96416">
              <w:rPr>
                <w:szCs w:val="24"/>
              </w:rPr>
              <w:t>зомепразол</w:t>
            </w:r>
          </w:p>
        </w:tc>
        <w:tc>
          <w:tcPr>
            <w:tcW w:w="2344" w:type="dxa"/>
          </w:tcPr>
          <w:p w14:paraId="138B12C9" w14:textId="77777777" w:rsidR="009F7F8A" w:rsidRPr="00C96416" w:rsidRDefault="009F7F8A" w:rsidP="009F7F8A">
            <w:pPr>
              <w:tabs>
                <w:tab w:val="left" w:pos="0"/>
              </w:tabs>
              <w:ind w:left="57" w:right="57"/>
              <w:rPr>
                <w:szCs w:val="24"/>
                <w:lang w:eastAsia="ru-RU"/>
              </w:rPr>
            </w:pPr>
            <w:r w:rsidRPr="00C96416">
              <w:rPr>
                <w:szCs w:val="24"/>
                <w:lang w:eastAsia="ru-RU"/>
              </w:rPr>
              <w:t>20</w:t>
            </w:r>
          </w:p>
        </w:tc>
        <w:tc>
          <w:tcPr>
            <w:tcW w:w="3713" w:type="dxa"/>
          </w:tcPr>
          <w:p w14:paraId="595C7765" w14:textId="77777777" w:rsidR="009F7F8A" w:rsidRDefault="009F7F8A" w:rsidP="009F7F8A">
            <w:pPr>
              <w:ind w:left="57" w:right="57"/>
            </w:pPr>
            <w:r w:rsidRPr="00826EC3">
              <w:rPr>
                <w:szCs w:val="24"/>
                <w:lang w:eastAsia="ru-RU"/>
              </w:rPr>
              <w:t>Внутрь</w:t>
            </w:r>
            <w:r>
              <w:rPr>
                <w:szCs w:val="24"/>
                <w:lang w:eastAsia="ru-RU"/>
              </w:rPr>
              <w:t xml:space="preserve"> или в/в</w:t>
            </w:r>
            <w:r w:rsidRPr="00826EC3">
              <w:rPr>
                <w:szCs w:val="24"/>
                <w:lang w:eastAsia="ru-RU"/>
              </w:rPr>
              <w:t>, 1 раз в сутки</w:t>
            </w:r>
          </w:p>
        </w:tc>
      </w:tr>
    </w:tbl>
    <w:p w14:paraId="52226E56" w14:textId="77777777" w:rsidR="009F7F8A" w:rsidRDefault="009F7F8A" w:rsidP="009F7F8A">
      <w:pPr>
        <w:pStyle w:val="Normal11"/>
        <w:tabs>
          <w:tab w:val="left" w:pos="0"/>
        </w:tabs>
        <w:spacing w:line="360" w:lineRule="auto"/>
        <w:ind w:left="0" w:firstLine="0"/>
      </w:pPr>
    </w:p>
    <w:p w14:paraId="0DEFBAE1" w14:textId="77777777" w:rsidR="009F7F8A" w:rsidRPr="00C96416" w:rsidRDefault="009F7F8A" w:rsidP="009F7F8A">
      <w:pPr>
        <w:ind w:firstLine="709"/>
      </w:pPr>
      <w:r>
        <w:t>Время суток и прием пищи не влияют на активность ИПП. Коррекции дозы при почечной недостаточности не требуется. При невозможности перорального приема ИПП вводятся внутривенно.</w:t>
      </w:r>
    </w:p>
    <w:p w14:paraId="40E0F0DA" w14:textId="77777777" w:rsidR="009F7F8A" w:rsidRDefault="009F7F8A" w:rsidP="009F7F8A">
      <w:pPr>
        <w:pStyle w:val="Normal11"/>
        <w:tabs>
          <w:tab w:val="left" w:pos="0"/>
        </w:tabs>
        <w:spacing w:line="360" w:lineRule="auto"/>
        <w:ind w:firstLine="699"/>
        <w:rPr>
          <w:bCs/>
          <w:i/>
          <w:iCs/>
          <w:u w:val="single"/>
          <w:shd w:val="clear" w:color="auto" w:fill="FFFFFF"/>
        </w:rPr>
      </w:pPr>
    </w:p>
    <w:p w14:paraId="1084ADFF" w14:textId="77777777" w:rsidR="009F7F8A" w:rsidRPr="00A56C81" w:rsidRDefault="009F7F8A" w:rsidP="009F7F8A">
      <w:pPr>
        <w:pStyle w:val="Normal11"/>
        <w:tabs>
          <w:tab w:val="left" w:pos="0"/>
        </w:tabs>
        <w:spacing w:line="360" w:lineRule="auto"/>
        <w:rPr>
          <w:bCs/>
          <w:i/>
          <w:iCs/>
          <w:u w:val="single"/>
          <w:shd w:val="clear" w:color="auto" w:fill="FFFFFF"/>
        </w:rPr>
      </w:pPr>
      <w:r w:rsidRPr="00A56C81">
        <w:rPr>
          <w:bCs/>
          <w:i/>
          <w:iCs/>
          <w:u w:val="single"/>
          <w:shd w:val="clear" w:color="auto" w:fill="FFFFFF"/>
        </w:rPr>
        <w:t xml:space="preserve">Блокаторы Н2-гистаминовых рецепторов </w:t>
      </w:r>
    </w:p>
    <w:p w14:paraId="4D13B819" w14:textId="77777777" w:rsidR="009F7F8A" w:rsidRPr="00A56C81" w:rsidRDefault="009F7F8A" w:rsidP="009F7F8A">
      <w:pPr>
        <w:ind w:firstLine="709"/>
      </w:pPr>
      <w:r w:rsidRPr="00A56C81">
        <w:lastRenderedPageBreak/>
        <w:t xml:space="preserve">Секреторные реакции желудка при действии экзогенного или эндогенного гистамина реализуются через Н2-гистаминорецепторы. Блокаторы гистаминовых Н2-рецепторов являются конкурентными антагонистами гистамина и подавляют вызванную различными раздражителями секрецию соляной кислоты за счет вытеснения гистамина из связи с Н2-рецепторами париетальных клеток. Препараты этой группы поддерживают показатели внутрижелудочного рН &gt; 3 на протяжении суток. Применение Н2-блокаторов в течение 1-1,5 месяца приводит к рубцеванию язвенного дефекта у 70–80 % пациентов с дуоденальными язвами и у 55–60 % пациентов с язвами желудка. Тем не менее, после внедрения ИПП в клиническую практику в качестве базисной антисекреторной терапии, Н2-блокаторы применяются реже, главным образом при невозможности применения ИПП. </w:t>
      </w:r>
    </w:p>
    <w:p w14:paraId="088A7439" w14:textId="164E7952" w:rsidR="009F7F8A" w:rsidRDefault="009F7F8A" w:rsidP="009F7F8A">
      <w:pPr>
        <w:ind w:firstLine="709"/>
      </w:pPr>
      <w:r w:rsidRPr="00A56C81">
        <w:t xml:space="preserve">В группу препаратов – блокаторов Н2-гистаминовых рецепторов входят ранитидин, фамотидин, применяемые во время проведения курсов противоопухолевой терапии, включающей системные ГКС, в указанных в таблице </w:t>
      </w:r>
      <w:r>
        <w:t>А3.3.</w:t>
      </w:r>
      <w:r w:rsidRPr="00A56C81">
        <w:t>2 дозах</w:t>
      </w:r>
      <w:r w:rsidRPr="0016000A">
        <w:t xml:space="preserve"> </w:t>
      </w:r>
      <w:r>
        <w:t xml:space="preserve"> </w:t>
      </w:r>
      <w:r>
        <w:fldChar w:fldCharType="begin" w:fldLock="1"/>
      </w:r>
      <w:r w:rsidR="002C4EE9">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общества).","type":"article-journal","volume":"30"},"uris":["http://www.mendeley.com/documents/?uuid=858a1835-2f3b-419a-91b4-8a8e3ef10cc9"]},{"id":"ITEM-2","itemData":{"DOI":"10.1016/S2468-1253(18)30037-2","ISSN":"24681253","PMID":"29475806","abstract":"Background: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and Hepatology","id":"ITEM-2","issue":"4","issued":{"date-parts":[["2018","4","1"]]},"page":"231-241","publisher":"Elsevier Ltd","title":"Effects of gastroprotectant drugs for the prevention and treatment of peptic ulcer disease and its complications: a meta-analysis of randomised trials","type":"article-journal","volume":"3"},"uris":["http://www.mendeley.com/documents/?uuid=f1962b3a-e3e6-3474-95a8-4fc5245efa04"]},{"id":"ITEM-3","itemData":{"author":[{"dropping-particle":"","family":"Poynard","given":"T.","non-dropping-particle":"","parse-names":false,"suffix":""},{"dropping-particle":"","family":"Lemaire","given":"M.","non-dropping-particle":"","parse-names":false,"suffix":""},{"dropping-particle":"","family":"Agostini","given":"H.","non-dropping-particle":"","parse-names":false,"suffix":""}],"container-title":"European Journal of Gastroenterology and Hepatology","id":"ITEM-3","issue":"7","issued":{"date-parts":[["1995"]]},"page":"661-665","title":"Meta-analysis of randomized clinical trials comparing lansoprazole with ranitidine or famotidine in the treatment of acute duodenal ulcer","type":"article-journal","volume":"7"},"uris":["http://www.mendeley.com/documents/?uuid=5db0b11d-6521-4aed-b5ed-29192f1bbc07"]}],"mendeley":{"formattedCitation":"[62,63,65]","plainTextFormattedCitation":"[62,63,65]","previouslyFormattedCitation":"[62,63,65]"},"properties":{"noteIndex":0},"schema":"https://github.com/citation-style-language/schema/raw/master/csl-citation.json"}</w:instrText>
      </w:r>
      <w:r>
        <w:fldChar w:fldCharType="separate"/>
      </w:r>
      <w:r w:rsidRPr="009F7F8A">
        <w:rPr>
          <w:noProof/>
        </w:rPr>
        <w:t>[62,63,65]</w:t>
      </w:r>
      <w:r>
        <w:fldChar w:fldCharType="end"/>
      </w:r>
      <w:r w:rsidRPr="00A56C81">
        <w:t>.</w:t>
      </w:r>
    </w:p>
    <w:p w14:paraId="429959B7" w14:textId="77777777" w:rsidR="009F7F8A" w:rsidRDefault="009F7F8A" w:rsidP="009F7F8A">
      <w:pPr>
        <w:rPr>
          <w:b/>
          <w:szCs w:val="24"/>
        </w:rPr>
      </w:pPr>
    </w:p>
    <w:p w14:paraId="1013A55D" w14:textId="25CDDF3E" w:rsidR="009F7F8A" w:rsidRPr="00F76AD4" w:rsidRDefault="009F7F8A" w:rsidP="009F7F8A">
      <w:pPr>
        <w:rPr>
          <w:bCs/>
        </w:rPr>
      </w:pPr>
      <w:r w:rsidRPr="00F76AD4">
        <w:rPr>
          <w:bCs/>
          <w:szCs w:val="24"/>
        </w:rPr>
        <w:t xml:space="preserve">Таблица 2. Режим дозирования блокаторов Н2-гистаминовых рецепторов </w:t>
      </w:r>
    </w:p>
    <w:tbl>
      <w:tblPr>
        <w:tblStyle w:val="aff9"/>
        <w:tblW w:w="0" w:type="auto"/>
        <w:jc w:val="center"/>
        <w:tblLook w:val="04A0" w:firstRow="1" w:lastRow="0" w:firstColumn="1" w:lastColumn="0" w:noHBand="0" w:noVBand="1"/>
      </w:tblPr>
      <w:tblGrid>
        <w:gridCol w:w="1942"/>
        <w:gridCol w:w="2268"/>
        <w:gridCol w:w="3358"/>
      </w:tblGrid>
      <w:tr w:rsidR="009F7F8A" w:rsidRPr="00C96416" w14:paraId="5F44D616" w14:textId="77777777" w:rsidTr="009F7F8A">
        <w:trPr>
          <w:jc w:val="center"/>
        </w:trPr>
        <w:tc>
          <w:tcPr>
            <w:tcW w:w="1942" w:type="dxa"/>
          </w:tcPr>
          <w:p w14:paraId="5CBB9921" w14:textId="77777777" w:rsidR="009F7F8A" w:rsidRPr="00C96416" w:rsidRDefault="009F7F8A" w:rsidP="009F7F8A">
            <w:pPr>
              <w:tabs>
                <w:tab w:val="left" w:pos="0"/>
              </w:tabs>
              <w:rPr>
                <w:b/>
                <w:szCs w:val="24"/>
                <w:lang w:eastAsia="ru-RU"/>
              </w:rPr>
            </w:pPr>
            <w:r w:rsidRPr="00C96416">
              <w:rPr>
                <w:b/>
                <w:szCs w:val="24"/>
                <w:lang w:eastAsia="ru-RU"/>
              </w:rPr>
              <w:t>Препараты</w:t>
            </w:r>
          </w:p>
        </w:tc>
        <w:tc>
          <w:tcPr>
            <w:tcW w:w="2268" w:type="dxa"/>
          </w:tcPr>
          <w:p w14:paraId="23EE779C" w14:textId="77777777" w:rsidR="009F7F8A" w:rsidRPr="00C96416" w:rsidRDefault="009F7F8A" w:rsidP="009F7F8A">
            <w:pPr>
              <w:tabs>
                <w:tab w:val="left" w:pos="0"/>
              </w:tabs>
              <w:rPr>
                <w:b/>
                <w:szCs w:val="24"/>
                <w:lang w:eastAsia="ru-RU"/>
              </w:rPr>
            </w:pPr>
            <w:r w:rsidRPr="00C96416">
              <w:rPr>
                <w:b/>
                <w:szCs w:val="24"/>
                <w:lang w:eastAsia="ru-RU"/>
              </w:rPr>
              <w:t xml:space="preserve">Суточная </w:t>
            </w:r>
            <w:r>
              <w:rPr>
                <w:b/>
                <w:szCs w:val="24"/>
                <w:lang w:eastAsia="ru-RU"/>
              </w:rPr>
              <w:t>д</w:t>
            </w:r>
            <w:r w:rsidRPr="00C96416">
              <w:rPr>
                <w:b/>
                <w:szCs w:val="24"/>
                <w:lang w:eastAsia="ru-RU"/>
              </w:rPr>
              <w:t>оза, мг</w:t>
            </w:r>
          </w:p>
        </w:tc>
        <w:tc>
          <w:tcPr>
            <w:tcW w:w="3358" w:type="dxa"/>
          </w:tcPr>
          <w:p w14:paraId="0E6F4F60" w14:textId="77777777" w:rsidR="009F7F8A" w:rsidRPr="00C96416" w:rsidRDefault="009F7F8A" w:rsidP="009F7F8A">
            <w:pPr>
              <w:tabs>
                <w:tab w:val="left" w:pos="0"/>
              </w:tabs>
              <w:rPr>
                <w:b/>
                <w:szCs w:val="24"/>
                <w:lang w:eastAsia="ru-RU"/>
              </w:rPr>
            </w:pPr>
            <w:r w:rsidRPr="00C96416">
              <w:rPr>
                <w:b/>
                <w:szCs w:val="24"/>
                <w:lang w:eastAsia="ru-RU"/>
              </w:rPr>
              <w:t>Режим дозирования</w:t>
            </w:r>
          </w:p>
        </w:tc>
      </w:tr>
      <w:tr w:rsidR="009F7F8A" w:rsidRPr="00C96416" w14:paraId="4391CBC6" w14:textId="77777777" w:rsidTr="009F7F8A">
        <w:trPr>
          <w:jc w:val="center"/>
        </w:trPr>
        <w:tc>
          <w:tcPr>
            <w:tcW w:w="1942" w:type="dxa"/>
          </w:tcPr>
          <w:p w14:paraId="6ED5FD61" w14:textId="77777777" w:rsidR="009F7F8A" w:rsidRPr="00C96416" w:rsidRDefault="009F7F8A" w:rsidP="009F7F8A">
            <w:pPr>
              <w:tabs>
                <w:tab w:val="left" w:pos="0"/>
              </w:tabs>
              <w:rPr>
                <w:szCs w:val="24"/>
                <w:lang w:eastAsia="ru-RU"/>
              </w:rPr>
            </w:pPr>
            <w:r>
              <w:rPr>
                <w:szCs w:val="24"/>
                <w:lang w:eastAsia="ru-RU"/>
              </w:rPr>
              <w:t>Ранитидин</w:t>
            </w:r>
          </w:p>
        </w:tc>
        <w:tc>
          <w:tcPr>
            <w:tcW w:w="2268" w:type="dxa"/>
          </w:tcPr>
          <w:p w14:paraId="226667F4" w14:textId="77777777" w:rsidR="009F7F8A" w:rsidRPr="00C96416" w:rsidRDefault="009F7F8A" w:rsidP="009F7F8A">
            <w:pPr>
              <w:tabs>
                <w:tab w:val="left" w:pos="0"/>
              </w:tabs>
              <w:rPr>
                <w:szCs w:val="24"/>
                <w:lang w:eastAsia="ru-RU"/>
              </w:rPr>
            </w:pPr>
            <w:r>
              <w:rPr>
                <w:szCs w:val="24"/>
                <w:lang w:eastAsia="ru-RU"/>
              </w:rPr>
              <w:t>150</w:t>
            </w:r>
          </w:p>
        </w:tc>
        <w:tc>
          <w:tcPr>
            <w:tcW w:w="3358" w:type="dxa"/>
          </w:tcPr>
          <w:p w14:paraId="4DAEBCE7" w14:textId="77777777" w:rsidR="009F7F8A" w:rsidRPr="00C96416" w:rsidRDefault="009F7F8A" w:rsidP="009F7F8A">
            <w:pPr>
              <w:tabs>
                <w:tab w:val="left" w:pos="0"/>
              </w:tabs>
              <w:rPr>
                <w:szCs w:val="24"/>
                <w:lang w:eastAsia="ru-RU"/>
              </w:rPr>
            </w:pPr>
            <w:r>
              <w:rPr>
                <w:szCs w:val="24"/>
                <w:lang w:eastAsia="ru-RU"/>
              </w:rPr>
              <w:t>Внутрь, 1 раз в сутки, на ночь</w:t>
            </w:r>
          </w:p>
        </w:tc>
      </w:tr>
      <w:tr w:rsidR="009F7F8A" w:rsidRPr="00C96416" w14:paraId="3E9232A3" w14:textId="77777777" w:rsidTr="009F7F8A">
        <w:trPr>
          <w:jc w:val="center"/>
        </w:trPr>
        <w:tc>
          <w:tcPr>
            <w:tcW w:w="1942" w:type="dxa"/>
          </w:tcPr>
          <w:p w14:paraId="4B434D4F" w14:textId="77777777" w:rsidR="009F7F8A" w:rsidRPr="00C96416" w:rsidRDefault="009F7F8A" w:rsidP="009F7F8A">
            <w:pPr>
              <w:tabs>
                <w:tab w:val="left" w:pos="0"/>
              </w:tabs>
              <w:rPr>
                <w:szCs w:val="24"/>
                <w:lang w:eastAsia="ru-RU"/>
              </w:rPr>
            </w:pPr>
            <w:r>
              <w:rPr>
                <w:szCs w:val="24"/>
                <w:lang w:eastAsia="ru-RU"/>
              </w:rPr>
              <w:t>Фамотидин</w:t>
            </w:r>
          </w:p>
        </w:tc>
        <w:tc>
          <w:tcPr>
            <w:tcW w:w="2268" w:type="dxa"/>
          </w:tcPr>
          <w:p w14:paraId="6FF9BC7E" w14:textId="77777777" w:rsidR="009F7F8A" w:rsidRPr="00C96416" w:rsidRDefault="009F7F8A" w:rsidP="009F7F8A">
            <w:pPr>
              <w:tabs>
                <w:tab w:val="left" w:pos="0"/>
              </w:tabs>
              <w:rPr>
                <w:szCs w:val="24"/>
                <w:lang w:eastAsia="ru-RU"/>
              </w:rPr>
            </w:pPr>
            <w:r>
              <w:rPr>
                <w:szCs w:val="24"/>
                <w:lang w:eastAsia="ru-RU"/>
              </w:rPr>
              <w:t>2</w:t>
            </w:r>
            <w:r w:rsidRPr="00C96416">
              <w:rPr>
                <w:szCs w:val="24"/>
                <w:lang w:eastAsia="ru-RU"/>
              </w:rPr>
              <w:t xml:space="preserve">0 </w:t>
            </w:r>
          </w:p>
        </w:tc>
        <w:tc>
          <w:tcPr>
            <w:tcW w:w="3358" w:type="dxa"/>
          </w:tcPr>
          <w:p w14:paraId="5AC12415" w14:textId="77777777" w:rsidR="009F7F8A" w:rsidRDefault="009F7F8A" w:rsidP="009F7F8A">
            <w:r w:rsidRPr="00826EC3">
              <w:rPr>
                <w:szCs w:val="24"/>
                <w:lang w:eastAsia="ru-RU"/>
              </w:rPr>
              <w:t>Внутрь, 1 раз в сутки</w:t>
            </w:r>
            <w:r>
              <w:rPr>
                <w:szCs w:val="24"/>
                <w:lang w:eastAsia="ru-RU"/>
              </w:rPr>
              <w:t>, на ночь</w:t>
            </w:r>
          </w:p>
        </w:tc>
      </w:tr>
    </w:tbl>
    <w:p w14:paraId="09AD7E78" w14:textId="77777777" w:rsidR="009F7F8A" w:rsidRPr="007C2EE2" w:rsidRDefault="009F7F8A" w:rsidP="009F7F8A">
      <w:pPr>
        <w:pStyle w:val="afe"/>
        <w:tabs>
          <w:tab w:val="left" w:pos="0"/>
        </w:tabs>
        <w:ind w:left="0" w:firstLine="567"/>
        <w:rPr>
          <w:szCs w:val="24"/>
        </w:rPr>
      </w:pPr>
    </w:p>
    <w:p w14:paraId="75C07025" w14:textId="253EEBFD" w:rsidR="002C4EE9" w:rsidRPr="002C4EE9" w:rsidRDefault="009F7F8A" w:rsidP="002C4EE9">
      <w:pPr>
        <w:pStyle w:val="2"/>
        <w:rPr>
          <w:u w:color="000000"/>
          <w:lang w:eastAsia="ru-RU"/>
        </w:rPr>
      </w:pPr>
      <w:bookmarkStart w:id="36" w:name="_Toc67522241"/>
      <w:r>
        <w:rPr>
          <w:rStyle w:val="affa"/>
          <w:b/>
          <w:bCs w:val="0"/>
        </w:rPr>
        <w:t xml:space="preserve">7.3 </w:t>
      </w:r>
      <w:bookmarkStart w:id="37" w:name="_Toc64295958"/>
      <w:bookmarkStart w:id="38" w:name="_Toc64477688"/>
      <w:bookmarkStart w:id="39" w:name="__RefHeading___doc_criteria"/>
      <w:bookmarkStart w:id="40" w:name="_Toc11747750"/>
      <w:bookmarkStart w:id="41" w:name="_Toc24572135"/>
      <w:r w:rsidR="002C4EE9" w:rsidRPr="00C731E3">
        <w:t>Профилактика, диагностика и лечение геморрагических осложнений</w:t>
      </w:r>
      <w:bookmarkEnd w:id="36"/>
      <w:bookmarkEnd w:id="37"/>
      <w:bookmarkEnd w:id="38"/>
    </w:p>
    <w:p w14:paraId="729B2277" w14:textId="14BEA4E0" w:rsidR="002C4EE9" w:rsidRDefault="002C4EE9" w:rsidP="002C4EE9">
      <w:pPr>
        <w:ind w:firstLine="709"/>
        <w:rPr>
          <w:rFonts w:eastAsia="Times New Roman"/>
          <w:szCs w:val="24"/>
          <w:lang w:eastAsia="ru-RU"/>
        </w:rPr>
      </w:pPr>
      <w:r w:rsidRPr="00C731E3">
        <w:rPr>
          <w:rFonts w:eastAsia="Times New Roman"/>
          <w:szCs w:val="24"/>
          <w:lang w:eastAsia="ru-RU"/>
        </w:rPr>
        <w:t xml:space="preserve">Геморрагические </w:t>
      </w:r>
      <w:r>
        <w:rPr>
          <w:rFonts w:eastAsia="Times New Roman"/>
          <w:szCs w:val="24"/>
          <w:lang w:eastAsia="ru-RU"/>
        </w:rPr>
        <w:t>проявления</w:t>
      </w:r>
      <w:r w:rsidRPr="00C731E3">
        <w:rPr>
          <w:rFonts w:eastAsia="Times New Roman"/>
          <w:szCs w:val="24"/>
          <w:lang w:eastAsia="ru-RU"/>
        </w:rPr>
        <w:t xml:space="preserve"> </w:t>
      </w:r>
      <w:r>
        <w:rPr>
          <w:rFonts w:eastAsia="Times New Roman"/>
          <w:szCs w:val="24"/>
          <w:lang w:eastAsia="ru-RU"/>
        </w:rPr>
        <w:t xml:space="preserve">у гематологических пациентов отличаются многообразием и могут быть </w:t>
      </w:r>
      <w:r w:rsidRPr="00B81EE6">
        <w:rPr>
          <w:rFonts w:eastAsia="Times New Roman"/>
          <w:szCs w:val="24"/>
          <w:lang w:eastAsia="ru-RU"/>
        </w:rPr>
        <w:t xml:space="preserve">обусловлены как самим заболеванием, так и его осложнениями, </w:t>
      </w:r>
      <w:r>
        <w:rPr>
          <w:rFonts w:eastAsia="Times New Roman"/>
          <w:szCs w:val="24"/>
          <w:lang w:eastAsia="ru-RU"/>
        </w:rPr>
        <w:t>в том числе вследствие</w:t>
      </w:r>
      <w:r w:rsidRPr="00B81EE6">
        <w:rPr>
          <w:rFonts w:eastAsia="Times New Roman"/>
          <w:szCs w:val="24"/>
          <w:lang w:eastAsia="ru-RU"/>
        </w:rPr>
        <w:t xml:space="preserve"> проведения </w:t>
      </w:r>
      <w:r>
        <w:rPr>
          <w:rFonts w:eastAsia="Times New Roman"/>
          <w:szCs w:val="24"/>
          <w:lang w:eastAsia="ru-RU"/>
        </w:rPr>
        <w:t xml:space="preserve">специфической терапии, а также появиться в результате проводимой антитромботической терапии. </w:t>
      </w:r>
      <w:r w:rsidRPr="00C731E3">
        <w:rPr>
          <w:rFonts w:eastAsia="Times New Roman"/>
          <w:szCs w:val="24"/>
          <w:lang w:eastAsia="ru-RU"/>
        </w:rPr>
        <w:t xml:space="preserve">Геморрагические </w:t>
      </w:r>
      <w:r>
        <w:rPr>
          <w:rFonts w:eastAsia="Times New Roman"/>
          <w:szCs w:val="24"/>
          <w:lang w:eastAsia="ru-RU"/>
        </w:rPr>
        <w:t xml:space="preserve">проявления могут встречаться на любом этапе диагностики и лечения гематологического заболевания. </w:t>
      </w:r>
      <w:r w:rsidRPr="0096696C">
        <w:rPr>
          <w:rFonts w:eastAsia="Times New Roman"/>
          <w:szCs w:val="24"/>
          <w:lang w:eastAsia="ru-RU"/>
        </w:rPr>
        <w:t xml:space="preserve">Для предотвращения </w:t>
      </w:r>
      <w:r>
        <w:rPr>
          <w:rFonts w:eastAsia="Times New Roman"/>
          <w:szCs w:val="24"/>
          <w:lang w:eastAsia="ru-RU"/>
        </w:rPr>
        <w:t>геморрагических нарушений</w:t>
      </w:r>
      <w:r w:rsidRPr="0096696C">
        <w:rPr>
          <w:rFonts w:eastAsia="Times New Roman"/>
          <w:szCs w:val="24"/>
          <w:lang w:eastAsia="ru-RU"/>
        </w:rPr>
        <w:t xml:space="preserve"> требуется </w:t>
      </w:r>
      <w:r>
        <w:rPr>
          <w:rFonts w:eastAsia="Times New Roman"/>
          <w:szCs w:val="24"/>
          <w:lang w:eastAsia="ru-RU"/>
        </w:rPr>
        <w:t xml:space="preserve">динамический лабораторный контроль </w:t>
      </w:r>
      <w:r w:rsidRPr="0096696C">
        <w:rPr>
          <w:rFonts w:eastAsia="Times New Roman"/>
          <w:szCs w:val="24"/>
          <w:lang w:eastAsia="ru-RU"/>
        </w:rPr>
        <w:t xml:space="preserve">за показателями </w:t>
      </w:r>
      <w:r>
        <w:rPr>
          <w:rFonts w:eastAsia="Times New Roman"/>
          <w:szCs w:val="24"/>
          <w:lang w:eastAsia="ru-RU"/>
        </w:rPr>
        <w:t xml:space="preserve">периферической </w:t>
      </w:r>
      <w:r w:rsidRPr="0096696C">
        <w:rPr>
          <w:rFonts w:eastAsia="Times New Roman"/>
          <w:szCs w:val="24"/>
          <w:lang w:eastAsia="ru-RU"/>
        </w:rPr>
        <w:t>крови и коагулограммы</w:t>
      </w:r>
      <w:r>
        <w:rPr>
          <w:rFonts w:eastAsia="Times New Roman"/>
          <w:szCs w:val="24"/>
          <w:lang w:eastAsia="ru-RU"/>
        </w:rPr>
        <w:t xml:space="preserve"> </w:t>
      </w:r>
      <w:r>
        <w:rPr>
          <w:rFonts w:eastAsia="Times New Roman"/>
          <w:szCs w:val="24"/>
          <w:lang w:eastAsia="ru-RU"/>
        </w:rPr>
        <w:fldChar w:fldCharType="begin" w:fldLock="1"/>
      </w:r>
      <w:r w:rsidR="00141D88">
        <w:rPr>
          <w:rFonts w:eastAsia="Times New Roman"/>
          <w:szCs w:val="24"/>
          <w:lang w:eastAsia="ru-RU"/>
        </w:rPr>
        <w:instrText>ADDIN CSL_CITATION {"citationItems":[{"id":"ITEM-1","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-1","issued":{"date-parts":[["2010"]]},"number-of-pages":"192","title":"Практическая коагулология","type":"book"},"uris":["http://www.mendeley.com/documents/?uuid=36d7b04e-d654-47d2-a073-3cc2bb6e80ce"]}],"mendeley":{"formattedCitation":"[66]","plainTextFormattedCitation":"[66]","previouslyFormattedCitation":"[66]"},"properties":{"noteIndex":0},"schema":"https://github.com/citation-style-language/schema/raw/master/csl-citation.json"}</w:instrText>
      </w:r>
      <w:r>
        <w:rPr>
          <w:rFonts w:eastAsia="Times New Roman"/>
          <w:szCs w:val="24"/>
          <w:lang w:eastAsia="ru-RU"/>
        </w:rPr>
        <w:fldChar w:fldCharType="separate"/>
      </w:r>
      <w:r w:rsidRPr="002C4EE9">
        <w:rPr>
          <w:rFonts w:eastAsia="Times New Roman"/>
          <w:noProof/>
          <w:szCs w:val="24"/>
          <w:lang w:eastAsia="ru-RU"/>
        </w:rPr>
        <w:t>[66]</w:t>
      </w:r>
      <w:r>
        <w:rPr>
          <w:rFonts w:eastAsia="Times New Roman"/>
          <w:szCs w:val="24"/>
          <w:lang w:eastAsia="ru-RU"/>
        </w:rPr>
        <w:fldChar w:fldCharType="end"/>
      </w:r>
      <w:r w:rsidRPr="0096696C">
        <w:rPr>
          <w:rFonts w:eastAsia="Times New Roman"/>
          <w:szCs w:val="24"/>
          <w:lang w:eastAsia="ru-RU"/>
        </w:rPr>
        <w:t>.</w:t>
      </w:r>
      <w:r w:rsidRPr="00D61164">
        <w:rPr>
          <w:rFonts w:eastAsia="Times New Roman"/>
          <w:szCs w:val="24"/>
          <w:lang w:eastAsia="ru-RU"/>
        </w:rPr>
        <w:t xml:space="preserve"> </w:t>
      </w:r>
      <w:r w:rsidRPr="00C731E3">
        <w:rPr>
          <w:rFonts w:eastAsia="Times New Roman"/>
          <w:szCs w:val="24"/>
          <w:lang w:eastAsia="ru-RU"/>
        </w:rPr>
        <w:t xml:space="preserve">Если появляются ранние признаки геморрагического синдрома или лабораторные </w:t>
      </w:r>
      <w:r>
        <w:rPr>
          <w:rFonts w:eastAsia="Times New Roman"/>
          <w:szCs w:val="24"/>
          <w:lang w:eastAsia="ru-RU"/>
        </w:rPr>
        <w:t>параметры</w:t>
      </w:r>
      <w:r w:rsidRPr="00C731E3">
        <w:rPr>
          <w:rFonts w:eastAsia="Times New Roman"/>
          <w:szCs w:val="24"/>
          <w:lang w:eastAsia="ru-RU"/>
        </w:rPr>
        <w:t xml:space="preserve"> указывают на выраженную гипокоагуляцию, </w:t>
      </w:r>
      <w:r>
        <w:rPr>
          <w:rFonts w:eastAsia="Times New Roman"/>
          <w:szCs w:val="24"/>
          <w:lang w:eastAsia="ru-RU"/>
        </w:rPr>
        <w:t>необходимо решить вопрос о прекращении антикоагулянтной терапии в случае ее проведения или снижении доз препаратов.</w:t>
      </w:r>
    </w:p>
    <w:p w14:paraId="44862624" w14:textId="77777777" w:rsidR="002C4EE9" w:rsidRDefault="002C4EE9" w:rsidP="002C4EE9">
      <w:pPr>
        <w:rPr>
          <w:rFonts w:eastAsia="Times New Roman"/>
          <w:szCs w:val="24"/>
          <w:lang w:eastAsia="ru-RU"/>
        </w:rPr>
      </w:pPr>
    </w:p>
    <w:p w14:paraId="6972171B" w14:textId="77777777" w:rsidR="002C4EE9" w:rsidRPr="00777FF8" w:rsidRDefault="002C4EE9" w:rsidP="002C4EE9">
      <w:pPr>
        <w:pStyle w:val="afd"/>
        <w:spacing w:beforeAutospacing="0" w:afterAutospacing="0" w:line="360" w:lineRule="auto"/>
        <w:rPr>
          <w:i/>
          <w:iCs/>
          <w:u w:val="single"/>
        </w:rPr>
      </w:pPr>
      <w:r w:rsidRPr="00777FF8">
        <w:rPr>
          <w:i/>
          <w:iCs/>
          <w:u w:val="single"/>
        </w:rPr>
        <w:t>Клинические проявления.</w:t>
      </w:r>
    </w:p>
    <w:p w14:paraId="58ED5374" w14:textId="77777777" w:rsidR="002C4EE9" w:rsidRDefault="002C4EE9" w:rsidP="002C4EE9">
      <w:pPr>
        <w:pStyle w:val="afe"/>
        <w:ind w:left="0" w:firstLine="709"/>
        <w:rPr>
          <w:rFonts w:eastAsia="Times New Roman"/>
          <w:szCs w:val="24"/>
          <w:lang w:eastAsia="ru-RU"/>
        </w:rPr>
      </w:pPr>
      <w:r>
        <w:rPr>
          <w:rFonts w:eastAsia="Times New Roman"/>
          <w:szCs w:val="24"/>
          <w:lang w:eastAsia="ru-RU"/>
        </w:rPr>
        <w:lastRenderedPageBreak/>
        <w:t>Геморрагический синдром</w:t>
      </w:r>
      <w:r w:rsidRPr="0096696C">
        <w:rPr>
          <w:rFonts w:eastAsia="Times New Roman"/>
          <w:szCs w:val="24"/>
          <w:lang w:eastAsia="ru-RU"/>
        </w:rPr>
        <w:t xml:space="preserve"> </w:t>
      </w:r>
      <w:r>
        <w:rPr>
          <w:rFonts w:eastAsia="Times New Roman"/>
          <w:szCs w:val="24"/>
          <w:lang w:eastAsia="ru-RU"/>
        </w:rPr>
        <w:t xml:space="preserve">может </w:t>
      </w:r>
      <w:r w:rsidRPr="0096696C">
        <w:rPr>
          <w:rFonts w:eastAsia="Times New Roman"/>
          <w:szCs w:val="24"/>
          <w:lang w:eastAsia="ru-RU"/>
        </w:rPr>
        <w:t>проявля</w:t>
      </w:r>
      <w:r>
        <w:rPr>
          <w:rFonts w:eastAsia="Times New Roman"/>
          <w:szCs w:val="24"/>
          <w:lang w:eastAsia="ru-RU"/>
        </w:rPr>
        <w:t>ть</w:t>
      </w:r>
      <w:r w:rsidRPr="0096696C">
        <w:rPr>
          <w:rFonts w:eastAsia="Times New Roman"/>
          <w:szCs w:val="24"/>
          <w:lang w:eastAsia="ru-RU"/>
        </w:rPr>
        <w:t>ся в виде экхимозов и петехиальных высыпаний; носовых, десневых,</w:t>
      </w:r>
      <w:r>
        <w:rPr>
          <w:rFonts w:eastAsia="Times New Roman"/>
          <w:szCs w:val="24"/>
          <w:lang w:eastAsia="ru-RU"/>
        </w:rPr>
        <w:t xml:space="preserve"> луночковых,</w:t>
      </w:r>
      <w:r w:rsidRPr="0096696C">
        <w:rPr>
          <w:rFonts w:eastAsia="Times New Roman"/>
          <w:szCs w:val="24"/>
          <w:lang w:eastAsia="ru-RU"/>
        </w:rPr>
        <w:t xml:space="preserve"> геморроидальных, маточных и желудочно-кишечных кровотечений</w:t>
      </w:r>
      <w:r>
        <w:rPr>
          <w:rFonts w:eastAsia="Times New Roman"/>
          <w:szCs w:val="24"/>
          <w:lang w:eastAsia="ru-RU"/>
        </w:rPr>
        <w:t xml:space="preserve"> (ЖКК)</w:t>
      </w:r>
      <w:r w:rsidRPr="0096696C">
        <w:rPr>
          <w:rFonts w:eastAsia="Times New Roman"/>
          <w:szCs w:val="24"/>
          <w:lang w:eastAsia="ru-RU"/>
        </w:rPr>
        <w:t xml:space="preserve">; </w:t>
      </w:r>
      <w:r>
        <w:rPr>
          <w:rFonts w:eastAsia="Times New Roman"/>
          <w:szCs w:val="24"/>
          <w:lang w:eastAsia="ru-RU"/>
        </w:rPr>
        <w:t xml:space="preserve">гематурии или </w:t>
      </w:r>
      <w:r w:rsidRPr="0096696C">
        <w:rPr>
          <w:rFonts w:eastAsia="Times New Roman"/>
          <w:szCs w:val="24"/>
          <w:lang w:eastAsia="ru-RU"/>
        </w:rPr>
        <w:t xml:space="preserve">геморрагического цистита; </w:t>
      </w:r>
      <w:r>
        <w:rPr>
          <w:rFonts w:eastAsia="Times New Roman"/>
          <w:szCs w:val="24"/>
          <w:lang w:eastAsia="ru-RU"/>
        </w:rPr>
        <w:t xml:space="preserve">кровоизлияний в орбиту; </w:t>
      </w:r>
      <w:r w:rsidRPr="0096696C">
        <w:rPr>
          <w:rFonts w:eastAsia="Times New Roman"/>
          <w:szCs w:val="24"/>
          <w:lang w:eastAsia="ru-RU"/>
        </w:rPr>
        <w:t xml:space="preserve">внутримозговых гематом и </w:t>
      </w:r>
      <w:r>
        <w:rPr>
          <w:rFonts w:eastAsia="Times New Roman"/>
          <w:szCs w:val="24"/>
          <w:lang w:eastAsia="ru-RU"/>
        </w:rPr>
        <w:t>кровоизлияний в центральную нервную систему (ЦНС), забрюшинных гематом, гемартрозов, гематом мягких тканей и межмышечных гематом</w:t>
      </w:r>
      <w:r w:rsidRPr="0096696C">
        <w:rPr>
          <w:rFonts w:eastAsia="Times New Roman"/>
          <w:szCs w:val="24"/>
          <w:lang w:eastAsia="ru-RU"/>
        </w:rPr>
        <w:t xml:space="preserve">. </w:t>
      </w:r>
      <w:r>
        <w:rPr>
          <w:rFonts w:eastAsia="Times New Roman"/>
          <w:szCs w:val="24"/>
          <w:lang w:eastAsia="ru-RU"/>
        </w:rPr>
        <w:t xml:space="preserve">Геморрагический синдром может быть спонтанным или посттравматическим/провокационным (после травм, инвазивных вмешательств и др.). </w:t>
      </w:r>
      <w:r w:rsidRPr="0096696C">
        <w:rPr>
          <w:rFonts w:eastAsia="Times New Roman"/>
          <w:szCs w:val="24"/>
          <w:lang w:eastAsia="ru-RU"/>
        </w:rPr>
        <w:t xml:space="preserve">С целью ранней диагностики геморрагических осложнений необходимо ежедневно осматривать кожные покровы и слизистые больного, </w:t>
      </w:r>
      <w:r>
        <w:rPr>
          <w:rFonts w:eastAsia="Times New Roman"/>
          <w:szCs w:val="24"/>
          <w:lang w:eastAsia="ru-RU"/>
        </w:rPr>
        <w:t>активно выяснять, имею</w:t>
      </w:r>
      <w:r w:rsidRPr="0096696C">
        <w:rPr>
          <w:rFonts w:eastAsia="Times New Roman"/>
          <w:szCs w:val="24"/>
          <w:lang w:eastAsia="ru-RU"/>
        </w:rPr>
        <w:t>тся ли какие-либо проявления геморрагического синдрома.</w:t>
      </w:r>
      <w:r>
        <w:rPr>
          <w:rFonts w:eastAsia="Times New Roman"/>
          <w:szCs w:val="24"/>
          <w:lang w:eastAsia="ru-RU"/>
        </w:rPr>
        <w:t xml:space="preserve"> Также необходим тщательный сбор анамнеза с уточнением наличия геморрагических проявлений до заболевания лимфомой у самого пациента, а также у его родственников первой линии, с детства, для исключения сочетания лимфомы с наследственными коагулопатиями и тромбоцитопатиями.</w:t>
      </w:r>
    </w:p>
    <w:p w14:paraId="23A77185" w14:textId="77777777" w:rsidR="002C4EE9" w:rsidRDefault="002C4EE9" w:rsidP="002C4EE9">
      <w:pPr>
        <w:pStyle w:val="afe"/>
        <w:ind w:left="0"/>
        <w:rPr>
          <w:rFonts w:eastAsia="Times New Roman"/>
          <w:szCs w:val="24"/>
          <w:lang w:eastAsia="ru-RU"/>
        </w:rPr>
      </w:pPr>
    </w:p>
    <w:p w14:paraId="69BAAFC4" w14:textId="77777777" w:rsidR="002C4EE9" w:rsidRPr="00777FF8" w:rsidRDefault="002C4EE9" w:rsidP="002C4EE9">
      <w:pPr>
        <w:pStyle w:val="afd"/>
        <w:spacing w:beforeAutospacing="0" w:afterAutospacing="0" w:line="360" w:lineRule="auto"/>
        <w:rPr>
          <w:i/>
          <w:iCs/>
          <w:u w:val="single"/>
        </w:rPr>
      </w:pPr>
      <w:r w:rsidRPr="00777FF8">
        <w:rPr>
          <w:i/>
          <w:iCs/>
          <w:u w:val="single"/>
        </w:rPr>
        <w:t>Лабораторная диагностика.</w:t>
      </w:r>
    </w:p>
    <w:p w14:paraId="39F5D1BD" w14:textId="77777777" w:rsidR="002C4EE9" w:rsidRDefault="002C4EE9" w:rsidP="002C4EE9">
      <w:pPr>
        <w:ind w:firstLine="709"/>
        <w:rPr>
          <w:szCs w:val="24"/>
        </w:rPr>
      </w:pPr>
      <w:r>
        <w:rPr>
          <w:szCs w:val="24"/>
        </w:rPr>
        <w:t>Для определения конкретного нарушения, вследствие которого появились геморрагические проявления</w:t>
      </w:r>
      <w:r w:rsidRPr="006E084C">
        <w:rPr>
          <w:szCs w:val="24"/>
        </w:rPr>
        <w:t>,</w:t>
      </w:r>
      <w:r>
        <w:rPr>
          <w:szCs w:val="24"/>
        </w:rPr>
        <w:t xml:space="preserve"> помимо тщательного сбора анамнеза и жалоб, а также оценки проводимой специфической терапии, в том числе химиотерапии (ХТ</w:t>
      </w:r>
      <w:r w:rsidRPr="006E084C">
        <w:rPr>
          <w:szCs w:val="24"/>
        </w:rPr>
        <w:t>),</w:t>
      </w:r>
      <w:r>
        <w:rPr>
          <w:szCs w:val="24"/>
        </w:rPr>
        <w:t xml:space="preserve">  </w:t>
      </w:r>
      <w:r w:rsidRPr="004308D7">
        <w:rPr>
          <w:szCs w:val="24"/>
        </w:rPr>
        <w:t>обязательно проведение поэтапного лабораторного исследования.</w:t>
      </w:r>
      <w:r>
        <w:rPr>
          <w:szCs w:val="24"/>
        </w:rPr>
        <w:t xml:space="preserve"> </w:t>
      </w:r>
    </w:p>
    <w:p w14:paraId="267C09D7" w14:textId="7454E2B9" w:rsidR="002C4EE9" w:rsidRPr="009F1473" w:rsidRDefault="002C4EE9" w:rsidP="002C4EE9">
      <w:pPr>
        <w:ind w:firstLine="709"/>
        <w:rPr>
          <w:szCs w:val="24"/>
        </w:rPr>
      </w:pPr>
      <w:r w:rsidRPr="009F1473">
        <w:rPr>
          <w:szCs w:val="24"/>
        </w:rPr>
        <w:t>Необходимо проведение следующих исследований</w:t>
      </w:r>
      <w:r>
        <w:rPr>
          <w:szCs w:val="24"/>
        </w:rPr>
        <w:t xml:space="preserve"> </w:t>
      </w:r>
      <w:r>
        <w:rPr>
          <w:szCs w:val="24"/>
        </w:rPr>
        <w:fldChar w:fldCharType="begin" w:fldLock="1"/>
      </w:r>
      <w:r w:rsidR="00141D88">
        <w:rPr>
          <w:szCs w:val="24"/>
        </w:rPr>
        <w:instrText>ADDIN CSL_CITATION {"citationItems":[{"id":"ITEM-1","itemData":{"DOI":"10.1111/ijlh.12822","ISSN":"1751553X","PMID":"29741250","abstract":"Introduction: Laboratory investigations for bleeding disorders are warranted when an individual has a personal and/or family history of bleeding, and/or laboratory findings that suggest the possibility of an inherited or acquired bleeding disorder. Methods: This review summarizes author's experience with ordering and reporting on diagnostic investigations for common and rare bleeding disorders, with consideration of recent articles on diagnosing bleeding disorders. An updated strategy is presented for investigating common and rare, congenital and acquired bleeding disorders. Results: An investigation of a suspected bleeding disorder requires a practical strategy that considers the clinical problem to be investigated, the pretest probability of true-positive and false-positive findings, the investigations can be performed locally or in a reference laboratory and limit the number of blood samples required to establish a diagnosis. It is often advantageous to simultaneously test for von Willebrand disease and platelet function disorders, and for coagulation defects, including fibrinogen disorders. An investigation for rarer bleeding disorders, including those affecting factor XIII, α2 antiplasmin, and plasminogen activator inhibitor-1, is appropriate when faced with a severe congenital or acquired bleeding problem that cannot be explained by the initial diagnostic investigations. Conclusion: An organized strategy for investigating bleeding disorders that consider important issues, confirms abnormal findings, encourages proper interpretation of the results, and provides a helpful framework for assessing both common and rare causes of bleeding.","author":[{"dropping-particle":"","family":"Hayward","given":"C. P.M.","non-dropping-particle":"","parse-names":false,"suffix":""}],"container-title":"International Journal of Laboratory Hematology","id":"ITEM-1","issued":{"date-parts":[["2018","5","1"]]},"page":"6-14","publisher":"Blackwell Publishing Ltd","title":"How I investigate for bleeding disorders","type":"article","volume":"40"},"uris":["http://www.mendeley.com/documents/?uuid=8c375aab-6218-4ed1-9ecf-6629bbffa285"]},{"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[66,67]","plainTextFormattedCitation":"[66,67]","previouslyFormattedCitation":"[66,67]"},"properties":{"noteIndex":0},"schema":"https://github.com/citation-style-language/schema/raw/master/csl-citation.json"}</w:instrText>
      </w:r>
      <w:r>
        <w:rPr>
          <w:szCs w:val="24"/>
        </w:rPr>
        <w:fldChar w:fldCharType="separate"/>
      </w:r>
      <w:r w:rsidRPr="002C4EE9">
        <w:rPr>
          <w:noProof/>
          <w:szCs w:val="24"/>
        </w:rPr>
        <w:t>[66,67]</w:t>
      </w:r>
      <w:r>
        <w:rPr>
          <w:szCs w:val="24"/>
        </w:rPr>
        <w:fldChar w:fldCharType="end"/>
      </w:r>
      <w:r w:rsidRPr="009F1473">
        <w:rPr>
          <w:szCs w:val="24"/>
        </w:rPr>
        <w:t xml:space="preserve">: </w:t>
      </w:r>
    </w:p>
    <w:p w14:paraId="7F925033" w14:textId="77777777" w:rsidR="002C4EE9" w:rsidRPr="00777FF8" w:rsidRDefault="002C4EE9" w:rsidP="002C4EE9">
      <w:pPr>
        <w:pStyle w:val="afe"/>
        <w:numPr>
          <w:ilvl w:val="1"/>
          <w:numId w:val="33"/>
        </w:numPr>
        <w:contextualSpacing w:val="0"/>
        <w:rPr>
          <w:szCs w:val="24"/>
        </w:rPr>
      </w:pPr>
      <w:r w:rsidRPr="00777FF8">
        <w:rPr>
          <w:szCs w:val="24"/>
        </w:rPr>
        <w:t>Исследование периферической крови с подсчетом количества эритроцитов, гемоглобина и гематокрита, тромбоцитов (с подсчетом в мазке по Фонио), лейкоцитов, лейкоцитарной формулы – обязательно при диагностике, далее - по показаниям с целью оценки динамики гематологических показателей и для контроля эффективности  лечения</w:t>
      </w:r>
      <w:r>
        <w:t xml:space="preserve">. </w:t>
      </w:r>
      <w:r w:rsidRPr="00777FF8">
        <w:rPr>
          <w:szCs w:val="24"/>
        </w:rPr>
        <w:t>При снижении количества тромбоцитов ≤ 20х10</w:t>
      </w:r>
      <w:r w:rsidRPr="00777FF8">
        <w:rPr>
          <w:szCs w:val="24"/>
          <w:vertAlign w:val="superscript"/>
        </w:rPr>
        <w:t>9</w:t>
      </w:r>
      <w:r w:rsidRPr="00777FF8">
        <w:rPr>
          <w:szCs w:val="24"/>
        </w:rPr>
        <w:t xml:space="preserve"> мкл геморрагические осложнения высоковероятны. Однако не всегда тяжесть геморрагических проявлений прямо коррелирует со степенью тромбоцитопении.</w:t>
      </w:r>
    </w:p>
    <w:p w14:paraId="2B1B9F3A" w14:textId="77777777" w:rsidR="002C4EE9" w:rsidRDefault="002C4EE9" w:rsidP="002C4EE9">
      <w:pPr>
        <w:pStyle w:val="afe"/>
        <w:numPr>
          <w:ilvl w:val="1"/>
          <w:numId w:val="33"/>
        </w:numPr>
        <w:contextualSpacing w:val="0"/>
        <w:rPr>
          <w:szCs w:val="24"/>
        </w:rPr>
      </w:pPr>
      <w:r w:rsidRPr="00777FF8">
        <w:rPr>
          <w:szCs w:val="24"/>
        </w:rPr>
        <w:t>Коагулограмма с определением следующих показателей:</w:t>
      </w:r>
    </w:p>
    <w:p w14:paraId="5DB840B8" w14:textId="77777777" w:rsidR="002C4EE9" w:rsidRDefault="002C4EE9" w:rsidP="002C4EE9">
      <w:pPr>
        <w:pStyle w:val="afe"/>
        <w:numPr>
          <w:ilvl w:val="2"/>
          <w:numId w:val="34"/>
        </w:numPr>
        <w:contextualSpacing w:val="0"/>
        <w:rPr>
          <w:szCs w:val="24"/>
        </w:rPr>
      </w:pPr>
      <w:r w:rsidRPr="00777FF8">
        <w:rPr>
          <w:szCs w:val="24"/>
        </w:rPr>
        <w:t>активированное частичное тромбопластиновое время (АЧТВ);</w:t>
      </w:r>
    </w:p>
    <w:p w14:paraId="0097CC15" w14:textId="77777777" w:rsidR="002C4EE9" w:rsidRDefault="002C4EE9" w:rsidP="002C4EE9">
      <w:pPr>
        <w:pStyle w:val="afe"/>
        <w:numPr>
          <w:ilvl w:val="2"/>
          <w:numId w:val="34"/>
        </w:numPr>
        <w:contextualSpacing w:val="0"/>
        <w:rPr>
          <w:szCs w:val="24"/>
        </w:rPr>
      </w:pPr>
      <w:r w:rsidRPr="00777FF8">
        <w:rPr>
          <w:szCs w:val="24"/>
        </w:rPr>
        <w:t>тромбиновое время (ТВ);</w:t>
      </w:r>
    </w:p>
    <w:p w14:paraId="5A7CF10F" w14:textId="77777777" w:rsidR="002C4EE9" w:rsidRDefault="002C4EE9" w:rsidP="002C4EE9">
      <w:pPr>
        <w:pStyle w:val="afe"/>
        <w:numPr>
          <w:ilvl w:val="2"/>
          <w:numId w:val="34"/>
        </w:numPr>
        <w:contextualSpacing w:val="0"/>
        <w:rPr>
          <w:szCs w:val="24"/>
        </w:rPr>
      </w:pPr>
      <w:r w:rsidRPr="00777FF8">
        <w:rPr>
          <w:szCs w:val="24"/>
        </w:rPr>
        <w:t>протромбин по Квику (международное нормализованное отношение - МНО);</w:t>
      </w:r>
    </w:p>
    <w:p w14:paraId="0638A578" w14:textId="77777777" w:rsidR="002C4EE9" w:rsidRDefault="002C4EE9" w:rsidP="002C4EE9">
      <w:pPr>
        <w:pStyle w:val="afe"/>
        <w:numPr>
          <w:ilvl w:val="2"/>
          <w:numId w:val="34"/>
        </w:numPr>
        <w:contextualSpacing w:val="0"/>
        <w:rPr>
          <w:szCs w:val="24"/>
        </w:rPr>
      </w:pPr>
      <w:r w:rsidRPr="00777FF8">
        <w:rPr>
          <w:szCs w:val="24"/>
        </w:rPr>
        <w:t>плазменная концентрация фибриногена;</w:t>
      </w:r>
    </w:p>
    <w:p w14:paraId="4630A371" w14:textId="77777777" w:rsidR="002C4EE9" w:rsidRDefault="002C4EE9" w:rsidP="002C4EE9">
      <w:pPr>
        <w:pStyle w:val="afe"/>
        <w:numPr>
          <w:ilvl w:val="2"/>
          <w:numId w:val="34"/>
        </w:numPr>
        <w:contextualSpacing w:val="0"/>
        <w:rPr>
          <w:szCs w:val="24"/>
        </w:rPr>
      </w:pPr>
      <w:r w:rsidRPr="00777FF8">
        <w:rPr>
          <w:szCs w:val="24"/>
        </w:rPr>
        <w:lastRenderedPageBreak/>
        <w:t>активность фактора Виллебранда (</w:t>
      </w:r>
      <w:r w:rsidRPr="00777FF8">
        <w:rPr>
          <w:szCs w:val="24"/>
          <w:lang w:val="en-US"/>
        </w:rPr>
        <w:t>vWF</w:t>
      </w:r>
      <w:r w:rsidRPr="00777FF8">
        <w:rPr>
          <w:szCs w:val="24"/>
        </w:rPr>
        <w:t xml:space="preserve">) и антигена  </w:t>
      </w:r>
      <w:r w:rsidRPr="00777FF8">
        <w:rPr>
          <w:szCs w:val="24"/>
          <w:lang w:val="en-US"/>
        </w:rPr>
        <w:t>vWF</w:t>
      </w:r>
      <w:r w:rsidRPr="00777FF8">
        <w:rPr>
          <w:szCs w:val="24"/>
        </w:rPr>
        <w:t xml:space="preserve"> (</w:t>
      </w:r>
      <w:r w:rsidRPr="00777FF8">
        <w:rPr>
          <w:szCs w:val="24"/>
          <w:lang w:val="en-US"/>
        </w:rPr>
        <w:t>ag</w:t>
      </w:r>
      <w:r w:rsidRPr="00777FF8">
        <w:rPr>
          <w:szCs w:val="24"/>
        </w:rPr>
        <w:t>-</w:t>
      </w:r>
      <w:r w:rsidRPr="00777FF8">
        <w:rPr>
          <w:szCs w:val="24"/>
          <w:lang w:val="en-US"/>
        </w:rPr>
        <w:t>vWF</w:t>
      </w:r>
      <w:r w:rsidRPr="00777FF8">
        <w:rPr>
          <w:szCs w:val="24"/>
        </w:rPr>
        <w:t>) – по показаниям;</w:t>
      </w:r>
    </w:p>
    <w:p w14:paraId="52FAFE64" w14:textId="77777777" w:rsidR="002C4EE9" w:rsidRDefault="002C4EE9" w:rsidP="002C4EE9">
      <w:pPr>
        <w:pStyle w:val="afe"/>
        <w:numPr>
          <w:ilvl w:val="2"/>
          <w:numId w:val="34"/>
        </w:numPr>
        <w:contextualSpacing w:val="0"/>
        <w:rPr>
          <w:szCs w:val="24"/>
        </w:rPr>
      </w:pPr>
      <w:r w:rsidRPr="00777FF8">
        <w:rPr>
          <w:szCs w:val="24"/>
        </w:rPr>
        <w:t xml:space="preserve">плазменная концентрация антитромбина III (АТ </w:t>
      </w:r>
      <w:r w:rsidRPr="00777FF8">
        <w:rPr>
          <w:szCs w:val="24"/>
          <w:lang w:val="en-US"/>
        </w:rPr>
        <w:t>III</w:t>
      </w:r>
      <w:r w:rsidRPr="00777FF8">
        <w:rPr>
          <w:szCs w:val="24"/>
        </w:rPr>
        <w:t>) – по показаниям;</w:t>
      </w:r>
    </w:p>
    <w:p w14:paraId="01FE2217" w14:textId="77777777" w:rsidR="002C4EE9" w:rsidRDefault="002C4EE9" w:rsidP="002C4EE9">
      <w:pPr>
        <w:pStyle w:val="afe"/>
        <w:numPr>
          <w:ilvl w:val="2"/>
          <w:numId w:val="34"/>
        </w:numPr>
        <w:contextualSpacing w:val="0"/>
        <w:rPr>
          <w:szCs w:val="24"/>
        </w:rPr>
      </w:pPr>
      <w:r w:rsidRPr="00777FF8">
        <w:rPr>
          <w:szCs w:val="24"/>
        </w:rPr>
        <w:t>агрегация тромбоцитов, индуцированная АДФ, адреналином, ристомицином, коллагеном, арахидоновой кислотой – по показаниям;</w:t>
      </w:r>
    </w:p>
    <w:p w14:paraId="0D6E8514" w14:textId="77777777" w:rsidR="002C4EE9" w:rsidRDefault="002C4EE9" w:rsidP="002C4EE9">
      <w:pPr>
        <w:pStyle w:val="afe"/>
        <w:numPr>
          <w:ilvl w:val="2"/>
          <w:numId w:val="34"/>
        </w:numPr>
        <w:contextualSpacing w:val="0"/>
        <w:rPr>
          <w:szCs w:val="24"/>
        </w:rPr>
      </w:pPr>
      <w:r w:rsidRPr="00777FF8">
        <w:rPr>
          <w:szCs w:val="24"/>
        </w:rPr>
        <w:t xml:space="preserve">активность факторов свертывания крови </w:t>
      </w:r>
      <w:r w:rsidRPr="00777FF8">
        <w:rPr>
          <w:szCs w:val="24"/>
          <w:lang w:val="en-US"/>
        </w:rPr>
        <w:t>II</w:t>
      </w:r>
      <w:r w:rsidRPr="00777FF8">
        <w:rPr>
          <w:szCs w:val="24"/>
        </w:rPr>
        <w:t xml:space="preserve">, </w:t>
      </w:r>
      <w:r w:rsidRPr="00777FF8">
        <w:rPr>
          <w:szCs w:val="24"/>
          <w:lang w:val="en-US"/>
        </w:rPr>
        <w:t>V</w:t>
      </w:r>
      <w:r w:rsidRPr="00777FF8">
        <w:rPr>
          <w:szCs w:val="24"/>
        </w:rPr>
        <w:t xml:space="preserve">, </w:t>
      </w:r>
      <w:r w:rsidRPr="00777FF8">
        <w:rPr>
          <w:szCs w:val="24"/>
          <w:lang w:val="en-US"/>
        </w:rPr>
        <w:t>VII</w:t>
      </w:r>
      <w:r w:rsidRPr="00777FF8">
        <w:rPr>
          <w:szCs w:val="24"/>
        </w:rPr>
        <w:t xml:space="preserve">, </w:t>
      </w:r>
      <w:r w:rsidRPr="00777FF8">
        <w:rPr>
          <w:szCs w:val="24"/>
          <w:lang w:val="en-US"/>
        </w:rPr>
        <w:t>VIII</w:t>
      </w:r>
      <w:r w:rsidRPr="00777FF8">
        <w:rPr>
          <w:szCs w:val="24"/>
        </w:rPr>
        <w:t xml:space="preserve">, </w:t>
      </w:r>
      <w:r w:rsidRPr="00777FF8">
        <w:rPr>
          <w:szCs w:val="24"/>
          <w:lang w:val="en-US"/>
        </w:rPr>
        <w:t>IX</w:t>
      </w:r>
      <w:r w:rsidRPr="00777FF8">
        <w:rPr>
          <w:szCs w:val="24"/>
        </w:rPr>
        <w:t xml:space="preserve">, </w:t>
      </w:r>
      <w:r w:rsidRPr="00777FF8">
        <w:rPr>
          <w:szCs w:val="24"/>
          <w:lang w:val="en-US"/>
        </w:rPr>
        <w:t>X</w:t>
      </w:r>
      <w:r w:rsidRPr="00777FF8">
        <w:rPr>
          <w:szCs w:val="24"/>
        </w:rPr>
        <w:t xml:space="preserve">, </w:t>
      </w:r>
      <w:r w:rsidRPr="00777FF8">
        <w:rPr>
          <w:szCs w:val="24"/>
          <w:lang w:val="en-US"/>
        </w:rPr>
        <w:t>XI</w:t>
      </w:r>
      <w:r w:rsidRPr="00777FF8">
        <w:rPr>
          <w:szCs w:val="24"/>
        </w:rPr>
        <w:t xml:space="preserve">, </w:t>
      </w:r>
      <w:r w:rsidRPr="00777FF8">
        <w:rPr>
          <w:szCs w:val="24"/>
          <w:lang w:val="en-US"/>
        </w:rPr>
        <w:t>XII</w:t>
      </w:r>
      <w:r w:rsidRPr="00777FF8">
        <w:rPr>
          <w:szCs w:val="24"/>
        </w:rPr>
        <w:t xml:space="preserve">, </w:t>
      </w:r>
      <w:r w:rsidRPr="00777FF8">
        <w:rPr>
          <w:szCs w:val="24"/>
          <w:lang w:val="en-US"/>
        </w:rPr>
        <w:t>XIII</w:t>
      </w:r>
      <w:r w:rsidRPr="00777FF8">
        <w:rPr>
          <w:szCs w:val="24"/>
        </w:rPr>
        <w:t xml:space="preserve"> – по показаниям;</w:t>
      </w:r>
    </w:p>
    <w:p w14:paraId="63F41700" w14:textId="77777777" w:rsidR="002C4EE9" w:rsidRPr="00777FF8" w:rsidRDefault="002C4EE9" w:rsidP="002C4EE9">
      <w:pPr>
        <w:pStyle w:val="afe"/>
        <w:numPr>
          <w:ilvl w:val="2"/>
          <w:numId w:val="34"/>
        </w:numPr>
        <w:contextualSpacing w:val="0"/>
        <w:rPr>
          <w:szCs w:val="24"/>
        </w:rPr>
      </w:pPr>
      <w:r w:rsidRPr="00777FF8">
        <w:rPr>
          <w:szCs w:val="24"/>
        </w:rPr>
        <w:t>XIIa-зависимый фибринолиз.</w:t>
      </w:r>
    </w:p>
    <w:p w14:paraId="26233777" w14:textId="77777777" w:rsidR="002C4EE9" w:rsidRPr="00777FF8" w:rsidRDefault="002C4EE9" w:rsidP="002C4EE9">
      <w:pPr>
        <w:widowControl w:val="0"/>
        <w:autoSpaceDE w:val="0"/>
        <w:autoSpaceDN w:val="0"/>
        <w:adjustRightInd w:val="0"/>
        <w:ind w:left="1418"/>
        <w:rPr>
          <w:szCs w:val="24"/>
        </w:rPr>
      </w:pPr>
      <w:r w:rsidRPr="00777FF8">
        <w:rPr>
          <w:szCs w:val="24"/>
        </w:rPr>
        <w:t>Для исследования показателей гемостаза забор крови производят строго натощак, с помощью вакуумных пробирок. Забор крови из катетеров запрещен. Кровь набирают в пробирки, содержащие 3,2% цитрат натрия в соотношении 1:9. Исследование должно проводиться не позднее 2-х часов после забора крови.  Достоверность результатов агрегабельности тромбоцитов можно оценить только при содержании в крови тромбоцитов ≥ 100х10</w:t>
      </w:r>
      <w:r w:rsidRPr="00777FF8">
        <w:rPr>
          <w:szCs w:val="24"/>
          <w:vertAlign w:val="superscript"/>
        </w:rPr>
        <w:t>9</w:t>
      </w:r>
      <w:r w:rsidRPr="00777FF8">
        <w:rPr>
          <w:szCs w:val="24"/>
        </w:rPr>
        <w:t>/л.</w:t>
      </w:r>
    </w:p>
    <w:p w14:paraId="30138941" w14:textId="77777777" w:rsidR="002C4EE9" w:rsidRPr="00777FF8" w:rsidRDefault="002C4EE9" w:rsidP="002C4EE9">
      <w:pPr>
        <w:autoSpaceDE w:val="0"/>
        <w:autoSpaceDN w:val="0"/>
        <w:adjustRightInd w:val="0"/>
        <w:ind w:left="1418"/>
        <w:rPr>
          <w:szCs w:val="24"/>
        </w:rPr>
      </w:pPr>
      <w:r w:rsidRPr="00777FF8">
        <w:rPr>
          <w:szCs w:val="24"/>
        </w:rPr>
        <w:t>У пациентов с лимфомами  уменьшение  протромбина по Квику  (повышение МНО) может быть обусловлено различными видами приобретенного дефицита факторов протромбинового комплекса, в первую очередь вследствие тяжелой патологии печени, механической желтухи, вторичного антифосфолипидного синдрома, токсического действия антикоагулянтов непрямого действия, эндогенного дефицита витамина </w:t>
      </w:r>
      <w:r w:rsidRPr="00777FF8">
        <w:rPr>
          <w:szCs w:val="24"/>
          <w:lang w:val="en-US"/>
        </w:rPr>
        <w:t>K</w:t>
      </w:r>
      <w:r w:rsidRPr="00777FF8">
        <w:rPr>
          <w:szCs w:val="24"/>
        </w:rPr>
        <w:t>, тяжелых инфекций, онкологических заболеваний системы крови, системного амилоидоза и нефротического синдрома. Кроме того, подобные изменения характерны для наследственного дефицита К-зависимых факторов свертывания крови.</w:t>
      </w:r>
    </w:p>
    <w:p w14:paraId="78853EDA" w14:textId="77777777" w:rsidR="002C4EE9" w:rsidRPr="00777FF8" w:rsidRDefault="002C4EE9" w:rsidP="002C4EE9">
      <w:pPr>
        <w:autoSpaceDE w:val="0"/>
        <w:autoSpaceDN w:val="0"/>
        <w:adjustRightInd w:val="0"/>
        <w:ind w:left="1418"/>
        <w:rPr>
          <w:b/>
          <w:szCs w:val="24"/>
        </w:rPr>
      </w:pPr>
      <w:r w:rsidRPr="00777FF8">
        <w:rPr>
          <w:szCs w:val="24"/>
        </w:rPr>
        <w:t>Пациентам с выявленным снижением активности FVIII или FIX рекомендуется выполнить определение специфического ингибитора к сниженному фактору.</w:t>
      </w:r>
      <w:r w:rsidRPr="00777FF8">
        <w:rPr>
          <w:b/>
          <w:szCs w:val="24"/>
        </w:rPr>
        <w:t xml:space="preserve"> </w:t>
      </w:r>
    </w:p>
    <w:p w14:paraId="2AC932E6" w14:textId="77777777" w:rsidR="002C4EE9" w:rsidRPr="00777FF8" w:rsidRDefault="002C4EE9" w:rsidP="002C4EE9">
      <w:pPr>
        <w:pStyle w:val="afe"/>
        <w:numPr>
          <w:ilvl w:val="1"/>
          <w:numId w:val="33"/>
        </w:numPr>
        <w:contextualSpacing w:val="0"/>
        <w:rPr>
          <w:szCs w:val="24"/>
        </w:rPr>
      </w:pPr>
      <w:r w:rsidRPr="00777FF8">
        <w:rPr>
          <w:szCs w:val="24"/>
        </w:rPr>
        <w:t xml:space="preserve">Биохимический анализ крови: общий белок, альбумины, общий и прямой/непрямой билирубин, АСТ, АЛТ, ЛДГ, мочевая кислота, мочевина, креатинин, щелочная фосфатаза, гамма-ГТП – при диагностике, далее по показаниям. </w:t>
      </w:r>
    </w:p>
    <w:p w14:paraId="03B26538" w14:textId="77777777" w:rsidR="002C4EE9" w:rsidRPr="00777FF8" w:rsidRDefault="002C4EE9" w:rsidP="002C4EE9">
      <w:pPr>
        <w:pStyle w:val="afe"/>
        <w:ind w:left="1418"/>
        <w:rPr>
          <w:rStyle w:val="affb"/>
          <w:i w:val="0"/>
        </w:rPr>
      </w:pPr>
      <w:r w:rsidRPr="00777FF8">
        <w:rPr>
          <w:rStyle w:val="affa"/>
          <w:b w:val="0"/>
          <w:szCs w:val="24"/>
          <w:shd w:val="clear" w:color="auto" w:fill="FFFFFF"/>
        </w:rPr>
        <w:t>В</w:t>
      </w:r>
      <w:r w:rsidRPr="00777FF8">
        <w:rPr>
          <w:rStyle w:val="affb"/>
        </w:rPr>
        <w:t xml:space="preserve">ыполнение биохимического анализа крови необходимо для уточнения функциональной способности печени, почек, что важно для установления диагноза и выбора адекватной терапии. </w:t>
      </w:r>
    </w:p>
    <w:p w14:paraId="6DE1C9A4" w14:textId="77777777" w:rsidR="002C4EE9" w:rsidRPr="00777FF8" w:rsidRDefault="002C4EE9" w:rsidP="002C4EE9">
      <w:pPr>
        <w:pStyle w:val="afe"/>
        <w:numPr>
          <w:ilvl w:val="1"/>
          <w:numId w:val="33"/>
        </w:numPr>
        <w:contextualSpacing w:val="0"/>
        <w:rPr>
          <w:szCs w:val="24"/>
        </w:rPr>
      </w:pPr>
      <w:r w:rsidRPr="00777FF8">
        <w:rPr>
          <w:szCs w:val="24"/>
        </w:rPr>
        <w:lastRenderedPageBreak/>
        <w:t xml:space="preserve">Определение концентрации гомоцистеина – по показаниям. </w:t>
      </w:r>
    </w:p>
    <w:p w14:paraId="0A01908B" w14:textId="77777777" w:rsidR="002C4EE9" w:rsidRPr="00777FF8" w:rsidRDefault="002C4EE9" w:rsidP="002C4EE9">
      <w:pPr>
        <w:pStyle w:val="afe"/>
        <w:numPr>
          <w:ilvl w:val="1"/>
          <w:numId w:val="33"/>
        </w:numPr>
        <w:contextualSpacing w:val="0"/>
        <w:rPr>
          <w:szCs w:val="24"/>
        </w:rPr>
      </w:pPr>
      <w:r w:rsidRPr="00777FF8">
        <w:rPr>
          <w:szCs w:val="24"/>
        </w:rPr>
        <w:t>Для верификации диагноза антифосфолипидного синдрома (АФС) необходимо определение волчаночного антикогулянта, антител к кардиолипину IgG, IgM; антител к β2-гликопротеину-1 IgG, IgM с повторным их исследованием через 12 недель – по показаниям.</w:t>
      </w:r>
    </w:p>
    <w:p w14:paraId="7912D0A0" w14:textId="77777777" w:rsidR="002C4EE9" w:rsidRPr="000E3106" w:rsidRDefault="002C4EE9" w:rsidP="002C4EE9">
      <w:pPr>
        <w:pStyle w:val="Numlist"/>
        <w:numPr>
          <w:ilvl w:val="1"/>
          <w:numId w:val="33"/>
        </w:numPr>
        <w:spacing w:line="360" w:lineRule="auto"/>
      </w:pPr>
      <w:r>
        <w:t>Тромбоэластография, пространственная тромбодинамика и определение тромбинового</w:t>
      </w:r>
      <w:r w:rsidRPr="00CB6966">
        <w:t xml:space="preserve"> потенциал</w:t>
      </w:r>
      <w:r>
        <w:t>а – по показаниям</w:t>
      </w:r>
      <w:r w:rsidRPr="00CB6966">
        <w:t>.</w:t>
      </w:r>
      <w:r>
        <w:t xml:space="preserve"> </w:t>
      </w:r>
    </w:p>
    <w:p w14:paraId="61DA89CD" w14:textId="77777777" w:rsidR="002C4EE9" w:rsidRPr="00777FF8" w:rsidRDefault="002C4EE9" w:rsidP="002C4EE9">
      <w:pPr>
        <w:pStyle w:val="Numlist"/>
        <w:numPr>
          <w:ilvl w:val="1"/>
          <w:numId w:val="33"/>
        </w:numPr>
        <w:spacing w:line="360" w:lineRule="auto"/>
        <w:rPr>
          <w:rStyle w:val="affb"/>
          <w:i w:val="0"/>
        </w:rPr>
      </w:pPr>
      <w:r w:rsidRPr="000E3106">
        <w:t xml:space="preserve">Молекулярно-генетическая диагностика мутаций генов </w:t>
      </w:r>
      <w:r w:rsidRPr="00777FF8">
        <w:rPr>
          <w:lang w:val="en-US"/>
        </w:rPr>
        <w:t>FI</w:t>
      </w:r>
      <w:r w:rsidRPr="00777FF8">
        <w:t xml:space="preserve">, </w:t>
      </w:r>
      <w:r w:rsidRPr="00777FF8">
        <w:rPr>
          <w:lang w:val="en-US"/>
        </w:rPr>
        <w:t>F</w:t>
      </w:r>
      <w:r w:rsidRPr="00777FF8">
        <w:t xml:space="preserve">II, </w:t>
      </w:r>
      <w:r w:rsidRPr="00777FF8">
        <w:rPr>
          <w:lang w:val="en-US"/>
        </w:rPr>
        <w:t>FV</w:t>
      </w:r>
      <w:r w:rsidRPr="00777FF8">
        <w:t xml:space="preserve">, </w:t>
      </w:r>
      <w:r w:rsidRPr="00777FF8">
        <w:rPr>
          <w:lang w:val="en-US"/>
        </w:rPr>
        <w:t>FVII</w:t>
      </w:r>
      <w:r w:rsidRPr="00777FF8">
        <w:t>,</w:t>
      </w:r>
      <w:r w:rsidRPr="000E3106">
        <w:rPr>
          <w:i/>
        </w:rPr>
        <w:t xml:space="preserve"> </w:t>
      </w:r>
      <w:r w:rsidRPr="00777FF8">
        <w:t xml:space="preserve">FVIII, FIX, </w:t>
      </w:r>
      <w:r w:rsidRPr="00777FF8">
        <w:rPr>
          <w:lang w:val="en-US"/>
        </w:rPr>
        <w:t>FX</w:t>
      </w:r>
      <w:r w:rsidRPr="00777FF8">
        <w:t xml:space="preserve">, </w:t>
      </w:r>
      <w:r w:rsidRPr="00777FF8">
        <w:rPr>
          <w:lang w:val="en-US"/>
        </w:rPr>
        <w:t>FXI</w:t>
      </w:r>
      <w:r w:rsidRPr="00777FF8">
        <w:t xml:space="preserve">, </w:t>
      </w:r>
      <w:r w:rsidRPr="00777FF8">
        <w:rPr>
          <w:lang w:val="en-US"/>
        </w:rPr>
        <w:t>FXII</w:t>
      </w:r>
      <w:r w:rsidRPr="00777FF8">
        <w:t xml:space="preserve">, </w:t>
      </w:r>
      <w:r w:rsidRPr="00777FF8">
        <w:rPr>
          <w:lang w:val="en-US"/>
        </w:rPr>
        <w:t>FXIII</w:t>
      </w:r>
      <w:r w:rsidRPr="00777FF8">
        <w:t xml:space="preserve"> - рекомендуется при выявлении у пациента изолированного снижения одного из перечисленных факторов свертывания крови </w:t>
      </w:r>
      <w:r w:rsidRPr="00777FF8">
        <w:rPr>
          <w:rStyle w:val="affb"/>
        </w:rPr>
        <w:t>для исключения наследственных форм заболеваний.</w:t>
      </w:r>
    </w:p>
    <w:p w14:paraId="17E56B18" w14:textId="77777777" w:rsidR="002C4EE9" w:rsidRPr="00777FF8" w:rsidRDefault="002C4EE9" w:rsidP="002C4EE9">
      <w:pPr>
        <w:pStyle w:val="Numlist"/>
        <w:numPr>
          <w:ilvl w:val="1"/>
          <w:numId w:val="33"/>
        </w:numPr>
        <w:spacing w:line="360" w:lineRule="auto"/>
        <w:rPr>
          <w:rStyle w:val="affb"/>
          <w:i w:val="0"/>
        </w:rPr>
      </w:pPr>
      <w:r w:rsidRPr="00777FF8">
        <w:rPr>
          <w:rStyle w:val="affb"/>
        </w:rPr>
        <w:t>Определение функциональной активности тромбоцитов – по показаниям.</w:t>
      </w:r>
    </w:p>
    <w:p w14:paraId="574A4797" w14:textId="1C1CB446" w:rsidR="002C4EE9" w:rsidRDefault="002C4EE9" w:rsidP="002C4EE9">
      <w:pPr>
        <w:pStyle w:val="Numlist"/>
        <w:spacing w:line="360" w:lineRule="auto"/>
        <w:ind w:firstLine="709"/>
      </w:pPr>
      <w:r w:rsidRPr="00C731E3">
        <w:t xml:space="preserve">Лабораторную оценку состояния системы свертывания крови </w:t>
      </w:r>
      <w:r>
        <w:t xml:space="preserve">в объеме, определяемым лечащим врачом, </w:t>
      </w:r>
      <w:r w:rsidRPr="00C731E3">
        <w:t xml:space="preserve">осуществляют </w:t>
      </w:r>
      <w:r>
        <w:t>при первичном</w:t>
      </w:r>
      <w:r w:rsidRPr="00C731E3">
        <w:t xml:space="preserve"> обследовании больного, до начала </w:t>
      </w:r>
      <w:r>
        <w:t xml:space="preserve">проведения специфической терапии, в том числе </w:t>
      </w:r>
      <w:r w:rsidRPr="00C731E3">
        <w:t xml:space="preserve">перед каждым курсом </w:t>
      </w:r>
      <w:r>
        <w:t>ХТ (по показаниям)</w:t>
      </w:r>
      <w:r w:rsidRPr="00C731E3">
        <w:t xml:space="preserve">, </w:t>
      </w:r>
      <w:r>
        <w:t xml:space="preserve">а также </w:t>
      </w:r>
      <w:r w:rsidRPr="00C731E3">
        <w:t>в случае разв</w:t>
      </w:r>
      <w:r>
        <w:t xml:space="preserve">ития геморрагических осложнений на любом этапе наблюдения и лечения гематологического пациента </w:t>
      </w:r>
      <w:r>
        <w:fldChar w:fldCharType="begin" w:fldLock="1"/>
      </w:r>
      <w:r w:rsidR="00141D88">
        <w:instrText>ADDIN CSL_CITATION {"citationItems":[{"id":"ITEM-1","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-1","issued":{"date-parts":[["2010"]]},"number-of-pages":"192","title":"Практическая коагулология","type":"book"},"uris":["http://www.mendeley.com/documents/?uuid=36d7b04e-d654-47d2-a073-3cc2bb6e80ce"]},{"id":"ITEM-2","itemData":{"DOI":"10.1111/ijlh.12822","ISSN":"1751553X","PMID":"29741250","abstract":"Introduction: Laboratory investigations for bleeding disorders are warranted when an individual has a personal and/or family history of bleeding, and/or laboratory findings that suggest the possibility of an inherited or acquired bleeding disorder. Methods: This review summarizes author's experience with ordering and reporting on diagnostic investigations for common and rare bleeding disorders, with consideration of recent articles on diagnosing bleeding disorders. An updated strategy is presented for investigating common and rare, congenital and acquired bleeding disorders. Results: An investigation of a suspected bleeding disorder requires a practical strategy that considers the clinical problem to be investigated, the pretest probability of true-positive and false-positive findings, the investigations can be performed locally or in a reference laboratory and limit the number of blood samples required to establish a diagnosis. It is often advantageous to simultaneously test for von Willebrand disease and platelet function disorders, and for coagulation defects, including fibrinogen disorders. An investigation for rarer bleeding disorders, including those affecting factor XIII, α2 antiplasmin, and plasminogen activator inhibitor-1, is appropriate when faced with a severe congenital or acquired bleeding problem that cannot be explained by the initial diagnostic investigations. Conclusion: An organized strategy for investigating bleeding disorders that consider important issues, confirms abnormal findings, encourages proper interpretation of the results, and provides a helpful framework for assessing both common and rare causes of bleeding.","author":[{"dropping-particle":"","family":"Hayward","given":"C. P.M.","non-dropping-particle":"","parse-names":false,"suffix":""}],"container-title":"International Journal of Laboratory Hematology","id":"ITEM-2","issued":{"date-parts":[["2018","5","1"]]},"page":"6-14","publisher":"Blackwell Publishing Ltd","title":"How I investigate for bleeding disorders","type":"article","volume":"40"},"uris":["http://www.mendeley.com/documents/?uuid=8c375aab-6218-4ed1-9ecf-6629bbffa285"]}],"mendeley":{"formattedCitation":"[66,67]","plainTextFormattedCitation":"[66,67]","previouslyFormattedCitation":"[66,67]"},"properties":{"noteIndex":0},"schema":"https://github.com/citation-style-language/schema/raw/master/csl-citation.json"}</w:instrText>
      </w:r>
      <w:r>
        <w:fldChar w:fldCharType="separate"/>
      </w:r>
      <w:r w:rsidRPr="002C4EE9">
        <w:rPr>
          <w:noProof/>
        </w:rPr>
        <w:t>[66,67]</w:t>
      </w:r>
      <w:r>
        <w:fldChar w:fldCharType="end"/>
      </w:r>
      <w:r>
        <w:t>.</w:t>
      </w:r>
    </w:p>
    <w:p w14:paraId="57A95DD2" w14:textId="77777777" w:rsidR="002C4EE9" w:rsidRPr="00CB6966" w:rsidRDefault="002C4EE9" w:rsidP="002C4EE9">
      <w:pPr>
        <w:pStyle w:val="Numlist"/>
        <w:spacing w:line="360" w:lineRule="auto"/>
        <w:ind w:firstLine="709"/>
      </w:pPr>
    </w:p>
    <w:p w14:paraId="178125B2" w14:textId="77777777" w:rsidR="002C4EE9" w:rsidRPr="00777FF8" w:rsidRDefault="002C4EE9" w:rsidP="002C4EE9">
      <w:pPr>
        <w:pStyle w:val="afd"/>
        <w:spacing w:beforeAutospacing="0" w:afterAutospacing="0" w:line="360" w:lineRule="auto"/>
        <w:rPr>
          <w:i/>
          <w:iCs/>
          <w:u w:val="single"/>
        </w:rPr>
      </w:pPr>
      <w:r w:rsidRPr="00777FF8">
        <w:rPr>
          <w:bCs/>
          <w:i/>
          <w:iCs/>
          <w:u w:val="single"/>
        </w:rPr>
        <w:t xml:space="preserve">Инструментальная диагностика. </w:t>
      </w:r>
    </w:p>
    <w:p w14:paraId="508FE06D" w14:textId="77777777" w:rsidR="002C4EE9" w:rsidRPr="000E3106" w:rsidRDefault="002C4EE9" w:rsidP="002C4EE9">
      <w:pPr>
        <w:pStyle w:val="aff4"/>
        <w:spacing w:line="360" w:lineRule="auto"/>
        <w:ind w:firstLine="709"/>
        <w:contextualSpacing/>
        <w:rPr>
          <w:sz w:val="24"/>
          <w:szCs w:val="24"/>
        </w:rPr>
      </w:pPr>
      <w:r>
        <w:rPr>
          <w:rStyle w:val="affa"/>
          <w:rFonts w:eastAsia="Times New Roman"/>
          <w:b w:val="0"/>
          <w:sz w:val="24"/>
          <w:szCs w:val="24"/>
        </w:rPr>
        <w:t>Выполнение и</w:t>
      </w:r>
      <w:r w:rsidRPr="00952A93">
        <w:rPr>
          <w:rStyle w:val="affa"/>
          <w:rFonts w:eastAsia="Times New Roman"/>
          <w:b w:val="0"/>
          <w:sz w:val="24"/>
          <w:szCs w:val="24"/>
        </w:rPr>
        <w:t>нструментальн</w:t>
      </w:r>
      <w:r>
        <w:rPr>
          <w:rStyle w:val="affa"/>
          <w:rFonts w:eastAsia="Times New Roman"/>
          <w:b w:val="0"/>
          <w:sz w:val="24"/>
          <w:szCs w:val="24"/>
        </w:rPr>
        <w:t>ой</w:t>
      </w:r>
      <w:r w:rsidRPr="00952A93">
        <w:rPr>
          <w:rStyle w:val="affa"/>
          <w:rFonts w:eastAsia="Times New Roman"/>
          <w:b w:val="0"/>
          <w:sz w:val="24"/>
          <w:szCs w:val="24"/>
        </w:rPr>
        <w:t xml:space="preserve"> диагностик</w:t>
      </w:r>
      <w:r>
        <w:rPr>
          <w:rStyle w:val="affa"/>
          <w:rFonts w:eastAsia="Times New Roman"/>
          <w:b w:val="0"/>
          <w:sz w:val="24"/>
          <w:szCs w:val="24"/>
        </w:rPr>
        <w:t>и</w:t>
      </w:r>
      <w:r w:rsidRPr="000E3106">
        <w:rPr>
          <w:sz w:val="24"/>
          <w:szCs w:val="24"/>
        </w:rPr>
        <w:t xml:space="preserve"> </w:t>
      </w:r>
      <w:r>
        <w:rPr>
          <w:sz w:val="24"/>
          <w:szCs w:val="24"/>
        </w:rPr>
        <w:t>р</w:t>
      </w:r>
      <w:r w:rsidRPr="000E3106">
        <w:rPr>
          <w:sz w:val="24"/>
          <w:szCs w:val="24"/>
        </w:rPr>
        <w:t xml:space="preserve">екомендуется </w:t>
      </w:r>
      <w:r>
        <w:rPr>
          <w:sz w:val="24"/>
          <w:szCs w:val="24"/>
        </w:rPr>
        <w:t xml:space="preserve">по возможности и по показаниям  </w:t>
      </w:r>
      <w:r w:rsidRPr="000E3106">
        <w:rPr>
          <w:sz w:val="24"/>
          <w:szCs w:val="24"/>
        </w:rPr>
        <w:t xml:space="preserve">всем пациентам с геморрагическими проявлениями на любом этапе обследования и лечения, наблюдения пациента и позволяет визуализировать кровотечения/кровоизлияния различных локализаций, а также </w:t>
      </w:r>
      <w:r>
        <w:rPr>
          <w:sz w:val="24"/>
          <w:szCs w:val="24"/>
        </w:rPr>
        <w:t>позволяет мониторировать проводимую терапию</w:t>
      </w:r>
      <w:r w:rsidRPr="000E3106">
        <w:rPr>
          <w:sz w:val="24"/>
          <w:szCs w:val="24"/>
        </w:rPr>
        <w:t xml:space="preserve"> геморрагического синдрома.</w:t>
      </w:r>
    </w:p>
    <w:p w14:paraId="3AA1895E" w14:textId="4AF4E333" w:rsidR="002C4EE9" w:rsidRDefault="002C4EE9" w:rsidP="002C4EE9">
      <w:pPr>
        <w:pStyle w:val="aff4"/>
        <w:spacing w:line="360" w:lineRule="auto"/>
        <w:ind w:firstLine="709"/>
        <w:contextualSpacing/>
        <w:rPr>
          <w:sz w:val="24"/>
          <w:szCs w:val="24"/>
        </w:rPr>
      </w:pPr>
      <w:r w:rsidRPr="000E3106">
        <w:rPr>
          <w:sz w:val="24"/>
          <w:szCs w:val="24"/>
        </w:rPr>
        <w:t>По показаниям проводится: эзофагогастродуоденоскопия</w:t>
      </w:r>
      <w:r>
        <w:rPr>
          <w:sz w:val="24"/>
          <w:szCs w:val="24"/>
        </w:rPr>
        <w:t xml:space="preserve"> </w:t>
      </w:r>
      <w:r w:rsidRPr="006E084C">
        <w:rPr>
          <w:iCs/>
          <w:sz w:val="24"/>
          <w:szCs w:val="24"/>
        </w:rPr>
        <w:t>(ЭГДС)</w:t>
      </w:r>
      <w:r w:rsidRPr="006E084C">
        <w:rPr>
          <w:sz w:val="24"/>
          <w:szCs w:val="24"/>
        </w:rPr>
        <w:t>;</w:t>
      </w:r>
      <w:r w:rsidRPr="008922C4">
        <w:rPr>
          <w:sz w:val="24"/>
          <w:szCs w:val="24"/>
        </w:rPr>
        <w:t xml:space="preserve"> </w:t>
      </w:r>
      <w:r w:rsidRPr="000E3106">
        <w:rPr>
          <w:sz w:val="24"/>
          <w:szCs w:val="24"/>
        </w:rPr>
        <w:t xml:space="preserve"> </w:t>
      </w:r>
      <w:r>
        <w:rPr>
          <w:sz w:val="24"/>
          <w:szCs w:val="24"/>
        </w:rPr>
        <w:t>колоноскопия; бронхоскопия; видеокапсульная эндоскопия;</w:t>
      </w:r>
      <w:r w:rsidRPr="000E3106">
        <w:rPr>
          <w:sz w:val="24"/>
          <w:szCs w:val="24"/>
        </w:rPr>
        <w:t xml:space="preserve"> </w:t>
      </w:r>
      <w:r>
        <w:rPr>
          <w:sz w:val="24"/>
          <w:szCs w:val="24"/>
        </w:rPr>
        <w:t>ультразвуковое исследование (</w:t>
      </w:r>
      <w:r w:rsidRPr="000E3106">
        <w:rPr>
          <w:sz w:val="24"/>
          <w:szCs w:val="24"/>
        </w:rPr>
        <w:t>УЗИ</w:t>
      </w:r>
      <w:r>
        <w:rPr>
          <w:sz w:val="24"/>
          <w:szCs w:val="24"/>
        </w:rPr>
        <w:t>)</w:t>
      </w:r>
      <w:r w:rsidRPr="000E3106">
        <w:rPr>
          <w:sz w:val="24"/>
          <w:szCs w:val="24"/>
        </w:rPr>
        <w:t xml:space="preserve"> </w:t>
      </w:r>
      <w:r>
        <w:rPr>
          <w:sz w:val="24"/>
          <w:szCs w:val="24"/>
        </w:rPr>
        <w:t xml:space="preserve">органов брюшной полости, мочевыводящих путей, </w:t>
      </w:r>
      <w:r w:rsidRPr="000E3106">
        <w:rPr>
          <w:sz w:val="24"/>
          <w:szCs w:val="24"/>
        </w:rPr>
        <w:t xml:space="preserve">забрюшинного пространства, </w:t>
      </w:r>
      <w:r>
        <w:rPr>
          <w:sz w:val="24"/>
          <w:szCs w:val="24"/>
        </w:rPr>
        <w:t xml:space="preserve">органов </w:t>
      </w:r>
      <w:r w:rsidRPr="000E3106">
        <w:rPr>
          <w:sz w:val="24"/>
          <w:szCs w:val="24"/>
        </w:rPr>
        <w:t xml:space="preserve">малого таза, суставов </w:t>
      </w:r>
      <w:r>
        <w:rPr>
          <w:sz w:val="24"/>
          <w:szCs w:val="24"/>
        </w:rPr>
        <w:t>(</w:t>
      </w:r>
      <w:r w:rsidRPr="000E3106">
        <w:rPr>
          <w:sz w:val="24"/>
          <w:szCs w:val="24"/>
        </w:rPr>
        <w:t>при наличии гемартрозов</w:t>
      </w:r>
      <w:r>
        <w:rPr>
          <w:sz w:val="24"/>
          <w:szCs w:val="24"/>
        </w:rPr>
        <w:t>);</w:t>
      </w:r>
      <w:r w:rsidRPr="000E3106">
        <w:rPr>
          <w:sz w:val="24"/>
          <w:szCs w:val="24"/>
        </w:rPr>
        <w:t xml:space="preserve"> </w:t>
      </w:r>
      <w:r>
        <w:rPr>
          <w:sz w:val="24"/>
          <w:szCs w:val="24"/>
        </w:rPr>
        <w:t xml:space="preserve">рентгенологическое исследование органов грудной клетки, суставов; компьютерная томография (КТ) </w:t>
      </w:r>
      <w:r w:rsidRPr="000E3106">
        <w:rPr>
          <w:sz w:val="24"/>
          <w:szCs w:val="24"/>
        </w:rPr>
        <w:t>органов грудной клетки, головного мозга</w:t>
      </w:r>
      <w:r>
        <w:rPr>
          <w:sz w:val="24"/>
          <w:szCs w:val="24"/>
        </w:rPr>
        <w:t xml:space="preserve">, брюшной полости; магнитно-резонансная томография (МРТ) органов грудной клетки, головного мозга, органов брюшной полости и забрюшинного пространства, суставов, мягких тканей </w:t>
      </w:r>
      <w:r>
        <w:rPr>
          <w:sz w:val="24"/>
          <w:szCs w:val="24"/>
        </w:rPr>
        <w:fldChar w:fldCharType="begin" w:fldLock="1"/>
      </w:r>
      <w:r w:rsidR="00141D88">
        <w:rPr>
          <w:sz w:val="24"/>
          <w:szCs w:val="24"/>
        </w:rPr>
        <w:instrText>ADDIN CSL_CITATION {"citationItems":[{"id":"ITEM-1","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-1","issued":{"date-parts":[["2010"]]},"number-of-pages":"192","title":"Практическая коагулология","type":"book"},"uris":["http://www.mendeley.com/documents/?uuid=36d7b04e-d654-47d2-a073-3cc2bb6e80ce"]},{"id":"ITEM-2","itemData":{"DOI":"10.1111/ijlh.12822","ISSN":"1751553X","PMID":"29741250","abstract":"Introduction: Laboratory investigations for bleeding disorders are warranted when an individual has a personal and/or family history of bleeding, and/or laboratory findings that suggest the possibility of an inherited or acquired bleeding disorder. Methods: This review summarizes author's experience with ordering and reporting on diagnostic investigations for common and rare bleeding disorders, with consideration of recent articles on diagnosing bleeding disorders. An updated strategy is presented for investigating common and rare, congenital and acquired bleeding disorders. Results: An investigation of a suspected bleeding disorder requires a practical strategy that considers the clinical problem to be investigated, the pretest probability of true-positive and false-positive findings, the investigations can be performed locally or in a reference laboratory and limit the number of blood samples required to establish a diagnosis. It is often advantageous to simultaneously test for von Willebrand disease and platelet function disorders, and for coagulation defects, including fibrinogen disorders. An investigation for rarer bleeding disorders, including those affecting factor XIII, α2 antiplasmin, and plasminogen activator inhibitor-1, is appropriate when faced with a severe congenital or acquired bleeding problem that cannot be explained by the initial diagnostic investigations. Conclusion: An organized strategy for investigating bleeding disorders that consider important issues, confirms abnormal findings, encourages proper interpretation of the results, and provides a helpful framework for assessing both common and rare causes of bleeding.","author":[{"dropping-particle":"","family":"Hayward","given":"C. P.M.","non-dropping-particle":"","parse-names":false,"suffix":""}],"container-title":"International Journal of Laboratory Hematology","id":"ITEM-2","issued":{"date-parts":[["2018","5","1"]]},"page":"6-14","publisher":"Blackwell Publishing Ltd","title":"How I investigate for bleeding disorders","type":"article","volume":"40"},"uris":["http://www.mendeley.com/documents/?uuid=8c375aab-6218-4ed1-9ecf-6629bbffa285"]}],"mendeley":{"formattedCitation":"[66,67]","plainTextFormattedCitation":"[66,67]","previouslyFormattedCitation":"[66,67]"},"properties":{"noteIndex":0},"schema":"https://github.com/citation-style-language/schema/raw/master/csl-citation.json"}</w:instrText>
      </w:r>
      <w:r>
        <w:rPr>
          <w:sz w:val="24"/>
          <w:szCs w:val="24"/>
        </w:rPr>
        <w:fldChar w:fldCharType="separate"/>
      </w:r>
      <w:r w:rsidRPr="002C4EE9">
        <w:rPr>
          <w:noProof/>
          <w:sz w:val="24"/>
          <w:szCs w:val="24"/>
        </w:rPr>
        <w:t>[66,67]</w:t>
      </w:r>
      <w:r>
        <w:rPr>
          <w:sz w:val="24"/>
          <w:szCs w:val="24"/>
        </w:rPr>
        <w:fldChar w:fldCharType="end"/>
      </w:r>
      <w:r>
        <w:rPr>
          <w:sz w:val="24"/>
          <w:szCs w:val="24"/>
        </w:rPr>
        <w:t>.</w:t>
      </w:r>
    </w:p>
    <w:p w14:paraId="621FB7D5" w14:textId="77777777" w:rsidR="002C4EE9" w:rsidRPr="000E3106" w:rsidRDefault="002C4EE9" w:rsidP="002C4EE9">
      <w:pPr>
        <w:pStyle w:val="aff4"/>
        <w:spacing w:line="360" w:lineRule="auto"/>
        <w:contextualSpacing/>
        <w:rPr>
          <w:sz w:val="24"/>
          <w:szCs w:val="24"/>
        </w:rPr>
      </w:pPr>
    </w:p>
    <w:p w14:paraId="75DC5AAA" w14:textId="77777777" w:rsidR="002C4EE9" w:rsidRPr="00777FF8" w:rsidRDefault="002C4EE9" w:rsidP="002C4EE9">
      <w:pPr>
        <w:pStyle w:val="afd"/>
        <w:spacing w:beforeAutospacing="0" w:afterAutospacing="0" w:line="360" w:lineRule="auto"/>
        <w:rPr>
          <w:i/>
          <w:iCs/>
          <w:u w:val="single"/>
        </w:rPr>
      </w:pPr>
      <w:r w:rsidRPr="00777FF8">
        <w:rPr>
          <w:i/>
          <w:iCs/>
          <w:u w:val="single"/>
        </w:rPr>
        <w:t>Медикаментозная терапия.</w:t>
      </w:r>
    </w:p>
    <w:p w14:paraId="218F285E" w14:textId="77777777" w:rsidR="002C4EE9" w:rsidRPr="005600F6" w:rsidRDefault="002C4EE9" w:rsidP="002C4EE9">
      <w:pPr>
        <w:ind w:firstLine="709"/>
        <w:rPr>
          <w:rFonts w:eastAsia="Times New Roman"/>
          <w:szCs w:val="24"/>
          <w:u w:val="single"/>
          <w:lang w:eastAsia="ru-RU"/>
        </w:rPr>
      </w:pPr>
      <w:r w:rsidRPr="005600F6">
        <w:rPr>
          <w:rFonts w:eastAsia="Times New Roman"/>
          <w:szCs w:val="24"/>
          <w:u w:val="single"/>
          <w:lang w:eastAsia="ru-RU"/>
        </w:rPr>
        <w:t>Геморрагические осложнения при проведении антикоагулянтной терапии</w:t>
      </w:r>
    </w:p>
    <w:p w14:paraId="0C0C5453" w14:textId="75D11B11" w:rsidR="002C4EE9" w:rsidRPr="00C731E3" w:rsidRDefault="002C4EE9" w:rsidP="002C4EE9">
      <w:pPr>
        <w:ind w:firstLine="709"/>
        <w:rPr>
          <w:rFonts w:eastAsia="Times New Roman"/>
          <w:szCs w:val="24"/>
          <w:lang w:eastAsia="ru-RU"/>
        </w:rPr>
      </w:pPr>
      <w:r w:rsidRPr="00C731E3">
        <w:rPr>
          <w:rFonts w:eastAsia="Times New Roman"/>
          <w:szCs w:val="24"/>
          <w:lang w:eastAsia="ru-RU"/>
        </w:rPr>
        <w:lastRenderedPageBreak/>
        <w:t xml:space="preserve">Тяжелые </w:t>
      </w:r>
      <w:r w:rsidRPr="005600F6">
        <w:rPr>
          <w:rFonts w:eastAsia="Times New Roman"/>
          <w:szCs w:val="24"/>
          <w:lang w:eastAsia="ru-RU"/>
        </w:rPr>
        <w:t xml:space="preserve">геморрагические осложнения при проведении антикоагулянтной терапии </w:t>
      </w:r>
      <w:r w:rsidRPr="00C731E3">
        <w:rPr>
          <w:rFonts w:eastAsia="Times New Roman"/>
          <w:szCs w:val="24"/>
          <w:lang w:eastAsia="ru-RU"/>
        </w:rPr>
        <w:t>диктуют необходимость применения антидотов</w:t>
      </w:r>
      <w:r>
        <w:rPr>
          <w:rFonts w:eastAsia="Times New Roman"/>
          <w:szCs w:val="24"/>
          <w:lang w:eastAsia="ru-RU"/>
        </w:rPr>
        <w:t xml:space="preserve"> </w:t>
      </w:r>
      <w:r>
        <w:rPr>
          <w:rFonts w:eastAsia="Times New Roman"/>
          <w:szCs w:val="24"/>
          <w:lang w:eastAsia="ru-RU"/>
        </w:rPr>
        <w:fldChar w:fldCharType="begin" w:fldLock="1"/>
      </w:r>
      <w:r w:rsidR="00141D88">
        <w:rPr>
          <w:rFonts w:eastAsia="Times New Roman"/>
          <w:szCs w:val="24"/>
          <w:lang w:eastAsia="ru-RU"/>
        </w:rPr>
        <w:instrText>ADDIN CSL_CITATION {"citationItems":[{"id":"ITEM-1","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-1","issued":{"date-parts":[["2010"]]},"number-of-pages":"192","title":"Практическая коагулология","type":"book"},"uris":["http://www.mendeley.com/documents/?uuid=36d7b04e-d654-47d2-a073-3cc2bb6e80ce"]}],"mendeley":{"formattedCitation":"[66]","plainTextFormattedCitation":"[66]","previouslyFormattedCitation":"[66]"},"properties":{"noteIndex":0},"schema":"https://github.com/citation-style-language/schema/raw/master/csl-citation.json"}</w:instrText>
      </w:r>
      <w:r>
        <w:rPr>
          <w:rFonts w:eastAsia="Times New Roman"/>
          <w:szCs w:val="24"/>
          <w:lang w:eastAsia="ru-RU"/>
        </w:rPr>
        <w:fldChar w:fldCharType="separate"/>
      </w:r>
      <w:r w:rsidRPr="002C4EE9">
        <w:rPr>
          <w:rFonts w:eastAsia="Times New Roman"/>
          <w:noProof/>
          <w:szCs w:val="24"/>
          <w:lang w:eastAsia="ru-RU"/>
        </w:rPr>
        <w:t>[66]</w:t>
      </w:r>
      <w:r>
        <w:rPr>
          <w:rFonts w:eastAsia="Times New Roman"/>
          <w:szCs w:val="24"/>
          <w:lang w:eastAsia="ru-RU"/>
        </w:rPr>
        <w:fldChar w:fldCharType="end"/>
      </w:r>
      <w:r w:rsidRPr="00C731E3">
        <w:rPr>
          <w:rFonts w:eastAsia="Times New Roman"/>
          <w:szCs w:val="24"/>
          <w:lang w:eastAsia="ru-RU"/>
        </w:rPr>
        <w:t>. При передозировке гепаринов в качестве антидота используют протамина сульфат: 1 мг его нейтрализует 80</w:t>
      </w:r>
      <w:r w:rsidRPr="00C731E3">
        <w:rPr>
          <w:i/>
          <w:szCs w:val="24"/>
        </w:rPr>
        <w:t>—</w:t>
      </w:r>
      <w:r>
        <w:rPr>
          <w:rFonts w:eastAsia="Times New Roman"/>
          <w:szCs w:val="24"/>
          <w:lang w:eastAsia="ru-RU"/>
        </w:rPr>
        <w:t>120 Е</w:t>
      </w:r>
      <w:r w:rsidRPr="00C731E3">
        <w:rPr>
          <w:rFonts w:eastAsia="Times New Roman"/>
          <w:szCs w:val="24"/>
          <w:lang w:eastAsia="ru-RU"/>
        </w:rPr>
        <w:t>д гепарина в крови. Действие препарата после в/в введения наступает мгновенно и продолжается в течение 2 ч. После в/в введения образуется комплекс протамин</w:t>
      </w:r>
      <w:r w:rsidRPr="00C731E3">
        <w:rPr>
          <w:i/>
          <w:szCs w:val="24"/>
        </w:rPr>
        <w:t>—</w:t>
      </w:r>
      <w:r w:rsidRPr="00C731E3">
        <w:rPr>
          <w:rFonts w:eastAsia="Times New Roman"/>
          <w:szCs w:val="24"/>
          <w:lang w:eastAsia="ru-RU"/>
        </w:rPr>
        <w:t>гепарин, который может разрушаться с высвобождением гепарина. При передозировке может снижаться свертываемость крови, поскольку сам протамина сульфат проявляет антикоагулянтную активность. Если НФГ вводился в/в капельно, необходимо прекратить его инфузию и ввести 25</w:t>
      </w:r>
      <w:r w:rsidRPr="00C731E3">
        <w:rPr>
          <w:i/>
          <w:szCs w:val="24"/>
        </w:rPr>
        <w:t>—</w:t>
      </w:r>
      <w:r w:rsidRPr="00C731E3">
        <w:rPr>
          <w:rFonts w:eastAsia="Times New Roman"/>
          <w:szCs w:val="24"/>
          <w:lang w:eastAsia="ru-RU"/>
        </w:rPr>
        <w:t>30 мг протамина сульфата.</w:t>
      </w:r>
    </w:p>
    <w:p w14:paraId="500BB424" w14:textId="77777777" w:rsidR="002C4EE9" w:rsidRDefault="002C4EE9" w:rsidP="002C4EE9">
      <w:pPr>
        <w:ind w:firstLine="709"/>
        <w:rPr>
          <w:rFonts w:eastAsia="Times New Roman"/>
          <w:szCs w:val="24"/>
          <w:lang w:eastAsia="ru-RU"/>
        </w:rPr>
      </w:pPr>
      <w:r w:rsidRPr="00C731E3">
        <w:rPr>
          <w:rFonts w:eastAsia="Times New Roman"/>
          <w:szCs w:val="24"/>
          <w:lang w:eastAsia="ru-RU"/>
        </w:rPr>
        <w:t>При передозировке варфарина и значительном увеличении МНО (больше 3,5</w:t>
      </w:r>
      <w:r w:rsidRPr="00C731E3">
        <w:rPr>
          <w:i/>
          <w:szCs w:val="24"/>
        </w:rPr>
        <w:t>—</w:t>
      </w:r>
      <w:r w:rsidRPr="00C731E3">
        <w:rPr>
          <w:rFonts w:eastAsia="Times New Roman"/>
          <w:szCs w:val="24"/>
          <w:lang w:eastAsia="ru-RU"/>
        </w:rPr>
        <w:t>4) без геморрагических проявлений корректируют дозу варфарина. Назначают препараты витамина К</w:t>
      </w:r>
      <w:r w:rsidRPr="00C731E3">
        <w:rPr>
          <w:rFonts w:eastAsia="Times New Roman"/>
          <w:szCs w:val="24"/>
          <w:vertAlign w:val="subscript"/>
          <w:lang w:eastAsia="ru-RU"/>
        </w:rPr>
        <w:t>1</w:t>
      </w:r>
      <w:r w:rsidRPr="00C731E3">
        <w:rPr>
          <w:rFonts w:eastAsia="Times New Roman"/>
          <w:szCs w:val="24"/>
          <w:lang w:eastAsia="ru-RU"/>
        </w:rPr>
        <w:t>.</w:t>
      </w:r>
      <w:r>
        <w:rPr>
          <w:rFonts w:eastAsia="Times New Roman"/>
          <w:szCs w:val="24"/>
          <w:lang w:eastAsia="ru-RU"/>
        </w:rPr>
        <w:t xml:space="preserve"> </w:t>
      </w:r>
      <w:r w:rsidRPr="00C731E3">
        <w:rPr>
          <w:rFonts w:eastAsia="Times New Roman"/>
          <w:szCs w:val="24"/>
          <w:lang w:eastAsia="ru-RU"/>
        </w:rPr>
        <w:t>Для купирования геморрагического синдрома при передозировке варфарина используют концентрат</w:t>
      </w:r>
      <w:r>
        <w:rPr>
          <w:rFonts w:eastAsia="Times New Roman"/>
          <w:szCs w:val="24"/>
          <w:lang w:eastAsia="ru-RU"/>
        </w:rPr>
        <w:t>ы</w:t>
      </w:r>
      <w:r w:rsidRPr="00C731E3">
        <w:rPr>
          <w:rFonts w:eastAsia="Times New Roman"/>
          <w:szCs w:val="24"/>
          <w:lang w:eastAsia="ru-RU"/>
        </w:rPr>
        <w:t xml:space="preserve"> факторов </w:t>
      </w:r>
      <w:r>
        <w:rPr>
          <w:rFonts w:eastAsia="Times New Roman"/>
          <w:szCs w:val="24"/>
          <w:lang w:eastAsia="ru-RU"/>
        </w:rPr>
        <w:t xml:space="preserve">протромбинового комплекса (концентрат </w:t>
      </w:r>
      <w:r>
        <w:rPr>
          <w:rFonts w:eastAsia="Times New Roman"/>
          <w:szCs w:val="24"/>
          <w:lang w:val="en-US" w:eastAsia="ru-RU"/>
        </w:rPr>
        <w:t>II</w:t>
      </w:r>
      <w:r w:rsidRPr="00084FAC">
        <w:rPr>
          <w:rFonts w:eastAsia="Times New Roman"/>
          <w:szCs w:val="24"/>
          <w:lang w:eastAsia="ru-RU"/>
        </w:rPr>
        <w:t>+</w:t>
      </w:r>
      <w:r>
        <w:rPr>
          <w:rFonts w:eastAsia="Times New Roman"/>
          <w:szCs w:val="24"/>
          <w:lang w:val="en-US" w:eastAsia="ru-RU"/>
        </w:rPr>
        <w:t>IX</w:t>
      </w:r>
      <w:r w:rsidRPr="00084FAC">
        <w:rPr>
          <w:rFonts w:eastAsia="Times New Roman"/>
          <w:szCs w:val="24"/>
          <w:lang w:eastAsia="ru-RU"/>
        </w:rPr>
        <w:t>+</w:t>
      </w:r>
      <w:r>
        <w:rPr>
          <w:rFonts w:eastAsia="Times New Roman"/>
          <w:szCs w:val="24"/>
          <w:lang w:val="en-US" w:eastAsia="ru-RU"/>
        </w:rPr>
        <w:t>X</w:t>
      </w:r>
      <w:r>
        <w:rPr>
          <w:rFonts w:eastAsia="Times New Roman"/>
          <w:szCs w:val="24"/>
          <w:lang w:eastAsia="ru-RU"/>
        </w:rPr>
        <w:t xml:space="preserve"> или концентрат </w:t>
      </w:r>
      <w:r>
        <w:rPr>
          <w:rFonts w:eastAsia="Times New Roman"/>
          <w:szCs w:val="24"/>
          <w:lang w:val="en-US" w:eastAsia="ru-RU"/>
        </w:rPr>
        <w:t>II</w:t>
      </w:r>
      <w:r w:rsidRPr="00084FAC">
        <w:rPr>
          <w:rFonts w:eastAsia="Times New Roman"/>
          <w:szCs w:val="24"/>
          <w:lang w:eastAsia="ru-RU"/>
        </w:rPr>
        <w:t>+</w:t>
      </w:r>
      <w:r>
        <w:rPr>
          <w:rFonts w:eastAsia="Times New Roman"/>
          <w:szCs w:val="24"/>
          <w:lang w:val="en-US" w:eastAsia="ru-RU"/>
        </w:rPr>
        <w:t>VIIa</w:t>
      </w:r>
      <w:r w:rsidRPr="00084FAC">
        <w:rPr>
          <w:rFonts w:eastAsia="Times New Roman"/>
          <w:szCs w:val="24"/>
          <w:lang w:eastAsia="ru-RU"/>
        </w:rPr>
        <w:t>+</w:t>
      </w:r>
      <w:r>
        <w:rPr>
          <w:rFonts w:eastAsia="Times New Roman"/>
          <w:szCs w:val="24"/>
          <w:lang w:val="en-US" w:eastAsia="ru-RU"/>
        </w:rPr>
        <w:t>IX</w:t>
      </w:r>
      <w:r w:rsidRPr="00084FAC">
        <w:rPr>
          <w:rFonts w:eastAsia="Times New Roman"/>
          <w:szCs w:val="24"/>
          <w:lang w:eastAsia="ru-RU"/>
        </w:rPr>
        <w:t>+</w:t>
      </w:r>
      <w:r>
        <w:rPr>
          <w:rFonts w:eastAsia="Times New Roman"/>
          <w:szCs w:val="24"/>
          <w:lang w:val="en-US" w:eastAsia="ru-RU"/>
        </w:rPr>
        <w:t>X</w:t>
      </w:r>
      <w:r w:rsidRPr="00084FAC">
        <w:rPr>
          <w:rFonts w:eastAsia="Times New Roman"/>
          <w:szCs w:val="24"/>
          <w:lang w:eastAsia="ru-RU"/>
        </w:rPr>
        <w:t>)</w:t>
      </w:r>
      <w:r>
        <w:rPr>
          <w:rFonts w:eastAsia="Times New Roman"/>
          <w:szCs w:val="24"/>
          <w:lang w:eastAsia="ru-RU"/>
        </w:rPr>
        <w:t>, которые</w:t>
      </w:r>
      <w:r w:rsidRPr="00C731E3">
        <w:rPr>
          <w:rFonts w:eastAsia="Times New Roman"/>
          <w:szCs w:val="24"/>
          <w:lang w:eastAsia="ru-RU"/>
        </w:rPr>
        <w:t xml:space="preserve"> вводят в/в в дозе </w:t>
      </w:r>
      <w:r>
        <w:rPr>
          <w:rFonts w:eastAsia="Times New Roman"/>
          <w:szCs w:val="24"/>
          <w:lang w:eastAsia="ru-RU"/>
        </w:rPr>
        <w:t>20-50 МЕ/кг массы тела пациента</w:t>
      </w:r>
      <w:r w:rsidRPr="00C731E3">
        <w:rPr>
          <w:rFonts w:eastAsia="Times New Roman"/>
          <w:szCs w:val="24"/>
          <w:lang w:eastAsia="ru-RU"/>
        </w:rPr>
        <w:t xml:space="preserve">. Альтернативой введения </w:t>
      </w:r>
      <w:r>
        <w:rPr>
          <w:rFonts w:eastAsia="Times New Roman"/>
          <w:szCs w:val="24"/>
          <w:lang w:eastAsia="ru-RU"/>
        </w:rPr>
        <w:t>концентратов факторов протромбинового комплекса</w:t>
      </w:r>
      <w:r w:rsidRPr="00C731E3">
        <w:rPr>
          <w:rFonts w:eastAsia="Times New Roman"/>
          <w:szCs w:val="24"/>
          <w:lang w:eastAsia="ru-RU"/>
        </w:rPr>
        <w:t xml:space="preserve"> является </w:t>
      </w:r>
      <w:r>
        <w:rPr>
          <w:rFonts w:eastAsia="Times New Roman"/>
          <w:szCs w:val="24"/>
          <w:lang w:eastAsia="ru-RU"/>
        </w:rPr>
        <w:t>свежезамороженная плазма (</w:t>
      </w:r>
      <w:r w:rsidRPr="00C731E3">
        <w:rPr>
          <w:rFonts w:eastAsia="Times New Roman"/>
          <w:szCs w:val="24"/>
          <w:lang w:eastAsia="ru-RU"/>
        </w:rPr>
        <w:t>СЗП</w:t>
      </w:r>
      <w:r>
        <w:rPr>
          <w:rFonts w:eastAsia="Times New Roman"/>
          <w:szCs w:val="24"/>
          <w:lang w:eastAsia="ru-RU"/>
        </w:rPr>
        <w:t>)</w:t>
      </w:r>
      <w:r w:rsidRPr="00C731E3">
        <w:rPr>
          <w:rFonts w:eastAsia="Times New Roman"/>
          <w:szCs w:val="24"/>
          <w:lang w:eastAsia="ru-RU"/>
        </w:rPr>
        <w:t xml:space="preserve"> в дозе 20</w:t>
      </w:r>
      <w:r w:rsidRPr="00C731E3">
        <w:rPr>
          <w:i/>
          <w:szCs w:val="24"/>
        </w:rPr>
        <w:t>—</w:t>
      </w:r>
      <w:r w:rsidRPr="00C731E3">
        <w:rPr>
          <w:rFonts w:eastAsia="Times New Roman"/>
          <w:szCs w:val="24"/>
          <w:lang w:eastAsia="ru-RU"/>
        </w:rPr>
        <w:t>25 мл</w:t>
      </w:r>
      <w:r>
        <w:rPr>
          <w:rFonts w:eastAsia="Times New Roman"/>
          <w:szCs w:val="24"/>
          <w:lang w:eastAsia="ru-RU"/>
        </w:rPr>
        <w:t>/</w:t>
      </w:r>
      <w:r w:rsidRPr="00C731E3">
        <w:rPr>
          <w:rFonts w:eastAsia="Times New Roman"/>
          <w:szCs w:val="24"/>
          <w:lang w:eastAsia="ru-RU"/>
        </w:rPr>
        <w:t>кг массы тела. При тяжелых кровотечениях СЗП можно вводить в дозе 30</w:t>
      </w:r>
      <w:r w:rsidRPr="00C731E3">
        <w:rPr>
          <w:i/>
          <w:szCs w:val="24"/>
        </w:rPr>
        <w:t>—</w:t>
      </w:r>
      <w:r w:rsidRPr="00C731E3">
        <w:rPr>
          <w:rFonts w:eastAsia="Times New Roman"/>
          <w:szCs w:val="24"/>
          <w:lang w:eastAsia="ru-RU"/>
        </w:rPr>
        <w:t xml:space="preserve">45 мл на кг массы тела. </w:t>
      </w:r>
      <w:r>
        <w:rPr>
          <w:rFonts w:eastAsia="Times New Roman"/>
          <w:szCs w:val="24"/>
          <w:lang w:eastAsia="ru-RU"/>
        </w:rPr>
        <w:t>Для купирования геморрагического синдрома в некоторых случаях и</w:t>
      </w:r>
      <w:r w:rsidRPr="00C731E3">
        <w:rPr>
          <w:rFonts w:eastAsia="Times New Roman"/>
          <w:szCs w:val="24"/>
          <w:lang w:eastAsia="ru-RU"/>
        </w:rPr>
        <w:t>спользуют также и эптаког альфа (активированный).</w:t>
      </w:r>
    </w:p>
    <w:p w14:paraId="6C0AA78F" w14:textId="77777777" w:rsidR="002C4EE9" w:rsidRDefault="002C4EE9" w:rsidP="002C4EE9">
      <w:pPr>
        <w:ind w:firstLine="709"/>
        <w:rPr>
          <w:rFonts w:eastAsia="Times New Roman"/>
          <w:szCs w:val="24"/>
          <w:lang w:eastAsia="ru-RU"/>
        </w:rPr>
      </w:pPr>
      <w:r>
        <w:rPr>
          <w:rFonts w:eastAsia="Times New Roman"/>
          <w:szCs w:val="24"/>
          <w:lang w:eastAsia="ru-RU"/>
        </w:rPr>
        <w:t xml:space="preserve">При передозировке прямых ингибиторов фактора свертывания крови </w:t>
      </w:r>
      <w:r>
        <w:rPr>
          <w:rFonts w:eastAsia="Times New Roman"/>
          <w:szCs w:val="24"/>
          <w:lang w:val="en-US" w:eastAsia="ru-RU"/>
        </w:rPr>
        <w:t>Xa</w:t>
      </w:r>
      <w:r>
        <w:rPr>
          <w:rFonts w:eastAsia="Times New Roman"/>
          <w:szCs w:val="24"/>
          <w:lang w:eastAsia="ru-RU"/>
        </w:rPr>
        <w:t xml:space="preserve"> (ривароксабан, апиксабан) используется андексанет альфа: 400 мг болюсно с продолжением в/в инфузии со скоростью 4 мг/мин в течение 2-х часов.</w:t>
      </w:r>
    </w:p>
    <w:p w14:paraId="6FCB1B06" w14:textId="77777777" w:rsidR="002C4EE9" w:rsidRDefault="002C4EE9" w:rsidP="002C4EE9">
      <w:pPr>
        <w:ind w:firstLine="709"/>
        <w:rPr>
          <w:rFonts w:eastAsia="Times New Roman"/>
          <w:szCs w:val="24"/>
          <w:lang w:eastAsia="ru-RU"/>
        </w:rPr>
      </w:pPr>
      <w:r>
        <w:rPr>
          <w:rFonts w:eastAsia="Times New Roman"/>
          <w:szCs w:val="24"/>
          <w:lang w:eastAsia="ru-RU"/>
        </w:rPr>
        <w:t xml:space="preserve">Антидот дабигатрана этексилата – </w:t>
      </w:r>
      <w:r w:rsidRPr="009F787D">
        <w:rPr>
          <w:rFonts w:eastAsia="Times New Roman"/>
          <w:szCs w:val="24"/>
          <w:lang w:eastAsia="ru-RU"/>
        </w:rPr>
        <w:t>идаруцизумаб</w:t>
      </w:r>
      <w:r>
        <w:rPr>
          <w:rFonts w:eastAsia="Times New Roman"/>
          <w:szCs w:val="24"/>
          <w:lang w:eastAsia="ru-RU"/>
        </w:rPr>
        <w:t>: вводится по 2,5 мг в/в дважды с интервалом в 15 мин.</w:t>
      </w:r>
    </w:p>
    <w:p w14:paraId="5DD89B9B" w14:textId="77777777" w:rsidR="002C4EE9" w:rsidRPr="00C731E3" w:rsidRDefault="002C4EE9" w:rsidP="002C4EE9">
      <w:pPr>
        <w:ind w:firstLine="709"/>
        <w:rPr>
          <w:rFonts w:eastAsia="Times New Roman"/>
          <w:szCs w:val="24"/>
          <w:lang w:eastAsia="ru-RU"/>
        </w:rPr>
      </w:pPr>
      <w:r>
        <w:rPr>
          <w:rFonts w:eastAsia="Times New Roman"/>
          <w:szCs w:val="24"/>
          <w:lang w:eastAsia="ru-RU"/>
        </w:rPr>
        <w:t xml:space="preserve">Разработан универсальный антидот для всех ПОАК и гепаринов – </w:t>
      </w:r>
      <w:r w:rsidRPr="009F787D">
        <w:rPr>
          <w:rFonts w:eastAsia="Times New Roman"/>
          <w:szCs w:val="24"/>
          <w:lang w:eastAsia="ru-RU"/>
        </w:rPr>
        <w:t>цирапарантаг</w:t>
      </w:r>
      <w:r>
        <w:rPr>
          <w:rFonts w:eastAsia="Times New Roman"/>
          <w:szCs w:val="24"/>
          <w:lang w:eastAsia="ru-RU"/>
        </w:rPr>
        <w:t xml:space="preserve"> – вводится однократно 100,0 мг в/в.</w:t>
      </w:r>
    </w:p>
    <w:p w14:paraId="59D66ED6" w14:textId="77777777" w:rsidR="002C4EE9" w:rsidRDefault="002C4EE9" w:rsidP="002C4EE9">
      <w:pPr>
        <w:ind w:firstLine="709"/>
        <w:rPr>
          <w:rFonts w:eastAsia="Times New Roman"/>
          <w:szCs w:val="24"/>
          <w:lang w:eastAsia="ru-RU"/>
        </w:rPr>
      </w:pPr>
      <w:r w:rsidRPr="00C731E3">
        <w:rPr>
          <w:rFonts w:eastAsia="Times New Roman"/>
          <w:szCs w:val="24"/>
          <w:lang w:eastAsia="ru-RU"/>
        </w:rPr>
        <w:t xml:space="preserve">Решение о возможности применения или возобновления медикаментозной профилактики тромботических нарушений при цитостатической терапии должно приниматься на основании оценки соотношения ожидаемой пользы и возможного риска </w:t>
      </w:r>
      <w:r>
        <w:rPr>
          <w:rFonts w:eastAsia="Times New Roman"/>
          <w:szCs w:val="24"/>
          <w:lang w:eastAsia="ru-RU"/>
        </w:rPr>
        <w:t>у каждого конкретного больного.</w:t>
      </w:r>
    </w:p>
    <w:p w14:paraId="1266E64E" w14:textId="77777777" w:rsidR="002C4EE9" w:rsidRPr="005600F6" w:rsidRDefault="002C4EE9" w:rsidP="002C4EE9">
      <w:pPr>
        <w:ind w:firstLine="709"/>
        <w:rPr>
          <w:rFonts w:eastAsia="Times New Roman"/>
          <w:szCs w:val="24"/>
          <w:u w:val="single"/>
          <w:lang w:eastAsia="ru-RU"/>
        </w:rPr>
      </w:pPr>
      <w:r w:rsidRPr="005600F6">
        <w:rPr>
          <w:rFonts w:eastAsia="Times New Roman"/>
          <w:szCs w:val="24"/>
          <w:u w:val="single"/>
          <w:lang w:eastAsia="ru-RU"/>
        </w:rPr>
        <w:t>Геморрагический синдром у пациентов с гематологическими заболеваниями в экстренных ситуациях</w:t>
      </w:r>
    </w:p>
    <w:p w14:paraId="109DFAA8" w14:textId="5B9C0556" w:rsidR="002C4EE9" w:rsidRDefault="002C4EE9" w:rsidP="002C4EE9">
      <w:pPr>
        <w:ind w:firstLine="709"/>
        <w:rPr>
          <w:rFonts w:eastAsia="Times New Roman"/>
          <w:szCs w:val="24"/>
          <w:lang w:eastAsia="ru-RU"/>
        </w:rPr>
      </w:pPr>
      <w:r>
        <w:rPr>
          <w:rFonts w:eastAsia="Times New Roman"/>
          <w:szCs w:val="24"/>
          <w:lang w:eastAsia="ru-RU"/>
        </w:rPr>
        <w:t xml:space="preserve">В случае развития геморрагического синдрома у пациентов с гематологическими заболеваниями в экстренных ситуациях используются по показаниям </w:t>
      </w:r>
      <w:r>
        <w:rPr>
          <w:rFonts w:eastAsia="Times New Roman"/>
          <w:szCs w:val="24"/>
          <w:lang w:eastAsia="ru-RU"/>
        </w:rPr>
        <w:fldChar w:fldCharType="begin" w:fldLock="1"/>
      </w:r>
      <w:r w:rsidR="00141D88">
        <w:rPr>
          <w:rFonts w:eastAsia="Times New Roman"/>
          <w:szCs w:val="24"/>
          <w:lang w:eastAsia="ru-RU"/>
        </w:rPr>
        <w:instrText>ADDIN CSL_CITATION {"citationItems":[{"id":"ITEM-1","itemData":{"DOI":"10.1182/asheducation-2007.1.165","ISSN":"15204391","PMID":"18024625","abstract":"The rate of venous thromboembolism (VTE) in patients with acute leukemia or lymphomas is comparable with that of other \"high-risk\" cancer types. Chemotherapy and anti-angiogenic drugs increase the thrombotic risk in patients with lymphomas, acute leukemias and multiple myeloma (MM). Patients with hematologic malignancies often present with a hypercoagulable state or chronic disseminated intravascular coagulation (DIC) in the absence of active thrombosis and/or bleeding. Malignant cell procoagulant properties, cytotoxic therapies, and concomitant infections are major determinants for clotting activation in hematologic malignancies. In acute leukemia, clinical manifestations range from localized venous or arterial thrombosis to a diffuse, life-threatening thrombohemorrhagic syndrome (THS). All-trans retinoic acid (ATRA) has greatly improved the management of acute promyelocytic leukemia (APL), but has not significantly changed the rate of early hemorrhagic deaths and may actually promote thrombosis. Randomized, controlled trials (RCTs) of different prophylactic regimens to prevent VTE or THS in hematologic malignancies are urgently needed, particularly in patients with lymphoma or MM during chemotherapy and in patients with APL. Anticoagulant therapy is a particular challenge in patients with hematologic malignancies, since these patients are at very high risk for hemorrhage. No guidelines are available for the prophylaxis or treatment of VTE; extrapolations can be made from existing guidelines for management of patients with other malignancies; prolonged periods of treatment-induced thrombocytopenia in patients with hematologic malignancies, however, require a more judicious application of standard anticoagulant approaches. Use of the newer anticoagulants will require careful assessment of hemorrhagic risk in this group of high-risk patients but may be justified under special circumstances.","author":[{"dropping-particle":"","family":"Falanga","given":"Anna","non-dropping-particle":"","parse-names":false,"suffix":""},{"dropping-particle":"","family":"Rickles","given":"Frederick R.","non-dropping-particle":"","parse-names":false,"suffix":""}],"container-title":"Hematology / the Education Program of the American Society of Hematology. American Society of Hematology. Education Program","id":"ITEM-1","issued":{"date-parts":[["2007"]]},"page":"165-171","publisher":"Hematology Am Soc Hematol Educ Program","title":"Management of Thrombohemorrhagic Syndromes (THS) in hematologic malignancies.","type":"article-journal"},"uris":["http://www.mendeley.com/documents/?uuid=ee7b053b-4509-46bc-9d7c-5e9f427dbfe5"]},{"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[66,68]","plainTextFormattedCitation":"[66,68]","previouslyFormattedCitation":"[66,68]"},"properties":{"noteIndex":0},"schema":"https://github.com/citation-style-language/schema/raw/master/csl-citation.json"}</w:instrText>
      </w:r>
      <w:r>
        <w:rPr>
          <w:rFonts w:eastAsia="Times New Roman"/>
          <w:szCs w:val="24"/>
          <w:lang w:eastAsia="ru-RU"/>
        </w:rPr>
        <w:fldChar w:fldCharType="separate"/>
      </w:r>
      <w:r w:rsidRPr="002C4EE9">
        <w:rPr>
          <w:rFonts w:eastAsia="Times New Roman"/>
          <w:noProof/>
          <w:szCs w:val="24"/>
          <w:lang w:eastAsia="ru-RU"/>
        </w:rPr>
        <w:t>[66,68]</w:t>
      </w:r>
      <w:r>
        <w:rPr>
          <w:rFonts w:eastAsia="Times New Roman"/>
          <w:szCs w:val="24"/>
          <w:lang w:eastAsia="ru-RU"/>
        </w:rPr>
        <w:fldChar w:fldCharType="end"/>
      </w:r>
      <w:r>
        <w:rPr>
          <w:rFonts w:eastAsia="Times New Roman"/>
          <w:szCs w:val="24"/>
          <w:lang w:eastAsia="ru-RU"/>
        </w:rPr>
        <w:t>:</w:t>
      </w:r>
    </w:p>
    <w:p w14:paraId="17A5BAFA" w14:textId="77777777" w:rsidR="002C4EE9" w:rsidRDefault="002C4EE9" w:rsidP="002C4EE9">
      <w:pPr>
        <w:pStyle w:val="afe"/>
        <w:numPr>
          <w:ilvl w:val="1"/>
          <w:numId w:val="32"/>
        </w:numPr>
        <w:ind w:left="1437"/>
        <w:contextualSpacing w:val="0"/>
        <w:rPr>
          <w:rFonts w:eastAsia="Times New Roman"/>
          <w:szCs w:val="24"/>
          <w:lang w:eastAsia="ru-RU"/>
        </w:rPr>
      </w:pPr>
      <w:r w:rsidRPr="00CD2AC0">
        <w:rPr>
          <w:rFonts w:eastAsia="Times New Roman"/>
          <w:szCs w:val="24"/>
          <w:lang w:eastAsia="ru-RU"/>
        </w:rPr>
        <w:t xml:space="preserve">Препараты шунтирующего действия: </w:t>
      </w:r>
    </w:p>
    <w:p w14:paraId="4C02C849" w14:textId="77777777" w:rsidR="002C4EE9" w:rsidRDefault="002C4EE9" w:rsidP="002C4EE9">
      <w:pPr>
        <w:pStyle w:val="afe"/>
        <w:numPr>
          <w:ilvl w:val="2"/>
          <w:numId w:val="32"/>
        </w:numPr>
        <w:contextualSpacing w:val="0"/>
        <w:rPr>
          <w:rFonts w:eastAsia="Times New Roman"/>
          <w:szCs w:val="24"/>
          <w:lang w:eastAsia="ru-RU"/>
        </w:rPr>
      </w:pPr>
      <w:r w:rsidRPr="00CD2AC0">
        <w:rPr>
          <w:rFonts w:eastAsia="Times New Roman"/>
          <w:szCs w:val="24"/>
          <w:lang w:eastAsia="ru-RU"/>
        </w:rPr>
        <w:lastRenderedPageBreak/>
        <w:t>эптаког альфа (активированный) в дозе 90-120 мкг/кг массы тела пациента с интервалом в 2-3 часа;</w:t>
      </w:r>
    </w:p>
    <w:p w14:paraId="21CA6C97" w14:textId="77777777" w:rsidR="002C4EE9" w:rsidRPr="00522573" w:rsidRDefault="002C4EE9" w:rsidP="002C4EE9">
      <w:pPr>
        <w:pStyle w:val="afe"/>
        <w:numPr>
          <w:ilvl w:val="2"/>
          <w:numId w:val="32"/>
        </w:numPr>
        <w:contextualSpacing w:val="0"/>
        <w:rPr>
          <w:rFonts w:eastAsia="Times New Roman"/>
          <w:szCs w:val="24"/>
          <w:lang w:eastAsia="ru-RU"/>
        </w:rPr>
      </w:pPr>
      <w:r w:rsidRPr="00522573">
        <w:rPr>
          <w:rFonts w:eastAsia="Times New Roman"/>
          <w:szCs w:val="24"/>
          <w:lang w:eastAsia="ru-RU"/>
        </w:rPr>
        <w:t xml:space="preserve">антиингибиторный коагулянтный комплекс (АИКК) в дозе 30-100 Ед/кг массы тела пациента с интервалом в 12-24 часа – до купирования кровотечения. </w:t>
      </w:r>
    </w:p>
    <w:p w14:paraId="6DB4AF0D" w14:textId="77777777" w:rsidR="002C4EE9" w:rsidRPr="00CD2AC0" w:rsidRDefault="002C4EE9" w:rsidP="002C4EE9">
      <w:pPr>
        <w:pStyle w:val="afe"/>
        <w:ind w:left="1396"/>
        <w:rPr>
          <w:rFonts w:eastAsia="Times New Roman"/>
          <w:szCs w:val="24"/>
          <w:lang w:eastAsia="ru-RU"/>
        </w:rPr>
      </w:pPr>
      <w:r w:rsidRPr="00CD2AC0">
        <w:rPr>
          <w:rFonts w:eastAsia="Times New Roman"/>
          <w:szCs w:val="24"/>
          <w:lang w:eastAsia="ru-RU"/>
        </w:rPr>
        <w:t>При использовании препаратов шунтирующего действия возможны тромботические осложнения.</w:t>
      </w:r>
    </w:p>
    <w:p w14:paraId="47AC6987" w14:textId="77777777" w:rsidR="002C4EE9" w:rsidRDefault="002C4EE9" w:rsidP="002C4EE9">
      <w:pPr>
        <w:pStyle w:val="afe"/>
        <w:numPr>
          <w:ilvl w:val="1"/>
          <w:numId w:val="32"/>
        </w:numPr>
        <w:ind w:left="1437"/>
        <w:contextualSpacing w:val="0"/>
        <w:rPr>
          <w:rFonts w:eastAsia="Times New Roman"/>
          <w:szCs w:val="24"/>
          <w:lang w:eastAsia="ru-RU"/>
        </w:rPr>
      </w:pPr>
      <w:r w:rsidRPr="00CD2AC0">
        <w:rPr>
          <w:rFonts w:eastAsia="Times New Roman"/>
          <w:szCs w:val="24"/>
          <w:lang w:eastAsia="ru-RU"/>
        </w:rPr>
        <w:t>Трансфузии компонентов крови (дозы и режимы введения зависят от ситуации):</w:t>
      </w:r>
    </w:p>
    <w:p w14:paraId="3C5937C9" w14:textId="77777777" w:rsidR="002C4EE9" w:rsidRPr="00522573" w:rsidRDefault="002C4EE9" w:rsidP="002C4EE9">
      <w:pPr>
        <w:pStyle w:val="afe"/>
        <w:numPr>
          <w:ilvl w:val="2"/>
          <w:numId w:val="32"/>
        </w:numPr>
        <w:contextualSpacing w:val="0"/>
        <w:rPr>
          <w:rFonts w:eastAsia="Times New Roman"/>
          <w:szCs w:val="24"/>
          <w:lang w:eastAsia="ru-RU"/>
        </w:rPr>
      </w:pPr>
      <w:r w:rsidRPr="00522573">
        <w:rPr>
          <w:rFonts w:eastAsia="Times New Roman"/>
          <w:szCs w:val="24"/>
          <w:lang w:eastAsia="ru-RU"/>
        </w:rPr>
        <w:t>СЗП;</w:t>
      </w:r>
    </w:p>
    <w:p w14:paraId="45BDE865" w14:textId="77777777" w:rsidR="002C4EE9" w:rsidRPr="00522573" w:rsidRDefault="002C4EE9" w:rsidP="002C4EE9">
      <w:pPr>
        <w:pStyle w:val="afe"/>
        <w:numPr>
          <w:ilvl w:val="2"/>
          <w:numId w:val="32"/>
        </w:numPr>
        <w:contextualSpacing w:val="0"/>
        <w:rPr>
          <w:rFonts w:eastAsia="Times New Roman"/>
          <w:szCs w:val="24"/>
          <w:lang w:eastAsia="ru-RU"/>
        </w:rPr>
      </w:pPr>
      <w:r w:rsidRPr="00522573">
        <w:rPr>
          <w:rFonts w:eastAsia="Times New Roman"/>
          <w:szCs w:val="24"/>
          <w:lang w:eastAsia="ru-RU"/>
        </w:rPr>
        <w:t>криопреципитат;</w:t>
      </w:r>
    </w:p>
    <w:p w14:paraId="21894462" w14:textId="77777777" w:rsidR="002C4EE9" w:rsidRDefault="002C4EE9" w:rsidP="002C4EE9">
      <w:pPr>
        <w:pStyle w:val="afe"/>
        <w:numPr>
          <w:ilvl w:val="2"/>
          <w:numId w:val="32"/>
        </w:numPr>
        <w:contextualSpacing w:val="0"/>
        <w:rPr>
          <w:rFonts w:eastAsia="Times New Roman"/>
          <w:szCs w:val="24"/>
          <w:lang w:eastAsia="ru-RU"/>
        </w:rPr>
      </w:pPr>
      <w:r w:rsidRPr="00522573">
        <w:rPr>
          <w:rFonts w:eastAsia="Times New Roman"/>
          <w:szCs w:val="24"/>
          <w:lang w:eastAsia="ru-RU"/>
        </w:rPr>
        <w:t>концентрат нативной плазмы;</w:t>
      </w:r>
    </w:p>
    <w:p w14:paraId="2A112757" w14:textId="77777777" w:rsidR="002C4EE9" w:rsidRPr="00522573" w:rsidRDefault="002C4EE9" w:rsidP="002C4EE9">
      <w:pPr>
        <w:pStyle w:val="afe"/>
        <w:numPr>
          <w:ilvl w:val="2"/>
          <w:numId w:val="32"/>
        </w:numPr>
        <w:contextualSpacing w:val="0"/>
        <w:rPr>
          <w:rFonts w:eastAsia="Times New Roman"/>
          <w:szCs w:val="24"/>
          <w:lang w:eastAsia="ru-RU"/>
        </w:rPr>
      </w:pPr>
      <w:r w:rsidRPr="00522573">
        <w:rPr>
          <w:rFonts w:eastAsia="Times New Roman"/>
          <w:szCs w:val="24"/>
          <w:lang w:eastAsia="ru-RU"/>
        </w:rPr>
        <w:t>тромбоконцентрат.</w:t>
      </w:r>
    </w:p>
    <w:p w14:paraId="6F1EEFDF" w14:textId="77777777" w:rsidR="002C4EE9" w:rsidRDefault="002C4EE9" w:rsidP="002C4EE9">
      <w:pPr>
        <w:pStyle w:val="afe"/>
        <w:numPr>
          <w:ilvl w:val="1"/>
          <w:numId w:val="32"/>
        </w:numPr>
        <w:ind w:left="1437"/>
        <w:contextualSpacing w:val="0"/>
        <w:rPr>
          <w:rFonts w:eastAsia="Times New Roman"/>
          <w:szCs w:val="24"/>
          <w:lang w:eastAsia="ru-RU"/>
        </w:rPr>
      </w:pPr>
      <w:r w:rsidRPr="00CD2AC0">
        <w:rPr>
          <w:rFonts w:eastAsia="Times New Roman"/>
          <w:szCs w:val="24"/>
          <w:lang w:eastAsia="ru-RU"/>
        </w:rPr>
        <w:t>При дефиците факторов свертывания крови проводятся инфузии препаратов:</w:t>
      </w:r>
    </w:p>
    <w:p w14:paraId="10E531DB" w14:textId="77777777" w:rsidR="002C4EE9" w:rsidRDefault="002C4EE9" w:rsidP="002C4EE9">
      <w:pPr>
        <w:pStyle w:val="afe"/>
        <w:numPr>
          <w:ilvl w:val="2"/>
          <w:numId w:val="32"/>
        </w:numPr>
        <w:contextualSpacing w:val="0"/>
        <w:rPr>
          <w:rFonts w:eastAsia="Times New Roman"/>
          <w:szCs w:val="24"/>
          <w:lang w:eastAsia="ru-RU"/>
        </w:rPr>
      </w:pPr>
      <w:r w:rsidRPr="00522573">
        <w:rPr>
          <w:rFonts w:eastAsia="Times New Roman"/>
          <w:szCs w:val="24"/>
          <w:lang w:eastAsia="ru-RU"/>
        </w:rPr>
        <w:t xml:space="preserve">концентрат фактора свертывания крови </w:t>
      </w:r>
      <w:r w:rsidRPr="00522573">
        <w:rPr>
          <w:rFonts w:eastAsia="Times New Roman"/>
          <w:szCs w:val="24"/>
          <w:lang w:val="en-US" w:eastAsia="ru-RU"/>
        </w:rPr>
        <w:t>VII</w:t>
      </w:r>
      <w:r w:rsidRPr="00522573">
        <w:rPr>
          <w:rFonts w:eastAsia="Times New Roman"/>
          <w:szCs w:val="24"/>
          <w:lang w:eastAsia="ru-RU"/>
        </w:rPr>
        <w:t xml:space="preserve"> (при наследственной гипопроконвертинемии, некоторых видах наследственных тромбоцитопатий);</w:t>
      </w:r>
    </w:p>
    <w:p w14:paraId="43B64B24" w14:textId="77777777" w:rsidR="002C4EE9" w:rsidRDefault="002C4EE9" w:rsidP="002C4EE9">
      <w:pPr>
        <w:pStyle w:val="afe"/>
        <w:numPr>
          <w:ilvl w:val="2"/>
          <w:numId w:val="32"/>
        </w:numPr>
        <w:contextualSpacing w:val="0"/>
        <w:rPr>
          <w:rFonts w:eastAsia="Times New Roman"/>
          <w:szCs w:val="24"/>
          <w:lang w:eastAsia="ru-RU"/>
        </w:rPr>
      </w:pPr>
      <w:r w:rsidRPr="00522573">
        <w:rPr>
          <w:rFonts w:eastAsia="Times New Roman"/>
          <w:szCs w:val="24"/>
          <w:lang w:eastAsia="ru-RU"/>
        </w:rPr>
        <w:t xml:space="preserve">концентраты фактора свертывания крови </w:t>
      </w:r>
      <w:r w:rsidRPr="00522573">
        <w:rPr>
          <w:rFonts w:eastAsia="Times New Roman"/>
          <w:szCs w:val="24"/>
          <w:lang w:val="en-US" w:eastAsia="ru-RU"/>
        </w:rPr>
        <w:t>VIII</w:t>
      </w:r>
      <w:r w:rsidRPr="00522573">
        <w:rPr>
          <w:rFonts w:eastAsia="Times New Roman"/>
          <w:szCs w:val="24"/>
          <w:lang w:eastAsia="ru-RU"/>
        </w:rPr>
        <w:t xml:space="preserve"> (</w:t>
      </w:r>
      <w:r w:rsidRPr="00522573">
        <w:rPr>
          <w:rFonts w:eastAsia="Times New Roman"/>
          <w:szCs w:val="24"/>
          <w:lang w:val="en-US" w:eastAsia="ru-RU"/>
        </w:rPr>
        <w:t>FVIII</w:t>
      </w:r>
      <w:r w:rsidRPr="00522573">
        <w:rPr>
          <w:rFonts w:eastAsia="Times New Roman"/>
          <w:szCs w:val="24"/>
          <w:lang w:eastAsia="ru-RU"/>
        </w:rPr>
        <w:t>), октоког альфа, мороктоког альфа, симоктоког альфа, туроктоког, эптаког альфа (активированный), АИКК (при гемофилии А);</w:t>
      </w:r>
    </w:p>
    <w:p w14:paraId="436D80D7" w14:textId="77777777" w:rsidR="002C4EE9" w:rsidRDefault="002C4EE9" w:rsidP="002C4EE9">
      <w:pPr>
        <w:pStyle w:val="afe"/>
        <w:numPr>
          <w:ilvl w:val="2"/>
          <w:numId w:val="32"/>
        </w:numPr>
        <w:contextualSpacing w:val="0"/>
        <w:rPr>
          <w:rFonts w:eastAsia="Times New Roman"/>
          <w:szCs w:val="24"/>
          <w:lang w:eastAsia="ru-RU"/>
        </w:rPr>
      </w:pPr>
      <w:r w:rsidRPr="00522573">
        <w:rPr>
          <w:rFonts w:eastAsia="Times New Roman"/>
          <w:szCs w:val="24"/>
          <w:lang w:eastAsia="ru-RU"/>
        </w:rPr>
        <w:t xml:space="preserve">концентрат фактора свертывания крови </w:t>
      </w:r>
      <w:r w:rsidRPr="00522573">
        <w:rPr>
          <w:rFonts w:eastAsia="Times New Roman"/>
          <w:szCs w:val="24"/>
          <w:lang w:val="en-US" w:eastAsia="ru-RU"/>
        </w:rPr>
        <w:t>IX</w:t>
      </w:r>
      <w:r w:rsidRPr="00522573">
        <w:rPr>
          <w:rFonts w:eastAsia="Times New Roman"/>
          <w:szCs w:val="24"/>
          <w:lang w:eastAsia="ru-RU"/>
        </w:rPr>
        <w:t>, нонаког альфа, эптаког альфа (активированный), АИКК (при гемофилии В);</w:t>
      </w:r>
    </w:p>
    <w:p w14:paraId="5AF48CFF" w14:textId="77777777" w:rsidR="002C4EE9" w:rsidRPr="00522573" w:rsidRDefault="002C4EE9" w:rsidP="002C4EE9">
      <w:pPr>
        <w:pStyle w:val="afe"/>
        <w:numPr>
          <w:ilvl w:val="2"/>
          <w:numId w:val="32"/>
        </w:numPr>
        <w:contextualSpacing w:val="0"/>
        <w:rPr>
          <w:rFonts w:eastAsia="Times New Roman"/>
          <w:szCs w:val="24"/>
          <w:lang w:eastAsia="ru-RU"/>
        </w:rPr>
      </w:pPr>
      <w:r w:rsidRPr="00522573">
        <w:rPr>
          <w:rFonts w:eastAsia="Times New Roman"/>
          <w:szCs w:val="24"/>
          <w:lang w:eastAsia="ru-RU"/>
        </w:rPr>
        <w:t>эмицизумаб (для профилактики возникновения кровотечений у пациентов с тяжелой формой гемофилии А).</w:t>
      </w:r>
    </w:p>
    <w:p w14:paraId="72D20B1E" w14:textId="77777777" w:rsidR="002C4EE9" w:rsidRPr="00CD2AC0" w:rsidRDefault="002C4EE9" w:rsidP="002C4EE9">
      <w:pPr>
        <w:pStyle w:val="afe"/>
        <w:numPr>
          <w:ilvl w:val="1"/>
          <w:numId w:val="32"/>
        </w:numPr>
        <w:ind w:left="1437"/>
        <w:contextualSpacing w:val="0"/>
        <w:rPr>
          <w:rFonts w:eastAsia="Times New Roman"/>
          <w:szCs w:val="24"/>
          <w:lang w:eastAsia="ru-RU"/>
        </w:rPr>
      </w:pPr>
      <w:r w:rsidRPr="00CD2AC0">
        <w:rPr>
          <w:rFonts w:eastAsia="Times New Roman"/>
          <w:szCs w:val="24"/>
          <w:lang w:eastAsia="ru-RU"/>
        </w:rPr>
        <w:t>Десмопрессин (при болезни Виллебранда).</w:t>
      </w:r>
    </w:p>
    <w:p w14:paraId="7F018118" w14:textId="77777777" w:rsidR="002C4EE9" w:rsidRPr="00CD2AC0" w:rsidRDefault="002C4EE9" w:rsidP="002C4EE9">
      <w:pPr>
        <w:pStyle w:val="afe"/>
        <w:ind w:left="1396"/>
        <w:rPr>
          <w:rFonts w:eastAsia="Times New Roman"/>
          <w:szCs w:val="24"/>
          <w:lang w:eastAsia="ru-RU"/>
        </w:rPr>
      </w:pPr>
      <w:r w:rsidRPr="00CD2AC0">
        <w:rPr>
          <w:rFonts w:eastAsia="Times New Roman"/>
          <w:szCs w:val="24"/>
          <w:lang w:eastAsia="ru-RU"/>
        </w:rPr>
        <w:t>Дозы и режимы введения концентратов факторов свертывания крови, эмицизумаба и десмопрессина – в соответствии с национальными рекомендациями по лечению гемофилии и болезни Виллебранда.</w:t>
      </w:r>
    </w:p>
    <w:p w14:paraId="77C27804" w14:textId="77777777" w:rsidR="002C4EE9" w:rsidRDefault="002C4EE9" w:rsidP="002C4EE9">
      <w:pPr>
        <w:pStyle w:val="afe"/>
        <w:numPr>
          <w:ilvl w:val="1"/>
          <w:numId w:val="32"/>
        </w:numPr>
        <w:ind w:left="1437"/>
        <w:contextualSpacing w:val="0"/>
        <w:rPr>
          <w:rFonts w:eastAsia="Times New Roman"/>
          <w:szCs w:val="24"/>
          <w:lang w:eastAsia="ru-RU"/>
        </w:rPr>
      </w:pPr>
      <w:r w:rsidRPr="00CD2AC0">
        <w:rPr>
          <w:rFonts w:eastAsia="Times New Roman"/>
          <w:szCs w:val="24"/>
          <w:lang w:eastAsia="ru-RU"/>
        </w:rPr>
        <w:t xml:space="preserve">Антифибринолитические препараты: транексамовая кислота по 750 мг х 2-3 раза в сут </w:t>
      </w:r>
      <w:r w:rsidRPr="00CD2AC0">
        <w:rPr>
          <w:rFonts w:eastAsia="Times New Roman"/>
          <w:szCs w:val="24"/>
          <w:lang w:val="en-US" w:eastAsia="ru-RU"/>
        </w:rPr>
        <w:t>per</w:t>
      </w:r>
      <w:r w:rsidRPr="00CD2AC0">
        <w:rPr>
          <w:rFonts w:eastAsia="Times New Roman"/>
          <w:szCs w:val="24"/>
          <w:lang w:eastAsia="ru-RU"/>
        </w:rPr>
        <w:t xml:space="preserve"> </w:t>
      </w:r>
      <w:r w:rsidRPr="00CD2AC0">
        <w:rPr>
          <w:rFonts w:eastAsia="Times New Roman"/>
          <w:szCs w:val="24"/>
          <w:lang w:val="en-US" w:eastAsia="ru-RU"/>
        </w:rPr>
        <w:t>os</w:t>
      </w:r>
      <w:r w:rsidRPr="00CD2AC0">
        <w:rPr>
          <w:rFonts w:eastAsia="Times New Roman"/>
          <w:szCs w:val="24"/>
          <w:lang w:eastAsia="ru-RU"/>
        </w:rPr>
        <w:t xml:space="preserve"> или 10-15 мг/кг массы тела пациента в/в каждые 8 часов до купирования кровотечения.</w:t>
      </w:r>
    </w:p>
    <w:p w14:paraId="5552F477" w14:textId="06D2F8C8" w:rsidR="002C4EE9" w:rsidRPr="002C4EE9" w:rsidRDefault="002C4EE9" w:rsidP="002C4EE9">
      <w:pPr>
        <w:pStyle w:val="2"/>
      </w:pPr>
      <w:bookmarkStart w:id="42" w:name="_Toc67522242"/>
      <w:r>
        <w:rPr>
          <w:rStyle w:val="affa"/>
          <w:b/>
          <w:bCs w:val="0"/>
        </w:rPr>
        <w:t xml:space="preserve">7.4 </w:t>
      </w:r>
      <w:r w:rsidRPr="00BA72AB">
        <w:t>Внутричерепные кровоизлияния у гематологических пациентов – тактика нейрохирургического лечения</w:t>
      </w:r>
      <w:bookmarkEnd w:id="42"/>
    </w:p>
    <w:p w14:paraId="4F34C004" w14:textId="604E13F0" w:rsidR="002C4EE9" w:rsidRPr="00BA72AB" w:rsidRDefault="002C4EE9" w:rsidP="002C4EE9">
      <w:pPr>
        <w:tabs>
          <w:tab w:val="left" w:pos="709"/>
        </w:tabs>
        <w:ind w:firstLine="709"/>
        <w:rPr>
          <w:rFonts w:cs="Times New Roman"/>
          <w:szCs w:val="24"/>
        </w:rPr>
      </w:pPr>
      <w:r w:rsidRPr="00BA72AB">
        <w:rPr>
          <w:rFonts w:cs="Times New Roman"/>
          <w:szCs w:val="24"/>
        </w:rPr>
        <w:lastRenderedPageBreak/>
        <w:t>Внутричерепные кровоизлияния (ВЧК) – это нередкое (ожидаемое) осложнение основного заболевания и/или специфического (в том числе, химиотерапевтического) лечения у гематологических пациентов, в том числе, со всеми видами лейкозов и лимфом, часто сопряженное с патологией плазменного и/или тромбоцитарного гемостаза</w:t>
      </w:r>
      <w:r>
        <w:rPr>
          <w:rFonts w:cs="Times New Roman"/>
          <w:szCs w:val="24"/>
        </w:rPr>
        <w:t xml:space="preserve"> </w:t>
      </w:r>
      <w:r>
        <w:rPr>
          <w:rFonts w:cs="Times New Roman"/>
          <w:bCs/>
          <w:i/>
          <w:iCs/>
          <w:szCs w:val="24"/>
          <w:u w:val="single"/>
        </w:rPr>
        <w:fldChar w:fldCharType="begin" w:fldLock="1"/>
      </w:r>
      <w:r w:rsidR="0028120A">
        <w:rPr>
          <w:rFonts w:cs="Times New Roman"/>
          <w:bCs/>
          <w:i/>
          <w:iCs/>
          <w:szCs w:val="24"/>
          <w:u w:val="single"/>
        </w:rPr>
        <w:instrText>ADDIN CSL_CITATION {"citationItems":[{"id":"ITEM-1","itemData":{"author":[{"dropping-particle":"","family":"Мамонов","given":"В.Е.","non-dropping-particle":"","parse-names":false,"suffix":""}],"container-title":"Гематология и трансфузиология","id":"ITEM-1","issue":"S1","issued":{"date-parts":[["2020"]]},"page":"174-175","title":"Неотложная нейрохирургия внутричерепных кровоизлияний у пациентов гематологического стационара","type":"article-journal","volume":"65"},"uris":["http://www.mendeley.com/documents/?uuid=e8b83040-80c7-4e36-8d57-5e123af5e4a6"]}],"mendeley":{"formattedCitation":"[69]","plainTextFormattedCitation":"[69]","previouslyFormattedCitation":"[69]"},"properties":{"noteIndex":0},"schema":"https://github.com/citation-style-language/schema/raw/master/csl-citation.json"}</w:instrText>
      </w:r>
      <w:r>
        <w:rPr>
          <w:rFonts w:cs="Times New Roman"/>
          <w:bCs/>
          <w:i/>
          <w:iCs/>
          <w:szCs w:val="24"/>
          <w:u w:val="single"/>
        </w:rPr>
        <w:fldChar w:fldCharType="separate"/>
      </w:r>
      <w:r w:rsidR="00141D88" w:rsidRPr="00141D88">
        <w:rPr>
          <w:rFonts w:cs="Times New Roman"/>
          <w:bCs/>
          <w:iCs/>
          <w:noProof/>
          <w:szCs w:val="24"/>
        </w:rPr>
        <w:t>[69]</w:t>
      </w:r>
      <w:r>
        <w:rPr>
          <w:rFonts w:cs="Times New Roman"/>
          <w:bCs/>
          <w:i/>
          <w:iCs/>
          <w:szCs w:val="24"/>
          <w:u w:val="single"/>
        </w:rPr>
        <w:fldChar w:fldCharType="end"/>
      </w:r>
      <w:r w:rsidRPr="00BA72AB">
        <w:rPr>
          <w:rFonts w:cs="Times New Roman"/>
          <w:szCs w:val="24"/>
        </w:rPr>
        <w:t>. Без оказания неотложной нейрохирургической помощи массивные ВЧК у гематологических больных закономерно приводят к фатальному исходу. Из всех ВЧК, требующих оперативного лечения, наиболее часто у гематологических пациентов встречаются следующие (в порядке убывания): внутримозговая гематома с признаками внутричерепной гипертензии и дислокационного синдрома (в т.ч. с прорывом в желудочки) по данным компьютерной томографии (КТ) головного мозга; острые и подострые субдуральные (СДГ) и острые эпидуральные гематомы (ЭДГ); декомпенсация хронической субдуральной гематомы (ХСДГ).</w:t>
      </w:r>
    </w:p>
    <w:p w14:paraId="35B7377D" w14:textId="77777777" w:rsidR="002C4EE9" w:rsidRPr="00BA72AB" w:rsidRDefault="002C4EE9" w:rsidP="002C4EE9">
      <w:pPr>
        <w:tabs>
          <w:tab w:val="left" w:pos="709"/>
        </w:tabs>
        <w:ind w:firstLine="709"/>
        <w:rPr>
          <w:rFonts w:cs="Times New Roman"/>
          <w:szCs w:val="24"/>
        </w:rPr>
      </w:pPr>
      <w:r w:rsidRPr="00BA72AB">
        <w:rPr>
          <w:rFonts w:cs="Times New Roman"/>
          <w:szCs w:val="24"/>
        </w:rPr>
        <w:t xml:space="preserve"> Основные причины ВЧК у гематологических пациентов – черепно-мозговая травма, нарушение венозного оттока (тромбоз синусов головного мозга), гипертонический криз, артериовенозная мальформация. При  этом у пациентов могут не выявляться нарушения гемостаза, или иметься различные его нарушения –  тромбоцитопения менее 50х10</w:t>
      </w:r>
      <w:r w:rsidRPr="00BA72AB">
        <w:rPr>
          <w:rFonts w:cs="Times New Roman"/>
          <w:szCs w:val="24"/>
          <w:vertAlign w:val="superscript"/>
        </w:rPr>
        <w:t>9</w:t>
      </w:r>
      <w:r w:rsidRPr="00BA72AB">
        <w:rPr>
          <w:rFonts w:cs="Times New Roman"/>
          <w:szCs w:val="24"/>
        </w:rPr>
        <w:t xml:space="preserve">/л и/или нарушение плазменного гемостаза (гипокоагуляция). </w:t>
      </w:r>
    </w:p>
    <w:p w14:paraId="50D88EAD" w14:textId="77777777" w:rsidR="002C4EE9" w:rsidRPr="00BA72AB" w:rsidRDefault="002C4EE9" w:rsidP="002C4EE9">
      <w:pPr>
        <w:pStyle w:val="afe"/>
        <w:tabs>
          <w:tab w:val="left" w:pos="709"/>
        </w:tabs>
        <w:ind w:left="0" w:firstLine="709"/>
        <w:rPr>
          <w:rFonts w:cs="Times New Roman"/>
          <w:szCs w:val="24"/>
        </w:rPr>
      </w:pPr>
      <w:r w:rsidRPr="00BA72AB">
        <w:rPr>
          <w:rFonts w:cs="Times New Roman"/>
          <w:szCs w:val="24"/>
        </w:rPr>
        <w:t>Нейрохирургическое вмешательство позволяет сохранить жизнь у 60% гематологических пациентов с массивными ВЧК и продолжить лечение основного онкогематологического заболевания, при этом регресса неврологической симптоматики удаётся добиться у более чем 40% оперированных больных.</w:t>
      </w:r>
    </w:p>
    <w:p w14:paraId="1EE65BA4" w14:textId="77777777" w:rsidR="002C4EE9" w:rsidRDefault="002C4EE9" w:rsidP="002C4EE9">
      <w:pPr>
        <w:pStyle w:val="afe"/>
        <w:rPr>
          <w:rFonts w:cs="Times New Roman"/>
          <w:bCs/>
          <w:i/>
          <w:iCs/>
          <w:szCs w:val="24"/>
          <w:u w:val="single"/>
        </w:rPr>
      </w:pPr>
    </w:p>
    <w:p w14:paraId="06565F6C" w14:textId="77777777" w:rsidR="002C4EE9" w:rsidRPr="003D7F7D" w:rsidRDefault="002C4EE9" w:rsidP="002C4EE9">
      <w:pPr>
        <w:pStyle w:val="afe"/>
        <w:rPr>
          <w:rFonts w:cs="Times New Roman"/>
          <w:bCs/>
          <w:i/>
          <w:iCs/>
          <w:szCs w:val="24"/>
          <w:u w:val="single"/>
        </w:rPr>
      </w:pPr>
      <w:r w:rsidRPr="003D7F7D">
        <w:rPr>
          <w:rFonts w:cs="Times New Roman"/>
          <w:bCs/>
          <w:i/>
          <w:iCs/>
          <w:szCs w:val="24"/>
          <w:u w:val="single"/>
        </w:rPr>
        <w:t>Клиническая картина</w:t>
      </w:r>
    </w:p>
    <w:p w14:paraId="3A977898" w14:textId="77777777" w:rsidR="002C4EE9" w:rsidRPr="00BA72AB" w:rsidRDefault="002C4EE9" w:rsidP="002C4EE9">
      <w:pPr>
        <w:ind w:firstLine="708"/>
        <w:rPr>
          <w:rFonts w:cs="Times New Roman"/>
          <w:szCs w:val="24"/>
        </w:rPr>
      </w:pPr>
      <w:r w:rsidRPr="00BA72AB">
        <w:rPr>
          <w:rFonts w:cs="Times New Roman"/>
          <w:szCs w:val="24"/>
        </w:rPr>
        <w:t>Клиническая картина ВЧК зависит от локализации кровоизлияния.</w:t>
      </w:r>
    </w:p>
    <w:p w14:paraId="5FFA2833" w14:textId="77777777" w:rsidR="002C4EE9" w:rsidRPr="00BA72AB" w:rsidRDefault="002C4EE9" w:rsidP="002C4EE9">
      <w:pPr>
        <w:ind w:firstLine="708"/>
        <w:rPr>
          <w:rFonts w:cs="Times New Roman"/>
          <w:szCs w:val="24"/>
        </w:rPr>
      </w:pPr>
      <w:r w:rsidRPr="00BA72AB">
        <w:rPr>
          <w:rFonts w:cs="Times New Roman"/>
          <w:b/>
          <w:i/>
          <w:szCs w:val="24"/>
        </w:rPr>
        <w:t xml:space="preserve">Эпидуральные и острые субдуральные гематомы </w:t>
      </w:r>
      <w:r w:rsidRPr="00BA72AB">
        <w:rPr>
          <w:rFonts w:cs="Times New Roman"/>
          <w:szCs w:val="24"/>
        </w:rPr>
        <w:t xml:space="preserve"> в большинстве случаев связаны с травмой. Спонтанные субдуральные гематомы выявляются у пациентов с грубой патологией плазменного и/или тромбоцитарного гемостаза. В клинической картине ЭДГ и СДГ присутствуют общемозговые симптомы – головная боль, тошнота, рвота, вялость, сонливость, апатия или тревожность, угнетение сознания. Быстро развивается гипертензионно-дислокационный стволовой синдром, который проявляется тяжёлым или крайне тяжелым состоянием, угнетением сознания до комы, выраженными стволовыми расстройствами, гемодинамическими нарушениями – артериальная гипертензия/гипотензия, брадикардия. Выделяют острые СДГ – до 2-х суток с момента травмы, подострые СДГ – до 14 суток, хронические СДГ – более 14 суток. ХСДГ</w:t>
      </w:r>
      <w:r w:rsidRPr="00BA72AB">
        <w:rPr>
          <w:rFonts w:cs="Times New Roman"/>
          <w:color w:val="FF0000"/>
          <w:szCs w:val="24"/>
        </w:rPr>
        <w:t xml:space="preserve"> </w:t>
      </w:r>
      <w:r w:rsidRPr="00BA72AB">
        <w:rPr>
          <w:rFonts w:cs="Times New Roman"/>
          <w:szCs w:val="24"/>
        </w:rPr>
        <w:lastRenderedPageBreak/>
        <w:t>характеризуются наличием капсулы, изолирующей СДГ от окружающего ликворного пространства.</w:t>
      </w:r>
    </w:p>
    <w:p w14:paraId="1AE50339" w14:textId="77777777" w:rsidR="002C4EE9" w:rsidRPr="00BA72AB" w:rsidRDefault="002C4EE9" w:rsidP="002C4EE9">
      <w:pPr>
        <w:ind w:firstLine="708"/>
        <w:rPr>
          <w:rFonts w:cs="Times New Roman"/>
          <w:szCs w:val="24"/>
        </w:rPr>
      </w:pPr>
      <w:r w:rsidRPr="00BA72AB">
        <w:rPr>
          <w:rFonts w:cs="Times New Roman"/>
          <w:b/>
          <w:i/>
          <w:szCs w:val="24"/>
        </w:rPr>
        <w:t xml:space="preserve">Хроническая субдуральная гематома (ХСДГ) </w:t>
      </w:r>
      <w:r w:rsidRPr="00BA72AB">
        <w:rPr>
          <w:rFonts w:cs="Times New Roman"/>
          <w:szCs w:val="24"/>
        </w:rPr>
        <w:t>часто выявляется как находка при выполнении магнитно-резонансной томографии (МРТ) или КТ головного мозга у гематологических пациентов. Клинически ХСДГ может протекать бессимптомно, либо вызывать клинику гипертензионно-дисциркуляторного синдрома (угнетение сознания до умеренного или глубокого оглушения, головная боль, тошнота, рвота, психомоторное возбуждение, судорожный синдром, афатические нарушения, пирамидная недостаточность).</w:t>
      </w:r>
    </w:p>
    <w:p w14:paraId="5EB95B40" w14:textId="77777777" w:rsidR="002C4EE9" w:rsidRPr="00BA72AB" w:rsidRDefault="002C4EE9" w:rsidP="002C4EE9">
      <w:pPr>
        <w:ind w:firstLine="708"/>
        <w:rPr>
          <w:rFonts w:cs="Times New Roman"/>
          <w:szCs w:val="24"/>
        </w:rPr>
      </w:pPr>
      <w:r w:rsidRPr="00BA72AB">
        <w:rPr>
          <w:rFonts w:cs="Times New Roman"/>
          <w:b/>
          <w:i/>
          <w:szCs w:val="24"/>
        </w:rPr>
        <w:t xml:space="preserve">Субарахноидальные кровоизлияния (САК) </w:t>
      </w:r>
      <w:r w:rsidRPr="00BA72AB">
        <w:rPr>
          <w:rFonts w:cs="Times New Roman"/>
          <w:szCs w:val="24"/>
        </w:rPr>
        <w:t xml:space="preserve">у гематологических пациентов встречаются часто как спутник кровоизлияний других локализаций либо спонтанное геморрагическое осложнение, не связанное с грубой цереброваскулярной патологией.  Как правило, клиническая картина соответствует </w:t>
      </w:r>
      <w:r w:rsidRPr="00BA72AB">
        <w:rPr>
          <w:rFonts w:cs="Times New Roman"/>
          <w:szCs w:val="24"/>
          <w:lang w:val="en-US"/>
        </w:rPr>
        <w:t>I</w:t>
      </w:r>
      <w:r w:rsidRPr="00BA72AB">
        <w:rPr>
          <w:rFonts w:cs="Times New Roman"/>
          <w:szCs w:val="24"/>
        </w:rPr>
        <w:t>-</w:t>
      </w:r>
      <w:r w:rsidRPr="00BA72AB">
        <w:rPr>
          <w:rFonts w:cs="Times New Roman"/>
          <w:szCs w:val="24"/>
          <w:lang w:val="en-US"/>
        </w:rPr>
        <w:t>II</w:t>
      </w:r>
      <w:r w:rsidRPr="00BA72AB">
        <w:rPr>
          <w:rFonts w:cs="Times New Roman"/>
          <w:szCs w:val="24"/>
        </w:rPr>
        <w:t xml:space="preserve"> стадии по классификации </w:t>
      </w:r>
      <w:r w:rsidRPr="00BA72AB">
        <w:rPr>
          <w:rFonts w:cs="Times New Roman"/>
          <w:szCs w:val="24"/>
          <w:lang w:val="en-US"/>
        </w:rPr>
        <w:t>Hunt</w:t>
      </w:r>
      <w:r w:rsidRPr="00BA72AB">
        <w:rPr>
          <w:rFonts w:cs="Times New Roman"/>
          <w:szCs w:val="24"/>
        </w:rPr>
        <w:t>&amp;</w:t>
      </w:r>
      <w:r w:rsidRPr="00BA72AB">
        <w:rPr>
          <w:rFonts w:cs="Times New Roman"/>
          <w:szCs w:val="24"/>
          <w:lang w:val="en-US"/>
        </w:rPr>
        <w:t>Hess</w:t>
      </w:r>
      <w:r w:rsidRPr="00BA72AB">
        <w:rPr>
          <w:rFonts w:cs="Times New Roman"/>
          <w:szCs w:val="24"/>
        </w:rPr>
        <w:t>, проявляется головной болью и менингеальной симптоматикой. Причиной развития САК у гематологических больных как правило служит патология плазменного и/или тромбоцитарного гемостаза. Гораздо реже наблюдаются классические САК, связанные с разрывом артериальной аневризмы или артериовенозной мальформации. В этих случаях клиническая картина определяется генерализованным вазоспазмом, может сопровождаться развитием гипертензионно-дислокационного синдрома вследствие образования внутричерепных гематом.</w:t>
      </w:r>
    </w:p>
    <w:p w14:paraId="07EE9346" w14:textId="77777777" w:rsidR="002C4EE9" w:rsidRPr="00BA72AB" w:rsidRDefault="002C4EE9" w:rsidP="002C4EE9">
      <w:pPr>
        <w:ind w:firstLine="708"/>
        <w:rPr>
          <w:rFonts w:cs="Times New Roman"/>
          <w:szCs w:val="24"/>
        </w:rPr>
      </w:pPr>
      <w:r w:rsidRPr="00BA72AB">
        <w:rPr>
          <w:rFonts w:cs="Times New Roman"/>
          <w:b/>
          <w:i/>
          <w:szCs w:val="24"/>
        </w:rPr>
        <w:t xml:space="preserve">Внутримозговые, внутрижелудочковые и сочетанные гематомы, </w:t>
      </w:r>
      <w:r w:rsidRPr="00BA72AB">
        <w:rPr>
          <w:rFonts w:cs="Times New Roman"/>
          <w:szCs w:val="24"/>
        </w:rPr>
        <w:t>наряду с патологией плазменного и/или тромбоцитарного гемостаза, в своем развитии связаны с артериальной гипертензией либо тромбозом венозных синусов. При остром нарушении мозгового кровообращения (ОНМК) по геморрагическому типу клиническая неврологическая симптоматика, помимо гипертензионно-дислокационного синдрома, зависит от того, в бассейне какой мозговой артерии произошло кровоизлияние. Гемипарез является характерным проявлением данного типа ВЧК. Наиболее часто ОНМК развивается в бассейне средней мозговой артерии и сопровождается прорывом крови в желудочки мозга. Состояние пациентов оценивается как крайне тяжелой, прогноз неблагоприятный.</w:t>
      </w:r>
    </w:p>
    <w:p w14:paraId="6694A2EB" w14:textId="77777777" w:rsidR="002C4EE9" w:rsidRPr="00BA72AB" w:rsidRDefault="002C4EE9" w:rsidP="002C4EE9">
      <w:pPr>
        <w:ind w:firstLine="708"/>
        <w:rPr>
          <w:rFonts w:cs="Times New Roman"/>
          <w:szCs w:val="24"/>
        </w:rPr>
      </w:pPr>
      <w:r w:rsidRPr="00BA72AB">
        <w:rPr>
          <w:rFonts w:cs="Times New Roman"/>
          <w:szCs w:val="24"/>
        </w:rPr>
        <w:t>Напротив, спонтанные внутримозговые гематомы нетипичных для ОНМК локализаций часто связаны с тромбозом синусов головного мозга. Клиническая картина в этих случаях более благоприятная, гипертензионно-дислокационный синдром прогрессирует медленно, отмечается появление парезов с контрлатеральной стороны, развитие афатических и ментальных расстройств.</w:t>
      </w:r>
    </w:p>
    <w:p w14:paraId="6F3AFDF1" w14:textId="77777777" w:rsidR="002C4EE9" w:rsidRPr="00BA72AB" w:rsidRDefault="002C4EE9" w:rsidP="002C4EE9">
      <w:pPr>
        <w:ind w:firstLine="708"/>
        <w:rPr>
          <w:rFonts w:cs="Times New Roman"/>
          <w:szCs w:val="24"/>
        </w:rPr>
      </w:pPr>
      <w:r w:rsidRPr="00BA72AB">
        <w:rPr>
          <w:rFonts w:cs="Times New Roman"/>
          <w:b/>
          <w:i/>
          <w:szCs w:val="24"/>
        </w:rPr>
        <w:lastRenderedPageBreak/>
        <w:t xml:space="preserve">Субтенториальные кровоизлияния </w:t>
      </w:r>
      <w:r w:rsidRPr="00BA72AB">
        <w:rPr>
          <w:rFonts w:cs="Times New Roman"/>
          <w:szCs w:val="24"/>
        </w:rPr>
        <w:t>локализуются в структурах головного мозга под наметом мозжечка. Клиническая картина определяется степенью воздействия на стволовые структуры мозга и локализацией кровоизлияния. Пациентов может беспокоить головная боль, тошнота, рвота, нарушение походки, головокружение. При развитии поражения стволовых структур возникает угнетение сознания, гемодинамические и дыхательные расстройства.</w:t>
      </w:r>
    </w:p>
    <w:p w14:paraId="452CE7F5" w14:textId="77777777" w:rsidR="002C4EE9" w:rsidRDefault="002C4EE9" w:rsidP="002C4EE9">
      <w:pPr>
        <w:ind w:firstLine="709"/>
        <w:rPr>
          <w:rFonts w:cs="Times New Roman"/>
          <w:bCs/>
          <w:i/>
          <w:iCs/>
          <w:szCs w:val="24"/>
          <w:u w:val="single"/>
        </w:rPr>
      </w:pPr>
    </w:p>
    <w:p w14:paraId="66CB80F0" w14:textId="77777777" w:rsidR="002C4EE9" w:rsidRPr="00212356" w:rsidRDefault="002C4EE9" w:rsidP="002C4EE9">
      <w:pPr>
        <w:ind w:firstLine="709"/>
        <w:rPr>
          <w:rFonts w:cs="Times New Roman"/>
          <w:bCs/>
          <w:i/>
          <w:iCs/>
          <w:szCs w:val="24"/>
          <w:u w:val="single"/>
        </w:rPr>
      </w:pPr>
      <w:r w:rsidRPr="00212356">
        <w:rPr>
          <w:rFonts w:cs="Times New Roman"/>
          <w:bCs/>
          <w:i/>
          <w:iCs/>
          <w:szCs w:val="24"/>
          <w:u w:val="single"/>
        </w:rPr>
        <w:t>Инструментальная диагностика.</w:t>
      </w:r>
    </w:p>
    <w:p w14:paraId="281E5659" w14:textId="59392BB1" w:rsidR="002C4EE9" w:rsidRPr="00BA72AB" w:rsidRDefault="002C4EE9" w:rsidP="002C4EE9">
      <w:pPr>
        <w:ind w:firstLine="709"/>
        <w:rPr>
          <w:rFonts w:cs="Times New Roman"/>
          <w:szCs w:val="24"/>
        </w:rPr>
      </w:pPr>
      <w:r w:rsidRPr="00BA72AB">
        <w:rPr>
          <w:rFonts w:cs="Times New Roman"/>
          <w:szCs w:val="24"/>
        </w:rPr>
        <w:t>КТ головного мозга</w:t>
      </w:r>
      <w:r w:rsidRPr="002C4EE9">
        <w:rPr>
          <w:rFonts w:cs="Times New Roman"/>
          <w:szCs w:val="24"/>
        </w:rPr>
        <w:t xml:space="preserve"> </w:t>
      </w:r>
      <w:r w:rsidRPr="00BA72AB">
        <w:rPr>
          <w:rFonts w:cs="Times New Roman"/>
          <w:szCs w:val="24"/>
        </w:rPr>
        <w:t>рекомендуется практически всем пациентам с гематологическим заболеванием при поступлении в стационар.  Это необходимо для определения исходного статуса и динамики изменений как при наличии у пациентов неврологической симптоматики, так и без нее. При необходимости выполняется МРТ головного мозга.</w:t>
      </w:r>
    </w:p>
    <w:p w14:paraId="2EE36209" w14:textId="77777777" w:rsidR="002C4EE9" w:rsidRPr="00BA72AB" w:rsidRDefault="002C4EE9" w:rsidP="002C4EE9">
      <w:pPr>
        <w:ind w:firstLine="709"/>
        <w:rPr>
          <w:rFonts w:cs="Times New Roman"/>
          <w:szCs w:val="24"/>
        </w:rPr>
      </w:pPr>
      <w:r w:rsidRPr="00BA72AB">
        <w:rPr>
          <w:rFonts w:cs="Times New Roman"/>
          <w:szCs w:val="24"/>
        </w:rPr>
        <w:t>Любое нарушение неврологического статуса, включая субъективное беспокойство пациента требует выполнения КТ/МРТ головного мозга для исключения ВЧК, учитывая возможность быстрого развития и прогрессирования ВЧК у гематологических пациентов.</w:t>
      </w:r>
    </w:p>
    <w:p w14:paraId="6434B49B" w14:textId="77777777" w:rsidR="002C4EE9" w:rsidRPr="00BA72AB" w:rsidRDefault="002C4EE9" w:rsidP="002C4EE9">
      <w:pPr>
        <w:ind w:firstLine="709"/>
        <w:rPr>
          <w:rFonts w:cs="Times New Roman"/>
          <w:szCs w:val="24"/>
        </w:rPr>
      </w:pPr>
      <w:r w:rsidRPr="00BA72AB">
        <w:rPr>
          <w:rFonts w:cs="Times New Roman"/>
          <w:szCs w:val="24"/>
        </w:rPr>
        <w:t>КТ или МРТ головного мозга с внутривенным контрастированием выполняется в качестве дополнительного обследования и дифференциальной диагностики ВЧК с другой неврологической патологией.</w:t>
      </w:r>
    </w:p>
    <w:p w14:paraId="55018722" w14:textId="77777777" w:rsidR="002C4EE9" w:rsidRDefault="002C4EE9" w:rsidP="002C4EE9">
      <w:pPr>
        <w:ind w:firstLine="709"/>
        <w:rPr>
          <w:rFonts w:cs="Times New Roman"/>
          <w:szCs w:val="24"/>
        </w:rPr>
      </w:pPr>
      <w:r w:rsidRPr="00BA72AB">
        <w:rPr>
          <w:rFonts w:cs="Times New Roman"/>
          <w:szCs w:val="24"/>
        </w:rPr>
        <w:t>Ангиография выполняется при подозрении на тромбоз венозных синусов, артериальную аневризму или артериовенозную мальформацию при выявлении признаков САК.</w:t>
      </w:r>
    </w:p>
    <w:p w14:paraId="36AA019D" w14:textId="77777777" w:rsidR="002C4EE9" w:rsidRPr="00BA72AB" w:rsidRDefault="002C4EE9" w:rsidP="002C4EE9">
      <w:pPr>
        <w:ind w:firstLine="709"/>
        <w:rPr>
          <w:rFonts w:cs="Times New Roman"/>
          <w:szCs w:val="24"/>
        </w:rPr>
      </w:pPr>
    </w:p>
    <w:p w14:paraId="330CAAD8" w14:textId="77777777" w:rsidR="002C4EE9" w:rsidRPr="00212356" w:rsidRDefault="002C4EE9" w:rsidP="002C4EE9">
      <w:pPr>
        <w:ind w:firstLine="709"/>
        <w:rPr>
          <w:rFonts w:cs="Times New Roman"/>
          <w:bCs/>
          <w:i/>
          <w:iCs/>
          <w:szCs w:val="24"/>
          <w:u w:val="single"/>
        </w:rPr>
      </w:pPr>
      <w:r w:rsidRPr="00212356">
        <w:rPr>
          <w:rFonts w:cs="Times New Roman"/>
          <w:bCs/>
          <w:i/>
          <w:iCs/>
          <w:szCs w:val="24"/>
          <w:u w:val="single"/>
        </w:rPr>
        <w:t>Лабораторная диагностика.</w:t>
      </w:r>
    </w:p>
    <w:p w14:paraId="0802ECE6" w14:textId="77777777" w:rsidR="002C4EE9" w:rsidRPr="00BA72AB" w:rsidRDefault="002C4EE9" w:rsidP="002C4EE9">
      <w:pPr>
        <w:ind w:firstLine="709"/>
        <w:rPr>
          <w:rFonts w:cs="Times New Roman"/>
          <w:szCs w:val="24"/>
        </w:rPr>
      </w:pPr>
      <w:r w:rsidRPr="00BA72AB">
        <w:rPr>
          <w:rFonts w:cs="Times New Roman"/>
          <w:szCs w:val="24"/>
        </w:rPr>
        <w:t xml:space="preserve">Лабораторная диагностика заключается в выявлении патологии плазменного и тромбоцитарного гемостаза, а также мониторинге терапии выявленных нарушений. </w:t>
      </w:r>
    </w:p>
    <w:p w14:paraId="7346F185" w14:textId="77777777" w:rsidR="002C4EE9" w:rsidRPr="00BA72AB" w:rsidRDefault="002C4EE9" w:rsidP="002C4EE9">
      <w:pPr>
        <w:ind w:firstLine="709"/>
        <w:rPr>
          <w:rFonts w:cs="Times New Roman"/>
          <w:szCs w:val="24"/>
        </w:rPr>
      </w:pPr>
      <w:r w:rsidRPr="00BA72AB">
        <w:rPr>
          <w:rFonts w:cs="Times New Roman"/>
          <w:szCs w:val="24"/>
        </w:rPr>
        <w:t xml:space="preserve">Рекомендуемые исследования для выявления патологии гемостаза: </w:t>
      </w:r>
    </w:p>
    <w:p w14:paraId="03AC5D7A" w14:textId="77777777" w:rsidR="002C4EE9" w:rsidRPr="00BA72AB" w:rsidRDefault="002C4EE9" w:rsidP="002C4EE9">
      <w:pPr>
        <w:pStyle w:val="afe"/>
        <w:numPr>
          <w:ilvl w:val="0"/>
          <w:numId w:val="37"/>
        </w:numPr>
        <w:rPr>
          <w:rFonts w:cs="Times New Roman"/>
          <w:szCs w:val="24"/>
        </w:rPr>
      </w:pPr>
      <w:r w:rsidRPr="00BA72AB">
        <w:rPr>
          <w:rFonts w:cs="Times New Roman"/>
          <w:szCs w:val="24"/>
        </w:rPr>
        <w:t xml:space="preserve">общий (клинический) анализ крови развернутый, с подсчетом количества тромбоцитов в крови по мазку (по Фонио), </w:t>
      </w:r>
    </w:p>
    <w:p w14:paraId="068AC300" w14:textId="77777777" w:rsidR="002C4EE9" w:rsidRPr="00BA72AB" w:rsidRDefault="002C4EE9" w:rsidP="002C4EE9">
      <w:pPr>
        <w:pStyle w:val="afe"/>
        <w:numPr>
          <w:ilvl w:val="0"/>
          <w:numId w:val="37"/>
        </w:numPr>
        <w:rPr>
          <w:rFonts w:cs="Times New Roman"/>
          <w:szCs w:val="24"/>
        </w:rPr>
      </w:pPr>
      <w:r w:rsidRPr="00BA72AB">
        <w:rPr>
          <w:rFonts w:cs="Times New Roman"/>
          <w:szCs w:val="24"/>
        </w:rPr>
        <w:t xml:space="preserve">агрегация тромбоцитов с АДФ и ристомицином, </w:t>
      </w:r>
    </w:p>
    <w:p w14:paraId="14679AE3" w14:textId="77777777" w:rsidR="002C4EE9" w:rsidRPr="00BA72AB" w:rsidRDefault="002C4EE9" w:rsidP="002C4EE9">
      <w:pPr>
        <w:pStyle w:val="afe"/>
        <w:numPr>
          <w:ilvl w:val="0"/>
          <w:numId w:val="37"/>
        </w:numPr>
        <w:rPr>
          <w:rFonts w:cs="Times New Roman"/>
          <w:szCs w:val="24"/>
        </w:rPr>
      </w:pPr>
      <w:r w:rsidRPr="00BA72AB">
        <w:rPr>
          <w:rFonts w:cs="Times New Roman"/>
          <w:szCs w:val="24"/>
        </w:rPr>
        <w:t xml:space="preserve">коагулограмма – активированное частичное тромбопластиновое время (АЧТВ), протромбин, фибриноген, Д-димер, антитромбин </w:t>
      </w:r>
      <w:r w:rsidRPr="00BA72AB">
        <w:rPr>
          <w:rFonts w:cs="Times New Roman"/>
          <w:szCs w:val="24"/>
          <w:lang w:val="en-US"/>
        </w:rPr>
        <w:t>III</w:t>
      </w:r>
      <w:r w:rsidRPr="00BA72AB">
        <w:rPr>
          <w:rFonts w:cs="Times New Roman"/>
          <w:szCs w:val="24"/>
        </w:rPr>
        <w:t xml:space="preserve"> и др.</w:t>
      </w:r>
    </w:p>
    <w:p w14:paraId="65ADBFAB" w14:textId="77777777" w:rsidR="002C4EE9" w:rsidRPr="00BA72AB" w:rsidRDefault="002C4EE9" w:rsidP="002C4EE9">
      <w:pPr>
        <w:pStyle w:val="afe"/>
        <w:numPr>
          <w:ilvl w:val="0"/>
          <w:numId w:val="37"/>
        </w:numPr>
        <w:rPr>
          <w:rFonts w:cs="Times New Roman"/>
          <w:szCs w:val="24"/>
        </w:rPr>
      </w:pPr>
      <w:r w:rsidRPr="00BA72AB">
        <w:rPr>
          <w:rFonts w:cs="Times New Roman"/>
          <w:szCs w:val="24"/>
        </w:rPr>
        <w:t>тромбоэластография (при необходимости).</w:t>
      </w:r>
    </w:p>
    <w:p w14:paraId="559EEEB8" w14:textId="77777777" w:rsidR="002C4EE9" w:rsidRPr="00BA72AB" w:rsidRDefault="002C4EE9" w:rsidP="002C4EE9">
      <w:pPr>
        <w:pStyle w:val="afe"/>
        <w:numPr>
          <w:ilvl w:val="0"/>
          <w:numId w:val="37"/>
        </w:numPr>
        <w:rPr>
          <w:rFonts w:cs="Times New Roman"/>
          <w:szCs w:val="24"/>
        </w:rPr>
      </w:pPr>
      <w:r w:rsidRPr="00BA72AB">
        <w:rPr>
          <w:rFonts w:cs="Times New Roman"/>
          <w:szCs w:val="24"/>
        </w:rPr>
        <w:t xml:space="preserve">маркеры тромбофилии (при тромбозе мозговых синусов): АЧТВ, протромбин, фибриноген, тромбиновое время, XII-а зависимый фибринолиз, протеины С и S, гомоцистеин, агрегация тромбоцитов, Д-димер, волчаночный антикоагулянт, </w:t>
      </w:r>
      <w:r w:rsidRPr="00BA72AB">
        <w:rPr>
          <w:rFonts w:cs="Times New Roman"/>
          <w:szCs w:val="24"/>
        </w:rPr>
        <w:lastRenderedPageBreak/>
        <w:t xml:space="preserve">антитела к бета2 гликопротеину 1, антитела к кардиолипину, мутации генов: V фактора Лейден, метилентетрагидрофолат-редуктазы, протромбина.  </w:t>
      </w:r>
    </w:p>
    <w:p w14:paraId="4D38DC63" w14:textId="77777777" w:rsidR="002C4EE9" w:rsidRDefault="002C4EE9" w:rsidP="002C4EE9">
      <w:pPr>
        <w:ind w:firstLine="709"/>
        <w:rPr>
          <w:rFonts w:cs="Times New Roman"/>
          <w:bCs/>
          <w:i/>
          <w:iCs/>
          <w:szCs w:val="24"/>
          <w:u w:val="single"/>
        </w:rPr>
      </w:pPr>
    </w:p>
    <w:p w14:paraId="196BB01D" w14:textId="777262F4" w:rsidR="002C4EE9" w:rsidRPr="00212356" w:rsidRDefault="002C4EE9" w:rsidP="002C4EE9">
      <w:pPr>
        <w:ind w:firstLine="709"/>
        <w:rPr>
          <w:rFonts w:cs="Times New Roman"/>
          <w:bCs/>
          <w:i/>
          <w:iCs/>
          <w:szCs w:val="24"/>
          <w:u w:val="single"/>
        </w:rPr>
      </w:pPr>
      <w:r w:rsidRPr="00212356">
        <w:rPr>
          <w:rFonts w:cs="Times New Roman"/>
          <w:bCs/>
          <w:i/>
          <w:iCs/>
          <w:szCs w:val="24"/>
          <w:u w:val="single"/>
        </w:rPr>
        <w:t>Лечение</w:t>
      </w:r>
      <w:r>
        <w:rPr>
          <w:rFonts w:cs="Times New Roman"/>
          <w:bCs/>
          <w:i/>
          <w:iCs/>
          <w:szCs w:val="24"/>
          <w:u w:val="single"/>
        </w:rPr>
        <w:t xml:space="preserve"> </w:t>
      </w:r>
      <w:r>
        <w:rPr>
          <w:rFonts w:cs="Times New Roman"/>
          <w:bCs/>
          <w:i/>
          <w:iCs/>
          <w:szCs w:val="24"/>
          <w:u w:val="single"/>
        </w:rPr>
        <w:fldChar w:fldCharType="begin" w:fldLock="1"/>
      </w:r>
      <w:r w:rsidR="0028120A">
        <w:rPr>
          <w:rFonts w:cs="Times New Roman"/>
          <w:bCs/>
          <w:i/>
          <w:iCs/>
          <w:szCs w:val="24"/>
          <w:u w:val="single"/>
        </w:rPr>
        <w:instrText>ADDIN CSL_CITATION {"citationItems":[{"id":"ITEM-1","itemData":{"author":[{"dropping-particle":"","family":"Мамонов","given":"В.Е.","non-dropping-particle":"","parse-names":false,"suffix":""}],"container-title":"Гематология и трансфузиология","id":"ITEM-1","issue":"S1","issued":{"date-parts":[["2020"]]},"page":"174-175","title":"Неотложная нейрохирургия внутричерепных кровоизлияний у пациентов гематологического стационара","type":"article-journal","volume":"65"},"uris":["http://www.mendeley.com/documents/?uuid=e8b83040-80c7-4e36-8d57-5e123af5e4a6"]}],"mendeley":{"formattedCitation":"[69]","plainTextFormattedCitation":"[69]","previouslyFormattedCitation":"[69]"},"properties":{"noteIndex":0},"schema":"https://github.com/citation-style-language/schema/raw/master/csl-citation.json"}</w:instrText>
      </w:r>
      <w:r>
        <w:rPr>
          <w:rFonts w:cs="Times New Roman"/>
          <w:bCs/>
          <w:i/>
          <w:iCs/>
          <w:szCs w:val="24"/>
          <w:u w:val="single"/>
        </w:rPr>
        <w:fldChar w:fldCharType="separate"/>
      </w:r>
      <w:r w:rsidR="00141D88" w:rsidRPr="00141D88">
        <w:rPr>
          <w:rFonts w:cs="Times New Roman"/>
          <w:bCs/>
          <w:iCs/>
          <w:noProof/>
          <w:szCs w:val="24"/>
        </w:rPr>
        <w:t>[69]</w:t>
      </w:r>
      <w:r>
        <w:rPr>
          <w:rFonts w:cs="Times New Roman"/>
          <w:bCs/>
          <w:i/>
          <w:iCs/>
          <w:szCs w:val="24"/>
          <w:u w:val="single"/>
        </w:rPr>
        <w:fldChar w:fldCharType="end"/>
      </w:r>
    </w:p>
    <w:p w14:paraId="534FFC76" w14:textId="77777777" w:rsidR="002C4EE9" w:rsidRPr="00BA72AB" w:rsidRDefault="002C4EE9" w:rsidP="002C4EE9">
      <w:pPr>
        <w:pStyle w:val="afe"/>
        <w:ind w:left="0" w:firstLine="720"/>
        <w:rPr>
          <w:rFonts w:cs="Times New Roman"/>
          <w:szCs w:val="24"/>
        </w:rPr>
      </w:pPr>
      <w:r w:rsidRPr="00BA72AB">
        <w:rPr>
          <w:rFonts w:cs="Times New Roman"/>
          <w:szCs w:val="24"/>
        </w:rPr>
        <w:t xml:space="preserve">Цель лечения ВЧК заключается в достижении эффективного гемостаза для остановки кровотечения и борьба с гипертензионно-дислокационным синдромом. В случаях небольших по объёму ВЧК, не угрожающих жизни пациента, при достижении эффективного гемостаза санагенез гематомы происходит в течение 2-3 недель. Нейрохирургическое вмешательство в данной ситуации не требуется. </w:t>
      </w:r>
    </w:p>
    <w:p w14:paraId="3E950FFC" w14:textId="77777777" w:rsidR="002C4EE9" w:rsidRPr="00BA72AB" w:rsidRDefault="002C4EE9" w:rsidP="002C4EE9">
      <w:pPr>
        <w:pStyle w:val="afe"/>
        <w:ind w:left="0" w:firstLine="720"/>
        <w:rPr>
          <w:rFonts w:cs="Times New Roman"/>
          <w:szCs w:val="24"/>
        </w:rPr>
      </w:pPr>
      <w:r w:rsidRPr="00BA72AB">
        <w:rPr>
          <w:rFonts w:cs="Times New Roman"/>
          <w:szCs w:val="24"/>
        </w:rPr>
        <w:t xml:space="preserve">При выявлении ВЧК пациент переводится в реанимационное отделение, где проводится экстренная диагностика состояния гемостаза, и проводится коррекция тромбоцитопении и гипокоагуляции. Пациентам с дефицитом факторов свертывания препараты факторов </w:t>
      </w:r>
      <w:r w:rsidRPr="00BA72AB">
        <w:rPr>
          <w:rFonts w:cs="Times New Roman"/>
          <w:szCs w:val="24"/>
          <w:lang w:val="en-US"/>
        </w:rPr>
        <w:t>VIII</w:t>
      </w:r>
      <w:r w:rsidRPr="00BA72AB">
        <w:rPr>
          <w:rFonts w:cs="Times New Roman"/>
          <w:szCs w:val="24"/>
        </w:rPr>
        <w:t xml:space="preserve">, </w:t>
      </w:r>
      <w:r w:rsidRPr="00BA72AB">
        <w:rPr>
          <w:rFonts w:cs="Times New Roman"/>
          <w:szCs w:val="24"/>
          <w:lang w:val="en-US"/>
        </w:rPr>
        <w:t>IX</w:t>
      </w:r>
      <w:r w:rsidRPr="00BA72AB">
        <w:rPr>
          <w:rFonts w:cs="Times New Roman"/>
          <w:szCs w:val="24"/>
        </w:rPr>
        <w:t xml:space="preserve">, рекомбинантного активированного фактора </w:t>
      </w:r>
      <w:r w:rsidRPr="00BA72AB">
        <w:rPr>
          <w:rFonts w:cs="Times New Roman"/>
          <w:szCs w:val="24"/>
          <w:lang w:val="en-US"/>
        </w:rPr>
        <w:t>VII</w:t>
      </w:r>
      <w:r w:rsidRPr="00BA72AB">
        <w:rPr>
          <w:rFonts w:cs="Times New Roman"/>
          <w:szCs w:val="24"/>
        </w:rPr>
        <w:t xml:space="preserve"> или препарат активированного протромбинового комплекса (при наличии ингибитора) вводятся в рекомендуемых дозах при подозрении на ВЧК ещё до направления на КТ головного мозга.</w:t>
      </w:r>
    </w:p>
    <w:p w14:paraId="77931D92" w14:textId="77777777" w:rsidR="002C4EE9" w:rsidRPr="00BA72AB" w:rsidRDefault="002C4EE9" w:rsidP="002C4EE9">
      <w:pPr>
        <w:pStyle w:val="afe"/>
        <w:ind w:left="0" w:firstLine="720"/>
        <w:rPr>
          <w:rFonts w:cs="Times New Roman"/>
          <w:szCs w:val="24"/>
        </w:rPr>
      </w:pPr>
      <w:r w:rsidRPr="00BA72AB">
        <w:rPr>
          <w:rFonts w:cs="Times New Roman"/>
          <w:szCs w:val="24"/>
        </w:rPr>
        <w:t>После достижения эффективного гемостаза мультидисциплинарной командой (гематолог, нейрохирург, реаниматолог) решается вопрос о возможности и целесообразности выполнения нейрохирургического вмешательства. Цель нейрохирургической операции – борьба с гипертензионно-дислокационным синдромом. Операция выполняется по жизненным показаниям. При оказании ургентной нейрохирургической помощи гематологическим пациентам принципиальным является фактор времени. Оптимальным является выполнение трепанации черепа не позднее 4-х часов с момента диагностики ВЧК. Нужно учитывать, что у гематологических пациентов редко удаётся добиться идеального гемостаза и редко удаётся выявить непосредственный источник кровотечения. Необходимо, как правило, использовать дополнительные местные гемостатические материалы – Тахокомб, Серджисел. Операция заканчивается дренированием полости гематомы тонким дренажем с пассивной аспирацией.</w:t>
      </w:r>
    </w:p>
    <w:p w14:paraId="61E260E0" w14:textId="77777777" w:rsidR="002C4EE9" w:rsidRPr="00BA72AB" w:rsidRDefault="002C4EE9" w:rsidP="002C4EE9">
      <w:pPr>
        <w:pStyle w:val="afe"/>
        <w:ind w:left="0" w:firstLine="720"/>
        <w:rPr>
          <w:rFonts w:cs="Times New Roman"/>
          <w:szCs w:val="24"/>
        </w:rPr>
      </w:pPr>
      <w:r w:rsidRPr="00BA72AB">
        <w:rPr>
          <w:rFonts w:cs="Times New Roman"/>
          <w:szCs w:val="24"/>
        </w:rPr>
        <w:t>При острых субдуральных и эпидуральных гематомах, при развитии у пациента гипертензионно-дислокационного синдрома и смещения срединных структур головного мозга более 9 мм выполняется костно-пластическая краниотомия, удаление и дренирование гематомы головного мозга. При выявлении на операции признаков отёка / набухания вещества головного мозга объём вмешательства расширяется до декомпрессивной трепанации с пластикой твердой мозговой оболочки.</w:t>
      </w:r>
    </w:p>
    <w:p w14:paraId="44AB4E83" w14:textId="77777777" w:rsidR="002C4EE9" w:rsidRPr="00BA72AB" w:rsidRDefault="002C4EE9" w:rsidP="002C4EE9">
      <w:pPr>
        <w:pStyle w:val="afe"/>
        <w:ind w:left="0" w:firstLine="720"/>
        <w:rPr>
          <w:rFonts w:cs="Times New Roman"/>
          <w:szCs w:val="24"/>
        </w:rPr>
      </w:pPr>
      <w:r w:rsidRPr="00BA72AB">
        <w:rPr>
          <w:rFonts w:cs="Times New Roman"/>
          <w:szCs w:val="24"/>
        </w:rPr>
        <w:t xml:space="preserve">Субарахноидальные кровоизлияния (САК) у гематологических пациентов, как правило, требуют консервативного лечения, либо эндоваскулярной диагностики и </w:t>
      </w:r>
      <w:r w:rsidRPr="00BA72AB">
        <w:rPr>
          <w:rFonts w:cs="Times New Roman"/>
          <w:szCs w:val="24"/>
        </w:rPr>
        <w:lastRenderedPageBreak/>
        <w:t xml:space="preserve">эндоваскулярного нейрохирургического лечения. Показания к эндоваскулярному вмешательству также определяются коллегиально специалистами: нейрохирург, ангиохирург, реаниматолог, гематолог. </w:t>
      </w:r>
    </w:p>
    <w:p w14:paraId="7AEFC8F5" w14:textId="77777777" w:rsidR="002C4EE9" w:rsidRPr="00BA72AB" w:rsidRDefault="002C4EE9" w:rsidP="002C4EE9">
      <w:pPr>
        <w:pStyle w:val="afe"/>
        <w:ind w:left="0" w:firstLine="720"/>
        <w:rPr>
          <w:rFonts w:cs="Times New Roman"/>
          <w:szCs w:val="24"/>
        </w:rPr>
      </w:pPr>
      <w:r w:rsidRPr="00BA72AB">
        <w:rPr>
          <w:rFonts w:cs="Times New Roman"/>
          <w:szCs w:val="24"/>
        </w:rPr>
        <w:t>Внутримозговые гематомы и внутрижелудочковые кровоизлияния у гематологических пациентов требуют нейрохирургического вмешательства только по жизненным показаниям, так как любая дополнительная травма вещества головного мозга при удалении внутримозговых гематом усугубляет неврологических дефицит, и кроме того, у гематологических пациентов имеется высокий риск рецидива гематомы. При нетипичных локализациях спонтанных внутримозговых гематом требуется исключить тромбоз венозных синусов. При подтверждении тромбоза целесообразно выполнить эндоваскулярное вмешательство с целью восстановления кровотока (локальный эндоваскулярный трансвенозный тромболизис, эндоваскулярная тромбэктомия аспирационная). В случае принятия решения об открытом оперативном вмешательстве выполняется декомпрессивная краниотомия, удаление и дренирование внутримозговой гематомы. При кровоизлиянии в желудочки головного мозга у гематологических пациентов выполнение только вентрикулостомии неэффективно.</w:t>
      </w:r>
    </w:p>
    <w:p w14:paraId="5BFD693F" w14:textId="77777777" w:rsidR="002C4EE9" w:rsidRPr="00BA72AB" w:rsidRDefault="002C4EE9" w:rsidP="002C4EE9">
      <w:pPr>
        <w:pStyle w:val="afe"/>
        <w:ind w:left="0" w:firstLine="720"/>
        <w:rPr>
          <w:rFonts w:cs="Times New Roman"/>
          <w:szCs w:val="24"/>
        </w:rPr>
      </w:pPr>
      <w:r w:rsidRPr="00BA72AB">
        <w:rPr>
          <w:rFonts w:cs="Times New Roman"/>
          <w:szCs w:val="24"/>
        </w:rPr>
        <w:t>Хронические субдуральные гематомы (ХСДГ) требуют нейрохирургического лечения в плановом порядке при наличии клинических проявлений. Свою эффективность у гематологических пациентов показал подход, заключающийся в выполнении закрытого дренирования ХСДГ.</w:t>
      </w:r>
    </w:p>
    <w:p w14:paraId="23BB74AC" w14:textId="77777777" w:rsidR="002C4EE9" w:rsidRDefault="002C4EE9" w:rsidP="002C4EE9">
      <w:pPr>
        <w:pStyle w:val="afe"/>
        <w:ind w:left="0" w:firstLine="720"/>
        <w:rPr>
          <w:rFonts w:cs="Times New Roman"/>
          <w:szCs w:val="24"/>
        </w:rPr>
      </w:pPr>
      <w:r w:rsidRPr="00BA72AB">
        <w:rPr>
          <w:rFonts w:cs="Times New Roman"/>
          <w:szCs w:val="24"/>
        </w:rPr>
        <w:t xml:space="preserve">По клиническим показаниям производится гемотрансфузионная терапия: трансфузии тромбоконцентрата, свежезамороженной плазмы, криопреципитата, эритроцитсодержащих компонентов крови. При тромбозах венозных синусов подбор антикоагулянтной терапии производится индивидуально с учетом лабораторных данных и факторов риска кровотечения. Исход нейрохирургических вмешательств при ВЧК зависит </w:t>
      </w:r>
    </w:p>
    <w:p w14:paraId="6977BBB4" w14:textId="77777777" w:rsidR="002C4EE9" w:rsidRPr="0005409C" w:rsidRDefault="002C4EE9" w:rsidP="002C4EE9">
      <w:pPr>
        <w:rPr>
          <w:rFonts w:cs="Times New Roman"/>
          <w:szCs w:val="24"/>
        </w:rPr>
      </w:pPr>
      <w:r w:rsidRPr="0005409C">
        <w:rPr>
          <w:rFonts w:cs="Times New Roman"/>
          <w:szCs w:val="24"/>
        </w:rPr>
        <w:t>от комплекса факторов (таб.1)</w:t>
      </w:r>
    </w:p>
    <w:p w14:paraId="3168E4B3" w14:textId="77777777" w:rsidR="002C4EE9" w:rsidRDefault="002C4EE9" w:rsidP="002C4EE9">
      <w:pPr>
        <w:rPr>
          <w:rFonts w:cs="Times New Roman"/>
          <w:szCs w:val="24"/>
        </w:rPr>
      </w:pPr>
    </w:p>
    <w:p w14:paraId="201A679E" w14:textId="77777777" w:rsidR="002C4EE9" w:rsidRPr="00BA72AB" w:rsidRDefault="002C4EE9" w:rsidP="002C4EE9">
      <w:pPr>
        <w:rPr>
          <w:rFonts w:cs="Times New Roman"/>
          <w:szCs w:val="24"/>
        </w:rPr>
      </w:pPr>
      <w:r w:rsidRPr="0005409C">
        <w:rPr>
          <w:rFonts w:cs="Times New Roman"/>
          <w:szCs w:val="24"/>
        </w:rPr>
        <w:t>Таблица 1. Прогностические факторы исхода нейрохирургических вмешательств при ВЧК</w:t>
      </w:r>
      <w:r w:rsidRPr="00BA72AB">
        <w:rPr>
          <w:rFonts w:cs="Times New Roman"/>
          <w:szCs w:val="24"/>
        </w:rPr>
        <w:t xml:space="preserve"> у гематологических пациентов.</w:t>
      </w:r>
    </w:p>
    <w:tbl>
      <w:tblPr>
        <w:tblStyle w:val="aff9"/>
        <w:tblW w:w="0" w:type="auto"/>
        <w:tblLook w:val="04A0" w:firstRow="1" w:lastRow="0" w:firstColumn="1" w:lastColumn="0" w:noHBand="0" w:noVBand="1"/>
      </w:tblPr>
      <w:tblGrid>
        <w:gridCol w:w="4672"/>
        <w:gridCol w:w="4673"/>
      </w:tblGrid>
      <w:tr w:rsidR="002C4EE9" w:rsidRPr="00BA72AB" w14:paraId="72E39B9A" w14:textId="77777777" w:rsidTr="002C4EE9">
        <w:tc>
          <w:tcPr>
            <w:tcW w:w="4672" w:type="dxa"/>
          </w:tcPr>
          <w:p w14:paraId="3005E1E8" w14:textId="77777777" w:rsidR="002C4EE9" w:rsidRPr="00BA72AB" w:rsidRDefault="002C4EE9" w:rsidP="002C4EE9">
            <w:pPr>
              <w:jc w:val="center"/>
              <w:rPr>
                <w:rFonts w:cs="Times New Roman"/>
                <w:szCs w:val="24"/>
              </w:rPr>
            </w:pPr>
            <w:r w:rsidRPr="00BA72AB">
              <w:rPr>
                <w:rFonts w:cs="Times New Roman"/>
                <w:szCs w:val="24"/>
              </w:rPr>
              <w:t>Благоприятные факторы</w:t>
            </w:r>
          </w:p>
        </w:tc>
        <w:tc>
          <w:tcPr>
            <w:tcW w:w="4673" w:type="dxa"/>
          </w:tcPr>
          <w:p w14:paraId="6CB83C06" w14:textId="77777777" w:rsidR="002C4EE9" w:rsidRPr="00BA72AB" w:rsidRDefault="002C4EE9" w:rsidP="002C4EE9">
            <w:pPr>
              <w:jc w:val="center"/>
              <w:rPr>
                <w:rFonts w:cs="Times New Roman"/>
                <w:szCs w:val="24"/>
              </w:rPr>
            </w:pPr>
            <w:r w:rsidRPr="00BA72AB">
              <w:rPr>
                <w:rFonts w:cs="Times New Roman"/>
                <w:szCs w:val="24"/>
              </w:rPr>
              <w:t>Неблагоприятные факторы</w:t>
            </w:r>
          </w:p>
        </w:tc>
      </w:tr>
      <w:tr w:rsidR="002C4EE9" w:rsidRPr="00BA72AB" w14:paraId="5D91568C" w14:textId="77777777" w:rsidTr="002C4EE9">
        <w:tc>
          <w:tcPr>
            <w:tcW w:w="4672" w:type="dxa"/>
          </w:tcPr>
          <w:p w14:paraId="20D552AA" w14:textId="77777777" w:rsidR="002C4EE9" w:rsidRPr="00BA72AB" w:rsidRDefault="002C4EE9" w:rsidP="002C4EE9">
            <w:pPr>
              <w:numPr>
                <w:ilvl w:val="0"/>
                <w:numId w:val="35"/>
              </w:numPr>
              <w:rPr>
                <w:rFonts w:cs="Times New Roman"/>
                <w:szCs w:val="24"/>
              </w:rPr>
            </w:pPr>
            <w:r w:rsidRPr="00BA72AB">
              <w:rPr>
                <w:rFonts w:cs="Times New Roman"/>
                <w:szCs w:val="24"/>
              </w:rPr>
              <w:t>оболочечные гематомы</w:t>
            </w:r>
          </w:p>
          <w:p w14:paraId="32D11701" w14:textId="77777777" w:rsidR="002C4EE9" w:rsidRPr="00BA72AB" w:rsidRDefault="002C4EE9" w:rsidP="002C4EE9">
            <w:pPr>
              <w:numPr>
                <w:ilvl w:val="0"/>
                <w:numId w:val="35"/>
              </w:numPr>
              <w:rPr>
                <w:rFonts w:cs="Times New Roman"/>
                <w:szCs w:val="24"/>
              </w:rPr>
            </w:pPr>
            <w:r w:rsidRPr="00BA72AB">
              <w:rPr>
                <w:rFonts w:cs="Times New Roman"/>
                <w:szCs w:val="24"/>
              </w:rPr>
              <w:t>диагностика в течение первых 4 часов</w:t>
            </w:r>
          </w:p>
          <w:p w14:paraId="1A6C53A3" w14:textId="77777777" w:rsidR="002C4EE9" w:rsidRPr="00BA72AB" w:rsidRDefault="002C4EE9" w:rsidP="002C4EE9">
            <w:pPr>
              <w:numPr>
                <w:ilvl w:val="0"/>
                <w:numId w:val="35"/>
              </w:numPr>
              <w:rPr>
                <w:rFonts w:cs="Times New Roman"/>
                <w:szCs w:val="24"/>
              </w:rPr>
            </w:pPr>
            <w:r w:rsidRPr="00BA72AB">
              <w:rPr>
                <w:rFonts w:cs="Times New Roman"/>
                <w:szCs w:val="24"/>
              </w:rPr>
              <w:t>контролируемые нарушения гемостаза</w:t>
            </w:r>
          </w:p>
          <w:p w14:paraId="48D158A0" w14:textId="77777777" w:rsidR="002C4EE9" w:rsidRPr="00BA72AB" w:rsidRDefault="002C4EE9" w:rsidP="002C4EE9">
            <w:pPr>
              <w:numPr>
                <w:ilvl w:val="0"/>
                <w:numId w:val="35"/>
              </w:numPr>
              <w:rPr>
                <w:rFonts w:cs="Times New Roman"/>
                <w:szCs w:val="24"/>
              </w:rPr>
            </w:pPr>
            <w:r w:rsidRPr="00BA72AB">
              <w:rPr>
                <w:rFonts w:cs="Times New Roman"/>
                <w:szCs w:val="24"/>
              </w:rPr>
              <w:lastRenderedPageBreak/>
              <w:t>супратенториальная локализация</w:t>
            </w:r>
          </w:p>
          <w:p w14:paraId="2241C5BF" w14:textId="77777777" w:rsidR="002C4EE9" w:rsidRPr="00BA72AB" w:rsidRDefault="002C4EE9" w:rsidP="002C4EE9">
            <w:pPr>
              <w:numPr>
                <w:ilvl w:val="0"/>
                <w:numId w:val="35"/>
              </w:numPr>
              <w:rPr>
                <w:rFonts w:cs="Times New Roman"/>
                <w:szCs w:val="24"/>
              </w:rPr>
            </w:pPr>
            <w:r w:rsidRPr="00BA72AB">
              <w:rPr>
                <w:rFonts w:cs="Times New Roman"/>
                <w:szCs w:val="24"/>
              </w:rPr>
              <w:t>уровень сознания – более 8 баллов ШКГ</w:t>
            </w:r>
          </w:p>
        </w:tc>
        <w:tc>
          <w:tcPr>
            <w:tcW w:w="4673" w:type="dxa"/>
          </w:tcPr>
          <w:p w14:paraId="504BFF23" w14:textId="77777777" w:rsidR="002C4EE9" w:rsidRPr="00BA72AB" w:rsidRDefault="002C4EE9" w:rsidP="002C4EE9">
            <w:pPr>
              <w:numPr>
                <w:ilvl w:val="0"/>
                <w:numId w:val="36"/>
              </w:numPr>
              <w:rPr>
                <w:rFonts w:cs="Times New Roman"/>
                <w:szCs w:val="24"/>
              </w:rPr>
            </w:pPr>
            <w:r w:rsidRPr="00BA72AB">
              <w:rPr>
                <w:rFonts w:cs="Times New Roman"/>
                <w:szCs w:val="24"/>
              </w:rPr>
              <w:lastRenderedPageBreak/>
              <w:t>внутримозговые, внутрижелудочковые и сочетанные гематомы</w:t>
            </w:r>
          </w:p>
          <w:p w14:paraId="0E87B7E3" w14:textId="77777777" w:rsidR="002C4EE9" w:rsidRPr="00BA72AB" w:rsidRDefault="002C4EE9" w:rsidP="002C4EE9">
            <w:pPr>
              <w:numPr>
                <w:ilvl w:val="0"/>
                <w:numId w:val="36"/>
              </w:numPr>
              <w:rPr>
                <w:rFonts w:cs="Times New Roman"/>
                <w:szCs w:val="24"/>
              </w:rPr>
            </w:pPr>
            <w:r w:rsidRPr="00BA72AB">
              <w:rPr>
                <w:rFonts w:cs="Times New Roman"/>
                <w:szCs w:val="24"/>
              </w:rPr>
              <w:t>поздняя диагностика</w:t>
            </w:r>
          </w:p>
          <w:p w14:paraId="07A62E99" w14:textId="77777777" w:rsidR="002C4EE9" w:rsidRPr="00BA72AB" w:rsidRDefault="002C4EE9" w:rsidP="002C4EE9">
            <w:pPr>
              <w:numPr>
                <w:ilvl w:val="0"/>
                <w:numId w:val="36"/>
              </w:numPr>
              <w:rPr>
                <w:rFonts w:cs="Times New Roman"/>
                <w:szCs w:val="24"/>
              </w:rPr>
            </w:pPr>
            <w:r w:rsidRPr="00BA72AB">
              <w:rPr>
                <w:rFonts w:cs="Times New Roman"/>
                <w:szCs w:val="24"/>
              </w:rPr>
              <w:lastRenderedPageBreak/>
              <w:t>неконтролируемые нарушения гемостаза</w:t>
            </w:r>
          </w:p>
          <w:p w14:paraId="0D5660BA" w14:textId="77777777" w:rsidR="002C4EE9" w:rsidRPr="00BA72AB" w:rsidRDefault="002C4EE9" w:rsidP="002C4EE9">
            <w:pPr>
              <w:numPr>
                <w:ilvl w:val="0"/>
                <w:numId w:val="36"/>
              </w:numPr>
              <w:rPr>
                <w:rFonts w:cs="Times New Roman"/>
                <w:szCs w:val="24"/>
              </w:rPr>
            </w:pPr>
            <w:r w:rsidRPr="00BA72AB">
              <w:rPr>
                <w:rFonts w:cs="Times New Roman"/>
                <w:szCs w:val="24"/>
              </w:rPr>
              <w:t>субтенториальная локализация</w:t>
            </w:r>
          </w:p>
          <w:p w14:paraId="45C97B70" w14:textId="77777777" w:rsidR="002C4EE9" w:rsidRPr="00BA72AB" w:rsidRDefault="002C4EE9" w:rsidP="002C4EE9">
            <w:pPr>
              <w:numPr>
                <w:ilvl w:val="0"/>
                <w:numId w:val="36"/>
              </w:numPr>
              <w:rPr>
                <w:rFonts w:cs="Times New Roman"/>
                <w:szCs w:val="24"/>
              </w:rPr>
            </w:pPr>
            <w:r w:rsidRPr="00BA72AB">
              <w:rPr>
                <w:rFonts w:cs="Times New Roman"/>
                <w:szCs w:val="24"/>
              </w:rPr>
              <w:t>глубокое угнетение сознания менее 8 баллов ШКГ</w:t>
            </w:r>
          </w:p>
        </w:tc>
      </w:tr>
    </w:tbl>
    <w:p w14:paraId="2BB2110D" w14:textId="014E18FF" w:rsidR="002C4EE9" w:rsidRDefault="002C4EE9" w:rsidP="002C4EE9">
      <w:pPr>
        <w:pStyle w:val="afe"/>
        <w:rPr>
          <w:rFonts w:cs="Times New Roman"/>
          <w:b/>
          <w:szCs w:val="24"/>
        </w:rPr>
      </w:pPr>
    </w:p>
    <w:p w14:paraId="18782D0F" w14:textId="484D3032" w:rsidR="00141D88" w:rsidRPr="00141D88" w:rsidRDefault="002C4EE9" w:rsidP="00141D88">
      <w:pPr>
        <w:pStyle w:val="2"/>
      </w:pPr>
      <w:bookmarkStart w:id="43" w:name="_Toc67522243"/>
      <w:r>
        <w:rPr>
          <w:rStyle w:val="affa"/>
          <w:b/>
          <w:bCs w:val="0"/>
        </w:rPr>
        <w:t>7.</w:t>
      </w:r>
      <w:r w:rsidRPr="00141D88">
        <w:rPr>
          <w:rStyle w:val="affa"/>
          <w:b/>
          <w:bCs w:val="0"/>
        </w:rPr>
        <w:t>5</w:t>
      </w:r>
      <w:r w:rsidR="00141D88" w:rsidRPr="00141D88">
        <w:rPr>
          <w:rStyle w:val="affa"/>
          <w:b/>
          <w:bCs w:val="0"/>
        </w:rPr>
        <w:t xml:space="preserve"> </w:t>
      </w:r>
      <w:r w:rsidR="00141D88" w:rsidRPr="00611EC1">
        <w:t>Лечение меноррагий у пациенток с гематологическими заболеваниями</w:t>
      </w:r>
      <w:bookmarkEnd w:id="43"/>
    </w:p>
    <w:p w14:paraId="2C913894" w14:textId="77777777" w:rsidR="00141D88" w:rsidRPr="00611EC1" w:rsidRDefault="00141D88" w:rsidP="00141D88">
      <w:pPr>
        <w:ind w:firstLine="709"/>
        <w:rPr>
          <w:rFonts w:cs="Times New Roman"/>
          <w:color w:val="000000"/>
          <w:szCs w:val="24"/>
        </w:rPr>
      </w:pPr>
      <w:r w:rsidRPr="00611EC1">
        <w:rPr>
          <w:rFonts w:cs="Times New Roman"/>
          <w:color w:val="000000"/>
          <w:szCs w:val="24"/>
        </w:rPr>
        <w:t xml:space="preserve">Аномальные маточные кровотечения (АМК) — распространенная патология </w:t>
      </w:r>
      <w:r w:rsidRPr="00611EC1">
        <w:rPr>
          <w:rFonts w:cs="Times New Roman"/>
          <w:szCs w:val="24"/>
        </w:rPr>
        <w:t>у женщин с гематологическими заболеваниями</w:t>
      </w:r>
      <w:r w:rsidRPr="00611EC1">
        <w:rPr>
          <w:rFonts w:cs="Times New Roman"/>
          <w:color w:val="000000"/>
          <w:szCs w:val="24"/>
        </w:rPr>
        <w:t xml:space="preserve">, которая включает нарушения менструального цикла, связанные с частотой, регулярностью, продолжительностью и объемом теряемой крови у пациенток. Частота встречаемости АМК </w:t>
      </w:r>
      <w:r w:rsidRPr="00611EC1">
        <w:rPr>
          <w:rFonts w:cs="Times New Roman"/>
          <w:szCs w:val="24"/>
        </w:rPr>
        <w:t>в общей популяции</w:t>
      </w:r>
      <w:r w:rsidRPr="00611EC1">
        <w:rPr>
          <w:rFonts w:cs="Times New Roman"/>
          <w:color w:val="FF0000"/>
          <w:szCs w:val="24"/>
        </w:rPr>
        <w:t xml:space="preserve"> </w:t>
      </w:r>
      <w:r w:rsidRPr="00611EC1">
        <w:rPr>
          <w:rFonts w:cs="Times New Roman"/>
          <w:szCs w:val="24"/>
        </w:rPr>
        <w:t>женщин</w:t>
      </w:r>
      <w:r w:rsidRPr="00611EC1">
        <w:rPr>
          <w:rFonts w:cs="Times New Roman"/>
          <w:color w:val="FF0000"/>
          <w:szCs w:val="24"/>
        </w:rPr>
        <w:t xml:space="preserve"> </w:t>
      </w:r>
      <w:r w:rsidRPr="00611EC1">
        <w:rPr>
          <w:rFonts w:cs="Times New Roman"/>
          <w:color w:val="000000"/>
          <w:szCs w:val="24"/>
        </w:rPr>
        <w:t>варьирует от 14 до 30%, частота у пациенток с гематологическими заболеваниями неизвестна.</w:t>
      </w:r>
    </w:p>
    <w:p w14:paraId="5A344F1F" w14:textId="2B2D63F8" w:rsidR="00141D88" w:rsidRPr="00611EC1" w:rsidRDefault="00141D88" w:rsidP="00141D88">
      <w:pPr>
        <w:ind w:firstLine="709"/>
        <w:rPr>
          <w:rFonts w:cs="Times New Roman"/>
          <w:color w:val="000000"/>
          <w:szCs w:val="24"/>
        </w:rPr>
      </w:pPr>
      <w:r w:rsidRPr="00611EC1">
        <w:rPr>
          <w:rFonts w:cs="Times New Roman"/>
          <w:szCs w:val="24"/>
        </w:rPr>
        <w:t>Основные причины АМК у пациенток с гематологическими заболеваниями</w:t>
      </w:r>
      <w:r>
        <w:rPr>
          <w:rFonts w:cs="Times New Roman"/>
          <w:szCs w:val="24"/>
        </w:rPr>
        <w:t xml:space="preserve"> </w:t>
      </w:r>
      <w:r>
        <w:rPr>
          <w:rFonts w:cs="Times New Roman"/>
          <w:szCs w:val="24"/>
        </w:rPr>
        <w:fldChar w:fldCharType="begin" w:fldLock="1"/>
      </w:r>
      <w:r w:rsidR="0028120A">
        <w:rPr>
          <w:rFonts w:cs="Times New Roman"/>
          <w:szCs w:val="24"/>
        </w:rPr>
        <w:instrText>ADDIN CSL_CITATION {"citationItems":[{"id":"ITEM-1","itemData":{"author":[{"dropping-particle":"","family":"Чернуха","given":"Г.Е.","non-dropping-particle":"","parse-names":false,"suffix":""}],"container-title":"Гинекология: национальное руководство. Краткое издание. Под ред. Г.М. Савельевой. Г.Т. Сухих, В.Н. Серова, В.Е. Радзинского, И.Б. Манухина.","id":"ITEM-1","issued":{"date-parts":[["2020"]]},"page":"170-175","publisher":"М.: ГЭОТАР-Медиа","title":"Аномальные маточные кровотечения репродуктивного периода","type":"chapter"},"uris":["http://www.mendeley.com/documents/?uuid=2ef54431-bdc8-4c42-878d-b428dfa8ea1f"]}],"mendeley":{"formattedCitation":"[70]","plainTextFormattedCitation":"[70]","previouslyFormattedCitation":"[70]"},"properties":{"noteIndex":0},"schema":"https://github.com/citation-style-language/schema/raw/master/csl-citation.json"}</w:instrText>
      </w:r>
      <w:r>
        <w:rPr>
          <w:rFonts w:cs="Times New Roman"/>
          <w:szCs w:val="24"/>
        </w:rPr>
        <w:fldChar w:fldCharType="separate"/>
      </w:r>
      <w:r w:rsidRPr="00141D88">
        <w:rPr>
          <w:rFonts w:cs="Times New Roman"/>
          <w:noProof/>
          <w:szCs w:val="24"/>
        </w:rPr>
        <w:t>[70]</w:t>
      </w:r>
      <w:r>
        <w:rPr>
          <w:rFonts w:cs="Times New Roman"/>
          <w:szCs w:val="24"/>
        </w:rPr>
        <w:fldChar w:fldCharType="end"/>
      </w:r>
      <w:r w:rsidRPr="00611EC1">
        <w:rPr>
          <w:rFonts w:cs="Times New Roman"/>
          <w:szCs w:val="24"/>
        </w:rPr>
        <w:t>:</w:t>
      </w:r>
    </w:p>
    <w:p w14:paraId="23CC2B6F" w14:textId="77777777" w:rsidR="00141D88" w:rsidRPr="00611EC1" w:rsidRDefault="00141D88" w:rsidP="00141D88">
      <w:pPr>
        <w:pStyle w:val="afe"/>
        <w:numPr>
          <w:ilvl w:val="0"/>
          <w:numId w:val="46"/>
        </w:numPr>
        <w:rPr>
          <w:rFonts w:cs="Times New Roman"/>
          <w:szCs w:val="24"/>
        </w:rPr>
      </w:pPr>
      <w:r w:rsidRPr="00611EC1">
        <w:rPr>
          <w:rFonts w:cs="Times New Roman"/>
          <w:szCs w:val="24"/>
        </w:rPr>
        <w:t>Экстрагенитальная патология: врожденные или приобретенные нарушения гемостаза, тромбоцитопении.</w:t>
      </w:r>
    </w:p>
    <w:p w14:paraId="6AAB0CA0" w14:textId="5BD10396" w:rsidR="00141D88" w:rsidRPr="00611EC1" w:rsidRDefault="00141D88" w:rsidP="00141D88">
      <w:pPr>
        <w:pStyle w:val="afe"/>
        <w:numPr>
          <w:ilvl w:val="0"/>
          <w:numId w:val="46"/>
        </w:numPr>
        <w:rPr>
          <w:rFonts w:cs="Times New Roman"/>
          <w:szCs w:val="24"/>
          <w:shd w:val="clear" w:color="auto" w:fill="FFFFFF"/>
        </w:rPr>
      </w:pPr>
      <w:r w:rsidRPr="00611EC1">
        <w:rPr>
          <w:rFonts w:cs="Times New Roman"/>
          <w:szCs w:val="24"/>
        </w:rPr>
        <w:t>АМК в период диагностики и лечения основного гематологического заболевания (в том числе, при лейкозах и лимфомах, обусловленные тромбоцитопенией и коакулологическими нарушениями), а также после самопроизвольных родов или оперативного родоразрешения на фоне гематологического заболевания (в том числе, при лейкозах и лимфомах).</w:t>
      </w:r>
      <w:r w:rsidRPr="00611EC1">
        <w:rPr>
          <w:rFonts w:cs="Times New Roman"/>
          <w:szCs w:val="24"/>
          <w:shd w:val="clear" w:color="auto" w:fill="FFFFFF"/>
        </w:rPr>
        <w:t xml:space="preserve"> </w:t>
      </w:r>
    </w:p>
    <w:p w14:paraId="3F104505" w14:textId="77777777" w:rsidR="00141D88" w:rsidRPr="00611EC1" w:rsidRDefault="00141D88" w:rsidP="00141D88">
      <w:pPr>
        <w:pStyle w:val="afe"/>
        <w:numPr>
          <w:ilvl w:val="0"/>
          <w:numId w:val="46"/>
        </w:numPr>
        <w:rPr>
          <w:rFonts w:cs="Times New Roman"/>
          <w:color w:val="000000"/>
          <w:szCs w:val="24"/>
          <w:shd w:val="clear" w:color="auto" w:fill="FFFFFF"/>
        </w:rPr>
      </w:pPr>
      <w:r w:rsidRPr="00611EC1">
        <w:rPr>
          <w:rFonts w:cs="Times New Roman"/>
          <w:color w:val="000000"/>
          <w:szCs w:val="24"/>
          <w:shd w:val="clear" w:color="auto" w:fill="FFFFFF"/>
        </w:rPr>
        <w:t>Органическая гинекологическая патология: полип, лейомиома, гиперплазия эндометрия, злокачественные образования, патология яичников, шейки матки (на фоне основного гематологического заболевания).</w:t>
      </w:r>
    </w:p>
    <w:p w14:paraId="6E34A40F" w14:textId="77777777" w:rsidR="00141D88" w:rsidRDefault="00141D88" w:rsidP="00141D88">
      <w:pPr>
        <w:rPr>
          <w:rFonts w:cs="Times New Roman"/>
          <w:b/>
          <w:szCs w:val="24"/>
        </w:rPr>
      </w:pPr>
    </w:p>
    <w:p w14:paraId="7486CC15" w14:textId="77777777" w:rsidR="00141D88" w:rsidRPr="00611EC1" w:rsidRDefault="00141D88" w:rsidP="00141D88">
      <w:pPr>
        <w:rPr>
          <w:rFonts w:cs="Times New Roman"/>
          <w:color w:val="000000"/>
          <w:szCs w:val="24"/>
          <w:shd w:val="clear" w:color="auto" w:fill="FFFFFF"/>
        </w:rPr>
      </w:pPr>
      <w:r w:rsidRPr="00611EC1">
        <w:rPr>
          <w:rFonts w:cs="Times New Roman"/>
          <w:b/>
          <w:szCs w:val="24"/>
        </w:rPr>
        <w:t xml:space="preserve">Диагностика </w:t>
      </w:r>
      <w:r w:rsidRPr="00611EC1">
        <w:rPr>
          <w:rFonts w:cs="Times New Roman"/>
          <w:b/>
          <w:color w:val="000000"/>
          <w:szCs w:val="24"/>
          <w:shd w:val="clear" w:color="auto" w:fill="FFFFFF"/>
        </w:rPr>
        <w:t>маточных кровотечений</w:t>
      </w:r>
      <w:r w:rsidRPr="00611EC1">
        <w:rPr>
          <w:rFonts w:cs="Times New Roman"/>
          <w:b/>
          <w:szCs w:val="24"/>
        </w:rPr>
        <w:t>.</w:t>
      </w:r>
    </w:p>
    <w:p w14:paraId="72502C8D" w14:textId="6BE710E1" w:rsidR="00141D88" w:rsidRPr="00611EC1" w:rsidRDefault="00141D88" w:rsidP="00141D88">
      <w:pPr>
        <w:ind w:firstLine="709"/>
        <w:rPr>
          <w:rFonts w:cs="Times New Roman"/>
          <w:color w:val="000000"/>
          <w:szCs w:val="24"/>
          <w:shd w:val="clear" w:color="auto" w:fill="FFFFFF"/>
        </w:rPr>
      </w:pPr>
      <w:r w:rsidRPr="00611EC1">
        <w:rPr>
          <w:rFonts w:cs="Times New Roman"/>
          <w:color w:val="1E1E1E"/>
          <w:spacing w:val="2"/>
          <w:szCs w:val="24"/>
        </w:rPr>
        <w:t xml:space="preserve">АМК проявляются обильными, длительными (более 7 дней), иногда болезненными </w:t>
      </w:r>
      <w:r w:rsidRPr="00611EC1">
        <w:rPr>
          <w:rFonts w:cs="Times New Roman"/>
          <w:spacing w:val="2"/>
          <w:szCs w:val="24"/>
        </w:rPr>
        <w:t>кровянистыми</w:t>
      </w:r>
      <w:r w:rsidRPr="00611EC1">
        <w:rPr>
          <w:rFonts w:cs="Times New Roman"/>
          <w:color w:val="FF0000"/>
          <w:spacing w:val="2"/>
          <w:szCs w:val="24"/>
        </w:rPr>
        <w:t xml:space="preserve"> </w:t>
      </w:r>
      <w:r w:rsidRPr="00611EC1">
        <w:rPr>
          <w:rFonts w:cs="Times New Roman"/>
          <w:color w:val="1E1E1E"/>
          <w:spacing w:val="2"/>
          <w:szCs w:val="24"/>
        </w:rPr>
        <w:t>выделениями из половых путей</w:t>
      </w:r>
      <w:r w:rsidRPr="00320220">
        <w:rPr>
          <w:rFonts w:cs="Times New Roman"/>
          <w:color w:val="1E1E1E"/>
          <w:spacing w:val="2"/>
          <w:szCs w:val="24"/>
        </w:rPr>
        <w:t xml:space="preserve"> </w:t>
      </w:r>
      <w:r>
        <w:rPr>
          <w:rFonts w:cs="Times New Roman"/>
          <w:color w:val="1E1E1E"/>
          <w:spacing w:val="2"/>
          <w:szCs w:val="24"/>
        </w:rPr>
        <w:fldChar w:fldCharType="begin" w:fldLock="1"/>
      </w:r>
      <w:r w:rsidR="0028120A">
        <w:rPr>
          <w:rFonts w:cs="Times New Roman"/>
          <w:color w:val="1E1E1E"/>
          <w:spacing w:val="2"/>
          <w:szCs w:val="24"/>
        </w:rPr>
        <w:instrText>ADDIN CSL_CITATION {"citationItems":[{"id":"ITEM-1","itemData":{"author":[{"dropping-particle":"","family":"Доброхотова","given":"Ю.Э.","non-dropping-particle":"","parse-names":false,"suffix":""},{"dropping-particle":"","family":"Сапрыкина","given":"Л.В.","non-dropping-particle":"","parse-names":false,"suffix":""},{"dropping-particle":"","family":"Филатова","given":"Л.А.","non-dropping-particle":"","parse-names":false,"suffix":""},{"dropping-particle":"","family":"Нариманова","given":"М.Р.","non-dropping-particle":"","parse-names":false,"suffix":""}],"container-title":"РМЖ. Мать и дитя","id":"ITEM-1","issue":"1","issued":{"date-parts":[["2020"]]},"page":"55-60","title":"Аномальные маточные кровотечения: алгоритмы ведения, методы терапии","type":"article-journal","volume":"3"},"uris":["http://www.mendeley.com/documents/?uuid=a12a992c-5fc5-4324-a2fd-7b01c09f94e9"]},{"id":"ITEM-2","itemData":{"author":[{"dropping-particle":"","family":"Чернуха","given":"Г.Е.","non-dropping-particle":"","parse-names":false,"suffix":""}],"container-title":"Гинекология: национальное руководство. Краткое издание. Под ред. Г.М. Савельевой. Г.Т. Сухих, В.Н. Серова, В.Е. Радзинского, И.Б. Манухина.","id":"ITEM-2","issued":{"date-parts":[["2020"]]},"page":"170-175","publisher":"М.: ГЭОТАР-Медиа","title":"Аномальные маточные кровотечения репродуктивного периода","type":"chapter"},"uris":["http://www.mendeley.com/documents/?uuid=2ef54431-bdc8-4c42-878d-b428dfa8ea1f"]}],"mendeley":{"formattedCitation":"[70,71]","plainTextFormattedCitation":"[70,71]","previouslyFormattedCitation":"[70,71]"},"properties":{"noteIndex":0},"schema":"https://github.com/citation-style-language/schema/raw/master/csl-citation.json"}</w:instrText>
      </w:r>
      <w:r>
        <w:rPr>
          <w:rFonts w:cs="Times New Roman"/>
          <w:color w:val="1E1E1E"/>
          <w:spacing w:val="2"/>
          <w:szCs w:val="24"/>
        </w:rPr>
        <w:fldChar w:fldCharType="separate"/>
      </w:r>
      <w:r w:rsidRPr="00141D88">
        <w:rPr>
          <w:rFonts w:cs="Times New Roman"/>
          <w:noProof/>
          <w:color w:val="1E1E1E"/>
          <w:spacing w:val="2"/>
          <w:szCs w:val="24"/>
        </w:rPr>
        <w:t>[70,71]</w:t>
      </w:r>
      <w:r>
        <w:rPr>
          <w:rFonts w:cs="Times New Roman"/>
          <w:color w:val="1E1E1E"/>
          <w:spacing w:val="2"/>
          <w:szCs w:val="24"/>
        </w:rPr>
        <w:fldChar w:fldCharType="end"/>
      </w:r>
      <w:r w:rsidRPr="00611EC1">
        <w:rPr>
          <w:rFonts w:cs="Times New Roman"/>
          <w:color w:val="1E1E1E"/>
          <w:spacing w:val="2"/>
          <w:szCs w:val="24"/>
        </w:rPr>
        <w:t>.</w:t>
      </w:r>
      <w:r w:rsidRPr="00611EC1">
        <w:rPr>
          <w:rFonts w:cs="Times New Roman"/>
          <w:szCs w:val="24"/>
        </w:rPr>
        <w:t xml:space="preserve"> </w:t>
      </w:r>
    </w:p>
    <w:p w14:paraId="08C9FEDC" w14:textId="77777777" w:rsidR="00141D88" w:rsidRDefault="00141D88" w:rsidP="00141D88">
      <w:pPr>
        <w:shd w:val="clear" w:color="auto" w:fill="FFFFFF"/>
        <w:rPr>
          <w:rFonts w:eastAsia="Times New Roman" w:cs="Times New Roman"/>
          <w:b/>
          <w:bCs/>
          <w:color w:val="333333"/>
          <w:szCs w:val="24"/>
          <w:lang w:eastAsia="ru-RU"/>
        </w:rPr>
      </w:pPr>
    </w:p>
    <w:p w14:paraId="4842E51C" w14:textId="77777777" w:rsidR="00141D88" w:rsidRPr="00611EC1" w:rsidRDefault="00141D88" w:rsidP="00141D88">
      <w:pPr>
        <w:shd w:val="clear" w:color="auto" w:fill="FFFFFF"/>
        <w:rPr>
          <w:rFonts w:eastAsia="Times New Roman" w:cs="Times New Roman"/>
          <w:i/>
          <w:color w:val="333333"/>
          <w:szCs w:val="24"/>
          <w:u w:val="single"/>
          <w:lang w:eastAsia="ru-RU"/>
        </w:rPr>
      </w:pPr>
      <w:r w:rsidRPr="00611EC1">
        <w:rPr>
          <w:rFonts w:eastAsia="Times New Roman" w:cs="Times New Roman"/>
          <w:bCs/>
          <w:i/>
          <w:color w:val="333333"/>
          <w:szCs w:val="24"/>
          <w:u w:val="single"/>
          <w:lang w:eastAsia="ru-RU"/>
        </w:rPr>
        <w:t xml:space="preserve">Обязательные методы </w:t>
      </w:r>
      <w:r w:rsidRPr="00611EC1">
        <w:rPr>
          <w:rFonts w:eastAsia="Times New Roman" w:cs="Times New Roman"/>
          <w:bCs/>
          <w:i/>
          <w:szCs w:val="24"/>
          <w:u w:val="single"/>
          <w:lang w:eastAsia="ru-RU"/>
        </w:rPr>
        <w:t>первичного</w:t>
      </w:r>
      <w:r w:rsidRPr="00611EC1">
        <w:rPr>
          <w:rFonts w:eastAsia="Times New Roman" w:cs="Times New Roman"/>
          <w:bCs/>
          <w:i/>
          <w:color w:val="FF0000"/>
          <w:szCs w:val="24"/>
          <w:u w:val="single"/>
          <w:lang w:eastAsia="ru-RU"/>
        </w:rPr>
        <w:t xml:space="preserve"> </w:t>
      </w:r>
      <w:r w:rsidRPr="00611EC1">
        <w:rPr>
          <w:rFonts w:eastAsia="Times New Roman" w:cs="Times New Roman"/>
          <w:bCs/>
          <w:i/>
          <w:color w:val="333333"/>
          <w:szCs w:val="24"/>
          <w:u w:val="single"/>
          <w:lang w:eastAsia="ru-RU"/>
        </w:rPr>
        <w:t>обследования при АМК:</w:t>
      </w:r>
    </w:p>
    <w:p w14:paraId="495C3CF0" w14:textId="77777777" w:rsidR="00141D88" w:rsidRPr="00611EC1" w:rsidRDefault="00141D88" w:rsidP="00141D88">
      <w:pPr>
        <w:pStyle w:val="afe"/>
        <w:numPr>
          <w:ilvl w:val="0"/>
          <w:numId w:val="39"/>
        </w:numPr>
        <w:ind w:firstLine="709"/>
        <w:rPr>
          <w:rFonts w:cs="Times New Roman"/>
          <w:spacing w:val="2"/>
          <w:szCs w:val="24"/>
        </w:rPr>
      </w:pPr>
      <w:r w:rsidRPr="00611EC1">
        <w:rPr>
          <w:rFonts w:cs="Times New Roman"/>
          <w:color w:val="1E1E1E"/>
          <w:spacing w:val="2"/>
          <w:szCs w:val="24"/>
        </w:rPr>
        <w:t xml:space="preserve">Клинико-анамнестическое обследование (жалобы, анамнез, </w:t>
      </w:r>
      <w:r w:rsidRPr="00611EC1">
        <w:rPr>
          <w:rFonts w:cs="Times New Roman"/>
          <w:szCs w:val="24"/>
        </w:rPr>
        <w:t>прием (осмотр, консультация) врача-акушера-гинеколога первичный, повторный).</w:t>
      </w:r>
      <w:r w:rsidRPr="00611EC1">
        <w:rPr>
          <w:rFonts w:cs="Times New Roman"/>
          <w:spacing w:val="2"/>
          <w:szCs w:val="24"/>
        </w:rPr>
        <w:t xml:space="preserve"> </w:t>
      </w:r>
    </w:p>
    <w:p w14:paraId="729A8DE3" w14:textId="77777777" w:rsidR="00141D88" w:rsidRPr="00611EC1" w:rsidRDefault="00141D88" w:rsidP="00141D88">
      <w:pPr>
        <w:pStyle w:val="afe"/>
        <w:numPr>
          <w:ilvl w:val="0"/>
          <w:numId w:val="39"/>
        </w:numPr>
        <w:ind w:firstLine="709"/>
        <w:rPr>
          <w:rFonts w:cs="Times New Roman"/>
          <w:color w:val="000000"/>
          <w:szCs w:val="24"/>
          <w:shd w:val="clear" w:color="auto" w:fill="FFFFFF"/>
        </w:rPr>
      </w:pPr>
      <w:r w:rsidRPr="00611EC1">
        <w:rPr>
          <w:rFonts w:cs="Times New Roman"/>
          <w:color w:val="1E1E1E"/>
          <w:spacing w:val="2"/>
          <w:szCs w:val="24"/>
        </w:rPr>
        <w:t xml:space="preserve">Лабораторная диагностика: </w:t>
      </w:r>
    </w:p>
    <w:p w14:paraId="2E424157" w14:textId="7C837D63" w:rsidR="00141D88" w:rsidRPr="00611EC1" w:rsidRDefault="00141D88" w:rsidP="00141D88">
      <w:pPr>
        <w:pStyle w:val="afe"/>
        <w:numPr>
          <w:ilvl w:val="0"/>
          <w:numId w:val="42"/>
        </w:numPr>
        <w:ind w:firstLine="709"/>
        <w:rPr>
          <w:rFonts w:cs="Times New Roman"/>
          <w:color w:val="000000"/>
          <w:szCs w:val="24"/>
          <w:shd w:val="clear" w:color="auto" w:fill="FFFFFF"/>
        </w:rPr>
      </w:pPr>
      <w:r w:rsidRPr="00611EC1">
        <w:rPr>
          <w:rFonts w:cs="Times New Roman"/>
          <w:color w:val="1E1E1E"/>
          <w:spacing w:val="2"/>
          <w:szCs w:val="24"/>
        </w:rPr>
        <w:lastRenderedPageBreak/>
        <w:t>клинический анализ крови (гемоглобин, тромбоциты</w:t>
      </w:r>
      <w:r w:rsidRPr="00611EC1">
        <w:rPr>
          <w:rFonts w:cs="Times New Roman"/>
          <w:color w:val="FF0000"/>
          <w:spacing w:val="2"/>
          <w:szCs w:val="24"/>
        </w:rPr>
        <w:t xml:space="preserve">, </w:t>
      </w:r>
      <w:r w:rsidRPr="00611EC1">
        <w:rPr>
          <w:rFonts w:cs="Times New Roman"/>
          <w:spacing w:val="2"/>
          <w:szCs w:val="24"/>
        </w:rPr>
        <w:t xml:space="preserve">в том числе и с подсчетом в мазке крови по Фонио, </w:t>
      </w:r>
      <w:r w:rsidRPr="00611EC1">
        <w:rPr>
          <w:rFonts w:cs="Times New Roman"/>
          <w:color w:val="1E1E1E"/>
          <w:spacing w:val="2"/>
          <w:szCs w:val="24"/>
        </w:rPr>
        <w:t xml:space="preserve">лейкоциты с  лейкоцитарной формулой, СОЭ) </w:t>
      </w:r>
    </w:p>
    <w:p w14:paraId="3ED17475" w14:textId="77777777" w:rsidR="00141D88" w:rsidRPr="00611EC1" w:rsidRDefault="00141D88" w:rsidP="00141D88">
      <w:pPr>
        <w:pStyle w:val="afe"/>
        <w:numPr>
          <w:ilvl w:val="0"/>
          <w:numId w:val="42"/>
        </w:numPr>
        <w:ind w:firstLine="709"/>
        <w:rPr>
          <w:rFonts w:cs="Times New Roman"/>
          <w:szCs w:val="24"/>
          <w:shd w:val="clear" w:color="auto" w:fill="FFFFFF"/>
        </w:rPr>
      </w:pPr>
      <w:r w:rsidRPr="00611EC1">
        <w:rPr>
          <w:rFonts w:cs="Times New Roman"/>
          <w:spacing w:val="2"/>
          <w:szCs w:val="24"/>
        </w:rPr>
        <w:t>биохимический анализ крови (общий белок, мочевая кислота, билирубин общий, мочевина, креатинин, калий, натрий, кальций, АСТ, АЛТ, ЛДГ, железо сыворотки, глюкоза крови)</w:t>
      </w:r>
    </w:p>
    <w:p w14:paraId="046D7BC8" w14:textId="77777777" w:rsidR="00141D88" w:rsidRPr="00611EC1" w:rsidRDefault="00141D88" w:rsidP="00141D88">
      <w:pPr>
        <w:pStyle w:val="afe"/>
        <w:numPr>
          <w:ilvl w:val="0"/>
          <w:numId w:val="42"/>
        </w:numPr>
        <w:ind w:firstLine="709"/>
        <w:rPr>
          <w:rFonts w:cs="Times New Roman"/>
          <w:szCs w:val="24"/>
          <w:shd w:val="clear" w:color="auto" w:fill="FFFFFF"/>
        </w:rPr>
      </w:pPr>
      <w:r w:rsidRPr="00611EC1">
        <w:rPr>
          <w:rFonts w:cs="Times New Roman"/>
          <w:spacing w:val="2"/>
          <w:szCs w:val="24"/>
        </w:rPr>
        <w:t>развернутая коагулограмма (АЧТВ, протромбиновый индекс, концентрация фибриногена, X</w:t>
      </w:r>
      <w:r w:rsidRPr="00611EC1">
        <w:rPr>
          <w:rFonts w:cs="Times New Roman"/>
          <w:spacing w:val="2"/>
          <w:szCs w:val="24"/>
          <w:lang w:val="en-US"/>
        </w:rPr>
        <w:t>IIa</w:t>
      </w:r>
      <w:r w:rsidRPr="00611EC1">
        <w:rPr>
          <w:rFonts w:cs="Times New Roman"/>
          <w:spacing w:val="2"/>
          <w:szCs w:val="24"/>
        </w:rPr>
        <w:t xml:space="preserve"> зависимый фибринолиз, Фактор </w:t>
      </w:r>
      <w:r w:rsidRPr="00611EC1">
        <w:rPr>
          <w:rFonts w:cs="Times New Roman"/>
          <w:spacing w:val="2"/>
          <w:szCs w:val="24"/>
          <w:lang w:val="en-US"/>
        </w:rPr>
        <w:t>VIII</w:t>
      </w:r>
      <w:r w:rsidRPr="00611EC1">
        <w:rPr>
          <w:rFonts w:cs="Times New Roman"/>
          <w:spacing w:val="2"/>
          <w:szCs w:val="24"/>
        </w:rPr>
        <w:t>, Фактор Виллебранда, агрегация тромбоцитов с ристомицином).</w:t>
      </w:r>
    </w:p>
    <w:p w14:paraId="773261DF" w14:textId="77777777" w:rsidR="00141D88" w:rsidRPr="00611EC1" w:rsidRDefault="00141D88" w:rsidP="00141D88">
      <w:pPr>
        <w:pStyle w:val="afe"/>
        <w:numPr>
          <w:ilvl w:val="0"/>
          <w:numId w:val="42"/>
        </w:numPr>
        <w:ind w:firstLine="709"/>
        <w:rPr>
          <w:rFonts w:cs="Times New Roman"/>
          <w:color w:val="000000"/>
          <w:szCs w:val="24"/>
          <w:shd w:val="clear" w:color="auto" w:fill="FFFFFF"/>
        </w:rPr>
      </w:pPr>
      <w:r w:rsidRPr="00611EC1">
        <w:rPr>
          <w:rFonts w:cs="Times New Roman"/>
          <w:color w:val="1E1E1E"/>
          <w:spacing w:val="2"/>
          <w:szCs w:val="24"/>
        </w:rPr>
        <w:t>тромбоэластограмма (при наличии возможности);</w:t>
      </w:r>
    </w:p>
    <w:p w14:paraId="62E1AD62" w14:textId="77777777" w:rsidR="00141D88" w:rsidRPr="00611EC1" w:rsidRDefault="00141D88" w:rsidP="00141D88">
      <w:pPr>
        <w:pStyle w:val="afe"/>
        <w:numPr>
          <w:ilvl w:val="0"/>
          <w:numId w:val="39"/>
        </w:numPr>
        <w:ind w:firstLine="709"/>
        <w:rPr>
          <w:rFonts w:cs="Times New Roman"/>
          <w:szCs w:val="24"/>
        </w:rPr>
      </w:pPr>
      <w:r w:rsidRPr="00611EC1">
        <w:rPr>
          <w:rFonts w:cs="Times New Roman"/>
          <w:color w:val="1E1E1E"/>
          <w:spacing w:val="2"/>
          <w:szCs w:val="24"/>
        </w:rPr>
        <w:t>Инструменальная диагностика:</w:t>
      </w:r>
    </w:p>
    <w:p w14:paraId="06C56EBC" w14:textId="77777777" w:rsidR="00141D88" w:rsidRPr="00611EC1" w:rsidRDefault="00141D88" w:rsidP="00141D88">
      <w:pPr>
        <w:pStyle w:val="afe"/>
        <w:numPr>
          <w:ilvl w:val="0"/>
          <w:numId w:val="43"/>
        </w:numPr>
        <w:ind w:firstLine="709"/>
        <w:rPr>
          <w:rFonts w:cs="Times New Roman"/>
          <w:szCs w:val="24"/>
        </w:rPr>
      </w:pPr>
      <w:r w:rsidRPr="00611EC1">
        <w:rPr>
          <w:rFonts w:cs="Times New Roman"/>
          <w:color w:val="1E1E1E"/>
          <w:spacing w:val="2"/>
          <w:szCs w:val="24"/>
        </w:rPr>
        <w:t xml:space="preserve">Трансвагинальное </w:t>
      </w:r>
      <w:r w:rsidRPr="00611EC1">
        <w:rPr>
          <w:rFonts w:cs="Times New Roman"/>
          <w:szCs w:val="24"/>
          <w:shd w:val="clear" w:color="auto" w:fill="FFFFFF"/>
        </w:rPr>
        <w:t>ультразвуковое исследование (ТВ</w:t>
      </w:r>
      <w:r w:rsidRPr="00611EC1">
        <w:rPr>
          <w:rFonts w:cs="Times New Roman"/>
          <w:spacing w:val="2"/>
          <w:szCs w:val="24"/>
        </w:rPr>
        <w:t>УЗИ</w:t>
      </w:r>
      <w:r w:rsidRPr="00611EC1">
        <w:rPr>
          <w:rFonts w:cs="Times New Roman"/>
          <w:color w:val="1E1E1E"/>
          <w:spacing w:val="2"/>
          <w:szCs w:val="24"/>
        </w:rPr>
        <w:t xml:space="preserve">) </w:t>
      </w:r>
    </w:p>
    <w:p w14:paraId="5F35C583" w14:textId="77777777" w:rsidR="00141D88" w:rsidRDefault="00141D88" w:rsidP="00141D88">
      <w:pPr>
        <w:ind w:firstLine="709"/>
        <w:rPr>
          <w:rFonts w:cs="Times New Roman"/>
          <w:b/>
          <w:color w:val="1E1E1E"/>
          <w:spacing w:val="2"/>
          <w:szCs w:val="24"/>
        </w:rPr>
      </w:pPr>
    </w:p>
    <w:p w14:paraId="2CE71AAB" w14:textId="0765DFA2" w:rsidR="00141D88" w:rsidRPr="00611EC1" w:rsidRDefault="00141D88" w:rsidP="00141D88">
      <w:pPr>
        <w:ind w:firstLine="709"/>
        <w:rPr>
          <w:rFonts w:cs="Times New Roman"/>
          <w:color w:val="FF0000"/>
          <w:spacing w:val="2"/>
          <w:szCs w:val="24"/>
        </w:rPr>
      </w:pPr>
      <w:r w:rsidRPr="00611EC1">
        <w:rPr>
          <w:rFonts w:cs="Times New Roman"/>
          <w:i/>
          <w:color w:val="1E1E1E"/>
          <w:spacing w:val="2"/>
          <w:szCs w:val="24"/>
          <w:u w:val="single"/>
        </w:rPr>
        <w:t>Дополнительные методы обследования</w:t>
      </w:r>
      <w:r w:rsidRPr="00611EC1">
        <w:rPr>
          <w:rFonts w:cs="Times New Roman"/>
          <w:b/>
          <w:color w:val="1E1E1E"/>
          <w:spacing w:val="2"/>
          <w:szCs w:val="24"/>
        </w:rPr>
        <w:t xml:space="preserve"> </w:t>
      </w:r>
      <w:r w:rsidRPr="00611EC1">
        <w:rPr>
          <w:rFonts w:cs="Times New Roman"/>
          <w:color w:val="1E1E1E"/>
          <w:spacing w:val="2"/>
          <w:szCs w:val="24"/>
        </w:rPr>
        <w:t>проводятся при необходимости (по клиническим показаниям)</w:t>
      </w:r>
      <w:r>
        <w:rPr>
          <w:rFonts w:cs="Times New Roman"/>
          <w:color w:val="1E1E1E"/>
          <w:spacing w:val="2"/>
          <w:szCs w:val="24"/>
        </w:rPr>
        <w:t xml:space="preserve"> </w:t>
      </w:r>
      <w:r>
        <w:rPr>
          <w:rFonts w:cs="Times New Roman"/>
          <w:color w:val="1E1E1E"/>
          <w:spacing w:val="2"/>
          <w:szCs w:val="24"/>
        </w:rPr>
        <w:fldChar w:fldCharType="begin" w:fldLock="1"/>
      </w:r>
      <w:r w:rsidR="0028120A">
        <w:rPr>
          <w:rFonts w:cs="Times New Roman"/>
          <w:color w:val="1E1E1E"/>
          <w:spacing w:val="2"/>
          <w:szCs w:val="24"/>
        </w:rPr>
        <w:instrText>ADDIN CSL_CITATION {"citationItems":[{"id":"ITEM-1","itemData":{"author":[{"dropping-particle":"","family":"Доброхотова","given":"Ю.Э.","non-dropping-particle":"","parse-names":false,"suffix":""},{"dropping-particle":"","family":"Сапрыкина","given":"Л.В.","non-dropping-particle":"","parse-names":false,"suffix":""},{"dropping-particle":"","family":"Филатова","given":"Л.А.","non-dropping-particle":"","parse-names":false,"suffix":""},{"dropping-particle":"","family":"Нариманова","given":"М.Р.","non-dropping-particle":"","parse-names":false,"suffix":""}],"container-title":"РМЖ. Мать и дитя","id":"ITEM-1","issue":"1","issued":{"date-parts":[["2020"]]},"page":"55-60","title":"Аномальные маточные кровотечения: алгоритмы ведения, методы терапии","type":"article-journal","volume":"3"},"uris":["http://www.mendeley.com/documents/?uuid=a12a992c-5fc5-4324-a2fd-7b01c09f94e9"]},{"id":"ITEM-2","itemData":{"author":[{"dropping-particle":"","family":"Чернуха","given":"Г.Е.","non-dropping-particle":"","parse-names":false,"suffix":""}],"container-title":"Гинекология: национальное руководство. Краткое издание. Под ред. Г.М. Савельевой. Г.Т. Сухих, В.Н. Серова, В.Е. Радзинского, И.Б. Манухина.","id":"ITEM-2","issued":{"date-parts":[["2020"]]},"page":"170-175","publisher":"М.: ГЭОТАР-Медиа","title":"Аномальные маточные кровотечения репродуктивного периода","type":"chapter"},"uris":["http://www.mendeley.com/documents/?uuid=2ef54431-bdc8-4c42-878d-b428dfa8ea1f"]}],"mendeley":{"formattedCitation":"[70,71]","plainTextFormattedCitation":"[70,71]","previouslyFormattedCitation":"[70,71]"},"properties":{"noteIndex":0},"schema":"https://github.com/citation-style-language/schema/raw/master/csl-citation.json"}</w:instrText>
      </w:r>
      <w:r>
        <w:rPr>
          <w:rFonts w:cs="Times New Roman"/>
          <w:color w:val="1E1E1E"/>
          <w:spacing w:val="2"/>
          <w:szCs w:val="24"/>
        </w:rPr>
        <w:fldChar w:fldCharType="separate"/>
      </w:r>
      <w:r w:rsidRPr="00141D88">
        <w:rPr>
          <w:rFonts w:cs="Times New Roman"/>
          <w:noProof/>
          <w:color w:val="1E1E1E"/>
          <w:spacing w:val="2"/>
          <w:szCs w:val="24"/>
        </w:rPr>
        <w:t>[70,71]</w:t>
      </w:r>
      <w:r>
        <w:rPr>
          <w:rFonts w:cs="Times New Roman"/>
          <w:color w:val="1E1E1E"/>
          <w:spacing w:val="2"/>
          <w:szCs w:val="24"/>
        </w:rPr>
        <w:fldChar w:fldCharType="end"/>
      </w:r>
      <w:r w:rsidRPr="00611EC1">
        <w:rPr>
          <w:rFonts w:cs="Times New Roman"/>
          <w:color w:val="1E1E1E"/>
          <w:spacing w:val="2"/>
          <w:szCs w:val="24"/>
        </w:rPr>
        <w:t xml:space="preserve">: </w:t>
      </w:r>
    </w:p>
    <w:p w14:paraId="38F6D110" w14:textId="77777777" w:rsidR="00141D88" w:rsidRPr="00611EC1" w:rsidRDefault="00141D88" w:rsidP="00141D88">
      <w:pPr>
        <w:pStyle w:val="afe"/>
        <w:numPr>
          <w:ilvl w:val="0"/>
          <w:numId w:val="45"/>
        </w:numPr>
        <w:ind w:firstLine="709"/>
        <w:rPr>
          <w:rFonts w:cs="Times New Roman"/>
          <w:color w:val="1E1E1E"/>
          <w:spacing w:val="2"/>
          <w:szCs w:val="24"/>
        </w:rPr>
      </w:pPr>
      <w:r w:rsidRPr="00611EC1">
        <w:rPr>
          <w:rFonts w:cs="Times New Roman"/>
          <w:color w:val="1E1E1E"/>
          <w:spacing w:val="2"/>
          <w:szCs w:val="24"/>
        </w:rPr>
        <w:t>МРТ органов малого таза.</w:t>
      </w:r>
    </w:p>
    <w:p w14:paraId="6FBF1C77" w14:textId="77777777" w:rsidR="00141D88" w:rsidRPr="00611EC1" w:rsidRDefault="00141D88" w:rsidP="00141D88">
      <w:pPr>
        <w:pStyle w:val="afe"/>
        <w:numPr>
          <w:ilvl w:val="0"/>
          <w:numId w:val="45"/>
        </w:numPr>
        <w:ind w:firstLine="709"/>
        <w:rPr>
          <w:rFonts w:cs="Times New Roman"/>
          <w:color w:val="1E1E1E"/>
          <w:spacing w:val="2"/>
          <w:szCs w:val="24"/>
        </w:rPr>
      </w:pPr>
      <w:r w:rsidRPr="00611EC1">
        <w:rPr>
          <w:rFonts w:cs="Times New Roman"/>
          <w:color w:val="1E1E1E"/>
          <w:spacing w:val="2"/>
          <w:szCs w:val="24"/>
        </w:rPr>
        <w:t xml:space="preserve">Определение онкомаркеров в сыворотке крови (при подозрении на </w:t>
      </w:r>
      <w:r w:rsidRPr="00611EC1">
        <w:rPr>
          <w:rFonts w:cs="Times New Roman"/>
          <w:color w:val="000000"/>
          <w:szCs w:val="24"/>
          <w:shd w:val="clear" w:color="auto" w:fill="FFFFFF"/>
        </w:rPr>
        <w:t>злокачественные образования матки, яичников):</w:t>
      </w:r>
    </w:p>
    <w:p w14:paraId="11B3F047" w14:textId="77777777" w:rsidR="00141D88" w:rsidRPr="00611EC1" w:rsidRDefault="00141D88" w:rsidP="00141D88">
      <w:pPr>
        <w:pStyle w:val="afe"/>
        <w:numPr>
          <w:ilvl w:val="0"/>
          <w:numId w:val="43"/>
        </w:numPr>
        <w:ind w:firstLine="709"/>
        <w:rPr>
          <w:rFonts w:cs="Times New Roman"/>
          <w:spacing w:val="2"/>
          <w:szCs w:val="24"/>
        </w:rPr>
      </w:pPr>
      <w:r w:rsidRPr="00611EC1">
        <w:rPr>
          <w:rFonts w:cs="Times New Roman"/>
          <w:spacing w:val="2"/>
          <w:szCs w:val="24"/>
        </w:rPr>
        <w:t>РЭА раково-эмбриональный антиген-рак матки, рак яичников.</w:t>
      </w:r>
    </w:p>
    <w:p w14:paraId="3F158EC3" w14:textId="5B6E2E62" w:rsidR="00141D88" w:rsidRPr="00611EC1" w:rsidRDefault="00141D88" w:rsidP="00141D88">
      <w:pPr>
        <w:pStyle w:val="afe"/>
        <w:numPr>
          <w:ilvl w:val="0"/>
          <w:numId w:val="43"/>
        </w:numPr>
        <w:ind w:firstLine="709"/>
        <w:rPr>
          <w:rFonts w:cs="Times New Roman"/>
          <w:spacing w:val="2"/>
          <w:szCs w:val="24"/>
        </w:rPr>
      </w:pPr>
      <w:r w:rsidRPr="00611EC1">
        <w:rPr>
          <w:rFonts w:cs="Times New Roman"/>
          <w:spacing w:val="2"/>
          <w:szCs w:val="24"/>
        </w:rPr>
        <w:t>СА-125-рак яичников, рак матки,</w:t>
      </w:r>
      <w:r w:rsidRPr="00141D88">
        <w:rPr>
          <w:rFonts w:cs="Times New Roman"/>
          <w:spacing w:val="2"/>
          <w:szCs w:val="24"/>
        </w:rPr>
        <w:t xml:space="preserve"> </w:t>
      </w:r>
      <w:r w:rsidRPr="00611EC1">
        <w:rPr>
          <w:rFonts w:cs="Times New Roman"/>
          <w:spacing w:val="2"/>
          <w:szCs w:val="24"/>
        </w:rPr>
        <w:t>молочной железы.</w:t>
      </w:r>
    </w:p>
    <w:p w14:paraId="3912A6CE" w14:textId="77777777" w:rsidR="00141D88" w:rsidRPr="00611EC1" w:rsidRDefault="00141D88" w:rsidP="00141D88">
      <w:pPr>
        <w:pStyle w:val="afe"/>
        <w:numPr>
          <w:ilvl w:val="0"/>
          <w:numId w:val="43"/>
        </w:numPr>
        <w:ind w:firstLine="709"/>
        <w:rPr>
          <w:rFonts w:cs="Times New Roman"/>
          <w:spacing w:val="2"/>
          <w:szCs w:val="24"/>
        </w:rPr>
      </w:pPr>
      <w:r w:rsidRPr="00611EC1">
        <w:rPr>
          <w:rFonts w:cs="Times New Roman"/>
          <w:spacing w:val="2"/>
          <w:szCs w:val="24"/>
        </w:rPr>
        <w:t>СА15-3- рак молочной железы.</w:t>
      </w:r>
    </w:p>
    <w:p w14:paraId="1B96101E" w14:textId="77777777" w:rsidR="00141D88" w:rsidRPr="00611EC1" w:rsidRDefault="00141D88" w:rsidP="00141D88">
      <w:pPr>
        <w:pStyle w:val="afe"/>
        <w:numPr>
          <w:ilvl w:val="0"/>
          <w:numId w:val="43"/>
        </w:numPr>
        <w:ind w:firstLine="709"/>
        <w:rPr>
          <w:rFonts w:cs="Times New Roman"/>
          <w:spacing w:val="2"/>
          <w:szCs w:val="24"/>
        </w:rPr>
      </w:pPr>
      <w:r w:rsidRPr="00611EC1">
        <w:rPr>
          <w:rFonts w:cs="Times New Roman"/>
          <w:spacing w:val="2"/>
          <w:szCs w:val="24"/>
        </w:rPr>
        <w:t>ХГЧ-хорионкарцинома яичника.</w:t>
      </w:r>
    </w:p>
    <w:p w14:paraId="66F51C39" w14:textId="77777777" w:rsidR="00141D88" w:rsidRPr="00611EC1" w:rsidRDefault="00141D88" w:rsidP="00141D88">
      <w:pPr>
        <w:pStyle w:val="afe"/>
        <w:numPr>
          <w:ilvl w:val="0"/>
          <w:numId w:val="43"/>
        </w:numPr>
        <w:ind w:firstLine="709"/>
        <w:rPr>
          <w:rFonts w:cs="Times New Roman"/>
          <w:spacing w:val="2"/>
          <w:szCs w:val="24"/>
        </w:rPr>
      </w:pPr>
      <w:r w:rsidRPr="00611EC1">
        <w:rPr>
          <w:rFonts w:cs="Times New Roman"/>
          <w:spacing w:val="2"/>
          <w:szCs w:val="24"/>
        </w:rPr>
        <w:t>СА72-4-рак яичников.</w:t>
      </w:r>
    </w:p>
    <w:p w14:paraId="6448A1ED" w14:textId="77777777" w:rsidR="00141D88" w:rsidRPr="00611EC1" w:rsidRDefault="00141D88" w:rsidP="00141D88">
      <w:pPr>
        <w:pStyle w:val="afe"/>
        <w:numPr>
          <w:ilvl w:val="0"/>
          <w:numId w:val="43"/>
        </w:numPr>
        <w:ind w:firstLine="709"/>
        <w:rPr>
          <w:rFonts w:cs="Times New Roman"/>
          <w:spacing w:val="2"/>
          <w:szCs w:val="24"/>
        </w:rPr>
      </w:pPr>
      <w:r w:rsidRPr="00611EC1">
        <w:rPr>
          <w:rFonts w:cs="Times New Roman"/>
          <w:spacing w:val="2"/>
          <w:szCs w:val="24"/>
        </w:rPr>
        <w:t>НЕ4-рак яичников.</w:t>
      </w:r>
    </w:p>
    <w:p w14:paraId="5178FE87" w14:textId="77777777" w:rsidR="00141D88" w:rsidRPr="00611EC1" w:rsidRDefault="00141D88" w:rsidP="00141D88">
      <w:pPr>
        <w:pStyle w:val="afe"/>
        <w:numPr>
          <w:ilvl w:val="0"/>
          <w:numId w:val="45"/>
        </w:numPr>
        <w:ind w:firstLine="709"/>
        <w:rPr>
          <w:rFonts w:cs="Times New Roman"/>
          <w:szCs w:val="24"/>
        </w:rPr>
      </w:pPr>
      <w:r w:rsidRPr="00611EC1">
        <w:rPr>
          <w:rFonts w:cs="Times New Roman"/>
          <w:color w:val="1E1E1E"/>
          <w:spacing w:val="2"/>
          <w:szCs w:val="24"/>
        </w:rPr>
        <w:t xml:space="preserve">Гистероскопия и раздельное диагностическое выскабливание эндометрия и эндоцервикса (при внутриматочной патологии) с последующим </w:t>
      </w:r>
      <w:r w:rsidRPr="00611EC1">
        <w:rPr>
          <w:rFonts w:cs="Times New Roman"/>
          <w:spacing w:val="2"/>
          <w:szCs w:val="24"/>
        </w:rPr>
        <w:t>гистологическим, и при необходимости микробиологическим исследованием биоптатов, отделяемого.</w:t>
      </w:r>
    </w:p>
    <w:p w14:paraId="29C95D6E" w14:textId="77777777" w:rsidR="00141D88" w:rsidRPr="00611EC1" w:rsidRDefault="00141D88" w:rsidP="00141D88">
      <w:pPr>
        <w:ind w:firstLine="709"/>
        <w:rPr>
          <w:rFonts w:cs="Times New Roman"/>
          <w:spacing w:val="2"/>
          <w:szCs w:val="24"/>
        </w:rPr>
      </w:pPr>
      <w:r w:rsidRPr="00611EC1">
        <w:rPr>
          <w:rFonts w:cs="Times New Roman"/>
          <w:color w:val="1E1E1E"/>
          <w:spacing w:val="2"/>
          <w:szCs w:val="24"/>
        </w:rPr>
        <w:t xml:space="preserve">Повторные лабораторные и инструментальные исследования проводятся по </w:t>
      </w:r>
      <w:r w:rsidRPr="00611EC1">
        <w:rPr>
          <w:rFonts w:cs="Times New Roman"/>
          <w:spacing w:val="2"/>
          <w:szCs w:val="24"/>
        </w:rPr>
        <w:t>клиническим показаниям на любом этапе диагностики, лечения и наблюдения пациентки с гематологическим заболеванием.</w:t>
      </w:r>
    </w:p>
    <w:p w14:paraId="2D121D61" w14:textId="77777777" w:rsidR="00141D88" w:rsidRDefault="00141D88" w:rsidP="00141D88">
      <w:pPr>
        <w:rPr>
          <w:rFonts w:cs="Times New Roman"/>
          <w:b/>
          <w:szCs w:val="24"/>
        </w:rPr>
      </w:pPr>
    </w:p>
    <w:p w14:paraId="2AFDD29A" w14:textId="77777777" w:rsidR="00141D88" w:rsidRPr="00611EC1" w:rsidRDefault="00141D88" w:rsidP="00141D88">
      <w:pPr>
        <w:rPr>
          <w:rFonts w:cs="Times New Roman"/>
          <w:b/>
          <w:szCs w:val="24"/>
        </w:rPr>
      </w:pPr>
      <w:r w:rsidRPr="00611EC1">
        <w:rPr>
          <w:rFonts w:cs="Times New Roman"/>
          <w:b/>
          <w:szCs w:val="24"/>
        </w:rPr>
        <w:t xml:space="preserve">Лечебная тактика при маточных кровотечениях: </w:t>
      </w:r>
    </w:p>
    <w:p w14:paraId="668538E8" w14:textId="77777777" w:rsidR="00141D88" w:rsidRPr="00611EC1" w:rsidRDefault="00141D88" w:rsidP="00141D88">
      <w:pPr>
        <w:ind w:left="142" w:firstLine="709"/>
        <w:rPr>
          <w:rFonts w:cs="Times New Roman"/>
          <w:szCs w:val="24"/>
          <w:shd w:val="clear" w:color="auto" w:fill="FFFFFF"/>
        </w:rPr>
      </w:pPr>
      <w:r w:rsidRPr="00611EC1">
        <w:rPr>
          <w:rFonts w:cs="Times New Roman"/>
          <w:szCs w:val="24"/>
          <w:shd w:val="clear" w:color="auto" w:fill="FFFFFF"/>
        </w:rPr>
        <w:lastRenderedPageBreak/>
        <w:t xml:space="preserve">Диагностика, тактика ведения и выбор метода терапии </w:t>
      </w:r>
      <w:r w:rsidRPr="00611EC1">
        <w:rPr>
          <w:rFonts w:eastAsia="Times New Roman" w:cs="Times New Roman"/>
          <w:szCs w:val="24"/>
          <w:lang w:eastAsia="ru-RU"/>
        </w:rPr>
        <w:t>АМК у пациенток с гематологической патологией</w:t>
      </w:r>
      <w:r w:rsidRPr="00611EC1">
        <w:rPr>
          <w:rFonts w:cs="Times New Roman"/>
          <w:szCs w:val="24"/>
          <w:shd w:val="clear" w:color="auto" w:fill="FFFFFF"/>
        </w:rPr>
        <w:t xml:space="preserve"> осуществляется совместно с врачом-гематологом. Лечение АМК проводится дифференцированно, в соответствии с выявленной патологией. </w:t>
      </w:r>
    </w:p>
    <w:p w14:paraId="1FE509C1" w14:textId="77777777" w:rsidR="00141D88" w:rsidRDefault="00141D88" w:rsidP="00141D88">
      <w:pPr>
        <w:shd w:val="clear" w:color="auto" w:fill="FFFFFF"/>
        <w:rPr>
          <w:rFonts w:eastAsia="Times New Roman" w:cs="Times New Roman"/>
          <w:bCs/>
          <w:i/>
          <w:color w:val="333333"/>
          <w:szCs w:val="24"/>
          <w:u w:val="single"/>
          <w:lang w:eastAsia="ru-RU"/>
        </w:rPr>
      </w:pPr>
    </w:p>
    <w:p w14:paraId="30B3F30D" w14:textId="23747579" w:rsidR="00141D88" w:rsidRPr="00611EC1" w:rsidRDefault="00141D88" w:rsidP="00141D88">
      <w:pPr>
        <w:shd w:val="clear" w:color="auto" w:fill="FFFFFF"/>
        <w:rPr>
          <w:rFonts w:eastAsia="Times New Roman" w:cs="Times New Roman"/>
          <w:bCs/>
          <w:i/>
          <w:color w:val="333333"/>
          <w:szCs w:val="24"/>
          <w:u w:val="single"/>
          <w:lang w:eastAsia="ru-RU"/>
        </w:rPr>
      </w:pPr>
      <w:r w:rsidRPr="00611EC1">
        <w:rPr>
          <w:rFonts w:eastAsia="Times New Roman" w:cs="Times New Roman"/>
          <w:bCs/>
          <w:i/>
          <w:color w:val="333333"/>
          <w:szCs w:val="24"/>
          <w:u w:val="single"/>
          <w:lang w:eastAsia="ru-RU"/>
        </w:rPr>
        <w:t>Основные цели терапии АМК</w:t>
      </w:r>
      <w:r>
        <w:rPr>
          <w:rFonts w:eastAsia="Times New Roman" w:cs="Times New Roman"/>
          <w:bCs/>
          <w:i/>
          <w:color w:val="333333"/>
          <w:szCs w:val="24"/>
          <w:u w:val="single"/>
          <w:lang w:eastAsia="ru-RU"/>
        </w:rPr>
        <w:t xml:space="preserve"> </w:t>
      </w:r>
      <w:r>
        <w:rPr>
          <w:rFonts w:cs="Times New Roman"/>
          <w:color w:val="1E1E1E"/>
          <w:spacing w:val="2"/>
          <w:szCs w:val="24"/>
        </w:rPr>
        <w:fldChar w:fldCharType="begin" w:fldLock="1"/>
      </w:r>
      <w:r w:rsidR="0028120A">
        <w:rPr>
          <w:rFonts w:cs="Times New Roman"/>
          <w:color w:val="1E1E1E"/>
          <w:spacing w:val="2"/>
          <w:szCs w:val="24"/>
        </w:rPr>
        <w:instrText>ADDIN CSL_CITATION {"citationItems":[{"id":"ITEM-1","itemData":{"author":[{"dropping-particle":"","family":"Доброхотова","given":"Ю.Э.","non-dropping-particle":"","parse-names":false,"suffix":""},{"dropping-particle":"","family":"Сапрыкина","given":"Л.В.","non-dropping-particle":"","parse-names":false,"suffix":""},{"dropping-particle":"","family":"Филатова","given":"Л.А.","non-dropping-particle":"","parse-names":false,"suffix":""},{"dropping-particle":"","family":"Нариманова","given":"М.Р.","non-dropping-particle":"","parse-names":false,"suffix":""}],"container-title":"РМЖ. Мать и дитя","id":"ITEM-1","issue":"1","issued":{"date-parts":[["2020"]]},"page":"55-60","title":"Аномальные маточные кровотечения: алгоритмы ведения, методы терапии","type":"article-journal","volume":"3"},"uris":["http://www.mendeley.com/documents/?uuid=a12a992c-5fc5-4324-a2fd-7b01c09f94e9"]},{"id":"ITEM-2","itemData":{"author":[{"dropping-particle":"","family":"Чернуха","given":"Г.Е.","non-dropping-particle":"","parse-names":false,"suffix":""}],"container-title":"Гинекология: национальное руководство. Краткое издание. Под ред. Г.М. Савельевой. Г.Т. Сухих, В.Н. Серова, В.Е. Радзинского, И.Б. Манухина.","id":"ITEM-2","issued":{"date-parts":[["2020"]]},"page":"170-175","publisher":"М.: ГЭОТАР-Медиа","title":"Аномальные маточные кровотечения репродуктивного периода","type":"chapter"},"uris":["http://www.mendeley.com/documents/?uuid=2ef54431-bdc8-4c42-878d-b428dfa8ea1f"]}],"mendeley":{"formattedCitation":"[70,71]","plainTextFormattedCitation":"[70,71]","previouslyFormattedCitation":"[70,71]"},"properties":{"noteIndex":0},"schema":"https://github.com/citation-style-language/schema/raw/master/csl-citation.json"}</w:instrText>
      </w:r>
      <w:r>
        <w:rPr>
          <w:rFonts w:cs="Times New Roman"/>
          <w:color w:val="1E1E1E"/>
          <w:spacing w:val="2"/>
          <w:szCs w:val="24"/>
        </w:rPr>
        <w:fldChar w:fldCharType="separate"/>
      </w:r>
      <w:r w:rsidRPr="00141D88">
        <w:rPr>
          <w:rFonts w:cs="Times New Roman"/>
          <w:noProof/>
          <w:color w:val="1E1E1E"/>
          <w:spacing w:val="2"/>
          <w:szCs w:val="24"/>
        </w:rPr>
        <w:t>[70,71]</w:t>
      </w:r>
      <w:r>
        <w:rPr>
          <w:rFonts w:cs="Times New Roman"/>
          <w:color w:val="1E1E1E"/>
          <w:spacing w:val="2"/>
          <w:szCs w:val="24"/>
        </w:rPr>
        <w:fldChar w:fldCharType="end"/>
      </w:r>
      <w:r w:rsidRPr="00611EC1">
        <w:rPr>
          <w:rFonts w:eastAsia="Times New Roman" w:cs="Times New Roman"/>
          <w:bCs/>
          <w:i/>
          <w:color w:val="333333"/>
          <w:szCs w:val="24"/>
          <w:u w:val="single"/>
          <w:lang w:eastAsia="ru-RU"/>
        </w:rPr>
        <w:t xml:space="preserve">: </w:t>
      </w:r>
    </w:p>
    <w:p w14:paraId="02800D92" w14:textId="77777777" w:rsidR="00141D88" w:rsidRPr="00611EC1" w:rsidRDefault="00141D88" w:rsidP="00141D88">
      <w:pPr>
        <w:pStyle w:val="afe"/>
        <w:numPr>
          <w:ilvl w:val="0"/>
          <w:numId w:val="38"/>
        </w:numPr>
        <w:ind w:left="142" w:firstLine="709"/>
        <w:rPr>
          <w:rFonts w:cs="Times New Roman"/>
          <w:szCs w:val="24"/>
          <w:shd w:val="clear" w:color="auto" w:fill="FFFFFF"/>
        </w:rPr>
      </w:pPr>
      <w:r w:rsidRPr="00611EC1">
        <w:rPr>
          <w:rFonts w:cs="Times New Roman"/>
          <w:szCs w:val="24"/>
          <w:shd w:val="clear" w:color="auto" w:fill="FFFFFF"/>
        </w:rPr>
        <w:t xml:space="preserve">Остановка кровотечения; </w:t>
      </w:r>
    </w:p>
    <w:p w14:paraId="05955756" w14:textId="77777777" w:rsidR="00141D88" w:rsidRPr="00611EC1" w:rsidRDefault="00141D88" w:rsidP="00141D88">
      <w:pPr>
        <w:pStyle w:val="afe"/>
        <w:numPr>
          <w:ilvl w:val="0"/>
          <w:numId w:val="38"/>
        </w:numPr>
        <w:ind w:left="142" w:firstLine="709"/>
        <w:rPr>
          <w:rFonts w:cs="Times New Roman"/>
          <w:szCs w:val="24"/>
          <w:shd w:val="clear" w:color="auto" w:fill="FFFFFF"/>
        </w:rPr>
      </w:pPr>
      <w:r w:rsidRPr="00611EC1">
        <w:rPr>
          <w:rFonts w:cs="Times New Roman"/>
          <w:szCs w:val="24"/>
          <w:shd w:val="clear" w:color="auto" w:fill="FFFFFF"/>
        </w:rPr>
        <w:t xml:space="preserve">Профилактика рецидивов АМК. </w:t>
      </w:r>
    </w:p>
    <w:p w14:paraId="4D4421AF" w14:textId="77777777" w:rsidR="00141D88" w:rsidRPr="00611EC1" w:rsidRDefault="00141D88" w:rsidP="00141D88">
      <w:pPr>
        <w:ind w:left="142" w:firstLine="709"/>
        <w:rPr>
          <w:rFonts w:cs="Times New Roman"/>
          <w:szCs w:val="24"/>
          <w:shd w:val="clear" w:color="auto" w:fill="FFFFFF"/>
        </w:rPr>
      </w:pPr>
      <w:r w:rsidRPr="00611EC1">
        <w:rPr>
          <w:rFonts w:cs="Times New Roman"/>
          <w:szCs w:val="24"/>
          <w:shd w:val="clear" w:color="auto" w:fill="FFFFFF"/>
        </w:rPr>
        <w:t xml:space="preserve">Осуществление гемостаза возможно как посредством консервативных мероприятий, так и, в ряде случаев, оперативным путем. </w:t>
      </w:r>
    </w:p>
    <w:p w14:paraId="49CD242F" w14:textId="77777777" w:rsidR="00141D88" w:rsidRDefault="00141D88" w:rsidP="00141D88">
      <w:pPr>
        <w:shd w:val="clear" w:color="auto" w:fill="FFFFFF"/>
        <w:rPr>
          <w:rFonts w:eastAsia="Times New Roman" w:cs="Times New Roman"/>
          <w:bCs/>
          <w:i/>
          <w:color w:val="333333"/>
          <w:szCs w:val="24"/>
          <w:u w:val="single"/>
          <w:lang w:eastAsia="ru-RU"/>
        </w:rPr>
      </w:pPr>
    </w:p>
    <w:p w14:paraId="5DF20606" w14:textId="2D4DB585" w:rsidR="00141D88" w:rsidRPr="00611EC1" w:rsidRDefault="00141D88" w:rsidP="00141D88">
      <w:pPr>
        <w:shd w:val="clear" w:color="auto" w:fill="FFFFFF"/>
        <w:rPr>
          <w:rFonts w:eastAsia="Times New Roman" w:cs="Times New Roman"/>
          <w:bCs/>
          <w:i/>
          <w:color w:val="333333"/>
          <w:szCs w:val="24"/>
          <w:u w:val="single"/>
          <w:lang w:eastAsia="ru-RU"/>
        </w:rPr>
      </w:pPr>
      <w:r w:rsidRPr="00611EC1">
        <w:rPr>
          <w:rFonts w:eastAsia="Times New Roman" w:cs="Times New Roman"/>
          <w:bCs/>
          <w:i/>
          <w:color w:val="333333"/>
          <w:szCs w:val="24"/>
          <w:u w:val="single"/>
          <w:lang w:eastAsia="ru-RU"/>
        </w:rPr>
        <w:t>Консервативные методы гемостаза</w:t>
      </w:r>
      <w:r>
        <w:rPr>
          <w:rFonts w:eastAsia="Times New Roman" w:cs="Times New Roman"/>
          <w:bCs/>
          <w:i/>
          <w:color w:val="333333"/>
          <w:szCs w:val="24"/>
          <w:u w:val="single"/>
          <w:lang w:eastAsia="ru-RU"/>
        </w:rPr>
        <w:t xml:space="preserve"> </w:t>
      </w:r>
      <w:r>
        <w:rPr>
          <w:rFonts w:cs="Times New Roman"/>
          <w:color w:val="1E1E1E"/>
          <w:spacing w:val="2"/>
          <w:szCs w:val="24"/>
        </w:rPr>
        <w:fldChar w:fldCharType="begin" w:fldLock="1"/>
      </w:r>
      <w:r w:rsidR="0028120A">
        <w:rPr>
          <w:rFonts w:cs="Times New Roman"/>
          <w:color w:val="1E1E1E"/>
          <w:spacing w:val="2"/>
          <w:szCs w:val="24"/>
        </w:rPr>
        <w:instrText>ADDIN CSL_CITATION {"citationItems":[{"id":"ITEM-1","itemData":{"author":[{"dropping-particle":"","family":"Доброхотова","given":"Ю.Э.","non-dropping-particle":"","parse-names":false,"suffix":""},{"dropping-particle":"","family":"Сапрыкина","given":"Л.В.","non-dropping-particle":"","parse-names":false,"suffix":""},{"dropping-particle":"","family":"Филатова","given":"Л.А.","non-dropping-particle":"","parse-names":false,"suffix":""},{"dropping-particle":"","family":"Нариманова","given":"М.Р.","non-dropping-particle":"","parse-names":false,"suffix":""}],"container-title":"РМЖ. Мать и дитя","id":"ITEM-1","issue":"1","issued":{"date-parts":[["2020"]]},"page":"55-60","title":"Аномальные маточные кровотечения: алгоритмы ведения, методы терапии","type":"article-journal","volume":"3"},"uris":["http://www.mendeley.com/documents/?uuid=a12a992c-5fc5-4324-a2fd-7b01c09f94e9"]},{"id":"ITEM-2","itemData":{"author":[{"dropping-particle":"","family":"Чернуха","given":"Г.Е.","non-dropping-particle":"","parse-names":false,"suffix":""}],"container-title":"Гинекология: национальное руководство. Краткое издание. Под ред. Г.М. Савельевой. Г.Т. Сухих, В.Н. Серова, В.Е. Радзинского, И.Б. Манухина.","id":"ITEM-2","issued":{"date-parts":[["2020"]]},"page":"170-175","publisher":"М.: ГЭОТАР-Медиа","title":"Аномальные маточные кровотечения репродуктивного периода","type":"chapter"},"uris":["http://www.mendeley.com/documents/?uuid=2ef54431-bdc8-4c42-878d-b428dfa8ea1f"]}],"mendeley":{"formattedCitation":"[70,71]","plainTextFormattedCitation":"[70,71]","previouslyFormattedCitation":"[70,71]"},"properties":{"noteIndex":0},"schema":"https://github.com/citation-style-language/schema/raw/master/csl-citation.json"}</w:instrText>
      </w:r>
      <w:r>
        <w:rPr>
          <w:rFonts w:cs="Times New Roman"/>
          <w:color w:val="1E1E1E"/>
          <w:spacing w:val="2"/>
          <w:szCs w:val="24"/>
        </w:rPr>
        <w:fldChar w:fldCharType="separate"/>
      </w:r>
      <w:r w:rsidRPr="00141D88">
        <w:rPr>
          <w:rFonts w:cs="Times New Roman"/>
          <w:noProof/>
          <w:color w:val="1E1E1E"/>
          <w:spacing w:val="2"/>
          <w:szCs w:val="24"/>
        </w:rPr>
        <w:t>[70,71]</w:t>
      </w:r>
      <w:r>
        <w:rPr>
          <w:rFonts w:cs="Times New Roman"/>
          <w:color w:val="1E1E1E"/>
          <w:spacing w:val="2"/>
          <w:szCs w:val="24"/>
        </w:rPr>
        <w:fldChar w:fldCharType="end"/>
      </w:r>
      <w:r w:rsidRPr="00611EC1">
        <w:rPr>
          <w:rFonts w:eastAsia="Times New Roman" w:cs="Times New Roman"/>
          <w:bCs/>
          <w:i/>
          <w:color w:val="333333"/>
          <w:szCs w:val="24"/>
          <w:u w:val="single"/>
          <w:lang w:eastAsia="ru-RU"/>
        </w:rPr>
        <w:t>.</w:t>
      </w:r>
    </w:p>
    <w:p w14:paraId="28DE040D" w14:textId="77777777" w:rsidR="00141D88" w:rsidRPr="00611EC1" w:rsidRDefault="00141D88" w:rsidP="00141D88">
      <w:pPr>
        <w:pStyle w:val="afe"/>
        <w:numPr>
          <w:ilvl w:val="0"/>
          <w:numId w:val="41"/>
        </w:numPr>
        <w:ind w:firstLine="709"/>
        <w:rPr>
          <w:rFonts w:cs="Times New Roman"/>
          <w:szCs w:val="24"/>
          <w:shd w:val="clear" w:color="auto" w:fill="FFFFFF"/>
        </w:rPr>
      </w:pPr>
      <w:r w:rsidRPr="00611EC1">
        <w:rPr>
          <w:rFonts w:cs="Times New Roman"/>
          <w:szCs w:val="24"/>
          <w:shd w:val="clear" w:color="auto" w:fill="FFFFFF"/>
        </w:rPr>
        <w:t>Заместительная гемотрансфузионная терапия компонентами крови:</w:t>
      </w:r>
    </w:p>
    <w:p w14:paraId="684E2177" w14:textId="77777777" w:rsidR="00141D88" w:rsidRPr="00611EC1" w:rsidRDefault="00141D88" w:rsidP="00141D88">
      <w:pPr>
        <w:pStyle w:val="afe"/>
        <w:ind w:left="502" w:firstLine="709"/>
        <w:rPr>
          <w:rFonts w:cs="Times New Roman"/>
          <w:strike/>
          <w:szCs w:val="24"/>
          <w:shd w:val="clear" w:color="auto" w:fill="FFFFFF"/>
        </w:rPr>
      </w:pPr>
      <w:r w:rsidRPr="00611EC1">
        <w:rPr>
          <w:rFonts w:cs="Times New Roman"/>
          <w:szCs w:val="24"/>
          <w:shd w:val="clear" w:color="auto" w:fill="FFFFFF"/>
        </w:rPr>
        <w:t xml:space="preserve">- концентрат тромбоцитов; </w:t>
      </w:r>
    </w:p>
    <w:p w14:paraId="1866BBA8" w14:textId="77777777" w:rsidR="00141D88" w:rsidRPr="00611EC1" w:rsidRDefault="00141D88" w:rsidP="00141D88">
      <w:pPr>
        <w:pStyle w:val="afe"/>
        <w:ind w:left="502" w:firstLine="709"/>
        <w:rPr>
          <w:rFonts w:cs="Times New Roman"/>
          <w:szCs w:val="24"/>
          <w:shd w:val="clear" w:color="auto" w:fill="FFFFFF"/>
        </w:rPr>
      </w:pPr>
      <w:r w:rsidRPr="00611EC1">
        <w:rPr>
          <w:rFonts w:cs="Times New Roman"/>
          <w:szCs w:val="24"/>
          <w:shd w:val="clear" w:color="auto" w:fill="FFFFFF"/>
        </w:rPr>
        <w:t>- свежезамороженная плазма;</w:t>
      </w:r>
    </w:p>
    <w:p w14:paraId="3839E550" w14:textId="77777777" w:rsidR="00141D88" w:rsidRPr="00611EC1" w:rsidRDefault="00141D88" w:rsidP="00141D88">
      <w:pPr>
        <w:pStyle w:val="afe"/>
        <w:ind w:left="502" w:firstLine="709"/>
        <w:rPr>
          <w:rFonts w:cs="Times New Roman"/>
          <w:szCs w:val="24"/>
          <w:shd w:val="clear" w:color="auto" w:fill="FFFFFF"/>
        </w:rPr>
      </w:pPr>
      <w:r w:rsidRPr="00611EC1">
        <w:rPr>
          <w:rFonts w:cs="Times New Roman"/>
          <w:szCs w:val="24"/>
          <w:shd w:val="clear" w:color="auto" w:fill="FFFFFF"/>
        </w:rPr>
        <w:t>- криопреципитат;</w:t>
      </w:r>
    </w:p>
    <w:p w14:paraId="201EFA44" w14:textId="77777777" w:rsidR="00141D88" w:rsidRPr="00611EC1" w:rsidRDefault="00141D88" w:rsidP="00141D88">
      <w:pPr>
        <w:pStyle w:val="afe"/>
        <w:ind w:left="502" w:firstLine="709"/>
        <w:rPr>
          <w:rFonts w:cs="Times New Roman"/>
          <w:szCs w:val="24"/>
          <w:shd w:val="clear" w:color="auto" w:fill="FFFFFF"/>
        </w:rPr>
      </w:pPr>
      <w:r w:rsidRPr="00611EC1">
        <w:rPr>
          <w:rFonts w:cs="Times New Roman"/>
          <w:szCs w:val="24"/>
          <w:shd w:val="clear" w:color="auto" w:fill="FFFFFF"/>
        </w:rPr>
        <w:t>- эритроцитсодержащие компоненты крови</w:t>
      </w:r>
    </w:p>
    <w:p w14:paraId="5F73D220" w14:textId="77777777" w:rsidR="00141D88" w:rsidRPr="00611EC1" w:rsidRDefault="00141D88" w:rsidP="00141D88">
      <w:pPr>
        <w:pStyle w:val="afe"/>
        <w:numPr>
          <w:ilvl w:val="0"/>
          <w:numId w:val="41"/>
        </w:numPr>
        <w:ind w:firstLine="709"/>
        <w:rPr>
          <w:rFonts w:cs="Times New Roman"/>
          <w:szCs w:val="24"/>
          <w:shd w:val="clear" w:color="auto" w:fill="FFFFFF"/>
        </w:rPr>
      </w:pPr>
      <w:r w:rsidRPr="00611EC1">
        <w:rPr>
          <w:rFonts w:cs="Times New Roman"/>
          <w:szCs w:val="24"/>
          <w:shd w:val="clear" w:color="auto" w:fill="FFFFFF"/>
        </w:rPr>
        <w:t xml:space="preserve">Ингибиторы фибринолиза: </w:t>
      </w:r>
    </w:p>
    <w:p w14:paraId="79510424" w14:textId="77777777" w:rsidR="00141D88" w:rsidRPr="00611EC1" w:rsidRDefault="00141D88" w:rsidP="00141D88">
      <w:pPr>
        <w:pStyle w:val="afe"/>
        <w:ind w:left="502" w:firstLine="709"/>
        <w:rPr>
          <w:rFonts w:cs="Times New Roman"/>
          <w:szCs w:val="24"/>
          <w:shd w:val="clear" w:color="auto" w:fill="FFFFFF"/>
        </w:rPr>
      </w:pPr>
      <w:r w:rsidRPr="00611EC1">
        <w:rPr>
          <w:rFonts w:cs="Times New Roman"/>
          <w:szCs w:val="24"/>
          <w:shd w:val="clear" w:color="auto" w:fill="FFFFFF"/>
        </w:rPr>
        <w:t>транексамовая кислота- 250 - 500 мг внутрь х 3-4 р/день;  или внутривенно 1000 мг х 3–4 раза в сутки, курс лечения 5-7 дней; апротинин и др.</w:t>
      </w:r>
    </w:p>
    <w:p w14:paraId="3418D636" w14:textId="77777777" w:rsidR="00141D88" w:rsidRPr="00611EC1" w:rsidRDefault="00141D88" w:rsidP="00141D88">
      <w:pPr>
        <w:pStyle w:val="afe"/>
        <w:numPr>
          <w:ilvl w:val="0"/>
          <w:numId w:val="41"/>
        </w:numPr>
        <w:ind w:firstLine="709"/>
        <w:rPr>
          <w:rFonts w:cs="Times New Roman"/>
          <w:szCs w:val="24"/>
          <w:shd w:val="clear" w:color="auto" w:fill="FFFFFF"/>
        </w:rPr>
      </w:pPr>
      <w:r w:rsidRPr="00611EC1">
        <w:rPr>
          <w:rFonts w:cs="Times New Roman"/>
          <w:szCs w:val="24"/>
          <w:shd w:val="clear" w:color="auto" w:fill="FFFFFF"/>
        </w:rPr>
        <w:t>Гормональный гемостаз</w:t>
      </w:r>
      <w:r w:rsidRPr="00611EC1">
        <w:rPr>
          <w:rFonts w:cs="Times New Roman"/>
          <w:color w:val="333333"/>
          <w:szCs w:val="24"/>
          <w:shd w:val="clear" w:color="auto" w:fill="FFFFFF"/>
        </w:rPr>
        <w:t>:</w:t>
      </w:r>
    </w:p>
    <w:p w14:paraId="37DE9648" w14:textId="77777777" w:rsidR="00141D88" w:rsidRPr="00611EC1" w:rsidRDefault="00141D88" w:rsidP="00141D88">
      <w:pPr>
        <w:ind w:firstLine="709"/>
        <w:rPr>
          <w:rFonts w:cs="Times New Roman"/>
          <w:color w:val="333333"/>
          <w:szCs w:val="24"/>
          <w:shd w:val="clear" w:color="auto" w:fill="FFFFFF"/>
        </w:rPr>
      </w:pPr>
      <w:r w:rsidRPr="00611EC1">
        <w:rPr>
          <w:rFonts w:cs="Times New Roman"/>
          <w:szCs w:val="24"/>
          <w:shd w:val="clear" w:color="auto" w:fill="FFFFFF"/>
        </w:rPr>
        <w:t xml:space="preserve">        гормональный гемостаз может проводится </w:t>
      </w:r>
      <w:r w:rsidRPr="00611EC1">
        <w:rPr>
          <w:rFonts w:cs="Times New Roman"/>
          <w:color w:val="333333"/>
          <w:szCs w:val="24"/>
          <w:shd w:val="clear" w:color="auto" w:fill="FFFFFF"/>
        </w:rPr>
        <w:t>комбинированными оральными контрацептивами (КОК) или п</w:t>
      </w:r>
      <w:r w:rsidRPr="00611EC1">
        <w:rPr>
          <w:rFonts w:cs="Times New Roman"/>
          <w:color w:val="1E1E1E"/>
          <w:spacing w:val="2"/>
          <w:szCs w:val="24"/>
        </w:rPr>
        <w:t xml:space="preserve">репаратами группы прогестагенов.  </w:t>
      </w:r>
    </w:p>
    <w:p w14:paraId="713818A0" w14:textId="77777777" w:rsidR="00141D88" w:rsidRPr="00611EC1" w:rsidRDefault="00141D88" w:rsidP="00141D88">
      <w:pPr>
        <w:ind w:left="142" w:firstLine="709"/>
        <w:rPr>
          <w:rFonts w:cs="Times New Roman"/>
          <w:color w:val="000000"/>
          <w:szCs w:val="24"/>
          <w:shd w:val="clear" w:color="auto" w:fill="FFFFFF"/>
        </w:rPr>
      </w:pPr>
      <w:r w:rsidRPr="00611EC1">
        <w:rPr>
          <w:rFonts w:cs="Times New Roman"/>
          <w:color w:val="000000"/>
          <w:szCs w:val="24"/>
          <w:shd w:val="clear" w:color="auto" w:fill="FFFFFF"/>
        </w:rPr>
        <w:t>Гормональный гемостаз КОК целесообразно проводить:</w:t>
      </w:r>
    </w:p>
    <w:p w14:paraId="1015B57A" w14:textId="77777777" w:rsidR="00141D88" w:rsidRPr="00611EC1" w:rsidRDefault="00141D88" w:rsidP="00141D88">
      <w:pPr>
        <w:ind w:left="142" w:firstLine="709"/>
        <w:rPr>
          <w:rFonts w:cs="Times New Roman"/>
          <w:color w:val="000000"/>
          <w:szCs w:val="24"/>
          <w:shd w:val="clear" w:color="auto" w:fill="FFFFFF"/>
        </w:rPr>
      </w:pPr>
      <w:r w:rsidRPr="00611EC1">
        <w:rPr>
          <w:rFonts w:cs="Times New Roman"/>
          <w:color w:val="000000"/>
          <w:szCs w:val="24"/>
          <w:shd w:val="clear" w:color="auto" w:fill="FFFFFF"/>
        </w:rPr>
        <w:t>- женщинам раннего и активного репродуктивного возраста, которые не относятся к группе риска относительно развития пролиферативных процессов эндометрия;</w:t>
      </w:r>
    </w:p>
    <w:p w14:paraId="2BDFCCD5" w14:textId="77777777" w:rsidR="00141D88" w:rsidRPr="00611EC1" w:rsidRDefault="00141D88" w:rsidP="00141D88">
      <w:pPr>
        <w:ind w:left="142" w:firstLine="709"/>
        <w:rPr>
          <w:rFonts w:cs="Times New Roman"/>
          <w:color w:val="000000"/>
          <w:szCs w:val="24"/>
          <w:shd w:val="clear" w:color="auto" w:fill="FFFFFF"/>
        </w:rPr>
      </w:pPr>
      <w:r w:rsidRPr="00611EC1">
        <w:rPr>
          <w:rFonts w:cs="Times New Roman"/>
          <w:color w:val="000000"/>
          <w:szCs w:val="24"/>
          <w:shd w:val="clear" w:color="auto" w:fill="FFFFFF"/>
        </w:rPr>
        <w:t xml:space="preserve">- пациенткам, у которых диагностическое выскабливание проводилось не более 3 мес. назад и при этом не было выявлено патологических изменений эндометрия. </w:t>
      </w:r>
    </w:p>
    <w:p w14:paraId="43C1D41B" w14:textId="77777777" w:rsidR="00141D88" w:rsidRPr="00611EC1" w:rsidRDefault="00141D88" w:rsidP="00141D88">
      <w:pPr>
        <w:ind w:firstLine="709"/>
        <w:rPr>
          <w:rFonts w:cs="Times New Roman"/>
          <w:szCs w:val="24"/>
          <w:shd w:val="clear" w:color="auto" w:fill="FFFFFF"/>
        </w:rPr>
      </w:pPr>
      <w:r w:rsidRPr="00611EC1">
        <w:rPr>
          <w:rFonts w:cs="Times New Roman"/>
          <w:szCs w:val="24"/>
          <w:shd w:val="clear" w:color="auto" w:fill="FFFFFF"/>
        </w:rPr>
        <w:t>Различают монофазные, двухфазные и трехфазные КОК:</w:t>
      </w:r>
    </w:p>
    <w:p w14:paraId="7DF2E9A5" w14:textId="1ED59171" w:rsidR="00141D88" w:rsidRPr="00611EC1" w:rsidRDefault="00141D88" w:rsidP="00141D88">
      <w:pPr>
        <w:pStyle w:val="afe"/>
        <w:numPr>
          <w:ilvl w:val="0"/>
          <w:numId w:val="44"/>
        </w:numPr>
        <w:ind w:firstLine="709"/>
        <w:rPr>
          <w:rFonts w:cs="Times New Roman"/>
          <w:szCs w:val="24"/>
        </w:rPr>
      </w:pPr>
      <w:r w:rsidRPr="00611EC1">
        <w:rPr>
          <w:rFonts w:cs="Times New Roman"/>
          <w:szCs w:val="24"/>
        </w:rPr>
        <w:t>Монофазные пероральные контрацептивы содержат в каждой таблетке одну и ту же доза обоих компонентов. Отличаются соотношением эстрогенной и гестагенной составляющих, а также видом гестагена. В качестве эстрогена, как правило, используют</w:t>
      </w:r>
      <w:r w:rsidRPr="00141D88">
        <w:rPr>
          <w:rFonts w:cs="Times New Roman"/>
          <w:szCs w:val="24"/>
        </w:rPr>
        <w:t xml:space="preserve"> </w:t>
      </w:r>
      <w:r w:rsidRPr="00141D88">
        <w:rPr>
          <w:rFonts w:cs="Times New Roman"/>
          <w:bCs/>
          <w:szCs w:val="24"/>
        </w:rPr>
        <w:t>этинилэстрадиол</w:t>
      </w:r>
      <w:r w:rsidRPr="00141D88">
        <w:rPr>
          <w:rFonts w:cs="Times New Roman"/>
          <w:szCs w:val="24"/>
        </w:rPr>
        <w:t xml:space="preserve"> </w:t>
      </w:r>
      <w:r w:rsidRPr="00611EC1">
        <w:rPr>
          <w:rFonts w:cs="Times New Roman"/>
          <w:szCs w:val="24"/>
        </w:rPr>
        <w:t>(по строению наиболее близкий к эндогенному эстрадиолу). Содержание этинилэстрадиола в монофазных комбинированных контрацептивах колеблется от 0,02 до 0,05 мг, содержание гестагена, как правило – от 0,075 до 0,25 мг.</w:t>
      </w:r>
    </w:p>
    <w:p w14:paraId="6AFA56F9" w14:textId="77777777" w:rsidR="00141D88" w:rsidRPr="00611EC1" w:rsidRDefault="00141D88" w:rsidP="00141D88">
      <w:pPr>
        <w:pStyle w:val="afe"/>
        <w:numPr>
          <w:ilvl w:val="0"/>
          <w:numId w:val="44"/>
        </w:numPr>
        <w:ind w:firstLine="709"/>
        <w:rPr>
          <w:rFonts w:cs="Times New Roman"/>
          <w:szCs w:val="24"/>
        </w:rPr>
      </w:pPr>
      <w:r w:rsidRPr="00611EC1">
        <w:rPr>
          <w:rFonts w:cs="Times New Roman"/>
          <w:szCs w:val="24"/>
        </w:rPr>
        <w:lastRenderedPageBreak/>
        <w:t xml:space="preserve">Двухфазные пероральные контрацептивы </w:t>
      </w:r>
      <w:r w:rsidRPr="00611EC1">
        <w:rPr>
          <w:rFonts w:cs="Times New Roman"/>
          <w:szCs w:val="24"/>
          <w:shd w:val="clear" w:color="auto" w:fill="FFFFFF"/>
        </w:rPr>
        <w:t>состоят из таблеток двух типов, предназначенных для приема соответственно в первую и вторую фазы менструального цикла. При этом содержание эстрогена во всех таблетках одинаково, а гестагена больше в таблетках, принимаемых во второй фазе.</w:t>
      </w:r>
    </w:p>
    <w:p w14:paraId="20E78E5D" w14:textId="77777777" w:rsidR="00141D88" w:rsidRPr="00611EC1" w:rsidRDefault="00141D88" w:rsidP="00141D88">
      <w:pPr>
        <w:pStyle w:val="afe"/>
        <w:numPr>
          <w:ilvl w:val="0"/>
          <w:numId w:val="44"/>
        </w:numPr>
        <w:ind w:firstLine="709"/>
        <w:rPr>
          <w:rFonts w:cs="Times New Roman"/>
          <w:szCs w:val="24"/>
        </w:rPr>
      </w:pPr>
      <w:r w:rsidRPr="00611EC1">
        <w:rPr>
          <w:rFonts w:cs="Times New Roman"/>
          <w:szCs w:val="24"/>
          <w:shd w:val="clear" w:color="auto" w:fill="FFFFFF"/>
        </w:rPr>
        <w:t xml:space="preserve">Трехфазные </w:t>
      </w:r>
      <w:r w:rsidRPr="00611EC1">
        <w:rPr>
          <w:rFonts w:cs="Times New Roman"/>
          <w:szCs w:val="24"/>
        </w:rPr>
        <w:t xml:space="preserve">пероральные контрацептивы </w:t>
      </w:r>
      <w:r w:rsidRPr="00611EC1">
        <w:rPr>
          <w:rFonts w:cs="Times New Roman"/>
          <w:szCs w:val="24"/>
          <w:shd w:val="clear" w:color="auto" w:fill="FFFFFF"/>
        </w:rPr>
        <w:t>включают таблетки трех видов, каждый из которых содержит разные количества и эстрогена, и гестагена.</w:t>
      </w:r>
    </w:p>
    <w:p w14:paraId="6E4D3BA8" w14:textId="77777777" w:rsidR="00141D88" w:rsidRPr="00611EC1" w:rsidRDefault="00141D88" w:rsidP="00141D88">
      <w:pPr>
        <w:ind w:left="142" w:firstLine="709"/>
        <w:rPr>
          <w:rFonts w:cs="Times New Roman"/>
          <w:szCs w:val="24"/>
          <w:shd w:val="clear" w:color="auto" w:fill="FFFFFF"/>
        </w:rPr>
      </w:pPr>
      <w:r w:rsidRPr="00611EC1">
        <w:rPr>
          <w:rFonts w:cs="Times New Roman"/>
          <w:szCs w:val="24"/>
        </w:rPr>
        <w:t xml:space="preserve">Гемостатическая терапия </w:t>
      </w:r>
      <w:r w:rsidRPr="00611EC1">
        <w:rPr>
          <w:rFonts w:cs="Times New Roman"/>
          <w:szCs w:val="24"/>
          <w:shd w:val="clear" w:color="auto" w:fill="FFFFFF"/>
        </w:rPr>
        <w:t xml:space="preserve">КОК проводится монофазными препаратами, содержащими этинилэстрадиола и гестагены группы норстероидов по схеме:  </w:t>
      </w:r>
      <w:r w:rsidRPr="00611EC1">
        <w:rPr>
          <w:rFonts w:cs="Times New Roman"/>
          <w:color w:val="000000"/>
          <w:szCs w:val="24"/>
          <w:shd w:val="clear" w:color="auto" w:fill="FFFFFF"/>
        </w:rPr>
        <w:t xml:space="preserve">по 1 таб/час до 5 таб. в день в первые сутки </w:t>
      </w:r>
      <w:r w:rsidRPr="00611EC1">
        <w:rPr>
          <w:rFonts w:cs="Times New Roman"/>
          <w:szCs w:val="24"/>
          <w:shd w:val="clear" w:color="auto" w:fill="FFFFFF"/>
        </w:rPr>
        <w:t>до достижения гемостаза, с постепенным ежедневным снижением дозы по 1 таб. в ден</w:t>
      </w:r>
      <w:r w:rsidRPr="00611EC1">
        <w:rPr>
          <w:rFonts w:cs="Times New Roman"/>
          <w:color w:val="000000"/>
          <w:szCs w:val="24"/>
          <w:shd w:val="clear" w:color="auto" w:fill="FFFFFF"/>
        </w:rPr>
        <w:t xml:space="preserve">ь, общей продолжительностью терапии 21 день </w:t>
      </w:r>
      <w:r w:rsidRPr="00611EC1">
        <w:rPr>
          <w:rFonts w:cs="Times New Roman"/>
          <w:spacing w:val="2"/>
          <w:szCs w:val="24"/>
        </w:rPr>
        <w:t>с первого дня гемостатической терапии</w:t>
      </w:r>
      <w:r w:rsidRPr="00611EC1">
        <w:rPr>
          <w:rFonts w:cs="Times New Roman"/>
          <w:color w:val="000000"/>
          <w:szCs w:val="24"/>
          <w:shd w:val="clear" w:color="auto" w:fill="FFFFFF"/>
        </w:rPr>
        <w:t xml:space="preserve">, далее </w:t>
      </w:r>
      <w:r w:rsidRPr="00611EC1">
        <w:rPr>
          <w:rFonts w:cs="Times New Roman"/>
          <w:spacing w:val="2"/>
          <w:szCs w:val="24"/>
        </w:rPr>
        <w:t xml:space="preserve">7-дн. перерыв, и прием в режиме контрацепции, или продолжение приема в непрерывном режиме (в зависимости от клинической ситуации). </w:t>
      </w:r>
    </w:p>
    <w:p w14:paraId="23F68CE0" w14:textId="77777777" w:rsidR="00141D88" w:rsidRPr="00611EC1" w:rsidRDefault="00141D88" w:rsidP="00141D88">
      <w:pPr>
        <w:ind w:left="142" w:firstLine="709"/>
        <w:rPr>
          <w:rFonts w:cs="Times New Roman"/>
          <w:szCs w:val="24"/>
          <w:shd w:val="clear" w:color="auto" w:fill="FFFFFF"/>
        </w:rPr>
      </w:pPr>
      <w:r w:rsidRPr="00611EC1">
        <w:rPr>
          <w:rFonts w:cs="Times New Roman"/>
          <w:szCs w:val="24"/>
        </w:rPr>
        <w:t>В эту группу всходят препараты:</w:t>
      </w:r>
    </w:p>
    <w:p w14:paraId="44873621" w14:textId="77777777" w:rsidR="00141D88" w:rsidRPr="00611EC1" w:rsidRDefault="00141D88" w:rsidP="00141D88">
      <w:pPr>
        <w:ind w:left="142" w:firstLine="709"/>
        <w:rPr>
          <w:rFonts w:cs="Times New Roman"/>
          <w:i/>
          <w:szCs w:val="24"/>
        </w:rPr>
      </w:pPr>
      <w:r w:rsidRPr="00611EC1">
        <w:rPr>
          <w:rFonts w:cs="Times New Roman"/>
          <w:szCs w:val="24"/>
        </w:rPr>
        <w:t>1) этинилэстрадиол-0,03мг- левоноргестрел-0,15</w:t>
      </w:r>
    </w:p>
    <w:p w14:paraId="12347824" w14:textId="77777777" w:rsidR="00141D88" w:rsidRPr="00611EC1" w:rsidRDefault="00141D88" w:rsidP="00141D88">
      <w:pPr>
        <w:ind w:left="142" w:firstLine="709"/>
        <w:rPr>
          <w:rFonts w:cs="Times New Roman"/>
          <w:szCs w:val="24"/>
        </w:rPr>
      </w:pPr>
      <w:r w:rsidRPr="00611EC1">
        <w:rPr>
          <w:rFonts w:cs="Times New Roman"/>
          <w:szCs w:val="24"/>
        </w:rPr>
        <w:t xml:space="preserve">2) этинилэстрадиол-20мкг-дезогестрел-150мкг </w:t>
      </w:r>
    </w:p>
    <w:p w14:paraId="01F1C2FE" w14:textId="77777777" w:rsidR="00141D88" w:rsidRPr="00611EC1" w:rsidRDefault="00141D88" w:rsidP="00141D88">
      <w:pPr>
        <w:ind w:left="142" w:firstLine="709"/>
        <w:rPr>
          <w:rFonts w:cs="Times New Roman"/>
          <w:szCs w:val="24"/>
        </w:rPr>
      </w:pPr>
      <w:r w:rsidRPr="00611EC1">
        <w:rPr>
          <w:rFonts w:cs="Times New Roman"/>
          <w:szCs w:val="24"/>
        </w:rPr>
        <w:t xml:space="preserve">3) этинилэстрадиол-30мкг-дезогестрел-150мкг </w:t>
      </w:r>
    </w:p>
    <w:p w14:paraId="32D22972" w14:textId="77777777" w:rsidR="00141D88" w:rsidRPr="00611EC1" w:rsidRDefault="00141D88" w:rsidP="00141D88">
      <w:pPr>
        <w:ind w:left="142" w:firstLine="709"/>
        <w:rPr>
          <w:rFonts w:cs="Times New Roman"/>
          <w:szCs w:val="24"/>
        </w:rPr>
      </w:pPr>
      <w:r w:rsidRPr="00611EC1">
        <w:rPr>
          <w:rFonts w:cs="Times New Roman"/>
          <w:szCs w:val="24"/>
        </w:rPr>
        <w:t xml:space="preserve">4) этинилэстрадиол-0,03мг-диеногест-2мг </w:t>
      </w:r>
    </w:p>
    <w:p w14:paraId="438CC379" w14:textId="77777777" w:rsidR="00141D88" w:rsidRPr="00611EC1" w:rsidRDefault="00141D88" w:rsidP="00141D88">
      <w:pPr>
        <w:ind w:left="142" w:firstLine="709"/>
        <w:rPr>
          <w:rFonts w:cs="Times New Roman"/>
          <w:szCs w:val="24"/>
        </w:rPr>
      </w:pPr>
      <w:r w:rsidRPr="00611EC1">
        <w:rPr>
          <w:rFonts w:cs="Times New Roman"/>
          <w:szCs w:val="24"/>
        </w:rPr>
        <w:t xml:space="preserve">5) этинилэстрадиол-20мкг –гестоден-75мкг </w:t>
      </w:r>
    </w:p>
    <w:p w14:paraId="0A33C743" w14:textId="77777777" w:rsidR="00141D88" w:rsidRPr="00611EC1" w:rsidRDefault="00141D88" w:rsidP="00141D88">
      <w:pPr>
        <w:ind w:left="142" w:firstLine="709"/>
        <w:rPr>
          <w:rFonts w:cs="Times New Roman"/>
          <w:szCs w:val="24"/>
        </w:rPr>
      </w:pPr>
      <w:r w:rsidRPr="00611EC1">
        <w:rPr>
          <w:rFonts w:cs="Times New Roman"/>
          <w:szCs w:val="24"/>
        </w:rPr>
        <w:t>6) этинилэстрадиол-20мкг-</w:t>
      </w:r>
      <w:r w:rsidRPr="00611EC1">
        <w:rPr>
          <w:rFonts w:cs="Times New Roman"/>
          <w:szCs w:val="24"/>
          <w:shd w:val="clear" w:color="auto" w:fill="FFFFFF"/>
        </w:rPr>
        <w:t xml:space="preserve"> дроспиренон- 3 мг</w:t>
      </w:r>
      <w:r w:rsidRPr="00611EC1">
        <w:rPr>
          <w:rFonts w:cs="Times New Roman"/>
          <w:szCs w:val="24"/>
        </w:rPr>
        <w:t xml:space="preserve"> </w:t>
      </w:r>
    </w:p>
    <w:p w14:paraId="7F7001B2" w14:textId="77777777" w:rsidR="00141D88" w:rsidRPr="00611EC1" w:rsidRDefault="00141D88" w:rsidP="00141D88">
      <w:pPr>
        <w:ind w:left="142" w:firstLine="709"/>
        <w:rPr>
          <w:rFonts w:cs="Times New Roman"/>
          <w:szCs w:val="24"/>
        </w:rPr>
      </w:pPr>
      <w:r w:rsidRPr="00611EC1">
        <w:rPr>
          <w:rFonts w:cs="Times New Roman"/>
          <w:szCs w:val="24"/>
        </w:rPr>
        <w:t xml:space="preserve">7) этинилэстрадиол-30мкг- дроспиренон- 3 мг </w:t>
      </w:r>
    </w:p>
    <w:p w14:paraId="06FDF7E3" w14:textId="77777777" w:rsidR="00141D88" w:rsidRPr="00611EC1" w:rsidRDefault="00141D88" w:rsidP="00141D88">
      <w:pPr>
        <w:ind w:left="142" w:firstLine="709"/>
        <w:rPr>
          <w:rFonts w:cs="Times New Roman"/>
          <w:szCs w:val="24"/>
        </w:rPr>
      </w:pPr>
      <w:r w:rsidRPr="00611EC1">
        <w:rPr>
          <w:rFonts w:cs="Times New Roman"/>
          <w:szCs w:val="24"/>
        </w:rPr>
        <w:t xml:space="preserve">8) этинилэстрадиол-30мкг- диеногест-2мг  </w:t>
      </w:r>
    </w:p>
    <w:p w14:paraId="581B7A6F" w14:textId="77777777" w:rsidR="00141D88" w:rsidRPr="00611EC1" w:rsidRDefault="00141D88" w:rsidP="00141D88">
      <w:pPr>
        <w:ind w:left="142" w:firstLine="709"/>
        <w:rPr>
          <w:rFonts w:cs="Times New Roman"/>
          <w:szCs w:val="24"/>
        </w:rPr>
      </w:pPr>
      <w:r w:rsidRPr="00611EC1">
        <w:rPr>
          <w:rFonts w:cs="Times New Roman"/>
          <w:szCs w:val="24"/>
        </w:rPr>
        <w:t xml:space="preserve">9) этинилэстрадиол-35мкг-ципротерон ацетат-2мг </w:t>
      </w:r>
    </w:p>
    <w:p w14:paraId="3134CC4B" w14:textId="77777777" w:rsidR="00141D88" w:rsidRPr="00611EC1" w:rsidRDefault="00141D88" w:rsidP="00141D88">
      <w:pPr>
        <w:ind w:left="142" w:firstLine="709"/>
        <w:rPr>
          <w:rFonts w:cs="Times New Roman"/>
          <w:szCs w:val="24"/>
        </w:rPr>
      </w:pPr>
      <w:r w:rsidRPr="00611EC1">
        <w:rPr>
          <w:rFonts w:cs="Times New Roman"/>
          <w:szCs w:val="24"/>
        </w:rPr>
        <w:t xml:space="preserve">10) этинилэстрадиол-35мкг-ципротерон ацетат-2мг </w:t>
      </w:r>
    </w:p>
    <w:p w14:paraId="518E1629" w14:textId="77777777" w:rsidR="00141D88" w:rsidRPr="00611EC1" w:rsidRDefault="00141D88" w:rsidP="00141D88">
      <w:pPr>
        <w:ind w:left="142" w:firstLine="709"/>
        <w:rPr>
          <w:rFonts w:cs="Times New Roman"/>
          <w:szCs w:val="24"/>
        </w:rPr>
      </w:pPr>
      <w:r w:rsidRPr="00611EC1">
        <w:rPr>
          <w:rFonts w:cs="Times New Roman"/>
          <w:szCs w:val="24"/>
        </w:rPr>
        <w:t xml:space="preserve">11) этинилэстрадиол-35мкг-ципротерон ацетат-2мг </w:t>
      </w:r>
    </w:p>
    <w:p w14:paraId="52F51695" w14:textId="77777777" w:rsidR="00141D88" w:rsidRPr="00611EC1" w:rsidRDefault="00141D88" w:rsidP="00141D88">
      <w:pPr>
        <w:ind w:left="142" w:firstLine="709"/>
        <w:rPr>
          <w:rFonts w:cs="Times New Roman"/>
          <w:spacing w:val="2"/>
          <w:szCs w:val="24"/>
        </w:rPr>
      </w:pPr>
      <w:r w:rsidRPr="00611EC1">
        <w:rPr>
          <w:rFonts w:cs="Times New Roman"/>
          <w:color w:val="1E1E1E"/>
          <w:spacing w:val="2"/>
          <w:szCs w:val="24"/>
        </w:rPr>
        <w:t xml:space="preserve">Гемостатическая терапия препаратами группы прогестагенов:  Дидрогестерон 10 мг,  Норэтистерон 5мг проводится по схеме: по 1 </w:t>
      </w:r>
      <w:r w:rsidRPr="00611EC1">
        <w:rPr>
          <w:rFonts w:cs="Times New Roman"/>
          <w:color w:val="000000"/>
          <w:szCs w:val="24"/>
          <w:shd w:val="clear" w:color="auto" w:fill="FFFFFF"/>
        </w:rPr>
        <w:t xml:space="preserve">таб/час до 5 таб. в день в первые сутки </w:t>
      </w:r>
      <w:r w:rsidRPr="00611EC1">
        <w:rPr>
          <w:rFonts w:cs="Times New Roman"/>
          <w:szCs w:val="24"/>
          <w:shd w:val="clear" w:color="auto" w:fill="FFFFFF"/>
        </w:rPr>
        <w:t>до достижения гемостаза</w:t>
      </w:r>
      <w:r w:rsidRPr="00611EC1">
        <w:rPr>
          <w:rFonts w:cs="Times New Roman"/>
          <w:color w:val="1E1E1E"/>
          <w:spacing w:val="2"/>
          <w:szCs w:val="24"/>
        </w:rPr>
        <w:t xml:space="preserve">, затем снижение дозы по 1/2 – 1 табл. в день до приема </w:t>
      </w:r>
      <w:r w:rsidRPr="00611EC1">
        <w:rPr>
          <w:rFonts w:cs="Times New Roman"/>
          <w:spacing w:val="2"/>
          <w:szCs w:val="24"/>
        </w:rPr>
        <w:t>1таблетки х 1</w:t>
      </w:r>
      <w:r w:rsidRPr="00611EC1">
        <w:rPr>
          <w:rFonts w:cs="Times New Roman"/>
          <w:color w:val="FF0000"/>
          <w:spacing w:val="2"/>
          <w:szCs w:val="24"/>
        </w:rPr>
        <w:t xml:space="preserve">  </w:t>
      </w:r>
      <w:r w:rsidRPr="00611EC1">
        <w:rPr>
          <w:rFonts w:cs="Times New Roman"/>
          <w:color w:val="1E1E1E"/>
          <w:spacing w:val="2"/>
          <w:szCs w:val="24"/>
        </w:rPr>
        <w:t xml:space="preserve">раз в день, с последующей отменой или продолжением приема в непрерывном режиме, </w:t>
      </w:r>
      <w:r w:rsidRPr="00611EC1">
        <w:rPr>
          <w:rFonts w:cs="Times New Roman"/>
          <w:spacing w:val="2"/>
          <w:szCs w:val="24"/>
        </w:rPr>
        <w:t>в зависимости от клинической ситуации.</w:t>
      </w:r>
    </w:p>
    <w:p w14:paraId="1F703D5B" w14:textId="77777777" w:rsidR="00141D88" w:rsidRPr="00611EC1" w:rsidRDefault="00141D88" w:rsidP="00141D88">
      <w:pPr>
        <w:ind w:left="142" w:firstLine="709"/>
        <w:rPr>
          <w:rFonts w:cs="Times New Roman"/>
          <w:color w:val="000000"/>
          <w:szCs w:val="24"/>
          <w:shd w:val="clear" w:color="auto" w:fill="FFFFFF"/>
        </w:rPr>
      </w:pPr>
      <w:r w:rsidRPr="00611EC1">
        <w:rPr>
          <w:rFonts w:cs="Times New Roman"/>
          <w:color w:val="1E1E1E"/>
          <w:spacing w:val="2"/>
          <w:szCs w:val="24"/>
        </w:rPr>
        <w:t xml:space="preserve">При тяжелых меноррагиях целесообразно «выключение» менструации </w:t>
      </w:r>
      <w:r w:rsidRPr="00611EC1">
        <w:rPr>
          <w:rFonts w:cs="Times New Roman"/>
          <w:szCs w:val="24"/>
          <w:shd w:val="clear" w:color="auto" w:fill="FFFFFF"/>
        </w:rPr>
        <w:t>агонистами</w:t>
      </w:r>
      <w:r w:rsidRPr="00611EC1">
        <w:rPr>
          <w:rFonts w:cs="Times New Roman"/>
          <w:color w:val="FF0000"/>
          <w:szCs w:val="24"/>
          <w:shd w:val="clear" w:color="auto" w:fill="FFFFFF"/>
        </w:rPr>
        <w:t xml:space="preserve"> </w:t>
      </w:r>
      <w:r w:rsidRPr="00611EC1">
        <w:rPr>
          <w:rFonts w:cs="Times New Roman"/>
          <w:szCs w:val="24"/>
          <w:shd w:val="clear" w:color="auto" w:fill="FFFFFF"/>
        </w:rPr>
        <w:t xml:space="preserve">гонадотропин-рилизинг-гормона (ГнРГ) – гозерелин </w:t>
      </w:r>
      <w:r w:rsidRPr="00611EC1">
        <w:rPr>
          <w:rFonts w:cs="Times New Roman"/>
          <w:color w:val="000000"/>
          <w:szCs w:val="24"/>
          <w:shd w:val="clear" w:color="auto" w:fill="FFFFFF"/>
        </w:rPr>
        <w:t>3,6 мг п/к 1 раз в 28 дней, курс терапии до 6 месяцев.</w:t>
      </w:r>
    </w:p>
    <w:p w14:paraId="2FEE7CC3" w14:textId="77777777" w:rsidR="00141D88" w:rsidRPr="00611EC1" w:rsidRDefault="00141D88" w:rsidP="00141D88">
      <w:pPr>
        <w:ind w:left="142" w:firstLine="709"/>
        <w:rPr>
          <w:rFonts w:cs="Times New Roman"/>
          <w:color w:val="000000"/>
          <w:szCs w:val="24"/>
          <w:shd w:val="clear" w:color="auto" w:fill="FFFFFF"/>
        </w:rPr>
      </w:pPr>
      <w:r w:rsidRPr="00611EC1">
        <w:rPr>
          <w:rFonts w:cs="Times New Roman"/>
          <w:color w:val="000000"/>
          <w:szCs w:val="24"/>
          <w:shd w:val="clear" w:color="auto" w:fill="FFFFFF"/>
        </w:rPr>
        <w:t xml:space="preserve">При длительном течении АМК также проводится утеротоническая терапия препаратом окситоцин в/в капельно по 10 МЕ на 100 мл 0,9% физиологического раствора </w:t>
      </w:r>
      <w:r w:rsidRPr="00611EC1">
        <w:rPr>
          <w:rFonts w:cs="Times New Roman"/>
          <w:color w:val="000000"/>
          <w:szCs w:val="24"/>
          <w:shd w:val="clear" w:color="auto" w:fill="FFFFFF"/>
        </w:rPr>
        <w:lastRenderedPageBreak/>
        <w:t xml:space="preserve">до прекращения кровотечения, данная терапия применяется при исключении органической  патологии матки. </w:t>
      </w:r>
    </w:p>
    <w:p w14:paraId="6B352139" w14:textId="77777777" w:rsidR="00141D88" w:rsidRPr="00611EC1" w:rsidRDefault="00141D88" w:rsidP="00141D88">
      <w:pPr>
        <w:ind w:left="142" w:firstLine="709"/>
        <w:rPr>
          <w:rFonts w:cs="Times New Roman"/>
          <w:color w:val="000000"/>
          <w:szCs w:val="24"/>
        </w:rPr>
      </w:pPr>
      <w:r w:rsidRPr="00611EC1">
        <w:rPr>
          <w:rFonts w:cs="Times New Roman"/>
          <w:szCs w:val="24"/>
          <w:shd w:val="clear" w:color="auto" w:fill="FFFFFF"/>
        </w:rPr>
        <w:t>При терапии АМК у гематологической пациентки с показаниями к лечению в раннем или позднем послеродовом периоде проводится терапия, направленная на подавление лактации – каберголин 0,5</w:t>
      </w:r>
      <w:r>
        <w:rPr>
          <w:rFonts w:cs="Times New Roman"/>
          <w:szCs w:val="24"/>
          <w:shd w:val="clear" w:color="auto" w:fill="FFFFFF"/>
        </w:rPr>
        <w:t xml:space="preserve"> </w:t>
      </w:r>
      <w:r w:rsidRPr="00611EC1">
        <w:rPr>
          <w:rFonts w:cs="Times New Roman"/>
          <w:szCs w:val="24"/>
          <w:shd w:val="clear" w:color="auto" w:fill="FFFFFF"/>
        </w:rPr>
        <w:t xml:space="preserve">мг </w:t>
      </w:r>
      <w:r w:rsidRPr="00611EC1">
        <w:rPr>
          <w:rFonts w:cs="Times New Roman"/>
          <w:color w:val="000000"/>
          <w:szCs w:val="24"/>
        </w:rPr>
        <w:t>1 мг (2 таб.) однократно в первый день после родов, или  для подавления установившейся лактации по 0,25 мг (1/2 таб.) 2 р/сут через каждые 12 ч в течение 2 дней (общая доза 1 мг). </w:t>
      </w:r>
    </w:p>
    <w:p w14:paraId="7048867C" w14:textId="77777777" w:rsidR="00141D88" w:rsidRPr="00611EC1" w:rsidRDefault="00141D88" w:rsidP="00141D88">
      <w:pPr>
        <w:ind w:left="142" w:firstLine="709"/>
        <w:rPr>
          <w:rFonts w:cs="Times New Roman"/>
          <w:szCs w:val="24"/>
          <w:shd w:val="clear" w:color="auto" w:fill="FFFFFF"/>
        </w:rPr>
      </w:pPr>
      <w:r w:rsidRPr="00611EC1">
        <w:rPr>
          <w:rFonts w:cs="Times New Roman"/>
          <w:szCs w:val="24"/>
          <w:shd w:val="clear" w:color="auto" w:fill="FFFFFF"/>
        </w:rPr>
        <w:t>При достижении гемостаза (купировании АМК) в  последующем проводится противорецидивная терапия пероральными контрацептивами в контрацептивном режиме или в непрерывном режиме (постоянно).</w:t>
      </w:r>
    </w:p>
    <w:p w14:paraId="295C29C6" w14:textId="77777777" w:rsidR="00141D88" w:rsidRPr="00611EC1" w:rsidRDefault="00141D88" w:rsidP="00141D88">
      <w:pPr>
        <w:ind w:left="142" w:firstLine="709"/>
        <w:rPr>
          <w:rFonts w:cs="Times New Roman"/>
          <w:szCs w:val="24"/>
          <w:shd w:val="clear" w:color="auto" w:fill="FFFFFF"/>
        </w:rPr>
      </w:pPr>
      <w:r w:rsidRPr="00611EC1">
        <w:rPr>
          <w:rFonts w:cs="Times New Roman"/>
          <w:szCs w:val="24"/>
          <w:shd w:val="clear" w:color="auto" w:fill="FFFFFF"/>
        </w:rPr>
        <w:t>При подозрении / подтверждении воспалительного процесса (эндомиометрит) и/или с профилактической целью целесообразно назначение антибактериальной терапии, после получения результатов посева флоры из влагалища и чувствительности к антибиотикам.</w:t>
      </w:r>
    </w:p>
    <w:p w14:paraId="4FBB6BF8" w14:textId="77777777" w:rsidR="00141D88" w:rsidRDefault="00141D88" w:rsidP="00141D88">
      <w:pPr>
        <w:shd w:val="clear" w:color="auto" w:fill="FFFFFF"/>
        <w:rPr>
          <w:rFonts w:eastAsia="Times New Roman" w:cs="Times New Roman"/>
          <w:bCs/>
          <w:i/>
          <w:color w:val="333333"/>
          <w:szCs w:val="24"/>
          <w:u w:val="single"/>
          <w:lang w:eastAsia="ru-RU"/>
        </w:rPr>
      </w:pPr>
    </w:p>
    <w:p w14:paraId="6429D72B" w14:textId="4C11B204" w:rsidR="00141D88" w:rsidRPr="00611EC1" w:rsidRDefault="00141D88" w:rsidP="00141D88">
      <w:pPr>
        <w:shd w:val="clear" w:color="auto" w:fill="FFFFFF"/>
        <w:rPr>
          <w:rFonts w:eastAsia="Times New Roman" w:cs="Times New Roman"/>
          <w:bCs/>
          <w:i/>
          <w:color w:val="333333"/>
          <w:szCs w:val="24"/>
          <w:u w:val="single"/>
          <w:lang w:eastAsia="ru-RU"/>
        </w:rPr>
      </w:pPr>
      <w:r w:rsidRPr="00611EC1">
        <w:rPr>
          <w:rFonts w:eastAsia="Times New Roman" w:cs="Times New Roman"/>
          <w:bCs/>
          <w:i/>
          <w:color w:val="333333"/>
          <w:szCs w:val="24"/>
          <w:u w:val="single"/>
          <w:lang w:eastAsia="ru-RU"/>
        </w:rPr>
        <w:t>Хирургические методы гемостаза</w:t>
      </w:r>
      <w:r>
        <w:rPr>
          <w:rFonts w:eastAsia="Times New Roman" w:cs="Times New Roman"/>
          <w:bCs/>
          <w:i/>
          <w:color w:val="333333"/>
          <w:szCs w:val="24"/>
          <w:u w:val="single"/>
          <w:lang w:eastAsia="ru-RU"/>
        </w:rPr>
        <w:t xml:space="preserve"> </w:t>
      </w:r>
      <w:r>
        <w:rPr>
          <w:rFonts w:cs="Times New Roman"/>
          <w:color w:val="1E1E1E"/>
          <w:spacing w:val="2"/>
          <w:szCs w:val="24"/>
        </w:rPr>
        <w:fldChar w:fldCharType="begin" w:fldLock="1"/>
      </w:r>
      <w:r w:rsidR="0028120A">
        <w:rPr>
          <w:rFonts w:cs="Times New Roman"/>
          <w:color w:val="1E1E1E"/>
          <w:spacing w:val="2"/>
          <w:szCs w:val="24"/>
        </w:rPr>
        <w:instrText>ADDIN CSL_CITATION {"citationItems":[{"id":"ITEM-1","itemData":{"author":[{"dropping-particle":"","family":"Доброхотова","given":"Ю.Э.","non-dropping-particle":"","parse-names":false,"suffix":""},{"dropping-particle":"","family":"Сапрыкина","given":"Л.В.","non-dropping-particle":"","parse-names":false,"suffix":""},{"dropping-particle":"","family":"Филатова","given":"Л.А.","non-dropping-particle":"","parse-names":false,"suffix":""},{"dropping-particle":"","family":"Нариманова","given":"М.Р.","non-dropping-particle":"","parse-names":false,"suffix":""}],"container-title":"РМЖ. Мать и дитя","id":"ITEM-1","issue":"1","issued":{"date-parts":[["2020"]]},"page":"55-60","title":"Аномальные маточные кровотечения: алгоритмы ведения, методы терапии","type":"article-journal","volume":"3"},"uris":["http://www.mendeley.com/documents/?uuid=a12a992c-5fc5-4324-a2fd-7b01c09f94e9"]},{"id":"ITEM-2","itemData":{"author":[{"dropping-particle":"","family":"Чернуха","given":"Г.Е.","non-dropping-particle":"","parse-names":false,"suffix":""}],"container-title":"Гинекология: национальное руководство. Краткое издание. Под ред. Г.М. Савельевой. Г.Т. Сухих, В.Н. Серова, В.Е. Радзинского, И.Б. Манухина.","id":"ITEM-2","issued":{"date-parts":[["2020"]]},"page":"170-175","publisher":"М.: ГЭОТАР-Медиа","title":"Аномальные маточные кровотечения репродуктивного периода","type":"chapter"},"uris":["http://www.mendeley.com/documents/?uuid=2ef54431-bdc8-4c42-878d-b428dfa8ea1f"]}],"mendeley":{"formattedCitation":"[70,71]","plainTextFormattedCitation":"[70,71]","previouslyFormattedCitation":"[70,71]"},"properties":{"noteIndex":0},"schema":"https://github.com/citation-style-language/schema/raw/master/csl-citation.json"}</w:instrText>
      </w:r>
      <w:r>
        <w:rPr>
          <w:rFonts w:cs="Times New Roman"/>
          <w:color w:val="1E1E1E"/>
          <w:spacing w:val="2"/>
          <w:szCs w:val="24"/>
        </w:rPr>
        <w:fldChar w:fldCharType="separate"/>
      </w:r>
      <w:r w:rsidRPr="00141D88">
        <w:rPr>
          <w:rFonts w:cs="Times New Roman"/>
          <w:noProof/>
          <w:color w:val="1E1E1E"/>
          <w:spacing w:val="2"/>
          <w:szCs w:val="24"/>
        </w:rPr>
        <w:t>[70,71]</w:t>
      </w:r>
      <w:r>
        <w:rPr>
          <w:rFonts w:cs="Times New Roman"/>
          <w:color w:val="1E1E1E"/>
          <w:spacing w:val="2"/>
          <w:szCs w:val="24"/>
        </w:rPr>
        <w:fldChar w:fldCharType="end"/>
      </w:r>
      <w:r w:rsidRPr="00611EC1">
        <w:rPr>
          <w:rFonts w:eastAsia="Times New Roman" w:cs="Times New Roman"/>
          <w:bCs/>
          <w:i/>
          <w:color w:val="333333"/>
          <w:szCs w:val="24"/>
          <w:u w:val="single"/>
          <w:lang w:eastAsia="ru-RU"/>
        </w:rPr>
        <w:t>.</w:t>
      </w:r>
    </w:p>
    <w:p w14:paraId="343070CD" w14:textId="77777777" w:rsidR="00141D88" w:rsidRPr="00611EC1" w:rsidRDefault="00141D88" w:rsidP="00141D88">
      <w:pPr>
        <w:ind w:left="142" w:firstLine="709"/>
        <w:rPr>
          <w:rFonts w:cs="Times New Roman"/>
          <w:b/>
          <w:color w:val="000000"/>
          <w:szCs w:val="24"/>
          <w:shd w:val="clear" w:color="auto" w:fill="FFFFFF"/>
        </w:rPr>
      </w:pPr>
      <w:r w:rsidRPr="00611EC1">
        <w:rPr>
          <w:rFonts w:cs="Times New Roman"/>
          <w:szCs w:val="24"/>
          <w:shd w:val="clear" w:color="auto" w:fill="FFFFFF"/>
        </w:rPr>
        <w:t>При неэффективности или неприменимости в определенной клинической ситуации консервативных методов гемостаза могут применяться хирургические методы остановки АМК.</w:t>
      </w:r>
    </w:p>
    <w:p w14:paraId="41643CB1" w14:textId="77777777" w:rsidR="00141D88" w:rsidRPr="00611EC1" w:rsidRDefault="00141D88" w:rsidP="00141D88">
      <w:pPr>
        <w:pStyle w:val="afe"/>
        <w:numPr>
          <w:ilvl w:val="0"/>
          <w:numId w:val="40"/>
        </w:numPr>
        <w:ind w:firstLine="709"/>
        <w:rPr>
          <w:rFonts w:cs="Times New Roman"/>
          <w:szCs w:val="24"/>
          <w:shd w:val="clear" w:color="auto" w:fill="FFFFFF"/>
        </w:rPr>
      </w:pPr>
      <w:r w:rsidRPr="00611EC1">
        <w:rPr>
          <w:rFonts w:cs="Times New Roman"/>
          <w:szCs w:val="24"/>
          <w:shd w:val="clear" w:color="auto" w:fill="FFFFFF"/>
        </w:rPr>
        <w:t>Гистероскопия и раздельное диагностическое выскабливание стенок полости матки, резектоскопия при наличии внутриматочной патологии. Данная операция преследует как диагностическую (для исключения органической патологии полости матки), так и лечебную цель остановки АМК.</w:t>
      </w:r>
    </w:p>
    <w:p w14:paraId="3D79326F" w14:textId="77777777" w:rsidR="00141D88" w:rsidRPr="00611EC1" w:rsidRDefault="00141D88" w:rsidP="00141D88">
      <w:pPr>
        <w:pStyle w:val="afe"/>
        <w:numPr>
          <w:ilvl w:val="0"/>
          <w:numId w:val="40"/>
        </w:numPr>
        <w:ind w:firstLine="709"/>
        <w:rPr>
          <w:rFonts w:cs="Times New Roman"/>
          <w:szCs w:val="24"/>
          <w:shd w:val="clear" w:color="auto" w:fill="FFFFFF"/>
        </w:rPr>
      </w:pPr>
      <w:r w:rsidRPr="00611EC1">
        <w:rPr>
          <w:rFonts w:cs="Times New Roman"/>
          <w:szCs w:val="24"/>
          <w:shd w:val="clear" w:color="auto" w:fill="FFFFFF"/>
        </w:rPr>
        <w:t>Гистерэктомия.</w:t>
      </w:r>
    </w:p>
    <w:p w14:paraId="6D90A7E2" w14:textId="77777777" w:rsidR="00141D88" w:rsidRPr="00611EC1" w:rsidRDefault="00141D88" w:rsidP="00141D88">
      <w:pPr>
        <w:pStyle w:val="afe"/>
        <w:numPr>
          <w:ilvl w:val="0"/>
          <w:numId w:val="40"/>
        </w:numPr>
        <w:ind w:firstLine="709"/>
        <w:rPr>
          <w:rFonts w:cs="Times New Roman"/>
          <w:szCs w:val="24"/>
          <w:shd w:val="clear" w:color="auto" w:fill="FFFFFF"/>
        </w:rPr>
      </w:pPr>
      <w:r w:rsidRPr="00611EC1">
        <w:rPr>
          <w:rFonts w:cs="Times New Roman"/>
          <w:szCs w:val="24"/>
          <w:shd w:val="clear" w:color="auto" w:fill="FFFFFF"/>
        </w:rPr>
        <w:t>Эмболизация или склерозирование маточных сосудов — при их аномалиях.</w:t>
      </w:r>
    </w:p>
    <w:p w14:paraId="618587F4" w14:textId="77777777" w:rsidR="00141D88" w:rsidRPr="00611EC1" w:rsidRDefault="00141D88" w:rsidP="00141D88">
      <w:pPr>
        <w:pStyle w:val="afe"/>
        <w:numPr>
          <w:ilvl w:val="0"/>
          <w:numId w:val="40"/>
        </w:numPr>
        <w:ind w:firstLine="709"/>
        <w:rPr>
          <w:rFonts w:cs="Times New Roman"/>
          <w:szCs w:val="24"/>
          <w:shd w:val="clear" w:color="auto" w:fill="FFFFFF"/>
        </w:rPr>
      </w:pPr>
      <w:r w:rsidRPr="00611EC1">
        <w:rPr>
          <w:rFonts w:cs="Times New Roman"/>
          <w:szCs w:val="24"/>
          <w:shd w:val="clear" w:color="auto" w:fill="FFFFFF"/>
        </w:rPr>
        <w:t>Аблация эндометрия.</w:t>
      </w:r>
    </w:p>
    <w:p w14:paraId="5ABD8969" w14:textId="77777777" w:rsidR="00141D88" w:rsidRPr="00611EC1" w:rsidRDefault="00141D88" w:rsidP="00141D88">
      <w:pPr>
        <w:pStyle w:val="afe"/>
        <w:ind w:firstLine="709"/>
        <w:rPr>
          <w:rFonts w:cs="Times New Roman"/>
          <w:b/>
          <w:szCs w:val="24"/>
          <w:shd w:val="clear" w:color="auto" w:fill="FFFFFF"/>
        </w:rPr>
      </w:pPr>
    </w:p>
    <w:p w14:paraId="344D5EF5" w14:textId="77777777" w:rsidR="00141D88" w:rsidRPr="00611EC1" w:rsidRDefault="00141D88" w:rsidP="00141D88">
      <w:pPr>
        <w:rPr>
          <w:rFonts w:cs="Times New Roman"/>
          <w:b/>
          <w:szCs w:val="24"/>
        </w:rPr>
      </w:pPr>
      <w:r w:rsidRPr="00611EC1">
        <w:rPr>
          <w:rFonts w:cs="Times New Roman"/>
          <w:b/>
          <w:szCs w:val="24"/>
        </w:rPr>
        <w:t>Методы профилактики АМК</w:t>
      </w:r>
      <w:r>
        <w:rPr>
          <w:rFonts w:cs="Times New Roman"/>
          <w:b/>
          <w:szCs w:val="24"/>
        </w:rPr>
        <w:t>.</w:t>
      </w:r>
    </w:p>
    <w:p w14:paraId="1740A05E" w14:textId="1182465F" w:rsidR="00141D88" w:rsidRPr="00611EC1" w:rsidRDefault="00141D88" w:rsidP="00141D88">
      <w:pPr>
        <w:shd w:val="clear" w:color="auto" w:fill="FFFFFF"/>
        <w:ind w:left="142" w:firstLine="709"/>
        <w:rPr>
          <w:rFonts w:cs="Times New Roman"/>
          <w:szCs w:val="24"/>
          <w:shd w:val="clear" w:color="auto" w:fill="FFFFFF"/>
        </w:rPr>
      </w:pPr>
      <w:r w:rsidRPr="00611EC1">
        <w:rPr>
          <w:rFonts w:eastAsia="Times New Roman" w:cs="Times New Roman"/>
          <w:szCs w:val="24"/>
          <w:lang w:eastAsia="ru-RU"/>
        </w:rPr>
        <w:t>В репродуктивном периоде для профилактики АМК у пациенток с гематологической патологией в период проведения химиотерапии или другого лечения с риском развития АМК проводится циклическая или непрерывная терапия КОК, или гестагенами во 2-й фазе менструального цикла до 6 месяцев,</w:t>
      </w:r>
      <w:r w:rsidRPr="00611EC1">
        <w:rPr>
          <w:rFonts w:cs="Times New Roman"/>
          <w:szCs w:val="24"/>
          <w:shd w:val="clear" w:color="auto" w:fill="FFFFFF"/>
        </w:rPr>
        <w:t xml:space="preserve"> или агонистами ГнРГ (гозерелин 3,6 мг п/к 1 раз в 28 дней, курс терапии до 6 месяцев)</w:t>
      </w:r>
      <w:r>
        <w:rPr>
          <w:rFonts w:cs="Times New Roman"/>
          <w:szCs w:val="24"/>
          <w:shd w:val="clear" w:color="auto" w:fill="FFFFFF"/>
        </w:rPr>
        <w:t xml:space="preserve"> </w:t>
      </w:r>
      <w:r>
        <w:rPr>
          <w:rFonts w:cs="Times New Roman"/>
          <w:color w:val="1E1E1E"/>
          <w:spacing w:val="2"/>
          <w:szCs w:val="24"/>
        </w:rPr>
        <w:fldChar w:fldCharType="begin" w:fldLock="1"/>
      </w:r>
      <w:r w:rsidR="0028120A">
        <w:rPr>
          <w:rFonts w:cs="Times New Roman"/>
          <w:color w:val="1E1E1E"/>
          <w:spacing w:val="2"/>
          <w:szCs w:val="24"/>
        </w:rPr>
        <w:instrText>ADDIN CSL_CITATION {"citationItems":[{"id":"ITEM-1","itemData":{"author":[{"dropping-particle":"","family":"Доброхотова","given":"Ю.Э.","non-dropping-particle":"","parse-names":false,"suffix":""},{"dropping-particle":"","family":"Сапрыкина","given":"Л.В.","non-dropping-particle":"","parse-names":false,"suffix":""},{"dropping-particle":"","family":"Филатова","given":"Л.А.","non-dropping-particle":"","parse-names":false,"suffix":""},{"dropping-particle":"","family":"Нариманова","given":"М.Р.","non-dropping-particle":"","parse-names":false,"suffix":""}],"container-title":"РМЖ. Мать и дитя","id":"ITEM-1","issue":"1","issued":{"date-parts":[["2020"]]},"page":"55-60","title":"Аномальные маточные кровотечения: алгоритмы ведения, методы терапии","type":"article-journal","volume":"3"},"uris":["http://www.mendeley.com/documents/?uuid=a12a992c-5fc5-4324-a2fd-7b01c09f94e9"]},{"id":"ITEM-2","itemData":{"author":[{"dropping-particle":"","family":"Чернуха","given":"Г.Е.","non-dropping-particle":"","parse-names":false,"suffix":""}],"container-title":"Гинекология: национальное руководство. Краткое издание. Под ред. Г.М. Савельевой. Г.Т. Сухих, В.Н. Серова, В.Е. Радзинского, И.Б. Манухина.","id":"ITEM-2","issued":{"date-parts":[["2020"]]},"page":"170-175","publisher":"М.: ГЭОТАР-Медиа","title":"Аномальные маточные кровотечения репродуктивного периода","type":"chapter"},"uris":["http://www.mendeley.com/documents/?uuid=2ef54431-bdc8-4c42-878d-b428dfa8ea1f"]}],"mendeley":{"formattedCitation":"[70,71]","plainTextFormattedCitation":"[70,71]","previouslyFormattedCitation":"[70,71]"},"properties":{"noteIndex":0},"schema":"https://github.com/citation-style-language/schema/raw/master/csl-citation.json"}</w:instrText>
      </w:r>
      <w:r>
        <w:rPr>
          <w:rFonts w:cs="Times New Roman"/>
          <w:color w:val="1E1E1E"/>
          <w:spacing w:val="2"/>
          <w:szCs w:val="24"/>
        </w:rPr>
        <w:fldChar w:fldCharType="separate"/>
      </w:r>
      <w:r w:rsidRPr="00141D88">
        <w:rPr>
          <w:rFonts w:cs="Times New Roman"/>
          <w:noProof/>
          <w:color w:val="1E1E1E"/>
          <w:spacing w:val="2"/>
          <w:szCs w:val="24"/>
        </w:rPr>
        <w:t>[70,71]</w:t>
      </w:r>
      <w:r>
        <w:rPr>
          <w:rFonts w:cs="Times New Roman"/>
          <w:color w:val="1E1E1E"/>
          <w:spacing w:val="2"/>
          <w:szCs w:val="24"/>
        </w:rPr>
        <w:fldChar w:fldCharType="end"/>
      </w:r>
      <w:r w:rsidRPr="00611EC1">
        <w:rPr>
          <w:rFonts w:cs="Times New Roman"/>
          <w:szCs w:val="24"/>
          <w:shd w:val="clear" w:color="auto" w:fill="FFFFFF"/>
        </w:rPr>
        <w:t>.</w:t>
      </w:r>
    </w:p>
    <w:p w14:paraId="2554F4F1" w14:textId="02397093" w:rsidR="00141D88" w:rsidRDefault="00141D88" w:rsidP="00141D88">
      <w:pPr>
        <w:shd w:val="clear" w:color="auto" w:fill="FFFFFF"/>
        <w:ind w:left="142" w:firstLine="709"/>
        <w:rPr>
          <w:rFonts w:cs="Times New Roman"/>
          <w:szCs w:val="24"/>
          <w:shd w:val="clear" w:color="auto" w:fill="FFFFFF"/>
        </w:rPr>
      </w:pPr>
      <w:r w:rsidRPr="00611EC1">
        <w:rPr>
          <w:rFonts w:eastAsia="Times New Roman" w:cs="Times New Roman"/>
          <w:szCs w:val="24"/>
          <w:lang w:eastAsia="ru-RU"/>
        </w:rPr>
        <w:t xml:space="preserve">У пациенток с гематологической патологией в пре- и постменопаузальном периоде при необходимости выключения функции яичников для профилактики АМК </w:t>
      </w:r>
      <w:r w:rsidRPr="00611EC1">
        <w:rPr>
          <w:rFonts w:eastAsia="Times New Roman" w:cs="Times New Roman"/>
          <w:szCs w:val="24"/>
          <w:lang w:eastAsia="ru-RU"/>
        </w:rPr>
        <w:lastRenderedPageBreak/>
        <w:t xml:space="preserve">(медикаментозная менопауза) применяются гестагены в непрерывном режиме – до 6 месяцев и </w:t>
      </w:r>
      <w:r w:rsidRPr="00611EC1">
        <w:rPr>
          <w:rFonts w:cs="Times New Roman"/>
          <w:szCs w:val="24"/>
          <w:shd w:val="clear" w:color="auto" w:fill="FFFFFF"/>
        </w:rPr>
        <w:t xml:space="preserve"> агонисты ГнРГ (гозерелин 3,6 мг п/к 1 раз в 28 дней, курс терапии до 6</w:t>
      </w:r>
      <w:r>
        <w:rPr>
          <w:rFonts w:cs="Times New Roman"/>
          <w:szCs w:val="24"/>
          <w:shd w:val="clear" w:color="auto" w:fill="FFFFFF"/>
        </w:rPr>
        <w:t xml:space="preserve"> </w:t>
      </w:r>
      <w:r w:rsidRPr="00611EC1">
        <w:rPr>
          <w:rFonts w:cs="Times New Roman"/>
          <w:szCs w:val="24"/>
          <w:shd w:val="clear" w:color="auto" w:fill="FFFFFF"/>
        </w:rPr>
        <w:t>мес.).</w:t>
      </w:r>
    </w:p>
    <w:p w14:paraId="70A066AE" w14:textId="549012A7" w:rsidR="00141D88" w:rsidRDefault="00141D88" w:rsidP="00141D88">
      <w:pPr>
        <w:shd w:val="clear" w:color="auto" w:fill="FFFFFF"/>
        <w:ind w:left="142" w:firstLine="709"/>
        <w:rPr>
          <w:rFonts w:cs="Times New Roman"/>
          <w:szCs w:val="24"/>
          <w:shd w:val="clear" w:color="auto" w:fill="FFFFFF"/>
        </w:rPr>
      </w:pPr>
    </w:p>
    <w:p w14:paraId="1E8A41BF" w14:textId="1D099227" w:rsidR="00141D88" w:rsidRPr="00141D88" w:rsidRDefault="00141D88" w:rsidP="00141D88">
      <w:pPr>
        <w:pStyle w:val="2"/>
      </w:pPr>
      <w:bookmarkStart w:id="44" w:name="_Toc67522244"/>
      <w:r w:rsidRPr="00141D88">
        <w:rPr>
          <w:rStyle w:val="affa"/>
          <w:b/>
          <w:bCs w:val="0"/>
        </w:rPr>
        <w:t xml:space="preserve">7.6 </w:t>
      </w:r>
      <w:r w:rsidRPr="00141D88">
        <w:t>Профилактика, диагностика и лечение асептических остеонекрозов.</w:t>
      </w:r>
      <w:bookmarkEnd w:id="44"/>
    </w:p>
    <w:p w14:paraId="2AC39678" w14:textId="77777777" w:rsidR="00141D88" w:rsidRPr="002E0BCA" w:rsidRDefault="00141D88" w:rsidP="00141D88">
      <w:pPr>
        <w:ind w:firstLine="708"/>
        <w:rPr>
          <w:szCs w:val="24"/>
        </w:rPr>
      </w:pPr>
      <w:r w:rsidRPr="002E0BCA">
        <w:rPr>
          <w:szCs w:val="24"/>
        </w:rPr>
        <w:t xml:space="preserve">Асептический остеонекроз (АОН) у пациентов </w:t>
      </w:r>
      <w:r>
        <w:rPr>
          <w:szCs w:val="24"/>
        </w:rPr>
        <w:t xml:space="preserve">с лимфопролиферативными заболеваниями </w:t>
      </w:r>
      <w:r w:rsidRPr="002E0BCA">
        <w:rPr>
          <w:szCs w:val="24"/>
        </w:rPr>
        <w:t>относится к группе вторичных остеонекрозов. Его развитие связано с нарушением кровоснабжения и гибелью костных клеток в определенном участке костной ткани на фоне химиотерапии или воздействия глюкокортикостероидов.</w:t>
      </w:r>
      <w:r>
        <w:rPr>
          <w:szCs w:val="24"/>
        </w:rPr>
        <w:t xml:space="preserve"> </w:t>
      </w:r>
    </w:p>
    <w:p w14:paraId="2C7054C8" w14:textId="77777777" w:rsidR="00141D88" w:rsidRDefault="00141D88" w:rsidP="00141D88">
      <w:pPr>
        <w:ind w:firstLine="708"/>
        <w:rPr>
          <w:szCs w:val="24"/>
        </w:rPr>
      </w:pPr>
      <w:r w:rsidRPr="002E0BCA">
        <w:rPr>
          <w:szCs w:val="24"/>
        </w:rPr>
        <w:t xml:space="preserve">АОН у </w:t>
      </w:r>
      <w:r>
        <w:rPr>
          <w:szCs w:val="24"/>
        </w:rPr>
        <w:t xml:space="preserve">пациентов с онкогематологическими заболеваниями </w:t>
      </w:r>
      <w:r w:rsidRPr="002E0BCA">
        <w:rPr>
          <w:szCs w:val="24"/>
        </w:rPr>
        <w:t>преимущественно локализуется в длинных трубчатых костях. По расположению в трубчатой кости очаги могут выявляться как вне связи с эпифизами, это медуллярные остеонекрозы, так и поражать эпифизы, суставные отделы трубчатых костей. В этих случаях остеонекроз определяют, как – асептический некроз, и далее, название эпифиза, например, асептический некроз головки бедренной кости и т.</w:t>
      </w:r>
      <w:r>
        <w:rPr>
          <w:szCs w:val="24"/>
        </w:rPr>
        <w:t> </w:t>
      </w:r>
      <w:r w:rsidRPr="002E0BCA">
        <w:rPr>
          <w:szCs w:val="24"/>
        </w:rPr>
        <w:t>п. Как синоним, часто используется определение – аваскулярный некроз (АВН) головки бедренной кости или других локализаций остеонекрозов эпифизов длинных костей, хотя, словосочетание «асептический некроз» более точно отражает патологический процесс (аваскулярный некроз кости часто сопровождает инфекционные заболевания костей и суставов, что не относится к рассматриваемой проблеме).</w:t>
      </w:r>
    </w:p>
    <w:p w14:paraId="6C7158AA" w14:textId="77777777" w:rsidR="00141D88" w:rsidRDefault="00141D88" w:rsidP="00141D88">
      <w:pPr>
        <w:ind w:firstLine="708"/>
      </w:pPr>
    </w:p>
    <w:p w14:paraId="5363740F" w14:textId="77777777" w:rsidR="00141D88" w:rsidRPr="00314E71" w:rsidRDefault="00141D88" w:rsidP="00141D88">
      <w:pPr>
        <w:rPr>
          <w:i/>
          <w:iCs/>
          <w:u w:val="single"/>
        </w:rPr>
      </w:pPr>
      <w:r w:rsidRPr="00314E71">
        <w:rPr>
          <w:i/>
          <w:iCs/>
          <w:u w:val="single"/>
        </w:rPr>
        <w:t>Диагностика</w:t>
      </w:r>
    </w:p>
    <w:p w14:paraId="2968387F" w14:textId="77777777" w:rsidR="00141D88" w:rsidRDefault="00141D88" w:rsidP="00141D88">
      <w:pPr>
        <w:ind w:firstLine="708"/>
        <w:rPr>
          <w:szCs w:val="24"/>
        </w:rPr>
      </w:pPr>
      <w:r>
        <w:t>В</w:t>
      </w:r>
      <w:r w:rsidRPr="00E66B41">
        <w:rPr>
          <w:szCs w:val="24"/>
        </w:rPr>
        <w:t xml:space="preserve">ыявить остеонекроз возможно при рентгенографии и КТ костей по характерному признаку – наличие географической формы тонкой линии остеосклероза, которая формируется при прорастании костной ткани из непораженного участка в очаг остеонекроза. При секвестрировании выявляется полоска просветления по форме очага. Рентгенография и КТ костей и суставов используются также при планировании оперативных вмешательств на поздних стадиях остеонекроза при развитии деформации суставного отдела длинной трубчатой кости. </w:t>
      </w:r>
      <w:r w:rsidRPr="002E0BCA">
        <w:rPr>
          <w:szCs w:val="24"/>
        </w:rPr>
        <w:t>Дополнить инструментальную диагностику может двухэнергетическая рентгеновская денситометрия, которая позволяет выявить проявления системного остеопороза и состояние костной ткани в области установленных имплантов, если пациентам выполнялось эндопротезирование суставов.</w:t>
      </w:r>
    </w:p>
    <w:p w14:paraId="1E4C19D5" w14:textId="77777777" w:rsidR="00141D88" w:rsidRPr="00314E71" w:rsidRDefault="00141D88" w:rsidP="00141D88">
      <w:pPr>
        <w:ind w:firstLine="708"/>
        <w:rPr>
          <w:szCs w:val="24"/>
        </w:rPr>
      </w:pPr>
      <w:r>
        <w:rPr>
          <w:szCs w:val="24"/>
        </w:rPr>
        <w:t xml:space="preserve">Всем </w:t>
      </w:r>
      <w:r>
        <w:t xml:space="preserve">пациентам с подозрением на асептический остеонекроз необходимо выполнять </w:t>
      </w:r>
      <w:r w:rsidRPr="00314E71">
        <w:rPr>
          <w:szCs w:val="24"/>
        </w:rPr>
        <w:t xml:space="preserve">исследовать маркеры костного метаболизма (уровень кальция крови, уровень кальция суточной мочи, паратгормон, активность щелочной фосфатазы, 25-(ОН) вит </w:t>
      </w:r>
      <w:r w:rsidRPr="00314E71">
        <w:rPr>
          <w:szCs w:val="24"/>
          <w:lang w:val="en-US"/>
        </w:rPr>
        <w:t>D</w:t>
      </w:r>
      <w:r w:rsidRPr="00314E71">
        <w:rPr>
          <w:szCs w:val="24"/>
        </w:rPr>
        <w:t xml:space="preserve">, </w:t>
      </w:r>
      <w:r w:rsidRPr="00314E71">
        <w:rPr>
          <w:szCs w:val="24"/>
        </w:rPr>
        <w:lastRenderedPageBreak/>
        <w:t>д</w:t>
      </w:r>
      <w:r w:rsidRPr="00314E71">
        <w:rPr>
          <w:rStyle w:val="affa"/>
          <w:szCs w:val="24"/>
        </w:rPr>
        <w:t>езоксипиридинолин</w:t>
      </w:r>
      <w:r w:rsidRPr="00314E71">
        <w:rPr>
          <w:szCs w:val="24"/>
        </w:rPr>
        <w:t xml:space="preserve"> (ДПИД)  или </w:t>
      </w:r>
      <w:r w:rsidRPr="00314E71">
        <w:rPr>
          <w:szCs w:val="24"/>
          <w:lang w:val="en-US"/>
        </w:rPr>
        <w:t>beta</w:t>
      </w:r>
      <w:r w:rsidRPr="00314E71">
        <w:rPr>
          <w:szCs w:val="24"/>
        </w:rPr>
        <w:t>-</w:t>
      </w:r>
      <w:r w:rsidRPr="00314E71">
        <w:rPr>
          <w:szCs w:val="24"/>
          <w:lang w:val="en-US"/>
        </w:rPr>
        <w:t>crocc</w:t>
      </w:r>
      <w:r w:rsidRPr="00314E71">
        <w:rPr>
          <w:szCs w:val="24"/>
        </w:rPr>
        <w:t xml:space="preserve"> </w:t>
      </w:r>
      <w:r w:rsidRPr="00314E71">
        <w:rPr>
          <w:szCs w:val="24"/>
          <w:lang w:val="en-US"/>
        </w:rPr>
        <w:t>laps</w:t>
      </w:r>
      <w:r w:rsidRPr="00314E71">
        <w:rPr>
          <w:szCs w:val="24"/>
        </w:rPr>
        <w:t>, остеокальцин), которые могут помочь в определении тактики дальнейшего сопроводительного лечения и назначении специфической терапии остеопороза.</w:t>
      </w:r>
    </w:p>
    <w:p w14:paraId="6887D4F9" w14:textId="77777777" w:rsidR="00141D88" w:rsidRDefault="00141D88" w:rsidP="00141D88">
      <w:pPr>
        <w:rPr>
          <w:b/>
          <w:bCs/>
          <w:i/>
          <w:szCs w:val="24"/>
        </w:rPr>
      </w:pPr>
    </w:p>
    <w:p w14:paraId="3E023112" w14:textId="77777777" w:rsidR="00141D88" w:rsidRPr="00314E71" w:rsidRDefault="00141D88" w:rsidP="00141D88">
      <w:pPr>
        <w:rPr>
          <w:i/>
          <w:szCs w:val="24"/>
          <w:u w:val="single"/>
        </w:rPr>
      </w:pPr>
      <w:r w:rsidRPr="00314E71">
        <w:rPr>
          <w:i/>
          <w:szCs w:val="24"/>
          <w:u w:val="single"/>
        </w:rPr>
        <w:t xml:space="preserve">Классификация остеонекроза головки бедренной кости по </w:t>
      </w:r>
      <w:r w:rsidRPr="00314E71">
        <w:rPr>
          <w:i/>
          <w:szCs w:val="24"/>
          <w:u w:val="single"/>
          <w:lang w:val="en-US"/>
        </w:rPr>
        <w:t>ARCO</w:t>
      </w:r>
      <w:r w:rsidRPr="00314E71">
        <w:rPr>
          <w:i/>
          <w:szCs w:val="24"/>
          <w:u w:val="single"/>
        </w:rPr>
        <w:t xml:space="preserve"> (</w:t>
      </w:r>
      <w:r w:rsidRPr="00314E71">
        <w:rPr>
          <w:i/>
          <w:szCs w:val="24"/>
          <w:u w:val="single"/>
          <w:lang w:val="en-US"/>
        </w:rPr>
        <w:t>Association</w:t>
      </w:r>
      <w:r w:rsidRPr="00314E71">
        <w:rPr>
          <w:i/>
          <w:szCs w:val="24"/>
          <w:u w:val="single"/>
        </w:rPr>
        <w:t xml:space="preserve"> </w:t>
      </w:r>
      <w:r w:rsidRPr="00314E71">
        <w:rPr>
          <w:i/>
          <w:szCs w:val="24"/>
          <w:u w:val="single"/>
          <w:lang w:val="en-US"/>
        </w:rPr>
        <w:t>Research</w:t>
      </w:r>
      <w:r w:rsidRPr="00314E71">
        <w:rPr>
          <w:i/>
          <w:szCs w:val="24"/>
          <w:u w:val="single"/>
        </w:rPr>
        <w:t xml:space="preserve"> </w:t>
      </w:r>
      <w:r w:rsidRPr="00314E71">
        <w:rPr>
          <w:i/>
          <w:szCs w:val="24"/>
          <w:u w:val="single"/>
          <w:lang w:val="en-US"/>
        </w:rPr>
        <w:t>Circulation</w:t>
      </w:r>
      <w:r w:rsidRPr="00314E71">
        <w:rPr>
          <w:i/>
          <w:szCs w:val="24"/>
          <w:u w:val="single"/>
        </w:rPr>
        <w:t xml:space="preserve"> </w:t>
      </w:r>
      <w:r w:rsidRPr="00314E71">
        <w:rPr>
          <w:i/>
          <w:szCs w:val="24"/>
          <w:u w:val="single"/>
          <w:lang w:val="en-US"/>
        </w:rPr>
        <w:t>Osseous</w:t>
      </w:r>
      <w:r w:rsidRPr="00314E71">
        <w:rPr>
          <w:i/>
          <w:szCs w:val="24"/>
          <w:u w:val="single"/>
        </w:rPr>
        <w:t>):</w:t>
      </w:r>
    </w:p>
    <w:p w14:paraId="7521467E" w14:textId="77777777" w:rsidR="00141D88" w:rsidRPr="002E0BCA" w:rsidRDefault="00141D88" w:rsidP="00141D88">
      <w:pPr>
        <w:rPr>
          <w:szCs w:val="24"/>
        </w:rPr>
      </w:pPr>
      <w:r w:rsidRPr="002E0BCA">
        <w:rPr>
          <w:bCs/>
          <w:szCs w:val="24"/>
          <w:u w:val="single"/>
        </w:rPr>
        <w:t>Стадия 0:</w:t>
      </w:r>
      <w:r w:rsidRPr="002E0BCA">
        <w:rPr>
          <w:szCs w:val="24"/>
        </w:rPr>
        <w:t xml:space="preserve"> жалоб нет. Клинически без патологии. Остеонекроз при гистологическом исследовании.</w:t>
      </w:r>
    </w:p>
    <w:p w14:paraId="189A5081" w14:textId="77777777" w:rsidR="00141D88" w:rsidRPr="002E0BCA" w:rsidRDefault="00141D88" w:rsidP="00141D88">
      <w:pPr>
        <w:rPr>
          <w:szCs w:val="24"/>
        </w:rPr>
      </w:pPr>
      <w:r w:rsidRPr="002E0BCA">
        <w:rPr>
          <w:bCs/>
          <w:szCs w:val="24"/>
          <w:u w:val="single"/>
        </w:rPr>
        <w:t>Стадия 1:</w:t>
      </w:r>
      <w:r w:rsidRPr="002E0BCA">
        <w:rPr>
          <w:szCs w:val="24"/>
        </w:rPr>
        <w:t xml:space="preserve"> рентгенологически без патологии. При МРТ или радионуклидном исследовании (сцинтиография костей) – остеонекроз.</w:t>
      </w:r>
    </w:p>
    <w:p w14:paraId="730F1ABC" w14:textId="77777777" w:rsidR="00141D88" w:rsidRPr="002E0BCA" w:rsidRDefault="00141D88" w:rsidP="00141D88">
      <w:pPr>
        <w:rPr>
          <w:szCs w:val="24"/>
        </w:rPr>
      </w:pPr>
      <w:r w:rsidRPr="002E0BCA">
        <w:rPr>
          <w:bCs/>
          <w:szCs w:val="24"/>
          <w:u w:val="single"/>
        </w:rPr>
        <w:t>Стадия 2:</w:t>
      </w:r>
      <w:r w:rsidRPr="002E0BCA">
        <w:rPr>
          <w:szCs w:val="24"/>
        </w:rPr>
        <w:t xml:space="preserve"> на рентгенограммах при МРТ выявляются ранние признаки остеонекроза. Форма головки не нарушена, субхондральный симптом полумесяца отсутствует.</w:t>
      </w:r>
    </w:p>
    <w:p w14:paraId="25818F24" w14:textId="77777777" w:rsidR="00141D88" w:rsidRPr="002E0BCA" w:rsidRDefault="00141D88" w:rsidP="00141D88">
      <w:pPr>
        <w:ind w:firstLine="708"/>
        <w:rPr>
          <w:szCs w:val="24"/>
        </w:rPr>
      </w:pPr>
      <w:r w:rsidRPr="002E0BCA">
        <w:rPr>
          <w:szCs w:val="24"/>
        </w:rPr>
        <w:t xml:space="preserve">Подгруппы в зависимости от площади поражения суставной поверхности: </w:t>
      </w:r>
    </w:p>
    <w:p w14:paraId="765D20D5" w14:textId="77777777" w:rsidR="00141D88" w:rsidRPr="002E0BCA" w:rsidRDefault="00141D88" w:rsidP="00141D88">
      <w:pPr>
        <w:ind w:firstLine="708"/>
        <w:rPr>
          <w:szCs w:val="24"/>
        </w:rPr>
      </w:pPr>
      <w:r w:rsidRPr="002E0BCA">
        <w:rPr>
          <w:szCs w:val="24"/>
          <w:lang w:val="en-US"/>
        </w:rPr>
        <w:t>A</w:t>
      </w:r>
      <w:r w:rsidRPr="002E0BCA">
        <w:rPr>
          <w:szCs w:val="24"/>
        </w:rPr>
        <w:t xml:space="preserve"> – менее 15%</w:t>
      </w:r>
    </w:p>
    <w:p w14:paraId="6DC17387" w14:textId="77777777" w:rsidR="00141D88" w:rsidRPr="002E0BCA" w:rsidRDefault="00141D88" w:rsidP="00141D88">
      <w:pPr>
        <w:ind w:firstLine="708"/>
        <w:rPr>
          <w:szCs w:val="24"/>
        </w:rPr>
      </w:pPr>
      <w:r w:rsidRPr="002E0BCA">
        <w:rPr>
          <w:szCs w:val="24"/>
          <w:lang w:val="en-US"/>
        </w:rPr>
        <w:t>B</w:t>
      </w:r>
      <w:r w:rsidRPr="002E0BCA">
        <w:rPr>
          <w:szCs w:val="24"/>
        </w:rPr>
        <w:t xml:space="preserve"> – 15-30%</w:t>
      </w:r>
    </w:p>
    <w:p w14:paraId="3179EE77" w14:textId="77777777" w:rsidR="00141D88" w:rsidRPr="002E0BCA" w:rsidRDefault="00141D88" w:rsidP="00141D88">
      <w:pPr>
        <w:ind w:firstLine="708"/>
        <w:rPr>
          <w:szCs w:val="24"/>
        </w:rPr>
      </w:pPr>
      <w:r w:rsidRPr="002E0BCA">
        <w:rPr>
          <w:szCs w:val="24"/>
          <w:lang w:val="en-US"/>
        </w:rPr>
        <w:t>C</w:t>
      </w:r>
      <w:r w:rsidRPr="002E0BCA">
        <w:rPr>
          <w:szCs w:val="24"/>
        </w:rPr>
        <w:t xml:space="preserve"> – более 30%</w:t>
      </w:r>
    </w:p>
    <w:p w14:paraId="2DBE1EC7" w14:textId="77777777" w:rsidR="00141D88" w:rsidRPr="002E0BCA" w:rsidRDefault="00141D88" w:rsidP="00141D88">
      <w:pPr>
        <w:rPr>
          <w:szCs w:val="24"/>
        </w:rPr>
      </w:pPr>
      <w:r w:rsidRPr="002E0BCA">
        <w:rPr>
          <w:bCs/>
          <w:szCs w:val="24"/>
          <w:u w:val="single"/>
        </w:rPr>
        <w:t>Стадия 3:</w:t>
      </w:r>
      <w:r w:rsidRPr="002E0BCA">
        <w:rPr>
          <w:szCs w:val="24"/>
        </w:rPr>
        <w:t xml:space="preserve"> на рентгенограммах имеется симптом полумесяца, но сферичность головки сохранена.</w:t>
      </w:r>
    </w:p>
    <w:p w14:paraId="71AF8012" w14:textId="77777777" w:rsidR="00141D88" w:rsidRPr="002E0BCA" w:rsidRDefault="00141D88" w:rsidP="00141D88">
      <w:pPr>
        <w:ind w:firstLine="708"/>
        <w:rPr>
          <w:szCs w:val="24"/>
        </w:rPr>
      </w:pPr>
      <w:r w:rsidRPr="002E0BCA">
        <w:rPr>
          <w:szCs w:val="24"/>
        </w:rPr>
        <w:t>Подгруппы в зависимости от соотношения размера полумесяца к размеру суставной поверхности:</w:t>
      </w:r>
    </w:p>
    <w:p w14:paraId="74D13330" w14:textId="77777777" w:rsidR="00141D88" w:rsidRPr="002E0BCA" w:rsidRDefault="00141D88" w:rsidP="00141D88">
      <w:pPr>
        <w:ind w:firstLine="708"/>
        <w:rPr>
          <w:szCs w:val="24"/>
        </w:rPr>
      </w:pPr>
      <w:r w:rsidRPr="002E0BCA">
        <w:rPr>
          <w:szCs w:val="24"/>
          <w:lang w:val="en-US"/>
        </w:rPr>
        <w:t>A</w:t>
      </w:r>
      <w:r w:rsidRPr="002E0BCA">
        <w:rPr>
          <w:szCs w:val="24"/>
        </w:rPr>
        <w:t xml:space="preserve"> – менее 15%</w:t>
      </w:r>
    </w:p>
    <w:p w14:paraId="18A5B3FF" w14:textId="77777777" w:rsidR="00141D88" w:rsidRPr="002E0BCA" w:rsidRDefault="00141D88" w:rsidP="00141D88">
      <w:pPr>
        <w:ind w:firstLine="708"/>
        <w:rPr>
          <w:szCs w:val="24"/>
        </w:rPr>
      </w:pPr>
      <w:r w:rsidRPr="002E0BCA">
        <w:rPr>
          <w:szCs w:val="24"/>
          <w:lang w:val="en-US"/>
        </w:rPr>
        <w:t>B</w:t>
      </w:r>
      <w:r w:rsidRPr="002E0BCA">
        <w:rPr>
          <w:szCs w:val="24"/>
        </w:rPr>
        <w:t xml:space="preserve"> – 15-30%</w:t>
      </w:r>
    </w:p>
    <w:p w14:paraId="27F70558" w14:textId="77777777" w:rsidR="00141D88" w:rsidRPr="002E0BCA" w:rsidRDefault="00141D88" w:rsidP="00141D88">
      <w:pPr>
        <w:ind w:firstLine="708"/>
        <w:rPr>
          <w:szCs w:val="24"/>
        </w:rPr>
      </w:pPr>
      <w:r w:rsidRPr="002E0BCA">
        <w:rPr>
          <w:szCs w:val="24"/>
          <w:lang w:val="en-US"/>
        </w:rPr>
        <w:t>C</w:t>
      </w:r>
      <w:r w:rsidRPr="002E0BCA">
        <w:rPr>
          <w:szCs w:val="24"/>
        </w:rPr>
        <w:t xml:space="preserve"> – более 30%</w:t>
      </w:r>
    </w:p>
    <w:p w14:paraId="4A94D44A" w14:textId="77777777" w:rsidR="00141D88" w:rsidRPr="002E0BCA" w:rsidRDefault="00141D88" w:rsidP="00141D88">
      <w:pPr>
        <w:rPr>
          <w:szCs w:val="24"/>
        </w:rPr>
      </w:pPr>
      <w:r w:rsidRPr="002E0BCA">
        <w:rPr>
          <w:bCs/>
          <w:szCs w:val="24"/>
          <w:u w:val="single"/>
        </w:rPr>
        <w:t>Стадия 4:</w:t>
      </w:r>
      <w:r w:rsidRPr="002E0BCA">
        <w:rPr>
          <w:szCs w:val="24"/>
        </w:rPr>
        <w:t xml:space="preserve"> признаки уплощения или коллапса головки.</w:t>
      </w:r>
    </w:p>
    <w:p w14:paraId="4AA0F41F" w14:textId="77777777" w:rsidR="00141D88" w:rsidRPr="002E0BCA" w:rsidRDefault="00141D88" w:rsidP="00141D88">
      <w:pPr>
        <w:ind w:firstLine="708"/>
        <w:rPr>
          <w:szCs w:val="24"/>
        </w:rPr>
      </w:pPr>
      <w:r w:rsidRPr="002E0BCA">
        <w:rPr>
          <w:szCs w:val="24"/>
        </w:rPr>
        <w:t>Подгруппы:</w:t>
      </w:r>
    </w:p>
    <w:p w14:paraId="1BC22FEA" w14:textId="77777777" w:rsidR="00141D88" w:rsidRPr="002E0BCA" w:rsidRDefault="00141D88" w:rsidP="00141D88">
      <w:pPr>
        <w:ind w:firstLine="708"/>
        <w:rPr>
          <w:szCs w:val="24"/>
        </w:rPr>
      </w:pPr>
      <w:r w:rsidRPr="002E0BCA">
        <w:rPr>
          <w:szCs w:val="24"/>
          <w:lang w:val="en-US"/>
        </w:rPr>
        <w:t>A</w:t>
      </w:r>
      <w:r w:rsidRPr="002E0BCA">
        <w:rPr>
          <w:szCs w:val="24"/>
        </w:rPr>
        <w:t xml:space="preserve"> – менее 15% суставной поверхности.</w:t>
      </w:r>
    </w:p>
    <w:p w14:paraId="03B4F802" w14:textId="77777777" w:rsidR="00141D88" w:rsidRPr="002E0BCA" w:rsidRDefault="00141D88" w:rsidP="00141D88">
      <w:pPr>
        <w:ind w:firstLine="708"/>
        <w:rPr>
          <w:szCs w:val="24"/>
        </w:rPr>
      </w:pPr>
      <w:r w:rsidRPr="002E0BCA">
        <w:rPr>
          <w:szCs w:val="24"/>
          <w:lang w:val="en-US"/>
        </w:rPr>
        <w:t>B</w:t>
      </w:r>
      <w:r w:rsidRPr="002E0BCA">
        <w:rPr>
          <w:szCs w:val="24"/>
        </w:rPr>
        <w:t xml:space="preserve"> – 15-30% суставной поверхности.</w:t>
      </w:r>
    </w:p>
    <w:p w14:paraId="509B0997" w14:textId="77777777" w:rsidR="00141D88" w:rsidRPr="002E0BCA" w:rsidRDefault="00141D88" w:rsidP="00141D88">
      <w:pPr>
        <w:ind w:firstLine="708"/>
        <w:rPr>
          <w:szCs w:val="24"/>
        </w:rPr>
      </w:pPr>
      <w:r w:rsidRPr="002E0BCA">
        <w:rPr>
          <w:szCs w:val="24"/>
          <w:lang w:val="en-US"/>
        </w:rPr>
        <w:t>C</w:t>
      </w:r>
      <w:r w:rsidRPr="002E0BCA">
        <w:rPr>
          <w:szCs w:val="24"/>
        </w:rPr>
        <w:t xml:space="preserve"> – более 30% суставной поверхности.</w:t>
      </w:r>
    </w:p>
    <w:p w14:paraId="66CBCDC7" w14:textId="77777777" w:rsidR="00141D88" w:rsidRPr="002E0BCA" w:rsidRDefault="00141D88" w:rsidP="00141D88">
      <w:pPr>
        <w:rPr>
          <w:szCs w:val="24"/>
        </w:rPr>
      </w:pPr>
      <w:r w:rsidRPr="002E0BCA">
        <w:rPr>
          <w:bCs/>
          <w:szCs w:val="24"/>
          <w:u w:val="single"/>
        </w:rPr>
        <w:t>Стадия 5:</w:t>
      </w:r>
      <w:r>
        <w:rPr>
          <w:bCs/>
          <w:szCs w:val="24"/>
          <w:u w:val="single"/>
        </w:rPr>
        <w:t xml:space="preserve"> </w:t>
      </w:r>
      <w:r w:rsidRPr="002E0BCA">
        <w:rPr>
          <w:szCs w:val="24"/>
        </w:rPr>
        <w:t>то же, что и выше, но имеется сужение суставной щели (вторичный артроз)</w:t>
      </w:r>
    </w:p>
    <w:p w14:paraId="33A24906" w14:textId="77777777" w:rsidR="00141D88" w:rsidRPr="002E0BCA" w:rsidRDefault="00141D88" w:rsidP="00141D88">
      <w:pPr>
        <w:rPr>
          <w:szCs w:val="24"/>
        </w:rPr>
      </w:pPr>
      <w:r w:rsidRPr="002E0BCA">
        <w:rPr>
          <w:bCs/>
          <w:szCs w:val="24"/>
          <w:u w:val="single"/>
        </w:rPr>
        <w:t>Стадия 6:</w:t>
      </w:r>
      <w:r w:rsidRPr="002E0BCA">
        <w:rPr>
          <w:szCs w:val="24"/>
        </w:rPr>
        <w:t xml:space="preserve"> то же, что и выше, но имеется выраженная деструкция суставных поверхностей.</w:t>
      </w:r>
    </w:p>
    <w:p w14:paraId="73D83D13" w14:textId="77777777" w:rsidR="00141D88" w:rsidRDefault="00141D88" w:rsidP="00141D88">
      <w:pPr>
        <w:rPr>
          <w:b/>
          <w:szCs w:val="24"/>
        </w:rPr>
      </w:pPr>
    </w:p>
    <w:p w14:paraId="49ABF032" w14:textId="77777777" w:rsidR="00141D88" w:rsidRPr="00314E71" w:rsidRDefault="00141D88" w:rsidP="00141D88">
      <w:pPr>
        <w:rPr>
          <w:bCs/>
          <w:i/>
          <w:iCs/>
          <w:szCs w:val="24"/>
          <w:u w:val="single"/>
        </w:rPr>
      </w:pPr>
      <w:r w:rsidRPr="00314E71">
        <w:rPr>
          <w:bCs/>
          <w:i/>
          <w:iCs/>
          <w:szCs w:val="24"/>
          <w:u w:val="single"/>
        </w:rPr>
        <w:t>Лечение</w:t>
      </w:r>
    </w:p>
    <w:p w14:paraId="642A9663" w14:textId="77777777" w:rsidR="00141D88" w:rsidRPr="00314E71" w:rsidRDefault="00141D88" w:rsidP="00141D88">
      <w:pPr>
        <w:rPr>
          <w:b/>
          <w:szCs w:val="24"/>
        </w:rPr>
      </w:pPr>
      <w:r w:rsidRPr="00314E71">
        <w:rPr>
          <w:b/>
          <w:szCs w:val="24"/>
        </w:rPr>
        <w:t>Консервативное лечение:</w:t>
      </w:r>
    </w:p>
    <w:p w14:paraId="50D84734" w14:textId="77777777" w:rsidR="00141D88" w:rsidRPr="002E0BCA" w:rsidRDefault="00141D88" w:rsidP="00141D88">
      <w:pPr>
        <w:pStyle w:val="afe"/>
        <w:numPr>
          <w:ilvl w:val="0"/>
          <w:numId w:val="47"/>
        </w:numPr>
        <w:spacing w:after="160"/>
        <w:rPr>
          <w:szCs w:val="24"/>
        </w:rPr>
      </w:pPr>
      <w:r w:rsidRPr="002E0BCA">
        <w:rPr>
          <w:szCs w:val="24"/>
        </w:rPr>
        <w:t>Охранительный режим</w:t>
      </w:r>
    </w:p>
    <w:p w14:paraId="14307DAB" w14:textId="77777777" w:rsidR="00141D88" w:rsidRPr="002E0BCA" w:rsidRDefault="00141D88" w:rsidP="00141D88">
      <w:pPr>
        <w:pStyle w:val="afe"/>
        <w:numPr>
          <w:ilvl w:val="0"/>
          <w:numId w:val="47"/>
        </w:numPr>
        <w:spacing w:after="160"/>
        <w:rPr>
          <w:szCs w:val="24"/>
        </w:rPr>
      </w:pPr>
      <w:r w:rsidRPr="002E0BCA">
        <w:rPr>
          <w:szCs w:val="24"/>
        </w:rPr>
        <w:t>Нормализация костного метаболизма</w:t>
      </w:r>
    </w:p>
    <w:p w14:paraId="2351D28E" w14:textId="77777777" w:rsidR="00141D88" w:rsidRPr="002E0BCA" w:rsidRDefault="00141D88" w:rsidP="00141D88">
      <w:pPr>
        <w:pStyle w:val="afe"/>
        <w:numPr>
          <w:ilvl w:val="0"/>
          <w:numId w:val="47"/>
        </w:numPr>
        <w:spacing w:after="160"/>
        <w:rPr>
          <w:szCs w:val="24"/>
        </w:rPr>
      </w:pPr>
      <w:r w:rsidRPr="002E0BCA">
        <w:rPr>
          <w:szCs w:val="24"/>
        </w:rPr>
        <w:lastRenderedPageBreak/>
        <w:t xml:space="preserve">Обезболивание </w:t>
      </w:r>
    </w:p>
    <w:p w14:paraId="1507455D" w14:textId="77777777" w:rsidR="00141D88" w:rsidRPr="002E0BCA" w:rsidRDefault="00141D88" w:rsidP="00141D88">
      <w:pPr>
        <w:rPr>
          <w:szCs w:val="24"/>
        </w:rPr>
      </w:pPr>
      <w:r w:rsidRPr="002E0BCA">
        <w:rPr>
          <w:szCs w:val="24"/>
        </w:rPr>
        <w:t>Таблица 1. Базисная терапия препаратами кальция и альфакальцидола при остеонекрозе.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141D88" w:rsidRPr="002E0BCA" w14:paraId="2F48C794" w14:textId="77777777" w:rsidTr="00141D88">
        <w:tc>
          <w:tcPr>
            <w:tcW w:w="3115" w:type="dxa"/>
          </w:tcPr>
          <w:p w14:paraId="52FCC7F7" w14:textId="77777777" w:rsidR="00141D88" w:rsidRPr="002E0BCA" w:rsidRDefault="00141D88" w:rsidP="00141D88">
            <w:pPr>
              <w:pStyle w:val="Default"/>
              <w:jc w:val="center"/>
            </w:pPr>
            <w:r w:rsidRPr="002E0BCA">
              <w:t>Исходный показатель кальция крови</w:t>
            </w:r>
          </w:p>
        </w:tc>
        <w:tc>
          <w:tcPr>
            <w:tcW w:w="3115" w:type="dxa"/>
          </w:tcPr>
          <w:p w14:paraId="46903E00" w14:textId="77777777" w:rsidR="00141D88" w:rsidRPr="002E0BCA" w:rsidRDefault="00141D88" w:rsidP="00141D88">
            <w:pPr>
              <w:pStyle w:val="Default"/>
              <w:jc w:val="center"/>
            </w:pPr>
            <w:r w:rsidRPr="002E0BCA">
              <w:t>Доза альфакальцидола</w:t>
            </w:r>
          </w:p>
          <w:p w14:paraId="26A755BA" w14:textId="77777777" w:rsidR="00141D88" w:rsidRPr="002E0BCA" w:rsidRDefault="00141D88" w:rsidP="00141D88">
            <w:pPr>
              <w:jc w:val="center"/>
              <w:rPr>
                <w:szCs w:val="24"/>
              </w:rPr>
            </w:pPr>
          </w:p>
        </w:tc>
        <w:tc>
          <w:tcPr>
            <w:tcW w:w="3115" w:type="dxa"/>
          </w:tcPr>
          <w:p w14:paraId="7C907E3C" w14:textId="77777777" w:rsidR="00141D88" w:rsidRPr="002E0BCA" w:rsidRDefault="00141D88" w:rsidP="00141D88">
            <w:pPr>
              <w:pStyle w:val="Default"/>
              <w:jc w:val="center"/>
            </w:pPr>
            <w:r w:rsidRPr="002E0BCA">
              <w:t>Доза препаратов кальция</w:t>
            </w:r>
          </w:p>
          <w:p w14:paraId="4E47B071" w14:textId="77777777" w:rsidR="00141D88" w:rsidRPr="002E0BCA" w:rsidRDefault="00141D88" w:rsidP="00141D88">
            <w:pPr>
              <w:jc w:val="center"/>
              <w:rPr>
                <w:szCs w:val="24"/>
              </w:rPr>
            </w:pPr>
          </w:p>
        </w:tc>
      </w:tr>
      <w:tr w:rsidR="00141D88" w:rsidRPr="002E0BCA" w14:paraId="19FBD8C8" w14:textId="77777777" w:rsidTr="00141D88">
        <w:tc>
          <w:tcPr>
            <w:tcW w:w="3115" w:type="dxa"/>
          </w:tcPr>
          <w:p w14:paraId="161D3B28" w14:textId="77777777" w:rsidR="00141D88" w:rsidRPr="002E0BCA" w:rsidRDefault="00141D88" w:rsidP="00141D88">
            <w:pPr>
              <w:pStyle w:val="Default"/>
              <w:jc w:val="both"/>
            </w:pPr>
            <w:r w:rsidRPr="002E0BCA">
              <w:t xml:space="preserve">2,35 ммоль/л и выше </w:t>
            </w:r>
          </w:p>
          <w:p w14:paraId="7A731E75" w14:textId="77777777" w:rsidR="00141D88" w:rsidRPr="002E0BCA" w:rsidRDefault="00141D88" w:rsidP="00141D88">
            <w:pPr>
              <w:rPr>
                <w:szCs w:val="24"/>
              </w:rPr>
            </w:pPr>
          </w:p>
        </w:tc>
        <w:tc>
          <w:tcPr>
            <w:tcW w:w="3115" w:type="dxa"/>
          </w:tcPr>
          <w:p w14:paraId="2D645FCC" w14:textId="77777777" w:rsidR="00141D88" w:rsidRPr="002E0BCA" w:rsidRDefault="00141D88" w:rsidP="00141D88">
            <w:pPr>
              <w:pStyle w:val="Default"/>
              <w:jc w:val="both"/>
            </w:pPr>
            <w:r w:rsidRPr="002E0BCA">
              <w:t xml:space="preserve">0,5–0,75 мкг ежедневно в течение 3 мес. с контролем уровня кальция каждые 3 месяца в течение 1 года для коррекции дозы препарата </w:t>
            </w:r>
          </w:p>
          <w:p w14:paraId="7EBBE128" w14:textId="77777777" w:rsidR="00141D88" w:rsidRPr="002E0BCA" w:rsidRDefault="00141D88" w:rsidP="00141D88">
            <w:pPr>
              <w:rPr>
                <w:szCs w:val="24"/>
              </w:rPr>
            </w:pPr>
          </w:p>
        </w:tc>
        <w:tc>
          <w:tcPr>
            <w:tcW w:w="3115" w:type="dxa"/>
          </w:tcPr>
          <w:p w14:paraId="08B9C9C0" w14:textId="77777777" w:rsidR="00141D88" w:rsidRPr="002E0BCA" w:rsidRDefault="00141D88" w:rsidP="00141D88">
            <w:pPr>
              <w:pStyle w:val="Default"/>
              <w:jc w:val="both"/>
            </w:pPr>
            <w:r w:rsidRPr="002E0BCA">
              <w:t xml:space="preserve">С 1-го дня лечения оссеин- гидроксиапатитный комплекс по 1 таблетки 2 раза в день или препарат кальция 500–1000 мг в сутки в течение всего периода лечения </w:t>
            </w:r>
          </w:p>
          <w:p w14:paraId="5A7D74EF" w14:textId="77777777" w:rsidR="00141D88" w:rsidRPr="002E0BCA" w:rsidRDefault="00141D88" w:rsidP="00141D88">
            <w:pPr>
              <w:rPr>
                <w:szCs w:val="24"/>
              </w:rPr>
            </w:pPr>
          </w:p>
        </w:tc>
      </w:tr>
      <w:tr w:rsidR="00141D88" w:rsidRPr="002E0BCA" w14:paraId="26B868C2" w14:textId="77777777" w:rsidTr="00141D88">
        <w:tc>
          <w:tcPr>
            <w:tcW w:w="3115" w:type="dxa"/>
          </w:tcPr>
          <w:p w14:paraId="6DB82FF8" w14:textId="77777777" w:rsidR="00141D88" w:rsidRPr="002E0BCA" w:rsidRDefault="00141D88" w:rsidP="00141D88">
            <w:pPr>
              <w:pStyle w:val="Default"/>
            </w:pPr>
            <w:r w:rsidRPr="002E0BCA">
              <w:t xml:space="preserve">2,0 –2,30 ммоль/л </w:t>
            </w:r>
          </w:p>
        </w:tc>
        <w:tc>
          <w:tcPr>
            <w:tcW w:w="3115" w:type="dxa"/>
          </w:tcPr>
          <w:p w14:paraId="4E152997" w14:textId="77777777" w:rsidR="00141D88" w:rsidRPr="002E0BCA" w:rsidRDefault="00141D88" w:rsidP="00141D88">
            <w:pPr>
              <w:pStyle w:val="Default"/>
            </w:pPr>
            <w:r w:rsidRPr="002E0BCA">
              <w:t xml:space="preserve">0,75–1,0 мкг ежедневно в течение 3 мес. с контролем кальция крови 1 раз в 3 мес. в течение всего периода лечения </w:t>
            </w:r>
          </w:p>
        </w:tc>
        <w:tc>
          <w:tcPr>
            <w:tcW w:w="3115" w:type="dxa"/>
          </w:tcPr>
          <w:p w14:paraId="1CE9604C" w14:textId="77777777" w:rsidR="00141D88" w:rsidRPr="002E0BCA" w:rsidRDefault="00141D88" w:rsidP="00141D88">
            <w:pPr>
              <w:pStyle w:val="Default"/>
            </w:pPr>
            <w:r w:rsidRPr="002E0BCA">
              <w:t xml:space="preserve">С 1-го дня лечения оссеин- гидроксиапатитный комплекс по 2 таблетки 2 раза в день первые 3 мес., далее по 1 таблетке 2 раза в день или препарат кальция 500–1000 мг в течение всего периода лечения </w:t>
            </w:r>
          </w:p>
          <w:p w14:paraId="4020004D" w14:textId="77777777" w:rsidR="00141D88" w:rsidRPr="002E0BCA" w:rsidRDefault="00141D88" w:rsidP="00141D88">
            <w:pPr>
              <w:pStyle w:val="Default"/>
            </w:pPr>
          </w:p>
        </w:tc>
      </w:tr>
    </w:tbl>
    <w:p w14:paraId="0B97ABB4" w14:textId="77777777" w:rsidR="00141D88" w:rsidRPr="002E0BCA" w:rsidRDefault="00141D88" w:rsidP="00141D88">
      <w:pPr>
        <w:rPr>
          <w:szCs w:val="24"/>
        </w:rPr>
      </w:pPr>
    </w:p>
    <w:p w14:paraId="54A2C7F8" w14:textId="77777777" w:rsidR="00141D88" w:rsidRPr="00314E71" w:rsidRDefault="00141D88" w:rsidP="00141D88">
      <w:pPr>
        <w:rPr>
          <w:b/>
          <w:szCs w:val="24"/>
        </w:rPr>
      </w:pPr>
      <w:r>
        <w:rPr>
          <w:b/>
          <w:szCs w:val="24"/>
        </w:rPr>
        <w:t>Хирургическое</w:t>
      </w:r>
      <w:r w:rsidRPr="00314E71">
        <w:rPr>
          <w:b/>
          <w:szCs w:val="24"/>
        </w:rPr>
        <w:t xml:space="preserve"> лечение:</w:t>
      </w:r>
    </w:p>
    <w:p w14:paraId="03DE5C0D" w14:textId="77777777" w:rsidR="00141D88" w:rsidRDefault="00141D88" w:rsidP="00141D88">
      <w:pPr>
        <w:ind w:firstLine="709"/>
        <w:rPr>
          <w:szCs w:val="24"/>
        </w:rPr>
      </w:pPr>
      <w:r w:rsidRPr="002E0BCA">
        <w:rPr>
          <w:szCs w:val="24"/>
        </w:rPr>
        <w:t>Начиная со стадии 3</w:t>
      </w:r>
      <w:r w:rsidRPr="002E0BCA">
        <w:rPr>
          <w:szCs w:val="24"/>
          <w:lang w:val="en-US"/>
        </w:rPr>
        <w:t>B</w:t>
      </w:r>
      <w:r w:rsidRPr="002E0BCA">
        <w:rPr>
          <w:szCs w:val="24"/>
        </w:rPr>
        <w:t xml:space="preserve"> консервативное лечение малоэффективно. Этим пациентам показано хирургическое лечение в объёме тотального эндопротезирования тазобедренного сустава. Иные варианты оперативного лечения, как ресурфейсинг головки бедра, остеоперфорация (туннелизация) и пластика васкуляризованными трансплантатами у гематологических пациентов увеличивают риски послеоперационных осложнений и не могут быть рекомендованы. Оперативное лечение выполняется в плановом порядке после достижения стойкой ремиссии гематологического заболевания. </w:t>
      </w:r>
    </w:p>
    <w:p w14:paraId="047E01DE" w14:textId="77777777" w:rsidR="00141D88" w:rsidRPr="00BE507B" w:rsidRDefault="00141D88" w:rsidP="00141D88">
      <w:pPr>
        <w:ind w:firstLine="709"/>
        <w:rPr>
          <w:szCs w:val="24"/>
        </w:rPr>
      </w:pPr>
      <w:r>
        <w:rPr>
          <w:szCs w:val="24"/>
        </w:rPr>
        <w:t>В</w:t>
      </w:r>
      <w:r w:rsidRPr="00BE507B">
        <w:rPr>
          <w:szCs w:val="24"/>
        </w:rPr>
        <w:t xml:space="preserve"> послеоперационном периоде в течение года</w:t>
      </w:r>
      <w:r>
        <w:rPr>
          <w:szCs w:val="24"/>
        </w:rPr>
        <w:t xml:space="preserve"> пациентам с остеонекрозом должна проводиться</w:t>
      </w:r>
      <w:r w:rsidRPr="00BE507B">
        <w:rPr>
          <w:szCs w:val="24"/>
        </w:rPr>
        <w:t xml:space="preserve"> фармакотерапи</w:t>
      </w:r>
      <w:r>
        <w:rPr>
          <w:szCs w:val="24"/>
        </w:rPr>
        <w:t>я</w:t>
      </w:r>
      <w:r w:rsidRPr="00BE507B">
        <w:rPr>
          <w:szCs w:val="24"/>
        </w:rPr>
        <w:t xml:space="preserve"> остеопороза, направленн</w:t>
      </w:r>
      <w:r>
        <w:rPr>
          <w:szCs w:val="24"/>
        </w:rPr>
        <w:t>ая</w:t>
      </w:r>
      <w:r w:rsidRPr="00BE507B">
        <w:rPr>
          <w:szCs w:val="24"/>
        </w:rPr>
        <w:t xml:space="preserve"> на нормализацию нарушенного метаболизма костной ткани.</w:t>
      </w:r>
    </w:p>
    <w:p w14:paraId="711A5C64" w14:textId="31E91D5C" w:rsidR="00141D88" w:rsidRDefault="00141D88" w:rsidP="00141D88">
      <w:pPr>
        <w:pStyle w:val="Literature"/>
        <w:ind w:left="0" w:firstLine="0"/>
      </w:pPr>
    </w:p>
    <w:p w14:paraId="37423F49" w14:textId="77777777" w:rsidR="00824BFE" w:rsidRPr="00824BFE" w:rsidRDefault="00824BFE" w:rsidP="00824BFE">
      <w:pPr>
        <w:pStyle w:val="2"/>
      </w:pPr>
      <w:bookmarkStart w:id="45" w:name="_Toc64565659"/>
      <w:bookmarkStart w:id="46" w:name="_Toc67522245"/>
      <w:r w:rsidRPr="00824BFE">
        <w:t xml:space="preserve">7.7. </w:t>
      </w:r>
      <w:bookmarkStart w:id="47" w:name="_Toc57985408"/>
      <w:bookmarkStart w:id="48" w:name="_Toc64295959"/>
      <w:r w:rsidRPr="00824BFE">
        <w:t>Диагностика и лечение бактериальных инфекционных осложнений</w:t>
      </w:r>
      <w:bookmarkEnd w:id="45"/>
      <w:bookmarkEnd w:id="46"/>
      <w:bookmarkEnd w:id="47"/>
      <w:bookmarkEnd w:id="48"/>
    </w:p>
    <w:p w14:paraId="03829696" w14:textId="68F12117" w:rsidR="00824BFE" w:rsidRDefault="00824BFE" w:rsidP="00824BFE">
      <w:pPr>
        <w:ind w:firstLine="709"/>
        <w:contextualSpacing/>
      </w:pPr>
      <w:r w:rsidRPr="00761653">
        <w:t xml:space="preserve">Инфекции являются ведущими осложнениями при лечении заболеваний системы крови. Наиболее высокая частота определяется у </w:t>
      </w:r>
      <w:r>
        <w:t>пациентов с</w:t>
      </w:r>
      <w:r w:rsidRPr="00761653">
        <w:t xml:space="preserve"> острыми лейкозами и у реципиентов аллогенного трансплантата стволовых гемопоэтических клеток (ТГСК), варьирует от 30 до 90%. </w:t>
      </w:r>
      <w:r>
        <w:t>Так, у</w:t>
      </w:r>
      <w:r w:rsidRPr="00761653">
        <w:t xml:space="preserve"> </w:t>
      </w:r>
      <w:r>
        <w:t>пациентов с</w:t>
      </w:r>
      <w:r w:rsidRPr="00761653">
        <w:t xml:space="preserve"> острыми миелоидными лейкозами инфекционные осложнения составляют 80-90% на этап</w:t>
      </w:r>
      <w:r>
        <w:t>ах</w:t>
      </w:r>
      <w:r w:rsidRPr="00761653">
        <w:t xml:space="preserve"> индукции</w:t>
      </w:r>
      <w:r>
        <w:t xml:space="preserve"> и</w:t>
      </w:r>
      <w:r w:rsidRPr="00761653">
        <w:t xml:space="preserve"> консолидации</w:t>
      </w:r>
      <w:r>
        <w:t xml:space="preserve"> </w:t>
      </w:r>
      <w:r>
        <w:lastRenderedPageBreak/>
        <w:t>ремиссии</w:t>
      </w:r>
      <w:r w:rsidRPr="00761653">
        <w:t xml:space="preserve">; у </w:t>
      </w:r>
      <w:r>
        <w:t>пациентов</w:t>
      </w:r>
      <w:r w:rsidRPr="00761653">
        <w:t xml:space="preserve">острыми лимфоидными лейкозами </w:t>
      </w:r>
      <w:r>
        <w:t xml:space="preserve">инфекции развиваются </w:t>
      </w:r>
      <w:r w:rsidRPr="00761653">
        <w:t xml:space="preserve">преимущественно </w:t>
      </w:r>
      <w:r>
        <w:t>на этапе</w:t>
      </w:r>
      <w:r w:rsidRPr="00761653">
        <w:t xml:space="preserve"> индукции </w:t>
      </w:r>
      <w:r>
        <w:t xml:space="preserve">ремиссии </w:t>
      </w:r>
      <w:r w:rsidRPr="00761653">
        <w:t xml:space="preserve">(55%), реже – в </w:t>
      </w:r>
      <w:r>
        <w:t xml:space="preserve">период </w:t>
      </w:r>
      <w:r w:rsidRPr="00761653">
        <w:t xml:space="preserve">консолидации </w:t>
      </w:r>
      <w:r>
        <w:t xml:space="preserve">ремиссии </w:t>
      </w:r>
      <w:r w:rsidRPr="00761653">
        <w:t xml:space="preserve">(10%), у реципиентов аллогенных ТГСК </w:t>
      </w:r>
      <w:r>
        <w:t xml:space="preserve">– </w:t>
      </w:r>
      <w:r w:rsidRPr="00761653">
        <w:t>в период гранулоцитопении на этапе приживления гемопоэтических клеток (40-70%) и при развитии реакции “трансплантат против хозяина” (10-70%)</w:t>
      </w:r>
      <w:r>
        <w:t xml:space="preserve"> </w:t>
      </w:r>
      <w:r>
        <w:fldChar w:fldCharType="begin" w:fldLock="1"/>
      </w:r>
      <w:r w:rsidR="00531C4D">
        <w:instrText>ADDIN CSL_CITATION {"citationItems":[{"id":"ITEM-1","itemData":{"author":[{"dropping-particle":"","family":"Охмат","given":"В.А.","non-dropping-particle":"","parse-names":false,"suffix":""},{"dropping-particle":"","family":"Клясова","given":"Г.А.","non-dropping-particle":"","parse-names":false,"suffix":""},{"dropping-particle":"","family":"Паровичникова","given":"Е.Н.","non-dropping-particle":"","parse-names":false,"suffix":""},{"dropping-particle":"","family":"Троицкая","given":"В.В.","non-dropping-particle":"","parse-names":false,"suffix":""},{"dropping-particle":"","family":"Грибанова","given":"Е.О.","non-dropping-particle":"","parse-names":false,"suffix":""},{"dropping-particle":"","family":"Мальчикова","given":"А.О.","non-dropping-particle":"","parse-names":false,"suffix":""}],"container-title":"Гематология и трансфузиология","id":"ITEM-1","issue":"1","issued":{"date-parts":[["2017"]]},"page":"9-15","title":"Спектр и этиология инфекционных осложнений у больных острыми миелоидными лейкозами на этапах индукции и консолидации ремиссии","type":"article-journal","volume":"62"},"uris":["http://www.mendeley.com/documents/?uuid=670c7c5c-e2e4-48d9-8249-1d0418a53840"]},{"id":"ITEM-2","itemData":{"author":[{"dropping-particle":"","family":"Охмат","given":"В.А.","non-dropping-particle":"","parse-names":false,"suffix":""},{"dropping-particle":"","family":"Клясова","given":"Г.А.","non-dropping-particle":"","parse-names":false,"suffix":""},{"dropping-particle":"","family":"Паровичникова","given":"Е.Н.","non-dropping-particle":"","parse-names":false,"suffix":""},{"dropping-particle":"","family":"Троицкая","given":"В.В.","non-dropping-particle":"","parse-names":false,"suffix":""},{"dropping-particle":"","family":"Грибанова","given":"Е.О.","non-dropping-particle":"","parse-names":false,"suffix":""},{"dropping-particle":"","family":"Мальчикова","given":"А.О.","non-dropping-particle":"","parse-names":false,"suffix":""},{"dropping-particle":"","family":"Коробова","given":"А.Г.","non-dropping-particle":"","parse-names":false,"suffix":""},{"dropping-particle":"","family":"Фролова","given":"И.Н.","non-dropping-particle":"","parse-names":false,"suffix":""},{"dropping-particle":"","family":"Савченко","given":"В.Г.","non-dropping-particle":"","parse-names":false,"suffix":""}],"container-title":"Онкогематология","id":"ITEM-2","issue":"3","issued":{"date-parts":[["2017"]]},"page":"31-40","title":"Инфекционные осложнения у взрослых больных острыми лимфобластными лейкозами на разных этапах химиотерапии по протоколу ОЛЛ-2009.","type":"article-journal","volume":"12"},"uris":["http://www.mendeley.com/documents/?uuid=810418fa-d337-48c2-843d-da3d3f2ec2c8"]}],"mendeley":{"formattedCitation":"[72,73]","plainTextFormattedCitation":"[72,73]","previouslyFormattedCitation":"[72,73]"},"properties":{"noteIndex":0},"schema":"https://github.com/citation-style-language/schema/raw/master/csl-citation.json"}</w:instrText>
      </w:r>
      <w:r>
        <w:fldChar w:fldCharType="separate"/>
      </w:r>
      <w:r w:rsidRPr="00824BFE">
        <w:rPr>
          <w:noProof/>
        </w:rPr>
        <w:t>[72,73]</w:t>
      </w:r>
      <w:r>
        <w:fldChar w:fldCharType="end"/>
      </w:r>
      <w:r w:rsidRPr="00761653">
        <w:t xml:space="preserve">. У других категорий </w:t>
      </w:r>
      <w:r>
        <w:t>пациентов</w:t>
      </w:r>
      <w:r w:rsidRPr="00761653">
        <w:t xml:space="preserve"> </w:t>
      </w:r>
      <w:r>
        <w:t xml:space="preserve">с лейкозами и лимфомами </w:t>
      </w:r>
      <w:r w:rsidRPr="00761653">
        <w:t xml:space="preserve">частота инфекционных осложнений варьирует от 10 до 30%, </w:t>
      </w:r>
      <w:r>
        <w:t xml:space="preserve">она </w:t>
      </w:r>
      <w:r w:rsidRPr="00761653">
        <w:t xml:space="preserve">выше в </w:t>
      </w:r>
      <w:r>
        <w:t xml:space="preserve">период </w:t>
      </w:r>
      <w:r w:rsidRPr="00761653">
        <w:t>индукции</w:t>
      </w:r>
      <w:r>
        <w:t xml:space="preserve"> ремиссии</w:t>
      </w:r>
      <w:r w:rsidRPr="00761653">
        <w:t>, при резистентном варианте опухоли, при высокодозной химиотерапии</w:t>
      </w:r>
      <w:r>
        <w:t xml:space="preserve">, </w:t>
      </w:r>
      <w:r w:rsidRPr="0076198F">
        <w:t>при сопуствующей гипогаммаглобулинемии, в период вынужденной гиподинамии и постоянного постельного режима</w:t>
      </w:r>
      <w:r w:rsidRPr="00761653">
        <w:t xml:space="preserve">.  </w:t>
      </w:r>
    </w:p>
    <w:p w14:paraId="43D79B69" w14:textId="77777777" w:rsidR="00824BFE" w:rsidRPr="00761653" w:rsidRDefault="00824BFE" w:rsidP="00824BFE">
      <w:pPr>
        <w:ind w:firstLine="709"/>
      </w:pPr>
      <w:r w:rsidRPr="00761653">
        <w:t xml:space="preserve">Инфекционные осложнения у </w:t>
      </w:r>
      <w:r>
        <w:t>пациентов</w:t>
      </w:r>
      <w:r w:rsidRPr="00761653">
        <w:t xml:space="preserve"> с </w:t>
      </w:r>
      <w:r>
        <w:t>лимфомами</w:t>
      </w:r>
      <w:r w:rsidRPr="00761653">
        <w:t xml:space="preserve"> характеризуются разнообразием как по этиологии, так и по локализации инфекционного процесса. </w:t>
      </w:r>
      <w:r>
        <w:t xml:space="preserve">Ниже </w:t>
      </w:r>
      <w:r w:rsidRPr="00761653">
        <w:t xml:space="preserve">представлен комплекс лабораторных исследований для диагностики инфекционных осложнений, а также подходы к их терапии, которые отличаются </w:t>
      </w:r>
      <w:r>
        <w:t>в зависимости от наличия/отсутствия</w:t>
      </w:r>
      <w:r w:rsidRPr="00761653">
        <w:t xml:space="preserve"> нейтропении.</w:t>
      </w:r>
    </w:p>
    <w:p w14:paraId="4171D759" w14:textId="77777777" w:rsidR="00824BFE" w:rsidRDefault="00824BFE" w:rsidP="00824BFE">
      <w:pPr>
        <w:ind w:right="49" w:firstLine="709"/>
        <w:contextualSpacing/>
      </w:pPr>
      <w:r w:rsidRPr="00761653">
        <w:t xml:space="preserve">Основным фактором, определяющим развитие инфекционных осложнений у </w:t>
      </w:r>
      <w:r>
        <w:t xml:space="preserve">гематологических пациентов, </w:t>
      </w:r>
      <w:r w:rsidRPr="00761653">
        <w:t>является нейтропения (нейтрофил</w:t>
      </w:r>
      <w:r>
        <w:t>ы</w:t>
      </w:r>
      <w:r w:rsidRPr="00761653">
        <w:t xml:space="preserve"> &lt;</w:t>
      </w:r>
      <w:r>
        <w:t xml:space="preserve"> </w:t>
      </w:r>
      <w:r w:rsidRPr="00761653">
        <w:t>0,5</w:t>
      </w:r>
      <w:r>
        <w:t> </w:t>
      </w:r>
      <w:r w:rsidRPr="00761653">
        <w:t>х</w:t>
      </w:r>
      <w:r>
        <w:t> </w:t>
      </w:r>
      <w:r w:rsidRPr="00761653">
        <w:t>10</w:t>
      </w:r>
      <w:r w:rsidRPr="00761653">
        <w:rPr>
          <w:vertAlign w:val="superscript"/>
        </w:rPr>
        <w:t>9</w:t>
      </w:r>
      <w:r w:rsidRPr="00761653">
        <w:t>/л) или лейкопения (лейкоцит</w:t>
      </w:r>
      <w:r>
        <w:t>ы</w:t>
      </w:r>
      <w:r w:rsidRPr="00761653">
        <w:t xml:space="preserve"> ≤ 1</w:t>
      </w:r>
      <w:r>
        <w:t> </w:t>
      </w:r>
      <w:r w:rsidRPr="00761653">
        <w:t>000</w:t>
      </w:r>
      <w:r>
        <w:t> </w:t>
      </w:r>
      <w:r w:rsidRPr="00761653">
        <w:t>х</w:t>
      </w:r>
      <w:r>
        <w:t> </w:t>
      </w:r>
      <w:r w:rsidRPr="00761653">
        <w:t>10</w:t>
      </w:r>
      <w:r w:rsidRPr="00761653">
        <w:rPr>
          <w:vertAlign w:val="superscript"/>
        </w:rPr>
        <w:t>9</w:t>
      </w:r>
      <w:r w:rsidRPr="00761653">
        <w:t>/л)</w:t>
      </w:r>
      <w:r>
        <w:t xml:space="preserve">, а также </w:t>
      </w:r>
      <w:r w:rsidRPr="00761653">
        <w:t>длительность</w:t>
      </w:r>
      <w:r>
        <w:t xml:space="preserve"> нейтропении –</w:t>
      </w:r>
      <w:r w:rsidRPr="00761653">
        <w:t xml:space="preserve"> </w:t>
      </w:r>
      <w:r>
        <w:t>ч</w:t>
      </w:r>
      <w:r w:rsidRPr="00761653">
        <w:t xml:space="preserve">астота инфекций существенно возрастает при длительности нейтропении </w:t>
      </w:r>
      <w:r>
        <w:t>более</w:t>
      </w:r>
      <w:r w:rsidRPr="00761653">
        <w:t xml:space="preserve"> 10 дней. Риск развития инфекций возрастает при нарушении фагоцитарной функции</w:t>
      </w:r>
      <w:r>
        <w:t xml:space="preserve"> нейтрофилов</w:t>
      </w:r>
      <w:r w:rsidRPr="00761653">
        <w:t>, при дефектах клеточного и гуморального иммунитета, повреждении слизистых оболочек желудочно-кишечного тракта</w:t>
      </w:r>
      <w:r>
        <w:t xml:space="preserve"> (</w:t>
      </w:r>
      <w:r w:rsidRPr="00761653">
        <w:t>особенно мукозитах III-IV степени</w:t>
      </w:r>
      <w:r>
        <w:t>)</w:t>
      </w:r>
      <w:r w:rsidRPr="00761653">
        <w:t>, наличии центрального венозного катетера (ЦВК). Источником развити</w:t>
      </w:r>
      <w:r>
        <w:t>я</w:t>
      </w:r>
      <w:r w:rsidRPr="00761653">
        <w:t xml:space="preserve"> инфекции, как правило, является желудочно-кишечный тракт, когда активно происходит транслокация микрооргани</w:t>
      </w:r>
      <w:r>
        <w:t>з</w:t>
      </w:r>
      <w:r w:rsidRPr="00761653">
        <w:t xml:space="preserve">мов со слизистой оболочки, поврежденной в результате химиотерапии. Другие </w:t>
      </w:r>
      <w:r>
        <w:t xml:space="preserve">основные </w:t>
      </w:r>
      <w:r w:rsidRPr="00761653">
        <w:t xml:space="preserve">входные ворота инфекции при нейтропении – ЦВК. </w:t>
      </w:r>
    </w:p>
    <w:p w14:paraId="475F40C2" w14:textId="77777777" w:rsidR="00824BFE" w:rsidRDefault="00824BFE" w:rsidP="00824BFE">
      <w:pPr>
        <w:ind w:right="49"/>
        <w:contextualSpacing/>
        <w:rPr>
          <w:b/>
        </w:rPr>
      </w:pPr>
    </w:p>
    <w:p w14:paraId="2C441AA2" w14:textId="77777777" w:rsidR="00824BFE" w:rsidRPr="005A451C" w:rsidRDefault="00824BFE" w:rsidP="00824BFE">
      <w:pPr>
        <w:ind w:right="49"/>
        <w:contextualSpacing/>
        <w:rPr>
          <w:bCs/>
          <w:i/>
          <w:iCs/>
          <w:u w:val="single"/>
        </w:rPr>
      </w:pPr>
      <w:r w:rsidRPr="005A451C">
        <w:rPr>
          <w:bCs/>
          <w:i/>
          <w:iCs/>
          <w:u w:val="single"/>
        </w:rPr>
        <w:t>Этиология инфекционных осложнений</w:t>
      </w:r>
    </w:p>
    <w:p w14:paraId="4BBE8F9E" w14:textId="66BA3276" w:rsidR="00824BFE" w:rsidRPr="00761653" w:rsidRDefault="00824BFE" w:rsidP="00824BFE">
      <w:pPr>
        <w:ind w:right="49" w:firstLine="709"/>
        <w:contextualSpacing/>
      </w:pPr>
      <w:r w:rsidRPr="00761653">
        <w:t xml:space="preserve">Этиологическая структура возбудителей у </w:t>
      </w:r>
      <w:r>
        <w:t>гематологических пациентов, в том числе, пациентов с лимфомами, разнообразна</w:t>
      </w:r>
      <w:r w:rsidRPr="00761653">
        <w:t xml:space="preserve"> и включает бактерии, грибы (дрожжевые и плесневые), герпесвирусы. В первые 7-10 дней инфекционный процесс, как правило, бывает обусловлен бактериями, а по мере удлинения нейтропении возрастает риск возникновения инвазивного аспергиллеза</w:t>
      </w:r>
      <w:r>
        <w:t xml:space="preserve"> </w:t>
      </w:r>
      <w:r>
        <w:fldChar w:fldCharType="begin" w:fldLock="1"/>
      </w:r>
      <w:r w:rsidR="00531C4D">
        <w:instrText>ADDIN CSL_CITATION {"citationItems":[{"id":"ITEM-1","itemData":{"author":[{"dropping-particle":"","family":"Охмат","given":"В.А.","non-dropping-particle":"","parse-names":false,"suffix":""},{"dropping-particle":"","family":"Клясова","given":"Г.А.","non-dropping-particle":"","parse-names":false,"suffix":""},{"dropping-particle":"","family":"Паровичникова","given":"Е.Н.","non-dropping-particle":"","parse-names":false,"suffix":""},{"dropping-particle":"","family":"Троицкая","given":"В.В.","non-dropping-particle":"","parse-names":false,"suffix":""},{"dropping-particle":"","family":"Грибанова","given":"Е.О.","non-dropping-particle":"","parse-names":false,"suffix":""},{"dropping-particle":"","family":"Мальчикова","given":"А.О.","non-dropping-particle":"","parse-names":false,"suffix":""}],"container-title":"Гематология и трансфузиология","id":"ITEM-1","issue":"1","issued":{"date-parts":[["2017"]]},"page":"9-15","title":"Спектр и этиология инфекционных осложнений у больных острыми миелоидными лейкозами на этапах индукции и консолидации ремиссии","type":"article-journal","volume":"62"},"uris":["http://www.mendeley.com/documents/?uuid=670c7c5c-e2e4-48d9-8249-1d0418a53840"]}],"mendeley":{"formattedCitation":"[72]","plainTextFormattedCitation":"[72]","previouslyFormattedCitation":"[72]"},"properties":{"noteIndex":0},"schema":"https://github.com/citation-style-language/schema/raw/master/csl-citation.json"}</w:instrText>
      </w:r>
      <w:r>
        <w:fldChar w:fldCharType="separate"/>
      </w:r>
      <w:r w:rsidRPr="00824BFE">
        <w:rPr>
          <w:noProof/>
        </w:rPr>
        <w:t>[72]</w:t>
      </w:r>
      <w:r>
        <w:fldChar w:fldCharType="end"/>
      </w:r>
      <w:r w:rsidRPr="00761653">
        <w:t>. В этиологии инфекций кровотока на долю грамотрицательных бактерий приходится 49,7%, грамположительных бактерий - 42,7%, дрожжеподобных грибов – 7,4%</w:t>
      </w:r>
      <w:r>
        <w:t xml:space="preserve"> </w:t>
      </w:r>
      <w:r>
        <w:fldChar w:fldCharType="begin" w:fldLock="1"/>
      </w:r>
      <w:r w:rsidR="00531C4D">
        <w:instrText>ADDIN CSL_CITATION {"citationItems":[{"id":"ITEM-1","itemData":{"author":[{"dropping-particle":"","family":"Клясова","given":"Г.А.","non-dropping-particle":"","parse-names":false,"suffix":""},{"dropping-particle":"","family":"Сперанская","given":"Л.Л.","non-dropping-particle":"","parse-names":false,"suffix":""},{"dropping-particle":"","family":"Миронова","given":"А.В.","non-dropping-particle":"","parse-names":false,"suffix":""},{"dropping-particle":"","family":"Масчан","given":"М.А.","non-dropping-particle":"","parse-names":false,"suffix":""},{"dropping-particle":"","family":"Байдильдина","given":"Д.Д.","non-dropping-particle":"","parse-names":false,"suffix":""},{"dropping-particle":"","family":"Верещагина","given":"С.А.","non-dropping-particle":"","parse-names":false,"suffix":""}],"container-title":"Гематология и трансфузиология","id":"ITEM-1","issue":"1","issued":{"date-parts":[["2007"]]},"page":"11-18","title":"Возбудители сепсиса у иммунокомпрометированных больных: структура и проблемы антибиотикорезистентности (результаты многоцентрового исследования)","type":"article-journal","volume":"52"},"uris":["http://www.mendeley.com/documents/?uuid=a67a3b5b-694b-4305-ae30-c4295284ead1"]}],"mendeley":{"formattedCitation":"[74]","plainTextFormattedCitation":"[74]","previouslyFormattedCitation":"[74]"},"properties":{"noteIndex":0},"schema":"https://github.com/citation-style-language/schema/raw/master/csl-citation.json"}</w:instrText>
      </w:r>
      <w:r>
        <w:fldChar w:fldCharType="separate"/>
      </w:r>
      <w:r w:rsidRPr="00824BFE">
        <w:rPr>
          <w:noProof/>
        </w:rPr>
        <w:t>[74]</w:t>
      </w:r>
      <w:r>
        <w:fldChar w:fldCharType="end"/>
      </w:r>
      <w:r w:rsidRPr="00761653">
        <w:t xml:space="preserve">. Основными возбудителями сепсиса являются </w:t>
      </w:r>
      <w:r w:rsidRPr="00761653">
        <w:rPr>
          <w:i/>
          <w:iCs/>
        </w:rPr>
        <w:t>Escherichia coli</w:t>
      </w:r>
      <w:r w:rsidRPr="00761653">
        <w:t xml:space="preserve"> (17,8%), коагулазонегативные стафилококки (17,4%), </w:t>
      </w:r>
      <w:r w:rsidRPr="00761653">
        <w:rPr>
          <w:i/>
          <w:iCs/>
        </w:rPr>
        <w:t>Enterococcus</w:t>
      </w:r>
      <w:r w:rsidRPr="00761653">
        <w:t xml:space="preserve"> spp. </w:t>
      </w:r>
      <w:r w:rsidRPr="00761653">
        <w:lastRenderedPageBreak/>
        <w:t xml:space="preserve">(10,3%), </w:t>
      </w:r>
      <w:r w:rsidRPr="00761653">
        <w:rPr>
          <w:i/>
          <w:iCs/>
        </w:rPr>
        <w:t>Pseudomonas aeruginosa</w:t>
      </w:r>
      <w:r w:rsidRPr="00761653">
        <w:t xml:space="preserve"> (7,6%), </w:t>
      </w:r>
      <w:r w:rsidRPr="00761653">
        <w:rPr>
          <w:i/>
          <w:iCs/>
        </w:rPr>
        <w:t>Klebsiella pneumoniae</w:t>
      </w:r>
      <w:r w:rsidRPr="00761653">
        <w:t xml:space="preserve"> (8,2%). В последние годы увеличилась детекция </w:t>
      </w:r>
      <w:r w:rsidRPr="00761653">
        <w:rPr>
          <w:i/>
          <w:iCs/>
        </w:rPr>
        <w:t>Acinetobacte</w:t>
      </w:r>
      <w:r w:rsidRPr="00761653">
        <w:rPr>
          <w:i/>
        </w:rPr>
        <w:t>r</w:t>
      </w:r>
      <w:r w:rsidRPr="00761653">
        <w:t xml:space="preserve"> spp. и </w:t>
      </w:r>
      <w:r w:rsidRPr="00761653">
        <w:rPr>
          <w:i/>
          <w:iCs/>
        </w:rPr>
        <w:t>Stenotrophomonas maltophilia</w:t>
      </w:r>
      <w:r w:rsidRPr="00761653">
        <w:t xml:space="preserve">, и они входят в число пяти ведущих грамотрицательных бактерий при инфекциях кровотока после </w:t>
      </w:r>
      <w:r w:rsidRPr="00761653">
        <w:rPr>
          <w:i/>
          <w:iCs/>
        </w:rPr>
        <w:t>E.coli</w:t>
      </w:r>
      <w:r w:rsidRPr="00761653">
        <w:t xml:space="preserve">, </w:t>
      </w:r>
      <w:r w:rsidRPr="00761653">
        <w:rPr>
          <w:i/>
          <w:iCs/>
        </w:rPr>
        <w:t>K. pneumoniae, P.aeruginosa</w:t>
      </w:r>
      <w:r w:rsidRPr="00761653">
        <w:t>.</w:t>
      </w:r>
    </w:p>
    <w:p w14:paraId="68988746" w14:textId="723E092F" w:rsidR="00824BFE" w:rsidRPr="00761653" w:rsidRDefault="00824BFE" w:rsidP="00824BFE">
      <w:pPr>
        <w:ind w:right="49" w:firstLine="709"/>
        <w:contextualSpacing/>
      </w:pPr>
      <w:r w:rsidRPr="00761653">
        <w:t>Основными механизмами устойчивости у энтеробактерий являются продукция бета-лактамаз расширенного спектра (БЛРС</w:t>
      </w:r>
      <w:r>
        <w:t>) –</w:t>
      </w:r>
      <w:r w:rsidRPr="00761653">
        <w:t xml:space="preserve"> </w:t>
      </w:r>
      <w:r>
        <w:t xml:space="preserve">в </w:t>
      </w:r>
      <w:r w:rsidRPr="00761653">
        <w:t xml:space="preserve">40-50% </w:t>
      </w:r>
      <w:r>
        <w:t xml:space="preserve">случаев, </w:t>
      </w:r>
      <w:r w:rsidRPr="00761653">
        <w:t xml:space="preserve">и детекция карбапенемаз, преимущественно у </w:t>
      </w:r>
      <w:r w:rsidRPr="00761653">
        <w:rPr>
          <w:i/>
        </w:rPr>
        <w:t xml:space="preserve">K. pneumoniae </w:t>
      </w:r>
      <w:r w:rsidRPr="00761653">
        <w:t xml:space="preserve">(10-30%). Устойчивость </w:t>
      </w:r>
      <w:r w:rsidRPr="00761653">
        <w:rPr>
          <w:i/>
        </w:rPr>
        <w:t>P. aerugino</w:t>
      </w:r>
      <w:r w:rsidRPr="00761653">
        <w:t xml:space="preserve">sa составляет к карбапенемам и колистину 40-50% и 29%, соответственно, шатммов </w:t>
      </w:r>
      <w:r w:rsidRPr="00761653">
        <w:rPr>
          <w:i/>
        </w:rPr>
        <w:t>Acinetobacter baumannii</w:t>
      </w:r>
      <w:r w:rsidRPr="00761653">
        <w:t xml:space="preserve"> к карбапенемам - 65-70%</w:t>
      </w:r>
      <w:r>
        <w:t xml:space="preserve"> </w:t>
      </w:r>
      <w:r>
        <w:fldChar w:fldCharType="begin" w:fldLock="1"/>
      </w:r>
      <w:r w:rsidR="00531C4D">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mendeley":{"formattedCitation":"[75]","plainTextFormattedCitation":"[75]","previouslyFormattedCitation":"[75]"},"properties":{"noteIndex":0},"schema":"https://github.com/citation-style-language/schema/raw/master/csl-citation.json"}</w:instrText>
      </w:r>
      <w:r>
        <w:fldChar w:fldCharType="separate"/>
      </w:r>
      <w:r w:rsidRPr="00824BFE">
        <w:rPr>
          <w:noProof/>
        </w:rPr>
        <w:t>[75]</w:t>
      </w:r>
      <w:r>
        <w:fldChar w:fldCharType="end"/>
      </w:r>
      <w:r w:rsidRPr="00761653">
        <w:t xml:space="preserve">. Среди грамположительных бактерий отмечена устойчивость </w:t>
      </w:r>
      <w:r w:rsidRPr="00761653">
        <w:rPr>
          <w:i/>
          <w:iCs/>
        </w:rPr>
        <w:t xml:space="preserve">Enterococcus faecium </w:t>
      </w:r>
      <w:r w:rsidRPr="00761653">
        <w:t xml:space="preserve">к ванкомицину (15%). Для грибов рода </w:t>
      </w:r>
      <w:r w:rsidRPr="00761653">
        <w:rPr>
          <w:i/>
        </w:rPr>
        <w:t>Candida</w:t>
      </w:r>
      <w:r w:rsidRPr="00761653">
        <w:t xml:space="preserve"> характерно снижение доли </w:t>
      </w:r>
      <w:r w:rsidRPr="00761653">
        <w:rPr>
          <w:i/>
        </w:rPr>
        <w:t>С. albicans</w:t>
      </w:r>
      <w:r w:rsidRPr="00761653">
        <w:t xml:space="preserve"> до 30% и широкое видовое разнообразие </w:t>
      </w:r>
      <w:r w:rsidRPr="00761653">
        <w:rPr>
          <w:i/>
          <w:iCs/>
        </w:rPr>
        <w:t>Candida</w:t>
      </w:r>
      <w:r w:rsidRPr="00761653">
        <w:t xml:space="preserve"> non-</w:t>
      </w:r>
      <w:r w:rsidRPr="00761653">
        <w:rPr>
          <w:i/>
          <w:iCs/>
        </w:rPr>
        <w:t>albicans</w:t>
      </w:r>
      <w:r>
        <w:rPr>
          <w:i/>
          <w:iCs/>
        </w:rPr>
        <w:t xml:space="preserve"> </w:t>
      </w:r>
      <w:r>
        <w:rPr>
          <w:i/>
          <w:iCs/>
        </w:rPr>
        <w:fldChar w:fldCharType="begin" w:fldLock="1"/>
      </w:r>
      <w:r w:rsidR="00531C4D">
        <w:rPr>
          <w:i/>
          <w:iCs/>
        </w:rPr>
        <w:instrText>ADDIN CSL_CITATION {"citationItems":[{"id":"ITEM-1","itemData":{"author":[{"dropping-particle":"","family":"Клясова","given":"Г.А.","non-dropping-particle":"","parse-names":false,"suffix":""},{"dropping-particle":"","family":"Сперанская","given":"Л.Л.","non-dropping-particle":"","parse-names":false,"suffix":""},{"dropping-particle":"","family":"Миронова","given":"А.В.","non-dropping-particle":"","parse-names":false,"suffix":""},{"dropping-particle":"","family":"Масчан","given":"М.А.","non-dropping-particle":"","parse-names":false,"suffix":""},{"dropping-particle":"","family":"Байдильдина","given":"Д.Д.","non-dropping-particle":"","parse-names":false,"suffix":""},{"dropping-particle":"","family":"Верещагина","given":"С.А.","non-dropping-particle":"","parse-names":false,"suffix":""}],"container-title":"Гематология и трансфузиология","id":"ITEM-1","issue":"1","issued":{"date-parts":[["2007"]]},"page":"11-18","title":"Возбудители сепсиса у иммунокомпрометированных больных: структура и проблемы антибиотикорезистентности (результаты многоцентрового исследования)","type":"article-journal","volume":"52"},"uris":["http://www.mendeley.com/documents/?uuid=a67a3b5b-694b-4305-ae30-c4295284ead1"]}],"mendeley":{"formattedCitation":"[74]","plainTextFormattedCitation":"[74]","previouslyFormattedCitation":"[74]"},"properties":{"noteIndex":0},"schema":"https://github.com/citation-style-language/schema/raw/master/csl-citation.json"}</w:instrText>
      </w:r>
      <w:r>
        <w:rPr>
          <w:i/>
          <w:iCs/>
        </w:rPr>
        <w:fldChar w:fldCharType="separate"/>
      </w:r>
      <w:r w:rsidRPr="00824BFE">
        <w:rPr>
          <w:iCs/>
          <w:noProof/>
        </w:rPr>
        <w:t>[74]</w:t>
      </w:r>
      <w:r>
        <w:rPr>
          <w:i/>
          <w:iCs/>
        </w:rPr>
        <w:fldChar w:fldCharType="end"/>
      </w:r>
      <w:r w:rsidRPr="00761653">
        <w:t>.</w:t>
      </w:r>
    </w:p>
    <w:p w14:paraId="3E8A7154" w14:textId="77777777" w:rsidR="00824BFE" w:rsidRDefault="00824BFE" w:rsidP="00824BFE">
      <w:pPr>
        <w:ind w:right="49"/>
        <w:contextualSpacing/>
        <w:rPr>
          <w:b/>
        </w:rPr>
      </w:pPr>
    </w:p>
    <w:p w14:paraId="602A88BE" w14:textId="77777777" w:rsidR="00824BFE" w:rsidRPr="00CD4DE7" w:rsidRDefault="00824BFE" w:rsidP="00824BFE">
      <w:pPr>
        <w:ind w:right="49"/>
        <w:contextualSpacing/>
        <w:rPr>
          <w:bCs/>
          <w:i/>
          <w:iCs/>
          <w:u w:val="single"/>
        </w:rPr>
      </w:pPr>
      <w:r w:rsidRPr="00CD4DE7">
        <w:rPr>
          <w:bCs/>
          <w:i/>
          <w:iCs/>
          <w:u w:val="single"/>
        </w:rPr>
        <w:t>Клинические проявления инфекций</w:t>
      </w:r>
    </w:p>
    <w:p w14:paraId="5ACCCA12" w14:textId="77777777" w:rsidR="00824BFE" w:rsidRDefault="00824BFE" w:rsidP="00824BFE">
      <w:pPr>
        <w:ind w:right="49" w:firstLine="709"/>
        <w:contextualSpacing/>
      </w:pPr>
      <w:r w:rsidRPr="00761653">
        <w:t xml:space="preserve">Для инфекций периода нейтропении/лейкопении характерными признаками являются </w:t>
      </w:r>
    </w:p>
    <w:p w14:paraId="7D7107B3" w14:textId="77777777" w:rsidR="00824BFE" w:rsidRDefault="00824BFE" w:rsidP="00C5490F">
      <w:pPr>
        <w:pStyle w:val="afe"/>
        <w:widowControl w:val="0"/>
        <w:numPr>
          <w:ilvl w:val="0"/>
          <w:numId w:val="85"/>
        </w:numPr>
        <w:autoSpaceDE w:val="0"/>
        <w:autoSpaceDN w:val="0"/>
        <w:adjustRightInd w:val="0"/>
        <w:ind w:right="49"/>
      </w:pPr>
      <w:r w:rsidRPr="00940E71">
        <w:t xml:space="preserve">скудность </w:t>
      </w:r>
      <w:r>
        <w:t xml:space="preserve">клинических проявлений; </w:t>
      </w:r>
    </w:p>
    <w:p w14:paraId="74416532" w14:textId="77777777" w:rsidR="00824BFE" w:rsidRDefault="00824BFE" w:rsidP="00C5490F">
      <w:pPr>
        <w:pStyle w:val="afe"/>
        <w:widowControl w:val="0"/>
        <w:numPr>
          <w:ilvl w:val="0"/>
          <w:numId w:val="85"/>
        </w:numPr>
        <w:autoSpaceDE w:val="0"/>
        <w:autoSpaceDN w:val="0"/>
        <w:adjustRightInd w:val="0"/>
        <w:ind w:right="49"/>
      </w:pPr>
      <w:r w:rsidRPr="00940E71">
        <w:t>вероятность наличия одновременно разных возбудителей и разной локал</w:t>
      </w:r>
      <w:r>
        <w:t xml:space="preserve">изации инфекционного процесса; </w:t>
      </w:r>
    </w:p>
    <w:p w14:paraId="0BD42315" w14:textId="77777777" w:rsidR="00824BFE" w:rsidRPr="00940E71" w:rsidRDefault="00824BFE" w:rsidP="00C5490F">
      <w:pPr>
        <w:pStyle w:val="afe"/>
        <w:widowControl w:val="0"/>
        <w:numPr>
          <w:ilvl w:val="0"/>
          <w:numId w:val="85"/>
        </w:numPr>
        <w:autoSpaceDE w:val="0"/>
        <w:autoSpaceDN w:val="0"/>
        <w:adjustRightInd w:val="0"/>
        <w:ind w:right="49"/>
      </w:pPr>
      <w:r w:rsidRPr="00940E71">
        <w:t xml:space="preserve">возможность появления других возбудителей и другого по локализации инфекционного процесса по мере удлинения </w:t>
      </w:r>
      <w:r>
        <w:t xml:space="preserve">периода </w:t>
      </w:r>
      <w:r w:rsidRPr="00940E71">
        <w:t xml:space="preserve">нейтропении. </w:t>
      </w:r>
    </w:p>
    <w:p w14:paraId="6452901A" w14:textId="77777777" w:rsidR="00824BFE" w:rsidRPr="00761653" w:rsidRDefault="00824BFE" w:rsidP="00824BFE">
      <w:pPr>
        <w:ind w:right="49" w:firstLine="709"/>
        <w:contextualSpacing/>
      </w:pPr>
      <w:r w:rsidRPr="00761653">
        <w:t>Под лихорадкой подразумевают однократно зарегистрированное повышение температуры тела ≥38,0°С, не связанное с другими причинами</w:t>
      </w:r>
      <w:r>
        <w:t xml:space="preserve"> (</w:t>
      </w:r>
      <w:r w:rsidRPr="00761653">
        <w:t>реакции на трансфузии компонентов крови</w:t>
      </w:r>
      <w:r>
        <w:t xml:space="preserve">, на </w:t>
      </w:r>
      <w:r w:rsidRPr="00761653">
        <w:t>вводимы</w:t>
      </w:r>
      <w:r>
        <w:t>е</w:t>
      </w:r>
      <w:r w:rsidRPr="00761653">
        <w:t xml:space="preserve"> медикамент</w:t>
      </w:r>
      <w:r>
        <w:t>ы</w:t>
      </w:r>
      <w:r w:rsidRPr="00761653">
        <w:t>, опухолевая лихоракдка</w:t>
      </w:r>
      <w:r>
        <w:t>)</w:t>
      </w:r>
      <w:r w:rsidRPr="00761653">
        <w:t>.</w:t>
      </w:r>
    </w:p>
    <w:p w14:paraId="4E6F2D7B" w14:textId="77777777" w:rsidR="00824BFE" w:rsidRPr="00761653" w:rsidRDefault="00824BFE" w:rsidP="00824BFE">
      <w:pPr>
        <w:ind w:right="49" w:firstLine="709"/>
        <w:contextualSpacing/>
      </w:pPr>
      <w:r w:rsidRPr="00761653">
        <w:t xml:space="preserve">Существует обобщающий термин “фебрильная нейтропения”, включающий все случаи фебрильной температуры у </w:t>
      </w:r>
      <w:r>
        <w:t>пациентов</w:t>
      </w:r>
      <w:r w:rsidRPr="00761653">
        <w:t xml:space="preserve"> с нейтропенией/лейкопенией. К клинически доказанным относят случаи инфекции, которые удается верифицировать с помощью физикальных или инструментальных методов диагностики при отсутствии микробиологического подтверждения. Наиболее частыми проявлениями клинически дока</w:t>
      </w:r>
      <w:r>
        <w:t>занных инфекций</w:t>
      </w:r>
      <w:r w:rsidRPr="00761653">
        <w:t xml:space="preserve"> являются пневмония, инфекция мягких тканей, инфекция промежности</w:t>
      </w:r>
      <w:r>
        <w:t xml:space="preserve"> (в т. ч. парапроктит)</w:t>
      </w:r>
      <w:r w:rsidRPr="00761653">
        <w:t xml:space="preserve">. Микробиологическим подтверждением инфекции в период гранулоцитопении в большинстве случаев является выделение микроорганизмов из гемокультуры. </w:t>
      </w:r>
    </w:p>
    <w:p w14:paraId="1A30A113" w14:textId="77777777" w:rsidR="00824BFE" w:rsidRDefault="00824BFE" w:rsidP="00824BFE">
      <w:pPr>
        <w:ind w:right="49"/>
        <w:contextualSpacing/>
        <w:rPr>
          <w:b/>
        </w:rPr>
      </w:pPr>
    </w:p>
    <w:p w14:paraId="56A02420" w14:textId="77777777" w:rsidR="00824BFE" w:rsidRPr="00CD4DE7" w:rsidRDefault="00824BFE" w:rsidP="00824BFE">
      <w:pPr>
        <w:ind w:right="49"/>
        <w:contextualSpacing/>
        <w:rPr>
          <w:bCs/>
          <w:i/>
          <w:iCs/>
          <w:u w:val="single"/>
        </w:rPr>
      </w:pPr>
      <w:r w:rsidRPr="00CD4DE7">
        <w:rPr>
          <w:bCs/>
          <w:i/>
          <w:iCs/>
          <w:u w:val="single"/>
        </w:rPr>
        <w:t>Диагностика инфекционных осложнений.</w:t>
      </w:r>
    </w:p>
    <w:p w14:paraId="5896D1BD" w14:textId="77777777" w:rsidR="00824BFE" w:rsidRPr="0076198F" w:rsidRDefault="00824BFE" w:rsidP="00824BFE">
      <w:pPr>
        <w:ind w:firstLine="709"/>
      </w:pPr>
      <w:r w:rsidRPr="0076198F">
        <w:lastRenderedPageBreak/>
        <w:t xml:space="preserve">Во всех случаях </w:t>
      </w:r>
      <w:r>
        <w:t xml:space="preserve">вероятного или установленного </w:t>
      </w:r>
      <w:r w:rsidRPr="0076198F">
        <w:t>инфекционного процесса следует активно проводить диагностику, направленную на выявление, как очагов инфекции, так и этиологических агентов.</w:t>
      </w:r>
    </w:p>
    <w:p w14:paraId="2CF93201" w14:textId="77777777" w:rsidR="00824BFE" w:rsidRPr="0076198F" w:rsidRDefault="00824BFE" w:rsidP="00824BFE">
      <w:pPr>
        <w:ind w:firstLine="709"/>
      </w:pPr>
      <w:r w:rsidRPr="0076198F">
        <w:t xml:space="preserve">При подозрении на инфекцию образцы клинического материала от </w:t>
      </w:r>
      <w:r>
        <w:t>пациента</w:t>
      </w:r>
      <w:r w:rsidRPr="0076198F">
        <w:t xml:space="preserve"> должны быть взяты незамедлительно. </w:t>
      </w:r>
      <w:r>
        <w:t>Необходимо</w:t>
      </w:r>
      <w:r w:rsidRPr="0076198F">
        <w:t xml:space="preserve"> пристально</w:t>
      </w:r>
      <w:r>
        <w:t>е</w:t>
      </w:r>
      <w:r w:rsidRPr="0076198F">
        <w:t xml:space="preserve"> внимания и проведени</w:t>
      </w:r>
      <w:r>
        <w:t>е</w:t>
      </w:r>
      <w:r w:rsidRPr="0076198F">
        <w:t xml:space="preserve"> тщательных микробиологических исследований у </w:t>
      </w:r>
      <w:r>
        <w:t>пациентов</w:t>
      </w:r>
      <w:r w:rsidRPr="0076198F">
        <w:t>, принимающих глюкокортико</w:t>
      </w:r>
      <w:r>
        <w:t>стероиды, и у лиц пожилого возраста, так как у</w:t>
      </w:r>
      <w:r w:rsidRPr="0076198F">
        <w:t xml:space="preserve"> этой группы пациентов у 70% тяжелобольных в возрасте </w:t>
      </w:r>
      <w:r>
        <w:t>старше</w:t>
      </w:r>
      <w:r w:rsidRPr="0076198F">
        <w:t xml:space="preserve"> 66 лет септицемия может протекать </w:t>
      </w:r>
      <w:r>
        <w:t xml:space="preserve">с нормотермией или умеренным </w:t>
      </w:r>
      <w:r w:rsidRPr="0076198F">
        <w:t>субфебрил</w:t>
      </w:r>
      <w:r>
        <w:t>итетом</w:t>
      </w:r>
      <w:r w:rsidRPr="0076198F">
        <w:t xml:space="preserve">. </w:t>
      </w:r>
    </w:p>
    <w:p w14:paraId="6F000AE1" w14:textId="77777777" w:rsidR="00824BFE" w:rsidRPr="0076198F" w:rsidRDefault="00824BFE" w:rsidP="00824BFE">
      <w:pPr>
        <w:ind w:firstLine="709"/>
      </w:pPr>
      <w:r w:rsidRPr="0076198F">
        <w:t xml:space="preserve">При нейтропении ежедневно проводят тщательный осмотр пациента, который наряду с обычными терапевтическими стандартами обследования </w:t>
      </w:r>
      <w:r>
        <w:t>включает следующие подходы:</w:t>
      </w:r>
      <w:r w:rsidRPr="0076198F">
        <w:t xml:space="preserve"> </w:t>
      </w:r>
    </w:p>
    <w:p w14:paraId="6FAE549E" w14:textId="77777777" w:rsidR="00824BFE" w:rsidRPr="0076198F" w:rsidRDefault="00824BFE" w:rsidP="00C5490F">
      <w:pPr>
        <w:pStyle w:val="afe"/>
        <w:numPr>
          <w:ilvl w:val="0"/>
          <w:numId w:val="96"/>
        </w:numPr>
        <w:tabs>
          <w:tab w:val="left" w:pos="0"/>
          <w:tab w:val="left" w:pos="567"/>
        </w:tabs>
        <w:ind w:left="993" w:hanging="426"/>
        <w:contextualSpacing w:val="0"/>
      </w:pPr>
      <w:r w:rsidRPr="0076198F">
        <w:t>активный опрос больного относительно возможных симптомов инфекции, включая наличие болей по ходу пищевода, в промежности</w:t>
      </w:r>
      <w:r>
        <w:t>;</w:t>
      </w:r>
    </w:p>
    <w:p w14:paraId="0DF12D68" w14:textId="77777777" w:rsidR="00824BFE" w:rsidRPr="0076198F" w:rsidRDefault="00824BFE" w:rsidP="00C5490F">
      <w:pPr>
        <w:pStyle w:val="afe"/>
        <w:numPr>
          <w:ilvl w:val="0"/>
          <w:numId w:val="96"/>
        </w:numPr>
        <w:tabs>
          <w:tab w:val="left" w:pos="0"/>
          <w:tab w:val="left" w:pos="567"/>
        </w:tabs>
        <w:ind w:left="993" w:hanging="426"/>
        <w:contextualSpacing w:val="0"/>
      </w:pPr>
      <w:r w:rsidRPr="0076198F">
        <w:t>ежедневный осмотр слизистой оболочки полости рта при нейтропении, особенно периодонта. Обращают внимание на рыхлость, отек слизистой оболочки (мукозит), наличие налетов, язв</w:t>
      </w:r>
      <w:r>
        <w:t>;</w:t>
      </w:r>
    </w:p>
    <w:p w14:paraId="7867B9EE" w14:textId="77777777" w:rsidR="00824BFE" w:rsidRPr="0076198F" w:rsidRDefault="00824BFE" w:rsidP="00C5490F">
      <w:pPr>
        <w:pStyle w:val="afe"/>
        <w:numPr>
          <w:ilvl w:val="0"/>
          <w:numId w:val="96"/>
        </w:numPr>
        <w:tabs>
          <w:tab w:val="left" w:pos="0"/>
          <w:tab w:val="left" w:pos="567"/>
        </w:tabs>
        <w:ind w:left="993" w:hanging="426"/>
        <w:contextualSpacing w:val="0"/>
      </w:pPr>
      <w:r w:rsidRPr="0076198F">
        <w:t>осмотр кожи в отношении возможного появления септикопиемических очагов при лихорадке, даже в отсутствие жалоб</w:t>
      </w:r>
      <w:r>
        <w:t xml:space="preserve"> (п</w:t>
      </w:r>
      <w:r w:rsidRPr="0076198F">
        <w:t>ри лечении глюкокортико</w:t>
      </w:r>
      <w:r>
        <w:t>стеро</w:t>
      </w:r>
      <w:r w:rsidRPr="0076198F">
        <w:t>идами септикопиемические очаги могут быть при нормальной температуре</w:t>
      </w:r>
      <w:r>
        <w:t xml:space="preserve"> тела);</w:t>
      </w:r>
    </w:p>
    <w:p w14:paraId="3E54E6C8" w14:textId="77777777" w:rsidR="00824BFE" w:rsidRPr="0076198F" w:rsidRDefault="00824BFE" w:rsidP="00C5490F">
      <w:pPr>
        <w:pStyle w:val="afe"/>
        <w:numPr>
          <w:ilvl w:val="0"/>
          <w:numId w:val="96"/>
        </w:numPr>
        <w:tabs>
          <w:tab w:val="left" w:pos="0"/>
          <w:tab w:val="left" w:pos="567"/>
        </w:tabs>
        <w:ind w:left="993" w:hanging="426"/>
        <w:contextualSpacing w:val="0"/>
      </w:pPr>
      <w:r w:rsidRPr="0076198F">
        <w:t>осмотр места установки венозного катетера</w:t>
      </w:r>
      <w:r>
        <w:t>;</w:t>
      </w:r>
      <w:r w:rsidRPr="0076198F">
        <w:t xml:space="preserve"> </w:t>
      </w:r>
    </w:p>
    <w:p w14:paraId="5A26624B" w14:textId="77777777" w:rsidR="00824BFE" w:rsidRPr="0076198F" w:rsidRDefault="00824BFE" w:rsidP="00C5490F">
      <w:pPr>
        <w:pStyle w:val="afe"/>
        <w:numPr>
          <w:ilvl w:val="0"/>
          <w:numId w:val="96"/>
        </w:numPr>
        <w:tabs>
          <w:tab w:val="left" w:pos="0"/>
          <w:tab w:val="left" w:pos="567"/>
        </w:tabs>
        <w:ind w:left="993" w:hanging="426"/>
        <w:contextualSpacing w:val="0"/>
      </w:pPr>
      <w:r w:rsidRPr="0076198F">
        <w:t>внимательная аускультация грудной клетки</w:t>
      </w:r>
      <w:r>
        <w:t xml:space="preserve"> (ж</w:t>
      </w:r>
      <w:r w:rsidRPr="0076198F">
        <w:t>есткое дыхание в отсутствие хрипов, минимальное количество влажных хрипов на ограниченном участке могут быть начальным проявлением пневмонии</w:t>
      </w:r>
      <w:r>
        <w:t>);</w:t>
      </w:r>
      <w:r w:rsidRPr="0076198F">
        <w:t xml:space="preserve"> </w:t>
      </w:r>
    </w:p>
    <w:p w14:paraId="0D95B6B5" w14:textId="77777777" w:rsidR="00824BFE" w:rsidRPr="0076198F" w:rsidRDefault="00824BFE" w:rsidP="00C5490F">
      <w:pPr>
        <w:pStyle w:val="afe"/>
        <w:numPr>
          <w:ilvl w:val="0"/>
          <w:numId w:val="96"/>
        </w:numPr>
        <w:tabs>
          <w:tab w:val="left" w:pos="0"/>
          <w:tab w:val="left" w:pos="567"/>
        </w:tabs>
        <w:ind w:left="993" w:hanging="426"/>
        <w:contextualSpacing w:val="0"/>
      </w:pPr>
      <w:r w:rsidRPr="0076198F">
        <w:t>тщательная пальпация живота</w:t>
      </w:r>
      <w:r>
        <w:t xml:space="preserve"> (п</w:t>
      </w:r>
      <w:r w:rsidRPr="0076198F">
        <w:t>ервые симптомы псевдомембранозного колита —</w:t>
      </w:r>
      <w:r>
        <w:t xml:space="preserve"> </w:t>
      </w:r>
      <w:r w:rsidRPr="0076198F">
        <w:t>появление боли или «урчание» при пальпации в правой подвздошной области (область слепой кишки).</w:t>
      </w:r>
    </w:p>
    <w:p w14:paraId="438F00F7" w14:textId="77777777" w:rsidR="00824BFE" w:rsidRDefault="00824BFE" w:rsidP="00824BFE">
      <w:pPr>
        <w:ind w:right="49" w:firstLine="709"/>
        <w:contextualSpacing/>
      </w:pPr>
      <w:r w:rsidRPr="00761653">
        <w:t xml:space="preserve">Для </w:t>
      </w:r>
      <w:r w:rsidRPr="00284D51">
        <w:rPr>
          <w:i/>
          <w:iCs/>
        </w:rPr>
        <w:t>микробиологического исследования крови</w:t>
      </w:r>
      <w:r w:rsidRPr="00761653">
        <w:t xml:space="preserve"> используют автоматический анализатор для гемокультур. Проводят исследование у </w:t>
      </w:r>
      <w:r>
        <w:t>пациентов</w:t>
      </w:r>
      <w:r w:rsidRPr="00761653">
        <w:t xml:space="preserve"> с температурой ≥38°С или наличии септикопиемических очагов на коже. Кровь берут одновременно из вены и из ЦВК или из двух разных вен в 2-4 флакона (аэробы/анаэробы), предназначенных для инкубирования в автоматическом анализаторе для гемокультур. На основании разницы во времени регистрации положительной гемокультуры, взятой одновременно из ЦВК и из вены может быть заподозрено инфицирование ЦВК. В этом случае положительная гемокультура, взятая из ЦВК, опережает на 2 часа и более положительную гемокультуру </w:t>
      </w:r>
      <w:r w:rsidRPr="00761653">
        <w:lastRenderedPageBreak/>
        <w:t xml:space="preserve">из вены. Кровь для микробиологического исследования проводят с максимальным соблюдением правил асептики, в каждый флакон вводят 10 мл крови </w:t>
      </w:r>
      <w:r>
        <w:t>пациента</w:t>
      </w:r>
      <w:r w:rsidRPr="00761653">
        <w:t xml:space="preserve">. Введение меньшего объема крови снижает вероятность получения положительной гемокультуры. При инфекции кровотока выделение коагулазонегативных стафилококков и </w:t>
      </w:r>
      <w:r w:rsidRPr="00761653">
        <w:rPr>
          <w:i/>
          <w:iCs/>
        </w:rPr>
        <w:t xml:space="preserve">Corynebacterium </w:t>
      </w:r>
      <w:r w:rsidRPr="00761653">
        <w:t xml:space="preserve">spp. должно быть подтверждено двумя положительными гемокультурами, поскольку эти микроорганизмы принадлежат к облигатной микрофлоре, и детекция их только в одном из двух флаконов расценивается как контаминация исследуемых образцов крови (облигатная микрофлора). </w:t>
      </w:r>
    </w:p>
    <w:p w14:paraId="6024DAF2" w14:textId="77777777" w:rsidR="00824BFE" w:rsidRPr="00761653" w:rsidRDefault="00824BFE" w:rsidP="00824BFE">
      <w:pPr>
        <w:ind w:right="49" w:firstLine="709"/>
        <w:contextualSpacing/>
      </w:pPr>
      <w:r w:rsidRPr="00284D51">
        <w:rPr>
          <w:i/>
          <w:iCs/>
        </w:rPr>
        <w:t>Центральный венозный катетер (ЦВК) удаляют и направляют на микробиологическое исследование при подозрении на катетер-ассоциированную инфекцию</w:t>
      </w:r>
      <w:r w:rsidRPr="00761653">
        <w:t xml:space="preserve"> (разница во времени детекции положительной гемокультуры, взятой одновременно из вены и из ЦВК), при выделении из гемокультуры дрожжевых или плесневых грибов, при переводе </w:t>
      </w:r>
      <w:r>
        <w:t>пациента</w:t>
      </w:r>
      <w:r w:rsidRPr="00761653">
        <w:t xml:space="preserve"> из другого стационара с ЦВК (высокая вероятность инфицирования ЦВК). Для бактериологического исследования в лабораторию направляют асептически удаленный дистальный отрезок катетера длиной 5-6 см в стерильной емкости. Исследование ЦВК проводят полуколичественным (метод Маки) или количественным методом. Диагностически значимым подтверждением инфицирования ЦВК является выделение микроорганизмов в количестве ≥15 колониеобразующих единиц (КОЕ) при полуколичественном исследовании, или ≥10</w:t>
      </w:r>
      <w:r w:rsidRPr="00761653">
        <w:rPr>
          <w:vertAlign w:val="superscript"/>
        </w:rPr>
        <w:t>3</w:t>
      </w:r>
      <w:r w:rsidRPr="00761653">
        <w:t xml:space="preserve"> КОЕ/мл - при количественном исследовании. </w:t>
      </w:r>
    </w:p>
    <w:p w14:paraId="00F0603E" w14:textId="77777777" w:rsidR="00824BFE" w:rsidRPr="00761653" w:rsidRDefault="00824BFE" w:rsidP="00824BFE">
      <w:pPr>
        <w:ind w:right="49" w:firstLine="709"/>
        <w:contextualSpacing/>
      </w:pPr>
      <w:r w:rsidRPr="00761653">
        <w:t>При наличии признаков воспаления и отделяемого в месте установки ЦВК проводят микробиологическое исследование мазков из этой области. Исследуют мазки на наличие нетуберкулезных микобактерий, если изменения на коже в области ЦВК приобретают хронический характер. Не проводят рутинное исследование всех удаленных катетеров.</w:t>
      </w:r>
    </w:p>
    <w:p w14:paraId="20A8D456" w14:textId="77777777" w:rsidR="00824BFE" w:rsidRPr="00761653" w:rsidRDefault="00824BFE" w:rsidP="00824BFE">
      <w:pPr>
        <w:tabs>
          <w:tab w:val="left" w:pos="0"/>
        </w:tabs>
        <w:ind w:right="49" w:firstLine="709"/>
        <w:contextualSpacing/>
      </w:pPr>
      <w:r w:rsidRPr="00761653">
        <w:t>Показаниями для</w:t>
      </w:r>
      <w:r>
        <w:t xml:space="preserve"> </w:t>
      </w:r>
      <w:r w:rsidRPr="00284D51">
        <w:rPr>
          <w:i/>
          <w:iCs/>
        </w:rPr>
        <w:t>микробиологического исследования мочи</w:t>
      </w:r>
      <w:r w:rsidRPr="00761653">
        <w:t xml:space="preserve"> являются клинические симптомы инфекции мочевыводящих путей, лейкоцитурия, температура более 5 дней в период нейтропении. Для </w:t>
      </w:r>
      <w:r>
        <w:t xml:space="preserve">микробиологического </w:t>
      </w:r>
      <w:r w:rsidRPr="00761653">
        <w:t>исследования направляют утреннюю среднюю порцию мочи</w:t>
      </w:r>
      <w:r>
        <w:t xml:space="preserve">, </w:t>
      </w:r>
      <w:r w:rsidRPr="00D40538">
        <w:t>проводят исследования на наличие различных бактериальных патогенов</w:t>
      </w:r>
      <w:r>
        <w:t>, начиная с наиболее частых в гематологической практике (см. ниже)</w:t>
      </w:r>
      <w:r w:rsidRPr="00D40538">
        <w:t xml:space="preserve">. Бактериурия </w:t>
      </w:r>
      <w:r w:rsidRPr="00761653">
        <w:t xml:space="preserve">является диагностически значимой, если выделен </w:t>
      </w:r>
      <w:r w:rsidRPr="00761653">
        <w:rPr>
          <w:bCs/>
        </w:rPr>
        <w:t>один микроорганизм</w:t>
      </w:r>
      <w:r w:rsidRPr="00761653">
        <w:t xml:space="preserve"> в количестве ≥10</w:t>
      </w:r>
      <w:r w:rsidRPr="00761653">
        <w:rPr>
          <w:vertAlign w:val="superscript"/>
        </w:rPr>
        <w:t>3</w:t>
      </w:r>
      <w:r w:rsidRPr="00761653">
        <w:t> КОЕ/мл. Микробиологическое исследование мочи повторяют на следующий день, если выделены два микрорганизма в количестве ≥10</w:t>
      </w:r>
      <w:r w:rsidRPr="00761653">
        <w:rPr>
          <w:vertAlign w:val="superscript"/>
        </w:rPr>
        <w:t>3</w:t>
      </w:r>
      <w:r w:rsidRPr="00761653">
        <w:t xml:space="preserve"> КОЕ/мл. Повторное выделение тех же микроорганизмов, как в первом исследовании, подтверждает наличие инфекции мочевыводящих путей. В гематологии наиболее частыми возбудителями инфекции мочевыводящих путей в стационаре являются энтеробактерии, среди них </w:t>
      </w:r>
      <w:r w:rsidRPr="00761653">
        <w:rPr>
          <w:i/>
          <w:iCs/>
        </w:rPr>
        <w:t>E. coli,</w:t>
      </w:r>
      <w:r w:rsidRPr="00761653">
        <w:t xml:space="preserve"> далее следуют </w:t>
      </w:r>
      <w:r w:rsidRPr="00761653">
        <w:rPr>
          <w:i/>
          <w:iCs/>
        </w:rPr>
        <w:t>Enterococcus</w:t>
      </w:r>
      <w:r w:rsidRPr="00761653">
        <w:t xml:space="preserve"> spp., </w:t>
      </w:r>
      <w:r w:rsidRPr="00761653">
        <w:rPr>
          <w:i/>
          <w:iCs/>
        </w:rPr>
        <w:t>P. aeruginosa.</w:t>
      </w:r>
      <w:r w:rsidRPr="00761653">
        <w:t xml:space="preserve"> Неоднократное выделение из мочи </w:t>
      </w:r>
      <w:r w:rsidRPr="00761653">
        <w:rPr>
          <w:i/>
          <w:iCs/>
        </w:rPr>
        <w:t>Сandida</w:t>
      </w:r>
      <w:r w:rsidRPr="00761653">
        <w:t xml:space="preserve"> </w:t>
      </w:r>
      <w:r w:rsidRPr="00761653">
        <w:lastRenderedPageBreak/>
        <w:t xml:space="preserve">spp. у </w:t>
      </w:r>
      <w:r>
        <w:t>пациентов</w:t>
      </w:r>
      <w:r w:rsidRPr="00761653">
        <w:t xml:space="preserve"> с фебрильной нейтропенией может свидетельствовать о высокой вероятности наличия диссеминированного инвазивного кандидоза. Определяют чувствительность к антибиотикам всех микроорганизмов, выделенных в диагностически значимых количествах.</w:t>
      </w:r>
    </w:p>
    <w:p w14:paraId="07E6A85C" w14:textId="77777777" w:rsidR="00824BFE" w:rsidRPr="00761653" w:rsidRDefault="00824BFE" w:rsidP="00824BFE">
      <w:pPr>
        <w:tabs>
          <w:tab w:val="left" w:pos="0"/>
        </w:tabs>
        <w:ind w:right="49" w:firstLine="709"/>
        <w:contextualSpacing/>
      </w:pPr>
      <w:r w:rsidRPr="00761653">
        <w:t>Показания к</w:t>
      </w:r>
      <w:r>
        <w:t xml:space="preserve"> </w:t>
      </w:r>
      <w:r w:rsidRPr="00284D51">
        <w:rPr>
          <w:i/>
          <w:iCs/>
        </w:rPr>
        <w:t>микроскопическому, микробиологическому и молекулярно-биологическому исследованию спинномозговой жидкости</w:t>
      </w:r>
      <w:r>
        <w:t xml:space="preserve"> </w:t>
      </w:r>
      <w:r w:rsidRPr="00761653">
        <w:t>– наличие симптомов менингита, «мозговая» симптоматика на фоне фебрильной нейтропении, обнаружение очага (очагов) в головном мозге при компьютерной томографии</w:t>
      </w:r>
      <w:r>
        <w:t>/спиральной компьютерной томографии</w:t>
      </w:r>
      <w:r w:rsidRPr="00761653">
        <w:t xml:space="preserve"> (КТ</w:t>
      </w:r>
      <w:r>
        <w:t>/СКТ)</w:t>
      </w:r>
      <w:r w:rsidRPr="00761653">
        <w:t xml:space="preserve"> или магнитно-резонансной томографии (МРТ). Исследование спинномозговой жидкости (СМЖ) включает микроскопию, посев на бактерии и грибы, определение антигена </w:t>
      </w:r>
      <w:r w:rsidRPr="00761653">
        <w:rPr>
          <w:i/>
          <w:iCs/>
        </w:rPr>
        <w:t xml:space="preserve">Cryptococcus </w:t>
      </w:r>
      <w:r w:rsidRPr="00761653">
        <w:t xml:space="preserve">spp. (глюкороксиломаннан), определение антигена </w:t>
      </w:r>
      <w:r w:rsidRPr="00761653">
        <w:rPr>
          <w:i/>
          <w:iCs/>
        </w:rPr>
        <w:t>Aspergillus</w:t>
      </w:r>
      <w:r w:rsidRPr="00761653">
        <w:t xml:space="preserve"> spp. (галактоманнан) у </w:t>
      </w:r>
      <w:r>
        <w:t>пациентов</w:t>
      </w:r>
      <w:r w:rsidRPr="00761653">
        <w:t xml:space="preserve"> с инвазивным аспергиллезом легких или околоносовых пазух, определение дезоксирибонуклеиновой кислоты (ДНК) герпесвирусов методом полимеразной цепной реакции (ПЦР), при наличии нейтрофильного цитоза – определение антигенов бактерий (</w:t>
      </w:r>
      <w:r w:rsidRPr="00761653">
        <w:rPr>
          <w:i/>
          <w:iCs/>
        </w:rPr>
        <w:t>Streptococcus pneumoniae, Haemophilus</w:t>
      </w:r>
      <w:r w:rsidRPr="00761653">
        <w:t xml:space="preserve"> </w:t>
      </w:r>
      <w:r w:rsidRPr="00761653">
        <w:rPr>
          <w:i/>
          <w:iCs/>
        </w:rPr>
        <w:t>influenzae, Neisseria meningitidis,</w:t>
      </w:r>
      <w:r w:rsidRPr="00761653">
        <w:t xml:space="preserve"> стрептококки группы В), при наличии очагов в головном мозге – определение ДНК </w:t>
      </w:r>
      <w:r w:rsidRPr="00761653">
        <w:rPr>
          <w:i/>
          <w:iCs/>
        </w:rPr>
        <w:t>Toxoplasma gondii</w:t>
      </w:r>
      <w:r w:rsidRPr="00761653">
        <w:t xml:space="preserve"> методом ПЦР (группу риска представляют реципиенты аллогенной ТГСК).</w:t>
      </w:r>
    </w:p>
    <w:p w14:paraId="36D58A7B" w14:textId="77777777" w:rsidR="00824BFE" w:rsidRPr="00C73751" w:rsidRDefault="00824BFE" w:rsidP="00824BFE">
      <w:pPr>
        <w:tabs>
          <w:tab w:val="left" w:pos="0"/>
        </w:tabs>
        <w:ind w:right="49" w:firstLine="709"/>
        <w:contextualSpacing/>
      </w:pPr>
      <w:r w:rsidRPr="00284D51">
        <w:rPr>
          <w:i/>
          <w:iCs/>
        </w:rPr>
        <w:t>Микробиологическое исследование кала</w:t>
      </w:r>
      <w:r>
        <w:t xml:space="preserve"> проводят </w:t>
      </w:r>
      <w:r w:rsidRPr="00761653">
        <w:t xml:space="preserve">у </w:t>
      </w:r>
      <w:r>
        <w:t>пациентов с диареей для о</w:t>
      </w:r>
      <w:r w:rsidRPr="00C73751">
        <w:t>пределени</w:t>
      </w:r>
      <w:r>
        <w:t>я</w:t>
      </w:r>
      <w:r w:rsidRPr="00C73751">
        <w:t xml:space="preserve"> токсинов </w:t>
      </w:r>
      <w:r w:rsidRPr="00C73751">
        <w:rPr>
          <w:i/>
        </w:rPr>
        <w:t>Clostridioides difficile</w:t>
      </w:r>
      <w:r w:rsidRPr="00C73751">
        <w:t xml:space="preserve"> в кале</w:t>
      </w:r>
      <w:r>
        <w:t xml:space="preserve">. </w:t>
      </w:r>
      <w:r w:rsidRPr="00C73751">
        <w:t xml:space="preserve">Если результат этого теста оказывается отрицательным, проводят количественное исследование на условно-патогенные микроорганизмы, а также на </w:t>
      </w:r>
      <w:r w:rsidRPr="00C73751">
        <w:rPr>
          <w:i/>
        </w:rPr>
        <w:t>С</w:t>
      </w:r>
      <w:r w:rsidRPr="00DB1FCB">
        <w:rPr>
          <w:i/>
        </w:rPr>
        <w:t>ryptosporidium</w:t>
      </w:r>
      <w:r w:rsidRPr="00C73751">
        <w:rPr>
          <w:i/>
        </w:rPr>
        <w:t xml:space="preserve"> </w:t>
      </w:r>
      <w:r w:rsidRPr="00DB1FCB">
        <w:rPr>
          <w:i/>
        </w:rPr>
        <w:t>parvum</w:t>
      </w:r>
      <w:r w:rsidRPr="00C73751">
        <w:rPr>
          <w:i/>
        </w:rPr>
        <w:t xml:space="preserve">, </w:t>
      </w:r>
      <w:r w:rsidRPr="00DB1FCB">
        <w:rPr>
          <w:i/>
        </w:rPr>
        <w:t>Salmonella</w:t>
      </w:r>
      <w:r w:rsidRPr="00C73751">
        <w:rPr>
          <w:i/>
        </w:rPr>
        <w:t xml:space="preserve"> </w:t>
      </w:r>
      <w:r w:rsidRPr="00DB1FCB">
        <w:rPr>
          <w:i/>
        </w:rPr>
        <w:t>spp</w:t>
      </w:r>
      <w:r w:rsidRPr="00C73751">
        <w:rPr>
          <w:i/>
        </w:rPr>
        <w:t xml:space="preserve">., </w:t>
      </w:r>
      <w:r w:rsidRPr="00DB1FCB">
        <w:rPr>
          <w:i/>
        </w:rPr>
        <w:t>Shigella</w:t>
      </w:r>
      <w:r w:rsidRPr="00C73751">
        <w:rPr>
          <w:i/>
        </w:rPr>
        <w:t xml:space="preserve"> </w:t>
      </w:r>
      <w:r w:rsidRPr="00DB1FCB">
        <w:rPr>
          <w:i/>
        </w:rPr>
        <w:t>spp</w:t>
      </w:r>
      <w:r w:rsidRPr="00C73751">
        <w:rPr>
          <w:i/>
        </w:rPr>
        <w:t xml:space="preserve">., </w:t>
      </w:r>
      <w:r w:rsidRPr="00DB1FCB">
        <w:rPr>
          <w:i/>
        </w:rPr>
        <w:t>Listeria</w:t>
      </w:r>
      <w:r w:rsidRPr="00C73751">
        <w:rPr>
          <w:i/>
        </w:rPr>
        <w:t xml:space="preserve"> </w:t>
      </w:r>
      <w:r w:rsidRPr="00DB1FCB">
        <w:rPr>
          <w:i/>
        </w:rPr>
        <w:t>spp</w:t>
      </w:r>
      <w:r w:rsidRPr="00C73751">
        <w:rPr>
          <w:i/>
        </w:rPr>
        <w:t xml:space="preserve">., </w:t>
      </w:r>
      <w:r w:rsidRPr="00DB1FCB">
        <w:rPr>
          <w:i/>
        </w:rPr>
        <w:t>Yersenia</w:t>
      </w:r>
      <w:r w:rsidRPr="00C73751">
        <w:rPr>
          <w:i/>
        </w:rPr>
        <w:t xml:space="preserve"> </w:t>
      </w:r>
      <w:r w:rsidRPr="00DB1FCB">
        <w:rPr>
          <w:i/>
        </w:rPr>
        <w:t>spp</w:t>
      </w:r>
      <w:r w:rsidRPr="00C73751">
        <w:rPr>
          <w:i/>
        </w:rPr>
        <w:t>.</w:t>
      </w:r>
      <w:r w:rsidRPr="00C73751">
        <w:t xml:space="preserve">, вирусы (ротавирусы, аденовирусы). Энтероколиты могут быть обусловлены </w:t>
      </w:r>
      <w:r w:rsidRPr="00DB1FCB">
        <w:rPr>
          <w:i/>
        </w:rPr>
        <w:t>Candida</w:t>
      </w:r>
      <w:r w:rsidRPr="00C73751">
        <w:rPr>
          <w:i/>
        </w:rPr>
        <w:t xml:space="preserve"> </w:t>
      </w:r>
      <w:r w:rsidRPr="00DB1FCB">
        <w:rPr>
          <w:i/>
        </w:rPr>
        <w:t>spp</w:t>
      </w:r>
      <w:r w:rsidRPr="00C73751">
        <w:t xml:space="preserve">. При количественном исследовании кала следует обращать внимание на выделение штаммов </w:t>
      </w:r>
      <w:r w:rsidRPr="00DB1FCB">
        <w:rPr>
          <w:i/>
        </w:rPr>
        <w:t>Pseudomonas</w:t>
      </w:r>
      <w:r w:rsidRPr="00C73751">
        <w:rPr>
          <w:i/>
        </w:rPr>
        <w:t xml:space="preserve"> </w:t>
      </w:r>
      <w:r w:rsidRPr="00DB1FCB">
        <w:rPr>
          <w:i/>
        </w:rPr>
        <w:t>aeruginosa</w:t>
      </w:r>
      <w:r w:rsidRPr="00C73751">
        <w:t>, энтеробактерий (</w:t>
      </w:r>
      <w:r w:rsidRPr="00DB1FCB">
        <w:rPr>
          <w:i/>
        </w:rPr>
        <w:t>Escherichia</w:t>
      </w:r>
      <w:r w:rsidRPr="00C73751">
        <w:rPr>
          <w:i/>
        </w:rPr>
        <w:t xml:space="preserve"> </w:t>
      </w:r>
      <w:r w:rsidRPr="00DB1FCB">
        <w:rPr>
          <w:i/>
        </w:rPr>
        <w:t>coli</w:t>
      </w:r>
      <w:r w:rsidRPr="00C73751">
        <w:rPr>
          <w:i/>
        </w:rPr>
        <w:t xml:space="preserve">, </w:t>
      </w:r>
      <w:r w:rsidRPr="00DB1FCB">
        <w:rPr>
          <w:i/>
        </w:rPr>
        <w:t>Klebsiella</w:t>
      </w:r>
      <w:r w:rsidRPr="00C73751">
        <w:rPr>
          <w:i/>
        </w:rPr>
        <w:t xml:space="preserve"> </w:t>
      </w:r>
      <w:r w:rsidRPr="00DB1FCB">
        <w:rPr>
          <w:i/>
        </w:rPr>
        <w:t>spp</w:t>
      </w:r>
      <w:r w:rsidRPr="00C73751">
        <w:rPr>
          <w:i/>
        </w:rPr>
        <w:t>.),</w:t>
      </w:r>
      <w:r w:rsidRPr="00C73751">
        <w:t xml:space="preserve"> продуцирующих БЛРС или карбапенемазы. У больных с персистирующей фебрильной нейтропенией и отсутствием положительной гемокультуры эти микроорганизмы могут быть причиной инфекции. </w:t>
      </w:r>
    </w:p>
    <w:p w14:paraId="392E6398" w14:textId="77777777" w:rsidR="00824BFE" w:rsidRPr="00761653" w:rsidRDefault="00824BFE" w:rsidP="00824BFE">
      <w:pPr>
        <w:tabs>
          <w:tab w:val="left" w:pos="0"/>
        </w:tabs>
        <w:ind w:right="49" w:firstLine="709"/>
        <w:contextualSpacing/>
      </w:pPr>
      <w:r w:rsidRPr="00284D51">
        <w:rPr>
          <w:i/>
          <w:iCs/>
        </w:rPr>
        <w:t>Микробиологическое исследование мазка со слизистой оболочки носоглотки</w:t>
      </w:r>
      <w:r>
        <w:t xml:space="preserve"> проводят при наличии</w:t>
      </w:r>
      <w:r w:rsidRPr="00761653">
        <w:t xml:space="preserve"> признаков </w:t>
      </w:r>
      <w:r>
        <w:t>стоматита (</w:t>
      </w:r>
      <w:r w:rsidRPr="00761653">
        <w:t>мукозита</w:t>
      </w:r>
      <w:r>
        <w:t>)</w:t>
      </w:r>
      <w:r w:rsidRPr="00761653">
        <w:t xml:space="preserve">. Проводят культуральное исследование на грамотрицательные бактерии и дрожжевые грибы. При выделении грамотрицательных бактерий осуществляют идентификацию до вида, определение чувствительности к антибиотикам, детекцию продукции β-лактамаз расишернного спектра (БЛРС) у энтеробактерий, постановку теста modified carbapenem inactivation method (mCIM) или carbapenem inactivation method (CIM) для определения продукции </w:t>
      </w:r>
      <w:r w:rsidRPr="00761653">
        <w:lastRenderedPageBreak/>
        <w:t xml:space="preserve">карбапенемаз среди карбапенемоустойчивых энтеробактерий и </w:t>
      </w:r>
      <w:r w:rsidRPr="00761653">
        <w:rPr>
          <w:i/>
          <w:iCs/>
        </w:rPr>
        <w:t>P. aeruginosa</w:t>
      </w:r>
      <w:r w:rsidRPr="00761653">
        <w:rPr>
          <w:iCs/>
        </w:rPr>
        <w:t xml:space="preserve">, определение групп карбапенемаз методом ПЦР при положительном тесте mCIM (или CIM). </w:t>
      </w:r>
      <w:r w:rsidRPr="00761653">
        <w:t xml:space="preserve">При выделении дрожжевых грибов со слизистой оболочки ротоглотки проводят только идентификацию до вида. </w:t>
      </w:r>
    </w:p>
    <w:p w14:paraId="43AF845A" w14:textId="77777777" w:rsidR="00824BFE" w:rsidRPr="00761653" w:rsidRDefault="00824BFE" w:rsidP="00824BFE">
      <w:pPr>
        <w:ind w:right="49" w:firstLine="709"/>
        <w:contextualSpacing/>
      </w:pPr>
      <w:r w:rsidRPr="00284D51">
        <w:rPr>
          <w:i/>
          <w:iCs/>
        </w:rPr>
        <w:t>Микробиологическое исследование соскоба или биоптата со слизистой оболочки пищевода</w:t>
      </w:r>
      <w:r w:rsidRPr="00284D51">
        <w:rPr>
          <w:b/>
          <w:bCs/>
        </w:rPr>
        <w:t xml:space="preserve"> </w:t>
      </w:r>
      <w:r w:rsidRPr="00284D51">
        <w:t>проводят при клиническоой картине эзофагита, боли по ходу пищевода. Во</w:t>
      </w:r>
      <w:r w:rsidRPr="00761653">
        <w:t xml:space="preserve"> время эзофагоскопии проводят соскоб со слизистой оболочки пищевода (браш-метод при нейтропении) или биопсию (вне нейтропении и тромбоцитопении). Проводят культуральное исследование на бактерии и дрожжевые грибы, определение ДНК герпесвирусов </w:t>
      </w:r>
      <w:r>
        <w:t>(</w:t>
      </w:r>
      <w:r w:rsidRPr="00C73751">
        <w:t xml:space="preserve">ДНК вируса простого герпеса, </w:t>
      </w:r>
      <w:r>
        <w:t>цитомегаловируса)</w:t>
      </w:r>
      <w:r w:rsidRPr="00761653">
        <w:t xml:space="preserve"> методом ПЦР, идентификацию и определение чувствительности всех выделенных микроорганизмов</w:t>
      </w:r>
      <w:r>
        <w:t>, гистологическое исследование (с иммуногистохимическим исследованием при необходимости)</w:t>
      </w:r>
      <w:r w:rsidRPr="00761653">
        <w:t>.</w:t>
      </w:r>
    </w:p>
    <w:p w14:paraId="3F754B22" w14:textId="77777777" w:rsidR="00824BFE" w:rsidRPr="00761653" w:rsidRDefault="00824BFE" w:rsidP="00824BFE">
      <w:pPr>
        <w:ind w:right="49" w:firstLine="709"/>
        <w:contextualSpacing/>
      </w:pPr>
      <w:r w:rsidRPr="00284D51">
        <w:rPr>
          <w:i/>
          <w:iCs/>
        </w:rPr>
        <w:t>Микробиологическое исследование ректальных мазков</w:t>
      </w:r>
      <w:r w:rsidRPr="00284D51">
        <w:rPr>
          <w:b/>
          <w:bCs/>
        </w:rPr>
        <w:t xml:space="preserve"> </w:t>
      </w:r>
      <w:r w:rsidRPr="00284D51">
        <w:t>проводят с целью детекции</w:t>
      </w:r>
      <w:r w:rsidRPr="00761653">
        <w:t xml:space="preserve"> колонизации слизистой оболочки кишечника полирезистентными грамотрицательными бактериями и грибами рода </w:t>
      </w:r>
      <w:r w:rsidRPr="00761653">
        <w:rPr>
          <w:i/>
        </w:rPr>
        <w:t>Candida</w:t>
      </w:r>
      <w:r w:rsidRPr="00761653">
        <w:t>.</w:t>
      </w:r>
    </w:p>
    <w:p w14:paraId="11D03A69" w14:textId="77777777" w:rsidR="00824BFE" w:rsidRDefault="00824BFE" w:rsidP="00824BFE">
      <w:pPr>
        <w:tabs>
          <w:tab w:val="left" w:pos="0"/>
        </w:tabs>
        <w:ind w:right="49" w:firstLine="709"/>
        <w:contextualSpacing/>
      </w:pPr>
      <w:r w:rsidRPr="00761653">
        <w:t xml:space="preserve">Исследование </w:t>
      </w:r>
      <w:r>
        <w:t>показано:</w:t>
      </w:r>
      <w:r w:rsidRPr="00761653">
        <w:t xml:space="preserve"> </w:t>
      </w:r>
    </w:p>
    <w:p w14:paraId="7C5D8690" w14:textId="77777777" w:rsidR="00824BFE" w:rsidRPr="00C73751" w:rsidRDefault="00824BFE" w:rsidP="00C5490F">
      <w:pPr>
        <w:pStyle w:val="afe"/>
        <w:widowControl w:val="0"/>
        <w:numPr>
          <w:ilvl w:val="0"/>
          <w:numId w:val="86"/>
        </w:numPr>
        <w:tabs>
          <w:tab w:val="left" w:pos="0"/>
        </w:tabs>
        <w:autoSpaceDE w:val="0"/>
        <w:autoSpaceDN w:val="0"/>
        <w:adjustRightInd w:val="0"/>
        <w:ind w:right="49"/>
      </w:pPr>
      <w:r w:rsidRPr="00CB604C">
        <w:t>при инфекции промежности</w:t>
      </w:r>
      <w:r>
        <w:t>, в</w:t>
      </w:r>
      <w:r w:rsidRPr="00C73751">
        <w:t>оспалени</w:t>
      </w:r>
      <w:r>
        <w:t>и</w:t>
      </w:r>
      <w:r w:rsidRPr="00C73751">
        <w:t xml:space="preserve"> или повреждени</w:t>
      </w:r>
      <w:r>
        <w:t>и</w:t>
      </w:r>
      <w:r w:rsidRPr="00C73751">
        <w:t xml:space="preserve"> слизистой прямой кишки (трещина, парапроктит и др.);</w:t>
      </w:r>
    </w:p>
    <w:p w14:paraId="2B0039E6" w14:textId="77777777" w:rsidR="00824BFE" w:rsidRDefault="00824BFE" w:rsidP="00C5490F">
      <w:pPr>
        <w:pStyle w:val="afe"/>
        <w:widowControl w:val="0"/>
        <w:numPr>
          <w:ilvl w:val="0"/>
          <w:numId w:val="86"/>
        </w:numPr>
        <w:tabs>
          <w:tab w:val="left" w:pos="0"/>
        </w:tabs>
        <w:autoSpaceDE w:val="0"/>
        <w:autoSpaceDN w:val="0"/>
        <w:adjustRightInd w:val="0"/>
        <w:ind w:right="49"/>
      </w:pPr>
      <w:r w:rsidRPr="00CB604C">
        <w:t xml:space="preserve">у </w:t>
      </w:r>
      <w:r>
        <w:t>пациентов</w:t>
      </w:r>
      <w:r w:rsidRPr="00CB604C">
        <w:t xml:space="preserve"> с персистирующей фебрильной нейтропенией длительностью от 4-5 дней и отсутствием диагностически значимых результатов исследований; </w:t>
      </w:r>
    </w:p>
    <w:p w14:paraId="42BA027F" w14:textId="77777777" w:rsidR="00824BFE" w:rsidRDefault="00824BFE" w:rsidP="00C5490F">
      <w:pPr>
        <w:pStyle w:val="afe"/>
        <w:widowControl w:val="0"/>
        <w:numPr>
          <w:ilvl w:val="0"/>
          <w:numId w:val="86"/>
        </w:numPr>
        <w:tabs>
          <w:tab w:val="left" w:pos="0"/>
        </w:tabs>
        <w:autoSpaceDE w:val="0"/>
        <w:autoSpaceDN w:val="0"/>
        <w:adjustRightInd w:val="0"/>
        <w:ind w:right="49"/>
      </w:pPr>
      <w:r w:rsidRPr="00CB604C">
        <w:t xml:space="preserve">в качестве скрининга в группе высокого риска развития инфекций у </w:t>
      </w:r>
      <w:r>
        <w:t>пациентов</w:t>
      </w:r>
      <w:r w:rsidRPr="00CB604C">
        <w:t xml:space="preserve"> острыми лейкозами и у реципиентов аллогенного костного мозга при поступлении в стационар, затем каждые 7 дней до восстановления гранулоцитов в крови или лейкоцитов &gt;1,0</w:t>
      </w:r>
      <w:r>
        <w:t> </w:t>
      </w:r>
      <w:r w:rsidRPr="00CB604C">
        <w:t>×</w:t>
      </w:r>
      <w:r>
        <w:t> </w:t>
      </w:r>
      <w:r w:rsidRPr="00CB604C">
        <w:t>10</w:t>
      </w:r>
      <w:r w:rsidRPr="00CB604C">
        <w:rPr>
          <w:vertAlign w:val="superscript"/>
        </w:rPr>
        <w:t>9</w:t>
      </w:r>
      <w:r w:rsidRPr="00CB604C">
        <w:t xml:space="preserve">/л; </w:t>
      </w:r>
    </w:p>
    <w:p w14:paraId="74FEA916" w14:textId="77777777" w:rsidR="00824BFE" w:rsidRPr="00CB604C" w:rsidRDefault="00824BFE" w:rsidP="00824BFE">
      <w:pPr>
        <w:tabs>
          <w:tab w:val="left" w:pos="0"/>
        </w:tabs>
        <w:ind w:right="49"/>
      </w:pPr>
      <w:r>
        <w:tab/>
      </w:r>
      <w:r w:rsidRPr="00CB604C">
        <w:t xml:space="preserve">С учетом выделенных микроорганизмов может быть проведена коррекция антимикробной терапии при отсутствии диагностически значимых результатов исследований из клинически значимых образцов у </w:t>
      </w:r>
      <w:r>
        <w:t>пациентов</w:t>
      </w:r>
      <w:r w:rsidRPr="00CB604C">
        <w:t xml:space="preserve"> с персистирующей фебрильной нейтропенией. Обращают внимание на выделение полирезистентных грамотрицательных бактерий – </w:t>
      </w:r>
      <w:r w:rsidRPr="00CB604C">
        <w:rPr>
          <w:i/>
          <w:iCs/>
        </w:rPr>
        <w:t>P. aeruginosa,</w:t>
      </w:r>
      <w:r w:rsidRPr="00CB604C">
        <w:rPr>
          <w:i/>
        </w:rPr>
        <w:t xml:space="preserve"> A. baumannii, S. maltophilia</w:t>
      </w:r>
      <w:r w:rsidRPr="00CB604C">
        <w:t xml:space="preserve">, энтеробактерий с продукцией БЛРС или карбапенемаз, </w:t>
      </w:r>
    </w:p>
    <w:p w14:paraId="68A9A0DC" w14:textId="77777777" w:rsidR="00824BFE" w:rsidRDefault="00824BFE" w:rsidP="00824BFE">
      <w:pPr>
        <w:ind w:right="49" w:firstLine="709"/>
        <w:contextualSpacing/>
      </w:pPr>
      <w:r w:rsidRPr="00284D51">
        <w:rPr>
          <w:i/>
          <w:iCs/>
        </w:rPr>
        <w:t>Микробиологическое исследование мазка со слизистой оболочки носовых ходов</w:t>
      </w:r>
      <w:r w:rsidRPr="00225D7F">
        <w:rPr>
          <w:i/>
          <w:iCs/>
          <w:u w:val="single"/>
        </w:rPr>
        <w:t xml:space="preserve"> </w:t>
      </w:r>
      <w:r>
        <w:t>проводят по следующим показаниям:</w:t>
      </w:r>
    </w:p>
    <w:p w14:paraId="4E8CF91A" w14:textId="77777777" w:rsidR="00824BFE" w:rsidRDefault="00824BFE" w:rsidP="00C5490F">
      <w:pPr>
        <w:pStyle w:val="afe"/>
        <w:widowControl w:val="0"/>
        <w:numPr>
          <w:ilvl w:val="0"/>
          <w:numId w:val="87"/>
        </w:numPr>
        <w:tabs>
          <w:tab w:val="left" w:pos="0"/>
        </w:tabs>
        <w:autoSpaceDE w:val="0"/>
        <w:autoSpaceDN w:val="0"/>
        <w:adjustRightInd w:val="0"/>
        <w:ind w:right="49"/>
      </w:pPr>
      <w:r w:rsidRPr="00CB604C">
        <w:t>наличие некроза слизистой оболочки носового хода</w:t>
      </w:r>
      <w:r>
        <w:t xml:space="preserve"> (</w:t>
      </w:r>
      <w:r w:rsidRPr="00CB604C">
        <w:t>посев только на плесневые (мицелиальные) грибы</w:t>
      </w:r>
      <w:r>
        <w:t>)</w:t>
      </w:r>
      <w:r w:rsidRPr="00CB604C">
        <w:t xml:space="preserve">; </w:t>
      </w:r>
    </w:p>
    <w:p w14:paraId="113D4AD7" w14:textId="77777777" w:rsidR="00824BFE" w:rsidRPr="00CB604C" w:rsidRDefault="00824BFE" w:rsidP="00C5490F">
      <w:pPr>
        <w:pStyle w:val="afe"/>
        <w:widowControl w:val="0"/>
        <w:numPr>
          <w:ilvl w:val="0"/>
          <w:numId w:val="87"/>
        </w:numPr>
        <w:tabs>
          <w:tab w:val="left" w:pos="0"/>
        </w:tabs>
        <w:autoSpaceDE w:val="0"/>
        <w:autoSpaceDN w:val="0"/>
        <w:adjustRightInd w:val="0"/>
        <w:ind w:right="49"/>
      </w:pPr>
      <w:r w:rsidRPr="00CB604C">
        <w:lastRenderedPageBreak/>
        <w:t xml:space="preserve">исследование колонизации </w:t>
      </w:r>
      <w:r w:rsidRPr="00CB604C">
        <w:rPr>
          <w:i/>
        </w:rPr>
        <w:t>Staphylococcus aureus</w:t>
      </w:r>
      <w:r w:rsidRPr="00CB604C">
        <w:t xml:space="preserve"> у больных с пиодермией.  </w:t>
      </w:r>
    </w:p>
    <w:p w14:paraId="776CDF43" w14:textId="77777777" w:rsidR="00824BFE" w:rsidRPr="00761653" w:rsidRDefault="00824BFE" w:rsidP="00824BFE">
      <w:pPr>
        <w:ind w:right="-93" w:firstLine="709"/>
        <w:contextualSpacing/>
        <w:rPr>
          <w:b/>
          <w:bCs/>
        </w:rPr>
      </w:pPr>
      <w:r w:rsidRPr="00284D51">
        <w:rPr>
          <w:i/>
          <w:iCs/>
        </w:rPr>
        <w:t>Микробиологическое исследование биоптатов / соскобов / отделяемого пораженных участков кожи</w:t>
      </w:r>
      <w:r w:rsidRPr="00284D51">
        <w:rPr>
          <w:b/>
          <w:bCs/>
        </w:rPr>
        <w:t xml:space="preserve"> </w:t>
      </w:r>
      <w:r w:rsidRPr="00284D51">
        <w:t>проводят при наличии септикопиемических очагов кожи (инфильтраты в</w:t>
      </w:r>
      <w:r w:rsidRPr="00761653">
        <w:t xml:space="preserve"> дерме любых размеров, возникшие при </w:t>
      </w:r>
      <w:r>
        <w:t>гипертермии</w:t>
      </w:r>
      <w:r w:rsidRPr="00761653">
        <w:t>) или других образований на коже.</w:t>
      </w:r>
      <w:r w:rsidRPr="00761653">
        <w:rPr>
          <w:b/>
          <w:bCs/>
        </w:rPr>
        <w:t xml:space="preserve"> </w:t>
      </w:r>
      <w:r w:rsidRPr="00761653">
        <w:t xml:space="preserve">Проводят гистологическое и микробиологическое </w:t>
      </w:r>
      <w:r>
        <w:t xml:space="preserve">(культуральное) </w:t>
      </w:r>
      <w:r w:rsidRPr="00761653">
        <w:t xml:space="preserve">исследование на наличие </w:t>
      </w:r>
      <w:r>
        <w:t xml:space="preserve">бактерий, </w:t>
      </w:r>
      <w:r w:rsidRPr="00761653">
        <w:t>грибов</w:t>
      </w:r>
      <w:r>
        <w:t>, туберкуляза</w:t>
      </w:r>
      <w:r w:rsidRPr="00761653">
        <w:t xml:space="preserve">; </w:t>
      </w:r>
      <w:r>
        <w:t xml:space="preserve">микроскопическое исследование </w:t>
      </w:r>
      <w:r w:rsidRPr="00761653">
        <w:t>с окраской по Граму, Цилю-Нильсену, калькофлюором белым.</w:t>
      </w:r>
    </w:p>
    <w:p w14:paraId="26BE0048" w14:textId="77777777" w:rsidR="00824BFE" w:rsidRPr="009F2603" w:rsidRDefault="00824BFE" w:rsidP="00824BFE">
      <w:pPr>
        <w:ind w:firstLine="709"/>
        <w:contextualSpacing/>
        <w:rPr>
          <w:b/>
          <w:bCs/>
        </w:rPr>
      </w:pPr>
      <w:r w:rsidRPr="00284D51">
        <w:rPr>
          <w:i/>
          <w:iCs/>
        </w:rPr>
        <w:t>Исследование жидкости бронхоальвеолярного лаважа</w:t>
      </w:r>
      <w:r w:rsidRPr="00284D51">
        <w:t xml:space="preserve"> (БАЛ) проводят при наличии</w:t>
      </w:r>
      <w:r w:rsidRPr="00761653">
        <w:t xml:space="preserve"> изменений в легких. Исследование </w:t>
      </w:r>
      <w:r>
        <w:t xml:space="preserve">лаважной </w:t>
      </w:r>
      <w:r w:rsidRPr="00761653">
        <w:t xml:space="preserve">жидкости включает цитологию мазков, микроскопию мазков световую (окраска по Граму, Цилю-Нильсену) и флуоресцентную (окраска калькофлуором белым для детекции мицелия грибов), микробиологическое </w:t>
      </w:r>
      <w:r>
        <w:t xml:space="preserve">(культуральное) </w:t>
      </w:r>
      <w:r w:rsidRPr="00761653">
        <w:t xml:space="preserve">исследование на бактерии, включая </w:t>
      </w:r>
      <w:r w:rsidRPr="00761653">
        <w:rPr>
          <w:i/>
          <w:iCs/>
        </w:rPr>
        <w:t>Legionella</w:t>
      </w:r>
      <w:r w:rsidRPr="00761653">
        <w:t xml:space="preserve"> spp., и грибы, флюоресцентную микроскопию </w:t>
      </w:r>
      <w:r w:rsidRPr="00761653">
        <w:rPr>
          <w:i/>
          <w:iCs/>
        </w:rPr>
        <w:t xml:space="preserve">Pneumocystis jirovecii, </w:t>
      </w:r>
      <w:r>
        <w:rPr>
          <w:iCs/>
        </w:rPr>
        <w:t xml:space="preserve">молекулярно-биологическое исследование для </w:t>
      </w:r>
      <w:r w:rsidRPr="00761653">
        <w:t>определени</w:t>
      </w:r>
      <w:r>
        <w:t>я</w:t>
      </w:r>
      <w:r w:rsidRPr="00761653">
        <w:t xml:space="preserve"> ДНК </w:t>
      </w:r>
      <w:r w:rsidRPr="00761653">
        <w:rPr>
          <w:i/>
          <w:iCs/>
        </w:rPr>
        <w:t xml:space="preserve">P. jirovecii </w:t>
      </w:r>
      <w:r w:rsidRPr="00761653">
        <w:t>методом ПЦР, определени</w:t>
      </w:r>
      <w:r>
        <w:t>я</w:t>
      </w:r>
      <w:r w:rsidRPr="00761653">
        <w:t xml:space="preserve"> антигена </w:t>
      </w:r>
      <w:r w:rsidRPr="00761653">
        <w:rPr>
          <w:i/>
          <w:iCs/>
        </w:rPr>
        <w:t>Aspergillus</w:t>
      </w:r>
      <w:r w:rsidRPr="00761653">
        <w:t xml:space="preserve"> (галактоманнан) в жидкости БАЛ, </w:t>
      </w:r>
      <w:r>
        <w:t xml:space="preserve">молекулярно-биологичесие </w:t>
      </w:r>
      <w:r w:rsidRPr="00761653">
        <w:t>исследовани</w:t>
      </w:r>
      <w:r>
        <w:t>я</w:t>
      </w:r>
      <w:r w:rsidRPr="00761653">
        <w:t xml:space="preserve"> на микобактерии методом ПЦР, </w:t>
      </w:r>
      <w:r>
        <w:t xml:space="preserve">для </w:t>
      </w:r>
      <w:r w:rsidRPr="00761653">
        <w:t>определени</w:t>
      </w:r>
      <w:r>
        <w:t>я</w:t>
      </w:r>
      <w:r w:rsidRPr="00761653">
        <w:t xml:space="preserve"> ДНК </w:t>
      </w:r>
      <w:r w:rsidRPr="00761653">
        <w:rPr>
          <w:i/>
          <w:iCs/>
        </w:rPr>
        <w:t xml:space="preserve">Mycoplasma pneumoniae </w:t>
      </w:r>
      <w:r w:rsidRPr="00761653">
        <w:rPr>
          <w:iCs/>
        </w:rPr>
        <w:t>и</w:t>
      </w:r>
      <w:r w:rsidRPr="00761653">
        <w:rPr>
          <w:i/>
          <w:iCs/>
        </w:rPr>
        <w:t xml:space="preserve"> Chlamydophila pneumoniae</w:t>
      </w:r>
      <w:r w:rsidRPr="00761653">
        <w:t xml:space="preserve"> методом ПЦР, определени</w:t>
      </w:r>
      <w:r>
        <w:t>я</w:t>
      </w:r>
      <w:r w:rsidRPr="00761653">
        <w:t xml:space="preserve"> ДНК герпес вирусов и респираторных вирусов (Influenza, Parainfluenza, RSV, Coronavirus, Human metapneumovirus, H1N1) методом ПЦР.</w:t>
      </w:r>
    </w:p>
    <w:p w14:paraId="621D9635" w14:textId="77777777" w:rsidR="00824BFE" w:rsidRPr="00284D51" w:rsidRDefault="00824BFE" w:rsidP="00824BFE">
      <w:pPr>
        <w:tabs>
          <w:tab w:val="left" w:pos="1134"/>
        </w:tabs>
        <w:ind w:firstLine="709"/>
        <w:contextualSpacing/>
        <w:rPr>
          <w:b/>
        </w:rPr>
      </w:pPr>
      <w:r w:rsidRPr="00284D51">
        <w:rPr>
          <w:i/>
          <w:iCs/>
        </w:rPr>
        <w:t>Определение антигена Legionella pneumophila в моче</w:t>
      </w:r>
      <w:r w:rsidRPr="00284D51">
        <w:rPr>
          <w:b/>
        </w:rPr>
        <w:t xml:space="preserve"> </w:t>
      </w:r>
      <w:r w:rsidRPr="00284D51">
        <w:t>проводится при наличии</w:t>
      </w:r>
      <w:r w:rsidRPr="00761653">
        <w:t xml:space="preserve"> </w:t>
      </w:r>
      <w:r w:rsidRPr="00284D51">
        <w:t>пневмонии с очагами консолидации.</w:t>
      </w:r>
    </w:p>
    <w:p w14:paraId="2418571B" w14:textId="77777777" w:rsidR="00824BFE" w:rsidRPr="00284D51" w:rsidRDefault="00824BFE" w:rsidP="00824BFE">
      <w:pPr>
        <w:ind w:firstLine="709"/>
        <w:contextualSpacing/>
        <w:rPr>
          <w:bCs/>
        </w:rPr>
      </w:pPr>
      <w:r w:rsidRPr="00284D51">
        <w:rPr>
          <w:i/>
          <w:iCs/>
        </w:rPr>
        <w:t>Исследование антигена Aspergillus (галактоманнан) в сыворотке крови, в жидкости БАЛ, в СМЖ</w:t>
      </w:r>
      <w:r w:rsidRPr="00284D51">
        <w:rPr>
          <w:bCs/>
          <w:iCs/>
        </w:rPr>
        <w:t xml:space="preserve"> показано в следующих клинических ситуациях:</w:t>
      </w:r>
      <w:r w:rsidRPr="00284D51">
        <w:rPr>
          <w:bCs/>
        </w:rPr>
        <w:t xml:space="preserve"> </w:t>
      </w:r>
    </w:p>
    <w:p w14:paraId="54D27735" w14:textId="77777777" w:rsidR="00824BFE" w:rsidRPr="00833774" w:rsidRDefault="00824BFE" w:rsidP="00C5490F">
      <w:pPr>
        <w:pStyle w:val="afe"/>
        <w:widowControl w:val="0"/>
        <w:numPr>
          <w:ilvl w:val="0"/>
          <w:numId w:val="88"/>
        </w:numPr>
        <w:tabs>
          <w:tab w:val="left" w:pos="0"/>
        </w:tabs>
        <w:autoSpaceDE w:val="0"/>
        <w:autoSpaceDN w:val="0"/>
        <w:adjustRightInd w:val="0"/>
      </w:pPr>
      <w:r w:rsidRPr="00833774">
        <w:rPr>
          <w:bCs/>
        </w:rPr>
        <w:t xml:space="preserve">мониторинг в период нейтропении у </w:t>
      </w:r>
      <w:r>
        <w:rPr>
          <w:bCs/>
        </w:rPr>
        <w:t>пациентов</w:t>
      </w:r>
      <w:r w:rsidRPr="00833774">
        <w:rPr>
          <w:bCs/>
        </w:rPr>
        <w:t xml:space="preserve"> острыми миело</w:t>
      </w:r>
      <w:r>
        <w:rPr>
          <w:bCs/>
        </w:rPr>
        <w:t>идными лейкозами и у реципиентов</w:t>
      </w:r>
      <w:r w:rsidRPr="00833774">
        <w:rPr>
          <w:bCs/>
        </w:rPr>
        <w:t xml:space="preserve"> аллогеннных гемопоэтических клеток, если не проводится профилактики противогрибковыми препаратами, активными</w:t>
      </w:r>
      <w:r>
        <w:rPr>
          <w:bCs/>
        </w:rPr>
        <w:t xml:space="preserve"> в отношении плесневых грибов; </w:t>
      </w:r>
    </w:p>
    <w:p w14:paraId="29340246" w14:textId="77777777" w:rsidR="00824BFE" w:rsidRDefault="00824BFE" w:rsidP="00C5490F">
      <w:pPr>
        <w:pStyle w:val="afe"/>
        <w:widowControl w:val="0"/>
        <w:numPr>
          <w:ilvl w:val="0"/>
          <w:numId w:val="88"/>
        </w:numPr>
        <w:tabs>
          <w:tab w:val="left" w:pos="0"/>
        </w:tabs>
        <w:autoSpaceDE w:val="0"/>
        <w:autoSpaceDN w:val="0"/>
        <w:adjustRightInd w:val="0"/>
      </w:pPr>
      <w:r w:rsidRPr="00680401">
        <w:t>у пациентов с факторами риска (длительность нейтропении от 10 дней и более, применени</w:t>
      </w:r>
      <w:r>
        <w:t>е глюкокортикоидов, флударабина</w:t>
      </w:r>
      <w:r w:rsidRPr="00680401">
        <w:t>) и р</w:t>
      </w:r>
      <w:r>
        <w:t>ади</w:t>
      </w:r>
      <w:r w:rsidRPr="00680401">
        <w:t xml:space="preserve">ологическими признаками, характерными для инвазивного аспергиллеза, в период нейтропении. </w:t>
      </w:r>
    </w:p>
    <w:p w14:paraId="4B47FEFC" w14:textId="77777777" w:rsidR="00824BFE" w:rsidRDefault="00824BFE" w:rsidP="00C5490F">
      <w:pPr>
        <w:pStyle w:val="afe"/>
        <w:widowControl w:val="0"/>
        <w:numPr>
          <w:ilvl w:val="0"/>
          <w:numId w:val="88"/>
        </w:numPr>
        <w:tabs>
          <w:tab w:val="left" w:pos="0"/>
        </w:tabs>
        <w:autoSpaceDE w:val="0"/>
        <w:autoSpaceDN w:val="0"/>
        <w:adjustRightInd w:val="0"/>
      </w:pPr>
      <w:r>
        <w:t xml:space="preserve">при клинико-радиологических признаках, подозрительных в отношении инвазивного аспергилеза, независимо от </w:t>
      </w:r>
      <w:r w:rsidRPr="00680401">
        <w:t>нейтропении.</w:t>
      </w:r>
    </w:p>
    <w:p w14:paraId="240DF54C" w14:textId="21C7DECD" w:rsidR="00824BFE" w:rsidRPr="00761653" w:rsidRDefault="00824BFE" w:rsidP="00824BFE">
      <w:pPr>
        <w:ind w:firstLine="709"/>
      </w:pPr>
      <w:r w:rsidRPr="00680401">
        <w:rPr>
          <w:bCs/>
        </w:rPr>
        <w:t>И</w:t>
      </w:r>
      <w:r w:rsidRPr="00680401">
        <w:t xml:space="preserve">сследование проводят не менее двух раз в течение 5 дней. Антиген </w:t>
      </w:r>
      <w:r w:rsidRPr="00680401">
        <w:rPr>
          <w:i/>
          <w:iCs/>
        </w:rPr>
        <w:t>Aspergillus</w:t>
      </w:r>
      <w:r w:rsidRPr="00680401">
        <w:t xml:space="preserve"> исследуют до назначения противогрибковых препаратов, активных в отношении </w:t>
      </w:r>
      <w:r w:rsidRPr="00680401">
        <w:lastRenderedPageBreak/>
        <w:t>мицелиальных грибов. Тест включен в критерии диагностики инвазивного аспергиллеза.</w:t>
      </w:r>
      <w:r>
        <w:t xml:space="preserve"> </w:t>
      </w:r>
      <w:r w:rsidRPr="00761653">
        <w:t xml:space="preserve">Положительные значения индекса оптической плотности определения антигена </w:t>
      </w:r>
      <w:r w:rsidRPr="00761653">
        <w:rPr>
          <w:i/>
          <w:iCs/>
        </w:rPr>
        <w:t>Aspergillus</w:t>
      </w:r>
      <w:r w:rsidRPr="00761653">
        <w:t xml:space="preserve"> в сыворотке крови</w:t>
      </w:r>
      <w:r>
        <w:t xml:space="preserve">: </w:t>
      </w:r>
      <w:r w:rsidRPr="00761653">
        <w:t xml:space="preserve"> ≥0,5, в жидкости БАЛ</w:t>
      </w:r>
      <w:r>
        <w:t>:</w:t>
      </w:r>
      <w:r w:rsidRPr="00761653">
        <w:t xml:space="preserve"> ≥1,0, в СМЖ</w:t>
      </w:r>
      <w:r>
        <w:t>:</w:t>
      </w:r>
      <w:r w:rsidRPr="00761653">
        <w:t xml:space="preserve"> ≥1,0</w:t>
      </w:r>
      <w:r>
        <w:t xml:space="preserve"> </w:t>
      </w:r>
      <w:r>
        <w:fldChar w:fldCharType="begin" w:fldLock="1"/>
      </w:r>
      <w:r w:rsidR="00531C4D">
        <w:instrText>ADDIN CSL_CITATION {"citationItems":[{"id":"ITEM-1","itemData":{"DOI":"10.1038/bmt.2010.175","ISSN":"14765365","abstract":"In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Transplantation","id":"ITEM-1","issue":"5","issued":{"date-parts":[["2011"]]},"page":"709-718","publisher":"Nature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mendeley":{"formattedCitation":"[76]","plainTextFormattedCitation":"[76]","previouslyFormattedCitation":"[76]"},"properties":{"noteIndex":0},"schema":"https://github.com/citation-style-language/schema/raw/master/csl-citation.json"}</w:instrText>
      </w:r>
      <w:r>
        <w:fldChar w:fldCharType="separate"/>
      </w:r>
      <w:r w:rsidRPr="00824BFE">
        <w:rPr>
          <w:noProof/>
        </w:rPr>
        <w:t>[76]</w:t>
      </w:r>
      <w:r>
        <w:fldChar w:fldCharType="end"/>
      </w:r>
      <w:r w:rsidRPr="00761653">
        <w:t xml:space="preserve">. </w:t>
      </w:r>
    </w:p>
    <w:p w14:paraId="46881FBA" w14:textId="77777777" w:rsidR="00824BFE" w:rsidRPr="00284D51" w:rsidRDefault="00824BFE" w:rsidP="00824BFE">
      <w:pPr>
        <w:ind w:firstLine="709"/>
        <w:contextualSpacing/>
      </w:pPr>
      <w:r w:rsidRPr="00284D51">
        <w:rPr>
          <w:i/>
          <w:iCs/>
        </w:rPr>
        <w:t>Исследование антигена Candida (маннан) и антител Candida (антиманнан) в сыворотке крови</w:t>
      </w:r>
      <w:r w:rsidRPr="00284D51">
        <w:t xml:space="preserve"> проводят по следующим показаниям:</w:t>
      </w:r>
    </w:p>
    <w:p w14:paraId="6F360878" w14:textId="77777777" w:rsidR="00824BFE" w:rsidRDefault="00824BFE" w:rsidP="00C5490F">
      <w:pPr>
        <w:pStyle w:val="afe"/>
        <w:widowControl w:val="0"/>
        <w:numPr>
          <w:ilvl w:val="0"/>
          <w:numId w:val="89"/>
        </w:numPr>
        <w:tabs>
          <w:tab w:val="left" w:pos="0"/>
        </w:tabs>
        <w:autoSpaceDE w:val="0"/>
        <w:autoSpaceDN w:val="0"/>
        <w:adjustRightInd w:val="0"/>
      </w:pPr>
      <w:r w:rsidRPr="00315F82">
        <w:t xml:space="preserve">множественные очаги в печени и/или селезенке (подозрение на гепатолиенальный кандидоз); </w:t>
      </w:r>
    </w:p>
    <w:p w14:paraId="06EFE500" w14:textId="77777777" w:rsidR="00824BFE" w:rsidRDefault="00824BFE" w:rsidP="00C5490F">
      <w:pPr>
        <w:pStyle w:val="afe"/>
        <w:widowControl w:val="0"/>
        <w:numPr>
          <w:ilvl w:val="0"/>
          <w:numId w:val="89"/>
        </w:numPr>
        <w:tabs>
          <w:tab w:val="left" w:pos="0"/>
        </w:tabs>
        <w:autoSpaceDE w:val="0"/>
        <w:autoSpaceDN w:val="0"/>
        <w:adjustRightInd w:val="0"/>
      </w:pPr>
      <w:r w:rsidRPr="00315F82">
        <w:t xml:space="preserve">предполагаемый инвазивный кандидоз у больных с длительной (более 7-10 дней) персистирующей температурой. </w:t>
      </w:r>
    </w:p>
    <w:p w14:paraId="3C30D8CA" w14:textId="06515E32" w:rsidR="00824BFE" w:rsidRPr="00315F82" w:rsidRDefault="00824BFE" w:rsidP="00824BFE">
      <w:pPr>
        <w:ind w:firstLine="709"/>
      </w:pPr>
      <w:r w:rsidRPr="00315F82">
        <w:t xml:space="preserve">Образец для исследования </w:t>
      </w:r>
      <w:r>
        <w:t>–</w:t>
      </w:r>
      <w:r w:rsidRPr="00315F82">
        <w:t xml:space="preserve"> кровь. Результат исследования считается положи</w:t>
      </w:r>
      <w:r>
        <w:t xml:space="preserve">тельным при следующих значениях: </w:t>
      </w:r>
      <w:r w:rsidRPr="00315F82">
        <w:t xml:space="preserve">антиген </w:t>
      </w:r>
      <w:r w:rsidRPr="00315F82">
        <w:rPr>
          <w:i/>
          <w:iCs/>
        </w:rPr>
        <w:t>Candida</w:t>
      </w:r>
      <w:r w:rsidRPr="00315F82">
        <w:t xml:space="preserve"> (маннан) ≥125 пг/мл; антитела </w:t>
      </w:r>
      <w:r w:rsidRPr="00315F82">
        <w:rPr>
          <w:i/>
          <w:iCs/>
        </w:rPr>
        <w:t>Candida</w:t>
      </w:r>
      <w:r w:rsidRPr="00315F82">
        <w:t xml:space="preserve"> (антиманнан) ≥10 МЕ/мл. Тест не включен в критерии диагностики инвазивного кандидоза. Тест имеет высокое отрицательное прогностическое значение. При положительных значениях нельзя исключить наличие инвазивного кандидоза. Чувствительность и специфичность составляют около 50—60%. У </w:t>
      </w:r>
      <w:r>
        <w:t xml:space="preserve">пациентов </w:t>
      </w:r>
      <w:r w:rsidRPr="00315F82">
        <w:t xml:space="preserve">с колонизацией слизистых оболочек </w:t>
      </w:r>
      <w:r w:rsidRPr="00315F82">
        <w:rPr>
          <w:i/>
        </w:rPr>
        <w:t>Candida</w:t>
      </w:r>
      <w:r w:rsidRPr="00315F82">
        <w:t xml:space="preserve"> spp могут быть положительные значения антиманнана.</w:t>
      </w:r>
    </w:p>
    <w:p w14:paraId="38F9822B" w14:textId="77777777" w:rsidR="00824BFE" w:rsidRPr="00284D51" w:rsidRDefault="00824BFE" w:rsidP="00824BFE">
      <w:pPr>
        <w:ind w:firstLine="709"/>
        <w:contextualSpacing/>
      </w:pPr>
      <w:r w:rsidRPr="00284D51">
        <w:rPr>
          <w:i/>
          <w:iCs/>
        </w:rPr>
        <w:t>Определение антигена Cryptocococcus (глюкуроноксиломаннан)</w:t>
      </w:r>
      <w:r w:rsidRPr="00284D51">
        <w:t xml:space="preserve"> выполняется при</w:t>
      </w:r>
      <w:r>
        <w:t xml:space="preserve"> </w:t>
      </w:r>
      <w:r w:rsidRPr="00761653">
        <w:t>подозрени</w:t>
      </w:r>
      <w:r>
        <w:t>и</w:t>
      </w:r>
      <w:r w:rsidRPr="00761653">
        <w:t xml:space="preserve"> на инфекцию, вызванную криптококком, у </w:t>
      </w:r>
      <w:r>
        <w:t>пациентов с факторами риска (Т-клеточный</w:t>
      </w:r>
      <w:r w:rsidRPr="00761653">
        <w:t xml:space="preserve"> иммунодефицит) возникновения этой инфекции. Группу риска </w:t>
      </w:r>
      <w:r>
        <w:t xml:space="preserve">в том числе </w:t>
      </w:r>
      <w:r w:rsidRPr="00761653">
        <w:t xml:space="preserve">составляют </w:t>
      </w:r>
      <w:r>
        <w:t>пациенты, получающие</w:t>
      </w:r>
      <w:r w:rsidRPr="00761653">
        <w:t xml:space="preserve"> лечение глюкокортикоидами, флударабином, </w:t>
      </w:r>
      <w:r>
        <w:t>и др</w:t>
      </w:r>
      <w:r w:rsidRPr="00761653">
        <w:t xml:space="preserve">. Определяют антиген в СМЖ, в крови, жидкости БАЛ, моче. Тест включен в критерии диагностики инвазивного криптоккоза. Исследование проводят с помощью латекс-теста </w:t>
      </w:r>
      <w:r w:rsidRPr="00284D51">
        <w:t>(качественный анализ).</w:t>
      </w:r>
    </w:p>
    <w:p w14:paraId="57037BB8" w14:textId="77777777" w:rsidR="00824BFE" w:rsidRPr="00284D51" w:rsidRDefault="00824BFE" w:rsidP="00824BFE">
      <w:pPr>
        <w:ind w:firstLine="709"/>
        <w:contextualSpacing/>
      </w:pPr>
      <w:r w:rsidRPr="00284D51">
        <w:rPr>
          <w:i/>
          <w:iCs/>
        </w:rPr>
        <w:t>Исследование антитела Мycoplasma pneumoniae (IgM, IgG), Chlamydophila pneumoniae (IgM, IgG) в крови выполняется</w:t>
      </w:r>
      <w:r w:rsidRPr="00284D51">
        <w:t xml:space="preserve"> при пневмонии, возникшей амбулаторно.</w:t>
      </w:r>
    </w:p>
    <w:p w14:paraId="3BAE225A" w14:textId="77777777" w:rsidR="00824BFE" w:rsidRPr="00284D51" w:rsidRDefault="00824BFE" w:rsidP="00824BFE">
      <w:pPr>
        <w:ind w:firstLine="709"/>
        <w:contextualSpacing/>
      </w:pPr>
      <w:r w:rsidRPr="00284D51">
        <w:t xml:space="preserve">Показаниями к проведению </w:t>
      </w:r>
      <w:r w:rsidRPr="00284D51">
        <w:rPr>
          <w:i/>
          <w:iCs/>
        </w:rPr>
        <w:t>КТ/СКТ органов грудной полости являются:</w:t>
      </w:r>
    </w:p>
    <w:p w14:paraId="2268AEBD" w14:textId="77777777" w:rsidR="00824BFE" w:rsidRDefault="00824BFE" w:rsidP="00C5490F">
      <w:pPr>
        <w:pStyle w:val="afe"/>
        <w:widowControl w:val="0"/>
        <w:numPr>
          <w:ilvl w:val="0"/>
          <w:numId w:val="90"/>
        </w:numPr>
        <w:tabs>
          <w:tab w:val="left" w:pos="0"/>
        </w:tabs>
        <w:autoSpaceDE w:val="0"/>
        <w:autoSpaceDN w:val="0"/>
        <w:adjustRightInd w:val="0"/>
      </w:pPr>
      <w:r w:rsidRPr="00016F8E">
        <w:t xml:space="preserve">пневмония (аускультативные признаки); </w:t>
      </w:r>
    </w:p>
    <w:p w14:paraId="25044C8C" w14:textId="77777777" w:rsidR="00824BFE" w:rsidRDefault="00824BFE" w:rsidP="00C5490F">
      <w:pPr>
        <w:pStyle w:val="afe"/>
        <w:widowControl w:val="0"/>
        <w:numPr>
          <w:ilvl w:val="0"/>
          <w:numId w:val="90"/>
        </w:numPr>
        <w:tabs>
          <w:tab w:val="left" w:pos="0"/>
        </w:tabs>
        <w:autoSpaceDE w:val="0"/>
        <w:autoSpaceDN w:val="0"/>
        <w:adjustRightInd w:val="0"/>
      </w:pPr>
      <w:r w:rsidRPr="00016F8E">
        <w:t xml:space="preserve">персистирующая фебрильная нейтропения от 3 дней и более, независимо от физикальной картины в легких; </w:t>
      </w:r>
    </w:p>
    <w:p w14:paraId="30F96011" w14:textId="77777777" w:rsidR="00824BFE" w:rsidRDefault="00824BFE" w:rsidP="00C5490F">
      <w:pPr>
        <w:pStyle w:val="afe"/>
        <w:widowControl w:val="0"/>
        <w:numPr>
          <w:ilvl w:val="0"/>
          <w:numId w:val="90"/>
        </w:numPr>
        <w:tabs>
          <w:tab w:val="left" w:pos="0"/>
        </w:tabs>
        <w:autoSpaceDE w:val="0"/>
        <w:autoSpaceDN w:val="0"/>
        <w:adjustRightInd w:val="0"/>
      </w:pPr>
      <w:r w:rsidRPr="00016F8E">
        <w:t xml:space="preserve">контроль выявленных изменений в легких через 7-14 дней в зависимости от состояния больного и диагностированной инфекции. </w:t>
      </w:r>
    </w:p>
    <w:p w14:paraId="69E73168" w14:textId="7A975A55" w:rsidR="00824BFE" w:rsidRPr="00761653" w:rsidRDefault="00824BFE" w:rsidP="00824BFE">
      <w:pPr>
        <w:ind w:firstLine="709"/>
      </w:pPr>
      <w:r w:rsidRPr="00016F8E">
        <w:t>КТ/СКТ во всех случаях без проводят без предварительной рентгенографии грудной клетки.</w:t>
      </w:r>
      <w:r>
        <w:t xml:space="preserve"> </w:t>
      </w:r>
      <w:r w:rsidRPr="00761653">
        <w:t xml:space="preserve">Рентгенография органов грудной клетки относится к малоинформативным методам </w:t>
      </w:r>
      <w:r w:rsidRPr="00761653">
        <w:lastRenderedPageBreak/>
        <w:t xml:space="preserve">исследования у </w:t>
      </w:r>
      <w:r>
        <w:t xml:space="preserve">гематологических пациентов, предпочтительно </w:t>
      </w:r>
      <w:r w:rsidRPr="00761653">
        <w:t>для диагностики инфекционных осложнений</w:t>
      </w:r>
      <w:r>
        <w:t xml:space="preserve"> применять КТ/СКТ</w:t>
      </w:r>
      <w:r w:rsidRPr="00761653">
        <w:t>.</w:t>
      </w:r>
    </w:p>
    <w:p w14:paraId="655F5CB0" w14:textId="77777777" w:rsidR="00824BFE" w:rsidRPr="008572A7" w:rsidRDefault="00824BFE" w:rsidP="00824BFE">
      <w:pPr>
        <w:ind w:firstLine="709"/>
        <w:contextualSpacing/>
        <w:rPr>
          <w:b/>
          <w:bCs/>
          <w:u w:val="single"/>
        </w:rPr>
      </w:pPr>
      <w:r w:rsidRPr="00284D51">
        <w:rPr>
          <w:i/>
          <w:iCs/>
        </w:rPr>
        <w:t>Ультразвуковое исследование (УЗИ), КТ/СКТ, МРТ органов брюшной полости</w:t>
      </w:r>
      <w:r w:rsidRPr="00284D51">
        <w:rPr>
          <w:b/>
          <w:bCs/>
        </w:rPr>
        <w:t xml:space="preserve"> </w:t>
      </w:r>
      <w:r w:rsidRPr="00284D51">
        <w:t>для</w:t>
      </w:r>
      <w:r>
        <w:t xml:space="preserve"> уточнения инфекционного процесса проводят по клиническим показаниям, в том числе:</w:t>
      </w:r>
    </w:p>
    <w:p w14:paraId="1673BA16" w14:textId="77777777" w:rsidR="00824BFE" w:rsidRDefault="00824BFE" w:rsidP="00C5490F">
      <w:pPr>
        <w:pStyle w:val="afe"/>
        <w:widowControl w:val="0"/>
        <w:numPr>
          <w:ilvl w:val="0"/>
          <w:numId w:val="91"/>
        </w:numPr>
        <w:tabs>
          <w:tab w:val="left" w:pos="0"/>
        </w:tabs>
        <w:autoSpaceDE w:val="0"/>
        <w:autoSpaceDN w:val="0"/>
        <w:adjustRightInd w:val="0"/>
      </w:pPr>
      <w:r w:rsidRPr="00016F8E">
        <w:t>сохраняющаяся лихорадка (колебания температуры в течение суток от 37 до 39°С), особенно у больных вне лейкопении (</w:t>
      </w:r>
      <w:r>
        <w:t xml:space="preserve">для </w:t>
      </w:r>
      <w:r w:rsidRPr="00016F8E">
        <w:t>диагности</w:t>
      </w:r>
      <w:r>
        <w:t>ки</w:t>
      </w:r>
      <w:r w:rsidRPr="00016F8E">
        <w:t xml:space="preserve"> гепатолиенального кандидоза); </w:t>
      </w:r>
    </w:p>
    <w:p w14:paraId="70B691EA" w14:textId="77777777" w:rsidR="00824BFE" w:rsidRDefault="00824BFE" w:rsidP="00C5490F">
      <w:pPr>
        <w:pStyle w:val="afe"/>
        <w:widowControl w:val="0"/>
        <w:numPr>
          <w:ilvl w:val="0"/>
          <w:numId w:val="91"/>
        </w:numPr>
        <w:tabs>
          <w:tab w:val="left" w:pos="0"/>
        </w:tabs>
        <w:autoSpaceDE w:val="0"/>
        <w:autoSpaceDN w:val="0"/>
        <w:adjustRightInd w:val="0"/>
      </w:pPr>
      <w:r>
        <w:t>при диагностированнмм аспергиллезе</w:t>
      </w:r>
      <w:r w:rsidRPr="00016F8E">
        <w:t xml:space="preserve"> легких или мукормикоз</w:t>
      </w:r>
      <w:r>
        <w:t>е</w:t>
      </w:r>
      <w:r w:rsidRPr="00016F8E">
        <w:t xml:space="preserve"> (</w:t>
      </w:r>
      <w:r>
        <w:t xml:space="preserve">для </w:t>
      </w:r>
      <w:r w:rsidRPr="00016F8E">
        <w:t>исключ</w:t>
      </w:r>
      <w:r>
        <w:t>ения</w:t>
      </w:r>
      <w:r w:rsidRPr="00016F8E">
        <w:t xml:space="preserve"> диссеминаци</w:t>
      </w:r>
      <w:r>
        <w:t>и</w:t>
      </w:r>
      <w:r w:rsidRPr="00016F8E">
        <w:t xml:space="preserve">); </w:t>
      </w:r>
    </w:p>
    <w:p w14:paraId="2708B97E" w14:textId="77777777" w:rsidR="00824BFE" w:rsidRDefault="00824BFE" w:rsidP="00C5490F">
      <w:pPr>
        <w:pStyle w:val="afe"/>
        <w:widowControl w:val="0"/>
        <w:numPr>
          <w:ilvl w:val="0"/>
          <w:numId w:val="91"/>
        </w:numPr>
        <w:tabs>
          <w:tab w:val="left" w:pos="0"/>
        </w:tabs>
        <w:autoSpaceDE w:val="0"/>
        <w:autoSpaceDN w:val="0"/>
        <w:adjustRightInd w:val="0"/>
      </w:pPr>
      <w:r>
        <w:t xml:space="preserve">для </w:t>
      </w:r>
      <w:r w:rsidRPr="00016F8E">
        <w:t>контрол</w:t>
      </w:r>
      <w:r>
        <w:t>я</w:t>
      </w:r>
      <w:r w:rsidRPr="00016F8E">
        <w:t xml:space="preserve"> выявленных</w:t>
      </w:r>
      <w:r>
        <w:t xml:space="preserve"> ранее</w:t>
      </w:r>
      <w:r w:rsidRPr="00016F8E">
        <w:t xml:space="preserve"> изменений. </w:t>
      </w:r>
    </w:p>
    <w:p w14:paraId="14C0D771" w14:textId="1B717B99" w:rsidR="00824BFE" w:rsidRPr="00016F8E" w:rsidRDefault="00824BFE" w:rsidP="00824BFE">
      <w:pPr>
        <w:ind w:firstLine="709"/>
      </w:pPr>
      <w:r w:rsidRPr="00016F8E">
        <w:t>При диагностике гепатолиенального кандидоза контрольное исследование проводят не ранее чем через 1 мес терапии системными противогрибковыми препаратами</w:t>
      </w:r>
      <w:r>
        <w:t>,</w:t>
      </w:r>
      <w:r w:rsidRPr="00016F8E">
        <w:t xml:space="preserve"> вне лейкопении.</w:t>
      </w:r>
    </w:p>
    <w:p w14:paraId="4515B429" w14:textId="77777777" w:rsidR="00824BFE" w:rsidRPr="008572A7" w:rsidRDefault="00824BFE" w:rsidP="00824BFE">
      <w:pPr>
        <w:ind w:firstLine="709"/>
        <w:contextualSpacing/>
        <w:rPr>
          <w:b/>
          <w:u w:val="single"/>
        </w:rPr>
      </w:pPr>
      <w:r w:rsidRPr="00284D51">
        <w:rPr>
          <w:i/>
          <w:iCs/>
        </w:rPr>
        <w:t>КТ или МРТ головного мозга</w:t>
      </w:r>
      <w:r w:rsidRPr="00284D51">
        <w:rPr>
          <w:bCs/>
        </w:rPr>
        <w:t xml:space="preserve"> </w:t>
      </w:r>
      <w:r w:rsidRPr="00284D51">
        <w:t>проводят для исключения инфекционного поражения</w:t>
      </w:r>
      <w:r>
        <w:t xml:space="preserve"> головного мозга:</w:t>
      </w:r>
    </w:p>
    <w:p w14:paraId="6CAD65E1" w14:textId="77777777" w:rsidR="00824BFE" w:rsidRDefault="00824BFE" w:rsidP="00C5490F">
      <w:pPr>
        <w:pStyle w:val="afe"/>
        <w:widowControl w:val="0"/>
        <w:numPr>
          <w:ilvl w:val="0"/>
          <w:numId w:val="92"/>
        </w:numPr>
        <w:tabs>
          <w:tab w:val="left" w:pos="0"/>
        </w:tabs>
        <w:autoSpaceDE w:val="0"/>
        <w:autoSpaceDN w:val="0"/>
        <w:adjustRightInd w:val="0"/>
      </w:pPr>
      <w:r>
        <w:t>при наличии</w:t>
      </w:r>
      <w:r w:rsidRPr="00016F8E">
        <w:t xml:space="preserve"> симптомов </w:t>
      </w:r>
      <w:r>
        <w:t>поражения</w:t>
      </w:r>
      <w:r w:rsidRPr="00016F8E">
        <w:t xml:space="preserve"> центральной нервной системы (ЦНС)</w:t>
      </w:r>
      <w:r>
        <w:t>;</w:t>
      </w:r>
    </w:p>
    <w:p w14:paraId="532A5289" w14:textId="77777777" w:rsidR="00824BFE" w:rsidRPr="00016F8E" w:rsidRDefault="00824BFE" w:rsidP="00C5490F">
      <w:pPr>
        <w:pStyle w:val="afe"/>
        <w:widowControl w:val="0"/>
        <w:numPr>
          <w:ilvl w:val="0"/>
          <w:numId w:val="92"/>
        </w:numPr>
        <w:tabs>
          <w:tab w:val="left" w:pos="0"/>
        </w:tabs>
        <w:autoSpaceDE w:val="0"/>
        <w:autoSpaceDN w:val="0"/>
        <w:adjustRightInd w:val="0"/>
      </w:pPr>
      <w:r w:rsidRPr="00016F8E">
        <w:t>при диагностике инвазивного аспергиллеза легких/околоносовых пазух или мукормикоза (</w:t>
      </w:r>
      <w:r>
        <w:t xml:space="preserve">для </w:t>
      </w:r>
      <w:r w:rsidRPr="00016F8E">
        <w:t>исключ</w:t>
      </w:r>
      <w:r>
        <w:t>ения</w:t>
      </w:r>
      <w:r w:rsidRPr="00016F8E">
        <w:t xml:space="preserve"> диссеминаци</w:t>
      </w:r>
      <w:r>
        <w:t>и</w:t>
      </w:r>
      <w:r w:rsidRPr="00016F8E">
        <w:t>).</w:t>
      </w:r>
    </w:p>
    <w:p w14:paraId="19AD3DE5" w14:textId="77777777" w:rsidR="00824BFE" w:rsidRPr="00284D51" w:rsidRDefault="00824BFE" w:rsidP="00824BFE">
      <w:pPr>
        <w:ind w:firstLine="709"/>
        <w:contextualSpacing/>
        <w:rPr>
          <w:i/>
          <w:iCs/>
        </w:rPr>
      </w:pPr>
      <w:r w:rsidRPr="00284D51">
        <w:rPr>
          <w:i/>
          <w:iCs/>
        </w:rPr>
        <w:t>Эхокардиография (ЭхоКГ), включая чрезпищеводную ЭхоКГ</w:t>
      </w:r>
    </w:p>
    <w:p w14:paraId="262C31CA" w14:textId="77777777" w:rsidR="00824BFE" w:rsidRDefault="00824BFE" w:rsidP="00824BFE">
      <w:pPr>
        <w:ind w:firstLine="709"/>
        <w:contextualSpacing/>
      </w:pPr>
      <w:r>
        <w:t>Проводится для исключения бактериального эндокардита, особенно в случае:</w:t>
      </w:r>
    </w:p>
    <w:p w14:paraId="087EE3AF" w14:textId="77777777" w:rsidR="00824BFE" w:rsidRDefault="00824BFE" w:rsidP="00C5490F">
      <w:pPr>
        <w:pStyle w:val="afe"/>
        <w:widowControl w:val="0"/>
        <w:numPr>
          <w:ilvl w:val="0"/>
          <w:numId w:val="93"/>
        </w:numPr>
        <w:tabs>
          <w:tab w:val="left" w:pos="0"/>
        </w:tabs>
        <w:autoSpaceDE w:val="0"/>
        <w:autoSpaceDN w:val="0"/>
        <w:adjustRightInd w:val="0"/>
      </w:pPr>
      <w:r w:rsidRPr="00016F8E">
        <w:t>микробиологически подтвержденн</w:t>
      </w:r>
      <w:r>
        <w:t>ой</w:t>
      </w:r>
      <w:r w:rsidRPr="00016F8E">
        <w:t xml:space="preserve"> инфекци</w:t>
      </w:r>
      <w:r>
        <w:t>и</w:t>
      </w:r>
      <w:r w:rsidRPr="00016F8E">
        <w:t xml:space="preserve">, вызванная </w:t>
      </w:r>
      <w:r w:rsidRPr="00016F8E">
        <w:rPr>
          <w:i/>
        </w:rPr>
        <w:t>S. aureus</w:t>
      </w:r>
      <w:r w:rsidRPr="00016F8E">
        <w:t xml:space="preserve">; </w:t>
      </w:r>
    </w:p>
    <w:p w14:paraId="06F16720" w14:textId="77777777" w:rsidR="00824BFE" w:rsidRDefault="00824BFE" w:rsidP="00C5490F">
      <w:pPr>
        <w:pStyle w:val="afe"/>
        <w:widowControl w:val="0"/>
        <w:numPr>
          <w:ilvl w:val="0"/>
          <w:numId w:val="93"/>
        </w:numPr>
        <w:tabs>
          <w:tab w:val="left" w:pos="0"/>
        </w:tabs>
        <w:autoSpaceDE w:val="0"/>
        <w:autoSpaceDN w:val="0"/>
        <w:adjustRightInd w:val="0"/>
      </w:pPr>
      <w:r>
        <w:t>длительной</w:t>
      </w:r>
      <w:r w:rsidRPr="00016F8E">
        <w:t xml:space="preserve"> (</w:t>
      </w:r>
      <w:r>
        <w:t>более</w:t>
      </w:r>
      <w:r w:rsidRPr="00016F8E">
        <w:t xml:space="preserve"> 10-14 дней) персистирующ</w:t>
      </w:r>
      <w:r>
        <w:t>ей</w:t>
      </w:r>
      <w:r w:rsidRPr="00016F8E">
        <w:t xml:space="preserve"> </w:t>
      </w:r>
      <w:r>
        <w:t>гипертермии</w:t>
      </w:r>
      <w:r w:rsidRPr="00016F8E">
        <w:t xml:space="preserve">, особенно у больных вне лейкопении. </w:t>
      </w:r>
    </w:p>
    <w:p w14:paraId="760DF317" w14:textId="77777777" w:rsidR="00824BFE" w:rsidRPr="00016F8E" w:rsidRDefault="00824BFE" w:rsidP="00824BFE">
      <w:pPr>
        <w:ind w:firstLine="709"/>
      </w:pPr>
      <w:r w:rsidRPr="00016F8E">
        <w:t xml:space="preserve">Чрезпищеводную ЭхоКГ назначают при сохраняющейся </w:t>
      </w:r>
      <w:r>
        <w:t>гипертермии</w:t>
      </w:r>
      <w:r w:rsidRPr="00016F8E">
        <w:t xml:space="preserve"> и отрицательн</w:t>
      </w:r>
      <w:r>
        <w:t>ых результатах</w:t>
      </w:r>
      <w:r w:rsidRPr="00016F8E">
        <w:t xml:space="preserve"> ЭхоКГ. </w:t>
      </w:r>
    </w:p>
    <w:p w14:paraId="1033A99A" w14:textId="77777777" w:rsidR="00824BFE" w:rsidRPr="00761653" w:rsidRDefault="00824BFE" w:rsidP="00824BFE">
      <w:pPr>
        <w:ind w:firstLine="709"/>
        <w:contextualSpacing/>
      </w:pPr>
      <w:r w:rsidRPr="00761653">
        <w:t>В табл. 1 суммированы диагностические исследования у больных с гематологическими заболеваниями и инфекциями.</w:t>
      </w:r>
    </w:p>
    <w:p w14:paraId="28FE3052" w14:textId="77777777" w:rsidR="00824BFE" w:rsidRDefault="00824BFE" w:rsidP="00824BFE">
      <w:pPr>
        <w:contextualSpacing/>
      </w:pPr>
    </w:p>
    <w:p w14:paraId="3A90762F" w14:textId="77777777" w:rsidR="00824BFE" w:rsidRPr="00761653" w:rsidRDefault="00824BFE" w:rsidP="00824BFE">
      <w:pPr>
        <w:contextualSpacing/>
      </w:pPr>
      <w:r w:rsidRPr="00761653">
        <w:t>Таблица 1. Показания к проведению диагностических исследований у больных с гематологическими заболеваниями и инфекциями.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824BFE" w:rsidRPr="00761653" w14:paraId="17E1C60F" w14:textId="77777777" w:rsidTr="00824BFE">
        <w:trPr>
          <w:trHeight w:val="93"/>
        </w:trPr>
        <w:tc>
          <w:tcPr>
            <w:tcW w:w="3510" w:type="dxa"/>
            <w:tcMar>
              <w:top w:w="100" w:type="nil"/>
              <w:right w:w="100" w:type="nil"/>
            </w:tcMar>
            <w:vAlign w:val="center"/>
          </w:tcPr>
          <w:p w14:paraId="5312ABFC" w14:textId="77777777" w:rsidR="00824BFE" w:rsidRPr="00761653" w:rsidRDefault="00824BFE" w:rsidP="00824BFE">
            <w:pPr>
              <w:spacing w:line="240" w:lineRule="auto"/>
              <w:ind w:left="57" w:right="57"/>
              <w:jc w:val="center"/>
              <w:rPr>
                <w:b/>
                <w:bCs/>
              </w:rPr>
            </w:pPr>
            <w:r w:rsidRPr="00761653">
              <w:rPr>
                <w:b/>
                <w:bCs/>
              </w:rPr>
              <w:t>Показания</w:t>
            </w:r>
          </w:p>
        </w:tc>
        <w:tc>
          <w:tcPr>
            <w:tcW w:w="6096" w:type="dxa"/>
            <w:tcMar>
              <w:top w:w="100" w:type="nil"/>
              <w:right w:w="100" w:type="nil"/>
            </w:tcMar>
            <w:vAlign w:val="center"/>
          </w:tcPr>
          <w:p w14:paraId="0E5CC442" w14:textId="77777777" w:rsidR="00824BFE" w:rsidRPr="00761653" w:rsidRDefault="00824BFE" w:rsidP="00824BFE">
            <w:pPr>
              <w:spacing w:line="240" w:lineRule="auto"/>
              <w:ind w:left="57" w:right="57"/>
              <w:jc w:val="center"/>
              <w:rPr>
                <w:b/>
                <w:bCs/>
              </w:rPr>
            </w:pPr>
            <w:r w:rsidRPr="00761653">
              <w:rPr>
                <w:b/>
                <w:bCs/>
              </w:rPr>
              <w:t>Исследование</w:t>
            </w:r>
          </w:p>
        </w:tc>
      </w:tr>
      <w:tr w:rsidR="00824BFE" w:rsidRPr="00265B67" w14:paraId="2AE3AE22" w14:textId="77777777" w:rsidTr="00824BFE">
        <w:trPr>
          <w:trHeight w:val="702"/>
        </w:trPr>
        <w:tc>
          <w:tcPr>
            <w:tcW w:w="3510" w:type="dxa"/>
            <w:tcMar>
              <w:top w:w="100" w:type="nil"/>
              <w:right w:w="100" w:type="nil"/>
            </w:tcMar>
            <w:vAlign w:val="center"/>
          </w:tcPr>
          <w:p w14:paraId="4B77FC20" w14:textId="77777777" w:rsidR="00824BFE" w:rsidRPr="00761653" w:rsidRDefault="00824BFE" w:rsidP="00824BFE">
            <w:pPr>
              <w:spacing w:line="240" w:lineRule="auto"/>
              <w:ind w:left="57" w:right="57"/>
            </w:pPr>
            <w:r w:rsidRPr="00761653">
              <w:t xml:space="preserve">Температура ≥38°С, </w:t>
            </w:r>
          </w:p>
          <w:p w14:paraId="551026D3" w14:textId="77777777" w:rsidR="00824BFE" w:rsidRPr="00761653" w:rsidRDefault="00824BFE" w:rsidP="00824BFE">
            <w:pPr>
              <w:spacing w:line="240" w:lineRule="auto"/>
              <w:ind w:left="57" w:right="57"/>
            </w:pPr>
            <w:r w:rsidRPr="00761653">
              <w:t>впервые возникшая</w:t>
            </w:r>
          </w:p>
        </w:tc>
        <w:tc>
          <w:tcPr>
            <w:tcW w:w="6096" w:type="dxa"/>
            <w:tcMar>
              <w:top w:w="100" w:type="nil"/>
              <w:right w:w="100" w:type="nil"/>
            </w:tcMar>
            <w:vAlign w:val="center"/>
          </w:tcPr>
          <w:p w14:paraId="67AE4644" w14:textId="77777777" w:rsidR="00824BFE" w:rsidRPr="00761653" w:rsidRDefault="00824BFE" w:rsidP="00824BFE">
            <w:pPr>
              <w:spacing w:line="240" w:lineRule="auto"/>
              <w:ind w:left="57" w:right="57"/>
            </w:pPr>
            <w:r w:rsidRPr="00761653">
              <w:t xml:space="preserve">Взятие крови в 2 флакона для гемокультуры </w:t>
            </w:r>
          </w:p>
          <w:p w14:paraId="23CA81D6" w14:textId="77777777" w:rsidR="00824BFE" w:rsidRPr="00761653" w:rsidRDefault="00824BFE" w:rsidP="00824BFE">
            <w:pPr>
              <w:spacing w:line="240" w:lineRule="auto"/>
              <w:ind w:left="57" w:right="57"/>
            </w:pPr>
            <w:r w:rsidRPr="00761653">
              <w:t>(вена-катетер или вена-вена)</w:t>
            </w:r>
          </w:p>
        </w:tc>
      </w:tr>
      <w:tr w:rsidR="00824BFE" w:rsidRPr="00265B67" w14:paraId="506B0AA5" w14:textId="77777777" w:rsidTr="00824BFE">
        <w:trPr>
          <w:trHeight w:val="841"/>
        </w:trPr>
        <w:tc>
          <w:tcPr>
            <w:tcW w:w="3510" w:type="dxa"/>
            <w:tcMar>
              <w:top w:w="100" w:type="nil"/>
              <w:right w:w="100" w:type="nil"/>
            </w:tcMar>
            <w:vAlign w:val="center"/>
          </w:tcPr>
          <w:p w14:paraId="7B9C1B73" w14:textId="77777777" w:rsidR="00824BFE" w:rsidRPr="00761653" w:rsidRDefault="00824BFE" w:rsidP="00824BFE">
            <w:pPr>
              <w:spacing w:line="240" w:lineRule="auto"/>
              <w:ind w:left="57" w:right="57"/>
            </w:pPr>
            <w:r w:rsidRPr="00761653">
              <w:t>Температура ≥38°С в течение</w:t>
            </w:r>
          </w:p>
          <w:p w14:paraId="2ED60776" w14:textId="77777777" w:rsidR="00824BFE" w:rsidRPr="00761653" w:rsidRDefault="00824BFE" w:rsidP="00824BFE">
            <w:pPr>
              <w:spacing w:line="240" w:lineRule="auto"/>
              <w:ind w:left="57" w:right="57"/>
            </w:pPr>
            <w:r w:rsidRPr="00761653">
              <w:t xml:space="preserve"> ≥ 5 дней и лейкопения </w:t>
            </w:r>
          </w:p>
        </w:tc>
        <w:tc>
          <w:tcPr>
            <w:tcW w:w="6096" w:type="dxa"/>
            <w:tcMar>
              <w:top w:w="100" w:type="nil"/>
              <w:right w:w="100" w:type="nil"/>
            </w:tcMar>
            <w:vAlign w:val="center"/>
          </w:tcPr>
          <w:p w14:paraId="63E8F6EF" w14:textId="77777777" w:rsidR="00824BFE" w:rsidRPr="00761653" w:rsidRDefault="00824BFE" w:rsidP="00824BFE">
            <w:pPr>
              <w:spacing w:line="240" w:lineRule="auto"/>
              <w:ind w:left="57" w:right="57"/>
              <w:contextualSpacing/>
              <w:rPr>
                <w:rFonts w:eastAsia="MS Mincho"/>
              </w:rPr>
            </w:pPr>
            <w:r w:rsidRPr="00761653">
              <w:t>Повторное взятие крови для гемокультуры 1 раз в неделю</w:t>
            </w:r>
          </w:p>
          <w:p w14:paraId="7B560A15" w14:textId="77777777" w:rsidR="00824BFE" w:rsidRPr="00761653" w:rsidRDefault="00824BFE" w:rsidP="00824BFE">
            <w:pPr>
              <w:spacing w:line="240" w:lineRule="auto"/>
              <w:ind w:left="57" w:right="57"/>
              <w:contextualSpacing/>
            </w:pPr>
            <w:r w:rsidRPr="00761653">
              <w:t>Микробиологическое исследование мочи</w:t>
            </w:r>
          </w:p>
          <w:p w14:paraId="2ECDD0F9" w14:textId="77777777" w:rsidR="00824BFE" w:rsidRPr="00761653" w:rsidRDefault="00824BFE" w:rsidP="00824BFE">
            <w:pPr>
              <w:spacing w:line="240" w:lineRule="auto"/>
              <w:ind w:left="57" w:right="57"/>
              <w:contextualSpacing/>
            </w:pPr>
            <w:r w:rsidRPr="00761653">
              <w:lastRenderedPageBreak/>
              <w:t>Ректальный мазок</w:t>
            </w:r>
          </w:p>
          <w:p w14:paraId="28D6B85A" w14:textId="77777777" w:rsidR="00824BFE" w:rsidRPr="00761653" w:rsidRDefault="00824BFE" w:rsidP="00824BFE">
            <w:pPr>
              <w:spacing w:line="240" w:lineRule="auto"/>
              <w:ind w:left="57" w:right="57"/>
              <w:contextualSpacing/>
            </w:pPr>
            <w:r w:rsidRPr="00761653">
              <w:t>КТВР легких</w:t>
            </w:r>
          </w:p>
        </w:tc>
      </w:tr>
      <w:tr w:rsidR="00824BFE" w:rsidRPr="00975FC1" w14:paraId="798975A6" w14:textId="77777777" w:rsidTr="00824BFE">
        <w:trPr>
          <w:trHeight w:val="1491"/>
        </w:trPr>
        <w:tc>
          <w:tcPr>
            <w:tcW w:w="3510" w:type="dxa"/>
            <w:tcMar>
              <w:top w:w="100" w:type="nil"/>
              <w:right w:w="100" w:type="nil"/>
            </w:tcMar>
            <w:vAlign w:val="center"/>
          </w:tcPr>
          <w:p w14:paraId="35842D64" w14:textId="77777777" w:rsidR="00824BFE" w:rsidRPr="00761653" w:rsidRDefault="00824BFE" w:rsidP="00824BFE">
            <w:pPr>
              <w:spacing w:line="240" w:lineRule="auto"/>
              <w:ind w:left="57" w:right="57"/>
            </w:pPr>
            <w:r w:rsidRPr="00761653">
              <w:lastRenderedPageBreak/>
              <w:t>Температура ≥38°С, длительная, сохраняется после «выхода» из нейтропении</w:t>
            </w:r>
          </w:p>
        </w:tc>
        <w:tc>
          <w:tcPr>
            <w:tcW w:w="6096" w:type="dxa"/>
            <w:tcMar>
              <w:top w:w="100" w:type="nil"/>
              <w:right w:w="100" w:type="nil"/>
            </w:tcMar>
            <w:vAlign w:val="center"/>
          </w:tcPr>
          <w:p w14:paraId="2ACE19D0" w14:textId="77777777" w:rsidR="00824BFE" w:rsidRPr="00761653" w:rsidRDefault="00824BFE" w:rsidP="00824BFE">
            <w:pPr>
              <w:spacing w:line="240" w:lineRule="auto"/>
              <w:ind w:left="57" w:right="57"/>
              <w:contextualSpacing/>
              <w:rPr>
                <w:rFonts w:eastAsia="MS Mincho"/>
              </w:rPr>
            </w:pPr>
            <w:r w:rsidRPr="00761653">
              <w:t>УЗИ брюшной полости</w:t>
            </w:r>
          </w:p>
          <w:p w14:paraId="3FC11B27" w14:textId="77777777" w:rsidR="00824BFE" w:rsidRPr="00761653" w:rsidRDefault="00824BFE" w:rsidP="00824BFE">
            <w:pPr>
              <w:spacing w:line="240" w:lineRule="auto"/>
              <w:ind w:left="57" w:right="57"/>
              <w:contextualSpacing/>
            </w:pPr>
            <w:r w:rsidRPr="00761653">
              <w:t xml:space="preserve">Определение антигена </w:t>
            </w:r>
            <w:r w:rsidRPr="00761653">
              <w:rPr>
                <w:i/>
              </w:rPr>
              <w:t>Candida</w:t>
            </w:r>
            <w:r w:rsidRPr="00761653">
              <w:t xml:space="preserve"> (маннан) и антител </w:t>
            </w:r>
            <w:r w:rsidRPr="00761653">
              <w:rPr>
                <w:i/>
              </w:rPr>
              <w:t>Candida</w:t>
            </w:r>
            <w:r w:rsidRPr="00761653">
              <w:t xml:space="preserve"> (антиманнан) в крови</w:t>
            </w:r>
          </w:p>
          <w:p w14:paraId="6E3B71CB" w14:textId="77777777" w:rsidR="00824BFE" w:rsidRPr="00761653" w:rsidRDefault="00824BFE" w:rsidP="00824BFE">
            <w:pPr>
              <w:spacing w:line="240" w:lineRule="auto"/>
              <w:ind w:left="57" w:right="57"/>
              <w:contextualSpacing/>
            </w:pPr>
            <w:r w:rsidRPr="00761653">
              <w:t>КТВР или МРТ органов брюшной полости при неинформативном УЗИ</w:t>
            </w:r>
          </w:p>
        </w:tc>
      </w:tr>
      <w:tr w:rsidR="00824BFE" w:rsidRPr="00975FC1" w14:paraId="570787F1" w14:textId="77777777" w:rsidTr="00824BFE">
        <w:trPr>
          <w:trHeight w:val="1731"/>
        </w:trPr>
        <w:tc>
          <w:tcPr>
            <w:tcW w:w="3510" w:type="dxa"/>
            <w:tcMar>
              <w:top w:w="100" w:type="nil"/>
              <w:right w:w="100" w:type="nil"/>
            </w:tcMar>
            <w:vAlign w:val="center"/>
          </w:tcPr>
          <w:p w14:paraId="297359B7" w14:textId="77777777" w:rsidR="00824BFE" w:rsidRPr="00761653" w:rsidRDefault="00824BFE" w:rsidP="00824BFE">
            <w:pPr>
              <w:spacing w:line="240" w:lineRule="auto"/>
              <w:ind w:left="57" w:right="57"/>
            </w:pPr>
            <w:r w:rsidRPr="00761653">
              <w:t>Катетер-ассоциированная инфекция</w:t>
            </w:r>
          </w:p>
        </w:tc>
        <w:tc>
          <w:tcPr>
            <w:tcW w:w="6096" w:type="dxa"/>
            <w:tcMar>
              <w:top w:w="100" w:type="nil"/>
              <w:right w:w="100" w:type="nil"/>
            </w:tcMar>
            <w:vAlign w:val="center"/>
          </w:tcPr>
          <w:p w14:paraId="4945976C" w14:textId="77777777" w:rsidR="00824BFE" w:rsidRPr="00761653" w:rsidRDefault="00824BFE" w:rsidP="00824BFE">
            <w:pPr>
              <w:spacing w:line="240" w:lineRule="auto"/>
              <w:ind w:left="57" w:right="57"/>
              <w:contextualSpacing/>
              <w:rPr>
                <w:rFonts w:eastAsia="MS Mincho"/>
              </w:rPr>
            </w:pPr>
            <w:r w:rsidRPr="00761653">
              <w:t>Взятие одновременно крови из вены и из ЦВК для микробиологического исследования</w:t>
            </w:r>
          </w:p>
          <w:p w14:paraId="0DCEF130" w14:textId="77777777" w:rsidR="00824BFE" w:rsidRPr="00761653" w:rsidRDefault="00824BFE" w:rsidP="00824BFE">
            <w:pPr>
              <w:spacing w:line="240" w:lineRule="auto"/>
              <w:ind w:left="57" w:right="57"/>
              <w:contextualSpacing/>
            </w:pPr>
            <w:r w:rsidRPr="00761653">
              <w:t>Положительная гемокультура из ЦВК получена раньше на 2 часа и более чем из вены – удаление ЦВК ввиду высокой вероятности его инфицирования</w:t>
            </w:r>
          </w:p>
        </w:tc>
      </w:tr>
      <w:tr w:rsidR="00824BFE" w:rsidRPr="00265B67" w14:paraId="7FD360C8" w14:textId="77777777" w:rsidTr="00824BFE">
        <w:trPr>
          <w:trHeight w:val="698"/>
        </w:trPr>
        <w:tc>
          <w:tcPr>
            <w:tcW w:w="3510" w:type="dxa"/>
            <w:tcMar>
              <w:top w:w="100" w:type="nil"/>
              <w:right w:w="100" w:type="nil"/>
            </w:tcMar>
            <w:vAlign w:val="center"/>
          </w:tcPr>
          <w:p w14:paraId="56F709A8" w14:textId="77777777" w:rsidR="00824BFE" w:rsidRPr="00761653" w:rsidRDefault="00824BFE" w:rsidP="00824BFE">
            <w:pPr>
              <w:spacing w:line="240" w:lineRule="auto"/>
              <w:ind w:left="57" w:right="57"/>
            </w:pPr>
            <w:r w:rsidRPr="00761653">
              <w:t xml:space="preserve">Ожидаемая нейтропения (лейкопения) &gt;10 дней </w:t>
            </w:r>
          </w:p>
        </w:tc>
        <w:tc>
          <w:tcPr>
            <w:tcW w:w="6096" w:type="dxa"/>
            <w:tcMar>
              <w:top w:w="100" w:type="nil"/>
              <w:right w:w="100" w:type="nil"/>
            </w:tcMar>
            <w:vAlign w:val="center"/>
          </w:tcPr>
          <w:p w14:paraId="5E3A5B74" w14:textId="77777777" w:rsidR="00824BFE" w:rsidRPr="00761653" w:rsidRDefault="00824BFE" w:rsidP="00824BFE">
            <w:pPr>
              <w:spacing w:line="240" w:lineRule="auto"/>
              <w:ind w:left="57" w:right="57"/>
            </w:pPr>
            <w:r w:rsidRPr="00761653">
              <w:t xml:space="preserve">Исследование крови на антиген </w:t>
            </w:r>
            <w:r w:rsidRPr="00761653">
              <w:rPr>
                <w:i/>
                <w:iCs/>
              </w:rPr>
              <w:t>Aspergillus</w:t>
            </w:r>
            <w:r w:rsidRPr="00761653">
              <w:t xml:space="preserve"> 2 раза в неделю</w:t>
            </w:r>
          </w:p>
        </w:tc>
      </w:tr>
      <w:tr w:rsidR="00824BFE" w:rsidRPr="00761653" w14:paraId="3884D574" w14:textId="77777777" w:rsidTr="00824BFE">
        <w:trPr>
          <w:trHeight w:val="556"/>
        </w:trPr>
        <w:tc>
          <w:tcPr>
            <w:tcW w:w="3510" w:type="dxa"/>
            <w:tcMar>
              <w:top w:w="100" w:type="nil"/>
              <w:right w:w="100" w:type="nil"/>
            </w:tcMar>
            <w:vAlign w:val="center"/>
          </w:tcPr>
          <w:p w14:paraId="6B34CB38" w14:textId="77777777" w:rsidR="00824BFE" w:rsidRPr="00761653" w:rsidRDefault="00824BFE" w:rsidP="00824BFE">
            <w:pPr>
              <w:spacing w:line="240" w:lineRule="auto"/>
              <w:ind w:left="57" w:right="57"/>
            </w:pPr>
            <w:r w:rsidRPr="00761653">
              <w:t>Стоматит</w:t>
            </w:r>
          </w:p>
        </w:tc>
        <w:tc>
          <w:tcPr>
            <w:tcW w:w="6096" w:type="dxa"/>
            <w:tcMar>
              <w:top w:w="100" w:type="nil"/>
              <w:right w:w="100" w:type="nil"/>
            </w:tcMar>
            <w:vAlign w:val="center"/>
          </w:tcPr>
          <w:p w14:paraId="63651934" w14:textId="77777777" w:rsidR="00824BFE" w:rsidRPr="00761653" w:rsidRDefault="00824BFE" w:rsidP="00824BFE">
            <w:pPr>
              <w:spacing w:line="240" w:lineRule="auto"/>
              <w:ind w:left="57" w:right="57"/>
            </w:pPr>
            <w:r w:rsidRPr="00761653">
              <w:t>Мазок со слизистой ротоглотки</w:t>
            </w:r>
          </w:p>
        </w:tc>
      </w:tr>
      <w:tr w:rsidR="00824BFE" w:rsidRPr="00265B67" w14:paraId="5CC173E5" w14:textId="77777777" w:rsidTr="00824BFE">
        <w:trPr>
          <w:trHeight w:val="976"/>
        </w:trPr>
        <w:tc>
          <w:tcPr>
            <w:tcW w:w="3510" w:type="dxa"/>
            <w:tcMar>
              <w:top w:w="100" w:type="nil"/>
              <w:right w:w="100" w:type="nil"/>
            </w:tcMar>
            <w:vAlign w:val="center"/>
          </w:tcPr>
          <w:p w14:paraId="5AFD9CC1" w14:textId="77777777" w:rsidR="00824BFE" w:rsidRPr="00761653" w:rsidRDefault="00824BFE" w:rsidP="00824BFE">
            <w:pPr>
              <w:spacing w:line="240" w:lineRule="auto"/>
              <w:ind w:left="57" w:right="57"/>
            </w:pPr>
            <w:r w:rsidRPr="00761653">
              <w:t>Эзофагит</w:t>
            </w:r>
          </w:p>
        </w:tc>
        <w:tc>
          <w:tcPr>
            <w:tcW w:w="6096" w:type="dxa"/>
            <w:tcMar>
              <w:top w:w="100" w:type="nil"/>
              <w:right w:w="100" w:type="nil"/>
            </w:tcMar>
            <w:vAlign w:val="center"/>
          </w:tcPr>
          <w:p w14:paraId="4E737B3E" w14:textId="77777777" w:rsidR="00824BFE" w:rsidRPr="00761653" w:rsidRDefault="00824BFE" w:rsidP="00824BFE">
            <w:pPr>
              <w:spacing w:line="240" w:lineRule="auto"/>
              <w:ind w:left="57" w:right="57"/>
            </w:pPr>
            <w:r w:rsidRPr="00761653">
              <w:t>Эзофагоскопия (тромбоцитов не менее 50x10</w:t>
            </w:r>
            <w:r w:rsidRPr="00761653">
              <w:rPr>
                <w:vertAlign w:val="superscript"/>
              </w:rPr>
              <w:t>9</w:t>
            </w:r>
            <w:r w:rsidRPr="00761653">
              <w:t>/л)</w:t>
            </w:r>
          </w:p>
          <w:p w14:paraId="3F4BDF47" w14:textId="77777777" w:rsidR="00824BFE" w:rsidRPr="00761653" w:rsidRDefault="00824BFE" w:rsidP="00824BFE">
            <w:pPr>
              <w:spacing w:line="240" w:lineRule="auto"/>
              <w:ind w:left="57" w:right="57"/>
            </w:pPr>
            <w:r w:rsidRPr="00761653">
              <w:t>Исследование - соскоб (браш-метод) со слизистой оболочки или биопсия</w:t>
            </w:r>
          </w:p>
        </w:tc>
      </w:tr>
      <w:tr w:rsidR="00824BFE" w:rsidRPr="00265B67" w14:paraId="3F4C0C4B" w14:textId="77777777" w:rsidTr="00824BFE">
        <w:trPr>
          <w:trHeight w:val="704"/>
        </w:trPr>
        <w:tc>
          <w:tcPr>
            <w:tcW w:w="3510" w:type="dxa"/>
            <w:tcMar>
              <w:top w:w="100" w:type="nil"/>
              <w:right w:w="100" w:type="nil"/>
            </w:tcMar>
            <w:vAlign w:val="center"/>
          </w:tcPr>
          <w:p w14:paraId="0487EE83" w14:textId="77777777" w:rsidR="00824BFE" w:rsidRPr="00761653" w:rsidRDefault="00824BFE" w:rsidP="00824BFE">
            <w:pPr>
              <w:spacing w:line="240" w:lineRule="auto"/>
              <w:ind w:left="57" w:right="57"/>
            </w:pPr>
            <w:r w:rsidRPr="00761653">
              <w:t>Некроз слизистой оболочки носового хода</w:t>
            </w:r>
          </w:p>
        </w:tc>
        <w:tc>
          <w:tcPr>
            <w:tcW w:w="6096" w:type="dxa"/>
            <w:tcMar>
              <w:top w:w="100" w:type="nil"/>
              <w:right w:w="100" w:type="nil"/>
            </w:tcMar>
            <w:vAlign w:val="center"/>
          </w:tcPr>
          <w:p w14:paraId="6DD5D4A7" w14:textId="77777777" w:rsidR="00824BFE" w:rsidRPr="00761653" w:rsidRDefault="00824BFE" w:rsidP="00824BFE">
            <w:pPr>
              <w:spacing w:line="240" w:lineRule="auto"/>
              <w:ind w:left="57" w:right="57"/>
            </w:pPr>
            <w:r w:rsidRPr="00761653">
              <w:t>Мазок со слизистой оболочки носа</w:t>
            </w:r>
          </w:p>
        </w:tc>
      </w:tr>
      <w:tr w:rsidR="00824BFE" w:rsidRPr="00265B67" w14:paraId="002B7198" w14:textId="77777777" w:rsidTr="00824BFE">
        <w:trPr>
          <w:trHeight w:val="701"/>
        </w:trPr>
        <w:tc>
          <w:tcPr>
            <w:tcW w:w="3510" w:type="dxa"/>
            <w:tcMar>
              <w:top w:w="100" w:type="nil"/>
              <w:right w:w="100" w:type="nil"/>
            </w:tcMar>
            <w:vAlign w:val="center"/>
          </w:tcPr>
          <w:p w14:paraId="63807C60" w14:textId="77777777" w:rsidR="00824BFE" w:rsidRPr="00761653" w:rsidRDefault="00824BFE" w:rsidP="00824BFE">
            <w:pPr>
              <w:spacing w:line="240" w:lineRule="auto"/>
              <w:ind w:left="57" w:right="57"/>
            </w:pPr>
            <w:r w:rsidRPr="00761653">
              <w:t>Гайморит</w:t>
            </w:r>
          </w:p>
        </w:tc>
        <w:tc>
          <w:tcPr>
            <w:tcW w:w="6096" w:type="dxa"/>
            <w:tcMar>
              <w:top w:w="100" w:type="nil"/>
              <w:right w:w="100" w:type="nil"/>
            </w:tcMar>
            <w:vAlign w:val="center"/>
          </w:tcPr>
          <w:p w14:paraId="533054A0" w14:textId="77777777" w:rsidR="00824BFE" w:rsidRPr="00761653" w:rsidRDefault="00824BFE" w:rsidP="00824BFE">
            <w:pPr>
              <w:spacing w:line="240" w:lineRule="auto"/>
              <w:ind w:left="57" w:right="57"/>
            </w:pPr>
            <w:r w:rsidRPr="00761653">
              <w:t>Исследование содержимого околоносовой пазухи, полученной при пункции</w:t>
            </w:r>
          </w:p>
        </w:tc>
      </w:tr>
      <w:tr w:rsidR="00824BFE" w:rsidRPr="00761653" w14:paraId="33831FB8" w14:textId="77777777" w:rsidTr="00824BFE">
        <w:trPr>
          <w:trHeight w:val="825"/>
        </w:trPr>
        <w:tc>
          <w:tcPr>
            <w:tcW w:w="3510" w:type="dxa"/>
            <w:tcMar>
              <w:top w:w="100" w:type="nil"/>
              <w:right w:w="100" w:type="nil"/>
            </w:tcMar>
            <w:vAlign w:val="center"/>
          </w:tcPr>
          <w:p w14:paraId="1DB1842D" w14:textId="77777777" w:rsidR="00824BFE" w:rsidRPr="00761653" w:rsidRDefault="00824BFE" w:rsidP="00824BFE">
            <w:pPr>
              <w:spacing w:line="240" w:lineRule="auto"/>
              <w:ind w:left="57" w:right="57"/>
            </w:pPr>
            <w:r w:rsidRPr="00761653">
              <w:t>Симптомы инфекции мочевыводящих путей</w:t>
            </w:r>
          </w:p>
          <w:p w14:paraId="3E286F6B" w14:textId="77777777" w:rsidR="00824BFE" w:rsidRPr="00761653" w:rsidRDefault="00824BFE" w:rsidP="00824BFE">
            <w:pPr>
              <w:spacing w:line="240" w:lineRule="auto"/>
              <w:ind w:left="57" w:right="57"/>
            </w:pPr>
            <w:r w:rsidRPr="00761653">
              <w:t>Лейкоцитурия</w:t>
            </w:r>
          </w:p>
        </w:tc>
        <w:tc>
          <w:tcPr>
            <w:tcW w:w="6096" w:type="dxa"/>
            <w:tcMar>
              <w:top w:w="100" w:type="nil"/>
              <w:right w:w="100" w:type="nil"/>
            </w:tcMar>
            <w:vAlign w:val="center"/>
          </w:tcPr>
          <w:p w14:paraId="30471F28" w14:textId="77777777" w:rsidR="00824BFE" w:rsidRPr="00761653" w:rsidRDefault="00824BFE" w:rsidP="00824BFE">
            <w:pPr>
              <w:spacing w:line="240" w:lineRule="auto"/>
              <w:ind w:left="57" w:right="57"/>
            </w:pPr>
            <w:r w:rsidRPr="00761653">
              <w:t>Микробиологическое исследование мочи</w:t>
            </w:r>
          </w:p>
        </w:tc>
      </w:tr>
      <w:tr w:rsidR="00824BFE" w:rsidRPr="00265B67" w14:paraId="08EC6D7C" w14:textId="77777777" w:rsidTr="00824BFE">
        <w:trPr>
          <w:trHeight w:val="1016"/>
        </w:trPr>
        <w:tc>
          <w:tcPr>
            <w:tcW w:w="3510" w:type="dxa"/>
            <w:tcMar>
              <w:top w:w="100" w:type="nil"/>
              <w:right w:w="100" w:type="nil"/>
            </w:tcMar>
            <w:vAlign w:val="center"/>
          </w:tcPr>
          <w:p w14:paraId="486495AF" w14:textId="77777777" w:rsidR="00824BFE" w:rsidRPr="00761653" w:rsidRDefault="00824BFE" w:rsidP="00824BFE">
            <w:pPr>
              <w:spacing w:line="240" w:lineRule="auto"/>
              <w:ind w:left="57" w:right="57"/>
            </w:pPr>
            <w:r w:rsidRPr="00761653">
              <w:t>Пневмония</w:t>
            </w:r>
          </w:p>
        </w:tc>
        <w:tc>
          <w:tcPr>
            <w:tcW w:w="6096" w:type="dxa"/>
            <w:tcMar>
              <w:top w:w="100" w:type="nil"/>
              <w:right w:w="100" w:type="nil"/>
            </w:tcMar>
          </w:tcPr>
          <w:p w14:paraId="55CF2B1F" w14:textId="77777777" w:rsidR="00824BFE" w:rsidRPr="00761653" w:rsidRDefault="00824BFE" w:rsidP="00824BFE">
            <w:pPr>
              <w:spacing w:line="240" w:lineRule="auto"/>
              <w:ind w:left="57" w:right="57"/>
              <w:contextualSpacing/>
            </w:pPr>
            <w:r w:rsidRPr="00761653">
              <w:t>КТВР легких</w:t>
            </w:r>
          </w:p>
          <w:p w14:paraId="07B62838" w14:textId="77777777" w:rsidR="00824BFE" w:rsidRPr="00761653" w:rsidRDefault="00824BFE" w:rsidP="00824BFE">
            <w:pPr>
              <w:spacing w:line="240" w:lineRule="auto"/>
              <w:ind w:left="57" w:right="57"/>
              <w:contextualSpacing/>
            </w:pPr>
            <w:r w:rsidRPr="00761653">
              <w:t>Бронхоальвеолярный лаваж после КТВР легких</w:t>
            </w:r>
          </w:p>
          <w:p w14:paraId="7231ABA8" w14:textId="77777777" w:rsidR="00824BFE" w:rsidRPr="00761653" w:rsidRDefault="00824BFE" w:rsidP="00824BFE">
            <w:pPr>
              <w:spacing w:line="240" w:lineRule="auto"/>
              <w:ind w:left="57" w:right="57"/>
              <w:contextualSpacing/>
              <w:rPr>
                <w:rFonts w:eastAsia="MS Mincho"/>
              </w:rPr>
            </w:pPr>
            <w:r w:rsidRPr="00761653">
              <w:t xml:space="preserve">Полное исследование жидкости БАЛ (микроскопия, микробиологическое исследование на бактерии и грибы, определение галактоманнана, флюоресцентная микроскопия на </w:t>
            </w:r>
            <w:r w:rsidRPr="00761653">
              <w:rPr>
                <w:i/>
                <w:iCs/>
              </w:rPr>
              <w:t xml:space="preserve">P. jirovecii, </w:t>
            </w:r>
            <w:r w:rsidRPr="00761653">
              <w:t xml:space="preserve">определение ДНК вирусов, </w:t>
            </w:r>
            <w:r w:rsidRPr="00761653">
              <w:rPr>
                <w:i/>
                <w:iCs/>
              </w:rPr>
              <w:t>P</w:t>
            </w:r>
            <w:r w:rsidRPr="00761653">
              <w:rPr>
                <w:i/>
                <w:iCs/>
                <w:strike/>
              </w:rPr>
              <w:t>.</w:t>
            </w:r>
            <w:r w:rsidRPr="00761653">
              <w:rPr>
                <w:i/>
                <w:iCs/>
              </w:rPr>
              <w:t xml:space="preserve"> jirovecii</w:t>
            </w:r>
            <w:r w:rsidRPr="00761653">
              <w:t>,</w:t>
            </w:r>
            <w:r w:rsidRPr="00761653">
              <w:rPr>
                <w:i/>
                <w:iCs/>
              </w:rPr>
              <w:t xml:space="preserve"> M. pneumoniae, C. pneumoniae</w:t>
            </w:r>
            <w:r w:rsidRPr="00761653">
              <w:t>)</w:t>
            </w:r>
          </w:p>
          <w:p w14:paraId="76933886" w14:textId="77777777" w:rsidR="00824BFE" w:rsidRPr="00761653" w:rsidRDefault="00824BFE" w:rsidP="00824BFE">
            <w:pPr>
              <w:spacing w:line="240" w:lineRule="auto"/>
              <w:ind w:left="57" w:right="57"/>
              <w:contextualSpacing/>
            </w:pPr>
            <w:r w:rsidRPr="00761653">
              <w:t xml:space="preserve">Исследование крови на антиген </w:t>
            </w:r>
            <w:r w:rsidRPr="00761653">
              <w:rPr>
                <w:i/>
                <w:iCs/>
              </w:rPr>
              <w:t>Aspergillus</w:t>
            </w:r>
          </w:p>
        </w:tc>
      </w:tr>
      <w:tr w:rsidR="00824BFE" w:rsidRPr="00265B67" w14:paraId="62B698E7" w14:textId="77777777" w:rsidTr="00824BFE">
        <w:trPr>
          <w:trHeight w:val="360"/>
        </w:trPr>
        <w:tc>
          <w:tcPr>
            <w:tcW w:w="3510" w:type="dxa"/>
            <w:tcMar>
              <w:top w:w="100" w:type="nil"/>
              <w:right w:w="100" w:type="nil"/>
            </w:tcMar>
          </w:tcPr>
          <w:p w14:paraId="7130EAD0" w14:textId="77777777" w:rsidR="00824BFE" w:rsidRPr="00761653" w:rsidRDefault="00824BFE" w:rsidP="00824BFE">
            <w:pPr>
              <w:spacing w:line="240" w:lineRule="auto"/>
              <w:ind w:left="57" w:right="57"/>
            </w:pPr>
            <w:r w:rsidRPr="00761653">
              <w:t>Cимптомы менингита</w:t>
            </w:r>
          </w:p>
          <w:p w14:paraId="7CAD1350" w14:textId="77777777" w:rsidR="00824BFE" w:rsidRPr="00761653" w:rsidRDefault="00824BFE" w:rsidP="00824BFE">
            <w:pPr>
              <w:spacing w:line="240" w:lineRule="auto"/>
              <w:ind w:left="57" w:right="57"/>
              <w:rPr>
                <w:rFonts w:eastAsia="MS Mincho"/>
              </w:rPr>
            </w:pPr>
            <w:r w:rsidRPr="00761653">
              <w:t>«Мозговая» симптоматика на фоне лихорадки и нейтропении</w:t>
            </w:r>
          </w:p>
          <w:p w14:paraId="16CAD7AE" w14:textId="77777777" w:rsidR="00824BFE" w:rsidRPr="00761653" w:rsidRDefault="00824BFE" w:rsidP="00824BFE">
            <w:pPr>
              <w:spacing w:line="240" w:lineRule="auto"/>
              <w:ind w:left="57" w:right="57"/>
            </w:pPr>
            <w:r w:rsidRPr="00761653">
              <w:t>Обнаружение очага (очагов) в головном мозге</w:t>
            </w:r>
          </w:p>
        </w:tc>
        <w:tc>
          <w:tcPr>
            <w:tcW w:w="6096" w:type="dxa"/>
            <w:tcMar>
              <w:top w:w="100" w:type="nil"/>
              <w:right w:w="100" w:type="nil"/>
            </w:tcMar>
            <w:vAlign w:val="center"/>
          </w:tcPr>
          <w:p w14:paraId="7EC0EC2C" w14:textId="77777777" w:rsidR="00824BFE" w:rsidRPr="00761653" w:rsidRDefault="00824BFE" w:rsidP="00824BFE">
            <w:pPr>
              <w:spacing w:line="240" w:lineRule="auto"/>
              <w:ind w:left="57" w:right="57"/>
              <w:contextualSpacing/>
              <w:rPr>
                <w:rFonts w:eastAsia="MS Mincho"/>
              </w:rPr>
            </w:pPr>
            <w:r w:rsidRPr="00761653">
              <w:t>Люмбальная пункция</w:t>
            </w:r>
          </w:p>
          <w:p w14:paraId="4A315C81" w14:textId="77777777" w:rsidR="00824BFE" w:rsidRPr="00761653" w:rsidRDefault="00824BFE" w:rsidP="00824BFE">
            <w:pPr>
              <w:spacing w:line="240" w:lineRule="auto"/>
              <w:ind w:left="57" w:right="57"/>
              <w:contextualSpacing/>
            </w:pPr>
            <w:r w:rsidRPr="00761653">
              <w:t xml:space="preserve">Полное исследование СМЖ (см. текст), включая исследование на антиген </w:t>
            </w:r>
            <w:r w:rsidRPr="00761653">
              <w:rPr>
                <w:i/>
                <w:iCs/>
              </w:rPr>
              <w:t>Cryptococcus</w:t>
            </w:r>
            <w:r w:rsidRPr="00761653">
              <w:t xml:space="preserve"> (глюкуроноксиломаннан)</w:t>
            </w:r>
          </w:p>
        </w:tc>
      </w:tr>
      <w:tr w:rsidR="00824BFE" w:rsidRPr="00265B67" w14:paraId="0FCF5C41" w14:textId="77777777" w:rsidTr="00824BFE">
        <w:trPr>
          <w:trHeight w:val="93"/>
        </w:trPr>
        <w:tc>
          <w:tcPr>
            <w:tcW w:w="3510" w:type="dxa"/>
            <w:tcMar>
              <w:top w:w="100" w:type="nil"/>
              <w:right w:w="100" w:type="nil"/>
            </w:tcMar>
            <w:vAlign w:val="center"/>
          </w:tcPr>
          <w:p w14:paraId="1214C02B" w14:textId="77777777" w:rsidR="00824BFE" w:rsidRPr="00761653" w:rsidRDefault="00824BFE" w:rsidP="00824BFE">
            <w:pPr>
              <w:spacing w:line="240" w:lineRule="auto"/>
              <w:ind w:left="57" w:right="57"/>
            </w:pPr>
            <w:r w:rsidRPr="00761653">
              <w:t>Диарея</w:t>
            </w:r>
          </w:p>
        </w:tc>
        <w:tc>
          <w:tcPr>
            <w:tcW w:w="6096" w:type="dxa"/>
            <w:tcMar>
              <w:top w:w="100" w:type="nil"/>
              <w:right w:w="100" w:type="nil"/>
            </w:tcMar>
          </w:tcPr>
          <w:p w14:paraId="411CFAD4" w14:textId="77777777" w:rsidR="00824BFE" w:rsidRPr="00761653" w:rsidRDefault="00824BFE" w:rsidP="00824BFE">
            <w:pPr>
              <w:spacing w:line="240" w:lineRule="auto"/>
              <w:ind w:left="57" w:right="57"/>
            </w:pPr>
            <w:r w:rsidRPr="00761653">
              <w:t xml:space="preserve">Исследование кала на токсин </w:t>
            </w:r>
            <w:r w:rsidRPr="00761653">
              <w:rPr>
                <w:i/>
                <w:iCs/>
              </w:rPr>
              <w:t>C. difficile</w:t>
            </w:r>
          </w:p>
        </w:tc>
      </w:tr>
      <w:tr w:rsidR="00824BFE" w:rsidRPr="00265B67" w14:paraId="71303417" w14:textId="77777777" w:rsidTr="00824BFE">
        <w:trPr>
          <w:trHeight w:val="187"/>
        </w:trPr>
        <w:tc>
          <w:tcPr>
            <w:tcW w:w="3510" w:type="dxa"/>
            <w:tcMar>
              <w:top w:w="100" w:type="nil"/>
              <w:right w:w="100" w:type="nil"/>
            </w:tcMar>
            <w:vAlign w:val="center"/>
          </w:tcPr>
          <w:p w14:paraId="2112D6CC" w14:textId="77777777" w:rsidR="00824BFE" w:rsidRPr="00761653" w:rsidRDefault="00824BFE" w:rsidP="00824BFE">
            <w:pPr>
              <w:spacing w:line="240" w:lineRule="auto"/>
              <w:ind w:left="57" w:right="57"/>
              <w:contextualSpacing/>
              <w:rPr>
                <w:rFonts w:eastAsia="MS Mincho"/>
              </w:rPr>
            </w:pPr>
            <w:r w:rsidRPr="00761653">
              <w:t>Парапроктит</w:t>
            </w:r>
          </w:p>
          <w:p w14:paraId="6AC717E3" w14:textId="77777777" w:rsidR="00824BFE" w:rsidRPr="00761653" w:rsidRDefault="00824BFE" w:rsidP="00824BFE">
            <w:pPr>
              <w:spacing w:line="240" w:lineRule="auto"/>
              <w:ind w:left="57" w:right="57"/>
              <w:contextualSpacing/>
            </w:pPr>
            <w:r w:rsidRPr="00761653">
              <w:t>Трещина в области прямой кишки</w:t>
            </w:r>
          </w:p>
        </w:tc>
        <w:tc>
          <w:tcPr>
            <w:tcW w:w="6096" w:type="dxa"/>
            <w:tcMar>
              <w:top w:w="100" w:type="nil"/>
              <w:right w:w="100" w:type="nil"/>
            </w:tcMar>
            <w:vAlign w:val="center"/>
          </w:tcPr>
          <w:p w14:paraId="72EC601D" w14:textId="77777777" w:rsidR="00824BFE" w:rsidRPr="00761653" w:rsidRDefault="00824BFE" w:rsidP="00824BFE">
            <w:pPr>
              <w:spacing w:line="240" w:lineRule="auto"/>
              <w:ind w:left="57" w:right="57"/>
            </w:pPr>
            <w:r w:rsidRPr="00761653">
              <w:t>Мазок со слизистой оболочки прямой кишки</w:t>
            </w:r>
          </w:p>
        </w:tc>
      </w:tr>
      <w:tr w:rsidR="00824BFE" w:rsidRPr="00265B67" w14:paraId="74453D36" w14:textId="77777777" w:rsidTr="00824BFE">
        <w:trPr>
          <w:trHeight w:val="200"/>
        </w:trPr>
        <w:tc>
          <w:tcPr>
            <w:tcW w:w="3510" w:type="dxa"/>
            <w:tcMar>
              <w:top w:w="100" w:type="nil"/>
              <w:right w:w="100" w:type="nil"/>
            </w:tcMar>
            <w:vAlign w:val="center"/>
          </w:tcPr>
          <w:p w14:paraId="614B446C" w14:textId="77777777" w:rsidR="00824BFE" w:rsidRPr="00761653" w:rsidRDefault="00824BFE" w:rsidP="00824BFE">
            <w:pPr>
              <w:spacing w:line="240" w:lineRule="auto"/>
              <w:ind w:left="57" w:right="57"/>
              <w:contextualSpacing/>
            </w:pPr>
            <w:r w:rsidRPr="00761653">
              <w:t>Образования (инфильтраты) на коже</w:t>
            </w:r>
          </w:p>
        </w:tc>
        <w:tc>
          <w:tcPr>
            <w:tcW w:w="6096" w:type="dxa"/>
            <w:tcMar>
              <w:top w:w="100" w:type="nil"/>
              <w:right w:w="100" w:type="nil"/>
            </w:tcMar>
            <w:vAlign w:val="center"/>
          </w:tcPr>
          <w:p w14:paraId="1F8CDCFF" w14:textId="77777777" w:rsidR="00824BFE" w:rsidRPr="00761653" w:rsidRDefault="00824BFE" w:rsidP="00824BFE">
            <w:pPr>
              <w:spacing w:line="240" w:lineRule="auto"/>
              <w:ind w:left="57" w:right="57"/>
              <w:contextualSpacing/>
            </w:pPr>
            <w:r w:rsidRPr="00761653">
              <w:t>Биопсия</w:t>
            </w:r>
          </w:p>
          <w:p w14:paraId="7A06DC7A" w14:textId="77777777" w:rsidR="00824BFE" w:rsidRPr="00761653" w:rsidRDefault="00824BFE" w:rsidP="00824BFE">
            <w:pPr>
              <w:spacing w:line="240" w:lineRule="auto"/>
              <w:ind w:left="57" w:right="57"/>
              <w:contextualSpacing/>
            </w:pPr>
            <w:r w:rsidRPr="00761653">
              <w:t>Микробиологическое и гистологическое исследование биоптата</w:t>
            </w:r>
          </w:p>
        </w:tc>
      </w:tr>
    </w:tbl>
    <w:p w14:paraId="1F4A3B6D" w14:textId="77777777" w:rsidR="00824BFE" w:rsidRDefault="00824BFE" w:rsidP="00824BFE">
      <w:pPr>
        <w:tabs>
          <w:tab w:val="left" w:pos="1134"/>
        </w:tabs>
        <w:ind w:right="-130"/>
        <w:contextualSpacing/>
        <w:rPr>
          <w:b/>
          <w:bCs/>
        </w:rPr>
      </w:pPr>
    </w:p>
    <w:p w14:paraId="7DD69358" w14:textId="77777777" w:rsidR="00824BFE" w:rsidRPr="00284D51" w:rsidRDefault="00824BFE" w:rsidP="00824BFE">
      <w:pPr>
        <w:ind w:right="49"/>
        <w:contextualSpacing/>
        <w:rPr>
          <w:bCs/>
          <w:i/>
          <w:iCs/>
          <w:u w:val="single"/>
        </w:rPr>
      </w:pPr>
      <w:r w:rsidRPr="00284D51">
        <w:rPr>
          <w:bCs/>
          <w:i/>
          <w:iCs/>
          <w:u w:val="single"/>
        </w:rPr>
        <w:t>Показания к назначению антибактериальной терапии первого этапа</w:t>
      </w:r>
    </w:p>
    <w:p w14:paraId="2BDF9380" w14:textId="77777777" w:rsidR="00824BFE" w:rsidRPr="0076198F" w:rsidRDefault="00824BFE" w:rsidP="00824BFE">
      <w:pPr>
        <w:ind w:firstLine="709"/>
      </w:pPr>
      <w:r w:rsidRPr="005971E1">
        <w:t>В первые сутки, как правило, единственным симптомом ифнекционного осложнения</w:t>
      </w:r>
      <w:r>
        <w:t xml:space="preserve"> </w:t>
      </w:r>
      <w:r w:rsidRPr="0076198F">
        <w:t>бывает лишь повышение температуры</w:t>
      </w:r>
      <w:r>
        <w:t xml:space="preserve"> тела</w:t>
      </w:r>
      <w:r w:rsidRPr="0076198F">
        <w:t xml:space="preserve">, а информацию о бактериемии или пневмонии у больных с нейтропенией удается получить не раньше, чем на второй день инфекционного эпизода. В связи с этим основным принципом терапии инфекционных осложнений у </w:t>
      </w:r>
      <w:r>
        <w:t xml:space="preserve">гематологических пациентов </w:t>
      </w:r>
      <w:r w:rsidRPr="0076198F">
        <w:t>с фебрильной нейтропенией</w:t>
      </w:r>
      <w:r>
        <w:t xml:space="preserve">, особенно из группы риска, куда относятся пациенты с лимфомами (онкогематология, иммунодефицитные состояния) </w:t>
      </w:r>
      <w:r w:rsidRPr="0076198F">
        <w:t xml:space="preserve">является эмпирический подход к назначению антибактериальных препаратов, когда их применяют при первых признаках инфекции, при лихорадке до идентификации возбудителей инфекции. В то же время эмпирический подход к назначению антибиотиков является относительным, поскольку выбор антимикробных препаратов определяется ретроспективным анализом верифицированных возбудителей и их антибиотикочувствительностью. </w:t>
      </w:r>
    </w:p>
    <w:p w14:paraId="3B2A6B25" w14:textId="77777777" w:rsidR="00824BFE" w:rsidRDefault="00824BFE" w:rsidP="00824BFE">
      <w:pPr>
        <w:tabs>
          <w:tab w:val="left" w:pos="1134"/>
        </w:tabs>
        <w:ind w:right="-130" w:firstLine="709"/>
        <w:contextualSpacing/>
      </w:pPr>
      <w:r>
        <w:rPr>
          <w:bCs/>
        </w:rPr>
        <w:t>Показанием к назначению антибактериальных препаратов является п</w:t>
      </w:r>
      <w:r w:rsidRPr="00761653">
        <w:t xml:space="preserve">овышение температуры ≥38,0°С, сохраняющееся в течение 2 часов и не связанное с введением пирогенных препаратов (например, компонентов крови, факторов роста и др.) </w:t>
      </w:r>
      <w:r w:rsidRPr="008B181D">
        <w:rPr>
          <w:b/>
          <w:i/>
          <w:iCs/>
        </w:rPr>
        <w:t>или</w:t>
      </w:r>
      <w:r w:rsidRPr="00761653">
        <w:rPr>
          <w:b/>
          <w:bCs/>
        </w:rPr>
        <w:t xml:space="preserve"> </w:t>
      </w:r>
      <w:r w:rsidRPr="00761653">
        <w:t xml:space="preserve">наличие очага инфекции (например, пневмония, парапроктит и др.) вне зависимости от показателей температуры. </w:t>
      </w:r>
    </w:p>
    <w:p w14:paraId="655D3585" w14:textId="77777777" w:rsidR="00824BFE" w:rsidRPr="00761653" w:rsidRDefault="00824BFE" w:rsidP="00824BFE">
      <w:pPr>
        <w:tabs>
          <w:tab w:val="left" w:pos="1134"/>
        </w:tabs>
        <w:ind w:right="-130" w:firstLine="709"/>
        <w:contextualSpacing/>
      </w:pPr>
      <w:r w:rsidRPr="00761653">
        <w:t>При фебрильной нейтропении в 1-й линии назначают внутривенно антибиотик с активностью против грамотрицательных бактерий, включая синегнойную палочку - пиперациллин/тазобактам (4,5 г х 3 раза) или цефоперазон/сульбактам</w:t>
      </w:r>
      <w:r w:rsidRPr="00761653">
        <w:rPr>
          <w:b/>
          <w:bCs/>
        </w:rPr>
        <w:t xml:space="preserve"> (</w:t>
      </w:r>
      <w:r w:rsidRPr="00761653">
        <w:t>4 г х 2 раза). В клиниках с низкой частотой детекции энтеробактерий с продукцией БЛРС допустимо назначение цефепима</w:t>
      </w:r>
      <w:r w:rsidRPr="00761653">
        <w:rPr>
          <w:b/>
          <w:bCs/>
        </w:rPr>
        <w:t xml:space="preserve"> (</w:t>
      </w:r>
      <w:r w:rsidRPr="00761653">
        <w:t>2 г х 2 раза) или цефтазидима</w:t>
      </w:r>
      <w:r w:rsidRPr="00761653">
        <w:rPr>
          <w:b/>
          <w:bCs/>
        </w:rPr>
        <w:t xml:space="preserve"> (</w:t>
      </w:r>
      <w:r w:rsidRPr="00761653">
        <w:t xml:space="preserve">2 г х 3 раза). Препарат выбора для беременных с заболеваниями системы крови – цефепим. При неэффективности и отсутствии информативных микробиологических исследований проводят замену антибиотиков 1й линии на антипсевдомонадный карбапенем (имипенем, меропенем или дорипенем). В 1й линии </w:t>
      </w:r>
      <w:r>
        <w:t xml:space="preserve">терапии </w:t>
      </w:r>
      <w:r w:rsidRPr="00761653">
        <w:t xml:space="preserve">фебрильной нейтропении не назначают цефтриаксон, цефоперазон, фторхинолоны. </w:t>
      </w:r>
    </w:p>
    <w:p w14:paraId="43DB094E" w14:textId="77777777" w:rsidR="00824BFE" w:rsidRPr="00761653" w:rsidRDefault="00824BFE" w:rsidP="00824BFE">
      <w:pPr>
        <w:ind w:right="-220" w:firstLine="709"/>
        <w:contextualSpacing/>
      </w:pPr>
      <w:r w:rsidRPr="00761653">
        <w:t>Показаниями к назначению антипсевдомонадных карбапенемов (имипенема/циластатина, меропенема, дорипенема) в 1-й линии фебрильной нейтропениии являются септический шок; пневмония с дыхательной недостаточностью.</w:t>
      </w:r>
    </w:p>
    <w:p w14:paraId="4500D4F2" w14:textId="77777777" w:rsidR="00824BFE" w:rsidRPr="00761653" w:rsidRDefault="00824BFE" w:rsidP="00824BFE">
      <w:pPr>
        <w:tabs>
          <w:tab w:val="left" w:pos="1134"/>
        </w:tabs>
        <w:ind w:right="-220" w:firstLine="709"/>
        <w:contextualSpacing/>
      </w:pPr>
      <w:r w:rsidRPr="00761653">
        <w:t xml:space="preserve">Модификацию противомикробной терапии проводят на основании клинических симптомов, инструментальных и микробиологических исследований. У больных с персистирующей фебрильной нейтропенией и отрицательной гемокультурой при </w:t>
      </w:r>
      <w:r w:rsidRPr="00761653">
        <w:lastRenderedPageBreak/>
        <w:t xml:space="preserve">модификации учитывают чувствительность грамотрицательных бактерий, колонизирующих слизистые оболочки желудочно-кишечного тракта. При неэффективности карбапенемов и сохранении нейтропении добавляют противогрибковые препараты – эхинокандин (каспофунгин, микафунгин или анидулафунгин), вориконазол, амфотерицин В; орофарингеальном кандидозе и эзофагите - флуконазол. </w:t>
      </w:r>
    </w:p>
    <w:p w14:paraId="4BF61910" w14:textId="77777777" w:rsidR="00824BFE" w:rsidRDefault="00824BFE" w:rsidP="00824BFE">
      <w:pPr>
        <w:ind w:right="49"/>
        <w:contextualSpacing/>
        <w:rPr>
          <w:bCs/>
          <w:u w:val="single"/>
        </w:rPr>
      </w:pPr>
    </w:p>
    <w:p w14:paraId="3B2C49CA" w14:textId="77777777" w:rsidR="00824BFE" w:rsidRPr="00284D51" w:rsidRDefault="00824BFE" w:rsidP="00824BFE">
      <w:pPr>
        <w:ind w:right="49"/>
        <w:contextualSpacing/>
        <w:rPr>
          <w:bCs/>
          <w:i/>
          <w:iCs/>
          <w:u w:val="single"/>
        </w:rPr>
      </w:pPr>
      <w:r w:rsidRPr="00284D51">
        <w:rPr>
          <w:bCs/>
          <w:i/>
          <w:iCs/>
          <w:u w:val="single"/>
        </w:rPr>
        <w:t>Эмпирическое назначение противогрибковых препаратов</w:t>
      </w:r>
    </w:p>
    <w:p w14:paraId="2D178F18" w14:textId="77777777" w:rsidR="00824BFE" w:rsidRPr="00761653" w:rsidRDefault="00824BFE" w:rsidP="00824BFE">
      <w:pPr>
        <w:ind w:right="-211" w:firstLine="709"/>
        <w:contextualSpacing/>
      </w:pPr>
      <w:r w:rsidRPr="00761653">
        <w:t>Эмпирическое назначение противогрибковых препаратов проводят на 4-7-й дни персистирующей фебрильной нейтропении в группе высокого риска возникновения инвазивных микозов (</w:t>
      </w:r>
      <w:r>
        <w:t>пациенты с</w:t>
      </w:r>
      <w:r w:rsidRPr="00761653">
        <w:t xml:space="preserve"> острым лейкозом, миелодиспластическим синдромом, реципиенты аллогенных ТГСК</w:t>
      </w:r>
      <w:r>
        <w:t>, агрессивными лимфомами, при длительной терапии глюкортикостероидами и др.</w:t>
      </w:r>
      <w:r w:rsidRPr="00761653">
        <w:t>), при условии отсутствия у них других клинических симптомов, а также р</w:t>
      </w:r>
      <w:r>
        <w:t>адиоло</w:t>
      </w:r>
      <w:r w:rsidRPr="00761653">
        <w:t xml:space="preserve">гических и лабораторных данных за иную инфекцию или другой инвазивный микоз. Препарат выбора – каспофунгин (в 1-й день 70 мг, далее по 50 мг внутривенно 1 раз в сутки), микафунгин (100 мг один раз в сутки внутривенно), анидулафунгин (в 1-й день 200 мг, далее по 100 мг 1 раз в сутки, внутривенно); альтернативные – вориконазол (в 1-й день по 6мг/кг внутривенно 2 раза в сутки, в последующие дни по 4 мг/кг внутривенно 2 раза в сутки, с переходом на пероральный прием по 200 мг 2 раза в сутки), амфотерицин В (0,8—1,0 мг/кг внутривенно 1 раз в сутки), липидные формы амфотерицина В (3 мг/кг внутривенно 1 раз в сутки). Как правило, тепература нормализуется в течение первых трех дней применения антимикотиков, и общая </w:t>
      </w:r>
      <w:r w:rsidRPr="00761653">
        <w:rPr>
          <w:bCs/>
        </w:rPr>
        <w:t>длительность применения противогрибковых препаратов</w:t>
      </w:r>
      <w:r w:rsidRPr="00761653">
        <w:t xml:space="preserve"> составляет 10-14 дней.</w:t>
      </w:r>
    </w:p>
    <w:p w14:paraId="7BD954D8" w14:textId="77777777" w:rsidR="00824BFE" w:rsidRDefault="00824BFE" w:rsidP="00824BFE">
      <w:pPr>
        <w:ind w:right="49"/>
        <w:contextualSpacing/>
        <w:rPr>
          <w:bCs/>
          <w:u w:val="single"/>
        </w:rPr>
      </w:pPr>
    </w:p>
    <w:p w14:paraId="5B98ED76" w14:textId="77777777" w:rsidR="00824BFE" w:rsidRPr="00284D51" w:rsidRDefault="00824BFE" w:rsidP="00824BFE">
      <w:pPr>
        <w:ind w:right="49"/>
        <w:contextualSpacing/>
        <w:rPr>
          <w:bCs/>
          <w:i/>
          <w:iCs/>
          <w:u w:val="single"/>
        </w:rPr>
      </w:pPr>
      <w:r w:rsidRPr="00284D51">
        <w:rPr>
          <w:bCs/>
          <w:i/>
          <w:iCs/>
          <w:u w:val="single"/>
        </w:rPr>
        <w:t>Превентивная терапия инвазивного микоза</w:t>
      </w:r>
    </w:p>
    <w:p w14:paraId="14DA9F9C" w14:textId="77777777" w:rsidR="00824BFE" w:rsidRPr="00761653" w:rsidRDefault="00824BFE" w:rsidP="00824BFE">
      <w:pPr>
        <w:ind w:right="-211" w:firstLine="709"/>
        <w:contextualSpacing/>
      </w:pPr>
      <w:r w:rsidRPr="00761653">
        <w:rPr>
          <w:bCs/>
        </w:rPr>
        <w:t xml:space="preserve">Показаниями </w:t>
      </w:r>
      <w:r w:rsidRPr="00761653">
        <w:t>к превентивному назначению противогрибковых препаратов являются пневмония с р</w:t>
      </w:r>
      <w:r>
        <w:t>адио</w:t>
      </w:r>
      <w:r w:rsidRPr="00761653">
        <w:t>логическими признаками</w:t>
      </w:r>
      <w:r>
        <w:t>,</w:t>
      </w:r>
      <w:r w:rsidRPr="00761653">
        <w:t xml:space="preserve"> нехарактерными для инвазивного аспергиллеза, которая сохраняется или прогрессирует на фоне применения антибиотиков у </w:t>
      </w:r>
      <w:r>
        <w:t>пациентов</w:t>
      </w:r>
      <w:r w:rsidRPr="00761653">
        <w:t xml:space="preserve"> с факторами риска возникновения инвазивного аспергиллеза (нейтропения от 10 дней и более) или </w:t>
      </w:r>
      <w:r>
        <w:t xml:space="preserve">при </w:t>
      </w:r>
      <w:r w:rsidRPr="00761653">
        <w:t>положительн</w:t>
      </w:r>
      <w:r>
        <w:t>ом</w:t>
      </w:r>
      <w:r w:rsidRPr="00761653">
        <w:t xml:space="preserve"> результат</w:t>
      </w:r>
      <w:r>
        <w:t>е</w:t>
      </w:r>
      <w:r w:rsidRPr="00761653">
        <w:t xml:space="preserve"> определения антигена </w:t>
      </w:r>
      <w:r w:rsidRPr="00761653">
        <w:rPr>
          <w:i/>
          <w:iCs/>
        </w:rPr>
        <w:t xml:space="preserve">Aspergillus </w:t>
      </w:r>
      <w:r w:rsidRPr="00761653">
        <w:t xml:space="preserve">spp. (галактоманнан) в крови в отсутствие пневмонии. Превентивное назначение противогрибковых препаратов проводят </w:t>
      </w:r>
      <w:r>
        <w:t>пациентам</w:t>
      </w:r>
      <w:r w:rsidRPr="00761653">
        <w:t>, входящим в группу высокого риска возникновения инвазивного аспергиллеза (острый лейкоз, миелодиспластический синдром, апластическая анемия, реципиенты аллогенных СГК).</w:t>
      </w:r>
    </w:p>
    <w:p w14:paraId="2229F20D" w14:textId="77777777" w:rsidR="00824BFE" w:rsidRPr="00761653" w:rsidRDefault="00824BFE" w:rsidP="00824BFE">
      <w:pPr>
        <w:ind w:right="-211" w:firstLine="709"/>
        <w:contextualSpacing/>
      </w:pPr>
      <w:r w:rsidRPr="00761653">
        <w:rPr>
          <w:bCs/>
        </w:rPr>
        <w:lastRenderedPageBreak/>
        <w:t>Лечение включает назначение в</w:t>
      </w:r>
      <w:r w:rsidRPr="00761653">
        <w:t>ориконазола, в первый день по 6 мг/кг внутривенно 2 раза в сутки, в последующие дни по 4 мг/кг внутривенно 2 раза в сутки, с переходом на пероральный прием по 200 мг 2 раза в сутки.</w:t>
      </w:r>
    </w:p>
    <w:p w14:paraId="3E37900D" w14:textId="77777777" w:rsidR="00824BFE" w:rsidRDefault="00824BFE" w:rsidP="00824BFE">
      <w:pPr>
        <w:tabs>
          <w:tab w:val="left" w:pos="1134"/>
        </w:tabs>
        <w:ind w:right="49"/>
        <w:contextualSpacing/>
        <w:rPr>
          <w:b/>
        </w:rPr>
      </w:pPr>
    </w:p>
    <w:p w14:paraId="749E0674" w14:textId="77777777" w:rsidR="00824BFE" w:rsidRPr="00284D51" w:rsidRDefault="00824BFE" w:rsidP="00824BFE">
      <w:pPr>
        <w:ind w:right="49"/>
        <w:contextualSpacing/>
        <w:rPr>
          <w:bCs/>
          <w:i/>
          <w:iCs/>
          <w:u w:val="single"/>
        </w:rPr>
      </w:pPr>
      <w:r w:rsidRPr="00284D51">
        <w:rPr>
          <w:bCs/>
          <w:i/>
          <w:iCs/>
          <w:u w:val="single"/>
        </w:rPr>
        <w:t>Лечение микробиологически подтвержденных инфекций</w:t>
      </w:r>
    </w:p>
    <w:p w14:paraId="6D6A9822" w14:textId="77777777" w:rsidR="00824BFE" w:rsidRPr="00761653" w:rsidRDefault="00824BFE" w:rsidP="00824BFE">
      <w:pPr>
        <w:ind w:right="49" w:firstLine="709"/>
        <w:contextualSpacing/>
        <w:rPr>
          <w:b/>
        </w:rPr>
      </w:pPr>
      <w:r w:rsidRPr="00761653">
        <w:rPr>
          <w:b/>
        </w:rPr>
        <w:t>Грамотрицательные возбудители</w:t>
      </w:r>
    </w:p>
    <w:p w14:paraId="2D5B4444" w14:textId="77777777" w:rsidR="00824BFE" w:rsidRPr="00284D51" w:rsidRDefault="00824BFE" w:rsidP="00824BFE">
      <w:pPr>
        <w:ind w:right="49" w:firstLine="709"/>
        <w:contextualSpacing/>
        <w:rPr>
          <w:bCs/>
          <w:i/>
          <w:iCs/>
        </w:rPr>
      </w:pPr>
      <w:r w:rsidRPr="00284D51">
        <w:rPr>
          <w:bCs/>
          <w:i/>
          <w:iCs/>
        </w:rPr>
        <w:t>Энтеробактерии с продукцией БЛРС, Enterobacter spp</w:t>
      </w:r>
    </w:p>
    <w:p w14:paraId="2156BE8B" w14:textId="77777777" w:rsidR="00824BFE" w:rsidRPr="00761653" w:rsidRDefault="00824BFE" w:rsidP="00824BFE">
      <w:pPr>
        <w:ind w:right="49" w:firstLine="709"/>
        <w:contextualSpacing/>
      </w:pPr>
      <w:r w:rsidRPr="00761653">
        <w:t xml:space="preserve">Препарат выбора – антипсевдомонадный карбапенем (имипенем, меропенем или дорипенем). вне нейтропениии, особенно при инфекции мочевыводящих путей, может быть использован эртапенем. Назначение карбапенемов в стандартных дозах. </w:t>
      </w:r>
    </w:p>
    <w:p w14:paraId="17D8AC2C" w14:textId="77777777" w:rsidR="00824BFE" w:rsidRPr="00284D51" w:rsidRDefault="00824BFE" w:rsidP="00824BFE">
      <w:pPr>
        <w:ind w:right="49" w:firstLine="709"/>
        <w:contextualSpacing/>
        <w:rPr>
          <w:bCs/>
          <w:i/>
          <w:iCs/>
        </w:rPr>
      </w:pPr>
      <w:r w:rsidRPr="00284D51">
        <w:rPr>
          <w:bCs/>
          <w:i/>
          <w:iCs/>
        </w:rPr>
        <w:t xml:space="preserve">Энтеробактерии с продукцией карбапенемаз </w:t>
      </w:r>
    </w:p>
    <w:p w14:paraId="6E51C702" w14:textId="77777777" w:rsidR="00824BFE" w:rsidRPr="00761653" w:rsidRDefault="00824BFE" w:rsidP="00824BFE">
      <w:pPr>
        <w:ind w:right="49" w:firstLine="709"/>
        <w:contextualSpacing/>
      </w:pPr>
      <w:r w:rsidRPr="00761653">
        <w:t>Лечение проводят сочетанием антибиотиков согласно чувствителньости. Препарат выбора при детекции карбапенемаз групп KPC, OXA-48 - цефтазидим-авибактам (2,5 г каждые 8 часов, введение в течение 2 часов), при детекции металлоферментов (NDM) – сочетание цефтазидима-авибактама с азтреонамом (по 2 г 3 раза в сутки). Препараты, используемые в лечении инфекций, вызванных карбапенемазопродуцирующими бактериями представлены в табл</w:t>
      </w:r>
      <w:r>
        <w:t>ице 2.</w:t>
      </w:r>
      <w:r w:rsidRPr="00761653">
        <w:t xml:space="preserve"> Тигециклин имеет низкие концентрации в крови и в моче, проявляет бактериостатическое действие, не относится к препаратам выбора при инфекциях кровотока. При инфекциях кровотока назначают тигециклин только при отсутствии других опций в лечении.</w:t>
      </w:r>
    </w:p>
    <w:p w14:paraId="524C8C50" w14:textId="77777777" w:rsidR="00824BFE" w:rsidRDefault="00824BFE" w:rsidP="00824BFE"/>
    <w:p w14:paraId="5DAFCB2D" w14:textId="77777777" w:rsidR="00824BFE" w:rsidRPr="00761653" w:rsidRDefault="00824BFE" w:rsidP="00824BFE">
      <w:r w:rsidRPr="00761653">
        <w:t>Таблица 2. Дозы антибиотиков</w:t>
      </w:r>
      <w:r>
        <w:t>,</w:t>
      </w:r>
      <w:r w:rsidRPr="00761653">
        <w:t xml:space="preserve"> рекомендуемые для лечения инфекций, вызванных энтеробактериями с продукцией карбапенемаз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520"/>
      </w:tblGrid>
      <w:tr w:rsidR="00824BFE" w:rsidRPr="00761653" w14:paraId="635AB3CE" w14:textId="77777777" w:rsidTr="00824BFE">
        <w:trPr>
          <w:trHeight w:val="555"/>
        </w:trPr>
        <w:tc>
          <w:tcPr>
            <w:tcW w:w="3227" w:type="dxa"/>
            <w:vAlign w:val="center"/>
          </w:tcPr>
          <w:p w14:paraId="3C126FB0" w14:textId="77777777" w:rsidR="00824BFE" w:rsidRPr="00761653" w:rsidRDefault="00824BFE" w:rsidP="00824BFE">
            <w:pPr>
              <w:ind w:left="57" w:right="57"/>
              <w:jc w:val="center"/>
              <w:rPr>
                <w:szCs w:val="24"/>
                <w:lang w:val="en-US"/>
              </w:rPr>
            </w:pPr>
            <w:r w:rsidRPr="00761653">
              <w:rPr>
                <w:szCs w:val="24"/>
              </w:rPr>
              <w:t>Препарат</w:t>
            </w:r>
          </w:p>
        </w:tc>
        <w:tc>
          <w:tcPr>
            <w:tcW w:w="6520" w:type="dxa"/>
            <w:vAlign w:val="center"/>
          </w:tcPr>
          <w:p w14:paraId="2A5393D2" w14:textId="77777777" w:rsidR="00824BFE" w:rsidRPr="00761653" w:rsidRDefault="00824BFE" w:rsidP="00824BFE">
            <w:pPr>
              <w:ind w:left="57" w:right="57"/>
              <w:jc w:val="center"/>
              <w:rPr>
                <w:szCs w:val="24"/>
                <w:lang w:val="en-US"/>
              </w:rPr>
            </w:pPr>
            <w:r w:rsidRPr="00761653">
              <w:rPr>
                <w:szCs w:val="24"/>
              </w:rPr>
              <w:t>Доза</w:t>
            </w:r>
          </w:p>
        </w:tc>
      </w:tr>
      <w:tr w:rsidR="00824BFE" w:rsidRPr="00265B67" w14:paraId="5F9D62D9" w14:textId="77777777" w:rsidTr="00824BFE">
        <w:trPr>
          <w:trHeight w:val="421"/>
        </w:trPr>
        <w:tc>
          <w:tcPr>
            <w:tcW w:w="3227" w:type="dxa"/>
          </w:tcPr>
          <w:p w14:paraId="29B0E1D8" w14:textId="77777777" w:rsidR="00824BFE" w:rsidRPr="00761653" w:rsidRDefault="00824BFE" w:rsidP="00824BFE">
            <w:pPr>
              <w:ind w:left="57" w:right="57"/>
              <w:rPr>
                <w:szCs w:val="24"/>
              </w:rPr>
            </w:pPr>
            <w:r w:rsidRPr="00761653">
              <w:rPr>
                <w:szCs w:val="24"/>
              </w:rPr>
              <w:t>Цефтазидим-авибактам</w:t>
            </w:r>
          </w:p>
        </w:tc>
        <w:tc>
          <w:tcPr>
            <w:tcW w:w="6520" w:type="dxa"/>
          </w:tcPr>
          <w:p w14:paraId="01D4E68D" w14:textId="77777777" w:rsidR="00824BFE" w:rsidRPr="00761653" w:rsidRDefault="00824BFE" w:rsidP="00824BFE">
            <w:pPr>
              <w:ind w:left="57" w:right="57"/>
              <w:rPr>
                <w:szCs w:val="24"/>
              </w:rPr>
            </w:pPr>
            <w:r w:rsidRPr="00761653">
              <w:rPr>
                <w:szCs w:val="24"/>
              </w:rPr>
              <w:t>2,5 г каждые 8 часов, длительность инфузии 2 часа</w:t>
            </w:r>
          </w:p>
        </w:tc>
      </w:tr>
      <w:tr w:rsidR="00824BFE" w:rsidRPr="00975FC1" w14:paraId="461A9302" w14:textId="77777777" w:rsidTr="00824BFE">
        <w:trPr>
          <w:trHeight w:val="825"/>
        </w:trPr>
        <w:tc>
          <w:tcPr>
            <w:tcW w:w="3227" w:type="dxa"/>
          </w:tcPr>
          <w:p w14:paraId="33E5FE72" w14:textId="77777777" w:rsidR="00824BFE" w:rsidRPr="00761653" w:rsidRDefault="00824BFE" w:rsidP="00824BFE">
            <w:pPr>
              <w:ind w:left="57" w:right="57"/>
              <w:rPr>
                <w:szCs w:val="24"/>
                <w:lang w:val="en-US"/>
              </w:rPr>
            </w:pPr>
            <w:r w:rsidRPr="00761653">
              <w:rPr>
                <w:szCs w:val="24"/>
              </w:rPr>
              <w:t>Меропенем</w:t>
            </w:r>
          </w:p>
        </w:tc>
        <w:tc>
          <w:tcPr>
            <w:tcW w:w="6520" w:type="dxa"/>
          </w:tcPr>
          <w:p w14:paraId="195F1D34" w14:textId="77777777" w:rsidR="00824BFE" w:rsidRPr="00761653" w:rsidRDefault="00824BFE" w:rsidP="00824BFE">
            <w:pPr>
              <w:ind w:left="57" w:right="57"/>
              <w:rPr>
                <w:szCs w:val="24"/>
              </w:rPr>
            </w:pPr>
            <w:r w:rsidRPr="00761653">
              <w:rPr>
                <w:szCs w:val="24"/>
              </w:rPr>
              <w:t xml:space="preserve">2 г каждые 8 часов </w:t>
            </w:r>
          </w:p>
          <w:p w14:paraId="70F019CC" w14:textId="77777777" w:rsidR="00824BFE" w:rsidRPr="00761653" w:rsidRDefault="00824BFE" w:rsidP="00824BFE">
            <w:pPr>
              <w:ind w:left="57" w:right="57"/>
              <w:rPr>
                <w:szCs w:val="24"/>
              </w:rPr>
            </w:pPr>
            <w:r w:rsidRPr="00761653">
              <w:rPr>
                <w:szCs w:val="24"/>
              </w:rPr>
              <w:t>пролонгированная инфузия в течение 3х часов</w:t>
            </w:r>
          </w:p>
        </w:tc>
      </w:tr>
      <w:tr w:rsidR="00824BFE" w:rsidRPr="00761653" w14:paraId="30901937" w14:textId="77777777" w:rsidTr="00824BFE">
        <w:trPr>
          <w:trHeight w:val="270"/>
        </w:trPr>
        <w:tc>
          <w:tcPr>
            <w:tcW w:w="3227" w:type="dxa"/>
          </w:tcPr>
          <w:p w14:paraId="04867CC9" w14:textId="77777777" w:rsidR="00824BFE" w:rsidRPr="00761653" w:rsidRDefault="00824BFE" w:rsidP="00824BFE">
            <w:pPr>
              <w:ind w:left="57" w:right="57"/>
              <w:rPr>
                <w:szCs w:val="24"/>
                <w:lang w:val="en-US"/>
              </w:rPr>
            </w:pPr>
            <w:r w:rsidRPr="00761653">
              <w:rPr>
                <w:szCs w:val="24"/>
              </w:rPr>
              <w:t>Имипенем</w:t>
            </w:r>
          </w:p>
        </w:tc>
        <w:tc>
          <w:tcPr>
            <w:tcW w:w="6520" w:type="dxa"/>
          </w:tcPr>
          <w:p w14:paraId="366DE251" w14:textId="77777777" w:rsidR="00824BFE" w:rsidRPr="00761653" w:rsidRDefault="00824BFE" w:rsidP="00824BFE">
            <w:pPr>
              <w:ind w:left="57" w:right="57"/>
              <w:rPr>
                <w:szCs w:val="24"/>
              </w:rPr>
            </w:pPr>
            <w:r w:rsidRPr="00761653">
              <w:rPr>
                <w:szCs w:val="24"/>
              </w:rPr>
              <w:t>1 г каждые 8 часов</w:t>
            </w:r>
          </w:p>
        </w:tc>
      </w:tr>
      <w:tr w:rsidR="00824BFE" w:rsidRPr="00975FC1" w14:paraId="0DF6F534" w14:textId="77777777" w:rsidTr="00824BFE">
        <w:tc>
          <w:tcPr>
            <w:tcW w:w="3227" w:type="dxa"/>
          </w:tcPr>
          <w:p w14:paraId="23241A04" w14:textId="77777777" w:rsidR="00824BFE" w:rsidRPr="00761653" w:rsidRDefault="00824BFE" w:rsidP="00824BFE">
            <w:pPr>
              <w:ind w:left="57" w:right="57"/>
              <w:rPr>
                <w:szCs w:val="24"/>
                <w:lang w:val="en-US"/>
              </w:rPr>
            </w:pPr>
            <w:r w:rsidRPr="00761653">
              <w:rPr>
                <w:szCs w:val="24"/>
              </w:rPr>
              <w:t>Дорипенем</w:t>
            </w:r>
          </w:p>
        </w:tc>
        <w:tc>
          <w:tcPr>
            <w:tcW w:w="6520" w:type="dxa"/>
          </w:tcPr>
          <w:p w14:paraId="3B06C66C" w14:textId="77777777" w:rsidR="00824BFE" w:rsidRPr="00761653" w:rsidRDefault="00824BFE" w:rsidP="00824BFE">
            <w:pPr>
              <w:ind w:left="57" w:right="57"/>
              <w:rPr>
                <w:szCs w:val="24"/>
              </w:rPr>
            </w:pPr>
            <w:r w:rsidRPr="00761653">
              <w:rPr>
                <w:szCs w:val="24"/>
              </w:rPr>
              <w:t>1 г каждые 8 часов, продленная инфузия (4 часа)</w:t>
            </w:r>
          </w:p>
        </w:tc>
      </w:tr>
      <w:tr w:rsidR="00824BFE" w:rsidRPr="00265B67" w14:paraId="7287A1FB" w14:textId="77777777" w:rsidTr="00824BFE">
        <w:tc>
          <w:tcPr>
            <w:tcW w:w="3227" w:type="dxa"/>
          </w:tcPr>
          <w:p w14:paraId="562988CE" w14:textId="77777777" w:rsidR="00824BFE" w:rsidRPr="00761653" w:rsidRDefault="00824BFE" w:rsidP="00824BFE">
            <w:pPr>
              <w:ind w:left="57" w:right="57"/>
              <w:rPr>
                <w:szCs w:val="24"/>
                <w:lang w:val="en-US"/>
              </w:rPr>
            </w:pPr>
            <w:r w:rsidRPr="00761653">
              <w:rPr>
                <w:szCs w:val="24"/>
              </w:rPr>
              <w:t>Эртапенем</w:t>
            </w:r>
          </w:p>
        </w:tc>
        <w:tc>
          <w:tcPr>
            <w:tcW w:w="6520" w:type="dxa"/>
          </w:tcPr>
          <w:p w14:paraId="12723A87" w14:textId="77777777" w:rsidR="00824BFE" w:rsidRPr="00761653" w:rsidRDefault="00824BFE" w:rsidP="00824BFE">
            <w:pPr>
              <w:ind w:left="57" w:right="57"/>
              <w:rPr>
                <w:szCs w:val="24"/>
              </w:rPr>
            </w:pPr>
            <w:r w:rsidRPr="00761653">
              <w:rPr>
                <w:szCs w:val="24"/>
              </w:rPr>
              <w:t>1 г каждые 24 часа или 1г каждые 12 час</w:t>
            </w:r>
          </w:p>
          <w:p w14:paraId="433C11E7" w14:textId="77777777" w:rsidR="00824BFE" w:rsidRPr="00761653" w:rsidRDefault="00824BFE" w:rsidP="00824BFE">
            <w:pPr>
              <w:ind w:left="57" w:right="57"/>
              <w:rPr>
                <w:szCs w:val="24"/>
              </w:rPr>
            </w:pPr>
            <w:r w:rsidRPr="00761653">
              <w:rPr>
                <w:szCs w:val="24"/>
              </w:rPr>
              <w:t>Используют в режиме “два карбапенема” при отсутствии других опций</w:t>
            </w:r>
          </w:p>
        </w:tc>
      </w:tr>
      <w:tr w:rsidR="00824BFE" w:rsidRPr="00975FC1" w14:paraId="56A32851" w14:textId="77777777" w:rsidTr="00824BFE">
        <w:tc>
          <w:tcPr>
            <w:tcW w:w="3227" w:type="dxa"/>
          </w:tcPr>
          <w:p w14:paraId="585E1CEF" w14:textId="77777777" w:rsidR="00824BFE" w:rsidRPr="00761653" w:rsidRDefault="00824BFE" w:rsidP="00824BFE">
            <w:pPr>
              <w:ind w:left="57" w:right="57"/>
              <w:rPr>
                <w:szCs w:val="24"/>
              </w:rPr>
            </w:pPr>
            <w:r w:rsidRPr="00761653">
              <w:rPr>
                <w:szCs w:val="24"/>
              </w:rPr>
              <w:t>Колистин</w:t>
            </w:r>
          </w:p>
        </w:tc>
        <w:tc>
          <w:tcPr>
            <w:tcW w:w="6520" w:type="dxa"/>
          </w:tcPr>
          <w:p w14:paraId="2D88D551" w14:textId="77777777" w:rsidR="00824BFE" w:rsidRPr="00761653" w:rsidRDefault="00824BFE" w:rsidP="00824BFE">
            <w:pPr>
              <w:ind w:left="57" w:right="57"/>
              <w:rPr>
                <w:szCs w:val="24"/>
              </w:rPr>
            </w:pPr>
            <w:r w:rsidRPr="00761653">
              <w:rPr>
                <w:szCs w:val="24"/>
              </w:rPr>
              <w:t>Нагрузочная доза 9 млн МЕ, в первый день, однократно, далее по 4,5 млн МЕ</w:t>
            </w:r>
            <w:r w:rsidRPr="00761653">
              <w:rPr>
                <w:color w:val="4D5156"/>
                <w:szCs w:val="24"/>
                <w:shd w:val="clear" w:color="auto" w:fill="FFFFFF"/>
              </w:rPr>
              <w:t xml:space="preserve"> </w:t>
            </w:r>
            <w:r w:rsidRPr="00761653">
              <w:rPr>
                <w:szCs w:val="24"/>
              </w:rPr>
              <w:t xml:space="preserve">каждые 12 час </w:t>
            </w:r>
          </w:p>
          <w:p w14:paraId="756C4BC1" w14:textId="77777777" w:rsidR="00824BFE" w:rsidRPr="00761653" w:rsidRDefault="00824BFE" w:rsidP="00824BFE">
            <w:pPr>
              <w:ind w:left="57" w:right="57"/>
              <w:rPr>
                <w:szCs w:val="24"/>
              </w:rPr>
            </w:pPr>
            <w:r w:rsidRPr="00761653">
              <w:rPr>
                <w:szCs w:val="24"/>
              </w:rPr>
              <w:lastRenderedPageBreak/>
              <w:t>Ингаляции 1-3 млн МЕ каждые 8 часов</w:t>
            </w:r>
          </w:p>
        </w:tc>
      </w:tr>
      <w:tr w:rsidR="00824BFE" w:rsidRPr="00265B67" w14:paraId="6B513DF6" w14:textId="77777777" w:rsidTr="00824BFE">
        <w:tc>
          <w:tcPr>
            <w:tcW w:w="3227" w:type="dxa"/>
          </w:tcPr>
          <w:p w14:paraId="4C4E9958" w14:textId="77777777" w:rsidR="00824BFE" w:rsidRPr="00761653" w:rsidRDefault="00824BFE" w:rsidP="00824BFE">
            <w:pPr>
              <w:ind w:left="57" w:right="57"/>
              <w:rPr>
                <w:szCs w:val="24"/>
              </w:rPr>
            </w:pPr>
            <w:r w:rsidRPr="00761653">
              <w:rPr>
                <w:szCs w:val="24"/>
              </w:rPr>
              <w:lastRenderedPageBreak/>
              <w:t>Полимиксин В</w:t>
            </w:r>
          </w:p>
        </w:tc>
        <w:tc>
          <w:tcPr>
            <w:tcW w:w="6520" w:type="dxa"/>
          </w:tcPr>
          <w:p w14:paraId="7E5DB0B6" w14:textId="77777777" w:rsidR="00824BFE" w:rsidRPr="00761653" w:rsidRDefault="00824BFE" w:rsidP="00824BFE">
            <w:pPr>
              <w:ind w:left="57" w:right="57"/>
              <w:rPr>
                <w:szCs w:val="24"/>
              </w:rPr>
            </w:pPr>
            <w:r w:rsidRPr="00761653">
              <w:rPr>
                <w:szCs w:val="24"/>
              </w:rPr>
              <w:t xml:space="preserve">Нагрузочная доза 2-2,5 мг/кг, далее 1,25-1,5 мг/кг каждые 12 час </w:t>
            </w:r>
          </w:p>
        </w:tc>
      </w:tr>
      <w:tr w:rsidR="00824BFE" w:rsidRPr="00265B67" w14:paraId="3D7A99A5" w14:textId="77777777" w:rsidTr="00824BFE">
        <w:tc>
          <w:tcPr>
            <w:tcW w:w="3227" w:type="dxa"/>
          </w:tcPr>
          <w:p w14:paraId="26C2EC59" w14:textId="77777777" w:rsidR="00824BFE" w:rsidRPr="00761653" w:rsidRDefault="00824BFE" w:rsidP="00824BFE">
            <w:pPr>
              <w:ind w:left="57" w:right="57"/>
              <w:rPr>
                <w:szCs w:val="24"/>
              </w:rPr>
            </w:pPr>
            <w:r w:rsidRPr="00761653">
              <w:rPr>
                <w:szCs w:val="24"/>
              </w:rPr>
              <w:t>Тигециклин</w:t>
            </w:r>
          </w:p>
        </w:tc>
        <w:tc>
          <w:tcPr>
            <w:tcW w:w="6520" w:type="dxa"/>
          </w:tcPr>
          <w:p w14:paraId="1EF1CE0D" w14:textId="77777777" w:rsidR="00824BFE" w:rsidRPr="00761653" w:rsidRDefault="00824BFE" w:rsidP="00824BFE">
            <w:pPr>
              <w:ind w:left="57" w:right="57"/>
              <w:rPr>
                <w:szCs w:val="24"/>
              </w:rPr>
            </w:pPr>
            <w:r w:rsidRPr="00761653">
              <w:rPr>
                <w:szCs w:val="24"/>
              </w:rPr>
              <w:t>Первая доза 100 мг, далее каждые 12 часов по 50 мг</w:t>
            </w:r>
          </w:p>
        </w:tc>
      </w:tr>
      <w:tr w:rsidR="00824BFE" w:rsidRPr="00265B67" w14:paraId="2E16D96D" w14:textId="77777777" w:rsidTr="00824BFE">
        <w:tc>
          <w:tcPr>
            <w:tcW w:w="3227" w:type="dxa"/>
          </w:tcPr>
          <w:p w14:paraId="23652F60" w14:textId="77777777" w:rsidR="00824BFE" w:rsidRPr="00761653" w:rsidRDefault="00824BFE" w:rsidP="00824BFE">
            <w:pPr>
              <w:ind w:left="57" w:right="57"/>
              <w:rPr>
                <w:szCs w:val="24"/>
                <w:lang w:val="en-US"/>
              </w:rPr>
            </w:pPr>
            <w:r w:rsidRPr="00761653">
              <w:rPr>
                <w:szCs w:val="24"/>
              </w:rPr>
              <w:t>Гентамицин</w:t>
            </w:r>
            <w:r w:rsidRPr="00761653">
              <w:rPr>
                <w:szCs w:val="24"/>
                <w:lang w:val="en-US"/>
              </w:rPr>
              <w:t xml:space="preserve">, </w:t>
            </w:r>
          </w:p>
          <w:p w14:paraId="7BD746F2" w14:textId="77777777" w:rsidR="00824BFE" w:rsidRPr="00761653" w:rsidRDefault="00824BFE" w:rsidP="00824BFE">
            <w:pPr>
              <w:ind w:left="57" w:right="57"/>
              <w:rPr>
                <w:szCs w:val="24"/>
                <w:lang w:val="en-US"/>
              </w:rPr>
            </w:pPr>
            <w:r w:rsidRPr="00761653">
              <w:rPr>
                <w:szCs w:val="24"/>
              </w:rPr>
              <w:t>тобрамицин</w:t>
            </w:r>
          </w:p>
        </w:tc>
        <w:tc>
          <w:tcPr>
            <w:tcW w:w="6520" w:type="dxa"/>
          </w:tcPr>
          <w:p w14:paraId="0CC9A049" w14:textId="77777777" w:rsidR="00824BFE" w:rsidRPr="00761653" w:rsidRDefault="00824BFE" w:rsidP="00824BFE">
            <w:pPr>
              <w:ind w:left="57" w:right="57"/>
              <w:rPr>
                <w:szCs w:val="24"/>
              </w:rPr>
            </w:pPr>
            <w:r w:rsidRPr="00761653">
              <w:rPr>
                <w:szCs w:val="24"/>
              </w:rPr>
              <w:t>5-7 мг/кг/сутки, введение в течение 1 часа</w:t>
            </w:r>
          </w:p>
        </w:tc>
      </w:tr>
      <w:tr w:rsidR="00824BFE" w:rsidRPr="00265B67" w14:paraId="342CE193" w14:textId="77777777" w:rsidTr="00824BFE">
        <w:tc>
          <w:tcPr>
            <w:tcW w:w="3227" w:type="dxa"/>
          </w:tcPr>
          <w:p w14:paraId="3D9FFA52" w14:textId="77777777" w:rsidR="00824BFE" w:rsidRPr="00761653" w:rsidRDefault="00824BFE" w:rsidP="00824BFE">
            <w:pPr>
              <w:ind w:left="57" w:right="57"/>
              <w:rPr>
                <w:szCs w:val="24"/>
                <w:lang w:val="en-US"/>
              </w:rPr>
            </w:pPr>
            <w:r w:rsidRPr="00761653">
              <w:rPr>
                <w:szCs w:val="24"/>
              </w:rPr>
              <w:t>Амикацин</w:t>
            </w:r>
          </w:p>
        </w:tc>
        <w:tc>
          <w:tcPr>
            <w:tcW w:w="6520" w:type="dxa"/>
          </w:tcPr>
          <w:p w14:paraId="3D52FFD2" w14:textId="77777777" w:rsidR="00824BFE" w:rsidRPr="00761653" w:rsidRDefault="00824BFE" w:rsidP="00824BFE">
            <w:pPr>
              <w:ind w:left="57" w:right="57"/>
              <w:rPr>
                <w:szCs w:val="24"/>
              </w:rPr>
            </w:pPr>
            <w:r w:rsidRPr="00761653">
              <w:rPr>
                <w:szCs w:val="24"/>
              </w:rPr>
              <w:t>15-20 мг/кг/сутки, введение в течение 1 часа</w:t>
            </w:r>
          </w:p>
        </w:tc>
      </w:tr>
      <w:tr w:rsidR="00824BFE" w:rsidRPr="00265B67" w14:paraId="33F50853" w14:textId="77777777" w:rsidTr="00824BFE">
        <w:tc>
          <w:tcPr>
            <w:tcW w:w="3227" w:type="dxa"/>
          </w:tcPr>
          <w:p w14:paraId="38D6866A" w14:textId="77777777" w:rsidR="00824BFE" w:rsidRPr="00761653" w:rsidRDefault="00824BFE" w:rsidP="00824BFE">
            <w:pPr>
              <w:ind w:left="57" w:right="57"/>
              <w:rPr>
                <w:szCs w:val="24"/>
              </w:rPr>
            </w:pPr>
            <w:r w:rsidRPr="00761653">
              <w:rPr>
                <w:szCs w:val="24"/>
              </w:rPr>
              <w:t>Фосфомицин</w:t>
            </w:r>
          </w:p>
        </w:tc>
        <w:tc>
          <w:tcPr>
            <w:tcW w:w="6520" w:type="dxa"/>
          </w:tcPr>
          <w:p w14:paraId="18EF6B53" w14:textId="77777777" w:rsidR="00824BFE" w:rsidRPr="00761653" w:rsidRDefault="00824BFE" w:rsidP="00824BFE">
            <w:pPr>
              <w:ind w:left="57" w:right="57"/>
              <w:rPr>
                <w:szCs w:val="24"/>
              </w:rPr>
            </w:pPr>
            <w:r w:rsidRPr="00761653">
              <w:rPr>
                <w:szCs w:val="24"/>
              </w:rPr>
              <w:t>По 4 г каждые 6 час или по 8 г каждые 8 час (суммарно 16-24 г)</w:t>
            </w:r>
          </w:p>
        </w:tc>
      </w:tr>
      <w:tr w:rsidR="00824BFE" w:rsidRPr="00761653" w14:paraId="755EE027" w14:textId="77777777" w:rsidTr="00824BFE">
        <w:tc>
          <w:tcPr>
            <w:tcW w:w="3227" w:type="dxa"/>
          </w:tcPr>
          <w:p w14:paraId="5A4D2254" w14:textId="77777777" w:rsidR="00824BFE" w:rsidRPr="00761653" w:rsidRDefault="00824BFE" w:rsidP="00824BFE">
            <w:pPr>
              <w:ind w:left="57" w:right="57"/>
              <w:rPr>
                <w:szCs w:val="24"/>
              </w:rPr>
            </w:pPr>
            <w:r w:rsidRPr="00761653">
              <w:rPr>
                <w:szCs w:val="24"/>
              </w:rPr>
              <w:t>Азтреонам</w:t>
            </w:r>
          </w:p>
        </w:tc>
        <w:tc>
          <w:tcPr>
            <w:tcW w:w="6520" w:type="dxa"/>
          </w:tcPr>
          <w:p w14:paraId="5C2AE9F9" w14:textId="77777777" w:rsidR="00824BFE" w:rsidRPr="00761653" w:rsidRDefault="00824BFE" w:rsidP="00824BFE">
            <w:pPr>
              <w:ind w:left="57" w:right="57"/>
              <w:rPr>
                <w:szCs w:val="24"/>
              </w:rPr>
            </w:pPr>
            <w:r w:rsidRPr="00761653">
              <w:rPr>
                <w:szCs w:val="24"/>
              </w:rPr>
              <w:t>2 г каждые 8 часов</w:t>
            </w:r>
          </w:p>
        </w:tc>
      </w:tr>
    </w:tbl>
    <w:p w14:paraId="53CA2B2F" w14:textId="77777777" w:rsidR="00824BFE" w:rsidRDefault="00824BFE" w:rsidP="00824BFE">
      <w:pPr>
        <w:tabs>
          <w:tab w:val="left" w:pos="1134"/>
        </w:tabs>
        <w:ind w:right="49"/>
        <w:contextualSpacing/>
        <w:rPr>
          <w:bCs/>
          <w:i/>
          <w:u w:val="single"/>
        </w:rPr>
      </w:pPr>
    </w:p>
    <w:p w14:paraId="0DE77D06" w14:textId="77777777" w:rsidR="00824BFE" w:rsidRPr="00284D51" w:rsidRDefault="00824BFE" w:rsidP="00824BFE">
      <w:pPr>
        <w:ind w:right="49" w:firstLine="709"/>
        <w:contextualSpacing/>
        <w:rPr>
          <w:bCs/>
        </w:rPr>
      </w:pPr>
      <w:r w:rsidRPr="00284D51">
        <w:rPr>
          <w:bCs/>
          <w:i/>
        </w:rPr>
        <w:t>Pseudomonas aeruginosa</w:t>
      </w:r>
    </w:p>
    <w:p w14:paraId="04B40595" w14:textId="74243F8B" w:rsidR="00824BFE" w:rsidRPr="00761653" w:rsidRDefault="00824BFE" w:rsidP="00824BFE">
      <w:pPr>
        <w:ind w:right="49" w:firstLine="709"/>
        <w:contextualSpacing/>
      </w:pPr>
      <w:r w:rsidRPr="00761653">
        <w:t xml:space="preserve">Выбор антибиотиков проводится согласно чувствительности выделенных штаммов. Лечение проводят сочетанием антибиотиков. При инфекциях кровотока, вызванных </w:t>
      </w:r>
      <w:r w:rsidRPr="00761653">
        <w:rPr>
          <w:i/>
        </w:rPr>
        <w:t>P. aeruginosa,</w:t>
      </w:r>
      <w:r w:rsidRPr="00761653">
        <w:t xml:space="preserve"> часто наблюдается диссеминация в легких, и в этих случаях необходимо использовать антибиотики, для которых характерна высокая концентрация в легких. Такими параметрами обладает цефтолозан-тазобактам, который активен против карбапенем-резистентных </w:t>
      </w:r>
      <w:r w:rsidRPr="00761653">
        <w:rPr>
          <w:i/>
        </w:rPr>
        <w:t>P. aeruginosa</w:t>
      </w:r>
      <w:r w:rsidRPr="00761653">
        <w:t xml:space="preserve"> без продукции карбапенемаз</w:t>
      </w:r>
      <w:r>
        <w:t xml:space="preserve"> </w:t>
      </w:r>
      <w:r>
        <w:fldChar w:fldCharType="begin" w:fldLock="1"/>
      </w:r>
      <w:r w:rsidR="00531C4D">
        <w:instrText>ADDIN CSL_CITATION {"citationItems":[{"id":"ITEM-1","itemData":{"DOI":"10.1016/S1473-3099(19)30403-7","ISSN":"14744457","PMID":"31563344","abstract":"Background: Nosocomial pneumonia due to antimicrobial-resistant pathogens is associated with high mortality. We assessed the efficacy and safety of the combination antibacterial drug ceftolozane–tazobactam versus meropenem for treatment of Gram-negative nosocomial pneumonia. Methods: We conducted a randomised, controlled, double-blind, non-inferiority trial at 263 hospitals in 34 countries. Eligible patients were aged 18 years or older, were undergoing mechanical ventilation, and had nosocomial pneumonia (either ventilator-associated pneumonia or ventilated hospital-acquired pneumonia). Patients were randomly assigned (1:1) with block randomisation (block size four), stratified by type of nosocomial pneumonia and age (&lt;65 years vs ≥65 years), to receive either 3 g ceftolozane–tazobactam or 1 g meropenem intravenously every 8 h for 8–14 days. The primary endpoint was 28-day all-cause mortality (at a 10% non-inferiority margin). The key secondary endpoint was clinical response at the test-of-cure visit (7–14 days after the end of therapy; 12·5% non-inferiority margin). Both endpoints were assessed in the intention-to-treat population. Investigators, study staff, patients, and patients' representatives were masked to treatment assignment. Safety was assessed in all randomly assigned patients who received study treatment. This trial was registered with ClinicalTrials.gov, NCT02070757. Findings: Between Jan 16, 2015, and April 27, 2018, 726 patients were enrolled and randomly assigned, 362 to the ceftolozane–tazobactam group and 364 to the meropenem group. Overall, 519 (71%) patients had ventilator-associated pneumonia, 239 (33%) had Acute Physiology and Chronic Health Evaluation II scores of at least 20, and 668 (92%) were in the intensive care unit. At 28 days, 87 (24·0%) patients in the ceftolozane–tazobactam group and 92 (25·3%) in the meropenem group had died (weighted treatment difference 1·1% [95% CI −5·1 to 7·4]). At the test-of-cure visit 197 (54%) patients in the ceftolozane–tazobactam group and 194 (53%) in the meropenem group were clinically cured (weighted treatment difference 1·1% [95% CI −6·2 to 8·3]). Ceftolozane–tazobactam was thus non-inferior to meropenem in terms of both 28-day all-cause mortality and clinical cure at test of cure. Treatment-related adverse events occurred in 38 (11%) of 361 patients in the ceftolozane–tazobactam group and 27 (8%) of 359 in the meropenem group. Eight (2%) patients in the ceftolozane–tazobactam group and t…","author":[{"dropping-particle":"","family":"Kollef","given":"Marin H.","non-dropping-particle":"","parse-names":false,"suffix":""},{"dropping-particle":"","family":"Nováček","given":"Martin","non-dropping-particle":"","parse-names":false,"suffix":""},{"dropping-particle":"","family":"Kivistik","given":"Ülo","non-dropping-particle":"","parse-names":false,"suffix":""},{"dropping-particle":"","family":"Réa-Neto","given":"Álvaro","non-dropping-particle":"","parse-names":false,"suffix":""},{"dropping-particle":"","family":"Shime","given":"Nobuaki","non-dropping-particle":"","parse-names":false,"suffix":""},{"dropping-particle":"","family":"Martin-Loeches","given":"Ignacio","non-dropping-particle":"","parse-names":false,"suffix":""},{"dropping-particle":"","family":"Timsit","given":"Jean François","non-dropping-particle":"","parse-names":false,"suffix":""},{"dropping-particle":"","family":"Wunderink","given":"Richard G.","non-dropping-particle":"","parse-names":false,"suffix":""},{"dropping-particle":"","family":"Bruno","given":"Christopher J.","non-dropping-particle":"","parse-names":false,"suffix":""},{"dropping-particle":"","family":"Huntington","given":"Jennifer A.","non-dropping-particle":"","parse-names":false,"suffix":""},{"dropping-particle":"","family":"Lin","given":"Gina","non-dropping-particle":"","parse-names":false,"suffix":""},{"dropping-particle":"","family":"Yu","given":"Brian","non-dropping-particle":"","parse-names":false,"suffix":""},{"dropping-particle":"","family":"Butterton","given":"Joan R.","non-dropping-particle":"","parse-names":false,"suffix":""},{"dropping-particle":"","family":"Rhee","given":"Elizabeth G.","non-dropping-particle":"","parse-names":false,"suffix":""}],"container-title":"The Lancet Infectious Diseases","id":"ITEM-1","issue":"12","issued":{"date-parts":[["2019","12","1"]]},"page":"1299-1311","publisher":"Lancet Publishing Group","title":"Ceftolozane–tazobactam versus meropenem for treatment of nosocomial pneumonia (ASPECT-NP): a randomised, controlled, double-blind, phase 3, non-inferiority trial","type":"article-journal","volume":"19"},"uris":["http://www.mendeley.com/documents/?uuid=779e70f2-916f-3769-b6db-f94034eaa2bf"]}],"mendeley":{"formattedCitation":"[77]","plainTextFormattedCitation":"[77]","previouslyFormattedCitation":"[77]"},"properties":{"noteIndex":0},"schema":"https://github.com/citation-style-language/schema/raw/master/csl-citation.json"}</w:instrText>
      </w:r>
      <w:r>
        <w:fldChar w:fldCharType="separate"/>
      </w:r>
      <w:r w:rsidRPr="00824BFE">
        <w:rPr>
          <w:noProof/>
        </w:rPr>
        <w:t>[77]</w:t>
      </w:r>
      <w:r>
        <w:fldChar w:fldCharType="end"/>
      </w:r>
      <w:r w:rsidRPr="00761653">
        <w:t>. Препараты для лечения представлены в табл</w:t>
      </w:r>
      <w:r>
        <w:t>ице 3.</w:t>
      </w:r>
      <w:r w:rsidRPr="00761653">
        <w:t xml:space="preserve"> </w:t>
      </w:r>
    </w:p>
    <w:p w14:paraId="0946D3AA" w14:textId="77777777" w:rsidR="00824BFE" w:rsidRDefault="00824BFE" w:rsidP="00824BFE">
      <w:pPr>
        <w:ind w:hanging="142"/>
      </w:pPr>
    </w:p>
    <w:p w14:paraId="7D32CC83" w14:textId="77777777" w:rsidR="00824BFE" w:rsidRPr="00761653" w:rsidRDefault="00824BFE" w:rsidP="00824BFE">
      <w:pPr>
        <w:ind w:hanging="142"/>
      </w:pPr>
      <w:r w:rsidRPr="00761653">
        <w:t xml:space="preserve">Таблица 3. Лечение инфекций, вызванных </w:t>
      </w:r>
      <w:r w:rsidRPr="00761653">
        <w:rPr>
          <w:i/>
        </w:rPr>
        <w:t>Pseudomonas aeruginosa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237"/>
      </w:tblGrid>
      <w:tr w:rsidR="00824BFE" w:rsidRPr="00761653" w14:paraId="67BCDBC1" w14:textId="77777777" w:rsidTr="00824BFE">
        <w:tc>
          <w:tcPr>
            <w:tcW w:w="3510" w:type="dxa"/>
            <w:vAlign w:val="center"/>
          </w:tcPr>
          <w:p w14:paraId="20DCC0CB" w14:textId="77777777" w:rsidR="00824BFE" w:rsidRPr="00761653" w:rsidRDefault="00824BFE" w:rsidP="00824BFE">
            <w:pPr>
              <w:ind w:left="57" w:right="57"/>
              <w:jc w:val="center"/>
              <w:rPr>
                <w:szCs w:val="24"/>
              </w:rPr>
            </w:pPr>
            <w:r w:rsidRPr="00761653">
              <w:rPr>
                <w:szCs w:val="24"/>
              </w:rPr>
              <w:t>Препарат</w:t>
            </w:r>
          </w:p>
        </w:tc>
        <w:tc>
          <w:tcPr>
            <w:tcW w:w="6237" w:type="dxa"/>
            <w:vAlign w:val="center"/>
          </w:tcPr>
          <w:p w14:paraId="4FDCE152" w14:textId="77777777" w:rsidR="00824BFE" w:rsidRPr="00761653" w:rsidRDefault="00824BFE" w:rsidP="00824BFE">
            <w:pPr>
              <w:ind w:left="57" w:right="57"/>
              <w:jc w:val="center"/>
              <w:rPr>
                <w:szCs w:val="24"/>
              </w:rPr>
            </w:pPr>
            <w:r w:rsidRPr="00761653">
              <w:rPr>
                <w:szCs w:val="24"/>
              </w:rPr>
              <w:t>Доза</w:t>
            </w:r>
          </w:p>
        </w:tc>
      </w:tr>
      <w:tr w:rsidR="00824BFE" w:rsidRPr="00265B67" w14:paraId="46AE0991" w14:textId="77777777" w:rsidTr="00824BFE">
        <w:tc>
          <w:tcPr>
            <w:tcW w:w="3510" w:type="dxa"/>
          </w:tcPr>
          <w:p w14:paraId="53477A91" w14:textId="77777777" w:rsidR="00824BFE" w:rsidRPr="00761653" w:rsidRDefault="00824BFE" w:rsidP="00824BFE">
            <w:pPr>
              <w:ind w:left="57" w:right="57"/>
              <w:rPr>
                <w:szCs w:val="24"/>
              </w:rPr>
            </w:pPr>
            <w:r w:rsidRPr="00761653">
              <w:rPr>
                <w:szCs w:val="24"/>
              </w:rPr>
              <w:t>Цефтолозан/тазобактам</w:t>
            </w:r>
          </w:p>
        </w:tc>
        <w:tc>
          <w:tcPr>
            <w:tcW w:w="6237" w:type="dxa"/>
          </w:tcPr>
          <w:p w14:paraId="7835E563" w14:textId="77777777" w:rsidR="00824BFE" w:rsidRPr="00761653" w:rsidRDefault="00824BFE" w:rsidP="00824BFE">
            <w:pPr>
              <w:ind w:left="57" w:right="57"/>
              <w:rPr>
                <w:szCs w:val="24"/>
              </w:rPr>
            </w:pPr>
            <w:r w:rsidRPr="00761653">
              <w:rPr>
                <w:szCs w:val="24"/>
              </w:rPr>
              <w:t>1,5 или 3 г каждые 8 часов, инфузия в течение 1 часа (при пневмонии по 3 г х 3 раза)</w:t>
            </w:r>
          </w:p>
        </w:tc>
      </w:tr>
      <w:tr w:rsidR="00824BFE" w:rsidRPr="00265B67" w14:paraId="716E67D1" w14:textId="77777777" w:rsidTr="00824BFE">
        <w:tc>
          <w:tcPr>
            <w:tcW w:w="3510" w:type="dxa"/>
          </w:tcPr>
          <w:p w14:paraId="1DB1CA3B" w14:textId="77777777" w:rsidR="00824BFE" w:rsidRPr="00761653" w:rsidRDefault="00824BFE" w:rsidP="00824BFE">
            <w:pPr>
              <w:ind w:left="57" w:right="57"/>
              <w:rPr>
                <w:szCs w:val="24"/>
              </w:rPr>
            </w:pPr>
            <w:r w:rsidRPr="00761653">
              <w:rPr>
                <w:szCs w:val="24"/>
              </w:rPr>
              <w:t>Цефтазидим</w:t>
            </w:r>
          </w:p>
        </w:tc>
        <w:tc>
          <w:tcPr>
            <w:tcW w:w="6237" w:type="dxa"/>
          </w:tcPr>
          <w:p w14:paraId="48A80902" w14:textId="77777777" w:rsidR="00824BFE" w:rsidRPr="00761653" w:rsidRDefault="00824BFE" w:rsidP="00824BFE">
            <w:pPr>
              <w:ind w:left="57" w:right="57"/>
              <w:rPr>
                <w:szCs w:val="24"/>
              </w:rPr>
            </w:pPr>
            <w:r w:rsidRPr="00761653">
              <w:rPr>
                <w:szCs w:val="24"/>
              </w:rPr>
              <w:t>Нагрузочная доза 1-2 г, затем 6 г/сут, непрерывная инфузии в течение 24 ч</w:t>
            </w:r>
          </w:p>
        </w:tc>
      </w:tr>
      <w:tr w:rsidR="00824BFE" w:rsidRPr="00975FC1" w14:paraId="20F9F34C" w14:textId="77777777" w:rsidTr="00824BFE">
        <w:tc>
          <w:tcPr>
            <w:tcW w:w="3510" w:type="dxa"/>
          </w:tcPr>
          <w:p w14:paraId="3391B1D1" w14:textId="77777777" w:rsidR="00824BFE" w:rsidRPr="00761653" w:rsidRDefault="00824BFE" w:rsidP="00824BFE">
            <w:pPr>
              <w:ind w:left="57" w:right="57"/>
              <w:rPr>
                <w:szCs w:val="24"/>
              </w:rPr>
            </w:pPr>
            <w:r w:rsidRPr="00761653">
              <w:rPr>
                <w:szCs w:val="24"/>
              </w:rPr>
              <w:t>Цефепим</w:t>
            </w:r>
          </w:p>
        </w:tc>
        <w:tc>
          <w:tcPr>
            <w:tcW w:w="6237" w:type="dxa"/>
          </w:tcPr>
          <w:p w14:paraId="775F602F" w14:textId="77777777" w:rsidR="00824BFE" w:rsidRPr="00761653" w:rsidRDefault="00824BFE" w:rsidP="00824BFE">
            <w:pPr>
              <w:ind w:left="57" w:right="57"/>
              <w:rPr>
                <w:szCs w:val="24"/>
              </w:rPr>
            </w:pPr>
            <w:r w:rsidRPr="00761653">
              <w:rPr>
                <w:szCs w:val="24"/>
              </w:rPr>
              <w:t>Нагрузочная доза 15 мг/кг в течение 30 мин, затем 6 г/сут посредством непрерывной инфузии в течение 24 часов</w:t>
            </w:r>
          </w:p>
        </w:tc>
      </w:tr>
      <w:tr w:rsidR="00824BFE" w:rsidRPr="00975FC1" w14:paraId="37D5A577" w14:textId="77777777" w:rsidTr="00824BFE">
        <w:tc>
          <w:tcPr>
            <w:tcW w:w="3510" w:type="dxa"/>
          </w:tcPr>
          <w:p w14:paraId="2FF766C7" w14:textId="77777777" w:rsidR="00824BFE" w:rsidRPr="00761653" w:rsidRDefault="00824BFE" w:rsidP="00824BFE">
            <w:pPr>
              <w:ind w:left="57" w:right="57"/>
              <w:rPr>
                <w:szCs w:val="24"/>
              </w:rPr>
            </w:pPr>
            <w:r w:rsidRPr="00761653">
              <w:rPr>
                <w:szCs w:val="24"/>
              </w:rPr>
              <w:t>Пиперациллин/тазобактам</w:t>
            </w:r>
          </w:p>
        </w:tc>
        <w:tc>
          <w:tcPr>
            <w:tcW w:w="6237" w:type="dxa"/>
          </w:tcPr>
          <w:p w14:paraId="412EB4AA" w14:textId="77777777" w:rsidR="00824BFE" w:rsidRPr="00761653" w:rsidRDefault="00824BFE" w:rsidP="00824BFE">
            <w:pPr>
              <w:ind w:left="57" w:right="57"/>
              <w:rPr>
                <w:szCs w:val="24"/>
              </w:rPr>
            </w:pPr>
            <w:r w:rsidRPr="00761653">
              <w:rPr>
                <w:szCs w:val="24"/>
              </w:rPr>
              <w:t>Нагрузочная доза 2,25 г затем 16,2 г/сут посредством непрерывной инфузии в течение 24 часов</w:t>
            </w:r>
          </w:p>
        </w:tc>
      </w:tr>
      <w:tr w:rsidR="00824BFE" w:rsidRPr="00975FC1" w14:paraId="45C08885" w14:textId="77777777" w:rsidTr="00824BFE">
        <w:tc>
          <w:tcPr>
            <w:tcW w:w="3510" w:type="dxa"/>
          </w:tcPr>
          <w:p w14:paraId="1A39998E" w14:textId="77777777" w:rsidR="00824BFE" w:rsidRPr="00761653" w:rsidRDefault="00824BFE" w:rsidP="00824BFE">
            <w:pPr>
              <w:ind w:left="57" w:right="57"/>
              <w:rPr>
                <w:szCs w:val="24"/>
              </w:rPr>
            </w:pPr>
            <w:r w:rsidRPr="00761653">
              <w:rPr>
                <w:szCs w:val="24"/>
              </w:rPr>
              <w:t>Цефтазидим/авибактам</w:t>
            </w:r>
          </w:p>
        </w:tc>
        <w:tc>
          <w:tcPr>
            <w:tcW w:w="6237" w:type="dxa"/>
          </w:tcPr>
          <w:p w14:paraId="2EC48F77" w14:textId="77777777" w:rsidR="00824BFE" w:rsidRPr="00761653" w:rsidRDefault="00824BFE" w:rsidP="00824BFE">
            <w:pPr>
              <w:ind w:left="57" w:right="57"/>
              <w:rPr>
                <w:szCs w:val="24"/>
              </w:rPr>
            </w:pPr>
            <w:r w:rsidRPr="00761653">
              <w:rPr>
                <w:szCs w:val="24"/>
              </w:rPr>
              <w:t>2,5 г каждые 8 часов, продленная инфузия в течение 2 часов</w:t>
            </w:r>
          </w:p>
        </w:tc>
      </w:tr>
      <w:tr w:rsidR="00824BFE" w:rsidRPr="00975FC1" w14:paraId="39BDA0CF" w14:textId="77777777" w:rsidTr="00824BFE">
        <w:tc>
          <w:tcPr>
            <w:tcW w:w="3510" w:type="dxa"/>
          </w:tcPr>
          <w:p w14:paraId="06422A51" w14:textId="77777777" w:rsidR="00824BFE" w:rsidRPr="00761653" w:rsidRDefault="00824BFE" w:rsidP="00824BFE">
            <w:pPr>
              <w:ind w:left="57" w:right="57"/>
              <w:rPr>
                <w:szCs w:val="24"/>
              </w:rPr>
            </w:pPr>
            <w:r w:rsidRPr="00761653">
              <w:rPr>
                <w:szCs w:val="24"/>
              </w:rPr>
              <w:t>Азтреонам</w:t>
            </w:r>
          </w:p>
        </w:tc>
        <w:tc>
          <w:tcPr>
            <w:tcW w:w="6237" w:type="dxa"/>
          </w:tcPr>
          <w:p w14:paraId="335E0A4B" w14:textId="77777777" w:rsidR="00824BFE" w:rsidRPr="00761653" w:rsidRDefault="00824BFE" w:rsidP="00824BFE">
            <w:pPr>
              <w:ind w:left="57" w:right="57"/>
              <w:rPr>
                <w:szCs w:val="24"/>
              </w:rPr>
            </w:pPr>
            <w:r w:rsidRPr="00761653">
              <w:rPr>
                <w:szCs w:val="24"/>
              </w:rPr>
              <w:t>Нагрузочная доза 1-2 г, затем 6 г/сут посредством непрерывной инфузии в течение 24 часов</w:t>
            </w:r>
          </w:p>
        </w:tc>
      </w:tr>
      <w:tr w:rsidR="00824BFE" w:rsidRPr="00265B67" w14:paraId="18078756" w14:textId="77777777" w:rsidTr="00824BFE">
        <w:tc>
          <w:tcPr>
            <w:tcW w:w="3510" w:type="dxa"/>
          </w:tcPr>
          <w:p w14:paraId="3ACEFC91" w14:textId="77777777" w:rsidR="00824BFE" w:rsidRPr="00761653" w:rsidRDefault="00824BFE" w:rsidP="00824BFE">
            <w:pPr>
              <w:ind w:left="57" w:right="57"/>
              <w:rPr>
                <w:szCs w:val="24"/>
              </w:rPr>
            </w:pPr>
            <w:r w:rsidRPr="00761653">
              <w:rPr>
                <w:szCs w:val="24"/>
              </w:rPr>
              <w:lastRenderedPageBreak/>
              <w:t>Дорипенем</w:t>
            </w:r>
          </w:p>
        </w:tc>
        <w:tc>
          <w:tcPr>
            <w:tcW w:w="6237" w:type="dxa"/>
          </w:tcPr>
          <w:p w14:paraId="31BC1893" w14:textId="77777777" w:rsidR="00824BFE" w:rsidRPr="00761653" w:rsidRDefault="00824BFE" w:rsidP="00824BFE">
            <w:pPr>
              <w:ind w:left="57" w:right="57"/>
              <w:rPr>
                <w:szCs w:val="24"/>
              </w:rPr>
            </w:pPr>
            <w:r w:rsidRPr="00761653">
              <w:rPr>
                <w:szCs w:val="24"/>
              </w:rPr>
              <w:t>1 г каждые 8 часов, инфузия в течение 4 часов</w:t>
            </w:r>
          </w:p>
        </w:tc>
      </w:tr>
      <w:tr w:rsidR="00824BFE" w:rsidRPr="00265B67" w14:paraId="5FE6C980" w14:textId="77777777" w:rsidTr="00824BFE">
        <w:tc>
          <w:tcPr>
            <w:tcW w:w="3510" w:type="dxa"/>
          </w:tcPr>
          <w:p w14:paraId="73DFB01A" w14:textId="77777777" w:rsidR="00824BFE" w:rsidRPr="00761653" w:rsidRDefault="00824BFE" w:rsidP="00824BFE">
            <w:pPr>
              <w:ind w:left="57" w:right="57"/>
              <w:rPr>
                <w:szCs w:val="24"/>
              </w:rPr>
            </w:pPr>
            <w:r w:rsidRPr="00761653">
              <w:rPr>
                <w:szCs w:val="24"/>
              </w:rPr>
              <w:t>Меропенем</w:t>
            </w:r>
          </w:p>
        </w:tc>
        <w:tc>
          <w:tcPr>
            <w:tcW w:w="6237" w:type="dxa"/>
          </w:tcPr>
          <w:p w14:paraId="6773C8AF" w14:textId="77777777" w:rsidR="00824BFE" w:rsidRPr="00761653" w:rsidRDefault="00824BFE" w:rsidP="00824BFE">
            <w:pPr>
              <w:ind w:left="57" w:right="57"/>
              <w:rPr>
                <w:szCs w:val="24"/>
              </w:rPr>
            </w:pPr>
            <w:r w:rsidRPr="00761653">
              <w:rPr>
                <w:szCs w:val="24"/>
              </w:rPr>
              <w:t>Нагрузочная доза 1-2 г, затем по 2 г каждые 8 часов, продленная инфузия в течение 3 часов</w:t>
            </w:r>
          </w:p>
        </w:tc>
      </w:tr>
      <w:tr w:rsidR="00824BFE" w:rsidRPr="00975FC1" w14:paraId="54829ACA" w14:textId="77777777" w:rsidTr="00824BFE">
        <w:tc>
          <w:tcPr>
            <w:tcW w:w="3510" w:type="dxa"/>
          </w:tcPr>
          <w:p w14:paraId="33CD0ADE" w14:textId="77777777" w:rsidR="00824BFE" w:rsidRPr="00761653" w:rsidRDefault="00824BFE" w:rsidP="00824BFE">
            <w:pPr>
              <w:ind w:left="57" w:right="57"/>
              <w:rPr>
                <w:szCs w:val="24"/>
              </w:rPr>
            </w:pPr>
            <w:r w:rsidRPr="00761653">
              <w:rPr>
                <w:szCs w:val="24"/>
              </w:rPr>
              <w:t>Имипенем</w:t>
            </w:r>
          </w:p>
        </w:tc>
        <w:tc>
          <w:tcPr>
            <w:tcW w:w="6237" w:type="dxa"/>
          </w:tcPr>
          <w:p w14:paraId="5C26B88B" w14:textId="77777777" w:rsidR="00824BFE" w:rsidRPr="00761653" w:rsidRDefault="00824BFE" w:rsidP="00824BFE">
            <w:pPr>
              <w:ind w:left="57" w:right="57"/>
              <w:rPr>
                <w:szCs w:val="24"/>
              </w:rPr>
            </w:pPr>
            <w:r w:rsidRPr="00761653">
              <w:rPr>
                <w:szCs w:val="24"/>
              </w:rPr>
              <w:t>1 г каждые 6-8 часов, в/в</w:t>
            </w:r>
          </w:p>
        </w:tc>
      </w:tr>
      <w:tr w:rsidR="00824BFE" w:rsidRPr="00975FC1" w14:paraId="3AF092A3" w14:textId="77777777" w:rsidTr="00824BFE">
        <w:tc>
          <w:tcPr>
            <w:tcW w:w="3510" w:type="dxa"/>
          </w:tcPr>
          <w:p w14:paraId="31791F9C" w14:textId="77777777" w:rsidR="00824BFE" w:rsidRPr="00761653" w:rsidRDefault="00824BFE" w:rsidP="00824BFE">
            <w:pPr>
              <w:ind w:left="57" w:right="57"/>
              <w:rPr>
                <w:szCs w:val="24"/>
              </w:rPr>
            </w:pPr>
            <w:r w:rsidRPr="00761653">
              <w:rPr>
                <w:szCs w:val="24"/>
              </w:rPr>
              <w:t>Фосфомицин</w:t>
            </w:r>
          </w:p>
        </w:tc>
        <w:tc>
          <w:tcPr>
            <w:tcW w:w="6237" w:type="dxa"/>
          </w:tcPr>
          <w:p w14:paraId="0EBE708D" w14:textId="77777777" w:rsidR="00824BFE" w:rsidRPr="00761653" w:rsidRDefault="00824BFE" w:rsidP="00824BFE">
            <w:pPr>
              <w:ind w:left="57" w:right="57"/>
              <w:rPr>
                <w:szCs w:val="24"/>
              </w:rPr>
            </w:pPr>
            <w:r w:rsidRPr="00761653">
              <w:rPr>
                <w:szCs w:val="24"/>
              </w:rPr>
              <w:t xml:space="preserve">Нагрузочная доза 2-4 г, затем по 16-24 г посредством непрерывной инфузии в течение 24 часов </w:t>
            </w:r>
          </w:p>
        </w:tc>
      </w:tr>
      <w:tr w:rsidR="00824BFE" w:rsidRPr="00975FC1" w14:paraId="0D86F0D0" w14:textId="77777777" w:rsidTr="00824BFE">
        <w:tc>
          <w:tcPr>
            <w:tcW w:w="3510" w:type="dxa"/>
          </w:tcPr>
          <w:p w14:paraId="3A3640A5" w14:textId="77777777" w:rsidR="00824BFE" w:rsidRPr="00761653" w:rsidRDefault="00824BFE" w:rsidP="00824BFE">
            <w:pPr>
              <w:ind w:left="57" w:right="57"/>
              <w:rPr>
                <w:szCs w:val="24"/>
              </w:rPr>
            </w:pPr>
            <w:r w:rsidRPr="00761653">
              <w:rPr>
                <w:szCs w:val="24"/>
              </w:rPr>
              <w:t>Колистин</w:t>
            </w:r>
          </w:p>
        </w:tc>
        <w:tc>
          <w:tcPr>
            <w:tcW w:w="6237" w:type="dxa"/>
          </w:tcPr>
          <w:p w14:paraId="4E5AD414" w14:textId="77777777" w:rsidR="00824BFE" w:rsidRPr="00761653" w:rsidRDefault="00824BFE" w:rsidP="00824BFE">
            <w:pPr>
              <w:ind w:left="57" w:right="57"/>
              <w:rPr>
                <w:szCs w:val="24"/>
              </w:rPr>
            </w:pPr>
            <w:r w:rsidRPr="00761653">
              <w:rPr>
                <w:szCs w:val="24"/>
              </w:rPr>
              <w:t>Нагрузочная доза 6-9 млн МЕ, затем по 4,5 млн МЕ каждые 12 часов</w:t>
            </w:r>
          </w:p>
        </w:tc>
      </w:tr>
      <w:tr w:rsidR="00824BFE" w:rsidRPr="00265B67" w14:paraId="7681F0C9" w14:textId="77777777" w:rsidTr="00824BFE">
        <w:tc>
          <w:tcPr>
            <w:tcW w:w="3510" w:type="dxa"/>
          </w:tcPr>
          <w:p w14:paraId="0CD12479" w14:textId="77777777" w:rsidR="00824BFE" w:rsidRPr="00761653" w:rsidRDefault="00824BFE" w:rsidP="00824BFE">
            <w:pPr>
              <w:ind w:left="57" w:right="57"/>
              <w:rPr>
                <w:szCs w:val="24"/>
              </w:rPr>
            </w:pPr>
            <w:r w:rsidRPr="00761653">
              <w:rPr>
                <w:szCs w:val="24"/>
              </w:rPr>
              <w:t>Полимиксин В</w:t>
            </w:r>
          </w:p>
        </w:tc>
        <w:tc>
          <w:tcPr>
            <w:tcW w:w="6237" w:type="dxa"/>
          </w:tcPr>
          <w:p w14:paraId="4E70DF51" w14:textId="77777777" w:rsidR="00824BFE" w:rsidRPr="00761653" w:rsidRDefault="00824BFE" w:rsidP="00824BFE">
            <w:pPr>
              <w:ind w:left="57" w:right="57"/>
              <w:rPr>
                <w:szCs w:val="24"/>
              </w:rPr>
            </w:pPr>
            <w:r w:rsidRPr="00761653">
              <w:rPr>
                <w:szCs w:val="24"/>
              </w:rPr>
              <w:t xml:space="preserve">Нагрузочная доза 2-2,5 мг/кг, инфузия в течение 2 часов, далее по </w:t>
            </w:r>
          </w:p>
          <w:p w14:paraId="5B340A74" w14:textId="77777777" w:rsidR="00824BFE" w:rsidRPr="00761653" w:rsidRDefault="00824BFE" w:rsidP="00824BFE">
            <w:pPr>
              <w:ind w:left="57" w:right="57"/>
              <w:rPr>
                <w:szCs w:val="24"/>
              </w:rPr>
            </w:pPr>
            <w:r w:rsidRPr="00761653">
              <w:rPr>
                <w:szCs w:val="24"/>
              </w:rPr>
              <w:t>1,25-1,5 мг/кг каждые 12 часов, инфузия в течение 1 часа</w:t>
            </w:r>
          </w:p>
        </w:tc>
      </w:tr>
      <w:tr w:rsidR="00824BFE" w:rsidRPr="00265B67" w14:paraId="11D92C58" w14:textId="77777777" w:rsidTr="00824BFE">
        <w:tc>
          <w:tcPr>
            <w:tcW w:w="3510" w:type="dxa"/>
          </w:tcPr>
          <w:p w14:paraId="71FF3764" w14:textId="77777777" w:rsidR="00824BFE" w:rsidRPr="00761653" w:rsidRDefault="00824BFE" w:rsidP="00824BFE">
            <w:pPr>
              <w:ind w:left="57" w:right="57"/>
              <w:rPr>
                <w:szCs w:val="24"/>
              </w:rPr>
            </w:pPr>
            <w:r w:rsidRPr="00761653">
              <w:rPr>
                <w:szCs w:val="24"/>
              </w:rPr>
              <w:t>Ципрофлоксацин</w:t>
            </w:r>
          </w:p>
        </w:tc>
        <w:tc>
          <w:tcPr>
            <w:tcW w:w="6237" w:type="dxa"/>
          </w:tcPr>
          <w:p w14:paraId="66FCF894" w14:textId="77777777" w:rsidR="00824BFE" w:rsidRPr="00761653" w:rsidRDefault="00824BFE" w:rsidP="00824BFE">
            <w:pPr>
              <w:ind w:left="57" w:right="57"/>
              <w:rPr>
                <w:szCs w:val="24"/>
              </w:rPr>
            </w:pPr>
            <w:r w:rsidRPr="00761653">
              <w:rPr>
                <w:szCs w:val="24"/>
              </w:rPr>
              <w:t>400 мг каждые 8 часов, инфузия в течение 30-60 минут</w:t>
            </w:r>
          </w:p>
        </w:tc>
      </w:tr>
      <w:tr w:rsidR="00824BFE" w:rsidRPr="00265B67" w14:paraId="518A3419" w14:textId="77777777" w:rsidTr="00824BFE">
        <w:tc>
          <w:tcPr>
            <w:tcW w:w="3510" w:type="dxa"/>
          </w:tcPr>
          <w:p w14:paraId="5386F8FF" w14:textId="77777777" w:rsidR="00824BFE" w:rsidRPr="00761653" w:rsidRDefault="00824BFE" w:rsidP="00824BFE">
            <w:pPr>
              <w:ind w:left="57" w:right="57"/>
              <w:rPr>
                <w:szCs w:val="24"/>
              </w:rPr>
            </w:pPr>
            <w:r w:rsidRPr="00761653">
              <w:rPr>
                <w:szCs w:val="24"/>
              </w:rPr>
              <w:t>Левофлоксацин</w:t>
            </w:r>
          </w:p>
        </w:tc>
        <w:tc>
          <w:tcPr>
            <w:tcW w:w="6237" w:type="dxa"/>
          </w:tcPr>
          <w:p w14:paraId="7C0B1DFC" w14:textId="77777777" w:rsidR="00824BFE" w:rsidRPr="00761653" w:rsidRDefault="00824BFE" w:rsidP="00824BFE">
            <w:pPr>
              <w:ind w:left="57" w:right="57"/>
              <w:rPr>
                <w:szCs w:val="24"/>
              </w:rPr>
            </w:pPr>
            <w:r w:rsidRPr="00761653">
              <w:rPr>
                <w:szCs w:val="24"/>
              </w:rPr>
              <w:t>500 мг каждые 12 часов, инфузия в течение 50-60 минут</w:t>
            </w:r>
          </w:p>
        </w:tc>
      </w:tr>
      <w:tr w:rsidR="00824BFE" w:rsidRPr="00265B67" w14:paraId="5B907C6C" w14:textId="77777777" w:rsidTr="00824BFE">
        <w:tc>
          <w:tcPr>
            <w:tcW w:w="3510" w:type="dxa"/>
          </w:tcPr>
          <w:p w14:paraId="3DFD7E1F" w14:textId="77777777" w:rsidR="00824BFE" w:rsidRPr="00761653" w:rsidRDefault="00824BFE" w:rsidP="00824BFE">
            <w:pPr>
              <w:ind w:left="57" w:right="57"/>
              <w:rPr>
                <w:szCs w:val="24"/>
              </w:rPr>
            </w:pPr>
            <w:r w:rsidRPr="00761653">
              <w:rPr>
                <w:szCs w:val="24"/>
              </w:rPr>
              <w:t>Тобрамицин</w:t>
            </w:r>
          </w:p>
        </w:tc>
        <w:tc>
          <w:tcPr>
            <w:tcW w:w="6237" w:type="dxa"/>
          </w:tcPr>
          <w:p w14:paraId="40DC3956" w14:textId="77777777" w:rsidR="00824BFE" w:rsidRPr="00761653" w:rsidRDefault="00824BFE" w:rsidP="00824BFE">
            <w:pPr>
              <w:ind w:left="57" w:right="57"/>
              <w:rPr>
                <w:szCs w:val="24"/>
              </w:rPr>
            </w:pPr>
            <w:r w:rsidRPr="00761653">
              <w:rPr>
                <w:szCs w:val="24"/>
              </w:rPr>
              <w:t>8 мг/кг 1 раз/сут, инфузия в течение 60 мин</w:t>
            </w:r>
          </w:p>
        </w:tc>
      </w:tr>
      <w:tr w:rsidR="00824BFE" w:rsidRPr="00265B67" w14:paraId="439219FE" w14:textId="77777777" w:rsidTr="00824BFE">
        <w:tc>
          <w:tcPr>
            <w:tcW w:w="3510" w:type="dxa"/>
          </w:tcPr>
          <w:p w14:paraId="51020F74" w14:textId="77777777" w:rsidR="00824BFE" w:rsidRPr="00761653" w:rsidRDefault="00824BFE" w:rsidP="00824BFE">
            <w:pPr>
              <w:ind w:left="57" w:right="57"/>
              <w:rPr>
                <w:szCs w:val="24"/>
              </w:rPr>
            </w:pPr>
            <w:r w:rsidRPr="00761653">
              <w:rPr>
                <w:szCs w:val="24"/>
              </w:rPr>
              <w:t>Амикацин</w:t>
            </w:r>
          </w:p>
        </w:tc>
        <w:tc>
          <w:tcPr>
            <w:tcW w:w="6237" w:type="dxa"/>
          </w:tcPr>
          <w:p w14:paraId="5717B546" w14:textId="77777777" w:rsidR="00824BFE" w:rsidRPr="00761653" w:rsidRDefault="00824BFE" w:rsidP="00824BFE">
            <w:pPr>
              <w:ind w:left="57" w:right="57"/>
              <w:rPr>
                <w:szCs w:val="24"/>
              </w:rPr>
            </w:pPr>
            <w:r w:rsidRPr="00761653">
              <w:rPr>
                <w:szCs w:val="24"/>
              </w:rPr>
              <w:t xml:space="preserve">25 мг/кг 1 раз/сут, инфузия в течение 60 минут </w:t>
            </w:r>
          </w:p>
        </w:tc>
      </w:tr>
    </w:tbl>
    <w:p w14:paraId="56FBFDC3" w14:textId="77777777" w:rsidR="00824BFE" w:rsidRDefault="00824BFE" w:rsidP="00824BFE">
      <w:pPr>
        <w:tabs>
          <w:tab w:val="left" w:pos="1134"/>
        </w:tabs>
        <w:ind w:right="49"/>
        <w:contextualSpacing/>
        <w:rPr>
          <w:bCs/>
          <w:i/>
          <w:u w:val="single"/>
        </w:rPr>
      </w:pPr>
    </w:p>
    <w:p w14:paraId="1C430F8A" w14:textId="77777777" w:rsidR="00824BFE" w:rsidRPr="00284D51" w:rsidRDefault="00824BFE" w:rsidP="00824BFE">
      <w:pPr>
        <w:ind w:right="49" w:firstLine="709"/>
        <w:contextualSpacing/>
        <w:rPr>
          <w:bCs/>
          <w:i/>
        </w:rPr>
      </w:pPr>
      <w:r w:rsidRPr="00284D51">
        <w:rPr>
          <w:bCs/>
          <w:i/>
        </w:rPr>
        <w:t>Acinetobacter baumannii</w:t>
      </w:r>
    </w:p>
    <w:p w14:paraId="53B7D19C" w14:textId="77777777" w:rsidR="00824BFE" w:rsidRPr="00761653" w:rsidRDefault="00824BFE" w:rsidP="00824BFE">
      <w:pPr>
        <w:ind w:right="49" w:firstLine="709"/>
        <w:contextualSpacing/>
      </w:pPr>
      <w:r w:rsidRPr="00761653">
        <w:t xml:space="preserve">Характерным является ограничение потенциально активных </w:t>
      </w:r>
      <w:r w:rsidRPr="00761653">
        <w:rPr>
          <w:i/>
        </w:rPr>
        <w:t xml:space="preserve">in vitro </w:t>
      </w:r>
      <w:r w:rsidRPr="00761653">
        <w:t xml:space="preserve">препаратов, наличие высокой резистентности. Для лечения используют цефоперазон/сульбактам, карбапенем антипсевдомонадный, полимиксин или колистин, тигециклин (дозирование как при инфекции, вызванной </w:t>
      </w:r>
      <w:r w:rsidRPr="00761653">
        <w:rPr>
          <w:i/>
        </w:rPr>
        <w:t>P. aeruginosa</w:t>
      </w:r>
      <w:r w:rsidRPr="00761653">
        <w:t>).</w:t>
      </w:r>
    </w:p>
    <w:p w14:paraId="4DF13B84" w14:textId="77777777" w:rsidR="00824BFE" w:rsidRPr="00284D51" w:rsidRDefault="00824BFE" w:rsidP="00824BFE">
      <w:pPr>
        <w:ind w:right="49" w:firstLine="709"/>
        <w:contextualSpacing/>
        <w:rPr>
          <w:bCs/>
        </w:rPr>
      </w:pPr>
      <w:r w:rsidRPr="00284D51">
        <w:rPr>
          <w:bCs/>
          <w:i/>
        </w:rPr>
        <w:t>Stenotrophomonas maltophilia</w:t>
      </w:r>
    </w:p>
    <w:p w14:paraId="3A851BBB" w14:textId="77777777" w:rsidR="00824BFE" w:rsidRPr="00761653" w:rsidRDefault="00824BFE" w:rsidP="00824BFE">
      <w:pPr>
        <w:ind w:right="49" w:firstLine="709"/>
        <w:contextualSpacing/>
      </w:pPr>
      <w:r w:rsidRPr="00761653">
        <w:t>Препарат выбора – триметоприм/сульфаметоксазол, расчет дозы проводят по триметоприму 15 мг/кг/сутки.</w:t>
      </w:r>
    </w:p>
    <w:p w14:paraId="1F85BA8A" w14:textId="77777777" w:rsidR="00824BFE" w:rsidRDefault="00824BFE" w:rsidP="00824BFE">
      <w:pPr>
        <w:tabs>
          <w:tab w:val="left" w:pos="317"/>
          <w:tab w:val="left" w:pos="8715"/>
        </w:tabs>
        <w:ind w:right="49" w:firstLine="709"/>
        <w:contextualSpacing/>
        <w:rPr>
          <w:b/>
        </w:rPr>
      </w:pPr>
    </w:p>
    <w:p w14:paraId="6851FF4C" w14:textId="77777777" w:rsidR="00824BFE" w:rsidRPr="00761653" w:rsidRDefault="00824BFE" w:rsidP="00824BFE">
      <w:pPr>
        <w:tabs>
          <w:tab w:val="left" w:pos="317"/>
          <w:tab w:val="left" w:pos="8715"/>
        </w:tabs>
        <w:ind w:right="49" w:firstLine="709"/>
        <w:contextualSpacing/>
        <w:rPr>
          <w:b/>
          <w:iCs/>
        </w:rPr>
      </w:pPr>
      <w:r w:rsidRPr="00761653">
        <w:rPr>
          <w:b/>
        </w:rPr>
        <w:t>Грамположительные возбудители</w:t>
      </w:r>
    </w:p>
    <w:p w14:paraId="2CBBE52C" w14:textId="77777777" w:rsidR="00824BFE" w:rsidRPr="00284D51" w:rsidRDefault="00824BFE" w:rsidP="00824BFE">
      <w:pPr>
        <w:tabs>
          <w:tab w:val="left" w:pos="317"/>
          <w:tab w:val="left" w:pos="8715"/>
        </w:tabs>
        <w:ind w:right="49" w:firstLine="709"/>
        <w:contextualSpacing/>
        <w:rPr>
          <w:i/>
          <w:iCs/>
        </w:rPr>
      </w:pPr>
      <w:r w:rsidRPr="00284D51">
        <w:rPr>
          <w:i/>
          <w:iCs/>
        </w:rPr>
        <w:t>Коагулазонегативные стафилококки</w:t>
      </w:r>
    </w:p>
    <w:p w14:paraId="3F53854D" w14:textId="77777777" w:rsidR="00824BFE" w:rsidRPr="00761653" w:rsidRDefault="00824BFE" w:rsidP="00824BFE">
      <w:pPr>
        <w:tabs>
          <w:tab w:val="left" w:pos="317"/>
          <w:tab w:val="left" w:pos="8715"/>
        </w:tabs>
        <w:ind w:right="49" w:firstLine="709"/>
        <w:contextualSpacing/>
        <w:rPr>
          <w:bCs/>
        </w:rPr>
      </w:pPr>
      <w:r w:rsidRPr="00761653">
        <w:rPr>
          <w:bCs/>
        </w:rPr>
        <w:t>Явялются причиной бактериемий (2</w:t>
      </w:r>
      <w:r>
        <w:rPr>
          <w:bCs/>
        </w:rPr>
        <w:t>-</w:t>
      </w:r>
      <w:r w:rsidRPr="00761653">
        <w:rPr>
          <w:bCs/>
        </w:rPr>
        <w:t xml:space="preserve">е место) и катетер-ассоциированных инфекций. Подтверждают инфекцию двумя положительными гемокультурами. Около 80% штаммов устойчивые к оксациллину. Препарат выбора для лечения – ванкомицин. </w:t>
      </w:r>
    </w:p>
    <w:p w14:paraId="022DBD48" w14:textId="77777777" w:rsidR="00824BFE" w:rsidRPr="00284D51" w:rsidRDefault="00824BFE" w:rsidP="00824BFE">
      <w:pPr>
        <w:tabs>
          <w:tab w:val="left" w:pos="317"/>
          <w:tab w:val="left" w:pos="8715"/>
        </w:tabs>
        <w:ind w:right="49" w:firstLine="709"/>
        <w:contextualSpacing/>
      </w:pPr>
      <w:r w:rsidRPr="00284D51">
        <w:rPr>
          <w:i/>
        </w:rPr>
        <w:t>Enterococcus</w:t>
      </w:r>
      <w:r w:rsidRPr="00284D51">
        <w:t xml:space="preserve"> spp. </w:t>
      </w:r>
    </w:p>
    <w:p w14:paraId="2FC3329F" w14:textId="77777777" w:rsidR="00824BFE" w:rsidRPr="00761653" w:rsidRDefault="00824BFE" w:rsidP="00824BFE">
      <w:pPr>
        <w:tabs>
          <w:tab w:val="left" w:pos="317"/>
          <w:tab w:val="left" w:pos="8715"/>
        </w:tabs>
        <w:ind w:right="49" w:firstLine="709"/>
        <w:contextualSpacing/>
        <w:rPr>
          <w:bCs/>
        </w:rPr>
      </w:pPr>
      <w:r>
        <w:rPr>
          <w:bCs/>
        </w:rPr>
        <w:t xml:space="preserve">У гематологических пациентов в основном вызывают </w:t>
      </w:r>
      <w:r w:rsidRPr="00761653">
        <w:rPr>
          <w:bCs/>
        </w:rPr>
        <w:t xml:space="preserve">инфекции кровотока, далее следуют инфекции мочевыводящих путей, редко – эндокардиты. Штаммы </w:t>
      </w:r>
      <w:r w:rsidRPr="00761653">
        <w:rPr>
          <w:bCs/>
          <w:i/>
        </w:rPr>
        <w:t>E. faecium</w:t>
      </w:r>
      <w:r w:rsidRPr="00761653">
        <w:rPr>
          <w:bCs/>
        </w:rPr>
        <w:t xml:space="preserve"> (70%) преобладают над E</w:t>
      </w:r>
      <w:r w:rsidRPr="00761653">
        <w:rPr>
          <w:bCs/>
          <w:i/>
        </w:rPr>
        <w:t>. faecalis</w:t>
      </w:r>
      <w:r w:rsidRPr="00761653">
        <w:rPr>
          <w:bCs/>
        </w:rPr>
        <w:t xml:space="preserve"> (30%). Препарат выбора в лечении инфекций, вызванных E. faecalis - ампициллин (97% чувствительные). Антибиотикорезистентность более высокая </w:t>
      </w:r>
      <w:r w:rsidRPr="00761653">
        <w:rPr>
          <w:bCs/>
        </w:rPr>
        <w:lastRenderedPageBreak/>
        <w:t xml:space="preserve">среди </w:t>
      </w:r>
      <w:r w:rsidRPr="00761653">
        <w:rPr>
          <w:bCs/>
          <w:i/>
        </w:rPr>
        <w:t xml:space="preserve">E. faecium </w:t>
      </w:r>
      <w:r w:rsidRPr="00761653">
        <w:rPr>
          <w:bCs/>
        </w:rPr>
        <w:t xml:space="preserve">- около 15% устойчивые к ванкомицину. При выделении ванкомицин-резистентных </w:t>
      </w:r>
      <w:r w:rsidRPr="00761653">
        <w:rPr>
          <w:bCs/>
          <w:i/>
        </w:rPr>
        <w:t>E. faecium</w:t>
      </w:r>
      <w:r w:rsidRPr="00761653">
        <w:rPr>
          <w:bCs/>
        </w:rPr>
        <w:t xml:space="preserve"> из гемокультуры препаратами выбора являются даптомицин (доза 10-12 мг/кг/сутки), линезолид.</w:t>
      </w:r>
    </w:p>
    <w:p w14:paraId="6E79D1D5" w14:textId="77777777" w:rsidR="00824BFE" w:rsidRPr="00284D51" w:rsidRDefault="00824BFE" w:rsidP="00824BFE">
      <w:pPr>
        <w:tabs>
          <w:tab w:val="left" w:pos="317"/>
          <w:tab w:val="left" w:pos="8715"/>
        </w:tabs>
        <w:ind w:right="49" w:firstLine="709"/>
        <w:contextualSpacing/>
        <w:rPr>
          <w:i/>
        </w:rPr>
      </w:pPr>
      <w:r w:rsidRPr="00284D51">
        <w:rPr>
          <w:i/>
        </w:rPr>
        <w:t>Staphylococcus aureus</w:t>
      </w:r>
    </w:p>
    <w:p w14:paraId="5273C194" w14:textId="77777777" w:rsidR="00824BFE" w:rsidRPr="00761653" w:rsidRDefault="00824BFE" w:rsidP="00824BFE">
      <w:pPr>
        <w:tabs>
          <w:tab w:val="left" w:pos="317"/>
          <w:tab w:val="left" w:pos="8715"/>
        </w:tabs>
        <w:ind w:right="49" w:firstLine="709"/>
        <w:contextualSpacing/>
        <w:rPr>
          <w:bCs/>
        </w:rPr>
      </w:pPr>
      <w:r>
        <w:rPr>
          <w:bCs/>
        </w:rPr>
        <w:t xml:space="preserve">У гематологических пациентов могут быть причиной </w:t>
      </w:r>
      <w:r w:rsidRPr="00761653">
        <w:rPr>
          <w:bCs/>
        </w:rPr>
        <w:t>инфекции кровотока, пневмонии, инфекции к</w:t>
      </w:r>
      <w:r>
        <w:rPr>
          <w:bCs/>
        </w:rPr>
        <w:t>ожи и мягких тканей, эндокардита</w:t>
      </w:r>
      <w:r w:rsidRPr="00761653">
        <w:rPr>
          <w:bCs/>
        </w:rPr>
        <w:t>. Около 20%-30% штаммов являются устойчивыми к оксациллину. Антибиотики, используемые для лечения указаны в таблице 4. При тяжелом течении инфекции в отдельных случаях сочетают даптомицин с линезолидом. Длительность лечения не менее 2-х недель.</w:t>
      </w:r>
    </w:p>
    <w:p w14:paraId="3DD62581" w14:textId="77777777" w:rsidR="00824BFE" w:rsidRPr="00761653" w:rsidRDefault="00824BFE" w:rsidP="00824BFE">
      <w:pPr>
        <w:tabs>
          <w:tab w:val="left" w:pos="317"/>
          <w:tab w:val="left" w:pos="8715"/>
        </w:tabs>
        <w:ind w:right="49" w:firstLine="709"/>
        <w:contextualSpacing/>
        <w:rPr>
          <w:bCs/>
        </w:rPr>
      </w:pPr>
      <w:r w:rsidRPr="00761653">
        <w:rPr>
          <w:bCs/>
        </w:rPr>
        <w:t xml:space="preserve">Другие грамположительные бактерии редко вызывают инфекции, лечение их </w:t>
      </w:r>
      <w:r>
        <w:rPr>
          <w:bCs/>
        </w:rPr>
        <w:t xml:space="preserve">такое же, </w:t>
      </w:r>
      <w:r w:rsidRPr="00761653">
        <w:rPr>
          <w:bCs/>
        </w:rPr>
        <w:t xml:space="preserve">как у других категорий </w:t>
      </w:r>
      <w:r>
        <w:rPr>
          <w:bCs/>
        </w:rPr>
        <w:t>пациентов.</w:t>
      </w:r>
    </w:p>
    <w:p w14:paraId="5B699E6D" w14:textId="77777777" w:rsidR="00824BFE" w:rsidRDefault="00824BFE" w:rsidP="00824BFE">
      <w:pPr>
        <w:ind w:hanging="142"/>
      </w:pPr>
    </w:p>
    <w:p w14:paraId="7DEFB042" w14:textId="77777777" w:rsidR="00824BFE" w:rsidRPr="00761653" w:rsidRDefault="00824BFE" w:rsidP="00824BFE">
      <w:pPr>
        <w:ind w:hanging="142"/>
        <w:rPr>
          <w:i/>
        </w:rPr>
      </w:pPr>
      <w:r w:rsidRPr="00761653">
        <w:t xml:space="preserve">Таблица 4. Лечение инфекций, вызванных </w:t>
      </w:r>
      <w:r w:rsidRPr="00761653">
        <w:rPr>
          <w:i/>
        </w:rPr>
        <w:t xml:space="preserve">Staphylococcus aureus </w:t>
      </w:r>
      <w:r w:rsidRPr="00761653">
        <w:t>и</w:t>
      </w:r>
      <w:r w:rsidRPr="00761653">
        <w:rPr>
          <w:i/>
        </w:rPr>
        <w:t xml:space="preserve"> Enterococcus faecium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835"/>
        <w:gridCol w:w="4395"/>
      </w:tblGrid>
      <w:tr w:rsidR="00824BFE" w:rsidRPr="00761653" w14:paraId="00FD6D2F" w14:textId="77777777" w:rsidTr="00824BFE">
        <w:tc>
          <w:tcPr>
            <w:tcW w:w="2376" w:type="dxa"/>
            <w:vAlign w:val="center"/>
          </w:tcPr>
          <w:p w14:paraId="6F49CD0F" w14:textId="77777777" w:rsidR="00824BFE" w:rsidRPr="00761653" w:rsidRDefault="00824BFE" w:rsidP="00824BFE">
            <w:pPr>
              <w:spacing w:line="240" w:lineRule="auto"/>
              <w:ind w:left="57" w:right="57"/>
              <w:jc w:val="center"/>
              <w:rPr>
                <w:szCs w:val="24"/>
              </w:rPr>
            </w:pPr>
            <w:r w:rsidRPr="00761653">
              <w:rPr>
                <w:szCs w:val="24"/>
              </w:rPr>
              <w:t>Микроорганизм</w:t>
            </w:r>
          </w:p>
        </w:tc>
        <w:tc>
          <w:tcPr>
            <w:tcW w:w="2835" w:type="dxa"/>
            <w:vAlign w:val="center"/>
          </w:tcPr>
          <w:p w14:paraId="7D4CA6AA" w14:textId="77777777" w:rsidR="00824BFE" w:rsidRPr="00761653" w:rsidRDefault="00824BFE" w:rsidP="00824BFE">
            <w:pPr>
              <w:spacing w:line="240" w:lineRule="auto"/>
              <w:ind w:left="57" w:right="57"/>
              <w:jc w:val="center"/>
              <w:rPr>
                <w:szCs w:val="24"/>
              </w:rPr>
            </w:pPr>
            <w:r w:rsidRPr="00761653">
              <w:rPr>
                <w:szCs w:val="24"/>
              </w:rPr>
              <w:t>Препарат</w:t>
            </w:r>
          </w:p>
        </w:tc>
        <w:tc>
          <w:tcPr>
            <w:tcW w:w="4395" w:type="dxa"/>
            <w:vAlign w:val="center"/>
          </w:tcPr>
          <w:p w14:paraId="00A2CF75" w14:textId="77777777" w:rsidR="00824BFE" w:rsidRPr="00761653" w:rsidRDefault="00824BFE" w:rsidP="00824BFE">
            <w:pPr>
              <w:spacing w:line="240" w:lineRule="auto"/>
              <w:ind w:left="57" w:right="57"/>
              <w:jc w:val="center"/>
              <w:rPr>
                <w:szCs w:val="24"/>
              </w:rPr>
            </w:pPr>
            <w:r w:rsidRPr="00761653">
              <w:rPr>
                <w:szCs w:val="24"/>
              </w:rPr>
              <w:t>Доза</w:t>
            </w:r>
          </w:p>
        </w:tc>
      </w:tr>
      <w:tr w:rsidR="00824BFE" w:rsidRPr="00975FC1" w14:paraId="4874BBAE" w14:textId="77777777" w:rsidTr="00824BFE">
        <w:tc>
          <w:tcPr>
            <w:tcW w:w="2376" w:type="dxa"/>
            <w:vMerge w:val="restart"/>
          </w:tcPr>
          <w:p w14:paraId="155267F7" w14:textId="77777777" w:rsidR="00824BFE" w:rsidRPr="00761653" w:rsidRDefault="00824BFE" w:rsidP="00824BFE">
            <w:pPr>
              <w:spacing w:line="240" w:lineRule="auto"/>
              <w:ind w:left="57" w:right="57"/>
              <w:rPr>
                <w:szCs w:val="24"/>
                <w:highlight w:val="green"/>
              </w:rPr>
            </w:pPr>
            <w:r w:rsidRPr="00761653">
              <w:rPr>
                <w:i/>
                <w:szCs w:val="24"/>
              </w:rPr>
              <w:t>S. aureus</w:t>
            </w:r>
            <w:r w:rsidRPr="00761653">
              <w:rPr>
                <w:szCs w:val="24"/>
              </w:rPr>
              <w:t>, чувствительные к оксациллину</w:t>
            </w:r>
          </w:p>
        </w:tc>
        <w:tc>
          <w:tcPr>
            <w:tcW w:w="2835" w:type="dxa"/>
          </w:tcPr>
          <w:p w14:paraId="156B1D13" w14:textId="77777777" w:rsidR="00824BFE" w:rsidRPr="00761653" w:rsidRDefault="00824BFE" w:rsidP="00824BFE">
            <w:pPr>
              <w:spacing w:line="240" w:lineRule="auto"/>
              <w:ind w:left="57" w:right="57"/>
              <w:rPr>
                <w:szCs w:val="24"/>
              </w:rPr>
            </w:pPr>
            <w:r w:rsidRPr="00761653">
              <w:rPr>
                <w:szCs w:val="24"/>
              </w:rPr>
              <w:t>Оксациллин</w:t>
            </w:r>
          </w:p>
        </w:tc>
        <w:tc>
          <w:tcPr>
            <w:tcW w:w="4395" w:type="dxa"/>
          </w:tcPr>
          <w:p w14:paraId="49471EC8" w14:textId="77777777" w:rsidR="00824BFE" w:rsidRPr="00761653" w:rsidRDefault="00824BFE" w:rsidP="00824BFE">
            <w:pPr>
              <w:spacing w:line="240" w:lineRule="auto"/>
              <w:ind w:left="57" w:right="57"/>
              <w:rPr>
                <w:szCs w:val="24"/>
              </w:rPr>
            </w:pPr>
            <w:r w:rsidRPr="00761653">
              <w:rPr>
                <w:szCs w:val="24"/>
              </w:rPr>
              <w:t>1-2 г каждые 4 часа, в/в</w:t>
            </w:r>
          </w:p>
        </w:tc>
      </w:tr>
      <w:tr w:rsidR="00824BFE" w:rsidRPr="00975FC1" w14:paraId="4D47A076" w14:textId="77777777" w:rsidTr="00824BFE">
        <w:tc>
          <w:tcPr>
            <w:tcW w:w="2376" w:type="dxa"/>
            <w:vMerge/>
          </w:tcPr>
          <w:p w14:paraId="4150DC46" w14:textId="77777777" w:rsidR="00824BFE" w:rsidRPr="00761653" w:rsidRDefault="00824BFE" w:rsidP="00824BFE">
            <w:pPr>
              <w:spacing w:line="240" w:lineRule="auto"/>
              <w:ind w:left="57" w:right="57"/>
              <w:rPr>
                <w:szCs w:val="24"/>
              </w:rPr>
            </w:pPr>
          </w:p>
        </w:tc>
        <w:tc>
          <w:tcPr>
            <w:tcW w:w="2835" w:type="dxa"/>
          </w:tcPr>
          <w:p w14:paraId="561F5001" w14:textId="77777777" w:rsidR="00824BFE" w:rsidRPr="00761653" w:rsidRDefault="00824BFE" w:rsidP="00824BFE">
            <w:pPr>
              <w:spacing w:line="240" w:lineRule="auto"/>
              <w:ind w:left="57" w:right="57"/>
              <w:rPr>
                <w:szCs w:val="24"/>
              </w:rPr>
            </w:pPr>
            <w:r w:rsidRPr="00761653">
              <w:rPr>
                <w:szCs w:val="24"/>
              </w:rPr>
              <w:t>Цефазолин</w:t>
            </w:r>
          </w:p>
        </w:tc>
        <w:tc>
          <w:tcPr>
            <w:tcW w:w="4395" w:type="dxa"/>
          </w:tcPr>
          <w:p w14:paraId="0A4D29C2" w14:textId="77777777" w:rsidR="00824BFE" w:rsidRPr="00761653" w:rsidRDefault="00824BFE" w:rsidP="00824BFE">
            <w:pPr>
              <w:spacing w:line="240" w:lineRule="auto"/>
              <w:ind w:left="57" w:right="57"/>
              <w:rPr>
                <w:szCs w:val="24"/>
              </w:rPr>
            </w:pPr>
            <w:r w:rsidRPr="00761653">
              <w:rPr>
                <w:szCs w:val="24"/>
              </w:rPr>
              <w:t>1-2 г каждые 8 часов (максимальная доза 12 г/сут), в/в</w:t>
            </w:r>
          </w:p>
        </w:tc>
      </w:tr>
      <w:tr w:rsidR="00824BFE" w:rsidRPr="00265B67" w14:paraId="2629443E" w14:textId="77777777" w:rsidTr="00824BFE">
        <w:tc>
          <w:tcPr>
            <w:tcW w:w="2376" w:type="dxa"/>
            <w:vMerge/>
          </w:tcPr>
          <w:p w14:paraId="4FE3B66B" w14:textId="77777777" w:rsidR="00824BFE" w:rsidRPr="00761653" w:rsidRDefault="00824BFE" w:rsidP="00824BFE">
            <w:pPr>
              <w:spacing w:line="240" w:lineRule="auto"/>
              <w:ind w:left="57" w:right="57"/>
              <w:rPr>
                <w:szCs w:val="24"/>
              </w:rPr>
            </w:pPr>
          </w:p>
        </w:tc>
        <w:tc>
          <w:tcPr>
            <w:tcW w:w="2835" w:type="dxa"/>
          </w:tcPr>
          <w:p w14:paraId="6DDA01C2" w14:textId="77777777" w:rsidR="00824BFE" w:rsidRPr="00761653" w:rsidRDefault="00824BFE" w:rsidP="00824BFE">
            <w:pPr>
              <w:spacing w:line="240" w:lineRule="auto"/>
              <w:ind w:left="57" w:right="57"/>
              <w:rPr>
                <w:szCs w:val="24"/>
              </w:rPr>
            </w:pPr>
            <w:r w:rsidRPr="00761653">
              <w:rPr>
                <w:szCs w:val="24"/>
              </w:rPr>
              <w:t>Цефтаролин</w:t>
            </w:r>
          </w:p>
        </w:tc>
        <w:tc>
          <w:tcPr>
            <w:tcW w:w="4395" w:type="dxa"/>
          </w:tcPr>
          <w:p w14:paraId="5F8255FA" w14:textId="77777777" w:rsidR="00824BFE" w:rsidRPr="00761653" w:rsidRDefault="00824BFE" w:rsidP="00824BFE">
            <w:pPr>
              <w:spacing w:line="240" w:lineRule="auto"/>
              <w:ind w:left="57" w:right="57"/>
              <w:rPr>
                <w:szCs w:val="24"/>
              </w:rPr>
            </w:pPr>
            <w:r w:rsidRPr="00761653">
              <w:rPr>
                <w:szCs w:val="24"/>
              </w:rPr>
              <w:t>600 мг каждые 12 часов, инфузия в течение 5-60 минут</w:t>
            </w:r>
          </w:p>
        </w:tc>
      </w:tr>
      <w:tr w:rsidR="00824BFE" w:rsidRPr="00265B67" w14:paraId="28617C2F" w14:textId="77777777" w:rsidTr="00824BFE">
        <w:tc>
          <w:tcPr>
            <w:tcW w:w="2376" w:type="dxa"/>
            <w:vMerge/>
          </w:tcPr>
          <w:p w14:paraId="182BD1FF" w14:textId="77777777" w:rsidR="00824BFE" w:rsidRPr="00761653" w:rsidRDefault="00824BFE" w:rsidP="00824BFE">
            <w:pPr>
              <w:spacing w:line="240" w:lineRule="auto"/>
              <w:ind w:left="57" w:right="57"/>
              <w:rPr>
                <w:szCs w:val="24"/>
                <w:highlight w:val="yellow"/>
              </w:rPr>
            </w:pPr>
          </w:p>
        </w:tc>
        <w:tc>
          <w:tcPr>
            <w:tcW w:w="2835" w:type="dxa"/>
          </w:tcPr>
          <w:p w14:paraId="6423E473" w14:textId="77777777" w:rsidR="00824BFE" w:rsidRPr="00761653" w:rsidRDefault="00824BFE" w:rsidP="00824BFE">
            <w:pPr>
              <w:spacing w:line="240" w:lineRule="auto"/>
              <w:ind w:left="57" w:right="57"/>
              <w:rPr>
                <w:szCs w:val="24"/>
              </w:rPr>
            </w:pPr>
            <w:r w:rsidRPr="00761653">
              <w:rPr>
                <w:szCs w:val="24"/>
              </w:rPr>
              <w:t>Ванкомицин</w:t>
            </w:r>
          </w:p>
        </w:tc>
        <w:tc>
          <w:tcPr>
            <w:tcW w:w="4395" w:type="dxa"/>
          </w:tcPr>
          <w:p w14:paraId="4FFFEE30" w14:textId="77777777" w:rsidR="00824BFE" w:rsidRPr="00761653" w:rsidRDefault="00824BFE" w:rsidP="00824BFE">
            <w:pPr>
              <w:spacing w:line="240" w:lineRule="auto"/>
              <w:ind w:left="57" w:right="57"/>
              <w:rPr>
                <w:szCs w:val="24"/>
              </w:rPr>
            </w:pPr>
            <w:r w:rsidRPr="00761653">
              <w:rPr>
                <w:szCs w:val="24"/>
              </w:rPr>
              <w:t xml:space="preserve">Нагрузочная доза 25-30 мг/кг, затем 15-20 мг/кг каждые 8-12 часов (разовая доза не должна превышать 2 г), инфузия в течение 1,5-2 часов </w:t>
            </w:r>
          </w:p>
        </w:tc>
      </w:tr>
      <w:tr w:rsidR="00824BFE" w:rsidRPr="00265B67" w14:paraId="04993593" w14:textId="77777777" w:rsidTr="00824BFE">
        <w:tc>
          <w:tcPr>
            <w:tcW w:w="2376" w:type="dxa"/>
            <w:vMerge w:val="restart"/>
          </w:tcPr>
          <w:p w14:paraId="3EE5DB42" w14:textId="77777777" w:rsidR="00824BFE" w:rsidRPr="00761653" w:rsidRDefault="00824BFE" w:rsidP="00824BFE">
            <w:pPr>
              <w:spacing w:line="240" w:lineRule="auto"/>
              <w:ind w:left="57" w:right="57"/>
              <w:rPr>
                <w:szCs w:val="24"/>
              </w:rPr>
            </w:pPr>
            <w:r w:rsidRPr="00761653">
              <w:rPr>
                <w:i/>
                <w:szCs w:val="24"/>
              </w:rPr>
              <w:t>S. aureus,</w:t>
            </w:r>
            <w:r w:rsidRPr="00761653">
              <w:rPr>
                <w:szCs w:val="24"/>
              </w:rPr>
              <w:t xml:space="preserve"> устойчивые к оксациллину</w:t>
            </w:r>
          </w:p>
        </w:tc>
        <w:tc>
          <w:tcPr>
            <w:tcW w:w="2835" w:type="dxa"/>
          </w:tcPr>
          <w:p w14:paraId="1319580F" w14:textId="77777777" w:rsidR="00824BFE" w:rsidRPr="00761653" w:rsidRDefault="00824BFE" w:rsidP="00824BFE">
            <w:pPr>
              <w:spacing w:line="240" w:lineRule="auto"/>
              <w:ind w:left="57" w:right="57"/>
              <w:rPr>
                <w:szCs w:val="24"/>
              </w:rPr>
            </w:pPr>
            <w:r w:rsidRPr="00761653">
              <w:rPr>
                <w:szCs w:val="24"/>
              </w:rPr>
              <w:t>Ванкомицин</w:t>
            </w:r>
          </w:p>
        </w:tc>
        <w:tc>
          <w:tcPr>
            <w:tcW w:w="4395" w:type="dxa"/>
          </w:tcPr>
          <w:p w14:paraId="4E53EC33" w14:textId="77777777" w:rsidR="00824BFE" w:rsidRPr="00761653" w:rsidRDefault="00824BFE" w:rsidP="00824BFE">
            <w:pPr>
              <w:spacing w:line="240" w:lineRule="auto"/>
              <w:ind w:left="57" w:right="57"/>
              <w:rPr>
                <w:szCs w:val="24"/>
              </w:rPr>
            </w:pPr>
            <w:r w:rsidRPr="00761653">
              <w:rPr>
                <w:szCs w:val="24"/>
              </w:rPr>
              <w:t xml:space="preserve">Нагрузочная доза 25-30 мг/кг, затем 15-20 мг/кг каждые 8-12 часов (разовая доза не должна превышать 2 г), инфузия в течение 1,5-2 часов (не рекомендован к назначению при инфекциях, вызванных </w:t>
            </w:r>
            <w:r w:rsidRPr="00761653">
              <w:rPr>
                <w:i/>
                <w:szCs w:val="24"/>
              </w:rPr>
              <w:t>S. aureus</w:t>
            </w:r>
            <w:r w:rsidRPr="00761653">
              <w:rPr>
                <w:szCs w:val="24"/>
              </w:rPr>
              <w:t xml:space="preserve"> с МПК ванкомицина &gt; 1 мкг/мл ввиду низкой клинической эффективности)</w:t>
            </w:r>
          </w:p>
        </w:tc>
      </w:tr>
      <w:tr w:rsidR="00824BFE" w:rsidRPr="00975FC1" w14:paraId="2A72EFD3" w14:textId="77777777" w:rsidTr="00824BFE">
        <w:tc>
          <w:tcPr>
            <w:tcW w:w="2376" w:type="dxa"/>
            <w:vMerge/>
          </w:tcPr>
          <w:p w14:paraId="04A9021A" w14:textId="77777777" w:rsidR="00824BFE" w:rsidRPr="00761653" w:rsidRDefault="00824BFE" w:rsidP="00824BFE">
            <w:pPr>
              <w:spacing w:line="240" w:lineRule="auto"/>
              <w:ind w:left="57" w:right="57"/>
              <w:rPr>
                <w:szCs w:val="24"/>
              </w:rPr>
            </w:pPr>
          </w:p>
        </w:tc>
        <w:tc>
          <w:tcPr>
            <w:tcW w:w="2835" w:type="dxa"/>
          </w:tcPr>
          <w:p w14:paraId="62C24DAD" w14:textId="77777777" w:rsidR="00824BFE" w:rsidRPr="00761653" w:rsidRDefault="00824BFE" w:rsidP="00824BFE">
            <w:pPr>
              <w:spacing w:line="240" w:lineRule="auto"/>
              <w:ind w:left="57" w:right="57"/>
              <w:rPr>
                <w:szCs w:val="24"/>
              </w:rPr>
            </w:pPr>
            <w:r w:rsidRPr="00761653">
              <w:rPr>
                <w:szCs w:val="24"/>
              </w:rPr>
              <w:t>Линезолид</w:t>
            </w:r>
          </w:p>
        </w:tc>
        <w:tc>
          <w:tcPr>
            <w:tcW w:w="4395" w:type="dxa"/>
          </w:tcPr>
          <w:p w14:paraId="532AC275" w14:textId="77777777" w:rsidR="00824BFE" w:rsidRPr="00761653" w:rsidRDefault="00824BFE" w:rsidP="00824BFE">
            <w:pPr>
              <w:spacing w:line="240" w:lineRule="auto"/>
              <w:ind w:left="57" w:right="57"/>
              <w:rPr>
                <w:szCs w:val="24"/>
              </w:rPr>
            </w:pPr>
            <w:r w:rsidRPr="00761653">
              <w:rPr>
                <w:szCs w:val="24"/>
              </w:rPr>
              <w:t>600 мг каждые 12 часов, в/в или внутрь</w:t>
            </w:r>
          </w:p>
        </w:tc>
      </w:tr>
      <w:tr w:rsidR="00824BFE" w:rsidRPr="00975FC1" w14:paraId="311C567B" w14:textId="77777777" w:rsidTr="00824BFE">
        <w:tc>
          <w:tcPr>
            <w:tcW w:w="2376" w:type="dxa"/>
            <w:vMerge/>
          </w:tcPr>
          <w:p w14:paraId="16674C05" w14:textId="77777777" w:rsidR="00824BFE" w:rsidRPr="00761653" w:rsidRDefault="00824BFE" w:rsidP="00824BFE">
            <w:pPr>
              <w:spacing w:line="240" w:lineRule="auto"/>
              <w:ind w:left="57" w:right="57"/>
              <w:rPr>
                <w:szCs w:val="24"/>
              </w:rPr>
            </w:pPr>
          </w:p>
        </w:tc>
        <w:tc>
          <w:tcPr>
            <w:tcW w:w="2835" w:type="dxa"/>
          </w:tcPr>
          <w:p w14:paraId="13DC118B" w14:textId="77777777" w:rsidR="00824BFE" w:rsidRPr="00761653" w:rsidRDefault="00824BFE" w:rsidP="00824BFE">
            <w:pPr>
              <w:spacing w:line="240" w:lineRule="auto"/>
              <w:ind w:left="57" w:right="57"/>
              <w:rPr>
                <w:szCs w:val="24"/>
              </w:rPr>
            </w:pPr>
            <w:r w:rsidRPr="00761653">
              <w:rPr>
                <w:szCs w:val="24"/>
              </w:rPr>
              <w:t>Тедизолид</w:t>
            </w:r>
          </w:p>
        </w:tc>
        <w:tc>
          <w:tcPr>
            <w:tcW w:w="4395" w:type="dxa"/>
          </w:tcPr>
          <w:p w14:paraId="7C99BE09" w14:textId="77777777" w:rsidR="00824BFE" w:rsidRPr="00761653" w:rsidRDefault="00824BFE" w:rsidP="00824BFE">
            <w:pPr>
              <w:spacing w:line="240" w:lineRule="auto"/>
              <w:ind w:left="57" w:right="57"/>
              <w:rPr>
                <w:szCs w:val="24"/>
              </w:rPr>
            </w:pPr>
            <w:r w:rsidRPr="00761653">
              <w:rPr>
                <w:szCs w:val="24"/>
              </w:rPr>
              <w:t>200 мг каждые 24 часа, внутрь или в/в инфузия в течение 1 часа (не применяют для лечения инфекций кровотока и пневмонии)</w:t>
            </w:r>
          </w:p>
        </w:tc>
      </w:tr>
      <w:tr w:rsidR="00824BFE" w:rsidRPr="00265B67" w14:paraId="0E6F4B69" w14:textId="77777777" w:rsidTr="00824BFE">
        <w:tc>
          <w:tcPr>
            <w:tcW w:w="2376" w:type="dxa"/>
            <w:vMerge/>
          </w:tcPr>
          <w:p w14:paraId="272E863A" w14:textId="77777777" w:rsidR="00824BFE" w:rsidRPr="00761653" w:rsidRDefault="00824BFE" w:rsidP="00824BFE">
            <w:pPr>
              <w:spacing w:line="240" w:lineRule="auto"/>
              <w:ind w:left="57" w:right="57"/>
              <w:rPr>
                <w:szCs w:val="24"/>
              </w:rPr>
            </w:pPr>
          </w:p>
        </w:tc>
        <w:tc>
          <w:tcPr>
            <w:tcW w:w="2835" w:type="dxa"/>
          </w:tcPr>
          <w:p w14:paraId="3EE014DF" w14:textId="77777777" w:rsidR="00824BFE" w:rsidRPr="00761653" w:rsidRDefault="00824BFE" w:rsidP="00824BFE">
            <w:pPr>
              <w:spacing w:line="240" w:lineRule="auto"/>
              <w:ind w:left="57" w:right="57"/>
              <w:rPr>
                <w:szCs w:val="24"/>
              </w:rPr>
            </w:pPr>
            <w:r w:rsidRPr="00761653">
              <w:rPr>
                <w:szCs w:val="24"/>
              </w:rPr>
              <w:t>Даптомицин</w:t>
            </w:r>
          </w:p>
        </w:tc>
        <w:tc>
          <w:tcPr>
            <w:tcW w:w="4395" w:type="dxa"/>
          </w:tcPr>
          <w:p w14:paraId="358D7286" w14:textId="77777777" w:rsidR="00824BFE" w:rsidRPr="00761653" w:rsidRDefault="00824BFE" w:rsidP="00824BFE">
            <w:pPr>
              <w:spacing w:line="240" w:lineRule="auto"/>
              <w:ind w:left="57" w:right="57"/>
              <w:rPr>
                <w:szCs w:val="24"/>
              </w:rPr>
            </w:pPr>
            <w:r w:rsidRPr="00761653">
              <w:rPr>
                <w:szCs w:val="24"/>
              </w:rPr>
              <w:t>10-12 мг/кг каждые 24 часа, инфузия в течение 30 минут (препарат не применяют для лечения пневмонии)</w:t>
            </w:r>
          </w:p>
        </w:tc>
      </w:tr>
      <w:tr w:rsidR="00824BFE" w:rsidRPr="00265B67" w14:paraId="7905DCB4" w14:textId="77777777" w:rsidTr="00824BFE">
        <w:tc>
          <w:tcPr>
            <w:tcW w:w="2376" w:type="dxa"/>
            <w:vMerge/>
          </w:tcPr>
          <w:p w14:paraId="5EACAE9E" w14:textId="77777777" w:rsidR="00824BFE" w:rsidRPr="00761653" w:rsidRDefault="00824BFE" w:rsidP="00824BFE">
            <w:pPr>
              <w:spacing w:line="240" w:lineRule="auto"/>
              <w:ind w:left="57" w:right="57"/>
              <w:rPr>
                <w:szCs w:val="24"/>
              </w:rPr>
            </w:pPr>
          </w:p>
        </w:tc>
        <w:tc>
          <w:tcPr>
            <w:tcW w:w="2835" w:type="dxa"/>
          </w:tcPr>
          <w:p w14:paraId="21B3DB70" w14:textId="77777777" w:rsidR="00824BFE" w:rsidRPr="00761653" w:rsidRDefault="00824BFE" w:rsidP="00824BFE">
            <w:pPr>
              <w:spacing w:line="240" w:lineRule="auto"/>
              <w:ind w:left="57" w:right="57"/>
              <w:rPr>
                <w:szCs w:val="24"/>
              </w:rPr>
            </w:pPr>
            <w:r w:rsidRPr="00761653">
              <w:rPr>
                <w:szCs w:val="24"/>
              </w:rPr>
              <w:t>Телаванцин</w:t>
            </w:r>
          </w:p>
        </w:tc>
        <w:tc>
          <w:tcPr>
            <w:tcW w:w="4395" w:type="dxa"/>
          </w:tcPr>
          <w:p w14:paraId="0BF60AB8" w14:textId="77777777" w:rsidR="00824BFE" w:rsidRPr="00761653" w:rsidRDefault="00824BFE" w:rsidP="00824BFE">
            <w:pPr>
              <w:spacing w:line="240" w:lineRule="auto"/>
              <w:ind w:left="57" w:right="57"/>
              <w:rPr>
                <w:szCs w:val="24"/>
              </w:rPr>
            </w:pPr>
            <w:r w:rsidRPr="00761653">
              <w:rPr>
                <w:szCs w:val="24"/>
              </w:rPr>
              <w:t>10 мг/кг каждые 24 часа, инфузия в течение 1 часа</w:t>
            </w:r>
          </w:p>
        </w:tc>
      </w:tr>
      <w:tr w:rsidR="00824BFE" w:rsidRPr="00265B67" w14:paraId="1CC6DB36" w14:textId="77777777" w:rsidTr="00824BFE">
        <w:tc>
          <w:tcPr>
            <w:tcW w:w="2376" w:type="dxa"/>
            <w:vMerge/>
          </w:tcPr>
          <w:p w14:paraId="70F0D781" w14:textId="77777777" w:rsidR="00824BFE" w:rsidRPr="00761653" w:rsidRDefault="00824BFE" w:rsidP="00824BFE">
            <w:pPr>
              <w:spacing w:line="240" w:lineRule="auto"/>
              <w:ind w:left="57" w:right="57"/>
              <w:rPr>
                <w:szCs w:val="24"/>
              </w:rPr>
            </w:pPr>
          </w:p>
        </w:tc>
        <w:tc>
          <w:tcPr>
            <w:tcW w:w="2835" w:type="dxa"/>
          </w:tcPr>
          <w:p w14:paraId="62886247" w14:textId="77777777" w:rsidR="00824BFE" w:rsidRPr="00761653" w:rsidRDefault="00824BFE" w:rsidP="00824BFE">
            <w:pPr>
              <w:spacing w:line="240" w:lineRule="auto"/>
              <w:ind w:left="57" w:right="57"/>
              <w:rPr>
                <w:szCs w:val="24"/>
              </w:rPr>
            </w:pPr>
            <w:r w:rsidRPr="00761653">
              <w:rPr>
                <w:szCs w:val="24"/>
              </w:rPr>
              <w:t>Далбаванцин</w:t>
            </w:r>
          </w:p>
        </w:tc>
        <w:tc>
          <w:tcPr>
            <w:tcW w:w="4395" w:type="dxa"/>
          </w:tcPr>
          <w:p w14:paraId="252F25B8" w14:textId="77777777" w:rsidR="00824BFE" w:rsidRPr="00761653" w:rsidRDefault="00824BFE" w:rsidP="00824BFE">
            <w:pPr>
              <w:spacing w:line="240" w:lineRule="auto"/>
              <w:ind w:left="57" w:right="57"/>
              <w:rPr>
                <w:szCs w:val="24"/>
              </w:rPr>
            </w:pPr>
            <w:r w:rsidRPr="00761653">
              <w:rPr>
                <w:szCs w:val="24"/>
              </w:rPr>
              <w:t>1000 мг, инфузия в течение 30 мин, затем через неделю 500мг , инфузия в течение 30 мин</w:t>
            </w:r>
          </w:p>
        </w:tc>
      </w:tr>
      <w:tr w:rsidR="00824BFE" w:rsidRPr="00975FC1" w14:paraId="3C84F065" w14:textId="77777777" w:rsidTr="00824BFE">
        <w:tc>
          <w:tcPr>
            <w:tcW w:w="2376" w:type="dxa"/>
            <w:vMerge/>
          </w:tcPr>
          <w:p w14:paraId="13D47884" w14:textId="77777777" w:rsidR="00824BFE" w:rsidRPr="00761653" w:rsidRDefault="00824BFE" w:rsidP="00824BFE">
            <w:pPr>
              <w:spacing w:line="240" w:lineRule="auto"/>
              <w:ind w:left="57" w:right="57"/>
              <w:rPr>
                <w:szCs w:val="24"/>
              </w:rPr>
            </w:pPr>
          </w:p>
        </w:tc>
        <w:tc>
          <w:tcPr>
            <w:tcW w:w="2835" w:type="dxa"/>
          </w:tcPr>
          <w:p w14:paraId="592027E2" w14:textId="77777777" w:rsidR="00824BFE" w:rsidRPr="00761653" w:rsidRDefault="00824BFE" w:rsidP="00824BFE">
            <w:pPr>
              <w:spacing w:line="240" w:lineRule="auto"/>
              <w:ind w:left="57" w:right="57"/>
              <w:rPr>
                <w:szCs w:val="24"/>
              </w:rPr>
            </w:pPr>
            <w:r w:rsidRPr="00761653">
              <w:rPr>
                <w:szCs w:val="24"/>
              </w:rPr>
              <w:t>Тигециклин</w:t>
            </w:r>
          </w:p>
        </w:tc>
        <w:tc>
          <w:tcPr>
            <w:tcW w:w="4395" w:type="dxa"/>
          </w:tcPr>
          <w:p w14:paraId="41A6F154" w14:textId="77777777" w:rsidR="00824BFE" w:rsidRPr="00761653" w:rsidRDefault="00824BFE" w:rsidP="00824BFE">
            <w:pPr>
              <w:spacing w:line="240" w:lineRule="auto"/>
              <w:ind w:left="57" w:right="57"/>
              <w:rPr>
                <w:szCs w:val="24"/>
              </w:rPr>
            </w:pPr>
            <w:r w:rsidRPr="00761653">
              <w:rPr>
                <w:szCs w:val="24"/>
              </w:rPr>
              <w:t>Нагрузочная доза 100 мг, затем по 50 мг каждые 12 часов (не показан для лечения инфекций кровотока), в/в (применяют при интрабдоминальной инфекции, при инфекции кожи и мягких тканей)</w:t>
            </w:r>
          </w:p>
        </w:tc>
      </w:tr>
      <w:tr w:rsidR="00824BFE" w:rsidRPr="00265B67" w14:paraId="71053827" w14:textId="77777777" w:rsidTr="00824BFE">
        <w:tc>
          <w:tcPr>
            <w:tcW w:w="2376" w:type="dxa"/>
            <w:vMerge/>
          </w:tcPr>
          <w:p w14:paraId="5307141A" w14:textId="77777777" w:rsidR="00824BFE" w:rsidRPr="00761653" w:rsidRDefault="00824BFE" w:rsidP="00824BFE">
            <w:pPr>
              <w:spacing w:line="240" w:lineRule="auto"/>
              <w:ind w:left="57" w:right="57"/>
              <w:rPr>
                <w:szCs w:val="24"/>
              </w:rPr>
            </w:pPr>
          </w:p>
        </w:tc>
        <w:tc>
          <w:tcPr>
            <w:tcW w:w="2835" w:type="dxa"/>
          </w:tcPr>
          <w:p w14:paraId="519B193D" w14:textId="77777777" w:rsidR="00824BFE" w:rsidRPr="00761653" w:rsidRDefault="00824BFE" w:rsidP="00824BFE">
            <w:pPr>
              <w:spacing w:line="240" w:lineRule="auto"/>
              <w:ind w:left="57" w:right="57"/>
              <w:rPr>
                <w:szCs w:val="24"/>
              </w:rPr>
            </w:pPr>
            <w:r w:rsidRPr="00761653">
              <w:rPr>
                <w:szCs w:val="24"/>
              </w:rPr>
              <w:t>Цефтаролин</w:t>
            </w:r>
          </w:p>
        </w:tc>
        <w:tc>
          <w:tcPr>
            <w:tcW w:w="4395" w:type="dxa"/>
          </w:tcPr>
          <w:p w14:paraId="4624134D" w14:textId="77777777" w:rsidR="00824BFE" w:rsidRPr="00761653" w:rsidRDefault="00824BFE" w:rsidP="00824BFE">
            <w:pPr>
              <w:spacing w:line="240" w:lineRule="auto"/>
              <w:ind w:left="57" w:right="57"/>
              <w:rPr>
                <w:szCs w:val="24"/>
              </w:rPr>
            </w:pPr>
            <w:r w:rsidRPr="00761653">
              <w:rPr>
                <w:szCs w:val="24"/>
              </w:rPr>
              <w:t>600 мг каждые 12 часов, инфузия в течение 5-60 минут</w:t>
            </w:r>
          </w:p>
        </w:tc>
      </w:tr>
      <w:tr w:rsidR="00824BFE" w:rsidRPr="00265B67" w14:paraId="4497E164" w14:textId="77777777" w:rsidTr="00824BFE">
        <w:tc>
          <w:tcPr>
            <w:tcW w:w="2376" w:type="dxa"/>
          </w:tcPr>
          <w:p w14:paraId="70481F6F" w14:textId="77777777" w:rsidR="00824BFE" w:rsidRPr="00761653" w:rsidRDefault="00824BFE" w:rsidP="00824BFE">
            <w:pPr>
              <w:spacing w:line="240" w:lineRule="auto"/>
              <w:ind w:left="57" w:right="57"/>
              <w:rPr>
                <w:szCs w:val="24"/>
              </w:rPr>
            </w:pPr>
            <w:r w:rsidRPr="00761653">
              <w:rPr>
                <w:i/>
                <w:szCs w:val="24"/>
              </w:rPr>
              <w:t xml:space="preserve">E. faecium, </w:t>
            </w:r>
            <w:r w:rsidRPr="00761653">
              <w:rPr>
                <w:szCs w:val="24"/>
              </w:rPr>
              <w:t>чувствительные к ванкомицину</w:t>
            </w:r>
          </w:p>
        </w:tc>
        <w:tc>
          <w:tcPr>
            <w:tcW w:w="2835" w:type="dxa"/>
          </w:tcPr>
          <w:p w14:paraId="19EADB7D" w14:textId="77777777" w:rsidR="00824BFE" w:rsidRPr="00761653" w:rsidRDefault="00824BFE" w:rsidP="00824BFE">
            <w:pPr>
              <w:spacing w:line="240" w:lineRule="auto"/>
              <w:ind w:left="57" w:right="57"/>
              <w:rPr>
                <w:szCs w:val="24"/>
              </w:rPr>
            </w:pPr>
            <w:r w:rsidRPr="00761653">
              <w:rPr>
                <w:szCs w:val="24"/>
              </w:rPr>
              <w:t>Ванкомицин</w:t>
            </w:r>
          </w:p>
        </w:tc>
        <w:tc>
          <w:tcPr>
            <w:tcW w:w="4395" w:type="dxa"/>
          </w:tcPr>
          <w:p w14:paraId="61F30F1E" w14:textId="77777777" w:rsidR="00824BFE" w:rsidRPr="00761653" w:rsidRDefault="00824BFE" w:rsidP="00824BFE">
            <w:pPr>
              <w:spacing w:line="240" w:lineRule="auto"/>
              <w:ind w:left="57" w:right="57"/>
              <w:rPr>
                <w:szCs w:val="24"/>
              </w:rPr>
            </w:pPr>
            <w:r w:rsidRPr="00761653">
              <w:rPr>
                <w:szCs w:val="24"/>
              </w:rPr>
              <w:t>Нагрузочная доза 25-30 мг/кг, затем 15-20 мг/кг каждые 8-12 часов, (разовая доза не должна превышать 2 г), инфузия в течение 1,5-2 часов</w:t>
            </w:r>
          </w:p>
        </w:tc>
      </w:tr>
      <w:tr w:rsidR="00824BFE" w:rsidRPr="00265B67" w14:paraId="3CEDD0B7" w14:textId="77777777" w:rsidTr="00824BFE">
        <w:tc>
          <w:tcPr>
            <w:tcW w:w="2376" w:type="dxa"/>
            <w:vMerge w:val="restart"/>
          </w:tcPr>
          <w:p w14:paraId="11AE9DF6" w14:textId="77777777" w:rsidR="00824BFE" w:rsidRPr="00761653" w:rsidRDefault="00824BFE" w:rsidP="00824BFE">
            <w:pPr>
              <w:spacing w:line="240" w:lineRule="auto"/>
              <w:ind w:left="57" w:right="57"/>
              <w:rPr>
                <w:szCs w:val="24"/>
              </w:rPr>
            </w:pPr>
            <w:r w:rsidRPr="00761653">
              <w:rPr>
                <w:i/>
                <w:szCs w:val="24"/>
              </w:rPr>
              <w:t>E.faecium,</w:t>
            </w:r>
            <w:r w:rsidRPr="00761653">
              <w:rPr>
                <w:szCs w:val="24"/>
              </w:rPr>
              <w:t xml:space="preserve"> устойчивые к ванкомицину</w:t>
            </w:r>
          </w:p>
        </w:tc>
        <w:tc>
          <w:tcPr>
            <w:tcW w:w="2835" w:type="dxa"/>
          </w:tcPr>
          <w:p w14:paraId="72EE97AB" w14:textId="77777777" w:rsidR="00824BFE" w:rsidRPr="00761653" w:rsidRDefault="00824BFE" w:rsidP="00824BFE">
            <w:pPr>
              <w:spacing w:line="240" w:lineRule="auto"/>
              <w:ind w:left="57" w:right="57"/>
              <w:rPr>
                <w:szCs w:val="24"/>
              </w:rPr>
            </w:pPr>
            <w:r w:rsidRPr="00761653">
              <w:rPr>
                <w:szCs w:val="24"/>
              </w:rPr>
              <w:t>Даптомицин</w:t>
            </w:r>
          </w:p>
        </w:tc>
        <w:tc>
          <w:tcPr>
            <w:tcW w:w="4395" w:type="dxa"/>
          </w:tcPr>
          <w:p w14:paraId="463D68E4" w14:textId="77777777" w:rsidR="00824BFE" w:rsidRPr="00761653" w:rsidRDefault="00824BFE" w:rsidP="00824BFE">
            <w:pPr>
              <w:spacing w:line="240" w:lineRule="auto"/>
              <w:ind w:left="57" w:right="57"/>
              <w:rPr>
                <w:szCs w:val="24"/>
              </w:rPr>
            </w:pPr>
            <w:r w:rsidRPr="00761653">
              <w:rPr>
                <w:szCs w:val="24"/>
              </w:rPr>
              <w:t>10-12 мг/кг каждые 24 часа, инфузия в течение 30 мин</w:t>
            </w:r>
          </w:p>
        </w:tc>
      </w:tr>
      <w:tr w:rsidR="00824BFE" w:rsidRPr="00975FC1" w14:paraId="649EA13A" w14:textId="77777777" w:rsidTr="00824BFE">
        <w:tc>
          <w:tcPr>
            <w:tcW w:w="2376" w:type="dxa"/>
            <w:vMerge/>
          </w:tcPr>
          <w:p w14:paraId="0A6CC6D0" w14:textId="77777777" w:rsidR="00824BFE" w:rsidRPr="00761653" w:rsidRDefault="00824BFE" w:rsidP="00824BFE">
            <w:pPr>
              <w:spacing w:line="240" w:lineRule="auto"/>
              <w:ind w:left="57" w:right="57"/>
              <w:rPr>
                <w:szCs w:val="24"/>
              </w:rPr>
            </w:pPr>
          </w:p>
        </w:tc>
        <w:tc>
          <w:tcPr>
            <w:tcW w:w="2835" w:type="dxa"/>
          </w:tcPr>
          <w:p w14:paraId="0A13D43C" w14:textId="77777777" w:rsidR="00824BFE" w:rsidRPr="00761653" w:rsidRDefault="00824BFE" w:rsidP="00824BFE">
            <w:pPr>
              <w:spacing w:line="240" w:lineRule="auto"/>
              <w:ind w:left="57" w:right="57"/>
              <w:rPr>
                <w:szCs w:val="24"/>
              </w:rPr>
            </w:pPr>
            <w:r w:rsidRPr="00761653">
              <w:rPr>
                <w:szCs w:val="24"/>
              </w:rPr>
              <w:t>Линезолид</w:t>
            </w:r>
          </w:p>
        </w:tc>
        <w:tc>
          <w:tcPr>
            <w:tcW w:w="4395" w:type="dxa"/>
          </w:tcPr>
          <w:p w14:paraId="35C1BDE4" w14:textId="77777777" w:rsidR="00824BFE" w:rsidRPr="00761653" w:rsidRDefault="00824BFE" w:rsidP="00824BFE">
            <w:pPr>
              <w:spacing w:line="240" w:lineRule="auto"/>
              <w:ind w:left="57" w:right="57"/>
              <w:rPr>
                <w:szCs w:val="24"/>
              </w:rPr>
            </w:pPr>
            <w:r w:rsidRPr="00761653">
              <w:rPr>
                <w:szCs w:val="24"/>
              </w:rPr>
              <w:t>600 мг каждые 12 часов, в/в или внутрь (следует применять при инфекциях, вызванных штаммами с МПК даптомицина &gt; 4 мкг/мл)</w:t>
            </w:r>
          </w:p>
        </w:tc>
      </w:tr>
      <w:tr w:rsidR="00824BFE" w:rsidRPr="00975FC1" w14:paraId="64543D0C" w14:textId="77777777" w:rsidTr="00824BFE">
        <w:tc>
          <w:tcPr>
            <w:tcW w:w="2376" w:type="dxa"/>
            <w:vMerge/>
          </w:tcPr>
          <w:p w14:paraId="349C2043" w14:textId="77777777" w:rsidR="00824BFE" w:rsidRPr="00761653" w:rsidRDefault="00824BFE" w:rsidP="00824BFE">
            <w:pPr>
              <w:spacing w:line="240" w:lineRule="auto"/>
              <w:ind w:left="57" w:right="57"/>
              <w:rPr>
                <w:szCs w:val="24"/>
              </w:rPr>
            </w:pPr>
          </w:p>
        </w:tc>
        <w:tc>
          <w:tcPr>
            <w:tcW w:w="2835" w:type="dxa"/>
          </w:tcPr>
          <w:p w14:paraId="648E7D49" w14:textId="77777777" w:rsidR="00824BFE" w:rsidRPr="00761653" w:rsidRDefault="00824BFE" w:rsidP="00824BFE">
            <w:pPr>
              <w:spacing w:line="240" w:lineRule="auto"/>
              <w:ind w:left="57" w:right="57"/>
              <w:rPr>
                <w:szCs w:val="24"/>
              </w:rPr>
            </w:pPr>
            <w:r w:rsidRPr="00761653">
              <w:rPr>
                <w:szCs w:val="24"/>
              </w:rPr>
              <w:t>Тедизолид</w:t>
            </w:r>
          </w:p>
        </w:tc>
        <w:tc>
          <w:tcPr>
            <w:tcW w:w="4395" w:type="dxa"/>
          </w:tcPr>
          <w:p w14:paraId="49693648" w14:textId="77777777" w:rsidR="00824BFE" w:rsidRPr="00761653" w:rsidRDefault="00824BFE" w:rsidP="00824BFE">
            <w:pPr>
              <w:spacing w:line="240" w:lineRule="auto"/>
              <w:ind w:left="57" w:right="57"/>
              <w:rPr>
                <w:szCs w:val="24"/>
              </w:rPr>
            </w:pPr>
            <w:r w:rsidRPr="00761653">
              <w:rPr>
                <w:szCs w:val="24"/>
              </w:rPr>
              <w:t>200 мг каждые 24 часа, внутрь или в/в инфузия в течение 1 часа (не применяют в лечении инфекций кровотока и пневмонии)</w:t>
            </w:r>
          </w:p>
        </w:tc>
      </w:tr>
      <w:tr w:rsidR="00824BFE" w:rsidRPr="00265B67" w14:paraId="61944287" w14:textId="77777777" w:rsidTr="00824BFE">
        <w:tc>
          <w:tcPr>
            <w:tcW w:w="2376" w:type="dxa"/>
            <w:vMerge/>
          </w:tcPr>
          <w:p w14:paraId="0EB6EDD9" w14:textId="77777777" w:rsidR="00824BFE" w:rsidRPr="00761653" w:rsidRDefault="00824BFE" w:rsidP="00824BFE">
            <w:pPr>
              <w:spacing w:line="240" w:lineRule="auto"/>
              <w:ind w:left="57" w:right="57"/>
              <w:rPr>
                <w:szCs w:val="24"/>
              </w:rPr>
            </w:pPr>
          </w:p>
        </w:tc>
        <w:tc>
          <w:tcPr>
            <w:tcW w:w="2835" w:type="dxa"/>
          </w:tcPr>
          <w:p w14:paraId="1ACF544F" w14:textId="77777777" w:rsidR="00824BFE" w:rsidRPr="00761653" w:rsidRDefault="00824BFE" w:rsidP="00824BFE">
            <w:pPr>
              <w:spacing w:line="240" w:lineRule="auto"/>
              <w:ind w:left="57" w:right="57"/>
              <w:rPr>
                <w:szCs w:val="24"/>
              </w:rPr>
            </w:pPr>
            <w:r w:rsidRPr="00761653">
              <w:rPr>
                <w:szCs w:val="24"/>
              </w:rPr>
              <w:t>Тигециклин</w:t>
            </w:r>
          </w:p>
        </w:tc>
        <w:tc>
          <w:tcPr>
            <w:tcW w:w="4395" w:type="dxa"/>
          </w:tcPr>
          <w:p w14:paraId="1EE21033" w14:textId="77777777" w:rsidR="00824BFE" w:rsidRPr="00761653" w:rsidRDefault="00824BFE" w:rsidP="00824BFE">
            <w:pPr>
              <w:spacing w:line="240" w:lineRule="auto"/>
              <w:ind w:left="57" w:right="57"/>
              <w:rPr>
                <w:szCs w:val="24"/>
              </w:rPr>
            </w:pPr>
            <w:r w:rsidRPr="00761653">
              <w:rPr>
                <w:szCs w:val="24"/>
              </w:rPr>
              <w:t>Нагрузочная доза 100 мг, затем по 50 мг каждые 12 часов (не показан для лечения инфекций кровотока, инфекций мочевыводящих путей)</w:t>
            </w:r>
          </w:p>
        </w:tc>
      </w:tr>
    </w:tbl>
    <w:p w14:paraId="0FC91242" w14:textId="77777777" w:rsidR="00824BFE" w:rsidRDefault="00824BFE" w:rsidP="00824BFE">
      <w:pPr>
        <w:ind w:right="49"/>
        <w:contextualSpacing/>
        <w:rPr>
          <w:b/>
          <w:bCs/>
          <w:iCs/>
        </w:rPr>
      </w:pPr>
    </w:p>
    <w:p w14:paraId="2FCE1FF4" w14:textId="77777777" w:rsidR="00824BFE" w:rsidRPr="00761653" w:rsidRDefault="00824BFE" w:rsidP="00824BFE">
      <w:pPr>
        <w:ind w:right="49" w:firstLine="709"/>
        <w:contextualSpacing/>
        <w:rPr>
          <w:bCs/>
          <w:iCs/>
        </w:rPr>
      </w:pPr>
      <w:r w:rsidRPr="00761653">
        <w:rPr>
          <w:b/>
          <w:bCs/>
          <w:iCs/>
        </w:rPr>
        <w:t>Отдельные инфекции, требующие особого лечения, у иммунокомпрометированных больных</w:t>
      </w:r>
      <w:r w:rsidRPr="00761653">
        <w:rPr>
          <w:bCs/>
          <w:iCs/>
        </w:rPr>
        <w:t xml:space="preserve">. </w:t>
      </w:r>
    </w:p>
    <w:p w14:paraId="11ACB367" w14:textId="77777777" w:rsidR="00824BFE" w:rsidRPr="00284D51" w:rsidRDefault="00824BFE" w:rsidP="00824BFE">
      <w:pPr>
        <w:ind w:right="49" w:firstLine="709"/>
        <w:contextualSpacing/>
        <w:rPr>
          <w:i/>
          <w:iCs/>
        </w:rPr>
      </w:pPr>
      <w:r w:rsidRPr="00284D51">
        <w:rPr>
          <w:i/>
          <w:iCs/>
        </w:rPr>
        <w:t xml:space="preserve">Listeria monocytogenes </w:t>
      </w:r>
    </w:p>
    <w:p w14:paraId="296B2F24" w14:textId="37A57A63" w:rsidR="00824BFE" w:rsidRPr="00761653" w:rsidRDefault="00824BFE" w:rsidP="00824BFE">
      <w:pPr>
        <w:ind w:right="49" w:firstLine="709"/>
        <w:contextualSpacing/>
      </w:pPr>
      <w:r w:rsidRPr="00D27DBA">
        <w:rPr>
          <w:bCs/>
          <w:i/>
          <w:iCs/>
        </w:rPr>
        <w:t>Listeria monocytogenes (</w:t>
      </w:r>
      <w:r w:rsidRPr="00D27DBA">
        <w:rPr>
          <w:i/>
        </w:rPr>
        <w:t xml:space="preserve">L. monocytogenes) </w:t>
      </w:r>
      <w:r>
        <w:rPr>
          <w:bCs/>
          <w:iCs/>
        </w:rPr>
        <w:t>в</w:t>
      </w:r>
      <w:r w:rsidRPr="00761653">
        <w:rPr>
          <w:iCs/>
        </w:rPr>
        <w:t xml:space="preserve">ызывают </w:t>
      </w:r>
      <w:r w:rsidRPr="00761653">
        <w:t>инфекции кровотока и менингоэнцефалит. Инфекция возникает преимущественно у больных с нарушениями Т-клеточного звена иммунитета</w:t>
      </w:r>
      <w:r w:rsidRPr="00F674EC">
        <w:t xml:space="preserve"> </w:t>
      </w:r>
      <w:r>
        <w:fldChar w:fldCharType="begin" w:fldLock="1"/>
      </w:r>
      <w:r w:rsidR="00531C4D">
        <w:instrText>ADDIN CSL_CITATION {"citationItems":[{"id":"ITEM-1","itemData":{"DOI":"10.3324/haematol.2013.091330","ISSN":"15928721","PMID":"24323984","abstract":"The detection of multi-resistant bacterial pathogens, particularly those to carbapenemases, in leukemic and stem cell transplant patients forces the use of old or non-conventional agents as the only remaining treatment options. These include colistin/polymyxin B, tigecycline, fosfomycin and various anti-gram-positive agents. Data on the use of these agents in leukemic patients are scanty, with only linezolid subjected to formal trials. The Expert Group of the 4th European Conference on Infections in Leukemia has developed guidelines for their use in these patient populations. Targeted therapy should be based on (i) in vitro susceptibility data, (ii) knowledge of the best treatment option against the particular species or phenotype of bacteria, (iii) pharmacokinetic/pharmacodynamic data, and (iv) careful assessment of the risk-benefit balance. For infections due to resistant Gram-negative bacteria, these agents should be preferably used in combination with other agents that remain active in vitro, because of suboptimal efficacy (e.g., tigecy-cline) and the risk of emergent resistance (e.g., fosfomycin). The paucity of new antibacterial drugs in the near future should lead us to limit the use of these drugs to situations where no alternative exists. © 2013 Ferrata Storti Foundation.","author":[{"dropping-particle":"","family":"Averbuch","given":"Diana","non-dropping-particle":"","parse-names":false,"suffix":""},{"dropping-particle":"","family":"Cordonnier","given":"Catherine","non-dropping-particle":"","parse-names":false,"suffix":""},{"dropping-particle":"","family":"Livermore","given":"David M.","non-dropping-particle":"","parse-names":false,"suffix":""},{"dropping-particle":"","family":"Mikulska","given":"Małgorzata","non-dropping-particle":"","parse-names":false,"suffix":""},{"dropping-particle":"","family":"Orasch","given":"Christina","non-dropping-particle":"","parse-names":false,"suffix":""},{"dropping-particle":"","family":"Viscoli","given":"Claudio","non-dropping-particle":"","parse-names":false,"suffix":""},{"dropping-particle":"","family":"Gyssens","given":"Inge C.","non-dropping-particle":"","parse-names":false,"suffix":""},{"dropping-particle":"V.","family":"Kern","given":"Winfried","non-dropping-particle":"","parse-names":false,"suffix":""},{"dropping-particle":"","family":"Klyasova","given":"Galina","non-dropping-particle":"","parse-names":false,"suffix":""},{"dropping-particle":"","family":"Marchetti","given":"Oscar","non-dropping-particle":"","parse-names":false,"suffix":""},{"dropping-particle":"","family":"Engelhard","given":"Dan","non-dropping-particle":"","parse-names":false,"suffix":""},{"dropping-particle":"","family":"Akova","given":"Murat","non-dropping-particle":"","parse-names":false,"suffix":""}],"container-title":"Haematologica","id":"ITEM-1","issue":"12","issued":{"date-parts":[["2013","12","1"]]},"page":"1836-1847","publisher":"Ferrata Storti Foundation","title":"Targeted therapy against multi-resistant bacteria in leukemic and hematopoietic stem cell transplant recipients: Guidelines of the 4th European conference on Infections in Leukemia (ECIL-4, 2011)","type":"article-journal","volume":"98"},"uris":["http://www.mendeley.com/documents/?uuid=49d65b4a-286f-48de-9fa8-11535bbffaa2"]}],"mendeley":{"formattedCitation":"[78]","plainTextFormattedCitation":"[78]","previouslyFormattedCitation":"[78]"},"properties":{"noteIndex":0},"schema":"https://github.com/citation-style-language/schema/raw/master/csl-citation.json"}</w:instrText>
      </w:r>
      <w:r>
        <w:fldChar w:fldCharType="separate"/>
      </w:r>
      <w:r w:rsidRPr="00824BFE">
        <w:rPr>
          <w:noProof/>
        </w:rPr>
        <w:t>[78]</w:t>
      </w:r>
      <w:r>
        <w:fldChar w:fldCharType="end"/>
      </w:r>
      <w:r w:rsidRPr="00761653">
        <w:t xml:space="preserve">. Характерным является стремительное развитие инфекции – в течение 2-3 часов изменяется клиническая картина: возникает нарушение сознания вплоть до комы, определяются ригидность затылочных мышц и положительный симптом Кернига. Препарат выбора для лечения </w:t>
      </w:r>
      <w:r w:rsidRPr="00761653">
        <w:rPr>
          <w:bCs/>
        </w:rPr>
        <w:t xml:space="preserve">инфекции, вызванной </w:t>
      </w:r>
      <w:r w:rsidRPr="00761653">
        <w:rPr>
          <w:bCs/>
          <w:i/>
          <w:iCs/>
        </w:rPr>
        <w:t>L. monocytogenes</w:t>
      </w:r>
      <w:r w:rsidRPr="00761653">
        <w:rPr>
          <w:b/>
          <w:bCs/>
        </w:rPr>
        <w:t xml:space="preserve">, </w:t>
      </w:r>
      <w:r w:rsidRPr="00761653">
        <w:t xml:space="preserve">ампициллин по 2 г внутривенно 6 раз в сутки, при менингоэнцефалите – в сочетание с гентамицином 5мг/кг/сутки, внутривенно. </w:t>
      </w:r>
      <w:r w:rsidRPr="00761653">
        <w:rPr>
          <w:bCs/>
        </w:rPr>
        <w:t xml:space="preserve">Больным с нейтропенией и инфекцией ЦНС дополнительно назначают меропенем по 2 г х 3 раза. Меропенем отменяют при восстановлении гранулоцитов и продолжают лечение сочетанием ампициллина с гентамицином. </w:t>
      </w:r>
      <w:r w:rsidRPr="00761653">
        <w:rPr>
          <w:iCs/>
        </w:rPr>
        <w:t xml:space="preserve">Альтернативный препарат - </w:t>
      </w:r>
      <w:r w:rsidRPr="00761653">
        <w:t>триметоприм/сульфаметоксазол (расчет дозы по триметоприму 15 мг/кг в сутки, дозу разделяют на 3 приема). Такая доза используется у больных с вовлечением и без вовлечения ЦНС в инфекционный процесс.</w:t>
      </w:r>
      <w:r w:rsidRPr="00761653">
        <w:rPr>
          <w:bCs/>
        </w:rPr>
        <w:t xml:space="preserve"> Длительность лечения инфекции без вовлечения ЦНС составляет 14 дней, менингита - </w:t>
      </w:r>
      <w:r w:rsidRPr="00761653">
        <w:t xml:space="preserve">21 день, </w:t>
      </w:r>
      <w:r w:rsidRPr="00761653">
        <w:lastRenderedPageBreak/>
        <w:t>энцефалита или абсцессов в головном мозге - от 6 недель и более, эндокардита - 4-6 недель.</w:t>
      </w:r>
      <w:r w:rsidRPr="00761653">
        <w:rPr>
          <w:bCs/>
        </w:rPr>
        <w:t xml:space="preserve"> </w:t>
      </w:r>
      <w:r w:rsidRPr="00761653">
        <w:t>При инфекции ЦНС отмену антибиотиков выполняют только при полной регрессии изменений в головном мозге.</w:t>
      </w:r>
    </w:p>
    <w:p w14:paraId="0FFC3ED0" w14:textId="77777777" w:rsidR="00824BFE" w:rsidRPr="00284D51" w:rsidRDefault="00824BFE" w:rsidP="00824BFE">
      <w:pPr>
        <w:ind w:right="49" w:firstLine="709"/>
        <w:contextualSpacing/>
        <w:rPr>
          <w:bCs/>
          <w:i/>
        </w:rPr>
      </w:pPr>
      <w:r w:rsidRPr="00284D51">
        <w:rPr>
          <w:bCs/>
          <w:i/>
        </w:rPr>
        <w:t xml:space="preserve">Legionella pneumophila </w:t>
      </w:r>
    </w:p>
    <w:p w14:paraId="5B027705" w14:textId="77777777" w:rsidR="00824BFE" w:rsidRPr="00761653" w:rsidRDefault="00824BFE" w:rsidP="00824BFE">
      <w:pPr>
        <w:ind w:firstLine="709"/>
      </w:pPr>
      <w:r w:rsidRPr="00761653">
        <w:rPr>
          <w:i/>
        </w:rPr>
        <w:t>Legionella</w:t>
      </w:r>
      <w:r w:rsidRPr="000D7B76">
        <w:rPr>
          <w:i/>
        </w:rPr>
        <w:t xml:space="preserve"> </w:t>
      </w:r>
      <w:r w:rsidRPr="00761653">
        <w:rPr>
          <w:i/>
        </w:rPr>
        <w:t>pneumophila</w:t>
      </w:r>
      <w:r w:rsidRPr="000D7B76">
        <w:rPr>
          <w:i/>
        </w:rPr>
        <w:t xml:space="preserve"> (</w:t>
      </w:r>
      <w:r w:rsidRPr="00761653">
        <w:rPr>
          <w:i/>
        </w:rPr>
        <w:t>L</w:t>
      </w:r>
      <w:r w:rsidRPr="000D7B76">
        <w:rPr>
          <w:i/>
        </w:rPr>
        <w:t xml:space="preserve">. </w:t>
      </w:r>
      <w:r w:rsidRPr="00761653">
        <w:rPr>
          <w:i/>
        </w:rPr>
        <w:t>pneumophila</w:t>
      </w:r>
      <w:r w:rsidRPr="000D7B76">
        <w:rPr>
          <w:i/>
        </w:rPr>
        <w:t>)</w:t>
      </w:r>
      <w:r w:rsidRPr="000D7B76">
        <w:t xml:space="preserve"> </w:t>
      </w:r>
      <w:r>
        <w:rPr>
          <w:i/>
        </w:rPr>
        <w:t>я</w:t>
      </w:r>
      <w:r w:rsidRPr="00761653">
        <w:t>вля</w:t>
      </w:r>
      <w:r>
        <w:t>ю</w:t>
      </w:r>
      <w:r w:rsidRPr="00761653">
        <w:t>тся</w:t>
      </w:r>
      <w:r w:rsidRPr="000D7B76">
        <w:t xml:space="preserve"> </w:t>
      </w:r>
      <w:r w:rsidRPr="00761653">
        <w:t>грамотрицательным</w:t>
      </w:r>
      <w:r w:rsidRPr="000D7B76">
        <w:t xml:space="preserve"> </w:t>
      </w:r>
      <w:r w:rsidRPr="00761653">
        <w:t>бактериями</w:t>
      </w:r>
      <w:r w:rsidRPr="000D7B76">
        <w:t xml:space="preserve">, </w:t>
      </w:r>
      <w:r>
        <w:t>в</w:t>
      </w:r>
      <w:r w:rsidRPr="00761653">
        <w:t>ызывают</w:t>
      </w:r>
      <w:r w:rsidRPr="000D7B76">
        <w:t xml:space="preserve"> </w:t>
      </w:r>
      <w:r w:rsidRPr="00761653">
        <w:t>пневмонии</w:t>
      </w:r>
      <w:r w:rsidRPr="000D7B76">
        <w:t xml:space="preserve">. </w:t>
      </w:r>
      <w:r w:rsidRPr="00761653">
        <w:t>Препараты выбора для лечения</w:t>
      </w:r>
      <w:r>
        <w:t xml:space="preserve"> </w:t>
      </w:r>
      <w:r w:rsidRPr="00761653">
        <w:rPr>
          <w:i/>
        </w:rPr>
        <w:t>L</w:t>
      </w:r>
      <w:r w:rsidRPr="00D27DBA">
        <w:rPr>
          <w:i/>
        </w:rPr>
        <w:t xml:space="preserve">. </w:t>
      </w:r>
      <w:r w:rsidRPr="00761653">
        <w:rPr>
          <w:i/>
        </w:rPr>
        <w:t>pneumophila</w:t>
      </w:r>
      <w:r w:rsidRPr="00D27DBA">
        <w:t xml:space="preserve"> – </w:t>
      </w:r>
      <w:r w:rsidRPr="00761653">
        <w:t xml:space="preserve"> - моксифлоксацин (400 мг 1 раз в сутки) или левофлоксацин (500 мг - 750 мг 1 раз в сутки) или азитромицин (500 мг 1 раз в сутки), альтернативный препарат - ципрофлоксацин (400 мг внутривенно 3 раза в сутки или 750 мг внутрь 2 раза в сутки), при тяжелом течении - сочетание фторхинолона с тигециклином (1-е введение 100 мг, далее по 50 мг каждые 12 часов). Длительность лечения составляет от 8 до 21 дня, при тяжелом течении и у реципиентов аллогенных ТГСК – более продолжительный период.</w:t>
      </w:r>
    </w:p>
    <w:p w14:paraId="089CE345" w14:textId="77777777" w:rsidR="00824BFE" w:rsidRPr="00284D51" w:rsidRDefault="00824BFE" w:rsidP="00824BFE">
      <w:pPr>
        <w:ind w:right="49" w:firstLine="709"/>
        <w:contextualSpacing/>
        <w:rPr>
          <w:i/>
          <w:iCs/>
        </w:rPr>
      </w:pPr>
      <w:r w:rsidRPr="00284D51">
        <w:rPr>
          <w:i/>
          <w:iCs/>
        </w:rPr>
        <w:t xml:space="preserve">Clostridioides difficile </w:t>
      </w:r>
    </w:p>
    <w:p w14:paraId="05C7897D" w14:textId="7746EAE2" w:rsidR="00824BFE" w:rsidRPr="00761653" w:rsidRDefault="00824BFE" w:rsidP="00824BFE">
      <w:pPr>
        <w:ind w:right="49" w:firstLine="709"/>
        <w:contextualSpacing/>
        <w:rPr>
          <w:strike/>
        </w:rPr>
      </w:pPr>
      <w:r w:rsidRPr="00761653">
        <w:t xml:space="preserve">Факторами патогенности </w:t>
      </w:r>
      <w:r w:rsidRPr="00D27DBA">
        <w:rPr>
          <w:bCs/>
          <w:i/>
          <w:iCs/>
        </w:rPr>
        <w:t>Clostridioides difficile</w:t>
      </w:r>
      <w:r>
        <w:rPr>
          <w:bCs/>
          <w:i/>
          <w:iCs/>
        </w:rPr>
        <w:t xml:space="preserve"> (</w:t>
      </w:r>
      <w:r w:rsidRPr="00761653">
        <w:rPr>
          <w:i/>
          <w:iCs/>
        </w:rPr>
        <w:t xml:space="preserve">C. </w:t>
      </w:r>
      <w:r>
        <w:rPr>
          <w:i/>
          <w:iCs/>
        </w:rPr>
        <w:t>d</w:t>
      </w:r>
      <w:r w:rsidRPr="00761653">
        <w:rPr>
          <w:i/>
          <w:iCs/>
        </w:rPr>
        <w:t>ifficile</w:t>
      </w:r>
      <w:r>
        <w:rPr>
          <w:i/>
          <w:iCs/>
        </w:rPr>
        <w:t>)</w:t>
      </w:r>
      <w:r w:rsidRPr="00761653">
        <w:t xml:space="preserve"> являются токсины A и В</w:t>
      </w:r>
      <w:r w:rsidRPr="00F674EC">
        <w:t xml:space="preserve"> </w:t>
      </w:r>
      <w:r>
        <w:fldChar w:fldCharType="begin" w:fldLock="1"/>
      </w:r>
      <w:r w:rsidR="00531C4D">
        <w:instrText>ADDIN CSL_CITATION {"citationItems":[{"id":"ITEM-1","itemData":{"DOI":"10.1111/1469-0691.12418","ISSN":"14690691","PMID":"24118601","abstract":"In 2009 the first European Society of Clinical Microbiology and Infection (ESCMID) treatment guidance document for Clostridium difficile infection (CDI) was published. The guideline has been applied widely in clinical practice. In this document an update and review on the comparative effectiveness of the currently available treatment modalities of CDI is given, thereby providing evidence-based recommendations on this issue. A computerized literature search was carried out to investigate randomized and non-randomized trials investigating the effect of an intervention on the clinical outcome of CDI. The Grades of Recommendation Assessment, Development and Evaluation (GRADE) system was used to grade the strength of our recommendations and the quality of the evidence. The ESCMID and an international team of experts from 11 European countries supported the process. To improve clinical guidance in the treatment of CDI, recommendations are specified for various patient groups, e.g. initial non-severe disease, severe CDI, first recurrence or risk for recurrent disease, multiple recurrences and treatment of CDI when oral administration is not possible. Treatment options that are reviewed include: antibiotics, toxin-binding resins and polymers, immunotherapy, probiotics, and faecal or bacterial intestinal transplantation. Except for very mild CDI that is clearly induced by antibiotic usage antibiotic treatment is advised. The main antibiotics that are recommended are metronidazole, vancomycin and fidaxomicin. Faecal transplantation is strongly recommended for multiple recurrent CDI. In case of perforation of the colon and/or systemic inflammation and deteriorating clinical condition despite antibiotic therapy, total abdominal colectomy or diverting loop ileostomy combined with colonic lavage is recommended. © 2013 The Authors Clinical Microbiology and Infection © 2013 European Society of Clinical Microbiology and Infectious Diseases.","author":[{"dropping-particle":"","family":"Debast","given":"S. B.","non-dropping-particle":"","parse-names":false,"suffix":""},{"dropping-particle":"","family":"Bauer","given":"M. P.","non-dropping-particle":"","parse-names":false,"suffix":""},{"dropping-particle":"","family":"Kuijper","given":"E. J.","non-dropping-particle":"","parse-names":false,"suffix":""},{"dropping-particle":"","family":"Allerberger","given":"F.","non-dropping-particle":"","parse-names":false,"suffix":""},{"dropping-particle":"","family":"Bouza","given":"E.","non-dropping-particle":"","parse-names":false,"suffix":""},{"dropping-particle":"","family":"Coia","given":"J. E.","non-dropping-particle":"","parse-names":false,"suffix":""},{"dropping-particle":"","family":"Cornely","given":"O. A.","non-dropping-particle":"","parse-names":false,"suffix":""},{"dropping-particle":"","family":"Fitzpatrick","given":"F.","non-dropping-particle":"","parse-names":false,"suffix":""},{"dropping-particle":"","family":"Guery","given":"B.","non-dropping-particle":"","parse-names":false,"suffix":""},{"dropping-particle":"","family":"Wilcox","given":"M.","non-dropping-particle":"","parse-names":false,"suffix":""},{"dropping-particle":"","family":"Nathwani","given":"D.","non-dropping-particle":"","parse-names":false,"suffix":""},{"dropping-particle":"","family":"Norén","given":"T.","non-dropping-particle":"","parse-names":false,"suffix":""},{"dropping-particle":"","family":"Olesen","given":"B.","non-dropping-particle":"","parse-names":false,"suffix":""},{"dropping-particle":"","family":"Rakoczi","given":"E.","non-dropping-particle":"","parse-names":false,"suffix":""},{"dropping-particle":"","family":"Welte","given":"T.","non-dropping-particle":"","parse-names":false,"suffix":""},{"dropping-particle":"","family":"Widmer","given":"A. F.","non-dropping-particle":"","parse-names":false,"suffix":""}],"container-title":"Clinical Microbiology and Infection","id":"ITEM-1","issue":"S2","issued":{"date-parts":[["2014"]]},"page":"1-26","publisher":"Blackwell Publishing Ltd","title":"European society of clinical microbiology and infectious diseases: Update of the treatment guidance document for Clostridium difficile infection","type":"article-journal","volume":"20"},"uris":["http://www.mendeley.com/documents/?uuid=e95ffe26-9199-3b8c-aa7a-4bac71d0214d"]}],"mendeley":{"formattedCitation":"[79]","plainTextFormattedCitation":"[79]","previouslyFormattedCitation":"[79]"},"properties":{"noteIndex":0},"schema":"https://github.com/citation-style-language/schema/raw/master/csl-citation.json"}</w:instrText>
      </w:r>
      <w:r>
        <w:fldChar w:fldCharType="separate"/>
      </w:r>
      <w:r w:rsidRPr="00824BFE">
        <w:rPr>
          <w:noProof/>
        </w:rPr>
        <w:t>[79]</w:t>
      </w:r>
      <w:r>
        <w:fldChar w:fldCharType="end"/>
      </w:r>
      <w:r w:rsidRPr="00761653">
        <w:t>. Токсин А —</w:t>
      </w:r>
      <w:r>
        <w:t xml:space="preserve"> </w:t>
      </w:r>
      <w:r w:rsidRPr="00761653">
        <w:t xml:space="preserve">энтеротоксин, нарушает барьерную функцию слизистой оболочки кишечника. Токсин В — цитотоксин, оказывает цитопатический эффект, сильнее токсина А в 1000 раз, наличие его является обязательным для развития инфекции. Около 10% штаммов </w:t>
      </w:r>
      <w:r w:rsidRPr="00761653">
        <w:rPr>
          <w:i/>
          <w:iCs/>
        </w:rPr>
        <w:t>C. difficile</w:t>
      </w:r>
      <w:r w:rsidRPr="00761653">
        <w:t xml:space="preserve"> продуцируют бинарный токсин. Штаммы </w:t>
      </w:r>
      <w:r w:rsidRPr="00761653">
        <w:rPr>
          <w:i/>
          <w:iCs/>
        </w:rPr>
        <w:t>C. difficile</w:t>
      </w:r>
      <w:r w:rsidRPr="00761653">
        <w:t xml:space="preserve">, не продуцирующие токсины, не являются патогенными. Клиническими проявления инфекции, вызванной </w:t>
      </w:r>
      <w:r w:rsidRPr="00761653">
        <w:rPr>
          <w:i/>
          <w:iCs/>
        </w:rPr>
        <w:t>C. difficile</w:t>
      </w:r>
      <w:r w:rsidRPr="00761653">
        <w:rPr>
          <w:iCs/>
        </w:rPr>
        <w:t>,</w:t>
      </w:r>
      <w:r w:rsidRPr="00761653">
        <w:t xml:space="preserve"> являются диарея, ассоциированная с </w:t>
      </w:r>
      <w:r w:rsidRPr="00761653">
        <w:rPr>
          <w:i/>
          <w:iCs/>
        </w:rPr>
        <w:t>C. difficile</w:t>
      </w:r>
      <w:r w:rsidRPr="00761653">
        <w:t xml:space="preserve"> (наличие диареи + положительный токсин </w:t>
      </w:r>
      <w:r w:rsidRPr="00761653">
        <w:rPr>
          <w:i/>
          <w:iCs/>
        </w:rPr>
        <w:t>C.difficile</w:t>
      </w:r>
      <w:r w:rsidRPr="00761653">
        <w:t xml:space="preserve"> в кале), псевдомембранозный колит (эндоскопическая диагностика). Лечение диареи, обусловленной </w:t>
      </w:r>
      <w:r w:rsidRPr="00761653">
        <w:rPr>
          <w:i/>
          <w:iCs/>
        </w:rPr>
        <w:t>C. difficile</w:t>
      </w:r>
      <w:r w:rsidRPr="00761653">
        <w:t xml:space="preserve"> включает, помимо назначения антибиотиков, отмену, по-возможности, или/и сокращение числа используемых антибиотиков широкого спектра действия, ингибиторов протонной помпы</w:t>
      </w:r>
      <w:r w:rsidRPr="00F674EC">
        <w:t xml:space="preserve"> </w:t>
      </w:r>
      <w:r>
        <w:fldChar w:fldCharType="begin" w:fldLock="1"/>
      </w:r>
      <w:r w:rsidR="00531C4D">
        <w:instrText>ADDIN CSL_CITATION {"citationItems":[{"id":"ITEM-1","itemData":{"DOI":"10.1016/S1473-3099(19)30403-7","ISSN":"14744457","PMID":"31563344","abstract":"Background: Nosocomial pneumonia due to antimicrobial-resistant pathogens is associated with high mortality. We assessed the efficacy and safety of the combination antibacterial drug ceftolozane–tazobactam versus meropenem for treatment of Gram-negative nosocomial pneumonia. Methods: We conducted a randomised, controlled, double-blind, non-inferiority trial at 263 hospitals in 34 countries. Eligible patients were aged 18 years or older, were undergoing mechanical ventilation, and had nosocomial pneumonia (either ventilator-associated pneumonia or ventilated hospital-acquired pneumonia). Patients were randomly assigned (1:1) with block randomisation (block size four), stratified by type of nosocomial pneumonia and age (&lt;65 years vs ≥65 years), to receive either 3 g ceftolozane–tazobactam or 1 g meropenem intravenously every 8 h for 8–14 days. The primary endpoint was 28-day all-cause mortality (at a 10% non-inferiority margin). The key secondary endpoint was clinical response at the test-of-cure visit (7–14 days after the end of therapy; 12·5% non-inferiority margin). Both endpoints were assessed in the intention-to-treat population. Investigators, study staff, patients, and patients' representatives were masked to treatment assignment. Safety was assessed in all randomly assigned patients who received study treatment. This trial was registered with ClinicalTrials.gov, NCT02070757. Findings: Between Jan 16, 2015, and April 27, 2018, 726 patients were enrolled and randomly assigned, 362 to the ceftolozane–tazobactam group and 364 to the meropenem group. Overall, 519 (71%) patients had ventilator-associated pneumonia, 239 (33%) had Acute Physiology and Chronic Health Evaluation II scores of at least 20, and 668 (92%) were in the intensive care unit. At 28 days, 87 (24·0%) patients in the ceftolozane–tazobactam group and 92 (25·3%) in the meropenem group had died (weighted treatment difference 1·1% [95% CI −5·1 to 7·4]). At the test-of-cure visit 197 (54%) patients in the ceftolozane–tazobactam group and 194 (53%) in the meropenem group were clinically cured (weighted treatment difference 1·1% [95% CI −6·2 to 8·3]). Ceftolozane–tazobactam was thus non-inferior to meropenem in terms of both 28-day all-cause mortality and clinical cure at test of cure. Treatment-related adverse events occurred in 38 (11%) of 361 patients in the ceftolozane–tazobactam group and 27 (8%) of 359 in the meropenem group. Eight (2%) patients in the ceftolozane–tazobactam group and t…","author":[{"dropping-particle":"","family":"Kollef","given":"Marin H.","non-dropping-particle":"","parse-names":false,"suffix":""},{"dropping-particle":"","family":"Nováček","given":"Martin","non-dropping-particle":"","parse-names":false,"suffix":""},{"dropping-particle":"","family":"Kivistik","given":"Ülo","non-dropping-particle":"","parse-names":false,"suffix":""},{"dropping-particle":"","family":"Réa-Neto","given":"Álvaro","non-dropping-particle":"","parse-names":false,"suffix":""},{"dropping-particle":"","family":"Shime","given":"Nobuaki","non-dropping-particle":"","parse-names":false,"suffix":""},{"dropping-particle":"","family":"Martin-Loeches","given":"Ignacio","non-dropping-particle":"","parse-names":false,"suffix":""},{"dropping-particle":"","family":"Timsit","given":"Jean François","non-dropping-particle":"","parse-names":false,"suffix":""},{"dropping-particle":"","family":"Wunderink","given":"Richard G.","non-dropping-particle":"","parse-names":false,"suffix":""},{"dropping-particle":"","family":"Bruno","given":"Christopher J.","non-dropping-particle":"","parse-names":false,"suffix":""},{"dropping-particle":"","family":"Huntington","given":"Jennifer A.","non-dropping-particle":"","parse-names":false,"suffix":""},{"dropping-particle":"","family":"Lin","given":"Gina","non-dropping-particle":"","parse-names":false,"suffix":""},{"dropping-particle":"","family":"Yu","given":"Brian","non-dropping-particle":"","parse-names":false,"suffix":""},{"dropping-particle":"","family":"Butterton","given":"Joan R.","non-dropping-particle":"","parse-names":false,"suffix":""},{"dropping-particle":"","family":"Rhee","given":"Elizabeth G.","non-dropping-particle":"","parse-names":false,"suffix":""}],"container-title":"The Lancet Infectious Diseases","id":"ITEM-1","issue":"12","issued":{"date-parts":[["2019","12","1"]]},"page":"1299-1311","publisher":"Lancet Publishing Group","title":"Ceftolozane–tazobactam versus meropenem for treatment of nosocomial pneumonia (ASPECT-NP): a randomised, controlled, double-blind, phase 3, non-inferiority trial","type":"article-journal","volume":"19"},"uris":["http://www.mendeley.com/documents/?uuid=779e70f2-916f-3769-b6db-f94034eaa2bf"]}],"mendeley":{"formattedCitation":"[77]","plainTextFormattedCitation":"[77]","previouslyFormattedCitation":"[77]"},"properties":{"noteIndex":0},"schema":"https://github.com/citation-style-language/schema/raw/master/csl-citation.json"}</w:instrText>
      </w:r>
      <w:r>
        <w:fldChar w:fldCharType="separate"/>
      </w:r>
      <w:r w:rsidRPr="00824BFE">
        <w:rPr>
          <w:noProof/>
        </w:rPr>
        <w:t>[77]</w:t>
      </w:r>
      <w:r>
        <w:fldChar w:fldCharType="end"/>
      </w:r>
      <w:r w:rsidRPr="00761653">
        <w:t xml:space="preserve">. </w:t>
      </w:r>
      <w:r w:rsidRPr="00761653">
        <w:rPr>
          <w:bCs/>
        </w:rPr>
        <w:t>При нетяжелом течении инфекции</w:t>
      </w:r>
      <w:r w:rsidRPr="00761653">
        <w:t xml:space="preserve"> (диарея, температура, боль в животе) - метронидазол по 500 мг 3 раза в сутки перорально или внутривенно, </w:t>
      </w:r>
      <w:r w:rsidRPr="00761653">
        <w:rPr>
          <w:bCs/>
        </w:rPr>
        <w:t>при тяжелом течении</w:t>
      </w:r>
      <w:r w:rsidRPr="00761653">
        <w:t xml:space="preserve"> (повышение уровня креатинина на 50% и более от исходного значения, снижение уровня альбумина) </w:t>
      </w:r>
      <w:r>
        <w:t>–</w:t>
      </w:r>
      <w:r w:rsidRPr="00761653">
        <w:t xml:space="preserve"> в</w:t>
      </w:r>
      <w:r>
        <w:t>а</w:t>
      </w:r>
      <w:r w:rsidRPr="00761653">
        <w:t xml:space="preserve">нкомицин по 125 мг 4 раза в день перорально или введение в зонд, оро – или назогастральный, при рефрактерном течении - используют сочетание метронидазола с ванкомицином (метронидазол по 500 мг 3 раза в сутки внутривенно, ванкомицин по 500 мг 4 раза в день через оро- или назогастральный зонд). </w:t>
      </w:r>
      <w:r w:rsidRPr="00761653">
        <w:rPr>
          <w:bCs/>
        </w:rPr>
        <w:t>Длительность лечения</w:t>
      </w:r>
      <w:r w:rsidRPr="00761653">
        <w:t xml:space="preserve"> составляет 10-14 дней.</w:t>
      </w:r>
    </w:p>
    <w:p w14:paraId="52F23575" w14:textId="77777777" w:rsidR="00824BFE" w:rsidRDefault="00824BFE" w:rsidP="00824BFE">
      <w:pPr>
        <w:tabs>
          <w:tab w:val="left" w:pos="317"/>
          <w:tab w:val="left" w:pos="8715"/>
        </w:tabs>
        <w:ind w:right="49"/>
        <w:contextualSpacing/>
        <w:rPr>
          <w:b/>
          <w:iCs/>
        </w:rPr>
      </w:pPr>
    </w:p>
    <w:p w14:paraId="30F9BA6C" w14:textId="77777777" w:rsidR="00824BFE" w:rsidRPr="00284D51" w:rsidRDefault="00824BFE" w:rsidP="00824BFE">
      <w:pPr>
        <w:ind w:right="49"/>
        <w:contextualSpacing/>
        <w:rPr>
          <w:bCs/>
          <w:i/>
          <w:iCs/>
          <w:u w:val="single"/>
        </w:rPr>
      </w:pPr>
      <w:r w:rsidRPr="00284D51">
        <w:rPr>
          <w:bCs/>
          <w:i/>
          <w:iCs/>
          <w:u w:val="single"/>
        </w:rPr>
        <w:t>Назначение антибиотиков в зависимости от локализации инфекции</w:t>
      </w:r>
    </w:p>
    <w:p w14:paraId="777190CE" w14:textId="77777777" w:rsidR="00824BFE" w:rsidRPr="00284D51" w:rsidRDefault="00824BFE" w:rsidP="00824BFE">
      <w:pPr>
        <w:ind w:right="49" w:firstLine="709"/>
        <w:contextualSpacing/>
        <w:rPr>
          <w:bCs/>
          <w:i/>
          <w:iCs/>
        </w:rPr>
      </w:pPr>
      <w:r w:rsidRPr="00284D51">
        <w:rPr>
          <w:bCs/>
          <w:i/>
          <w:iCs/>
        </w:rPr>
        <w:t>Мукозит. Гингивит</w:t>
      </w:r>
    </w:p>
    <w:p w14:paraId="5ACD2B4A" w14:textId="77777777" w:rsidR="00824BFE" w:rsidRPr="00761653" w:rsidRDefault="00824BFE" w:rsidP="00824BFE">
      <w:pPr>
        <w:ind w:right="49" w:firstLine="709"/>
        <w:contextualSpacing/>
      </w:pPr>
      <w:r w:rsidRPr="00761653">
        <w:lastRenderedPageBreak/>
        <w:t xml:space="preserve">Чаще обусловлен грибами рода </w:t>
      </w:r>
      <w:r w:rsidRPr="00761653">
        <w:rPr>
          <w:i/>
        </w:rPr>
        <w:t>Candida</w:t>
      </w:r>
      <w:r w:rsidRPr="00761653">
        <w:t xml:space="preserve"> и герпес-вирусами, реже грамотрицательными бактериями (</w:t>
      </w:r>
      <w:r w:rsidRPr="00761653">
        <w:rPr>
          <w:i/>
        </w:rPr>
        <w:t>P. aeruginosa</w:t>
      </w:r>
      <w:r w:rsidRPr="00761653">
        <w:t xml:space="preserve">, </w:t>
      </w:r>
      <w:r w:rsidRPr="00761653">
        <w:rPr>
          <w:i/>
        </w:rPr>
        <w:t>S. malthopilia</w:t>
      </w:r>
      <w:r w:rsidRPr="00761653">
        <w:t>, бактериями порядка Enterobacterales). Лечение согласно выделенным микроорганизмам. При мукозите III-IV степени - ванкомицин, или даптомицин, или линезолид ввиду высокой вероятности развития сепсиса, обусловленного стрептококками</w:t>
      </w:r>
      <w:r w:rsidRPr="00761653">
        <w:rPr>
          <w:b/>
          <w:bCs/>
        </w:rPr>
        <w:t xml:space="preserve"> </w:t>
      </w:r>
      <w:r w:rsidRPr="00761653">
        <w:t xml:space="preserve">группы </w:t>
      </w:r>
      <w:r w:rsidRPr="00761653">
        <w:rPr>
          <w:i/>
          <w:iCs/>
        </w:rPr>
        <w:t>viridans</w:t>
      </w:r>
      <w:r w:rsidRPr="00761653">
        <w:t xml:space="preserve">. </w:t>
      </w:r>
    </w:p>
    <w:p w14:paraId="0C02AAD9" w14:textId="77777777" w:rsidR="00824BFE" w:rsidRPr="00284D51" w:rsidRDefault="00824BFE" w:rsidP="00824BFE">
      <w:pPr>
        <w:ind w:right="49" w:firstLine="709"/>
        <w:contextualSpacing/>
        <w:rPr>
          <w:bCs/>
          <w:i/>
          <w:iCs/>
        </w:rPr>
      </w:pPr>
      <w:r w:rsidRPr="00284D51">
        <w:rPr>
          <w:bCs/>
          <w:i/>
          <w:iCs/>
        </w:rPr>
        <w:t>Пневмония</w:t>
      </w:r>
    </w:p>
    <w:p w14:paraId="5D610F10" w14:textId="77777777" w:rsidR="00824BFE" w:rsidRPr="00761653" w:rsidRDefault="00824BFE" w:rsidP="00824BFE">
      <w:pPr>
        <w:ind w:right="49" w:firstLine="709"/>
        <w:contextualSpacing/>
      </w:pPr>
      <w:r w:rsidRPr="00761653">
        <w:t xml:space="preserve">При стабильной ситуации выполняют БАЛ и дальнейшую модификацию антимикробной терапии осуществляют по результатам микробиологического исследования. При нестабильном соматическом состоянии или невозможности выполнения БАЛ назначают карбапенем (меропенем или имипенем/циластатин или дорипенем) и отменяют антибиотики первого этапа у больных с фебрильной нейтропенией. Вориконазол добавляют к лечению при пневмонии, резистентной к лечению антибиотиками, больным с нейтропенией от 10 дней и более или при лечении глюкокортикоидами, при условии, что не выявлены другие потенциальные возбудители пневмонии. Вориконазол назначают внутривенно, в 1-й день по 6 мг/кг 2 раза в сутки, в последующие дни по 4 мг/кг 2 раза в сутки, с переходом в дальнейшем на пероральную форму по 200 мг 2 раза в сутки, прием таблеток натощак или через 1 час после еды. </w:t>
      </w:r>
    </w:p>
    <w:p w14:paraId="6F8BB68C" w14:textId="77777777" w:rsidR="00824BFE" w:rsidRPr="00284D51" w:rsidRDefault="00824BFE" w:rsidP="00824BFE">
      <w:pPr>
        <w:ind w:right="49" w:firstLine="709"/>
        <w:contextualSpacing/>
        <w:rPr>
          <w:bCs/>
          <w:i/>
        </w:rPr>
      </w:pPr>
      <w:r w:rsidRPr="00284D51">
        <w:rPr>
          <w:bCs/>
          <w:i/>
        </w:rPr>
        <w:t>Инфекция перианальной области (парапроктит, обострение геморроя и другие)</w:t>
      </w:r>
    </w:p>
    <w:p w14:paraId="5DE6FB9D" w14:textId="77777777" w:rsidR="00824BFE" w:rsidRPr="00761653" w:rsidRDefault="00824BFE" w:rsidP="00824BFE">
      <w:pPr>
        <w:ind w:right="49" w:firstLine="709"/>
        <w:contextualSpacing/>
      </w:pPr>
      <w:r>
        <w:t xml:space="preserve">Диагностику и тактику лечения перианальной области – см. ниже в настоящей главе. </w:t>
      </w:r>
      <w:r w:rsidRPr="00761653">
        <w:t xml:space="preserve">Схемы антимикробной терапии включаяют препараты с активностью против грамотрицательных и анаэробных бактерий (цефоперазон/сульбактам + амикацин, или цефепим + амикацин + метронидазол или антипсевдомонадный карбапенем). При неэффективности добавляют антибиотики, активные против грамположительных бактерий (ванкомицин или телаванцин или линезолид или тедизолид или даптомицин), при выделении </w:t>
      </w:r>
      <w:r w:rsidRPr="00761653">
        <w:rPr>
          <w:i/>
        </w:rPr>
        <w:t>Candida</w:t>
      </w:r>
      <w:r w:rsidRPr="00761653">
        <w:t xml:space="preserve"> spp. из ректального мазка – флуконазол (400 мг в/в 1 раз в сутки). </w:t>
      </w:r>
    </w:p>
    <w:p w14:paraId="014F9F77" w14:textId="77777777" w:rsidR="00824BFE" w:rsidRDefault="00824BFE" w:rsidP="00824BFE">
      <w:pPr>
        <w:ind w:right="49"/>
        <w:contextualSpacing/>
        <w:rPr>
          <w:b/>
          <w:bCs/>
        </w:rPr>
      </w:pPr>
    </w:p>
    <w:p w14:paraId="66A53B25" w14:textId="77777777" w:rsidR="00824BFE" w:rsidRPr="00284D51" w:rsidRDefault="00824BFE" w:rsidP="00824BFE">
      <w:pPr>
        <w:ind w:right="49"/>
        <w:contextualSpacing/>
        <w:rPr>
          <w:bCs/>
          <w:i/>
          <w:iCs/>
          <w:u w:val="single"/>
        </w:rPr>
      </w:pPr>
      <w:r w:rsidRPr="00284D51">
        <w:rPr>
          <w:bCs/>
          <w:i/>
          <w:iCs/>
          <w:u w:val="single"/>
        </w:rPr>
        <w:t>Критерии прекращения противомикробной терапии</w:t>
      </w:r>
    </w:p>
    <w:p w14:paraId="6BDAED01" w14:textId="77777777" w:rsidR="00824BFE" w:rsidRPr="00761653" w:rsidRDefault="00824BFE" w:rsidP="00824BFE">
      <w:pPr>
        <w:ind w:right="49" w:firstLine="709"/>
        <w:contextualSpacing/>
      </w:pPr>
      <w:r w:rsidRPr="00284D51">
        <w:rPr>
          <w:i/>
          <w:iCs/>
        </w:rPr>
        <w:t>При лихорадке неясной этиологии</w:t>
      </w:r>
      <w:r w:rsidRPr="00284D51">
        <w:rPr>
          <w:b/>
          <w:bCs/>
        </w:rPr>
        <w:t xml:space="preserve"> </w:t>
      </w:r>
      <w:r w:rsidRPr="00284D51">
        <w:t>в период нейтропении/лейкопении антибиотики</w:t>
      </w:r>
      <w:r w:rsidRPr="00761653">
        <w:t xml:space="preserve"> отменяют через 72 часа, если у </w:t>
      </w:r>
      <w:r>
        <w:t>пациента</w:t>
      </w:r>
      <w:r w:rsidRPr="00761653">
        <w:t xml:space="preserve"> не было эпизода нестабильной гемодинамики в данный эпизод инфекции и нормальная температура отмечается в течение 48 ч. </w:t>
      </w:r>
    </w:p>
    <w:p w14:paraId="48C3409D" w14:textId="77777777" w:rsidR="00824BFE" w:rsidRPr="00761653" w:rsidRDefault="00824BFE" w:rsidP="00824BFE">
      <w:pPr>
        <w:ind w:right="49" w:firstLine="709"/>
        <w:contextualSpacing/>
      </w:pPr>
      <w:r w:rsidRPr="00284D51">
        <w:rPr>
          <w:i/>
          <w:iCs/>
        </w:rPr>
        <w:t>При клинически и микробиологически доказанной инфекции</w:t>
      </w:r>
      <w:r w:rsidRPr="00284D51">
        <w:t xml:space="preserve"> длительность</w:t>
      </w:r>
      <w:r w:rsidRPr="00761653">
        <w:t xml:space="preserve"> применения антибиотиков составляет не менее 7 дней, при соблюдении условий, что нормальная температура наблюдается не менее 4-х дней, очаги инфекции полностью регрессировали, достигнута (или предполагается) микробиологическая эрадикация возбудителя подтвержденной инфекции. После отмены антибиотиков продолжиют </w:t>
      </w:r>
      <w:r w:rsidRPr="00761653">
        <w:lastRenderedPageBreak/>
        <w:t xml:space="preserve">наблюдение </w:t>
      </w:r>
      <w:r>
        <w:t>пациента</w:t>
      </w:r>
      <w:r w:rsidRPr="00761653">
        <w:t xml:space="preserve"> с нейтропенией/лейкопенией в течение последующих 24-48 ч, и в случае появления температуры вновь назначают антибиотики. </w:t>
      </w:r>
    </w:p>
    <w:p w14:paraId="0592AD9E" w14:textId="77777777" w:rsidR="00824BFE" w:rsidRDefault="00824BFE" w:rsidP="00824BFE">
      <w:pPr>
        <w:ind w:right="49" w:firstLine="709"/>
        <w:contextualSpacing/>
        <w:rPr>
          <w:b/>
          <w:bCs/>
        </w:rPr>
      </w:pPr>
    </w:p>
    <w:p w14:paraId="671B2D0F" w14:textId="77777777" w:rsidR="00824BFE" w:rsidRPr="00284D51" w:rsidRDefault="00824BFE" w:rsidP="00824BFE">
      <w:pPr>
        <w:ind w:right="49"/>
        <w:contextualSpacing/>
        <w:rPr>
          <w:bCs/>
          <w:i/>
          <w:iCs/>
          <w:u w:val="single"/>
        </w:rPr>
      </w:pPr>
      <w:r w:rsidRPr="00284D51">
        <w:rPr>
          <w:bCs/>
          <w:i/>
          <w:iCs/>
          <w:u w:val="single"/>
        </w:rPr>
        <w:t>Лечение пациентов в амбулаторных условиях</w:t>
      </w:r>
    </w:p>
    <w:p w14:paraId="189C8E2A" w14:textId="77777777" w:rsidR="00824BFE" w:rsidRDefault="00824BFE" w:rsidP="00824BFE">
      <w:pPr>
        <w:ind w:right="49" w:firstLine="709"/>
        <w:contextualSpacing/>
      </w:pPr>
      <w:r w:rsidRPr="00761653">
        <w:t xml:space="preserve">Амбулаторное лечение инфекционных осложнений в период нейтропении/лейкопении </w:t>
      </w:r>
      <w:r w:rsidRPr="00D40538">
        <w:t xml:space="preserve">проводят в большинстве случаев при условии, что ожидаемая длительность ее не будет превышать 5-10 дней и единственный симптом инфекции – температура менее 39,0°С; при этом нет значимых изменений в легких по данным радиологических исследований; отсутствует артериальная гипотензия и дыхательная недостаточность; нет клиники декомпенсации </w:t>
      </w:r>
      <w:r w:rsidRPr="00761653">
        <w:t xml:space="preserve">хронических заболеваний легких и сахарного диабета; нет нарушения сознания; отсутствует кровотечение; на предыдущих курсах химиотерапии не было инвазивного аспергиллеза. При ухудшении состояния больной должен быть </w:t>
      </w:r>
      <w:r w:rsidRPr="00D40538">
        <w:t xml:space="preserve">экстренно </w:t>
      </w:r>
      <w:r w:rsidRPr="00761653">
        <w:t xml:space="preserve">госпитализирован в стационар в любое время суток. </w:t>
      </w:r>
    </w:p>
    <w:p w14:paraId="4906A272" w14:textId="77777777" w:rsidR="00824BFE" w:rsidRDefault="00824BFE" w:rsidP="00824BFE">
      <w:pPr>
        <w:ind w:right="49" w:firstLine="709"/>
        <w:contextualSpacing/>
      </w:pPr>
      <w:r w:rsidRPr="00761653">
        <w:t xml:space="preserve">Амбулаторно назначают сочетание амоксициллина/клавуланата (625 мг внутрь 3 раза в сутки) с ципрофлоксацином (0,5 г внутрь 2 раза в сутки) </w:t>
      </w:r>
      <w:r w:rsidRPr="00761653">
        <w:rPr>
          <w:i/>
          <w:iCs/>
        </w:rPr>
        <w:t xml:space="preserve">или </w:t>
      </w:r>
      <w:r w:rsidRPr="00761653">
        <w:t xml:space="preserve">левофлоксацин (по 0,5 г внутрь 1 раз в сутки) </w:t>
      </w:r>
      <w:r w:rsidRPr="00761653">
        <w:rPr>
          <w:i/>
          <w:iCs/>
        </w:rPr>
        <w:t>или</w:t>
      </w:r>
      <w:r w:rsidRPr="00761653">
        <w:t xml:space="preserve"> моксифлоксацин (0,4 г внутрь1 раз в сутки).</w:t>
      </w:r>
    </w:p>
    <w:p w14:paraId="1E92CA4E" w14:textId="77777777" w:rsidR="00824BFE" w:rsidRDefault="00824BFE" w:rsidP="00824BFE">
      <w:pPr>
        <w:ind w:right="49"/>
        <w:contextualSpacing/>
        <w:jc w:val="left"/>
        <w:rPr>
          <w:b/>
        </w:rPr>
      </w:pPr>
    </w:p>
    <w:p w14:paraId="0067D27B" w14:textId="77777777" w:rsidR="00824BFE" w:rsidRPr="00284D51" w:rsidRDefault="00824BFE" w:rsidP="00824BFE">
      <w:pPr>
        <w:ind w:right="49"/>
        <w:contextualSpacing/>
        <w:rPr>
          <w:bCs/>
          <w:i/>
          <w:iCs/>
          <w:u w:val="single"/>
        </w:rPr>
      </w:pPr>
      <w:r w:rsidRPr="00284D51">
        <w:rPr>
          <w:bCs/>
          <w:i/>
          <w:iCs/>
          <w:u w:val="single"/>
        </w:rPr>
        <w:t xml:space="preserve">Перианальная инфекция </w:t>
      </w:r>
    </w:p>
    <w:p w14:paraId="2A025861" w14:textId="77777777" w:rsidR="00824BFE" w:rsidRPr="009A4DCC" w:rsidRDefault="00824BFE" w:rsidP="00824BFE">
      <w:pPr>
        <w:ind w:right="49" w:firstLine="709"/>
        <w:contextualSpacing/>
      </w:pPr>
      <w:r>
        <w:t>Перианальная инфекция чаще встречается при нейтропении, которая</w:t>
      </w:r>
      <w:r w:rsidRPr="009A4DCC">
        <w:t xml:space="preserve"> существенным образом меняет клинику и течение инфекционных процессов, формирование воспалительных изменений в тканях может быть отсроченным и иметь атипичные формы; так, формирование абсцессов в условиях нейтропении происходит редко, изменения в тканях могут представлять собой воспалител</w:t>
      </w:r>
      <w:r>
        <w:t>ьные инфильтраты и некрозы</w:t>
      </w:r>
      <w:r w:rsidRPr="009A4DCC">
        <w:t>. Кроме того, нейтропения определяет возможность для появления дополнительных механизмов инфицирования – распространения микроорганизмов в ткани и кровоток со слизистой кишечника, через повреждения кожи анального канала и перианальной области. Поэтому в условиях нейтропении частыми источниками инфицирования параректальной клетчатки становятся анальные трещины, язвы, эрозивные проктиты, дерматиты и другие процессы, нарушающие барьерну</w:t>
      </w:r>
      <w:r>
        <w:t>ю функцию кожи и слизистой</w:t>
      </w:r>
      <w:r w:rsidRPr="009A4DCC">
        <w:t>.</w:t>
      </w:r>
      <w:r>
        <w:t xml:space="preserve"> </w:t>
      </w:r>
      <w:r w:rsidRPr="009A4DCC">
        <w:t xml:space="preserve">Опасность перианальной инфекции на фоне нейтропении обусловлена высокой </w:t>
      </w:r>
      <w:r>
        <w:t>(до 30%) вероятностью сепсиса</w:t>
      </w:r>
      <w:r w:rsidRPr="009A4DCC">
        <w:t xml:space="preserve">. </w:t>
      </w:r>
    </w:p>
    <w:p w14:paraId="370554B6" w14:textId="77777777" w:rsidR="00824BFE" w:rsidRPr="00284D51" w:rsidRDefault="00824BFE" w:rsidP="00824BFE">
      <w:pPr>
        <w:ind w:firstLine="708"/>
        <w:rPr>
          <w:bCs/>
          <w:i/>
          <w:iCs/>
        </w:rPr>
      </w:pPr>
      <w:r w:rsidRPr="00284D51">
        <w:rPr>
          <w:bCs/>
          <w:i/>
          <w:iCs/>
        </w:rPr>
        <w:t>Клиническая картина.</w:t>
      </w:r>
    </w:p>
    <w:p w14:paraId="628F9951" w14:textId="77777777" w:rsidR="00824BFE" w:rsidRPr="009A4DCC" w:rsidRDefault="00824BFE" w:rsidP="00824BFE">
      <w:pPr>
        <w:ind w:firstLine="708"/>
      </w:pPr>
      <w:r w:rsidRPr="009A4DCC">
        <w:t>Признаками перианальной инфекции обычно являются ан</w:t>
      </w:r>
      <w:r>
        <w:t>оректальная боль и лихорадка</w:t>
      </w:r>
      <w:r w:rsidRPr="009A4DCC">
        <w:t>. Оценка характера изменений в тканях является основой для выбора тактики лечения.</w:t>
      </w:r>
    </w:p>
    <w:p w14:paraId="39F9920A" w14:textId="77777777" w:rsidR="00824BFE" w:rsidRPr="00284D51" w:rsidRDefault="00824BFE" w:rsidP="00824BFE">
      <w:pPr>
        <w:ind w:firstLine="708"/>
        <w:rPr>
          <w:bCs/>
          <w:i/>
          <w:iCs/>
        </w:rPr>
      </w:pPr>
      <w:r w:rsidRPr="00284D51">
        <w:rPr>
          <w:bCs/>
          <w:i/>
          <w:iCs/>
        </w:rPr>
        <w:t>Диагностика.</w:t>
      </w:r>
    </w:p>
    <w:p w14:paraId="36646CC4" w14:textId="77777777" w:rsidR="00824BFE" w:rsidRPr="009A4DCC" w:rsidRDefault="00824BFE" w:rsidP="00C5490F">
      <w:pPr>
        <w:pStyle w:val="afe"/>
        <w:numPr>
          <w:ilvl w:val="0"/>
          <w:numId w:val="94"/>
        </w:numPr>
      </w:pPr>
      <w:r w:rsidRPr="009A4DCC">
        <w:lastRenderedPageBreak/>
        <w:t>Осмотр колопроктолога (первичный и повторно в динамике)</w:t>
      </w:r>
    </w:p>
    <w:p w14:paraId="45AD5A98" w14:textId="77777777" w:rsidR="00824BFE" w:rsidRPr="009A4DCC" w:rsidRDefault="00824BFE" w:rsidP="00C5490F">
      <w:pPr>
        <w:pStyle w:val="afe"/>
        <w:numPr>
          <w:ilvl w:val="0"/>
          <w:numId w:val="94"/>
        </w:numPr>
      </w:pPr>
      <w:r w:rsidRPr="009A4DCC">
        <w:t>МРТ органов малого таза.</w:t>
      </w:r>
    </w:p>
    <w:p w14:paraId="26794652" w14:textId="77777777" w:rsidR="00824BFE" w:rsidRPr="009A4DCC" w:rsidRDefault="00824BFE" w:rsidP="00C5490F">
      <w:pPr>
        <w:pStyle w:val="afe"/>
        <w:numPr>
          <w:ilvl w:val="0"/>
          <w:numId w:val="94"/>
        </w:numPr>
      </w:pPr>
      <w:r>
        <w:t>КТ/СКТ</w:t>
      </w:r>
      <w:r w:rsidRPr="009A4DCC">
        <w:t xml:space="preserve"> органов малого таза</w:t>
      </w:r>
    </w:p>
    <w:p w14:paraId="158B8E1C" w14:textId="77777777" w:rsidR="00824BFE" w:rsidRPr="00AE580F" w:rsidRDefault="00824BFE" w:rsidP="00C5490F">
      <w:pPr>
        <w:pStyle w:val="afe"/>
        <w:numPr>
          <w:ilvl w:val="0"/>
          <w:numId w:val="94"/>
        </w:numPr>
      </w:pPr>
      <w:r>
        <w:t>Бактериологическое исследование</w:t>
      </w:r>
    </w:p>
    <w:p w14:paraId="25D7853E" w14:textId="77777777" w:rsidR="00824BFE" w:rsidRPr="009A4DCC" w:rsidRDefault="00824BFE" w:rsidP="00824BFE">
      <w:pPr>
        <w:ind w:firstLine="708"/>
      </w:pPr>
      <w:r w:rsidRPr="009A4DCC">
        <w:t>Диагноз перианальной инфекции устанавливается клинически на основании симптомов</w:t>
      </w:r>
      <w:r>
        <w:t>,</w:t>
      </w:r>
      <w:r w:rsidRPr="009A4DCC">
        <w:t xml:space="preserve"> характеризующих воспаление: перианальная боль, эритема, скопление жидк</w:t>
      </w:r>
      <w:r>
        <w:t>ости или образование свища</w:t>
      </w:r>
      <w:r w:rsidRPr="009A4DCC">
        <w:t>. При обследовании пациентов с нейтропенией важно учитывать, что инвазивные диагностические процедуры (ректальное исследование и ректоскопии) у этой категории больных связаны с опасностью диссеминации</w:t>
      </w:r>
      <w:r>
        <w:t xml:space="preserve"> инфекции в ткани и кровоток</w:t>
      </w:r>
      <w:r w:rsidRPr="009A4DCC">
        <w:t>. Если диагноз перианальной инфекции сомнителен у пациента с перианальной болью и недостаточностью клинических признаков, проводится визуализация с помощью МРТ или КТ</w:t>
      </w:r>
      <w:r>
        <w:t>/СКТ органов малого таза</w:t>
      </w:r>
      <w:r w:rsidRPr="009A4DCC">
        <w:t>. МРТ признаками перианальной инфекции является наличие полостей в параректальной клетчатке, скоплений жидкости, дефектов стенки прямой кишки и свищевых ходов. У больных с нейтропенией при наличии клинических данных достаточным МРТ-признаком перианальной инфекции является наличие отека па</w:t>
      </w:r>
      <w:r>
        <w:t>раректальной клетчатки</w:t>
      </w:r>
      <w:r w:rsidRPr="009A4DCC">
        <w:t>. Для выявления характера микрофлоры, назначения и модификации антибактериальной терапии проводят микробиологическое, молекулярное и др. исследования мазков со слизистой прямой кишки, отделяемого свища, поверхности раны</w:t>
      </w:r>
      <w:r>
        <w:t>, соскоба кожи перианальной области</w:t>
      </w:r>
      <w:r w:rsidRPr="009A4DCC">
        <w:t xml:space="preserve">. </w:t>
      </w:r>
    </w:p>
    <w:p w14:paraId="581F506C" w14:textId="77777777" w:rsidR="00824BFE" w:rsidRPr="00284D51" w:rsidRDefault="00824BFE" w:rsidP="00824BFE">
      <w:pPr>
        <w:ind w:firstLine="708"/>
        <w:rPr>
          <w:bCs/>
          <w:i/>
          <w:iCs/>
        </w:rPr>
      </w:pPr>
      <w:r w:rsidRPr="00284D51">
        <w:rPr>
          <w:bCs/>
          <w:i/>
          <w:iCs/>
        </w:rPr>
        <w:t>Лечение</w:t>
      </w:r>
    </w:p>
    <w:p w14:paraId="445D2237" w14:textId="77777777" w:rsidR="00824BFE" w:rsidRPr="00F36465" w:rsidRDefault="00824BFE" w:rsidP="00C5490F">
      <w:pPr>
        <w:pStyle w:val="afe"/>
        <w:numPr>
          <w:ilvl w:val="0"/>
          <w:numId w:val="95"/>
        </w:numPr>
      </w:pPr>
      <w:r w:rsidRPr="00F36465">
        <w:t>Антибактериальная терапия</w:t>
      </w:r>
      <w:r>
        <w:t xml:space="preserve"> (см. выше)</w:t>
      </w:r>
    </w:p>
    <w:p w14:paraId="43F66FCC" w14:textId="77777777" w:rsidR="00824BFE" w:rsidRPr="00F22A59" w:rsidRDefault="00824BFE" w:rsidP="00C5490F">
      <w:pPr>
        <w:pStyle w:val="afe"/>
        <w:numPr>
          <w:ilvl w:val="0"/>
          <w:numId w:val="95"/>
        </w:numPr>
      </w:pPr>
      <w:r>
        <w:t>Хирургическое пособие</w:t>
      </w:r>
    </w:p>
    <w:p w14:paraId="602BBA73" w14:textId="77777777" w:rsidR="00824BFE" w:rsidRPr="009A4DCC" w:rsidRDefault="00824BFE" w:rsidP="00824BFE">
      <w:pPr>
        <w:ind w:firstLine="708"/>
      </w:pPr>
      <w:r w:rsidRPr="009A4DCC">
        <w:t>Для пациентов страдающих нейтропенией или иной формой иммуносупресии, аноректальные инфекции рассматриваются как состояние, требующее неотложного лечения с помощью антибиотиков, что позволяется остановить развитие аноректал</w:t>
      </w:r>
      <w:r>
        <w:t>ьной инфекции и сепсиса</w:t>
      </w:r>
      <w:r w:rsidRPr="009A4DCC">
        <w:t>. Показано применение на первом этапе антимикробных препаратов, проявляющих активность в отношении грамотрицательных бактерий, включа</w:t>
      </w:r>
      <w:r>
        <w:t>я синегнойную палочку</w:t>
      </w:r>
      <w:r w:rsidRPr="009A4DCC">
        <w:t xml:space="preserve">, введение антимикробных препаратов проводится только </w:t>
      </w:r>
      <w:r>
        <w:t xml:space="preserve">внутрь и </w:t>
      </w:r>
      <w:r w:rsidRPr="009A4DCC">
        <w:t xml:space="preserve">внутривенно. </w:t>
      </w:r>
    </w:p>
    <w:p w14:paraId="089CC9B6" w14:textId="77777777" w:rsidR="00824BFE" w:rsidRPr="009A4DCC" w:rsidRDefault="00824BFE" w:rsidP="00824BFE">
      <w:pPr>
        <w:ind w:firstLine="708"/>
      </w:pPr>
      <w:r w:rsidRPr="009A4DCC">
        <w:t>Показанием к операции является формировани</w:t>
      </w:r>
      <w:r>
        <w:t>е абсцесса или некроза</w:t>
      </w:r>
      <w:r w:rsidRPr="009A4DCC">
        <w:t>. Выполняют дрениро</w:t>
      </w:r>
      <w:r>
        <w:t>вание полостей, некрэктомию</w:t>
      </w:r>
      <w:r w:rsidRPr="009A4DCC">
        <w:t>. В ряде случаев (флегмона таза, свищи 3-4 степени сложности) оперативное дренирование сочетают с наложением отводящей колостомы. Хирургическое вмешательство должно быть проведено на фоне антибактериальной терапии под общим обезболиванием. Антибактериальная терапия должна быть продолжена в послеоперационном периоде до исче</w:t>
      </w:r>
      <w:r>
        <w:t>зновения признаков инфекции</w:t>
      </w:r>
      <w:r w:rsidRPr="009A4DCC">
        <w:t xml:space="preserve">. </w:t>
      </w:r>
    </w:p>
    <w:p w14:paraId="01F30F3B" w14:textId="77777777" w:rsidR="00824BFE" w:rsidRPr="009A4DCC" w:rsidRDefault="00824BFE" w:rsidP="00824BFE">
      <w:pPr>
        <w:ind w:firstLine="708"/>
      </w:pPr>
      <w:r w:rsidRPr="009A4DCC">
        <w:lastRenderedPageBreak/>
        <w:t>Пациенты с абсолютным количеством нейтрофилов более 1000х10</w:t>
      </w:r>
      <w:r w:rsidRPr="009A4DCC">
        <w:rPr>
          <w:vertAlign w:val="superscript"/>
        </w:rPr>
        <w:t>9</w:t>
      </w:r>
      <w:r w:rsidRPr="009A4DCC">
        <w:t xml:space="preserve">/л имеют более высокие показатели излечения при хирургическом дренировании, пациенты с более низким количеством нейтрофилов и / или отсутствием флюктуации более успешно лечатся </w:t>
      </w:r>
      <w:r>
        <w:t xml:space="preserve">применением </w:t>
      </w:r>
      <w:r w:rsidRPr="009A4DCC">
        <w:t>только антибиотик</w:t>
      </w:r>
      <w:r>
        <w:t>ов</w:t>
      </w:r>
      <w:r w:rsidRPr="009A4DCC">
        <w:t xml:space="preserve">. </w:t>
      </w:r>
    </w:p>
    <w:p w14:paraId="649C022E" w14:textId="77777777" w:rsidR="00824BFE" w:rsidRDefault="00824BFE" w:rsidP="00824BFE">
      <w:pPr>
        <w:ind w:firstLine="708"/>
      </w:pPr>
      <w:r w:rsidRPr="009A4DCC">
        <w:t xml:space="preserve">Прогноз при перианальной инфекции зависит от клинической ситуации. Показатель летальности непосредственно связанный с перианальными инфекционными осложнениями среди онкогематологических пациентов </w:t>
      </w:r>
      <w:r>
        <w:t>при адекватных подходах составляет менее 5%</w:t>
      </w:r>
      <w:r w:rsidRPr="009A4DCC">
        <w:t>.</w:t>
      </w:r>
    </w:p>
    <w:p w14:paraId="0A489897" w14:textId="0CBD5F58" w:rsidR="00824BFE" w:rsidRPr="007531B6" w:rsidRDefault="00824BFE" w:rsidP="00824BFE">
      <w:pPr>
        <w:pStyle w:val="2"/>
      </w:pPr>
      <w:bookmarkStart w:id="49" w:name="_Toc64565660"/>
      <w:bookmarkStart w:id="50" w:name="_Toc67522246"/>
      <w:r w:rsidRPr="00A7029B">
        <w:t>7.</w:t>
      </w:r>
      <w:r>
        <w:t>8</w:t>
      </w:r>
      <w:r w:rsidRPr="00A7029B">
        <w:t xml:space="preserve"> </w:t>
      </w:r>
      <w:bookmarkStart w:id="51" w:name="_Toc57985410"/>
      <w:bookmarkStart w:id="52" w:name="_Toc64478031"/>
      <w:bookmarkStart w:id="53" w:name="_Toc520213128"/>
      <w:r>
        <w:t>Д</w:t>
      </w:r>
      <w:r w:rsidRPr="007531B6">
        <w:t>иагностика и лечение инфекций</w:t>
      </w:r>
      <w:r>
        <w:t xml:space="preserve">, </w:t>
      </w:r>
      <w:r w:rsidRPr="007531B6">
        <w:t>вызванных грибами</w:t>
      </w:r>
      <w:bookmarkEnd w:id="49"/>
      <w:bookmarkEnd w:id="50"/>
      <w:bookmarkEnd w:id="51"/>
      <w:bookmarkEnd w:id="52"/>
    </w:p>
    <w:p w14:paraId="1E128D02" w14:textId="77777777" w:rsidR="00824BFE" w:rsidRPr="0002711B" w:rsidRDefault="00824BFE" w:rsidP="00824BFE">
      <w:pPr>
        <w:ind w:firstLine="708"/>
      </w:pPr>
      <w:r>
        <w:t>Высокотехнологичные методы лечения и особенности иммунодефицита у пациентов с гематологическими заболеваниями, в том числе, пациентов с ХЛЛ/ЛМЛ, ассоциированы с увеличением частоты оппортунистических инфекций и прежде всего инфекционных осложнений, вызванных грибами. В структуре инвазивных микозов ведущую позицию занимает инвазивный аспергиллез, далее следует инвазивный кандидоз, возрастает частота микозов, вызванных другими плесневыми грибами. В приложении представлены характеристика инфекционного процесса, вызванного грибами, особенности диагностики и лечения в зависимости от выделенного возбудителя.</w:t>
      </w:r>
    </w:p>
    <w:p w14:paraId="48B84963" w14:textId="77777777" w:rsidR="00824BFE" w:rsidRDefault="00824BFE" w:rsidP="00824BFE">
      <w:pPr>
        <w:ind w:right="51"/>
        <w:contextualSpacing/>
        <w:rPr>
          <w:b/>
          <w:bCs/>
        </w:rPr>
      </w:pPr>
    </w:p>
    <w:p w14:paraId="60E435A0" w14:textId="16EF1126" w:rsidR="00824BFE" w:rsidRPr="00084B8B" w:rsidRDefault="00824BFE" w:rsidP="00824BFE">
      <w:pPr>
        <w:ind w:right="49"/>
        <w:contextualSpacing/>
        <w:rPr>
          <w:bCs/>
          <w:u w:val="single"/>
        </w:rPr>
      </w:pPr>
      <w:r w:rsidRPr="00F87280">
        <w:rPr>
          <w:bCs/>
          <w:u w:val="single"/>
        </w:rPr>
        <w:t>Диагностика и лечение кандидоза</w:t>
      </w:r>
      <w:r>
        <w:rPr>
          <w:bCs/>
          <w:u w:val="single"/>
          <w:lang w:val="en-US"/>
        </w:rPr>
        <w:t xml:space="preserve"> </w:t>
      </w:r>
      <w:r>
        <w:rPr>
          <w:b/>
        </w:rPr>
        <w:fldChar w:fldCharType="begin" w:fldLock="1"/>
      </w:r>
      <w:r w:rsidR="00531C4D">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infections","type":"article-journal","volume":"20"},"uris":["http://www.mendeley.com/documents/?uuid=5a6b3e24-e337-3cd9-bb20-08cd60455554"]},{"id":"ITEM-4","itemData":{"DOI":"10.3324/haematol.2016.152900","ISSN":"15928721","PMID":"28011902","abstract":"The European Conference on Infections in Leukemia (ECIL) provides recommendations for diagnostic strategies and prophylactic, pre-emptive or targeted therapy strategies for various types of infection in patients with hematologic malignancies or hematopoietic stem cell transplantation recipients. Meetings are held every two years since 2005 and evidence-based recommendations are elaborated after evaluation of the literature and discussion among specialists of nearly all European countries. In this manuscript, the ECIL group presents the 2015-update of the recommendations for the targeted treatment of invasive candidiasis, aspergillosis and mucormycosis. Current data now allow a very strong recommendation in favor of echinocandins for first-line therapy of candidemia irrespective of the underlying predisposing factors. Anidulafungin has been given the same grading as the other echinocandins for hemato-oncological patients. The beneficial role of catheter removal in candidemia is strengthened. Aspergillus guidelines now recommend the use of either voriconazole or isavuconazole for first-line treatment of invasive aspergillosis, while first-line combination antifungal therapy is not routinely recommended. As only few new data were published since the last ECIL guidelines, no major changes were made to mucormycosis recommendations.","author":[{"dropping-particle":"","family":"Tissot","given":"Frederic","non-dropping-particle":"","parse-names":false,"suffix":""},{"dropping-particle":"","family":"Agrawal","given":"Samir","non-dropping-particle":"","parse-names":false,"suffix":""},{"dropping-particle":"","family":"Pagano","given":"Livio","non-dropping-particle":"","parse-names":false,"suffix":""},{"dropping-particle":"","family":"Petrikkos","given":"Georgios","non-dropping-particle":"","parse-names":false,"suffix":""},{"dropping-particle":"","family":"Groll","given":"Andreas H.","non-dropping-particle":"","parse-names":false,"suffix":""},{"dropping-particle":"","family":"Skiada","given":"Anna","non-dropping-particle":"","parse-names":false,"suffix":""},{"dropping-particle":"","family":"Lass-Flörl","given":"Cornelia","non-dropping-particle":"","parse-names":false,"suffix":""},{"dropping-particle":"","family":"Calandra","given":"Thierry","non-dropping-particle":"","parse-names":false,"suffix":""},{"dropping-particle":"","family":"Viscoli","given":"Claudio","non-dropping-particle":"","parse-names":false,"suffix":""},{"dropping-particle":"","family":"Herbrecht","given":"Raoul","non-dropping-particle":"","parse-names":false,"suffix":""}],"container-title":"Haematologica","id":"ITEM-4","issue":"3","issued":{"date-parts":[["2017","2","28"]]},"page":"433-444","publisher":"Ferrata Storti Foundation","title":"ECIL-6 guidelines for the treatment of invasive candidiasis, aspergillosis and mucormycosis in leukemia and hematopoietic stem cell transplant patients","type":"article-journal","volume":"102"},"uris":["http://www.mendeley.com/documents/?uuid=56063fed-25f6-3324-a2f1-f316166613f0"]}],"mendeley":{"formattedCitation":"[75,76,80,81]","plainTextFormattedCitation":"[75,76,80,81]","previouslyFormattedCitation":"[75,76,80,81]"},"properties":{"noteIndex":0},"schema":"https://github.com/citation-style-language/schema/raw/master/csl-citation.json"}</w:instrText>
      </w:r>
      <w:r>
        <w:rPr>
          <w:b/>
        </w:rPr>
        <w:fldChar w:fldCharType="separate"/>
      </w:r>
      <w:r w:rsidRPr="00824BFE">
        <w:rPr>
          <w:noProof/>
        </w:rPr>
        <w:t>[75,76,80,81]</w:t>
      </w:r>
      <w:r>
        <w:rPr>
          <w:b/>
        </w:rPr>
        <w:fldChar w:fldCharType="end"/>
      </w:r>
    </w:p>
    <w:p w14:paraId="2DEA3316" w14:textId="77777777" w:rsidR="00824BFE" w:rsidRPr="0014445B" w:rsidRDefault="00824BFE" w:rsidP="00824BFE">
      <w:pPr>
        <w:ind w:right="51" w:firstLine="709"/>
        <w:contextualSpacing/>
        <w:rPr>
          <w:b/>
          <w:bCs/>
        </w:rPr>
      </w:pPr>
      <w:r w:rsidRPr="0014445B">
        <w:rPr>
          <w:b/>
          <w:bCs/>
        </w:rPr>
        <w:t>Кандидоз полости рта и глотки (орофарингеальный кандидоз)</w:t>
      </w:r>
    </w:p>
    <w:p w14:paraId="0CB6A56B" w14:textId="77777777" w:rsidR="00824BFE" w:rsidRPr="00F87280" w:rsidRDefault="00824BFE" w:rsidP="00824BFE">
      <w:pPr>
        <w:ind w:right="51" w:firstLine="709"/>
        <w:contextualSpacing/>
        <w:rPr>
          <w:i/>
          <w:iCs/>
        </w:rPr>
      </w:pPr>
      <w:r w:rsidRPr="00F87280">
        <w:rPr>
          <w:i/>
          <w:iCs/>
          <w:u w:val="single"/>
        </w:rPr>
        <w:t>Возбудители</w:t>
      </w:r>
    </w:p>
    <w:p w14:paraId="55F4A5DA" w14:textId="77777777" w:rsidR="00824BFE" w:rsidRPr="00DA2BC8" w:rsidRDefault="00824BFE" w:rsidP="00824BFE">
      <w:pPr>
        <w:ind w:right="51" w:firstLine="709"/>
        <w:contextualSpacing/>
      </w:pPr>
      <w:r w:rsidRPr="00DA2BC8">
        <w:t xml:space="preserve">Среди возбудителей преобладают </w:t>
      </w:r>
      <w:r w:rsidRPr="00DA2BC8">
        <w:rPr>
          <w:i/>
          <w:iCs/>
        </w:rPr>
        <w:t>Candida albicans,</w:t>
      </w:r>
      <w:r w:rsidRPr="00DA2BC8">
        <w:t xml:space="preserve"> часто в сочетании с бактериями. Другие виды выделяют реже </w:t>
      </w:r>
      <w:r>
        <w:t>(в основном, у пациентов,</w:t>
      </w:r>
      <w:r w:rsidRPr="00DA2BC8">
        <w:t xml:space="preserve"> длительно принимающих противогрибковые препараты</w:t>
      </w:r>
      <w:r>
        <w:t>)</w:t>
      </w:r>
      <w:r w:rsidRPr="00DA2BC8">
        <w:t>.</w:t>
      </w:r>
    </w:p>
    <w:p w14:paraId="258B8DF0" w14:textId="77777777" w:rsidR="00824BFE" w:rsidRPr="00F87280" w:rsidRDefault="00824BFE" w:rsidP="00824BFE">
      <w:pPr>
        <w:ind w:right="51" w:firstLine="709"/>
        <w:contextualSpacing/>
        <w:rPr>
          <w:i/>
          <w:iCs/>
          <w:u w:val="single"/>
        </w:rPr>
      </w:pPr>
      <w:r w:rsidRPr="00F87280">
        <w:rPr>
          <w:i/>
          <w:iCs/>
          <w:u w:val="single"/>
        </w:rPr>
        <w:t>Факторы риска</w:t>
      </w:r>
    </w:p>
    <w:p w14:paraId="75D0FFAF" w14:textId="77777777" w:rsidR="00824BFE" w:rsidRPr="00DA2BC8" w:rsidRDefault="00824BFE" w:rsidP="00824BFE">
      <w:pPr>
        <w:ind w:right="51" w:firstLine="709"/>
        <w:contextualSpacing/>
      </w:pPr>
      <w:r w:rsidRPr="00DA2BC8">
        <w:t>Основными факторами риска являются нейтропения, применение антибиотиков, глюкокортикоидов, цитостатиков и иммунодепрессантов, проведение лучевой терапии.</w:t>
      </w:r>
    </w:p>
    <w:p w14:paraId="6DEDD20F" w14:textId="77777777" w:rsidR="00824BFE" w:rsidRPr="00F87280" w:rsidRDefault="00824BFE" w:rsidP="00824BFE">
      <w:pPr>
        <w:ind w:right="51" w:firstLine="709"/>
        <w:contextualSpacing/>
        <w:rPr>
          <w:i/>
          <w:iCs/>
          <w:u w:val="single"/>
        </w:rPr>
      </w:pPr>
      <w:r w:rsidRPr="00F87280">
        <w:rPr>
          <w:i/>
          <w:iCs/>
          <w:u w:val="single"/>
        </w:rPr>
        <w:t>Симптомы инфекции</w:t>
      </w:r>
    </w:p>
    <w:p w14:paraId="57A08275" w14:textId="77777777" w:rsidR="00824BFE" w:rsidRPr="00DA2BC8" w:rsidRDefault="00824BFE" w:rsidP="00824BFE">
      <w:pPr>
        <w:ind w:right="51" w:firstLine="709"/>
        <w:contextualSpacing/>
      </w:pPr>
      <w:r w:rsidRPr="00DA2BC8">
        <w:t>Клинические проявления орофарингеального кандидоза - налеты белого цвета или гиперемия слизистой оболочки ротоглотки, боль в полости рта.</w:t>
      </w:r>
    </w:p>
    <w:p w14:paraId="43B9A9D5" w14:textId="77777777" w:rsidR="00824BFE" w:rsidRPr="00F87280" w:rsidRDefault="00824BFE" w:rsidP="00824BFE">
      <w:pPr>
        <w:ind w:right="51" w:firstLine="709"/>
        <w:contextualSpacing/>
        <w:rPr>
          <w:i/>
          <w:iCs/>
          <w:u w:val="single"/>
        </w:rPr>
      </w:pPr>
      <w:r w:rsidRPr="00F87280">
        <w:rPr>
          <w:i/>
          <w:iCs/>
          <w:u w:val="single"/>
        </w:rPr>
        <w:t>Диагностика</w:t>
      </w:r>
    </w:p>
    <w:p w14:paraId="44B5165D" w14:textId="77777777" w:rsidR="00824BFE" w:rsidRPr="00DA2BC8" w:rsidRDefault="00824BFE" w:rsidP="00824BFE">
      <w:pPr>
        <w:ind w:right="51" w:firstLine="709"/>
        <w:contextualSpacing/>
      </w:pPr>
      <w:r w:rsidRPr="00DA2BC8">
        <w:t>При наличии симптомов берут мазок с измененной слизистой оболочки для микробиологического исследования (</w:t>
      </w:r>
      <w:r>
        <w:t xml:space="preserve">культуральное исследование, </w:t>
      </w:r>
      <w:r w:rsidRPr="00DA2BC8">
        <w:t xml:space="preserve">посев). При выделении </w:t>
      </w:r>
      <w:r w:rsidRPr="00DA2BC8">
        <w:rPr>
          <w:i/>
          <w:iCs/>
        </w:rPr>
        <w:t>Candida</w:t>
      </w:r>
      <w:r w:rsidRPr="00DA2BC8">
        <w:t xml:space="preserve"> spp. проводят идентификацию до вида. Чувствительность к противогрибковым препаратам определяют при длительном, рецидивирующем орофарингеальном кандидозе </w:t>
      </w:r>
    </w:p>
    <w:p w14:paraId="7227BA49" w14:textId="77777777" w:rsidR="00824BFE" w:rsidRPr="00F87280" w:rsidRDefault="00824BFE" w:rsidP="00824BFE">
      <w:pPr>
        <w:ind w:right="51" w:firstLine="709"/>
        <w:contextualSpacing/>
        <w:rPr>
          <w:i/>
          <w:iCs/>
        </w:rPr>
      </w:pPr>
      <w:r w:rsidRPr="00F87280">
        <w:rPr>
          <w:i/>
          <w:iCs/>
          <w:u w:val="single"/>
        </w:rPr>
        <w:lastRenderedPageBreak/>
        <w:t>Показания к назначению противогрибковых препаратов</w:t>
      </w:r>
    </w:p>
    <w:p w14:paraId="79226DD0" w14:textId="77777777" w:rsidR="00824BFE" w:rsidRPr="00DA2BC8" w:rsidRDefault="00824BFE" w:rsidP="00824BFE">
      <w:pPr>
        <w:ind w:right="51" w:firstLine="709"/>
        <w:contextualSpacing/>
      </w:pPr>
      <w:r w:rsidRPr="00DA2BC8">
        <w:t xml:space="preserve">Наличие симптомов и выделение </w:t>
      </w:r>
      <w:r w:rsidRPr="00DA2BC8">
        <w:rPr>
          <w:i/>
          <w:iCs/>
        </w:rPr>
        <w:t xml:space="preserve">Candida </w:t>
      </w:r>
      <w:r w:rsidRPr="00DA2BC8">
        <w:t xml:space="preserve">spp. в мазках со слизистой ротоглотки. </w:t>
      </w:r>
    </w:p>
    <w:p w14:paraId="38DBC8F6" w14:textId="77777777" w:rsidR="00824BFE" w:rsidRPr="00F87280" w:rsidRDefault="00824BFE" w:rsidP="00824BFE">
      <w:pPr>
        <w:ind w:right="51" w:firstLine="709"/>
        <w:contextualSpacing/>
        <w:rPr>
          <w:i/>
          <w:iCs/>
          <w:u w:val="single"/>
        </w:rPr>
      </w:pPr>
      <w:r w:rsidRPr="00F87280">
        <w:rPr>
          <w:i/>
          <w:iCs/>
          <w:u w:val="single"/>
        </w:rPr>
        <w:t xml:space="preserve">Лечение </w:t>
      </w:r>
    </w:p>
    <w:p w14:paraId="62B95DB5" w14:textId="77777777" w:rsidR="00824BFE" w:rsidRPr="00DA2BC8" w:rsidRDefault="00824BFE" w:rsidP="00824BFE">
      <w:pPr>
        <w:ind w:right="51" w:firstLine="709"/>
        <w:contextualSpacing/>
        <w:rPr>
          <w:b/>
          <w:bCs/>
        </w:rPr>
      </w:pPr>
      <w:r w:rsidRPr="00DA2BC8">
        <w:rPr>
          <w:bCs/>
        </w:rPr>
        <w:t>Препарат выбора</w:t>
      </w:r>
      <w:r w:rsidRPr="00DA2BC8">
        <w:t xml:space="preserve"> — флуконазол, по 400 мг 1 раз в сутки внутрь или внутривенно.</w:t>
      </w:r>
      <w:r w:rsidRPr="00DA2BC8">
        <w:rPr>
          <w:b/>
          <w:bCs/>
        </w:rPr>
        <w:t xml:space="preserve"> </w:t>
      </w:r>
      <w:r w:rsidRPr="00DA2BC8">
        <w:t xml:space="preserve">Флуконазол не назначают при выделении </w:t>
      </w:r>
      <w:r w:rsidRPr="00DA2BC8">
        <w:rPr>
          <w:i/>
          <w:iCs/>
        </w:rPr>
        <w:t>C. krusei</w:t>
      </w:r>
      <w:r w:rsidRPr="00DA2BC8">
        <w:t xml:space="preserve"> или </w:t>
      </w:r>
      <w:r w:rsidRPr="00DA2BC8">
        <w:rPr>
          <w:i/>
          <w:iCs/>
        </w:rPr>
        <w:t xml:space="preserve">C. glabrata. </w:t>
      </w:r>
      <w:r w:rsidRPr="00DA2BC8">
        <w:rPr>
          <w:iCs/>
        </w:rPr>
        <w:t>При</w:t>
      </w:r>
      <w:r w:rsidRPr="00DA2BC8">
        <w:rPr>
          <w:i/>
          <w:iCs/>
        </w:rPr>
        <w:t xml:space="preserve"> </w:t>
      </w:r>
      <w:r w:rsidRPr="00DA2BC8">
        <w:t xml:space="preserve">детекции </w:t>
      </w:r>
      <w:r w:rsidRPr="00DA2BC8">
        <w:rPr>
          <w:i/>
          <w:iCs/>
        </w:rPr>
        <w:t xml:space="preserve">С. krusei </w:t>
      </w:r>
      <w:r w:rsidRPr="00DA2BC8">
        <w:t>или</w:t>
      </w:r>
      <w:r w:rsidRPr="00DA2BC8">
        <w:rPr>
          <w:i/>
          <w:iCs/>
        </w:rPr>
        <w:t xml:space="preserve"> C. glabrata</w:t>
      </w:r>
      <w:r w:rsidRPr="00DA2BC8">
        <w:rPr>
          <w:iCs/>
        </w:rPr>
        <w:t xml:space="preserve"> применяют</w:t>
      </w:r>
      <w:r w:rsidRPr="00DA2BC8">
        <w:rPr>
          <w:i/>
          <w:iCs/>
        </w:rPr>
        <w:t xml:space="preserve"> </w:t>
      </w:r>
      <w:r w:rsidRPr="00DA2BC8">
        <w:t xml:space="preserve">нистатин (5-8 гр в сутки), при выраженном мукозите у больных с фебрильной лейкопенией – эхиноканадин (микафунгин или каспофунгин, или анидулафунгин). </w:t>
      </w:r>
      <w:r w:rsidRPr="00DA2BC8">
        <w:rPr>
          <w:bCs/>
        </w:rPr>
        <w:t xml:space="preserve">При неэффективном применении флуконазола проводят замену на </w:t>
      </w:r>
      <w:r w:rsidRPr="00DA2BC8">
        <w:t xml:space="preserve">эхиноканадин (микафунгин по 100 мг 1 раза в сутки или каспофунгин в 1-й день 70 мг, а затем 50 мг в сутки, анидулафунгин в 1-й день 200 мг, а затем по 100 мг в сутки), позаконазол (суспензия, внутрь после еды), по 400 мг 2 раза в сутки в течение 3 дней, затем по 400 мг 1 раз в день; или вориконазол (таблетки), по 200 мг 2 раза в сутки внутрь; или амфотерицин В, 0,3-0,5 мг/кг/сут внутривенно. </w:t>
      </w:r>
      <w:r w:rsidRPr="00DA2BC8">
        <w:rPr>
          <w:bCs/>
        </w:rPr>
        <w:t>Длительность лечения</w:t>
      </w:r>
      <w:r w:rsidRPr="00DA2BC8">
        <w:t xml:space="preserve"> составляет 7-10 дней. Более длительное применение системных противогрибковых препаратов приводит к появлению флуконазолрезистентных штаммов грибов.</w:t>
      </w:r>
    </w:p>
    <w:p w14:paraId="7C4CC882" w14:textId="77777777" w:rsidR="00824BFE" w:rsidRPr="0014445B" w:rsidRDefault="00824BFE" w:rsidP="00824BFE">
      <w:pPr>
        <w:ind w:right="50" w:firstLine="709"/>
        <w:contextualSpacing/>
        <w:rPr>
          <w:b/>
          <w:bCs/>
        </w:rPr>
      </w:pPr>
      <w:r w:rsidRPr="0014445B">
        <w:rPr>
          <w:b/>
          <w:bCs/>
        </w:rPr>
        <w:t>Кандидоз пищевода</w:t>
      </w:r>
    </w:p>
    <w:p w14:paraId="28B528AD" w14:textId="77777777" w:rsidR="00824BFE" w:rsidRPr="00F87280" w:rsidRDefault="00824BFE" w:rsidP="00824BFE">
      <w:pPr>
        <w:ind w:right="50" w:firstLine="709"/>
        <w:contextualSpacing/>
        <w:rPr>
          <w:i/>
          <w:iCs/>
          <w:u w:val="single"/>
        </w:rPr>
      </w:pPr>
      <w:r w:rsidRPr="00F87280">
        <w:rPr>
          <w:i/>
          <w:iCs/>
          <w:u w:val="single"/>
        </w:rPr>
        <w:t>Возбудители</w:t>
      </w:r>
    </w:p>
    <w:p w14:paraId="48E63BA8" w14:textId="77777777" w:rsidR="00824BFE" w:rsidRPr="00DA2BC8" w:rsidRDefault="00824BFE" w:rsidP="00824BFE">
      <w:pPr>
        <w:ind w:right="50" w:firstLine="709"/>
        <w:contextualSpacing/>
      </w:pPr>
      <w:r w:rsidRPr="00DA2BC8">
        <w:t xml:space="preserve">Среди возбудителей преобладают </w:t>
      </w:r>
      <w:r w:rsidRPr="00DA2BC8">
        <w:rPr>
          <w:i/>
          <w:iCs/>
        </w:rPr>
        <w:t>C. albicans.</w:t>
      </w:r>
    </w:p>
    <w:p w14:paraId="438B6875" w14:textId="77777777" w:rsidR="00824BFE" w:rsidRPr="00DA2BC8" w:rsidRDefault="00824BFE" w:rsidP="00824BFE">
      <w:pPr>
        <w:ind w:right="50" w:firstLine="709"/>
        <w:contextualSpacing/>
      </w:pPr>
      <w:r w:rsidRPr="00F87280">
        <w:rPr>
          <w:i/>
          <w:iCs/>
          <w:u w:val="single"/>
        </w:rPr>
        <w:t>Факторы риска</w:t>
      </w:r>
      <w:r w:rsidRPr="00DA2BC8">
        <w:t xml:space="preserve"> те же, что при орофарингеальном кандидозе.</w:t>
      </w:r>
    </w:p>
    <w:p w14:paraId="563334D5" w14:textId="77777777" w:rsidR="00824BFE" w:rsidRPr="00F87280" w:rsidRDefault="00824BFE" w:rsidP="00824BFE">
      <w:pPr>
        <w:ind w:right="50" w:firstLine="709"/>
        <w:contextualSpacing/>
        <w:rPr>
          <w:i/>
          <w:iCs/>
          <w:u w:val="single"/>
        </w:rPr>
      </w:pPr>
      <w:r w:rsidRPr="00F87280">
        <w:rPr>
          <w:i/>
          <w:iCs/>
          <w:u w:val="single"/>
        </w:rPr>
        <w:t>Симптомы инфекции</w:t>
      </w:r>
    </w:p>
    <w:p w14:paraId="057EB18A" w14:textId="77777777" w:rsidR="00824BFE" w:rsidRPr="00DA2BC8" w:rsidRDefault="00824BFE" w:rsidP="00824BFE">
      <w:pPr>
        <w:ind w:right="50" w:firstLine="709"/>
        <w:contextualSpacing/>
      </w:pPr>
      <w:r w:rsidRPr="00DA2BC8">
        <w:t>Клинические проявления кандидозного эзофагита — боль по ходу пищевода при глотании, боль или дискомфорт за грудиной в покое. Преобладает поражение дистального отдела пищевода.</w:t>
      </w:r>
    </w:p>
    <w:p w14:paraId="686DACA9" w14:textId="77777777" w:rsidR="00824BFE" w:rsidRPr="00F87280" w:rsidRDefault="00824BFE" w:rsidP="00824BFE">
      <w:pPr>
        <w:ind w:right="50" w:firstLine="709"/>
        <w:contextualSpacing/>
        <w:rPr>
          <w:i/>
          <w:iCs/>
        </w:rPr>
      </w:pPr>
      <w:r w:rsidRPr="00F87280">
        <w:rPr>
          <w:i/>
          <w:iCs/>
          <w:u w:val="single"/>
        </w:rPr>
        <w:t>Диагностика</w:t>
      </w:r>
    </w:p>
    <w:p w14:paraId="5285ABB5" w14:textId="77777777" w:rsidR="00824BFE" w:rsidRPr="00DA2BC8" w:rsidRDefault="00824BFE" w:rsidP="00824BFE">
      <w:pPr>
        <w:ind w:right="50" w:firstLine="709"/>
        <w:contextualSpacing/>
      </w:pPr>
      <w:r w:rsidRPr="00DA2BC8">
        <w:t>Проводят эзофагоскопию, при которой выявляют гиперемию или фибриновые налеты на слизистой оболочке пищевода. С измененной слизистой оболочки пищевода берут соскоб браш-методом (при гранулоцитопении и тромбоцитопении) или биоптат (если тромбоцитов в гемограмме более 50,0×10</w:t>
      </w:r>
      <w:r w:rsidRPr="00DA2BC8">
        <w:rPr>
          <w:vertAlign w:val="superscript"/>
        </w:rPr>
        <w:t>9</w:t>
      </w:r>
      <w:r w:rsidRPr="00DA2BC8">
        <w:t xml:space="preserve">/л) для микробиологического исследования. При выделении </w:t>
      </w:r>
      <w:r w:rsidRPr="00DA2BC8">
        <w:rPr>
          <w:i/>
          <w:iCs/>
        </w:rPr>
        <w:t>Candida</w:t>
      </w:r>
      <w:r w:rsidRPr="00DA2BC8">
        <w:t xml:space="preserve"> spp. проводят идентификацию до вида и определение чувствительности. Биоптат пищевода исследуют в лаборатории микробиологии (микроскопия и </w:t>
      </w:r>
      <w:r>
        <w:t>культуральное исследование/</w:t>
      </w:r>
      <w:r w:rsidRPr="00DA2BC8">
        <w:t>посев), вирусологии (</w:t>
      </w:r>
      <w:r>
        <w:t>молекулярно-биологическое определение</w:t>
      </w:r>
      <w:r w:rsidRPr="00DA2BC8">
        <w:t xml:space="preserve"> ДНК герпес-вирусов методом ПЦР) и гистологии</w:t>
      </w:r>
      <w:r>
        <w:t xml:space="preserve"> (гистологическое исследование биоптата)</w:t>
      </w:r>
      <w:r w:rsidRPr="00DA2BC8">
        <w:t>.</w:t>
      </w:r>
    </w:p>
    <w:p w14:paraId="6D191033" w14:textId="77777777" w:rsidR="00824BFE" w:rsidRPr="00F87280" w:rsidRDefault="00824BFE" w:rsidP="00824BFE">
      <w:pPr>
        <w:ind w:right="50" w:firstLine="709"/>
        <w:contextualSpacing/>
        <w:rPr>
          <w:i/>
          <w:iCs/>
          <w:u w:val="single"/>
        </w:rPr>
      </w:pPr>
      <w:r w:rsidRPr="00F87280">
        <w:rPr>
          <w:i/>
          <w:iCs/>
          <w:u w:val="single"/>
        </w:rPr>
        <w:t>Показания к назначению противогрибковых препаратов</w:t>
      </w:r>
    </w:p>
    <w:p w14:paraId="758F5F5F" w14:textId="77777777" w:rsidR="00824BFE" w:rsidRPr="00DA2BC8" w:rsidRDefault="00824BFE" w:rsidP="00824BFE">
      <w:pPr>
        <w:ind w:right="50" w:firstLine="709"/>
        <w:contextualSpacing/>
      </w:pPr>
      <w:r w:rsidRPr="00DA2BC8">
        <w:lastRenderedPageBreak/>
        <w:t xml:space="preserve">Наличие симптомов эзофагита и выделение дрожжевых грибов со слизистой оболочки пищевода при эзофагоскопии. Если невозможно провести эзофагоскопию, то противогрибковые препараты назначают на основании клинических проявлений эзофагита. </w:t>
      </w:r>
    </w:p>
    <w:p w14:paraId="184AC09E" w14:textId="77777777" w:rsidR="00824BFE" w:rsidRPr="00F87280" w:rsidRDefault="00824BFE" w:rsidP="00824BFE">
      <w:pPr>
        <w:ind w:right="50" w:firstLine="709"/>
        <w:contextualSpacing/>
        <w:rPr>
          <w:i/>
          <w:iCs/>
          <w:u w:val="single"/>
        </w:rPr>
      </w:pPr>
      <w:r w:rsidRPr="00F87280">
        <w:rPr>
          <w:i/>
          <w:iCs/>
          <w:u w:val="single"/>
        </w:rPr>
        <w:t>Лечение</w:t>
      </w:r>
    </w:p>
    <w:p w14:paraId="06CC1FAE" w14:textId="77777777" w:rsidR="00824BFE" w:rsidRPr="00DA2BC8" w:rsidRDefault="00824BFE" w:rsidP="00824BFE">
      <w:pPr>
        <w:ind w:right="50" w:firstLine="709"/>
        <w:contextualSpacing/>
      </w:pPr>
      <w:r w:rsidRPr="00DA2BC8">
        <w:t>Во всех случаях назначают системные противогрибковые препараты. Препараты, обладающие местным действием, для лечения не используют. По возможности сокращают число используемых антибиотиков или отменяют их.</w:t>
      </w:r>
    </w:p>
    <w:p w14:paraId="5FE8051D" w14:textId="77777777" w:rsidR="00824BFE" w:rsidRPr="00DA2BC8" w:rsidRDefault="00824BFE" w:rsidP="00824BFE">
      <w:pPr>
        <w:ind w:right="50" w:firstLine="709"/>
        <w:contextualSpacing/>
      </w:pPr>
      <w:r w:rsidRPr="00DA2BC8">
        <w:rPr>
          <w:bCs/>
        </w:rPr>
        <w:t xml:space="preserve">Препарат выбора (исключение </w:t>
      </w:r>
      <w:r w:rsidRPr="00DA2BC8">
        <w:rPr>
          <w:bCs/>
          <w:i/>
          <w:iCs/>
        </w:rPr>
        <w:t>C. krusei</w:t>
      </w:r>
      <w:r w:rsidRPr="00DA2BC8">
        <w:rPr>
          <w:bCs/>
        </w:rPr>
        <w:t xml:space="preserve"> или </w:t>
      </w:r>
      <w:r w:rsidRPr="00DA2BC8">
        <w:rPr>
          <w:bCs/>
          <w:i/>
          <w:iCs/>
        </w:rPr>
        <w:t>C. glabrata</w:t>
      </w:r>
      <w:r w:rsidRPr="00DA2BC8">
        <w:rPr>
          <w:bCs/>
        </w:rPr>
        <w:t>)</w:t>
      </w:r>
      <w:r w:rsidRPr="00DA2BC8">
        <w:t xml:space="preserve"> — флуконазол, по 400 мг 1 раз в сутки внутрь или внутривенно. </w:t>
      </w:r>
      <w:r w:rsidRPr="00DA2BC8">
        <w:rPr>
          <w:bCs/>
        </w:rPr>
        <w:t>Альтернативные препараты</w:t>
      </w:r>
      <w:r w:rsidRPr="00DA2BC8">
        <w:t xml:space="preserve"> - каспофунгин по 50 мг внутривенно 1 раз в сутки, в 1-й день 70 мг; микафунгин по 100 мг внутривенно 1 раз в сутки; анидулафунгин по 100 мг внутривенно 1 раз в сутки, в 1-й день 200 мг; вориконазол по 3 мг/кг внутривенно 2 раза в сутки, в 1-й день по 6 мг/кг 2 раза в сутки или по 200 мг внутрь 2 раза в сутки; итраконазол (суспензия) по 200 мг 2 раза в сутки внутрь (натощак); позаконазол (суспензия) по 400 мг 2 раза в сутки (после приема пищи); амфотерицин В по 0,5-0,7 мг/кг внутривенно 1 раз в сутки. </w:t>
      </w:r>
      <w:r w:rsidRPr="00DA2BC8">
        <w:rPr>
          <w:bCs/>
        </w:rPr>
        <w:t>При неэффективности флуконазола</w:t>
      </w:r>
      <w:r w:rsidRPr="00DA2BC8">
        <w:t xml:space="preserve"> выбор препарата проводят на основании видовой идентификации </w:t>
      </w:r>
      <w:r w:rsidRPr="00DA2BC8">
        <w:rPr>
          <w:i/>
          <w:iCs/>
        </w:rPr>
        <w:t>Candida</w:t>
      </w:r>
      <w:r w:rsidRPr="00DA2BC8">
        <w:t xml:space="preserve"> spp. и определения чувствительности. Препарат выбора при эзофагите, вызванном </w:t>
      </w:r>
      <w:r w:rsidRPr="00DA2BC8">
        <w:rPr>
          <w:i/>
        </w:rPr>
        <w:t>C. krusei</w:t>
      </w:r>
      <w:r w:rsidRPr="00DA2BC8">
        <w:t xml:space="preserve"> или </w:t>
      </w:r>
      <w:r w:rsidRPr="00DA2BC8">
        <w:rPr>
          <w:i/>
        </w:rPr>
        <w:t>C. glabrata</w:t>
      </w:r>
      <w:r w:rsidRPr="00DA2BC8">
        <w:t xml:space="preserve"> – эхинокандин (каспофунгин или микафунгин или анидулафунгин). Не проводят замену флуконазола на азолы (итраконазол или вориконазол, или позаконазол) ввиду перекрестной резистентности. Допустима замена флуконазола на вориконазол при выделении </w:t>
      </w:r>
      <w:r w:rsidRPr="00DA2BC8">
        <w:rPr>
          <w:i/>
          <w:iCs/>
        </w:rPr>
        <w:t>C. krusei.</w:t>
      </w:r>
      <w:r w:rsidRPr="00DA2BC8">
        <w:t xml:space="preserve"> </w:t>
      </w:r>
      <w:r w:rsidRPr="00DA2BC8">
        <w:rPr>
          <w:bCs/>
        </w:rPr>
        <w:t xml:space="preserve">Длительность лечения </w:t>
      </w:r>
      <w:r w:rsidRPr="00DA2BC8">
        <w:t>составляет 14-21 день.</w:t>
      </w:r>
    </w:p>
    <w:p w14:paraId="63191E7F" w14:textId="77777777" w:rsidR="00824BFE" w:rsidRPr="0014445B" w:rsidRDefault="00824BFE" w:rsidP="00824BFE">
      <w:pPr>
        <w:ind w:right="50" w:firstLine="709"/>
        <w:contextualSpacing/>
        <w:rPr>
          <w:b/>
          <w:bCs/>
        </w:rPr>
      </w:pPr>
      <w:r w:rsidRPr="0014445B">
        <w:rPr>
          <w:b/>
          <w:bCs/>
        </w:rPr>
        <w:t>Инвазивный кандидоз</w:t>
      </w:r>
    </w:p>
    <w:p w14:paraId="55B3DCBB" w14:textId="77777777" w:rsidR="00824BFE" w:rsidRPr="00DA2BC8" w:rsidRDefault="00824BFE" w:rsidP="00824BFE">
      <w:pPr>
        <w:ind w:right="50" w:firstLine="709"/>
        <w:contextualSpacing/>
      </w:pPr>
      <w:r w:rsidRPr="00DA2BC8">
        <w:rPr>
          <w:bCs/>
        </w:rPr>
        <w:t xml:space="preserve">Наличие симптомов инфекции и выделение  </w:t>
      </w:r>
      <w:r w:rsidRPr="00DA2BC8">
        <w:rPr>
          <w:bCs/>
          <w:i/>
        </w:rPr>
        <w:t>Candida</w:t>
      </w:r>
      <w:r w:rsidRPr="00DA2BC8">
        <w:rPr>
          <w:bCs/>
        </w:rPr>
        <w:t xml:space="preserve"> spp из стерильных в норме образцов (</w:t>
      </w:r>
      <w:r w:rsidRPr="00DA2BC8">
        <w:t xml:space="preserve">кровь, биоптаты органов и тканей, аспираты). Наиболее частым проявлениям является кандидемия. При кандидемии у больных с нейтропенией может развиться острый диссеминированный кандидоз в результате диссеминации кандид, септический шок, полиорганная недостаточность, смерть. Выделение </w:t>
      </w:r>
      <w:r w:rsidRPr="00DA2BC8">
        <w:rPr>
          <w:i/>
          <w:iCs/>
        </w:rPr>
        <w:t>Candida</w:t>
      </w:r>
      <w:r w:rsidRPr="00DA2BC8">
        <w:t xml:space="preserve"> spp. со слизистых оболочек, включая биоптаты слизистых, из мокроты, из жидкости БАЛ, из мочи не относят к инвазивному кандидозу. Диагноз кандидозной пневмонии не устанавливают на основании выделения </w:t>
      </w:r>
      <w:r w:rsidRPr="00DA2BC8">
        <w:rPr>
          <w:i/>
          <w:iCs/>
        </w:rPr>
        <w:t>Candida</w:t>
      </w:r>
      <w:r w:rsidRPr="00DA2BC8">
        <w:t xml:space="preserve"> spp. из мокроты или жидкости БАЛ, независимо от их количественного содержания в этих образцах. Выделение </w:t>
      </w:r>
      <w:r w:rsidRPr="00DA2BC8">
        <w:rPr>
          <w:i/>
          <w:iCs/>
        </w:rPr>
        <w:t>Candida</w:t>
      </w:r>
      <w:r w:rsidRPr="00DA2BC8">
        <w:t xml:space="preserve"> spp. из мокроты, жидкости БАЛ свидетельствует о колонизации дрожжевыми грибами слизистой оболочки дыхательных путей. Кандидозная пневмония может быть заподозрена только у больных с кандидемией.</w:t>
      </w:r>
    </w:p>
    <w:p w14:paraId="7027CFAB" w14:textId="77777777" w:rsidR="00824BFE" w:rsidRPr="00F87280" w:rsidRDefault="00824BFE" w:rsidP="00824BFE">
      <w:pPr>
        <w:ind w:right="50" w:firstLine="709"/>
        <w:contextualSpacing/>
        <w:rPr>
          <w:i/>
          <w:iCs/>
          <w:u w:val="single"/>
        </w:rPr>
      </w:pPr>
      <w:r w:rsidRPr="00F87280">
        <w:rPr>
          <w:i/>
          <w:iCs/>
          <w:u w:val="single"/>
        </w:rPr>
        <w:t>Возбудители</w:t>
      </w:r>
    </w:p>
    <w:p w14:paraId="4256B5E0" w14:textId="77777777" w:rsidR="00824BFE" w:rsidRPr="005D3BBD" w:rsidRDefault="00824BFE" w:rsidP="00824BFE">
      <w:pPr>
        <w:ind w:right="50" w:firstLine="709"/>
        <w:contextualSpacing/>
        <w:rPr>
          <w:lang w:val="en-US"/>
        </w:rPr>
      </w:pPr>
      <w:r w:rsidRPr="00DA2BC8">
        <w:lastRenderedPageBreak/>
        <w:t xml:space="preserve">Основными возбудителями являются </w:t>
      </w:r>
      <w:r w:rsidRPr="00DA2BC8">
        <w:rPr>
          <w:i/>
          <w:iCs/>
        </w:rPr>
        <w:t>C. albicans,</w:t>
      </w:r>
      <w:r w:rsidRPr="00DA2BC8">
        <w:t xml:space="preserve"> но частота их не превышает 30-40%. Возрастает</w:t>
      </w:r>
      <w:r w:rsidRPr="005D3BBD">
        <w:rPr>
          <w:lang w:val="en-US"/>
        </w:rPr>
        <w:t xml:space="preserve"> </w:t>
      </w:r>
      <w:r w:rsidRPr="00DA2BC8">
        <w:t>доля</w:t>
      </w:r>
      <w:r w:rsidRPr="005D3BBD">
        <w:rPr>
          <w:lang w:val="en-US"/>
        </w:rPr>
        <w:t xml:space="preserve"> </w:t>
      </w:r>
      <w:r w:rsidRPr="00DA2BC8">
        <w:t>выделения</w:t>
      </w:r>
      <w:r w:rsidRPr="005D3BBD">
        <w:rPr>
          <w:lang w:val="en-US"/>
        </w:rPr>
        <w:t xml:space="preserve"> </w:t>
      </w:r>
      <w:r w:rsidRPr="005D3BBD">
        <w:rPr>
          <w:i/>
          <w:iCs/>
          <w:lang w:val="en-US"/>
        </w:rPr>
        <w:t>Candida</w:t>
      </w:r>
      <w:r w:rsidRPr="005D3BBD">
        <w:rPr>
          <w:lang w:val="en-US"/>
        </w:rPr>
        <w:t xml:space="preserve"> non-</w:t>
      </w:r>
      <w:r w:rsidRPr="005D3BBD">
        <w:rPr>
          <w:i/>
          <w:iCs/>
          <w:lang w:val="en-US"/>
        </w:rPr>
        <w:t>albicans,</w:t>
      </w:r>
      <w:r w:rsidRPr="005D3BBD">
        <w:rPr>
          <w:lang w:val="en-US"/>
        </w:rPr>
        <w:t xml:space="preserve"> </w:t>
      </w:r>
      <w:r w:rsidRPr="00DA2BC8">
        <w:t>таких</w:t>
      </w:r>
      <w:r w:rsidRPr="005D3BBD">
        <w:rPr>
          <w:lang w:val="en-US"/>
        </w:rPr>
        <w:t xml:space="preserve"> </w:t>
      </w:r>
      <w:r w:rsidRPr="00DA2BC8">
        <w:t>как</w:t>
      </w:r>
      <w:r w:rsidRPr="005D3BBD">
        <w:rPr>
          <w:lang w:val="en-US"/>
        </w:rPr>
        <w:t xml:space="preserve"> </w:t>
      </w:r>
      <w:r w:rsidRPr="005D3BBD">
        <w:rPr>
          <w:i/>
          <w:iCs/>
          <w:lang w:val="en-US"/>
        </w:rPr>
        <w:t>Candida parapsilosis</w:t>
      </w:r>
      <w:r w:rsidRPr="005D3BBD">
        <w:rPr>
          <w:lang w:val="en-US"/>
        </w:rPr>
        <w:t xml:space="preserve"> (5-30%), </w:t>
      </w:r>
      <w:r w:rsidRPr="005D3BBD">
        <w:rPr>
          <w:i/>
          <w:iCs/>
          <w:lang w:val="en-US"/>
        </w:rPr>
        <w:t>Candida tropicalis</w:t>
      </w:r>
      <w:r w:rsidRPr="005D3BBD">
        <w:rPr>
          <w:lang w:val="en-US"/>
        </w:rPr>
        <w:t xml:space="preserve"> (5-10%), </w:t>
      </w:r>
      <w:r w:rsidRPr="005D3BBD">
        <w:rPr>
          <w:i/>
          <w:iCs/>
          <w:lang w:val="en-US"/>
        </w:rPr>
        <w:t>C. glabrata</w:t>
      </w:r>
      <w:r w:rsidRPr="005D3BBD">
        <w:rPr>
          <w:lang w:val="en-US"/>
        </w:rPr>
        <w:t xml:space="preserve"> (3-25%), </w:t>
      </w:r>
      <w:r w:rsidRPr="005D3BBD">
        <w:rPr>
          <w:i/>
          <w:iCs/>
          <w:lang w:val="en-US"/>
        </w:rPr>
        <w:t>C. krusei</w:t>
      </w:r>
      <w:r w:rsidRPr="005D3BBD">
        <w:rPr>
          <w:lang w:val="en-US"/>
        </w:rPr>
        <w:t xml:space="preserve"> (3-10%). </w:t>
      </w:r>
    </w:p>
    <w:p w14:paraId="138C3BCD" w14:textId="77777777" w:rsidR="00824BFE" w:rsidRPr="00F87280" w:rsidRDefault="00824BFE" w:rsidP="00824BFE">
      <w:pPr>
        <w:ind w:right="50" w:firstLine="709"/>
        <w:contextualSpacing/>
        <w:rPr>
          <w:i/>
          <w:iCs/>
          <w:u w:val="single"/>
        </w:rPr>
      </w:pPr>
      <w:r w:rsidRPr="00F87280">
        <w:rPr>
          <w:i/>
          <w:iCs/>
          <w:u w:val="single"/>
        </w:rPr>
        <w:t>Факторы риска</w:t>
      </w:r>
    </w:p>
    <w:p w14:paraId="05DEF0C2" w14:textId="77777777" w:rsidR="00824BFE" w:rsidRPr="00DA2BC8" w:rsidRDefault="00824BFE" w:rsidP="00824BFE">
      <w:pPr>
        <w:ind w:right="50" w:firstLine="709"/>
        <w:contextualSpacing/>
      </w:pPr>
      <w:r w:rsidRPr="00DA2BC8">
        <w:t>Факторами риска являются нейтропения, колонизация кандидами слизистых оболочек, применение антибиотиков широкого спектра действия, а также глюкокортикоидов, цитостатиков, иммунодепрессантов; абдоминальные операции, наличие центральных венозных катетеров, проведение полного парентерального питания, прием антацидов, Н</w:t>
      </w:r>
      <w:r w:rsidRPr="00DA2BC8">
        <w:rPr>
          <w:vertAlign w:val="subscript"/>
        </w:rPr>
        <w:t>2</w:t>
      </w:r>
      <w:r w:rsidRPr="00DA2BC8">
        <w:t>-блокаторов и иных средств, снижающих кислотность желудочного сока.</w:t>
      </w:r>
    </w:p>
    <w:p w14:paraId="54C6E850" w14:textId="77777777" w:rsidR="00824BFE" w:rsidRPr="00F87280" w:rsidRDefault="00824BFE" w:rsidP="00824BFE">
      <w:pPr>
        <w:ind w:right="50" w:firstLine="709"/>
        <w:contextualSpacing/>
        <w:rPr>
          <w:i/>
          <w:iCs/>
        </w:rPr>
      </w:pPr>
      <w:r w:rsidRPr="00F87280">
        <w:rPr>
          <w:i/>
          <w:iCs/>
          <w:u w:val="single"/>
        </w:rPr>
        <w:t>Симптомы инфекции</w:t>
      </w:r>
    </w:p>
    <w:p w14:paraId="6DCB3AD9" w14:textId="77777777" w:rsidR="00824BFE" w:rsidRPr="00DA2BC8" w:rsidRDefault="00824BFE" w:rsidP="00824BFE">
      <w:pPr>
        <w:ind w:right="50" w:firstLine="709"/>
        <w:contextualSpacing/>
      </w:pPr>
      <w:r w:rsidRPr="00DA2BC8">
        <w:t>Клинические симптомы кандидемии неспецифичны. Преобладает лихорадка, которая сохраняется или повторно возникает на фоне лечения антибиотиками широкого спектра действия. В 10-15% случаев отмечается диссеминация в дерму кожи (отсевы) в виде мелких 0,3—0,6 см папулезных образований розовато-красноватого цвета или подкожных абсцессов</w:t>
      </w:r>
      <w:r>
        <w:t>, в</w:t>
      </w:r>
      <w:r w:rsidRPr="00DA2BC8">
        <w:t xml:space="preserve"> части случаев беспокоит выраженная боль в мышца</w:t>
      </w:r>
      <w:r>
        <w:t>х</w:t>
      </w:r>
      <w:r w:rsidRPr="00DA2BC8">
        <w:t>. Диссеминация кандид происходит гематогенно в любой орган</w:t>
      </w:r>
      <w:r>
        <w:t>; у взрослых гематологических</w:t>
      </w:r>
      <w:r w:rsidRPr="00DA2BC8">
        <w:t xml:space="preserve"> </w:t>
      </w:r>
      <w:r>
        <w:t>пациентов</w:t>
      </w:r>
      <w:r w:rsidRPr="00DA2BC8">
        <w:t xml:space="preserve"> преобладает инвазия в печень и/или селезенку (гепатолиенальный кандидоз), у 9-15% возникает эндофтальмит (снижение остроты зрения вплоть до слепоты). </w:t>
      </w:r>
    </w:p>
    <w:p w14:paraId="289D855A" w14:textId="77777777" w:rsidR="00824BFE" w:rsidRPr="00F87280" w:rsidRDefault="00824BFE" w:rsidP="00824BFE">
      <w:pPr>
        <w:ind w:right="50" w:firstLine="709"/>
        <w:contextualSpacing/>
        <w:rPr>
          <w:i/>
          <w:iCs/>
        </w:rPr>
      </w:pPr>
      <w:r w:rsidRPr="00F87280">
        <w:rPr>
          <w:i/>
          <w:iCs/>
          <w:u w:val="single"/>
        </w:rPr>
        <w:t>Диагностика</w:t>
      </w:r>
    </w:p>
    <w:p w14:paraId="3E11A48A" w14:textId="77777777" w:rsidR="00824BFE" w:rsidRPr="00DA2BC8" w:rsidRDefault="00824BFE" w:rsidP="00824BFE">
      <w:pPr>
        <w:ind w:right="50" w:firstLine="709"/>
        <w:contextualSpacing/>
      </w:pPr>
      <w:r w:rsidRPr="00DA2BC8">
        <w:t xml:space="preserve">Диагноз инвазивного кандидоза ставят на основании выделения грибов из стерильных в норме образцов при микроскопии (прямая микроскопия, цитология или гистология) или в культуре (посев). К стерильным образцам относят кровь, биоптаты органов и тканей, аспираты. При подозрении на кандидемию кровь для микробиолгического исследования берут в 4 флакона для гемокультур, при необходимости исследование повторяют. При выделении </w:t>
      </w:r>
      <w:r w:rsidRPr="00DA2BC8">
        <w:rPr>
          <w:i/>
          <w:iCs/>
        </w:rPr>
        <w:t>Candida</w:t>
      </w:r>
      <w:r w:rsidRPr="00DA2BC8">
        <w:t xml:space="preserve"> spp. из гемокультуры проводят ежедневно дополнительные посевы крови до получения двух отрицательных результатов подряд; для исключения диссеминации - офтальмоскопию с расширением зрачка (консультация офтальмолога), а также ультразвуковое исследование (УЗИ) или компьютерную томографию</w:t>
      </w:r>
      <w:r>
        <w:t>/спиральную компьютерную томографию</w:t>
      </w:r>
      <w:r w:rsidRPr="00DA2BC8">
        <w:t xml:space="preserve"> (КТ</w:t>
      </w:r>
      <w:r>
        <w:t>/СКТ</w:t>
      </w:r>
      <w:r w:rsidRPr="00DA2BC8">
        <w:t>) с контрастированием, или магнитно-резонансную томографию (МРТ) органов брюшной полости. Инструментальные исследования повторяют при восстановлении гранулоцитов (&gt;0,5×10</w:t>
      </w:r>
      <w:r w:rsidRPr="00DA2BC8">
        <w:rPr>
          <w:vertAlign w:val="superscript"/>
        </w:rPr>
        <w:t>9</w:t>
      </w:r>
      <w:r w:rsidRPr="00DA2BC8">
        <w:t xml:space="preserve">/л). Все штаммы </w:t>
      </w:r>
      <w:r w:rsidRPr="00DA2BC8">
        <w:rPr>
          <w:i/>
          <w:iCs/>
        </w:rPr>
        <w:t>Candida</w:t>
      </w:r>
      <w:r w:rsidRPr="00DA2BC8">
        <w:t xml:space="preserve"> spp., выделенные из стерильных в норме образцов, идентифицируют до вида и исследуют чувствительность к противогрибковым препаратам. </w:t>
      </w:r>
      <w:r w:rsidRPr="00DA2BC8">
        <w:lastRenderedPageBreak/>
        <w:t>На фоне лечения инвазивного кандидоза противогрибковыми препаратами может изменяться чувствительность (возможно формирование приобретенной резистентности) и вид возбудителя.</w:t>
      </w:r>
    </w:p>
    <w:p w14:paraId="45E2099D" w14:textId="77777777" w:rsidR="00824BFE" w:rsidRPr="00DA2BC8" w:rsidRDefault="00824BFE" w:rsidP="00824BFE">
      <w:pPr>
        <w:ind w:right="50" w:firstLine="709"/>
        <w:contextualSpacing/>
      </w:pPr>
      <w:r w:rsidRPr="00DA2BC8">
        <w:t xml:space="preserve">Серологическими маркерами инвазивного кандидоза являются антиген </w:t>
      </w:r>
      <w:r w:rsidRPr="00DA2BC8">
        <w:rPr>
          <w:i/>
          <w:iCs/>
        </w:rPr>
        <w:t>Candida</w:t>
      </w:r>
      <w:r w:rsidRPr="00DA2BC8">
        <w:t xml:space="preserve"> (маннан) и антитела к </w:t>
      </w:r>
      <w:r w:rsidRPr="00DA2BC8">
        <w:rPr>
          <w:i/>
          <w:iCs/>
        </w:rPr>
        <w:t>Candida</w:t>
      </w:r>
      <w:r w:rsidRPr="00DA2BC8">
        <w:t xml:space="preserve"> (антиманнан). Чувствительность тестов выше, если определяют оба показателя одновременно и неоднократно. Для теста характерным является высокое отрицательное прогностическое значение. При гепатолиенальном кандидозе чувствительность серологических маркеров определяется выше. Тест не включен в критерии диагностики инвазивного кандидоза. </w:t>
      </w:r>
    </w:p>
    <w:p w14:paraId="0B97B0D1" w14:textId="77777777" w:rsidR="00824BFE" w:rsidRPr="00DA2BC8" w:rsidRDefault="00824BFE" w:rsidP="00824BFE">
      <w:pPr>
        <w:ind w:right="50" w:firstLine="709"/>
        <w:contextualSpacing/>
      </w:pPr>
      <w:r w:rsidRPr="00DA2BC8">
        <w:t xml:space="preserve">На основании положительных результатов определения серологических маркеров у </w:t>
      </w:r>
      <w:r>
        <w:t>пациента</w:t>
      </w:r>
      <w:r w:rsidRPr="00DA2BC8">
        <w:t xml:space="preserve"> можно лишь предполагать наличие инвазивного кандидоза. В клинической практике определение антигена (маннан) и антител (антиманнан) может быть существенным подспорьем для назначения современных противогрибковых препаратов больным с фебрильной нейтропенией.</w:t>
      </w:r>
    </w:p>
    <w:p w14:paraId="5567012A" w14:textId="77777777" w:rsidR="00824BFE" w:rsidRPr="00DA2BC8" w:rsidRDefault="00824BFE" w:rsidP="00824BFE">
      <w:pPr>
        <w:ind w:right="50" w:firstLine="709"/>
        <w:contextualSpacing/>
      </w:pPr>
      <w:r w:rsidRPr="00DA2BC8">
        <w:t xml:space="preserve">К диссеминированному кандидозу относят те случаи, когда в течение 2 недель после выделения </w:t>
      </w:r>
      <w:r w:rsidRPr="00DA2BC8">
        <w:rPr>
          <w:i/>
          <w:iCs/>
        </w:rPr>
        <w:t xml:space="preserve">Candida </w:t>
      </w:r>
      <w:r w:rsidRPr="00DA2BC8">
        <w:t xml:space="preserve">spp. из гемокультуры выявляют очаги в печени и/или селезенке либо экссудат в сетчатке при офтальмоскопии. Различают острый и хронический диссеминированный кандидоз. При остром диссеминированном кандидозе имеется непосредственная связь обнаруженных признаков с кандидозным сепсисом, а при хроническом диссеминированном кандидозе этой связи нет. </w:t>
      </w:r>
    </w:p>
    <w:p w14:paraId="6BA48DC9" w14:textId="77777777" w:rsidR="00824BFE" w:rsidRPr="00F87280" w:rsidRDefault="00824BFE" w:rsidP="00824BFE">
      <w:pPr>
        <w:ind w:right="50" w:firstLine="709"/>
        <w:contextualSpacing/>
        <w:rPr>
          <w:bCs/>
          <w:i/>
          <w:iCs/>
          <w:u w:val="single"/>
        </w:rPr>
      </w:pPr>
      <w:r w:rsidRPr="00F87280">
        <w:rPr>
          <w:bCs/>
          <w:i/>
          <w:iCs/>
          <w:u w:val="single"/>
        </w:rPr>
        <w:t>Лечение</w:t>
      </w:r>
    </w:p>
    <w:p w14:paraId="22E03695" w14:textId="77777777" w:rsidR="00824BFE" w:rsidRDefault="00824BFE" w:rsidP="00824BFE">
      <w:pPr>
        <w:ind w:right="50" w:firstLine="709"/>
        <w:contextualSpacing/>
        <w:rPr>
          <w:bCs/>
        </w:rPr>
      </w:pPr>
      <w:r w:rsidRPr="00DA2BC8">
        <w:rPr>
          <w:bCs/>
        </w:rPr>
        <w:t>Основными принципами лечения кандидемии (инвазивного кандидоза) являются</w:t>
      </w:r>
      <w:r>
        <w:rPr>
          <w:bCs/>
        </w:rPr>
        <w:t>:</w:t>
      </w:r>
    </w:p>
    <w:p w14:paraId="0E9AAE99" w14:textId="77777777" w:rsidR="00824BFE" w:rsidRDefault="00824BFE" w:rsidP="00C5490F">
      <w:pPr>
        <w:pStyle w:val="afe"/>
        <w:widowControl w:val="0"/>
        <w:numPr>
          <w:ilvl w:val="0"/>
          <w:numId w:val="97"/>
        </w:numPr>
        <w:autoSpaceDE w:val="0"/>
        <w:autoSpaceDN w:val="0"/>
        <w:adjustRightInd w:val="0"/>
        <w:ind w:right="50"/>
        <w:rPr>
          <w:bCs/>
        </w:rPr>
      </w:pPr>
      <w:r w:rsidRPr="007531B6">
        <w:t>назначение эффективного противогрибкового препарата;</w:t>
      </w:r>
      <w:r w:rsidRPr="007531B6">
        <w:rPr>
          <w:bCs/>
        </w:rPr>
        <w:t xml:space="preserve"> </w:t>
      </w:r>
    </w:p>
    <w:p w14:paraId="5F28ED76" w14:textId="77777777" w:rsidR="00824BFE" w:rsidRDefault="00824BFE" w:rsidP="00C5490F">
      <w:pPr>
        <w:pStyle w:val="afe"/>
        <w:widowControl w:val="0"/>
        <w:numPr>
          <w:ilvl w:val="0"/>
          <w:numId w:val="97"/>
        </w:numPr>
        <w:autoSpaceDE w:val="0"/>
        <w:autoSpaceDN w:val="0"/>
        <w:adjustRightInd w:val="0"/>
        <w:ind w:right="50"/>
        <w:rPr>
          <w:bCs/>
        </w:rPr>
      </w:pPr>
      <w:r w:rsidRPr="007531B6">
        <w:t>удаление сосудистого катетера;</w:t>
      </w:r>
      <w:r w:rsidRPr="007531B6">
        <w:rPr>
          <w:bCs/>
        </w:rPr>
        <w:t xml:space="preserve"> </w:t>
      </w:r>
    </w:p>
    <w:p w14:paraId="402AA574" w14:textId="77777777" w:rsidR="00824BFE" w:rsidRPr="007531B6" w:rsidRDefault="00824BFE" w:rsidP="00C5490F">
      <w:pPr>
        <w:pStyle w:val="afe"/>
        <w:widowControl w:val="0"/>
        <w:numPr>
          <w:ilvl w:val="0"/>
          <w:numId w:val="97"/>
        </w:numPr>
        <w:autoSpaceDE w:val="0"/>
        <w:autoSpaceDN w:val="0"/>
        <w:adjustRightInd w:val="0"/>
        <w:ind w:right="50"/>
        <w:rPr>
          <w:bCs/>
        </w:rPr>
      </w:pPr>
      <w:r w:rsidRPr="007531B6">
        <w:t xml:space="preserve">устранение или уменьшение факторов риска, приведших к развитию кандидемии. </w:t>
      </w:r>
    </w:p>
    <w:p w14:paraId="3F1A27F6" w14:textId="77777777" w:rsidR="00824BFE" w:rsidRPr="00DA2BC8" w:rsidRDefault="00824BFE" w:rsidP="00824BFE">
      <w:pPr>
        <w:ind w:right="50" w:firstLine="709"/>
        <w:contextualSpacing/>
      </w:pPr>
      <w:r w:rsidRPr="00DA2BC8">
        <w:t xml:space="preserve">Препараты выбора для лечения инвазивного кандидоза (кандидемии) – эхинокандины, которые в отличие от азолов оказывают фунгицидное действие на кандиды. Замена эхинокандинов на флуконазол возможна только при выделении флуконазолчувствительных </w:t>
      </w:r>
      <w:r w:rsidRPr="00DA2BC8">
        <w:rPr>
          <w:i/>
          <w:iCs/>
        </w:rPr>
        <w:t xml:space="preserve">Candida </w:t>
      </w:r>
      <w:r w:rsidRPr="00DA2BC8">
        <w:t xml:space="preserve">spp. и стабильном состоянии пациента. </w:t>
      </w:r>
      <w:r w:rsidRPr="00DA2BC8">
        <w:rPr>
          <w:bCs/>
        </w:rPr>
        <w:t xml:space="preserve">Из группы эхинокандинов назначают один из препаратов – </w:t>
      </w:r>
      <w:r w:rsidRPr="00DA2BC8">
        <w:t xml:space="preserve">каспофунгин (в 1-й день 70 мг, далее по 50 мг внутривенно 1 раз в сутки); микафунгин (по 100 мг внутривенно 1 раз в сутки); анидулафунгин (в 1-й день 200 мг, далее по 100 мг внутривенно 1 раз в сутки). </w:t>
      </w:r>
      <w:r w:rsidRPr="00DA2BC8">
        <w:rPr>
          <w:iCs/>
        </w:rPr>
        <w:t xml:space="preserve">Эхинокандины – это единственные препараты, применение которых при инвазивном кандидозе привело к достоверно значимому увеличению числа излечений и к снижению </w:t>
      </w:r>
      <w:r w:rsidRPr="00DA2BC8">
        <w:rPr>
          <w:iCs/>
        </w:rPr>
        <w:lastRenderedPageBreak/>
        <w:t>летальности в сравнении с другими антимикотиками (азолами, липи</w:t>
      </w:r>
      <w:r>
        <w:rPr>
          <w:iCs/>
        </w:rPr>
        <w:t>дными формами амфотерицина В)</w:t>
      </w:r>
      <w:r w:rsidRPr="00DA2BC8">
        <w:rPr>
          <w:iCs/>
        </w:rPr>
        <w:t>. Не используют сочетание противогрибковых препаратов в 1-й линии терапии кандидемии (инвазивного кандидоза)</w:t>
      </w:r>
      <w:r w:rsidRPr="00DA2BC8">
        <w:t xml:space="preserve">. Альтернативные препараты для лечения инвазивного кандидоза - вориконазол ( в 1-й день по 6 мг/кг внутривенно 2 раза в сутки, в последующие дни по 3 мг/кг внутривенно 2 раза в сутки или по 200 мг внутрь 2 раза в сутки); амфотерицин В (0,7-1,0 мг/кг внутривенно 1 раз в сутки). </w:t>
      </w:r>
      <w:r w:rsidRPr="00DA2BC8">
        <w:rPr>
          <w:iCs/>
        </w:rPr>
        <w:t>Амфотерицин В назначают только при отсутствии других опций для лечения ввиду его высокой токсичности и низкой эффективности.</w:t>
      </w:r>
      <w:r w:rsidRPr="00DA2BC8">
        <w:t xml:space="preserve"> Флуконазол в качестве препарата 1-й линии не используют у больных с гематологическими заболеваниями. </w:t>
      </w:r>
      <w:r w:rsidRPr="00DA2BC8">
        <w:rPr>
          <w:iCs/>
        </w:rPr>
        <w:t>При сочетании</w:t>
      </w:r>
      <w:r w:rsidRPr="00DA2BC8">
        <w:rPr>
          <w:i/>
          <w:iCs/>
        </w:rPr>
        <w:t xml:space="preserve"> </w:t>
      </w:r>
      <w:r w:rsidRPr="00DA2BC8">
        <w:rPr>
          <w:iCs/>
        </w:rPr>
        <w:t>кандидемии и инвазивного аспергиллеза</w:t>
      </w:r>
      <w:r w:rsidRPr="00DA2BC8">
        <w:rPr>
          <w:i/>
          <w:iCs/>
        </w:rPr>
        <w:t xml:space="preserve"> </w:t>
      </w:r>
      <w:r w:rsidRPr="00DA2BC8">
        <w:rPr>
          <w:iCs/>
        </w:rPr>
        <w:t>назначают вориконазол</w:t>
      </w:r>
      <w:r w:rsidRPr="00DA2BC8">
        <w:t xml:space="preserve"> (в 1-й день по 6 мг/кг внутривенно 2 раза в сутки, в последующие дни по 3 мг/кг внутривенно 2 раза в сутки или по 200 мг 2 раза в сутки внутрь) или липидную форму амфотерицина В (5 мг/кг, внутривенно, 1 раз в сутки). </w:t>
      </w:r>
    </w:p>
    <w:p w14:paraId="697BD385" w14:textId="02A72151" w:rsidR="00824BFE" w:rsidRPr="00DA2BC8" w:rsidRDefault="00824BFE" w:rsidP="00824BFE">
      <w:pPr>
        <w:ind w:right="50" w:firstLine="709"/>
        <w:contextualSpacing/>
        <w:rPr>
          <w:b/>
          <w:bCs/>
        </w:rPr>
      </w:pPr>
      <w:r w:rsidRPr="00DA2BC8">
        <w:t xml:space="preserve">Для штаммов </w:t>
      </w:r>
      <w:r w:rsidRPr="00DA2BC8">
        <w:rPr>
          <w:i/>
          <w:iCs/>
        </w:rPr>
        <w:t xml:space="preserve">Candida </w:t>
      </w:r>
      <w:r w:rsidRPr="00DA2BC8">
        <w:rPr>
          <w:iCs/>
        </w:rPr>
        <w:t xml:space="preserve">spp. характерным является высокая способность к формированию биопленок, которая составляет 50% и преобладает у </w:t>
      </w:r>
      <w:r w:rsidRPr="00DA2BC8">
        <w:rPr>
          <w:i/>
          <w:iCs/>
        </w:rPr>
        <w:t>C. tropicalis</w:t>
      </w:r>
      <w:r w:rsidRPr="00DA2BC8">
        <w:rPr>
          <w:iCs/>
        </w:rPr>
        <w:t xml:space="preserve"> и </w:t>
      </w:r>
      <w:r w:rsidRPr="00DA2BC8">
        <w:rPr>
          <w:i/>
          <w:iCs/>
        </w:rPr>
        <w:t>C. krusei</w:t>
      </w:r>
      <w:r w:rsidRPr="00DA2BC8">
        <w:rPr>
          <w:iCs/>
        </w:rPr>
        <w:t xml:space="preserve"> (80%)</w:t>
      </w:r>
      <w:r>
        <w:rPr>
          <w:iCs/>
        </w:rPr>
        <w:t xml:space="preserve"> </w:t>
      </w:r>
      <w:r>
        <w:rPr>
          <w:iCs/>
        </w:rPr>
        <w:fldChar w:fldCharType="begin" w:fldLock="1"/>
      </w:r>
      <w:r w:rsidR="00531C4D">
        <w:rPr>
          <w:iCs/>
        </w:rPr>
        <w:instrText>ADDIN CSL_CITATION {"citationItems":[{"id":"ITEM-1","itemData":{"author":[{"dropping-particle":"","family":"Мальчикова","given":"А.О.","non-dropping-particle":"","parse-names":false,"suffix":""},{"dropping-particle":"","family":"Клясова","given":"Г.А.","non-dropping-particle":"","parse-names":false,"suffix":""}],"container-title":"Клиническая микробиология и антимикробная химиотерапия","id":"ITEM-1","issue":"2","issued":{"date-parts":[["2018"]]},"page":"126-130","title":"Формирование биопленок у изолятов Candida spp, выделенных из гемокультуры от больных с опухолями системы крови","type":"article-journal","volume":"20"},"uris":["http://www.mendeley.com/documents/?uuid=14b71eb8-c05c-48f8-844b-d37bf0031d16"]}],"mendeley":{"formattedCitation":"[82]","plainTextFormattedCitation":"[82]","previouslyFormattedCitation":"[82]"},"properties":{"noteIndex":0},"schema":"https://github.com/citation-style-language/schema/raw/master/csl-citation.json"}</w:instrText>
      </w:r>
      <w:r>
        <w:rPr>
          <w:iCs/>
        </w:rPr>
        <w:fldChar w:fldCharType="separate"/>
      </w:r>
      <w:r w:rsidRPr="00824BFE">
        <w:rPr>
          <w:iCs/>
          <w:noProof/>
        </w:rPr>
        <w:t>[82]</w:t>
      </w:r>
      <w:r>
        <w:rPr>
          <w:iCs/>
        </w:rPr>
        <w:fldChar w:fldCharType="end"/>
      </w:r>
      <w:r w:rsidRPr="00DA2BC8">
        <w:rPr>
          <w:iCs/>
        </w:rPr>
        <w:t xml:space="preserve">. Удаление центрального венозного катетера (ЦВК) является обязательным у больных вне гранулоцитопении и в случаях повторного выделения </w:t>
      </w:r>
      <w:r w:rsidRPr="00DA2BC8">
        <w:rPr>
          <w:i/>
          <w:iCs/>
        </w:rPr>
        <w:t xml:space="preserve">Candida </w:t>
      </w:r>
      <w:r w:rsidRPr="00DA2BC8">
        <w:rPr>
          <w:iCs/>
        </w:rPr>
        <w:t xml:space="preserve">spp. из гемокультуры на фоне терапиии противогрибковыми </w:t>
      </w:r>
      <w:r>
        <w:rPr>
          <w:iCs/>
        </w:rPr>
        <w:t>препаратами</w:t>
      </w:r>
      <w:r w:rsidRPr="005A06BE">
        <w:rPr>
          <w:iCs/>
        </w:rPr>
        <w:t>.</w:t>
      </w:r>
      <w:r w:rsidRPr="00DA2BC8">
        <w:rPr>
          <w:iCs/>
        </w:rPr>
        <w:t xml:space="preserve"> Не проводят замену ЦВК по проводнику.</w:t>
      </w:r>
    </w:p>
    <w:p w14:paraId="4E6E7646" w14:textId="77777777" w:rsidR="00824BFE" w:rsidRPr="00DA2BC8" w:rsidRDefault="00824BFE" w:rsidP="00824BFE">
      <w:pPr>
        <w:ind w:right="50" w:firstLine="709"/>
        <w:contextualSpacing/>
      </w:pPr>
      <w:r w:rsidRPr="00DA2BC8">
        <w:rPr>
          <w:bCs/>
        </w:rPr>
        <w:t xml:space="preserve">Устранение или уменьшение факторов риска у </w:t>
      </w:r>
      <w:r>
        <w:rPr>
          <w:bCs/>
        </w:rPr>
        <w:t>пациентов</w:t>
      </w:r>
      <w:r w:rsidRPr="00DA2BC8">
        <w:rPr>
          <w:bCs/>
        </w:rPr>
        <w:t xml:space="preserve"> с инвазивным кандидозом включает </w:t>
      </w:r>
      <w:r w:rsidRPr="00DA2BC8">
        <w:t>сокращение по возможности используемых антибиотиков и изменение тактики цитостатической терапии.</w:t>
      </w:r>
    </w:p>
    <w:p w14:paraId="7EBC36EA" w14:textId="77777777" w:rsidR="00824BFE" w:rsidRPr="00CB7689" w:rsidRDefault="00824BFE" w:rsidP="00824BFE">
      <w:pPr>
        <w:ind w:right="50" w:firstLine="709"/>
        <w:contextualSpacing/>
        <w:rPr>
          <w:i/>
          <w:iCs/>
          <w:u w:val="single"/>
        </w:rPr>
      </w:pPr>
      <w:r w:rsidRPr="00CB7689">
        <w:rPr>
          <w:i/>
          <w:iCs/>
          <w:u w:val="single"/>
        </w:rPr>
        <w:t>Длительность лечения</w:t>
      </w:r>
    </w:p>
    <w:p w14:paraId="1593A6E5" w14:textId="77777777" w:rsidR="00824BFE" w:rsidRPr="00DA2BC8" w:rsidRDefault="00824BFE" w:rsidP="00824BFE">
      <w:pPr>
        <w:ind w:right="50" w:firstLine="709"/>
        <w:contextualSpacing/>
      </w:pPr>
      <w:r w:rsidRPr="00DA2BC8">
        <w:t>Противогрибковый препарат отменяют при наличии всех следующих критериев - регрессия клинических проявлений инфекции; число гранулоцитов в гемограмме более 0,5×10</w:t>
      </w:r>
      <w:r w:rsidRPr="00DA2BC8">
        <w:rPr>
          <w:vertAlign w:val="superscript"/>
        </w:rPr>
        <w:t>9</w:t>
      </w:r>
      <w:r w:rsidRPr="00DA2BC8">
        <w:t xml:space="preserve">/л; не менее двух недель от последней положительной гемокультуры; регрессия очагов диссеминации кандидоза в случаях их развития. </w:t>
      </w:r>
    </w:p>
    <w:p w14:paraId="5C766AA5" w14:textId="77777777" w:rsidR="00824BFE" w:rsidRPr="00DA2BC8" w:rsidRDefault="00824BFE" w:rsidP="00824BFE">
      <w:pPr>
        <w:ind w:right="50" w:firstLine="709"/>
        <w:contextualSpacing/>
      </w:pPr>
      <w:r w:rsidRPr="00CB7689">
        <w:rPr>
          <w:i/>
          <w:iCs/>
          <w:u w:val="single"/>
        </w:rPr>
        <w:t>Персистирующая кандидемия включает</w:t>
      </w:r>
      <w:r w:rsidRPr="00DA2BC8">
        <w:rPr>
          <w:b/>
          <w:bCs/>
        </w:rPr>
        <w:t xml:space="preserve"> </w:t>
      </w:r>
      <w:r w:rsidRPr="00DA2BC8">
        <w:t xml:space="preserve">наличие симптомов сепсиса и повторное выделение </w:t>
      </w:r>
      <w:r w:rsidRPr="00DA2BC8">
        <w:rPr>
          <w:i/>
          <w:iCs/>
        </w:rPr>
        <w:t>Candida</w:t>
      </w:r>
      <w:r w:rsidRPr="00DA2BC8">
        <w:t xml:space="preserve"> spp. из гемокультуры.</w:t>
      </w:r>
      <w:r w:rsidRPr="00DA2BC8">
        <w:rPr>
          <w:b/>
          <w:bCs/>
        </w:rPr>
        <w:t xml:space="preserve"> </w:t>
      </w:r>
      <w:r w:rsidRPr="00DA2BC8">
        <w:t>При персистирующей кандидемии крайне важно исследовать чувствительность грибов к антимикотикам ввиду формирования вторичной резистентности; повторить инструментальные исследования с целью исключения диссеминации.</w:t>
      </w:r>
      <w:r w:rsidRPr="00DA2BC8">
        <w:rPr>
          <w:bCs/>
        </w:rPr>
        <w:t xml:space="preserve"> В этих случаях </w:t>
      </w:r>
      <w:r w:rsidRPr="00DA2BC8">
        <w:t xml:space="preserve">замену на антимикотик другой группы проводят согласно видовой принадлежности </w:t>
      </w:r>
      <w:r w:rsidRPr="00DA2BC8">
        <w:rPr>
          <w:i/>
        </w:rPr>
        <w:t>Candida</w:t>
      </w:r>
      <w:r w:rsidRPr="00DA2BC8">
        <w:t xml:space="preserve"> spp. и результатам чувствительностию.</w:t>
      </w:r>
    </w:p>
    <w:p w14:paraId="45E61269" w14:textId="77777777" w:rsidR="00824BFE" w:rsidRPr="0014445B" w:rsidRDefault="00824BFE" w:rsidP="00824BFE">
      <w:pPr>
        <w:ind w:right="50" w:firstLine="709"/>
        <w:contextualSpacing/>
        <w:rPr>
          <w:b/>
          <w:bCs/>
        </w:rPr>
      </w:pPr>
      <w:r w:rsidRPr="0014445B">
        <w:rPr>
          <w:b/>
          <w:bCs/>
        </w:rPr>
        <w:t>Хронический диссеминированный (гепатолиенальный) кандидоз</w:t>
      </w:r>
    </w:p>
    <w:p w14:paraId="265D1126" w14:textId="77777777" w:rsidR="00824BFE" w:rsidRPr="00CB7689" w:rsidRDefault="00824BFE" w:rsidP="00824BFE">
      <w:pPr>
        <w:ind w:right="50" w:firstLine="709"/>
        <w:contextualSpacing/>
        <w:rPr>
          <w:i/>
          <w:iCs/>
        </w:rPr>
      </w:pPr>
      <w:r w:rsidRPr="00CB7689">
        <w:rPr>
          <w:i/>
          <w:iCs/>
          <w:u w:val="single"/>
        </w:rPr>
        <w:t>Симптомы</w:t>
      </w:r>
    </w:p>
    <w:p w14:paraId="5B67B1D3" w14:textId="77777777" w:rsidR="00824BFE" w:rsidRPr="00DA2BC8" w:rsidRDefault="00824BFE" w:rsidP="00824BFE">
      <w:pPr>
        <w:ind w:right="50" w:firstLine="709"/>
        <w:contextualSpacing/>
      </w:pPr>
      <w:r w:rsidRPr="00DA2BC8">
        <w:lastRenderedPageBreak/>
        <w:t>Ведущий симптом — лихорадка на фоне лечения антибиотиками, которая возникает в период гранулоцитопении и сохраняется при повышении уровня лейкоцитов (гранулоцитов &gt;0,5×10</w:t>
      </w:r>
      <w:r w:rsidRPr="00DA2BC8">
        <w:rPr>
          <w:vertAlign w:val="superscript"/>
        </w:rPr>
        <w:t>9</w:t>
      </w:r>
      <w:r w:rsidRPr="00DA2BC8">
        <w:t>/л). Для этого варианта инвазивного микоза очень характерной является температурная кривая –</w:t>
      </w:r>
      <w:r>
        <w:t xml:space="preserve"> </w:t>
      </w:r>
      <w:r w:rsidRPr="00DA2BC8">
        <w:t xml:space="preserve">колебания температуры от 36,7ºС-37,5°С утром до 39ºС-40ºС в вечернее время, которые возникают в период гранулоцитопении и сохраняются после восстановления гранулоцитов. </w:t>
      </w:r>
    </w:p>
    <w:p w14:paraId="341DCF62" w14:textId="77777777" w:rsidR="00824BFE" w:rsidRPr="00CB7689" w:rsidRDefault="00824BFE" w:rsidP="00824BFE">
      <w:pPr>
        <w:ind w:right="50" w:firstLine="709"/>
        <w:contextualSpacing/>
        <w:rPr>
          <w:i/>
          <w:iCs/>
        </w:rPr>
      </w:pPr>
      <w:r w:rsidRPr="00CB7689">
        <w:rPr>
          <w:i/>
          <w:iCs/>
          <w:u w:val="single"/>
        </w:rPr>
        <w:t>Диагностика</w:t>
      </w:r>
    </w:p>
    <w:p w14:paraId="76A9B35F" w14:textId="77777777" w:rsidR="00824BFE" w:rsidRPr="00DA2BC8" w:rsidRDefault="00824BFE" w:rsidP="00824BFE">
      <w:pPr>
        <w:ind w:right="50" w:firstLine="709"/>
        <w:contextualSpacing/>
      </w:pPr>
      <w:r w:rsidRPr="00DA2BC8">
        <w:t>Проводят УЗИ, КТ или МРТ (наиболее высокая чувствительность) печени и селезенки. Характерным является обнаружение множественных очагов деструкции до 2 см. Чаще вовлекаются печень и селезенка, реже почки. По возможности проводят биопсию этих образований с проведением микробиологических (прямая микроскопия, посев) и гистологических иследований. Отрицательные результаты биопсии не исключают наличие гепатолиенального кандидоза. При лечении гепатолиенального кандидоза контрольные исследования (УЗИ, КТ или МРТ) проводят не ранее чем через 3-4 недели и обязательно вне нейтропении. Обращают внимание на размеры очагов и их плотность. Исследование в период нейтропении может дать ложноположительные результаты о сокращении размеров очагов.</w:t>
      </w:r>
    </w:p>
    <w:p w14:paraId="67533C5E" w14:textId="77777777" w:rsidR="00824BFE" w:rsidRPr="00DA2BC8" w:rsidRDefault="00824BFE" w:rsidP="00824BFE">
      <w:pPr>
        <w:ind w:right="50" w:firstLine="709"/>
        <w:contextualSpacing/>
      </w:pPr>
      <w:r w:rsidRPr="00DA2BC8">
        <w:t>При гепатолиенальном кандидозе проводят определение серологичесик</w:t>
      </w:r>
      <w:r>
        <w:t>и</w:t>
      </w:r>
      <w:r w:rsidRPr="00DA2BC8">
        <w:t>х маркеров (маннан и антиманнан).</w:t>
      </w:r>
    </w:p>
    <w:p w14:paraId="7F3FE1E6" w14:textId="77777777" w:rsidR="00824BFE" w:rsidRPr="00DA2BC8" w:rsidRDefault="00824BFE" w:rsidP="00824BFE">
      <w:pPr>
        <w:ind w:right="50" w:firstLine="709"/>
        <w:contextualSpacing/>
      </w:pPr>
      <w:r w:rsidRPr="00CB7689">
        <w:rPr>
          <w:i/>
          <w:iCs/>
          <w:u w:val="single"/>
        </w:rPr>
        <w:t>Показанием к назначению противогрибковых препаратов</w:t>
      </w:r>
      <w:r w:rsidRPr="00DA2BC8">
        <w:rPr>
          <w:b/>
          <w:bCs/>
        </w:rPr>
        <w:t xml:space="preserve"> </w:t>
      </w:r>
      <w:r w:rsidRPr="00DA2BC8">
        <w:rPr>
          <w:bCs/>
        </w:rPr>
        <w:t>являются</w:t>
      </w:r>
      <w:r w:rsidRPr="00DA2BC8">
        <w:rPr>
          <w:b/>
          <w:bCs/>
        </w:rPr>
        <w:t xml:space="preserve"> </w:t>
      </w:r>
      <w:r w:rsidRPr="00DA2BC8">
        <w:t>лихорадка на фоне лечения антибиотиками, которая сохраняется при повышении количества лейкоцитов (гранулоцитов более 0,5×10</w:t>
      </w:r>
      <w:r w:rsidRPr="00DA2BC8">
        <w:rPr>
          <w:vertAlign w:val="superscript"/>
        </w:rPr>
        <w:t>9</w:t>
      </w:r>
      <w:r w:rsidRPr="00DA2BC8">
        <w:t>/л) и выявление множественных очагов в печени и/или селезенке по данным УЗИ, КТ или МРТ. Препаратами выбора в лечении гепатолиенального кандидоза являются эхинокандин (каспофунгин или микафунгин) или липидная форма амфотерицина В (3 мг/кг в сутки, внутривенно); альтернативный препарат - амфотерицин В (0,7-1,0 мг/кг). Дозирование эхинокандина проводят как при кандидемии. После ликвидации температуры (через 1-2 недели) проводят замену этих препаратов на флуконазол (400 мг внутрь или внутривенно 1 раз в сутки) ввиду необходимости продолжительного периода лечения данной патологии.</w:t>
      </w:r>
    </w:p>
    <w:p w14:paraId="50CA2924" w14:textId="77777777" w:rsidR="00824BFE" w:rsidRPr="00DA2BC8" w:rsidRDefault="00824BFE" w:rsidP="00824BFE">
      <w:pPr>
        <w:ind w:right="50" w:firstLine="709"/>
        <w:contextualSpacing/>
      </w:pPr>
      <w:r w:rsidRPr="00CB7689">
        <w:rPr>
          <w:i/>
          <w:iCs/>
          <w:u w:val="single"/>
        </w:rPr>
        <w:t>Длительность лечения</w:t>
      </w:r>
      <w:r w:rsidRPr="00DA2BC8">
        <w:t xml:space="preserve"> составляет от 3 до 6 месяцев. При ранней отмене противогрибкового препарата наблюдается высокая частота рецидивов инфекции. Критериями отмены противогрибкового препарата являются кальцификация или регрессия очагов.</w:t>
      </w:r>
    </w:p>
    <w:p w14:paraId="76993C31" w14:textId="77777777" w:rsidR="00824BFE" w:rsidRPr="0014445B" w:rsidRDefault="00824BFE" w:rsidP="00824BFE">
      <w:pPr>
        <w:ind w:right="50" w:firstLine="709"/>
        <w:contextualSpacing/>
        <w:rPr>
          <w:b/>
          <w:bCs/>
        </w:rPr>
      </w:pPr>
      <w:r w:rsidRPr="0014445B">
        <w:rPr>
          <w:b/>
          <w:bCs/>
        </w:rPr>
        <w:t>Инвазивный кандидоз центральной нервной системы (ЦНС)</w:t>
      </w:r>
    </w:p>
    <w:p w14:paraId="6FA71624" w14:textId="77777777" w:rsidR="00824BFE" w:rsidRPr="00DA2BC8" w:rsidRDefault="00824BFE" w:rsidP="00824BFE">
      <w:pPr>
        <w:ind w:right="50" w:firstLine="709"/>
        <w:contextualSpacing/>
        <w:rPr>
          <w:b/>
          <w:bCs/>
        </w:rPr>
      </w:pPr>
      <w:r w:rsidRPr="00DA2BC8">
        <w:lastRenderedPageBreak/>
        <w:t xml:space="preserve">У взрослых </w:t>
      </w:r>
      <w:r>
        <w:t>гематологических пациентов</w:t>
      </w:r>
      <w:r w:rsidRPr="00DA2BC8">
        <w:t xml:space="preserve"> инвазивный кандидоз ЦНС возникает при диссеминации кандид из крови или является осложнением нейрохирургических операций (шунтирование и др.). Проявления кандидоза ЦНС - менингит (ведущее), </w:t>
      </w:r>
      <w:r>
        <w:t xml:space="preserve">также </w:t>
      </w:r>
      <w:r w:rsidRPr="00DA2BC8">
        <w:t>возможны множественные абсцессы в веществе головного мозга, большого размера солитарный абсцесс, эпидуральные абсцессы.</w:t>
      </w:r>
    </w:p>
    <w:p w14:paraId="7809441B" w14:textId="77777777" w:rsidR="00824BFE" w:rsidRPr="00DA2BC8" w:rsidRDefault="00824BFE" w:rsidP="00824BFE">
      <w:pPr>
        <w:ind w:right="50" w:firstLine="709"/>
        <w:contextualSpacing/>
      </w:pPr>
      <w:r w:rsidRPr="00CB7689">
        <w:rPr>
          <w:i/>
          <w:iCs/>
          <w:u w:val="single"/>
        </w:rPr>
        <w:t>Симптомы</w:t>
      </w:r>
      <w:r w:rsidRPr="00DA2BC8">
        <w:rPr>
          <w:b/>
          <w:bCs/>
        </w:rPr>
        <w:t xml:space="preserve"> </w:t>
      </w:r>
      <w:r w:rsidRPr="00DA2BC8">
        <w:t>аналогичны симптомам бактериального менингита. При абсцедировании появляется очаговая симптоматика поражения ЦНС.</w:t>
      </w:r>
    </w:p>
    <w:p w14:paraId="1686C8B5" w14:textId="77777777" w:rsidR="00824BFE" w:rsidRPr="00CB7689" w:rsidRDefault="00824BFE" w:rsidP="00824BFE">
      <w:pPr>
        <w:ind w:right="50" w:firstLine="709"/>
        <w:contextualSpacing/>
        <w:rPr>
          <w:i/>
          <w:iCs/>
        </w:rPr>
      </w:pPr>
      <w:r w:rsidRPr="00CB7689">
        <w:rPr>
          <w:i/>
          <w:iCs/>
          <w:u w:val="single"/>
        </w:rPr>
        <w:t>Диагностика</w:t>
      </w:r>
    </w:p>
    <w:p w14:paraId="4BCE75D6" w14:textId="77777777" w:rsidR="00824BFE" w:rsidRPr="00DA2BC8" w:rsidRDefault="00824BFE" w:rsidP="00824BFE">
      <w:pPr>
        <w:ind w:right="50" w:firstLine="709"/>
        <w:contextualSpacing/>
      </w:pPr>
      <w:r w:rsidRPr="00DA2BC8">
        <w:t xml:space="preserve">Обнаружение </w:t>
      </w:r>
      <w:r w:rsidRPr="00DA2BC8">
        <w:rPr>
          <w:i/>
          <w:iCs/>
        </w:rPr>
        <w:t>Candida</w:t>
      </w:r>
      <w:r w:rsidRPr="00DA2BC8">
        <w:t xml:space="preserve"> spp. при микроскопии либо в культуре спинномозговой жидкости (СМЖ) или биоптатов головного мозга. При кандидозном менингите, как и при бактериальном, в СМЖ определяется нейтрофильный плеоцитоз. </w:t>
      </w:r>
      <w:r>
        <w:t xml:space="preserve">Выполняется КТ/МРТ головного мозга (по показаниям с контрастированием) для оценки локализации, размеров, динамики очага (очагов) поражения. </w:t>
      </w:r>
      <w:r w:rsidRPr="00DA2BC8">
        <w:t>Специфические р</w:t>
      </w:r>
      <w:r>
        <w:t>адио</w:t>
      </w:r>
      <w:r w:rsidRPr="00DA2BC8">
        <w:t>логические признаки абсцессов кандидозной этиологии отсутствуют.</w:t>
      </w:r>
    </w:p>
    <w:p w14:paraId="4A8B616B" w14:textId="77777777" w:rsidR="00824BFE" w:rsidRPr="00CB7689" w:rsidRDefault="00824BFE" w:rsidP="00824BFE">
      <w:pPr>
        <w:tabs>
          <w:tab w:val="left" w:pos="-90"/>
        </w:tabs>
        <w:ind w:right="50" w:firstLine="709"/>
        <w:contextualSpacing/>
        <w:rPr>
          <w:i/>
          <w:iCs/>
          <w:u w:val="single"/>
        </w:rPr>
      </w:pPr>
      <w:r w:rsidRPr="00CB7689">
        <w:rPr>
          <w:i/>
          <w:iCs/>
          <w:u w:val="single"/>
        </w:rPr>
        <w:t>Лечение</w:t>
      </w:r>
    </w:p>
    <w:p w14:paraId="60251512" w14:textId="77777777" w:rsidR="00824BFE" w:rsidRPr="00DA2BC8" w:rsidRDefault="00824BFE" w:rsidP="00824BFE">
      <w:pPr>
        <w:tabs>
          <w:tab w:val="left" w:pos="-90"/>
        </w:tabs>
        <w:ind w:right="50" w:firstLine="709"/>
        <w:contextualSpacing/>
      </w:pPr>
      <w:r w:rsidRPr="00DA2BC8">
        <w:rPr>
          <w:bCs/>
        </w:rPr>
        <w:t xml:space="preserve">Стартовая терапия (первые недели) – монотерапия липидной формы амфотерицина В (3-5 мг/кг </w:t>
      </w:r>
      <w:r w:rsidRPr="00DA2BC8">
        <w:t xml:space="preserve">внутривенно 1 раз в сутки) или в сочетании в течение первых недель с флуцитозином (25 мг/кг внутривенно 4 раза в сутки). Альтернативный препарат – вориконазол (в 1-й день по 6 мг/кг внутривенно 2 раза в сутки, затем по 4 мг/кг 2 раза в сутки с последующим переходом на пероральную форму по 200 мг внутрь 2 раза в сутки). </w:t>
      </w:r>
      <w:r w:rsidRPr="00DA2BC8">
        <w:rPr>
          <w:bCs/>
        </w:rPr>
        <w:t>При стабилизации</w:t>
      </w:r>
      <w:r w:rsidRPr="00DA2BC8">
        <w:rPr>
          <w:b/>
          <w:bCs/>
        </w:rPr>
        <w:t xml:space="preserve"> </w:t>
      </w:r>
      <w:r w:rsidRPr="00DA2BC8">
        <w:t xml:space="preserve">состояния после лечения липидной формой амфотерицина В назначают флуконазол при выделении флуконазолчувствительных </w:t>
      </w:r>
      <w:r w:rsidRPr="00DA2BC8">
        <w:rPr>
          <w:i/>
          <w:iCs/>
        </w:rPr>
        <w:t>Candida</w:t>
      </w:r>
      <w:r w:rsidRPr="00DA2BC8">
        <w:t xml:space="preserve"> spp (400-800 мг внутривенно 1 раз в сутки). </w:t>
      </w:r>
    </w:p>
    <w:p w14:paraId="09A62D28" w14:textId="77777777" w:rsidR="00824BFE" w:rsidRPr="00DA2BC8" w:rsidRDefault="00824BFE" w:rsidP="00824BFE">
      <w:pPr>
        <w:tabs>
          <w:tab w:val="left" w:pos="-90"/>
        </w:tabs>
        <w:ind w:right="50" w:firstLine="709"/>
        <w:contextualSpacing/>
      </w:pPr>
      <w:r w:rsidRPr="00DA2BC8">
        <w:t>Вориконазол и флуконазол хорошо проникают через гематоэнцефалический барьер. Итраконазол, позаконазол, амфотерицин В и его липидные формы плохо проходят через гематоэнцефалический барьер. При лечении липидными формами амфотерицина В в веществе головного мозга создаются высокие концентрации, причем у липосомального амфотерицина В они выше, чем у липидного комплекса или обычного амфотерицина В. Комбинация амфотерицина В с флуцитозином обладает синергидным действием. Лечение кандидоза ЦНС не проводят эхинокандинами.</w:t>
      </w:r>
    </w:p>
    <w:p w14:paraId="471F144C" w14:textId="77777777" w:rsidR="00824BFE" w:rsidRPr="00CB7689" w:rsidRDefault="00824BFE" w:rsidP="00824BFE">
      <w:pPr>
        <w:ind w:right="50" w:firstLine="709"/>
        <w:contextualSpacing/>
        <w:rPr>
          <w:i/>
          <w:iCs/>
          <w:u w:val="single"/>
        </w:rPr>
      </w:pPr>
      <w:r w:rsidRPr="00CB7689">
        <w:rPr>
          <w:i/>
          <w:iCs/>
          <w:u w:val="single"/>
        </w:rPr>
        <w:t>Длительность лечения</w:t>
      </w:r>
    </w:p>
    <w:p w14:paraId="0E5A8D5E" w14:textId="77777777" w:rsidR="00824BFE" w:rsidRPr="00DA2BC8" w:rsidRDefault="00824BFE" w:rsidP="00824BFE">
      <w:pPr>
        <w:ind w:right="50" w:firstLine="709"/>
        <w:contextualSpacing/>
      </w:pPr>
      <w:r w:rsidRPr="00DA2BC8">
        <w:t>Лечение занимает продолжительный период — до ликвидации всех клинических и р</w:t>
      </w:r>
      <w:r>
        <w:t>адио</w:t>
      </w:r>
      <w:r w:rsidRPr="00DA2BC8">
        <w:t>логических симптомов инфекции, нормализации состава СМЖ. Нейрохирургическим больным удаляют инфицированные шунты.</w:t>
      </w:r>
    </w:p>
    <w:p w14:paraId="42EDF5E3" w14:textId="77777777" w:rsidR="00824BFE" w:rsidRPr="00444F93" w:rsidRDefault="00824BFE" w:rsidP="00824BFE">
      <w:pPr>
        <w:ind w:right="50" w:firstLine="709"/>
        <w:contextualSpacing/>
        <w:rPr>
          <w:b/>
          <w:bCs/>
        </w:rPr>
      </w:pPr>
      <w:r w:rsidRPr="00444F93">
        <w:rPr>
          <w:b/>
          <w:bCs/>
        </w:rPr>
        <w:t>Кандидозный эндофтальмит</w:t>
      </w:r>
    </w:p>
    <w:p w14:paraId="3DFEDBC8" w14:textId="77777777" w:rsidR="00824BFE" w:rsidRDefault="00824BFE" w:rsidP="00824BFE">
      <w:pPr>
        <w:ind w:right="50" w:firstLine="709"/>
        <w:contextualSpacing/>
      </w:pPr>
      <w:r w:rsidRPr="00DA2BC8">
        <w:lastRenderedPageBreak/>
        <w:t>Кандидозный эндофтальмит - воспаление внутренних оболочек глаза с формированием абсцесса (абсцессов) в стекловидном теле</w:t>
      </w:r>
      <w:r>
        <w:t>, в</w:t>
      </w:r>
      <w:r w:rsidRPr="00DA2BC8">
        <w:t>озникает при диссеминации кандид из крови.</w:t>
      </w:r>
      <w:r>
        <w:t xml:space="preserve"> </w:t>
      </w:r>
      <w:r w:rsidRPr="00DA2BC8">
        <w:t xml:space="preserve">Основной симптом - снижение остроты зрения вплоть до развития слепоты. Во всех случаях необходима консультация офтальмолога. При офтальмоскопии на сетчатке определяют множественные белесоватые очаги. </w:t>
      </w:r>
      <w:r>
        <w:t>Выполняют КТ/МРТ головы (по показаниям с контрастированием) для оценки локализации, размеров, динамики очага (очагов) поражения.</w:t>
      </w:r>
    </w:p>
    <w:p w14:paraId="75426B15" w14:textId="77777777" w:rsidR="00824BFE" w:rsidRPr="00DA2BC8" w:rsidRDefault="00824BFE" w:rsidP="00824BFE">
      <w:pPr>
        <w:ind w:right="50" w:firstLine="709"/>
        <w:contextualSpacing/>
      </w:pPr>
      <w:r w:rsidRPr="00DA2BC8">
        <w:rPr>
          <w:bCs/>
        </w:rPr>
        <w:t xml:space="preserve">При обширном поражении назначают </w:t>
      </w:r>
      <w:r w:rsidRPr="00DA2BC8">
        <w:t xml:space="preserve">амфотерицин В (0,7-1 мг/кг внутривенно 1 раз в сутки) в сочетании с флуцитозином (25 мг/кг внутривенно 4 раза в сутки), </w:t>
      </w:r>
      <w:r w:rsidRPr="00DA2BC8">
        <w:rPr>
          <w:bCs/>
        </w:rPr>
        <w:t xml:space="preserve">при нетяжелых проявлениях - </w:t>
      </w:r>
      <w:r w:rsidRPr="00DA2BC8">
        <w:t xml:space="preserve">флуконазол (400-800 мг внутривенно или внутрь 1 раз в сутки), при </w:t>
      </w:r>
      <w:r w:rsidRPr="00DA2BC8">
        <w:rPr>
          <w:bCs/>
        </w:rPr>
        <w:t xml:space="preserve">отсутствие эффекта </w:t>
      </w:r>
      <w:r w:rsidRPr="00DA2BC8">
        <w:t xml:space="preserve">- вориконазол, липидные формы амфотерицина В. Не используют эхинокандины. В стекловидном теле создается высокая концентрация вориконазола, низкая концентрация - эхинокандинов (каспофунгина, микафунгина, анидулафунгина). </w:t>
      </w:r>
      <w:r w:rsidRPr="00DA2BC8">
        <w:rPr>
          <w:bCs/>
        </w:rPr>
        <w:t>Длительность лечения</w:t>
      </w:r>
      <w:r w:rsidRPr="00DA2BC8">
        <w:t xml:space="preserve"> составляет 4-6 недель. Критерии отмены противогрибковых препаратов - ликвидация клинических симптомов инфекции и регрессия или стабилизация размеров очагов, выявляемых при офтальмоскопии.</w:t>
      </w:r>
    </w:p>
    <w:p w14:paraId="10130642" w14:textId="77777777" w:rsidR="00824BFE" w:rsidRPr="00444F93" w:rsidRDefault="00824BFE" w:rsidP="00824BFE">
      <w:pPr>
        <w:ind w:right="51" w:firstLine="709"/>
        <w:contextualSpacing/>
        <w:rPr>
          <w:b/>
          <w:bCs/>
        </w:rPr>
      </w:pPr>
      <w:r w:rsidRPr="00444F93">
        <w:rPr>
          <w:b/>
          <w:bCs/>
        </w:rPr>
        <w:t>Кандидозный эндокардит, перикардит, миокардит, тромбофлебит</w:t>
      </w:r>
    </w:p>
    <w:p w14:paraId="44E3CEBE" w14:textId="77777777" w:rsidR="00824BFE" w:rsidRPr="00DA2BC8" w:rsidRDefault="00824BFE" w:rsidP="00824BFE">
      <w:pPr>
        <w:tabs>
          <w:tab w:val="left" w:pos="-90"/>
        </w:tabs>
        <w:ind w:left="90" w:right="51" w:firstLine="709"/>
        <w:contextualSpacing/>
      </w:pPr>
      <w:r w:rsidRPr="00DA2BC8">
        <w:t xml:space="preserve">У иммунокомпрометированных </w:t>
      </w:r>
      <w:r>
        <w:t xml:space="preserve">пацентов  ХЛЛ/ЛМЛ </w:t>
      </w:r>
      <w:r w:rsidRPr="00DA2BC8">
        <w:t xml:space="preserve">эти осложнения возникают при гематогенной диссеминации </w:t>
      </w:r>
      <w:r w:rsidRPr="00DA2BC8">
        <w:rPr>
          <w:i/>
          <w:iCs/>
        </w:rPr>
        <w:t>Candida</w:t>
      </w:r>
      <w:r w:rsidRPr="00DA2BC8">
        <w:t xml:space="preserve"> spp.</w:t>
      </w:r>
      <w:r>
        <w:t>; с</w:t>
      </w:r>
      <w:r w:rsidRPr="00DA2BC8">
        <w:rPr>
          <w:bCs/>
        </w:rPr>
        <w:t>имптомы</w:t>
      </w:r>
      <w:r w:rsidRPr="00DA2BC8">
        <w:t xml:space="preserve"> </w:t>
      </w:r>
      <w:r>
        <w:t xml:space="preserve">соответствуют аналогичной локализации инфекции </w:t>
      </w:r>
      <w:r w:rsidRPr="00DA2BC8">
        <w:t>бактериальн</w:t>
      </w:r>
      <w:r>
        <w:t>ой</w:t>
      </w:r>
      <w:r w:rsidRPr="00DA2BC8">
        <w:t xml:space="preserve"> </w:t>
      </w:r>
      <w:r>
        <w:t>природы</w:t>
      </w:r>
      <w:r w:rsidRPr="00DA2BC8">
        <w:t xml:space="preserve">. </w:t>
      </w:r>
      <w:r>
        <w:t xml:space="preserve">Для диагностики проводят необходимые инструменитальные и лабораторные исследования – ЭКГ, ЭхоКГ, КТ/МРТ органов грудной полости, доплерографические исследования, УЗИ сосудов, консультация кардиолога, кардиохирурга, ангиохирурга, микробиологические (бактериологические) исследования крови, микробиологические (бактериологические), цитологические и гистологические исследования биоптататов. </w:t>
      </w:r>
      <w:r w:rsidRPr="00DA2BC8">
        <w:t xml:space="preserve">Диагноз устанавливают на основании обнаружения </w:t>
      </w:r>
      <w:r w:rsidRPr="00DA2BC8">
        <w:rPr>
          <w:i/>
          <w:iCs/>
        </w:rPr>
        <w:t>Candida</w:t>
      </w:r>
      <w:r w:rsidRPr="00DA2BC8">
        <w:t xml:space="preserve"> spp. в материале из пораженных клапанов сердца или присутствия непосредственной связи между выделением </w:t>
      </w:r>
      <w:r w:rsidRPr="00DA2BC8">
        <w:rPr>
          <w:i/>
          <w:iCs/>
        </w:rPr>
        <w:t xml:space="preserve">Candida </w:t>
      </w:r>
      <w:r w:rsidRPr="00DA2BC8">
        <w:t xml:space="preserve">spp. из гемокультуры и появлением симптомов диссеминации инфекционного процесса. </w:t>
      </w:r>
      <w:r w:rsidRPr="00DA2BC8">
        <w:rPr>
          <w:bCs/>
        </w:rPr>
        <w:t xml:space="preserve">Препарат выбора - </w:t>
      </w:r>
      <w:r w:rsidRPr="00DA2BC8">
        <w:t xml:space="preserve">каспофунгин, </w:t>
      </w:r>
      <w:r w:rsidRPr="00DA2BC8">
        <w:rPr>
          <w:bCs/>
        </w:rPr>
        <w:t>альтернативный препарат – липидные формы амфотерицина В.</w:t>
      </w:r>
      <w:r w:rsidRPr="00DA2BC8">
        <w:t xml:space="preserve"> Флуконазол назначают </w:t>
      </w:r>
      <w:r w:rsidRPr="00DA2BC8">
        <w:rPr>
          <w:bCs/>
        </w:rPr>
        <w:t xml:space="preserve">при стабилизации симптомов инфекции и выделении флуконазолчувствительных </w:t>
      </w:r>
      <w:r w:rsidRPr="00DA2BC8">
        <w:rPr>
          <w:bCs/>
          <w:i/>
          <w:iCs/>
        </w:rPr>
        <w:t>Candida</w:t>
      </w:r>
      <w:r w:rsidRPr="00DA2BC8">
        <w:rPr>
          <w:bCs/>
        </w:rPr>
        <w:t xml:space="preserve"> spp.</w:t>
      </w:r>
      <w:r w:rsidRPr="00DA2BC8">
        <w:t xml:space="preserve"> </w:t>
      </w:r>
      <w:r w:rsidRPr="00DA2BC8">
        <w:rPr>
          <w:bCs/>
        </w:rPr>
        <w:t xml:space="preserve">Оперативное лечение включает </w:t>
      </w:r>
      <w:r w:rsidRPr="00DA2BC8">
        <w:t xml:space="preserve">удаление инфицированных клапанов сердца, перикардэктомия при перикардите. </w:t>
      </w:r>
      <w:r w:rsidRPr="00DA2BC8">
        <w:rPr>
          <w:bCs/>
        </w:rPr>
        <w:t>Длительность лечения</w:t>
      </w:r>
      <w:r w:rsidRPr="00DA2BC8">
        <w:t xml:space="preserve"> кандидозного эндокардита после хирургического вмешательства составляет не менее 6 недель; при наличии абсцессов и других осложнений - более продолжительный период. Если операцию на клапанах не проводят, то назначают пожизненно флуконазол в дозе 400-800 мг в сутки </w:t>
      </w:r>
      <w:r w:rsidRPr="00DA2BC8">
        <w:lastRenderedPageBreak/>
        <w:t>внутрь или внутривенно 1 раз в сутки. Лечение кандидозного перикардита и миокардита продолжается несколько месяцев.</w:t>
      </w:r>
    </w:p>
    <w:p w14:paraId="727F34C6" w14:textId="77777777" w:rsidR="00824BFE" w:rsidRPr="00444F93" w:rsidRDefault="00824BFE" w:rsidP="00824BFE">
      <w:pPr>
        <w:ind w:right="51" w:firstLine="709"/>
        <w:contextualSpacing/>
        <w:rPr>
          <w:b/>
          <w:bCs/>
        </w:rPr>
      </w:pPr>
      <w:r w:rsidRPr="00444F93">
        <w:rPr>
          <w:b/>
          <w:bCs/>
        </w:rPr>
        <w:t>Кандидоз мочевыводящих путей</w:t>
      </w:r>
    </w:p>
    <w:p w14:paraId="15188366" w14:textId="77777777" w:rsidR="00824BFE" w:rsidRPr="00DA2BC8" w:rsidRDefault="00824BFE" w:rsidP="00824BFE">
      <w:pPr>
        <w:ind w:right="51" w:firstLine="709"/>
        <w:contextualSpacing/>
      </w:pPr>
      <w:r w:rsidRPr="00DA2BC8">
        <w:t xml:space="preserve">Клинические проявления </w:t>
      </w:r>
      <w:r>
        <w:t xml:space="preserve">кандидоза мочевых путей – </w:t>
      </w:r>
      <w:r w:rsidRPr="00DA2BC8">
        <w:t xml:space="preserve">цистит, пиелонефорит, </w:t>
      </w:r>
      <w:r w:rsidRPr="00444F93">
        <w:t>острый диссеминированный кандидоз</w:t>
      </w:r>
      <w:r w:rsidRPr="00DA2BC8">
        <w:t xml:space="preserve">. К факторам риска относят факторы, индуцирующие развитие инвазивного кандидоза, дополнительный фактор </w:t>
      </w:r>
      <w:r>
        <w:t>–</w:t>
      </w:r>
      <w:r w:rsidRPr="00DA2BC8">
        <w:t xml:space="preserve"> катетеризация мочевого пузыря. При кандидозном цистите </w:t>
      </w:r>
      <w:r>
        <w:t>характерны</w:t>
      </w:r>
      <w:r w:rsidRPr="00DA2BC8">
        <w:t xml:space="preserve"> частые болезненные мочеиспускания; при пиелонефрите </w:t>
      </w:r>
      <w:r>
        <w:t>–</w:t>
      </w:r>
      <w:r w:rsidRPr="00DA2BC8">
        <w:t xml:space="preserve"> боль в поясничной области, боль при мочеиспускании, температура; при гематогенной диссеминации кандид может быть только лихорадка. </w:t>
      </w:r>
      <w:r>
        <w:t xml:space="preserve">Для диагностики проводят необходимые иснтрументальные и лабораторные исследования – клинический, микробиологический анализы мочи, УЗИ почек и мочевыводящих путей, мочевого пузыря, КТ/МРТ почек и мочевыводящих путей, мочевого пузыря, органов малого таза у мужчин и женщин. </w:t>
      </w:r>
      <w:r w:rsidRPr="00DA2BC8">
        <w:t xml:space="preserve">Диагноз ставят на основании выделения </w:t>
      </w:r>
      <w:r w:rsidRPr="00DA2BC8">
        <w:rPr>
          <w:i/>
          <w:iCs/>
        </w:rPr>
        <w:t>Candida</w:t>
      </w:r>
      <w:r w:rsidRPr="00DA2BC8">
        <w:t xml:space="preserve"> spp. из мочи. Необходимо провести идентификацию возбудителя до вида и определить его чувствительность.</w:t>
      </w:r>
    </w:p>
    <w:p w14:paraId="68759015" w14:textId="77777777" w:rsidR="00824BFE" w:rsidRDefault="00824BFE" w:rsidP="00824BFE">
      <w:pPr>
        <w:ind w:right="51" w:firstLine="709"/>
        <w:contextualSpacing/>
      </w:pPr>
      <w:r w:rsidRPr="00DA2BC8">
        <w:rPr>
          <w:bCs/>
        </w:rPr>
        <w:t xml:space="preserve">Показанием к назначению противогрибковых препаратов являются </w:t>
      </w:r>
      <w:r w:rsidRPr="00DA2BC8">
        <w:t xml:space="preserve">наличие признаков инфекции и неоднократное (не менее двух раз) выделение </w:t>
      </w:r>
      <w:r w:rsidRPr="00DA2BC8">
        <w:rPr>
          <w:i/>
          <w:iCs/>
        </w:rPr>
        <w:t>Candida</w:t>
      </w:r>
      <w:r w:rsidRPr="00DA2BC8">
        <w:t xml:space="preserve"> spp. из мочи, а также бессимптомная кандидурия у больных с нейтропенией. Бессимптомная кандидурия у больных </w:t>
      </w:r>
      <w:r w:rsidRPr="00DA2BC8">
        <w:rPr>
          <w:bCs/>
        </w:rPr>
        <w:t>вне нейтропении</w:t>
      </w:r>
      <w:r w:rsidRPr="00DA2BC8">
        <w:t xml:space="preserve"> свидетельствует о колонизации слизистой оболочки нижних отделов мочевыводящих путей кандидами, лечение противогрибковым</w:t>
      </w:r>
      <w:r>
        <w:t>и препаратами не проводят. У этой категории</w:t>
      </w:r>
      <w:r w:rsidRPr="00DA2BC8">
        <w:t xml:space="preserve"> </w:t>
      </w:r>
      <w:r>
        <w:t>пациентов</w:t>
      </w:r>
      <w:r w:rsidRPr="00DA2BC8">
        <w:t xml:space="preserve"> устранение факторов риска, например отмена антибиотиков или глюкокортикоидов, либо удаление катетера из мочевого пузыря, приводит к прекращению выделения кандид из мочи. </w:t>
      </w:r>
    </w:p>
    <w:p w14:paraId="01256008" w14:textId="77777777" w:rsidR="00824BFE" w:rsidRPr="00DA2BC8" w:rsidRDefault="00824BFE" w:rsidP="00824BFE">
      <w:pPr>
        <w:ind w:right="51" w:firstLine="709"/>
        <w:contextualSpacing/>
        <w:rPr>
          <w:b/>
        </w:rPr>
      </w:pPr>
      <w:r w:rsidRPr="00DA2BC8">
        <w:rPr>
          <w:bCs/>
        </w:rPr>
        <w:t xml:space="preserve">Лечение </w:t>
      </w:r>
      <w:r w:rsidRPr="00DA2BC8">
        <w:rPr>
          <w:bCs/>
          <w:iCs/>
        </w:rPr>
        <w:t>кандидозного цистита включает назначение флуконазола (400 мг) в случаях детекции</w:t>
      </w:r>
      <w:r w:rsidRPr="00DA2BC8">
        <w:rPr>
          <w:bCs/>
        </w:rPr>
        <w:t xml:space="preserve"> флуконазолчувствительных </w:t>
      </w:r>
      <w:r w:rsidRPr="00DA2BC8">
        <w:rPr>
          <w:bCs/>
          <w:i/>
          <w:iCs/>
        </w:rPr>
        <w:t xml:space="preserve">Candida </w:t>
      </w:r>
      <w:r w:rsidRPr="00DA2BC8">
        <w:rPr>
          <w:bCs/>
        </w:rPr>
        <w:t>spp., применение</w:t>
      </w:r>
      <w:r w:rsidRPr="00DA2BC8">
        <w:t xml:space="preserve"> амфотерицин В (0,3-0,6 мг/кг внутривенно 1 раз в сутки) – при флуконазолустойчивых </w:t>
      </w:r>
      <w:r w:rsidRPr="00DA2BC8">
        <w:rPr>
          <w:bCs/>
          <w:i/>
          <w:iCs/>
        </w:rPr>
        <w:t xml:space="preserve">Candida </w:t>
      </w:r>
      <w:r w:rsidRPr="00DA2BC8">
        <w:rPr>
          <w:bCs/>
        </w:rPr>
        <w:t>spp</w:t>
      </w:r>
      <w:r w:rsidRPr="00DA2BC8">
        <w:t xml:space="preserve">. Орошение мочевого пузыря амфотерицином В допустимо лишь при выделении флуконазолрезистентных </w:t>
      </w:r>
      <w:r w:rsidRPr="00DA2BC8">
        <w:rPr>
          <w:i/>
          <w:iCs/>
        </w:rPr>
        <w:t xml:space="preserve">Candida </w:t>
      </w:r>
      <w:r w:rsidRPr="00DA2BC8">
        <w:t xml:space="preserve">spp., например </w:t>
      </w:r>
      <w:r w:rsidRPr="00DA2BC8">
        <w:rPr>
          <w:i/>
          <w:iCs/>
        </w:rPr>
        <w:t>С</w:t>
      </w:r>
      <w:r w:rsidRPr="00DA2BC8">
        <w:rPr>
          <w:iCs/>
          <w:strike/>
        </w:rPr>
        <w:t>.</w:t>
      </w:r>
      <w:r w:rsidRPr="00DA2BC8">
        <w:rPr>
          <w:i/>
          <w:iCs/>
        </w:rPr>
        <w:t xml:space="preserve"> glabrata</w:t>
      </w:r>
      <w:r w:rsidRPr="00DA2BC8">
        <w:t xml:space="preserve">. Необходимо отметить, что при таком методе лечения наблюдается высокая частота рецидивов. Лечение </w:t>
      </w:r>
      <w:r w:rsidRPr="00DA2BC8">
        <w:rPr>
          <w:bCs/>
          <w:iCs/>
        </w:rPr>
        <w:t>кандидозного пиелонефрита проводят теми же антимикотиками.</w:t>
      </w:r>
      <w:r w:rsidRPr="00DA2BC8">
        <w:t xml:space="preserve"> Липидные формы амфотерицина В не применяют для лечения кандидозного пиелонефрита по причине низкой концентрации препарата в паренхиме почек. По той же причине не назначают эхинокандиды и вориконазол.</w:t>
      </w:r>
    </w:p>
    <w:p w14:paraId="11E1C3B0" w14:textId="77777777" w:rsidR="00824BFE" w:rsidRDefault="00824BFE" w:rsidP="00824BFE">
      <w:pPr>
        <w:ind w:right="51" w:firstLine="709"/>
        <w:contextualSpacing/>
      </w:pPr>
      <w:r w:rsidRPr="00DA2BC8">
        <w:rPr>
          <w:bCs/>
        </w:rPr>
        <w:t>Длительность лечения</w:t>
      </w:r>
      <w:r w:rsidRPr="00DA2BC8">
        <w:rPr>
          <w:b/>
          <w:bCs/>
        </w:rPr>
        <w:t xml:space="preserve"> </w:t>
      </w:r>
      <w:r w:rsidRPr="00DA2BC8">
        <w:t xml:space="preserve">кандидозного цистита флуконазолом составляет 2 недели. Если цистит вызван флуконазолрезистентными </w:t>
      </w:r>
      <w:r w:rsidRPr="00DA2BC8">
        <w:rPr>
          <w:i/>
          <w:iCs/>
        </w:rPr>
        <w:t xml:space="preserve">Candida </w:t>
      </w:r>
      <w:r w:rsidRPr="00DA2BC8">
        <w:t xml:space="preserve">spp., то лечение амфотерицином В </w:t>
      </w:r>
      <w:r w:rsidRPr="00DA2BC8">
        <w:lastRenderedPageBreak/>
        <w:t>проводят в течение 7-10 дней. Продолжительность лечения кандидозного пиелонефрита составляет 2 недели.</w:t>
      </w:r>
    </w:p>
    <w:p w14:paraId="1D1CF3EF" w14:textId="77777777" w:rsidR="00824BFE" w:rsidRPr="00DA2BC8" w:rsidRDefault="00824BFE" w:rsidP="00824BFE">
      <w:pPr>
        <w:ind w:right="51" w:firstLine="709"/>
        <w:contextualSpacing/>
      </w:pPr>
    </w:p>
    <w:p w14:paraId="7AC6D141" w14:textId="70685AFA" w:rsidR="00824BFE" w:rsidRPr="00084B8B" w:rsidRDefault="00824BFE" w:rsidP="00824BFE">
      <w:pPr>
        <w:ind w:right="49"/>
        <w:contextualSpacing/>
        <w:rPr>
          <w:bCs/>
          <w:u w:val="single"/>
        </w:rPr>
      </w:pPr>
      <w:r w:rsidRPr="00CB7689">
        <w:rPr>
          <w:bCs/>
          <w:u w:val="single"/>
        </w:rPr>
        <w:t>Диагностика и лечение криптококкоза</w:t>
      </w:r>
      <w:r w:rsidRPr="00144984">
        <w:rPr>
          <w:bCs/>
          <w:u w:val="single"/>
        </w:rPr>
        <w:t xml:space="preserve"> </w:t>
      </w:r>
      <w:r>
        <w:rPr>
          <w:b/>
        </w:rPr>
        <w:fldChar w:fldCharType="begin" w:fldLock="1"/>
      </w:r>
      <w:r w:rsidR="00531C4D">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mendeley":{"formattedCitation":"[75,76,80]","plainTextFormattedCitation":"[75,76,80]","previouslyFormattedCitation":"[75,76,80]"},"properties":{"noteIndex":0},"schema":"https://github.com/citation-style-language/schema/raw/master/csl-citation.json"}</w:instrText>
      </w:r>
      <w:r>
        <w:rPr>
          <w:b/>
        </w:rPr>
        <w:fldChar w:fldCharType="separate"/>
      </w:r>
      <w:r w:rsidRPr="00824BFE">
        <w:rPr>
          <w:noProof/>
        </w:rPr>
        <w:t>[75,76,80]</w:t>
      </w:r>
      <w:r>
        <w:rPr>
          <w:b/>
        </w:rPr>
        <w:fldChar w:fldCharType="end"/>
      </w:r>
    </w:p>
    <w:p w14:paraId="3856A05D" w14:textId="77777777" w:rsidR="00824BFE" w:rsidRPr="00DA2BC8" w:rsidRDefault="00824BFE" w:rsidP="00824BFE">
      <w:pPr>
        <w:ind w:right="50" w:firstLine="709"/>
        <w:contextualSpacing/>
      </w:pPr>
      <w:r w:rsidRPr="00DA2BC8">
        <w:t xml:space="preserve">Инфекция возникает преимущественно у </w:t>
      </w:r>
      <w:r>
        <w:t>пациентов</w:t>
      </w:r>
      <w:r w:rsidRPr="00DA2BC8">
        <w:t xml:space="preserve"> с Т-клеточным иммунодефицитом, </w:t>
      </w:r>
      <w:r>
        <w:t>в первую очередь,</w:t>
      </w:r>
      <w:r w:rsidRPr="00DA2BC8">
        <w:t xml:space="preserve"> у </w:t>
      </w:r>
      <w:r>
        <w:t>гематологических пациентов</w:t>
      </w:r>
      <w:r w:rsidRPr="00DA2BC8">
        <w:t xml:space="preserve"> с лимфатическими опухолями</w:t>
      </w:r>
      <w:r>
        <w:t>, в том числе, ХЛЛ/ЛМЛ,</w:t>
      </w:r>
      <w:r w:rsidRPr="00DA2BC8">
        <w:t xml:space="preserve"> и характеризуется частым поражением ЦНС в виде менингита или менингоэнцефалита. Основным возбудителем криптококкоза является </w:t>
      </w:r>
      <w:r w:rsidRPr="00DA2BC8">
        <w:rPr>
          <w:i/>
          <w:iCs/>
        </w:rPr>
        <w:t>Cryptococcus neoformans</w:t>
      </w:r>
      <w:r w:rsidRPr="00DA2BC8">
        <w:t xml:space="preserve">, реже заболевание вызывают </w:t>
      </w:r>
      <w:r w:rsidRPr="00DA2BC8">
        <w:rPr>
          <w:i/>
          <w:iCs/>
        </w:rPr>
        <w:t>C. gattii</w:t>
      </w:r>
      <w:r w:rsidRPr="00DA2BC8">
        <w:t xml:space="preserve">, крайне редко – </w:t>
      </w:r>
      <w:r w:rsidRPr="00DA2BC8">
        <w:rPr>
          <w:i/>
          <w:iCs/>
        </w:rPr>
        <w:t>C. laurentii</w:t>
      </w:r>
      <w:r w:rsidRPr="00DA2BC8">
        <w:t xml:space="preserve"> и </w:t>
      </w:r>
      <w:r w:rsidRPr="00DA2BC8">
        <w:rPr>
          <w:i/>
          <w:iCs/>
        </w:rPr>
        <w:t>С. albidus</w:t>
      </w:r>
      <w:r w:rsidRPr="00DA2BC8">
        <w:t>. К факторам риска относят применение глюкокортикоидных и иммуносупрессивных препаратов, таких как флударабин</w:t>
      </w:r>
      <w:r>
        <w:t xml:space="preserve"> и др</w:t>
      </w:r>
      <w:r w:rsidRPr="00DA2BC8">
        <w:t>.</w:t>
      </w:r>
    </w:p>
    <w:p w14:paraId="6E52E7AC" w14:textId="77777777" w:rsidR="00824BFE" w:rsidRPr="00CB7689" w:rsidRDefault="00824BFE" w:rsidP="00824BFE">
      <w:pPr>
        <w:ind w:right="50" w:firstLine="709"/>
        <w:contextualSpacing/>
        <w:rPr>
          <w:i/>
          <w:iCs/>
          <w:u w:val="single"/>
        </w:rPr>
      </w:pPr>
      <w:r w:rsidRPr="00CB7689">
        <w:rPr>
          <w:i/>
          <w:iCs/>
          <w:u w:val="single"/>
        </w:rPr>
        <w:t>Симптомы</w:t>
      </w:r>
    </w:p>
    <w:p w14:paraId="7D8EB428" w14:textId="77777777" w:rsidR="00824BFE" w:rsidRPr="00DA2BC8" w:rsidRDefault="00824BFE" w:rsidP="00824BFE">
      <w:pPr>
        <w:ind w:right="50" w:firstLine="709"/>
        <w:contextualSpacing/>
      </w:pPr>
      <w:r w:rsidRPr="00DA2BC8">
        <w:t xml:space="preserve">Основное проявление – менингоэнцефалит. У </w:t>
      </w:r>
      <w:r>
        <w:t>гематологических пациентов</w:t>
      </w:r>
      <w:r w:rsidRPr="00DA2BC8">
        <w:t xml:space="preserve">, в отличие от ВИЧ-инфицированных пациентов, симптомы криптококкового менингита и менигоэнцефалита не столь выражены, чаще всего беспокоят повышение температуры, головная боль, нарушение сознания, а при запоздалом лечении развивается сопор. У 30-50% </w:t>
      </w:r>
      <w:r>
        <w:t>пациентов</w:t>
      </w:r>
      <w:r w:rsidRPr="00DA2BC8">
        <w:t xml:space="preserve"> с криптококкозом удается выделить </w:t>
      </w:r>
      <w:r w:rsidRPr="00DA2BC8">
        <w:rPr>
          <w:i/>
          <w:iCs/>
        </w:rPr>
        <w:t>Cryptococcus</w:t>
      </w:r>
      <w:r w:rsidRPr="00DA2BC8">
        <w:t xml:space="preserve"> spp</w:t>
      </w:r>
      <w:r>
        <w:t>. из гемокультуры. У 25-50% пациентов с</w:t>
      </w:r>
      <w:r w:rsidRPr="00DA2BC8">
        <w:t xml:space="preserve"> криптококкозом возникает диссеминация в других органов, такие как простата, кожа, печень, почки, селезенка и кости. Инфицирование простаты может являться источником реактивации криптококкоза после прекращения лечения. Клинические проявления криптококкоза неспецифичны и зависят от локализации процесса. </w:t>
      </w:r>
    </w:p>
    <w:p w14:paraId="66A25A57" w14:textId="77777777" w:rsidR="00824BFE" w:rsidRPr="00CB7689" w:rsidRDefault="00824BFE" w:rsidP="00824BFE">
      <w:pPr>
        <w:ind w:right="50" w:firstLine="709"/>
        <w:contextualSpacing/>
        <w:rPr>
          <w:i/>
          <w:iCs/>
          <w:u w:val="single"/>
        </w:rPr>
      </w:pPr>
      <w:r w:rsidRPr="00CB7689">
        <w:rPr>
          <w:i/>
          <w:iCs/>
          <w:u w:val="single"/>
        </w:rPr>
        <w:t>Диагностика</w:t>
      </w:r>
    </w:p>
    <w:p w14:paraId="7D70A686" w14:textId="77777777" w:rsidR="00824BFE" w:rsidRPr="00C17F87" w:rsidRDefault="00824BFE" w:rsidP="00824BFE">
      <w:pPr>
        <w:ind w:right="50" w:firstLine="709"/>
        <w:contextualSpacing/>
      </w:pPr>
      <w:r>
        <w:t xml:space="preserve">Для диагностики проводят необходимые иснтрументальные и лабораторные исследования, манипуляции – КТ/МРТ грудной, брюшной полостей, малого таза, костей, головного и спинного мозга (по показаниям с контрастированием), люмбальные пункции с исследованием физико-химических свойств ликвора, а также цитологическим, молекулярно-биологическим исследованием, посевы (микробиологические / бактериологические исследования) крови и ликвора, другие исследования и консультации специалистов (невролога, окулиста, нейрохирурга, уролога, хирурга  и др. по показаниям). </w:t>
      </w:r>
    </w:p>
    <w:p w14:paraId="65B16A99" w14:textId="77777777" w:rsidR="00824BFE" w:rsidRDefault="00824BFE" w:rsidP="00824BFE">
      <w:pPr>
        <w:ind w:right="50" w:firstLine="709"/>
        <w:contextualSpacing/>
      </w:pPr>
      <w:r w:rsidRPr="00DA2BC8">
        <w:t>Диагноз устанавливают на основании</w:t>
      </w:r>
      <w:r>
        <w:t>:</w:t>
      </w:r>
    </w:p>
    <w:p w14:paraId="62535C9A" w14:textId="77777777" w:rsidR="00824BFE" w:rsidRDefault="00824BFE" w:rsidP="00C5490F">
      <w:pPr>
        <w:pStyle w:val="afe"/>
        <w:widowControl w:val="0"/>
        <w:numPr>
          <w:ilvl w:val="0"/>
          <w:numId w:val="98"/>
        </w:numPr>
        <w:autoSpaceDE w:val="0"/>
        <w:autoSpaceDN w:val="0"/>
        <w:adjustRightInd w:val="0"/>
        <w:ind w:right="50"/>
      </w:pPr>
      <w:r w:rsidRPr="00444F93">
        <w:t xml:space="preserve">выделения </w:t>
      </w:r>
      <w:r w:rsidRPr="00444F93">
        <w:rPr>
          <w:i/>
          <w:iCs/>
        </w:rPr>
        <w:t xml:space="preserve">Cryptococcus </w:t>
      </w:r>
      <w:r w:rsidRPr="00444F93">
        <w:t xml:space="preserve">spp. из гемокультуры или СМЖ, или обнаружения дрожжеподобных грибов в СМЖ при микроскопии; </w:t>
      </w:r>
    </w:p>
    <w:p w14:paraId="331464CD" w14:textId="77777777" w:rsidR="00824BFE" w:rsidRDefault="00824BFE" w:rsidP="00C5490F">
      <w:pPr>
        <w:pStyle w:val="afe"/>
        <w:widowControl w:val="0"/>
        <w:numPr>
          <w:ilvl w:val="0"/>
          <w:numId w:val="98"/>
        </w:numPr>
        <w:autoSpaceDE w:val="0"/>
        <w:autoSpaceDN w:val="0"/>
        <w:adjustRightInd w:val="0"/>
        <w:ind w:right="50"/>
      </w:pPr>
      <w:r w:rsidRPr="00444F93">
        <w:t xml:space="preserve">определения положительного антигена </w:t>
      </w:r>
      <w:r w:rsidRPr="00444F93">
        <w:rPr>
          <w:i/>
          <w:iCs/>
        </w:rPr>
        <w:t xml:space="preserve">Cryptococcus </w:t>
      </w:r>
      <w:r w:rsidRPr="00444F93">
        <w:t xml:space="preserve">(глюкуроноксиломаннан) в СМЖ. </w:t>
      </w:r>
    </w:p>
    <w:p w14:paraId="306BD2AF" w14:textId="77777777" w:rsidR="00824BFE" w:rsidRPr="00444F93" w:rsidRDefault="00824BFE" w:rsidP="00824BFE">
      <w:pPr>
        <w:ind w:right="50" w:firstLine="708"/>
      </w:pPr>
      <w:r w:rsidRPr="00444F93">
        <w:lastRenderedPageBreak/>
        <w:t xml:space="preserve">Ложноположительные результаты антигена </w:t>
      </w:r>
      <w:r w:rsidRPr="00444F93">
        <w:rPr>
          <w:i/>
          <w:iCs/>
        </w:rPr>
        <w:t xml:space="preserve">Cryptococcus </w:t>
      </w:r>
      <w:r w:rsidRPr="00444F93">
        <w:t xml:space="preserve">могут быть при инфекциях, вызванными </w:t>
      </w:r>
      <w:r w:rsidRPr="00444F93">
        <w:rPr>
          <w:i/>
          <w:iCs/>
        </w:rPr>
        <w:t>Trichosporon</w:t>
      </w:r>
      <w:r w:rsidRPr="00444F93">
        <w:t xml:space="preserve"> или </w:t>
      </w:r>
      <w:r w:rsidRPr="00444F93">
        <w:rPr>
          <w:i/>
          <w:iCs/>
        </w:rPr>
        <w:t>Capnocytophaga canimorsus</w:t>
      </w:r>
      <w:r w:rsidRPr="00444F93">
        <w:t xml:space="preserve">, или </w:t>
      </w:r>
      <w:r w:rsidRPr="00444F93">
        <w:rPr>
          <w:i/>
          <w:iCs/>
        </w:rPr>
        <w:t>Stomatococcus mucilaginosis,</w:t>
      </w:r>
      <w:r w:rsidRPr="00444F93">
        <w:t xml:space="preserve"> или при обнаружении ревматоидного фактора. </w:t>
      </w:r>
    </w:p>
    <w:p w14:paraId="337E3E9E" w14:textId="77777777" w:rsidR="00824BFE" w:rsidRPr="00CB7689" w:rsidRDefault="00824BFE" w:rsidP="00824BFE">
      <w:pPr>
        <w:ind w:right="50" w:firstLine="709"/>
        <w:contextualSpacing/>
        <w:rPr>
          <w:i/>
          <w:iCs/>
          <w:u w:val="single"/>
        </w:rPr>
      </w:pPr>
      <w:r w:rsidRPr="00CB7689">
        <w:rPr>
          <w:i/>
          <w:iCs/>
          <w:u w:val="single"/>
        </w:rPr>
        <w:t>Лечение</w:t>
      </w:r>
    </w:p>
    <w:p w14:paraId="0D351256" w14:textId="77777777" w:rsidR="00824BFE" w:rsidRPr="00DA2BC8" w:rsidRDefault="00824BFE" w:rsidP="00824BFE">
      <w:pPr>
        <w:ind w:right="50" w:firstLine="709"/>
        <w:contextualSpacing/>
      </w:pPr>
      <w:r w:rsidRPr="00DA2BC8">
        <w:t xml:space="preserve">Лечение криптококкоза длительное и включает этапы индукции, консолидации и поддерживания. </w:t>
      </w:r>
      <w:r w:rsidRPr="00DA2BC8">
        <w:rPr>
          <w:bCs/>
        </w:rPr>
        <w:t>Этап индукции составляет</w:t>
      </w:r>
      <w:r w:rsidRPr="00DA2BC8">
        <w:t xml:space="preserve"> от 2 до 6 недель и включает назначение амфотерицина В (0,7-1,0 мг/кг внутривенно в сутки) или сочетание амфотерицина В (0,7-1,0 мг/кг) с флуцитозином (100 мг/кг в сутки, эту дозу разделяют на 4 приема). Флуцитозин вводят не более 2 недель. При криптококкозе ЦНС длительность этого этапа лечения составляет 6 недель. Липидную форму амфотерицина В (липосомальный амфотерицин В 3-4 мг/кг или липидный комплекс амфотерицина В 5 мг/кг) назначают при непереносимости или токсичности, возникшей при использовании обычного амфотерцина В. </w:t>
      </w:r>
      <w:r w:rsidRPr="00DA2BC8">
        <w:rPr>
          <w:bCs/>
        </w:rPr>
        <w:t>Этап консолидации</w:t>
      </w:r>
      <w:r w:rsidRPr="00DA2BC8">
        <w:t xml:space="preserve"> длится 8 недель</w:t>
      </w:r>
      <w:r>
        <w:t xml:space="preserve">, </w:t>
      </w:r>
      <w:r w:rsidRPr="00DA2BC8">
        <w:t xml:space="preserve">для лечнения используют флуконазол (400 мг 1 раз в сутки внутривенно или перорально), далее на </w:t>
      </w:r>
      <w:r w:rsidRPr="00DA2BC8">
        <w:rPr>
          <w:bCs/>
        </w:rPr>
        <w:t>этапе поддерживания доза флуконазола составляет</w:t>
      </w:r>
      <w:r w:rsidRPr="00DA2BC8">
        <w:t xml:space="preserve"> 200 мг 1 раз в сутки внутривенно или перорально. Альтернативный препарат для лечения криптококкоза – вориконазол (дозирование как при инвазивном аспергиллезе).</w:t>
      </w:r>
    </w:p>
    <w:p w14:paraId="480D260A" w14:textId="77777777" w:rsidR="00824BFE" w:rsidRDefault="00824BFE" w:rsidP="00824BFE">
      <w:pPr>
        <w:pStyle w:val="afe"/>
        <w:ind w:left="1069" w:right="50"/>
        <w:rPr>
          <w:b/>
          <w:bCs/>
        </w:rPr>
      </w:pPr>
    </w:p>
    <w:p w14:paraId="3B791B56" w14:textId="0F7C9135" w:rsidR="00824BFE" w:rsidRPr="00084B8B" w:rsidRDefault="00824BFE" w:rsidP="00824BFE">
      <w:pPr>
        <w:ind w:right="49"/>
        <w:contextualSpacing/>
        <w:rPr>
          <w:bCs/>
          <w:u w:val="single"/>
        </w:rPr>
      </w:pPr>
      <w:r w:rsidRPr="00CB7689">
        <w:rPr>
          <w:bCs/>
          <w:u w:val="single"/>
        </w:rPr>
        <w:t>Микозы, вызванные редкими дрожжеподобными грибами</w:t>
      </w:r>
      <w:r w:rsidRPr="00084B8B">
        <w:rPr>
          <w:bCs/>
          <w:u w:val="single"/>
        </w:rPr>
        <w:t xml:space="preserve"> </w:t>
      </w:r>
      <w:r>
        <w:rPr>
          <w:b/>
        </w:rPr>
        <w:fldChar w:fldCharType="begin" w:fldLock="1"/>
      </w:r>
      <w:r w:rsidR="00531C4D">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mendeley":{"formattedCitation":"[75,76,80]","plainTextFormattedCitation":"[75,76,80]","previouslyFormattedCitation":"[75,76,80]"},"properties":{"noteIndex":0},"schema":"https://github.com/citation-style-language/schema/raw/master/csl-citation.json"}</w:instrText>
      </w:r>
      <w:r>
        <w:rPr>
          <w:b/>
        </w:rPr>
        <w:fldChar w:fldCharType="separate"/>
      </w:r>
      <w:r w:rsidRPr="00824BFE">
        <w:rPr>
          <w:noProof/>
        </w:rPr>
        <w:t>[75,76,80]</w:t>
      </w:r>
      <w:r>
        <w:rPr>
          <w:b/>
        </w:rPr>
        <w:fldChar w:fldCharType="end"/>
      </w:r>
    </w:p>
    <w:p w14:paraId="301A7395" w14:textId="77777777" w:rsidR="00824BFE" w:rsidRPr="00DA2BC8" w:rsidRDefault="00824BFE" w:rsidP="00824BFE">
      <w:pPr>
        <w:ind w:right="50" w:firstLine="709"/>
        <w:contextualSpacing/>
      </w:pPr>
      <w:r w:rsidRPr="00DA2BC8">
        <w:t>Общая характеристика для грибов этой группы –</w:t>
      </w:r>
      <w:r>
        <w:t xml:space="preserve"> </w:t>
      </w:r>
      <w:r w:rsidRPr="00DA2BC8">
        <w:t xml:space="preserve">низкая вирулентность, широкое распространение в природе, частая колонизация кожи и слизистых оболочек человека, природная устойчивость к эхинокандинам, за исключением </w:t>
      </w:r>
      <w:r w:rsidRPr="00DA2BC8">
        <w:rPr>
          <w:i/>
          <w:iCs/>
        </w:rPr>
        <w:t>Saccharomyces</w:t>
      </w:r>
      <w:r w:rsidRPr="00DA2BC8">
        <w:t xml:space="preserve"> spp., вызывают поверхностные инфекции в общей популяции </w:t>
      </w:r>
      <w:r>
        <w:t>пациентов</w:t>
      </w:r>
      <w:r w:rsidRPr="00DA2BC8">
        <w:t xml:space="preserve">. Грибы этой категории редко вызывают инвазивные микозы у имммунокомпрометированных </w:t>
      </w:r>
      <w:r>
        <w:t>пациентов</w:t>
      </w:r>
      <w:r w:rsidRPr="00DA2BC8">
        <w:t xml:space="preserve">х. В общей структуре фунгемий редкие дрожжеподобные грибы занимают от 1% до 5%. Как правило, микробиологическим подтверждением является выделение грибов из гемокультуры. Заболевание возникает у тяжелой категории </w:t>
      </w:r>
      <w:r>
        <w:t>гематологических пациентов</w:t>
      </w:r>
      <w:r w:rsidRPr="00DA2BC8">
        <w:t xml:space="preserve">, включая </w:t>
      </w:r>
      <w:r>
        <w:t>пациентов с</w:t>
      </w:r>
      <w:r w:rsidRPr="00DA2BC8">
        <w:t xml:space="preserve"> острыми л</w:t>
      </w:r>
      <w:r>
        <w:t>ейкозами, реципиентов аллогенных</w:t>
      </w:r>
      <w:r w:rsidRPr="00DA2BC8">
        <w:t xml:space="preserve"> СГК</w:t>
      </w:r>
      <w:r>
        <w:t xml:space="preserve"> и др.</w:t>
      </w:r>
      <w:r w:rsidRPr="00DA2BC8">
        <w:t xml:space="preserve"> Крайне важно провести идентификацию до вида всех дрожжеподобных грибов, выделенных из стерильных локусов, с помощью современных тест-систем или масс-спектрометрии. К редким дрожжеподобным грибам относят </w:t>
      </w:r>
      <w:r w:rsidRPr="00DA2BC8">
        <w:rPr>
          <w:i/>
          <w:iCs/>
        </w:rPr>
        <w:t xml:space="preserve">Geotrichum </w:t>
      </w:r>
      <w:r w:rsidRPr="00DA2BC8">
        <w:t xml:space="preserve">spp., </w:t>
      </w:r>
      <w:r w:rsidRPr="00DA2BC8">
        <w:rPr>
          <w:i/>
          <w:iCs/>
        </w:rPr>
        <w:t>Rhodotorula</w:t>
      </w:r>
      <w:r w:rsidRPr="00DA2BC8">
        <w:t xml:space="preserve"> spp., </w:t>
      </w:r>
      <w:r w:rsidRPr="00DA2BC8">
        <w:rPr>
          <w:i/>
          <w:iCs/>
        </w:rPr>
        <w:t>Saccharomyces</w:t>
      </w:r>
      <w:r w:rsidRPr="00DA2BC8">
        <w:t xml:space="preserve"> spp., </w:t>
      </w:r>
      <w:r w:rsidRPr="00DA2BC8">
        <w:rPr>
          <w:i/>
          <w:iCs/>
        </w:rPr>
        <w:t>Trichosporon</w:t>
      </w:r>
      <w:r w:rsidRPr="00DA2BC8">
        <w:t xml:space="preserve"> spp., </w:t>
      </w:r>
      <w:r w:rsidRPr="00DA2BC8">
        <w:rPr>
          <w:i/>
          <w:iCs/>
        </w:rPr>
        <w:t>Malassezia</w:t>
      </w:r>
      <w:r w:rsidRPr="00DA2BC8">
        <w:t xml:space="preserve"> spp., </w:t>
      </w:r>
      <w:r w:rsidRPr="00DA2BC8">
        <w:rPr>
          <w:i/>
          <w:iCs/>
        </w:rPr>
        <w:t>Pichia anomala, Saprochaete capitata</w:t>
      </w:r>
    </w:p>
    <w:p w14:paraId="01D0DD98" w14:textId="77777777" w:rsidR="00824BFE" w:rsidRPr="004D35FC" w:rsidRDefault="00824BFE" w:rsidP="00824BFE">
      <w:pPr>
        <w:ind w:right="50" w:firstLine="709"/>
        <w:contextualSpacing/>
        <w:rPr>
          <w:i/>
          <w:iCs/>
        </w:rPr>
      </w:pPr>
      <w:r w:rsidRPr="00C553B6">
        <w:rPr>
          <w:i/>
          <w:iCs/>
          <w:u w:val="single"/>
        </w:rPr>
        <w:t>Микозы</w:t>
      </w:r>
      <w:r w:rsidRPr="004D35FC">
        <w:rPr>
          <w:i/>
          <w:iCs/>
          <w:u w:val="single"/>
        </w:rPr>
        <w:t xml:space="preserve">, </w:t>
      </w:r>
      <w:r w:rsidRPr="00C553B6">
        <w:rPr>
          <w:i/>
          <w:iCs/>
          <w:u w:val="single"/>
        </w:rPr>
        <w:t>вызванные</w:t>
      </w:r>
      <w:r w:rsidRPr="004D35FC">
        <w:rPr>
          <w:i/>
          <w:iCs/>
          <w:u w:val="single"/>
        </w:rPr>
        <w:t xml:space="preserve"> </w:t>
      </w:r>
      <w:r w:rsidRPr="00C553B6">
        <w:rPr>
          <w:i/>
          <w:iCs/>
          <w:u w:val="single"/>
          <w:lang w:val="en-US"/>
        </w:rPr>
        <w:t>Saprochaete</w:t>
      </w:r>
      <w:r w:rsidRPr="004D35FC">
        <w:rPr>
          <w:i/>
          <w:iCs/>
          <w:u w:val="single"/>
        </w:rPr>
        <w:t xml:space="preserve"> </w:t>
      </w:r>
      <w:r w:rsidRPr="00C553B6">
        <w:rPr>
          <w:i/>
          <w:iCs/>
          <w:u w:val="single"/>
          <w:lang w:val="en-US"/>
        </w:rPr>
        <w:t>capitat</w:t>
      </w:r>
      <w:r w:rsidRPr="00C553B6">
        <w:rPr>
          <w:i/>
          <w:iCs/>
          <w:lang w:val="en-US"/>
        </w:rPr>
        <w:t>a</w:t>
      </w:r>
      <w:r w:rsidRPr="004D35FC">
        <w:rPr>
          <w:i/>
          <w:iCs/>
          <w:u w:val="single"/>
        </w:rPr>
        <w:t xml:space="preserve"> (</w:t>
      </w:r>
      <w:r w:rsidRPr="00C553B6">
        <w:rPr>
          <w:i/>
          <w:iCs/>
          <w:u w:val="single"/>
        </w:rPr>
        <w:t>синонимы</w:t>
      </w:r>
      <w:r w:rsidRPr="004D35FC">
        <w:rPr>
          <w:i/>
          <w:iCs/>
          <w:u w:val="single"/>
        </w:rPr>
        <w:t xml:space="preserve"> </w:t>
      </w:r>
      <w:r w:rsidRPr="00C553B6">
        <w:rPr>
          <w:i/>
          <w:iCs/>
          <w:u w:val="single"/>
          <w:lang w:val="en-US"/>
        </w:rPr>
        <w:t>Trichosporon</w:t>
      </w:r>
      <w:r w:rsidRPr="004D35FC">
        <w:rPr>
          <w:i/>
          <w:iCs/>
          <w:u w:val="single"/>
        </w:rPr>
        <w:t xml:space="preserve"> </w:t>
      </w:r>
      <w:r w:rsidRPr="00C553B6">
        <w:rPr>
          <w:i/>
          <w:iCs/>
          <w:u w:val="single"/>
          <w:lang w:val="en-US"/>
        </w:rPr>
        <w:t>capitatum</w:t>
      </w:r>
      <w:r w:rsidRPr="004D35FC">
        <w:rPr>
          <w:i/>
          <w:iCs/>
          <w:u w:val="single"/>
        </w:rPr>
        <w:t xml:space="preserve">, </w:t>
      </w:r>
      <w:r w:rsidRPr="00C553B6">
        <w:rPr>
          <w:i/>
          <w:iCs/>
          <w:u w:val="single"/>
          <w:lang w:val="en-US"/>
        </w:rPr>
        <w:t>Geotrichum</w:t>
      </w:r>
      <w:r w:rsidRPr="004D35FC">
        <w:rPr>
          <w:i/>
          <w:iCs/>
          <w:u w:val="single"/>
        </w:rPr>
        <w:t xml:space="preserve"> </w:t>
      </w:r>
      <w:r w:rsidRPr="00C553B6">
        <w:rPr>
          <w:i/>
          <w:iCs/>
          <w:u w:val="single"/>
          <w:lang w:val="en-US"/>
        </w:rPr>
        <w:t>capitatum</w:t>
      </w:r>
      <w:r w:rsidRPr="004D35FC">
        <w:rPr>
          <w:i/>
          <w:iCs/>
          <w:u w:val="single"/>
        </w:rPr>
        <w:t xml:space="preserve">, </w:t>
      </w:r>
      <w:r w:rsidRPr="00C553B6">
        <w:rPr>
          <w:i/>
          <w:iCs/>
          <w:u w:val="single"/>
          <w:lang w:val="en-US"/>
        </w:rPr>
        <w:t>Ascotrichosporon</w:t>
      </w:r>
      <w:r w:rsidRPr="004D35FC">
        <w:rPr>
          <w:i/>
          <w:iCs/>
          <w:u w:val="single"/>
        </w:rPr>
        <w:t xml:space="preserve"> </w:t>
      </w:r>
      <w:r w:rsidRPr="00C553B6">
        <w:rPr>
          <w:i/>
          <w:iCs/>
          <w:u w:val="single"/>
          <w:lang w:val="en-US"/>
        </w:rPr>
        <w:t>capitatum</w:t>
      </w:r>
      <w:r w:rsidRPr="004D35FC">
        <w:rPr>
          <w:i/>
          <w:iCs/>
          <w:u w:val="single"/>
        </w:rPr>
        <w:t xml:space="preserve">, </w:t>
      </w:r>
      <w:r w:rsidRPr="00C553B6">
        <w:rPr>
          <w:i/>
          <w:iCs/>
          <w:u w:val="single"/>
          <w:lang w:val="en-US"/>
        </w:rPr>
        <w:t>Blastoschizomyces</w:t>
      </w:r>
      <w:r w:rsidRPr="004D35FC">
        <w:rPr>
          <w:i/>
          <w:iCs/>
          <w:u w:val="single"/>
        </w:rPr>
        <w:t xml:space="preserve"> </w:t>
      </w:r>
      <w:r w:rsidRPr="00C553B6">
        <w:rPr>
          <w:i/>
          <w:iCs/>
          <w:u w:val="single"/>
          <w:lang w:val="en-US"/>
        </w:rPr>
        <w:t>capitatus</w:t>
      </w:r>
      <w:r w:rsidRPr="004D35FC">
        <w:rPr>
          <w:i/>
          <w:iCs/>
          <w:u w:val="single"/>
        </w:rPr>
        <w:t>)</w:t>
      </w:r>
    </w:p>
    <w:p w14:paraId="44D1C81E" w14:textId="77777777" w:rsidR="00824BFE" w:rsidRPr="00DA2BC8" w:rsidRDefault="00824BFE" w:rsidP="00824BFE">
      <w:pPr>
        <w:ind w:right="50" w:firstLine="709"/>
        <w:contextualSpacing/>
        <w:rPr>
          <w:b/>
          <w:bCs/>
          <w:i/>
          <w:iCs/>
        </w:rPr>
      </w:pPr>
      <w:r w:rsidRPr="00DA2BC8">
        <w:t xml:space="preserve">В структуре фунгемий не превышают 0,5%. Фунгемии, вызванные </w:t>
      </w:r>
      <w:r w:rsidRPr="00DA2BC8">
        <w:rPr>
          <w:i/>
          <w:iCs/>
        </w:rPr>
        <w:t>S. capitat</w:t>
      </w:r>
      <w:r w:rsidRPr="00DA2BC8">
        <w:rPr>
          <w:i/>
        </w:rPr>
        <w:t>a</w:t>
      </w:r>
      <w:r w:rsidRPr="00DA2BC8">
        <w:t xml:space="preserve"> в сравнении с </w:t>
      </w:r>
      <w:r w:rsidRPr="00DA2BC8">
        <w:rPr>
          <w:i/>
          <w:iCs/>
        </w:rPr>
        <w:t>Candida</w:t>
      </w:r>
      <w:r w:rsidRPr="00DA2BC8">
        <w:t xml:space="preserve"> spp, характеризуются высокой частотой диссеминации в </w:t>
      </w:r>
      <w:r w:rsidRPr="00DA2BC8">
        <w:lastRenderedPageBreak/>
        <w:t>паренхиматозные органы (60-80%) и высокой летальностью (50-60%). К факторам риска относят нейтропению, наличие ЦВК.</w:t>
      </w:r>
      <w:r w:rsidRPr="00DA2BC8">
        <w:rPr>
          <w:b/>
          <w:bCs/>
          <w:i/>
          <w:iCs/>
        </w:rPr>
        <w:t xml:space="preserve"> </w:t>
      </w:r>
      <w:r w:rsidRPr="00DA2BC8">
        <w:rPr>
          <w:bCs/>
        </w:rPr>
        <w:t>Диагноз ставят на основании выделения</w:t>
      </w:r>
      <w:r w:rsidRPr="00DA2BC8">
        <w:rPr>
          <w:b/>
          <w:bCs/>
        </w:rPr>
        <w:t xml:space="preserve"> </w:t>
      </w:r>
      <w:r w:rsidRPr="00DA2BC8">
        <w:rPr>
          <w:i/>
          <w:iCs/>
        </w:rPr>
        <w:t>S. capitat</w:t>
      </w:r>
      <w:r w:rsidRPr="00DA2BC8">
        <w:rPr>
          <w:i/>
        </w:rPr>
        <w:t>a</w:t>
      </w:r>
      <w:r w:rsidRPr="00DA2BC8">
        <w:t xml:space="preserve"> из гемокультуры, хотя бы однократном, или из биоптатов органов и тканей. Идентификацию до вида проводят с помощью современных тест-систем или масс-спектрометрии, а не на основании микроскопии или культуральных свойств. </w:t>
      </w:r>
      <w:r w:rsidRPr="00DA2BC8">
        <w:rPr>
          <w:bCs/>
          <w:iCs/>
        </w:rPr>
        <w:t xml:space="preserve">Во всех случаях </w:t>
      </w:r>
      <w:r w:rsidRPr="00DA2BC8">
        <w:t xml:space="preserve">выделении </w:t>
      </w:r>
      <w:r w:rsidRPr="00DA2BC8">
        <w:rPr>
          <w:i/>
          <w:iCs/>
        </w:rPr>
        <w:t>S. capitat</w:t>
      </w:r>
      <w:r w:rsidRPr="00DA2BC8">
        <w:rPr>
          <w:i/>
        </w:rPr>
        <w:t>a</w:t>
      </w:r>
      <w:r w:rsidRPr="00DA2BC8">
        <w:t xml:space="preserve"> из гемокультуры выполняют КТ (с контрастированием) или МРТ органов брюшной полости ввиду высокой вероятности диссеминации. Симптомы инфекции, вызванной </w:t>
      </w:r>
      <w:r w:rsidRPr="00DA2BC8">
        <w:rPr>
          <w:i/>
          <w:iCs/>
        </w:rPr>
        <w:t>S. capitat</w:t>
      </w:r>
      <w:r w:rsidRPr="00DA2BC8">
        <w:rPr>
          <w:i/>
        </w:rPr>
        <w:t>a</w:t>
      </w:r>
      <w:r w:rsidRPr="00DA2BC8">
        <w:t xml:space="preserve">, аналогичны симптомам при кандидемии – высокая температура, озноб, гипотензия. </w:t>
      </w:r>
      <w:r w:rsidRPr="00DA2BC8">
        <w:rPr>
          <w:bCs/>
        </w:rPr>
        <w:t>Лечение включает</w:t>
      </w:r>
      <w:r w:rsidRPr="00DA2BC8">
        <w:rPr>
          <w:b/>
          <w:bCs/>
        </w:rPr>
        <w:t xml:space="preserve"> </w:t>
      </w:r>
      <w:r w:rsidRPr="00DA2BC8">
        <w:t>удаление ЦВК во всех случаях, назначение вориконазола (1-й день 12 мг/кг/сутки, внутривенно, доза разделяется на два приема, далее – 8 мг/кг/сутки, при стабилизации состояния – перевод на пероральную форму вориконазола по 200 мг х 2 раза в сутки) или амфотерицина В (1 мг/кг/сутки (+/- флуцитозин)). При отсутствиии эффекта от монотерапии можно использовать сочетание вориконазола с амфотерицином В. Амфотерицина В заменяют на липидные формы амфотерицина В (доза 3-5 мг/кг/сутки) в случаях повышения креатинина, непереносимости амофотерицина В, неэффективности.</w:t>
      </w:r>
      <w:r w:rsidRPr="00DA2BC8">
        <w:rPr>
          <w:b/>
          <w:bCs/>
          <w:i/>
          <w:iCs/>
        </w:rPr>
        <w:t xml:space="preserve"> </w:t>
      </w:r>
      <w:r w:rsidRPr="00DA2BC8">
        <w:t xml:space="preserve">Против </w:t>
      </w:r>
      <w:r w:rsidRPr="00DA2BC8">
        <w:rPr>
          <w:i/>
          <w:iCs/>
        </w:rPr>
        <w:t>S. capitata</w:t>
      </w:r>
      <w:r w:rsidRPr="00DA2BC8">
        <w:t xml:space="preserve"> проявляют активность </w:t>
      </w:r>
      <w:r w:rsidRPr="00DA2BC8">
        <w:rPr>
          <w:i/>
          <w:iCs/>
        </w:rPr>
        <w:t>in vitro</w:t>
      </w:r>
      <w:r w:rsidRPr="00DA2BC8">
        <w:t xml:space="preserve"> также итраконазол и позаконазол, не активен -- флуконазол.</w:t>
      </w:r>
      <w:r w:rsidRPr="00DA2BC8">
        <w:rPr>
          <w:b/>
          <w:bCs/>
          <w:i/>
          <w:iCs/>
        </w:rPr>
        <w:t xml:space="preserve"> </w:t>
      </w:r>
      <w:r w:rsidRPr="00DA2BC8">
        <w:t xml:space="preserve">Не рекомендовано применение эхинокандины по причине природной резистентности </w:t>
      </w:r>
      <w:r w:rsidRPr="00DA2BC8">
        <w:rPr>
          <w:i/>
          <w:iCs/>
        </w:rPr>
        <w:t>S. capitata.</w:t>
      </w:r>
    </w:p>
    <w:p w14:paraId="3EF6EDB5" w14:textId="77777777" w:rsidR="00824BFE" w:rsidRPr="00C553B6" w:rsidRDefault="00824BFE" w:rsidP="00824BFE">
      <w:pPr>
        <w:ind w:right="50" w:firstLine="709"/>
        <w:contextualSpacing/>
        <w:rPr>
          <w:i/>
          <w:iCs/>
          <w:u w:val="single"/>
        </w:rPr>
      </w:pPr>
      <w:r w:rsidRPr="00C553B6">
        <w:rPr>
          <w:i/>
          <w:iCs/>
          <w:u w:val="single"/>
        </w:rPr>
        <w:t>Микозы, вызванные Malassezia spp.</w:t>
      </w:r>
    </w:p>
    <w:p w14:paraId="220A1C30" w14:textId="77777777" w:rsidR="00824BFE" w:rsidRPr="00DA2BC8" w:rsidRDefault="00824BFE" w:rsidP="00824BFE">
      <w:pPr>
        <w:ind w:right="50" w:firstLine="709"/>
        <w:contextualSpacing/>
      </w:pPr>
      <w:r w:rsidRPr="00DA2BC8">
        <w:t xml:space="preserve">Ведущие возбудителями инвазивных микозов у человека - </w:t>
      </w:r>
      <w:r w:rsidRPr="00DA2BC8">
        <w:rPr>
          <w:i/>
          <w:iCs/>
        </w:rPr>
        <w:t xml:space="preserve">M. furfur </w:t>
      </w:r>
      <w:r w:rsidRPr="00DA2BC8">
        <w:t xml:space="preserve">и </w:t>
      </w:r>
      <w:r w:rsidRPr="00DA2BC8">
        <w:rPr>
          <w:i/>
          <w:iCs/>
        </w:rPr>
        <w:t>M.</w:t>
      </w:r>
      <w:r w:rsidRPr="00DA2BC8">
        <w:t xml:space="preserve"> </w:t>
      </w:r>
      <w:r w:rsidRPr="00DA2BC8">
        <w:rPr>
          <w:i/>
          <w:iCs/>
        </w:rPr>
        <w:t>pachydermatis</w:t>
      </w:r>
      <w:r w:rsidRPr="00DA2BC8">
        <w:t xml:space="preserve">, являются липофильными грибами. Основным проявлением инфекции служит фунгемия, также могут возникать перитонит, эндокардит, пневмония, остеомиелит, менингит. Инфекции, вызванные </w:t>
      </w:r>
      <w:r w:rsidRPr="00DA2BC8">
        <w:rPr>
          <w:i/>
          <w:iCs/>
        </w:rPr>
        <w:t>Malassezia</w:t>
      </w:r>
      <w:r w:rsidRPr="00DA2BC8">
        <w:t xml:space="preserve"> spp. характеризуются нетяжелым течением и низкой летальностью. Ввиду липофильной природы большинства </w:t>
      </w:r>
      <w:r w:rsidRPr="00DA2BC8">
        <w:rPr>
          <w:i/>
          <w:iCs/>
        </w:rPr>
        <w:t xml:space="preserve">Malassezia </w:t>
      </w:r>
      <w:r w:rsidRPr="00DA2BC8">
        <w:t xml:space="preserve">spp., инфекция развивается у больных, получающих парентеральное питание, содержащее жирные кислоты. К другим факторам риска относят наличие ЦВК, перитонеального диализа, иммуносупрессии, тяжелой сопутствующей патологии. Возможны эпидемические вспышки в стационаре. </w:t>
      </w:r>
      <w:r w:rsidRPr="00DA2BC8">
        <w:rPr>
          <w:bCs/>
        </w:rPr>
        <w:t>Диагностика включает</w:t>
      </w:r>
      <w:r w:rsidRPr="00DA2BC8">
        <w:t xml:space="preserve"> выделение </w:t>
      </w:r>
      <w:r w:rsidRPr="00DA2BC8">
        <w:rPr>
          <w:i/>
          <w:iCs/>
        </w:rPr>
        <w:t>Malassezia</w:t>
      </w:r>
      <w:r w:rsidRPr="00DA2BC8">
        <w:t xml:space="preserve"> spp. из гемокультуры или других стерильных образцов (асцитическая жидкость, ликвор, биоптаты органов). Для детекции </w:t>
      </w:r>
      <w:r w:rsidRPr="00DA2BC8">
        <w:rPr>
          <w:i/>
          <w:iCs/>
        </w:rPr>
        <w:t>Malassezia</w:t>
      </w:r>
      <w:r w:rsidRPr="00DA2BC8">
        <w:t xml:space="preserve"> spp. необходимо в питательную среду добавлять жиры (например, стерильное оливковое масло) ввиду их липофильной природы. </w:t>
      </w:r>
      <w:r w:rsidRPr="00DA2BC8">
        <w:rPr>
          <w:bCs/>
        </w:rPr>
        <w:t>Лечение</w:t>
      </w:r>
      <w:r w:rsidRPr="00DA2BC8">
        <w:rPr>
          <w:b/>
          <w:bCs/>
        </w:rPr>
        <w:t xml:space="preserve"> </w:t>
      </w:r>
      <w:r w:rsidRPr="00DA2BC8">
        <w:rPr>
          <w:bCs/>
        </w:rPr>
        <w:t>включает у</w:t>
      </w:r>
      <w:r w:rsidRPr="00DA2BC8">
        <w:t xml:space="preserve">даление ЦВК, прекращение парентерального питания, </w:t>
      </w:r>
      <w:r w:rsidRPr="00DA2BC8">
        <w:rPr>
          <w:bCs/>
        </w:rPr>
        <w:t xml:space="preserve">назначение </w:t>
      </w:r>
      <w:r w:rsidRPr="00DA2BC8">
        <w:t xml:space="preserve">флуконазола  (400 мг), или амфотерицин В (1 мг/кг), или вориконазола (1-й день 12 мг/кг, далее 8 мг/кг). Не рекомендовано назначать эхинокандины ввиду природной резистентности </w:t>
      </w:r>
      <w:r w:rsidRPr="00DA2BC8">
        <w:rPr>
          <w:i/>
          <w:iCs/>
        </w:rPr>
        <w:t>Malassezia</w:t>
      </w:r>
      <w:r w:rsidRPr="00DA2BC8">
        <w:t xml:space="preserve"> spp.</w:t>
      </w:r>
    </w:p>
    <w:p w14:paraId="78E81255" w14:textId="77777777" w:rsidR="00824BFE" w:rsidRPr="00C553B6" w:rsidRDefault="00824BFE" w:rsidP="00824BFE">
      <w:pPr>
        <w:ind w:right="50" w:firstLine="709"/>
        <w:contextualSpacing/>
        <w:rPr>
          <w:i/>
          <w:iCs/>
          <w:u w:val="single"/>
        </w:rPr>
      </w:pPr>
      <w:r w:rsidRPr="00C553B6">
        <w:rPr>
          <w:i/>
          <w:iCs/>
          <w:u w:val="single"/>
        </w:rPr>
        <w:t>Микозы, вызванные Trichosporon spp.</w:t>
      </w:r>
    </w:p>
    <w:p w14:paraId="7A145038" w14:textId="77777777" w:rsidR="00824BFE" w:rsidRPr="00DA2BC8" w:rsidRDefault="00824BFE" w:rsidP="00824BFE">
      <w:pPr>
        <w:ind w:right="50" w:firstLine="709"/>
        <w:contextualSpacing/>
      </w:pPr>
      <w:r w:rsidRPr="00DA2BC8">
        <w:lastRenderedPageBreak/>
        <w:t xml:space="preserve">Эти грибы очень широко распространены в окружающей среде, часто колонизируют кожу, особенно перианальную область, иногда слизистые оболочки верхних дыхательных путей и желудочно-кишечного тракта. Основным проявлением инвазивных микозов, вызванных </w:t>
      </w:r>
      <w:r w:rsidRPr="00DA2BC8">
        <w:rPr>
          <w:i/>
          <w:iCs/>
        </w:rPr>
        <w:t>Trichosporon</w:t>
      </w:r>
      <w:r w:rsidRPr="00DA2BC8">
        <w:t xml:space="preserve"> spp. у </w:t>
      </w:r>
      <w:r>
        <w:t>гематологических пациентов</w:t>
      </w:r>
      <w:r w:rsidRPr="00DA2BC8">
        <w:t xml:space="preserve"> является фунгемия (75%) с последующей диссеминацией в различные органы и ткани организма. Наиболее часто инфекция сопровождается появлением септико-пиемических очагов на коже (50%). Возможны и другие проявления, такие как эндокардит, перитонит, менингит, пиелонефрит и т.д. Для инвазивных микозов, вызванных </w:t>
      </w:r>
      <w:r w:rsidRPr="00DA2BC8">
        <w:rPr>
          <w:i/>
          <w:iCs/>
        </w:rPr>
        <w:t>Trichosporon</w:t>
      </w:r>
      <w:r w:rsidRPr="00DA2BC8">
        <w:t xml:space="preserve"> spp. у больных гемобластозами, характерна высокая летальность (55-80%). Основные возбудители - </w:t>
      </w:r>
      <w:r w:rsidRPr="00DA2BC8">
        <w:rPr>
          <w:i/>
          <w:iCs/>
        </w:rPr>
        <w:t>Trichosporon asahii</w:t>
      </w:r>
      <w:r w:rsidRPr="00DA2BC8">
        <w:t xml:space="preserve"> и </w:t>
      </w:r>
      <w:r w:rsidRPr="00DA2BC8">
        <w:rPr>
          <w:i/>
          <w:iCs/>
        </w:rPr>
        <w:t>Trichosporon dermatis</w:t>
      </w:r>
      <w:r w:rsidRPr="00DA2BC8">
        <w:t xml:space="preserve">. Основными факторами риска развития инфекции являются наличие ЦВК, пребывание в ОРИТ, перитонеальный диализ, лечение глюкокортикостероидами, химиотерапия, внутривенные инъекции наркотических веществ. </w:t>
      </w:r>
      <w:r w:rsidRPr="00DA2BC8">
        <w:rPr>
          <w:bCs/>
        </w:rPr>
        <w:t>Диагностика включает</w:t>
      </w:r>
      <w:r w:rsidRPr="00DA2BC8">
        <w:rPr>
          <w:b/>
          <w:bCs/>
        </w:rPr>
        <w:t xml:space="preserve"> </w:t>
      </w:r>
      <w:r w:rsidRPr="00DA2BC8">
        <w:t xml:space="preserve">выделение </w:t>
      </w:r>
      <w:r w:rsidRPr="00DA2BC8">
        <w:rPr>
          <w:i/>
          <w:iCs/>
        </w:rPr>
        <w:t>Trichosporon</w:t>
      </w:r>
      <w:r w:rsidRPr="00DA2BC8">
        <w:t xml:space="preserve"> spp. из гемокультуры </w:t>
      </w:r>
      <w:r>
        <w:t xml:space="preserve">(кровь) </w:t>
      </w:r>
      <w:r w:rsidRPr="00DA2BC8">
        <w:t>или других стерильных образцов (асцитическая жидкость, ликвор, биоптаты органов</w:t>
      </w:r>
      <w:r>
        <w:t>, и др.</w:t>
      </w:r>
      <w:r w:rsidRPr="00DA2BC8">
        <w:t xml:space="preserve">). Выделение </w:t>
      </w:r>
      <w:r w:rsidRPr="00DA2BC8">
        <w:rPr>
          <w:i/>
          <w:iCs/>
        </w:rPr>
        <w:t>Trichosporon</w:t>
      </w:r>
      <w:r w:rsidRPr="00DA2BC8">
        <w:t xml:space="preserve"> spp. из мочи при наличии гематурии может свидетельствовать о наличии пиелонефрита. Дрожжеподобные грибы </w:t>
      </w:r>
      <w:r w:rsidRPr="00DA2BC8">
        <w:rPr>
          <w:i/>
          <w:iCs/>
        </w:rPr>
        <w:t>Trichosporon</w:t>
      </w:r>
      <w:r w:rsidRPr="00DA2BC8">
        <w:t xml:space="preserve"> spp. продуцируют антигены </w:t>
      </w:r>
      <w:r w:rsidRPr="00DA2BC8">
        <w:rPr>
          <w:i/>
          <w:iCs/>
        </w:rPr>
        <w:t>Cryptococcus</w:t>
      </w:r>
      <w:r w:rsidRPr="00DA2BC8">
        <w:t xml:space="preserve"> spp. (глюкуроноксоломаннан) и </w:t>
      </w:r>
      <w:r w:rsidRPr="00DA2BC8">
        <w:rPr>
          <w:i/>
          <w:iCs/>
        </w:rPr>
        <w:t xml:space="preserve">Aspergillus </w:t>
      </w:r>
      <w:r w:rsidRPr="00DA2BC8">
        <w:t xml:space="preserve">(галактоманнан), поэтому может быть перекрестная реакция для этих антигенов при инфекции, вызванной </w:t>
      </w:r>
      <w:r w:rsidRPr="00DA2BC8">
        <w:rPr>
          <w:i/>
          <w:iCs/>
        </w:rPr>
        <w:t xml:space="preserve">Trichosporon </w:t>
      </w:r>
      <w:r w:rsidRPr="00DA2BC8">
        <w:t xml:space="preserve">spp. На основании обнаружения одновременно положительных антигенов глюкуроноксоломаннана и галактоманнана можно заподозрить инфекцию, вызванную </w:t>
      </w:r>
      <w:r w:rsidRPr="00DA2BC8">
        <w:rPr>
          <w:i/>
          <w:iCs/>
        </w:rPr>
        <w:t>Trichosporon</w:t>
      </w:r>
      <w:r w:rsidRPr="00DA2BC8">
        <w:t xml:space="preserve"> spp., и провести дополнительные исследования гемокультуры. </w:t>
      </w:r>
    </w:p>
    <w:p w14:paraId="78567298" w14:textId="77777777" w:rsidR="00824BFE" w:rsidRPr="00DA2BC8" w:rsidRDefault="00824BFE" w:rsidP="00824BFE">
      <w:pPr>
        <w:ind w:right="50" w:firstLine="709"/>
        <w:contextualSpacing/>
        <w:rPr>
          <w:b/>
          <w:bCs/>
        </w:rPr>
      </w:pPr>
      <w:r w:rsidRPr="00DA2BC8">
        <w:rPr>
          <w:bCs/>
        </w:rPr>
        <w:t xml:space="preserve">Лечение включает </w:t>
      </w:r>
      <w:r w:rsidRPr="00DA2BC8">
        <w:t xml:space="preserve">удаление ЦВК, </w:t>
      </w:r>
      <w:r w:rsidRPr="00DA2BC8">
        <w:rPr>
          <w:bCs/>
        </w:rPr>
        <w:t xml:space="preserve">назначение </w:t>
      </w:r>
      <w:r w:rsidRPr="00DA2BC8">
        <w:t xml:space="preserve">вориконазола в стандартных дозах, альтернативный препарат – флуконазол. Активность флуконазола в отношении </w:t>
      </w:r>
      <w:r w:rsidRPr="00DA2BC8">
        <w:rPr>
          <w:i/>
          <w:iCs/>
        </w:rPr>
        <w:t>Trichosporon</w:t>
      </w:r>
      <w:r w:rsidRPr="00DA2BC8">
        <w:t xml:space="preserve"> spp. вариабельная. Назначение амфотерицина В не рекомендовано ввиду низкой активности в лечении этих инфекций (16-24%).</w:t>
      </w:r>
      <w:r w:rsidRPr="00DA2BC8">
        <w:rPr>
          <w:b/>
          <w:bCs/>
        </w:rPr>
        <w:t xml:space="preserve"> </w:t>
      </w:r>
      <w:r w:rsidRPr="00DA2BC8">
        <w:t xml:space="preserve">Изоляты </w:t>
      </w:r>
      <w:r w:rsidRPr="00DA2BC8">
        <w:rPr>
          <w:i/>
          <w:iCs/>
        </w:rPr>
        <w:t xml:space="preserve">Trichosporon </w:t>
      </w:r>
      <w:r w:rsidRPr="00DA2BC8">
        <w:t>spp. проявляют природную устойчивость к эхинокандинам.</w:t>
      </w:r>
    </w:p>
    <w:p w14:paraId="277733F8" w14:textId="77777777" w:rsidR="00824BFE" w:rsidRPr="00C553B6" w:rsidRDefault="00824BFE" w:rsidP="00824BFE">
      <w:pPr>
        <w:ind w:right="50" w:firstLine="709"/>
        <w:contextualSpacing/>
        <w:rPr>
          <w:i/>
          <w:iCs/>
          <w:u w:val="single"/>
        </w:rPr>
      </w:pPr>
      <w:r w:rsidRPr="00C553B6">
        <w:rPr>
          <w:i/>
          <w:iCs/>
          <w:u w:val="single"/>
        </w:rPr>
        <w:t>Микозы, вызванные Rhodotorula spp.</w:t>
      </w:r>
    </w:p>
    <w:p w14:paraId="23118996" w14:textId="77777777" w:rsidR="00824BFE" w:rsidRPr="00DA2BC8" w:rsidRDefault="00824BFE" w:rsidP="00824BFE">
      <w:pPr>
        <w:ind w:right="50" w:firstLine="709"/>
        <w:contextualSpacing/>
      </w:pPr>
      <w:r>
        <w:t>Эта разновидность грибов ч</w:t>
      </w:r>
      <w:r w:rsidRPr="00DA2BC8">
        <w:t>асто образу</w:t>
      </w:r>
      <w:r>
        <w:t>е</w:t>
      </w:r>
      <w:r w:rsidRPr="00DA2BC8">
        <w:t>т биопленки и способн</w:t>
      </w:r>
      <w:r>
        <w:t>а</w:t>
      </w:r>
      <w:r w:rsidRPr="00DA2BC8">
        <w:t xml:space="preserve"> колонизировать продукты питания, предметы личной гигиены (зубные щетки, душевые принадлежности), различное медицинское оборудование. Основным проявлением инфекции является инфекция кровотока (79%) и в большинстве случаев она ассоциирована с инфицированием ЦВК. Также описаны случаи перитонита, эндокардита, менингита и др. Летальность при инвазивных микозах, вызванных </w:t>
      </w:r>
      <w:r w:rsidRPr="00DA2BC8">
        <w:rPr>
          <w:i/>
          <w:iCs/>
        </w:rPr>
        <w:t>Rhodotorula</w:t>
      </w:r>
      <w:r w:rsidRPr="00DA2BC8">
        <w:t xml:space="preserve"> spp., составляет 12%-14%. Основной возбудитель – </w:t>
      </w:r>
      <w:r w:rsidRPr="00DA2BC8">
        <w:rPr>
          <w:i/>
          <w:iCs/>
        </w:rPr>
        <w:t>R. mucilaginosa (R. rubra)</w:t>
      </w:r>
      <w:r w:rsidRPr="00DA2BC8">
        <w:t xml:space="preserve">, реже </w:t>
      </w:r>
      <w:r w:rsidRPr="00DA2BC8">
        <w:rPr>
          <w:i/>
          <w:iCs/>
        </w:rPr>
        <w:t>R. glutinis</w:t>
      </w:r>
      <w:r w:rsidRPr="00DA2BC8">
        <w:t xml:space="preserve"> и </w:t>
      </w:r>
      <w:r w:rsidRPr="00DA2BC8">
        <w:rPr>
          <w:i/>
          <w:iCs/>
        </w:rPr>
        <w:t>R. minuta.</w:t>
      </w:r>
      <w:r w:rsidRPr="00DA2BC8">
        <w:t xml:space="preserve"> </w:t>
      </w:r>
      <w:r w:rsidRPr="00DA2BC8">
        <w:rPr>
          <w:bCs/>
        </w:rPr>
        <w:t>Факторами риска являются н</w:t>
      </w:r>
      <w:r w:rsidRPr="00DA2BC8">
        <w:t xml:space="preserve">аличие ЦВК, иммуносупрессия, обширные ожоги, перитонеальный диализ, </w:t>
      </w:r>
      <w:r w:rsidRPr="00DA2BC8">
        <w:lastRenderedPageBreak/>
        <w:t xml:space="preserve">цирроз печени, абдоминальные операции, введение наркотических препаратов. </w:t>
      </w:r>
      <w:r w:rsidRPr="00DA2BC8">
        <w:rPr>
          <w:bCs/>
        </w:rPr>
        <w:t xml:space="preserve">Диагностика основана на </w:t>
      </w:r>
      <w:r w:rsidRPr="00DA2BC8">
        <w:t xml:space="preserve">выделении </w:t>
      </w:r>
      <w:r w:rsidRPr="00DA2BC8">
        <w:rPr>
          <w:i/>
          <w:iCs/>
        </w:rPr>
        <w:t>Rhodotorula</w:t>
      </w:r>
      <w:r w:rsidRPr="00DA2BC8">
        <w:t xml:space="preserve"> spp. из гемокультуры или других стерильных образцов (асцитическая жидкость, ликвор, биоптаты органов).</w:t>
      </w:r>
    </w:p>
    <w:p w14:paraId="72D806D2" w14:textId="77777777" w:rsidR="00824BFE" w:rsidRPr="00DA2BC8" w:rsidRDefault="00824BFE" w:rsidP="00824BFE">
      <w:pPr>
        <w:ind w:right="50" w:firstLine="709"/>
        <w:contextualSpacing/>
      </w:pPr>
      <w:r w:rsidRPr="00DA2BC8">
        <w:rPr>
          <w:bCs/>
        </w:rPr>
        <w:t>Лечение включает</w:t>
      </w:r>
      <w:r w:rsidRPr="00DA2BC8">
        <w:rPr>
          <w:b/>
          <w:bCs/>
        </w:rPr>
        <w:t xml:space="preserve"> </w:t>
      </w:r>
      <w:r w:rsidRPr="00DA2BC8">
        <w:t xml:space="preserve">удаление ЦВК, назначение </w:t>
      </w:r>
      <w:r w:rsidRPr="00DA2BC8">
        <w:rPr>
          <w:bCs/>
        </w:rPr>
        <w:t>а</w:t>
      </w:r>
      <w:r w:rsidRPr="00DA2BC8">
        <w:t>мфотерицина В (1 мг/кг/сутки) в монотерапии или в сочетании с флуцитозином,</w:t>
      </w:r>
      <w:r w:rsidRPr="00DA2BC8">
        <w:rPr>
          <w:bCs/>
        </w:rPr>
        <w:t xml:space="preserve"> альтернативный препарат – липидная форма</w:t>
      </w:r>
      <w:r w:rsidRPr="00DA2BC8">
        <w:rPr>
          <w:b/>
          <w:bCs/>
        </w:rPr>
        <w:t xml:space="preserve"> </w:t>
      </w:r>
      <w:r w:rsidRPr="00DA2BC8">
        <w:t>амфотерицина В (3 мг/кг/сутки).</w:t>
      </w:r>
    </w:p>
    <w:p w14:paraId="648AA37E" w14:textId="77777777" w:rsidR="00824BFE" w:rsidRPr="00C553B6" w:rsidRDefault="00824BFE" w:rsidP="00824BFE">
      <w:pPr>
        <w:ind w:right="50" w:firstLine="709"/>
        <w:contextualSpacing/>
        <w:rPr>
          <w:i/>
          <w:iCs/>
          <w:u w:val="single"/>
        </w:rPr>
      </w:pPr>
      <w:r w:rsidRPr="00C553B6">
        <w:rPr>
          <w:i/>
          <w:iCs/>
          <w:u w:val="single"/>
        </w:rPr>
        <w:t>Микозы, вызванные Saccharomyces spp.</w:t>
      </w:r>
    </w:p>
    <w:p w14:paraId="35AF06B2" w14:textId="77777777" w:rsidR="00824BFE" w:rsidRPr="00DA2BC8" w:rsidRDefault="00824BFE" w:rsidP="00824BFE">
      <w:pPr>
        <w:ind w:right="50" w:firstLine="709"/>
        <w:contextualSpacing/>
      </w:pPr>
      <w:r w:rsidRPr="00DA2BC8">
        <w:t xml:space="preserve">Основные представители - </w:t>
      </w:r>
      <w:r w:rsidRPr="00DA2BC8">
        <w:rPr>
          <w:i/>
          <w:iCs/>
        </w:rPr>
        <w:t>Saccharomyces cerevisiae</w:t>
      </w:r>
      <w:r w:rsidRPr="00DA2BC8">
        <w:t xml:space="preserve"> (пекарские дрожжи) и </w:t>
      </w:r>
      <w:r w:rsidRPr="00DA2BC8">
        <w:rPr>
          <w:i/>
          <w:iCs/>
        </w:rPr>
        <w:t>Saccharomyces boulardii</w:t>
      </w:r>
      <w:r w:rsidRPr="00DA2BC8">
        <w:t xml:space="preserve"> (используют в качестве пробиотика при лечении диареи). Оба этих вида филогенетически родственны </w:t>
      </w:r>
      <w:r w:rsidRPr="00DA2BC8">
        <w:rPr>
          <w:i/>
          <w:iCs/>
        </w:rPr>
        <w:t>C. glabrata</w:t>
      </w:r>
      <w:r w:rsidRPr="00DA2BC8">
        <w:t xml:space="preserve">. В этой связи, клинические проявления, диагностика и лечение инфекции схожи с таковыми при кандидемии. Ведущими факторами риска инфекции являются прием пробиотиков, содержащих возбудитель, или пребывание в одной палате с </w:t>
      </w:r>
      <w:r>
        <w:t>пациентом</w:t>
      </w:r>
      <w:r w:rsidRPr="00DA2BC8">
        <w:t xml:space="preserve">, получающим пробиотики. Другими факторами являются нейтропения, кахексия, наличие ЦВК. </w:t>
      </w:r>
      <w:r w:rsidRPr="00DA2BC8">
        <w:rPr>
          <w:bCs/>
        </w:rPr>
        <w:t xml:space="preserve">Диагностика основана на </w:t>
      </w:r>
      <w:r w:rsidRPr="00DA2BC8">
        <w:t xml:space="preserve">выделении </w:t>
      </w:r>
      <w:r w:rsidRPr="00DA2BC8">
        <w:rPr>
          <w:i/>
          <w:iCs/>
        </w:rPr>
        <w:t>Saccharomyces</w:t>
      </w:r>
      <w:r w:rsidRPr="00DA2BC8">
        <w:t xml:space="preserve"> spp., из гемокультуры или других стерильных образцов (асцитическая жидкость, ликвор, биоптаты органов). </w:t>
      </w:r>
      <w:r w:rsidRPr="00DA2BC8">
        <w:rPr>
          <w:bCs/>
        </w:rPr>
        <w:t>Лечение включает отмену</w:t>
      </w:r>
      <w:r w:rsidRPr="00DA2BC8">
        <w:rPr>
          <w:b/>
          <w:bCs/>
        </w:rPr>
        <w:t xml:space="preserve"> </w:t>
      </w:r>
      <w:r w:rsidRPr="00DA2BC8">
        <w:t xml:space="preserve">пробиотика, содержащего </w:t>
      </w:r>
      <w:r w:rsidRPr="00DA2BC8">
        <w:rPr>
          <w:i/>
          <w:iCs/>
        </w:rPr>
        <w:t>S. boulardii</w:t>
      </w:r>
      <w:r w:rsidRPr="00DA2BC8">
        <w:t xml:space="preserve"> (если назначали), назначение препарата выбора - амфотерицина В (1 мг/кг/сутки) или </w:t>
      </w:r>
      <w:r w:rsidRPr="00DA2BC8">
        <w:rPr>
          <w:bCs/>
        </w:rPr>
        <w:t>альтернативного препарата</w:t>
      </w:r>
      <w:r w:rsidRPr="00DA2BC8">
        <w:rPr>
          <w:b/>
          <w:bCs/>
        </w:rPr>
        <w:t xml:space="preserve"> </w:t>
      </w:r>
      <w:r w:rsidRPr="00DA2BC8">
        <w:t>-</w:t>
      </w:r>
      <w:r w:rsidRPr="00DA2BC8">
        <w:rPr>
          <w:bCs/>
        </w:rPr>
        <w:t xml:space="preserve"> липидной формы </w:t>
      </w:r>
      <w:r w:rsidRPr="00DA2BC8">
        <w:t xml:space="preserve">амфотерицина В (3 мг/кг/сутки) или эхинокандина (каспофунгин или микафунгин, или анидулафунгин, в стандартных дозах). </w:t>
      </w:r>
    </w:p>
    <w:p w14:paraId="16A0A00D" w14:textId="77777777" w:rsidR="00824BFE" w:rsidRPr="00C553B6" w:rsidRDefault="00824BFE" w:rsidP="00824BFE">
      <w:pPr>
        <w:ind w:right="50" w:firstLine="709"/>
        <w:contextualSpacing/>
        <w:rPr>
          <w:i/>
          <w:iCs/>
          <w:u w:val="single"/>
          <w:lang w:val="en-US"/>
        </w:rPr>
      </w:pPr>
      <w:r w:rsidRPr="00C553B6">
        <w:rPr>
          <w:i/>
          <w:iCs/>
          <w:u w:val="single"/>
        </w:rPr>
        <w:t>Микозы</w:t>
      </w:r>
      <w:r w:rsidRPr="00C553B6">
        <w:rPr>
          <w:i/>
          <w:iCs/>
          <w:u w:val="single"/>
          <w:lang w:val="en-US"/>
        </w:rPr>
        <w:t xml:space="preserve">, </w:t>
      </w:r>
      <w:r w:rsidRPr="00C553B6">
        <w:rPr>
          <w:i/>
          <w:iCs/>
          <w:u w:val="single"/>
        </w:rPr>
        <w:t>вызванные</w:t>
      </w:r>
      <w:r w:rsidRPr="00C553B6">
        <w:rPr>
          <w:i/>
          <w:iCs/>
          <w:u w:val="single"/>
          <w:lang w:val="en-US"/>
        </w:rPr>
        <w:t xml:space="preserve"> Geotrichum candidum (Galactomyces candidus)</w:t>
      </w:r>
    </w:p>
    <w:p w14:paraId="2B28CDD8" w14:textId="77777777" w:rsidR="00824BFE" w:rsidRPr="00453773" w:rsidRDefault="00824BFE" w:rsidP="00824BFE">
      <w:pPr>
        <w:ind w:right="50" w:firstLine="709"/>
        <w:contextualSpacing/>
        <w:rPr>
          <w:bCs/>
        </w:rPr>
      </w:pPr>
      <w:r w:rsidRPr="00DA2BC8">
        <w:t xml:space="preserve">Генетически родственны </w:t>
      </w:r>
      <w:r w:rsidRPr="00DA2BC8">
        <w:rPr>
          <w:i/>
          <w:iCs/>
        </w:rPr>
        <w:t>S. Capitata</w:t>
      </w:r>
      <w:r>
        <w:rPr>
          <w:i/>
          <w:iCs/>
        </w:rPr>
        <w:t xml:space="preserve">; </w:t>
      </w:r>
      <w:r w:rsidRPr="00453773">
        <w:rPr>
          <w:iCs/>
        </w:rPr>
        <w:t>о</w:t>
      </w:r>
      <w:r w:rsidRPr="00DA2BC8">
        <w:t xml:space="preserve">писаны единичные случаи инвазивной инфекции у </w:t>
      </w:r>
      <w:r>
        <w:t>гематологических пациентов, с</w:t>
      </w:r>
      <w:r w:rsidRPr="00DA2BC8">
        <w:t xml:space="preserve">пособны вызывать эпидемические вспышки в стационарах. </w:t>
      </w:r>
      <w:r w:rsidRPr="00DA2BC8">
        <w:rPr>
          <w:bCs/>
        </w:rPr>
        <w:t xml:space="preserve">В основе диагностики </w:t>
      </w:r>
      <w:r w:rsidRPr="00DA2BC8">
        <w:t xml:space="preserve">выделение грибов из гемокультуры </w:t>
      </w:r>
      <w:r>
        <w:t xml:space="preserve">(кровь) </w:t>
      </w:r>
      <w:r w:rsidRPr="00DA2BC8">
        <w:t>или других стерильных образцов (асцитическая жидкость, ликвор, биоптаты органов</w:t>
      </w:r>
      <w:r>
        <w:t xml:space="preserve"> и др.</w:t>
      </w:r>
      <w:r w:rsidRPr="00DA2BC8">
        <w:t xml:space="preserve">). </w:t>
      </w:r>
      <w:r w:rsidRPr="00DA2BC8">
        <w:rPr>
          <w:bCs/>
        </w:rPr>
        <w:t>Препаратом выбора является а</w:t>
      </w:r>
      <w:r w:rsidRPr="00DA2BC8">
        <w:t xml:space="preserve">мфотерицин В (1 мг/кг/сутки), </w:t>
      </w:r>
      <w:r w:rsidRPr="00DA2BC8">
        <w:rPr>
          <w:bCs/>
        </w:rPr>
        <w:t>альтернатив</w:t>
      </w:r>
      <w:r>
        <w:rPr>
          <w:bCs/>
        </w:rPr>
        <w:t>а</w:t>
      </w:r>
      <w:r w:rsidRPr="00DA2BC8">
        <w:rPr>
          <w:bCs/>
        </w:rPr>
        <w:t xml:space="preserve"> </w:t>
      </w:r>
      <w:r>
        <w:rPr>
          <w:bCs/>
        </w:rPr>
        <w:t>–</w:t>
      </w:r>
      <w:r w:rsidRPr="00DA2BC8">
        <w:rPr>
          <w:bCs/>
        </w:rPr>
        <w:t xml:space="preserve"> липидные формы </w:t>
      </w:r>
      <w:r w:rsidRPr="00DA2BC8">
        <w:t>амфотерицина В (3 мг/кг/сутки). Применение флуконазола, вориконазола и эхинокандинов не рекомендовано.</w:t>
      </w:r>
    </w:p>
    <w:p w14:paraId="576D9702" w14:textId="77777777" w:rsidR="00824BFE" w:rsidRDefault="00824BFE" w:rsidP="00824BFE">
      <w:pPr>
        <w:ind w:right="50"/>
        <w:contextualSpacing/>
        <w:rPr>
          <w:b/>
          <w:bCs/>
        </w:rPr>
      </w:pPr>
    </w:p>
    <w:p w14:paraId="224702C4" w14:textId="5ABB376B" w:rsidR="00824BFE" w:rsidRPr="00084B8B" w:rsidRDefault="00824BFE" w:rsidP="00824BFE">
      <w:pPr>
        <w:ind w:right="49"/>
        <w:contextualSpacing/>
        <w:rPr>
          <w:bCs/>
          <w:u w:val="single"/>
        </w:rPr>
      </w:pPr>
      <w:r w:rsidRPr="009B5EC6">
        <w:rPr>
          <w:bCs/>
          <w:u w:val="single"/>
        </w:rPr>
        <w:t>Инвазивный аспергиллез</w:t>
      </w:r>
      <w:r>
        <w:rPr>
          <w:bCs/>
          <w:u w:val="single"/>
          <w:lang w:val="en-US"/>
        </w:rPr>
        <w:t xml:space="preserve"> </w:t>
      </w:r>
      <w:r>
        <w:rPr>
          <w:b/>
        </w:rPr>
        <w:fldChar w:fldCharType="begin" w:fldLock="1"/>
      </w:r>
      <w:r w:rsidR="00531C4D">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infections","type":"article-journal","volume":"20"},"uris":["http://www.mendeley.com/documents/?uuid=5a6b3e24-e337-3cd9-bb20-08cd60455554"]},{"id":"ITEM-4","itemData":{"DOI":"10.3324/haematol.2016.152900","ISSN":"15928721","PMID":"28011902","abstract":"The European Conference on Infections in Leukemia (ECIL) provides recommendations for diagnostic strategies and prophylactic, pre-emptive or targeted therapy strategies for various types of infection in patients with hematologic malignancies or hematopoietic stem cell transplantation recipients. Meetings are held every two years since 2005 and evidence-based recommendations are elaborated after evaluation of the literature and discussion among specialists of nearly all European countries. In this manuscript, the ECIL group presents the 2015-update of the recommendations for the targeted treatment of invasive candidiasis, aspergillosis and mucormycosis. Current data now allow a very strong recommendation in favor of echinocandins for first-line therapy of candidemia irrespective of the underlying predisposing factors. Anidulafungin has been given the same grading as the other echinocandins for hemato-oncological patients. The beneficial role of catheter removal in candidemia is strengthened. Aspergillus guidelines now recommend the use of either voriconazole or isavuconazole for first-line treatment of invasive aspergillosis, while first-line combination antifungal therapy is not routinely recommended. As only few new data were published since the last ECIL guidelines, no major changes were made to mucormycosis recommendations.","author":[{"dropping-particle":"","family":"Tissot","given":"Frederic","non-dropping-particle":"","parse-names":false,"suffix":""},{"dropping-particle":"","family":"Agrawal","given":"Samir","non-dropping-particle":"","parse-names":false,"suffix":""},{"dropping-particle":"","family":"Pagano","given":"Livio","non-dropping-particle":"","parse-names":false,"suffix":""},{"dropping-particle":"","family":"Petrikkos","given":"Georgios","non-dropping-particle":"","parse-names":false,"suffix":""},{"dropping-particle":"","family":"Groll","given":"Andreas H.","non-dropping-particle":"","parse-names":false,"suffix":""},{"dropping-particle":"","family":"Skiada","given":"Anna","non-dropping-particle":"","parse-names":false,"suffix":""},{"dropping-particle":"","family":"Lass-Flörl","given":"Cornelia","non-dropping-particle":"","parse-names":false,"suffix":""},{"dropping-particle":"","family":"Calandra","given":"Thierry","non-dropping-particle":"","parse-names":false,"suffix":""},{"dropping-particle":"","family":"Viscoli","given":"Claudio","non-dropping-particle":"","parse-names":false,"suffix":""},{"dropping-particle":"","family":"Herbrecht","given":"Raoul","non-dropping-particle":"","parse-names":false,"suffix":""}],"container-title":"Haematologica","id":"ITEM-4","issue":"3","issued":{"date-parts":[["2017","2","28"]]},"page":"433-444","publisher":"Ferrata Storti Foundation","title":"ECIL-6 guidelines for the treatment of invasive candidiasis, aspergillosis and mucormycosis in leukemia and hematopoietic stem cell transplant patients","type":"article-journal","volume":"102"},"uris":["http://www.mendeley.com/documents/?uuid=56063fed-25f6-3324-a2f1-f316166613f0"]},{"id":"ITEM-5","itemData":{"DOI":"10.1016/j.cmi.2018.01.002","ISSN":"14690691","PMID":"29544767","abstract":"The European Society for Clinical Microbiology and Infectious Diseases, the European Confederation of Medical Mycology and the European Respiratory Society Joint Clinical Guidelines focus on diagnosis and management of aspergillosis. Of the numerous recommendations, a few are summarized here. Chest computed tomography as well as bronchoscopy with bronchoalveolar lavage (BAL) in patients with suspicion of pulmonary invasive aspergillosis (IA) are strongly recommended. For diagnosis, direct microscopy, preferably using optical brighteners, histopathology and culture are strongly recommended. Serum and BAL galactomannan measures are recommended as markers for the diagnosis of IA. PCR should be considered in conjunction with other diagnostic tests. Pathogen identification to species complex level is strongly recommended for all clinically relevant Aspergillus isolates; antifungal susceptibility testing should be performed in patients with invasive disease in regions with resistance found in contemporary surveillance programmes. Isavuconazole and voriconazole are the preferred agents for first-line treatment of pulmonary IA, whereas liposomal amphotericin B is moderately supported. Combinations of antifungals as primary treatment options are not recommended. Therapeutic drug monitoring is strongly recommended for patients receiving posaconazole suspension or any form of voriconazole for IA treatment, and in refractory disease, where a personalized approach considering reversal of predisposing factors, switching drug class and surgical intervention is also strongly recommended. Primary prophylaxis with posaconazole is strongly recommended in patients with acute myelogenous leukaemia or myelodysplastic syndrome receiving induction chemotherapy. Secondary prophylaxis is strongly recommended in high-risk patients. We strongly recommend treatment duration based on clinical improvement, degree of immunosuppression and response on imaging.","author":[{"dropping-particle":"","family":"Ullmann","given":"A. J.","non-dropping-particle":"","parse-names":false,"suffix":""},{"dropping-particle":"","family":"Aguado","given":"J. M.","non-dropping-particle":"","parse-names":false,"suffix":""},{"dropping-particle":"","family":"Arikan-Akdagli","given":"S.","non-dropping-particle":"","parse-names":false,"suffix":""},{"dropping-particle":"","family":"Denning","given":"D. W.","non-dropping-particle":"","parse-names":false,"suffix":""},{"dropping-particle":"","family":"Groll","given":"A. H.","non-dropping-particle":"","parse-names":false,"suffix":""},{"dropping-particle":"","family":"Lagrou","given":"K.","non-dropping-particle":"","parse-names":false,"suffix":""},{"dropping-particle":"","family":"Lass-Flörl","given":"C.","non-dropping-particle":"","parse-names":false,"suffix":""},{"dropping-particle":"","family":"Lewis","given":"R. E.","non-dropping-particle":"","parse-names":false,"suffix":""},{"dropping-particle":"","family":"Munoz","given":"P.","non-dropping-particle":"","parse-names":false,"suffix":""},{"dropping-particle":"","family":"Verweij","given":"P. E.","non-dropping-particle":"","parse-names":false,"suffix":""},{"dropping-particle":"","family":"Warris","given":"A.","non-dropping-particle":"","parse-names":false,"suffix":""},{"dropping-particle":"","family":"Ader","given":"F.","non-dropping-particle":"","parse-names":false,"suffix":""},{"dropping-particle":"","family":"Akova","given":"M.","non-dropping-particle":"","parse-names":false,"suffix":""},{"dropping-particle":"","family":"Arendrup","given":"M. C.","non-dropping-particle":"","parse-names":false,"suffix":""},{"dropping-particle":"","family":"Barnes","given":"R. A.","non-dropping-particle":"","parse-names":false,"suffix":""},{"dropping-particle":"","family":"Beigelman-Aubry","given":"C.","non-dropping-particle":"","parse-names":false,"suffix":""},{"dropping-particle":"","family":"Blot","given":"S.","non-dropping-particle":"","parse-names":false,"suffix":""},{"dropping-particle":"","family":"Bouza","given":"E.","non-dropping-particle":"","parse-names":false,"suffix":""},{"dropping-particle":"","family":"Brüggemann","given":"R. J.M.","non-dropping-particle":"","parse-names":false,"suffix":""},{"dropping-particle":"","family":"Buchheidt","given":"D.","non-dropping-particle":"","parse-names":false,"suffix":""},{"dropping-particle":"","family":"Cadranel","given":"J.","non-dropping-particle":"","parse-names":false,"suffix":""},{"dropping-particle":"","family":"Castagnola","given":"E.","non-dropping-particle":"","parse-names":false,"suffix":""},{"dropping-particle":"","family":"Chakrabarti","given":"A.","non-dropping-particle":"","parse-names":false,"suffix":""},{"dropping-particle":"","family":"Cuenca-Estrella","given":"M.","non-dropping-particle":"","parse-names":false,"suffix":""},{"dropping-particle":"","family":"Dimopoulos","given":"G.","non-dropping-particle":"","parse-names":false,"suffix":""},{"dropping-particle":"","family":"Fortun","given":"J.","non-dropping-particle":"","parse-names":false,"suffix":""},{"dropping-particle":"","family":"Gangneux","given":"J. P.","non-dropping-particle":"","parse-names":false,"suffix":""},{"dropping-particle":"","family":"Garbino","given":"J.","non-dropping-particle":"","parse-names":false,"suffix":""},{"dropping-particle":"","family":"Heinz","given":"W. J.","non-dropping-particle":"","parse-names":false,"suffix":""},{"dropping-particle":"","family":"Herbrecht","given":"R.","non-dropping-particle":"","parse-names":false,"suffix":""},{"dropping-particle":"","family":"Heussel","given":"C. P.","non-dropping-particle":"","parse-names":false,"suffix":""},{"dropping-particle":"","family":"Kibbler","given":"C. C.","non-dropping-particle":"","parse-names":false,"suffix":""},{"dropping-particle":"","family":"Klimko","given":"N.","non-dropping-particle":"","parse-names":false,"suffix":""},{"dropping-particle":"","family":"Kullberg","given":"B. J.","non-dropping-particle":"","parse-names":false,"suffix":""},{"dropping-particle":"","family":"Lange","given":"C.","non-dropping-particle":"","parse-names":false,"suffix":""},{"dropping-particle":"","family":"Lehrnbecher","given":"T.","non-dropping-particle":"","parse-names":false,"suffix":""},{"dropping-particle":"","family":"Löffler","given":"J.","non-dropping-particle":"","parse-names":false,"suffix":""},{"dropping-particle":"","family":"Lortholary","given":"O.","non-dropping-particle":"","parse-names":false,"suffix":""},{"dropping-particle":"","family":"Maertens","given":"J.","non-dropping-particle":"","parse-names":false,"suffix":""},{"dropping-particle":"","family":"Marchetti","given":"O.","non-dropping-particle":"","parse-names":false,"suffix":""},{"dropping-particle":"","family":"Meis","given":"J. F.","non-dropping-particle":"","parse-names":false,"suffix":""},{"dropping-particle":"","family":"Pagano","given":"L.","non-dropping-particle":"","parse-names":false,"suffix":""},{"dropping-particle":"","family":"Ribaud","given":"P.","non-dropping-particle":"","parse-names":false,"suffix":""},{"dropping-particle":"","family":"Richardson","given":"M.","non-dropping-particle":"","parse-names":false,"suffix":""},{"dropping-particle":"","family":"Roilides","given":"E.","non-dropping-particle":"","parse-names":false,"suffix":""},{"dropping-particle":"","family":"Ruhnke","given":"M.","non-dropping-particle":"","parse-names":false,"suffix":""},{"dropping-particle":"","family":"Sanguinetti","given":"M.","non-dropping-particle":"","parse-names":false,"suffix":""},{"dropping-particle":"","family":"Sheppard","given":"D. C.","non-dropping-particle":"","parse-names":false,"suffix":""},{"dropping-particle":"","family":"Sinkó","given":"J.","non-dropping-particle":"","parse-names":false,"suffix":""},{"dropping-particle":"","family":"Skiada","given":"A.","non-dropping-particle":"","parse-names":false,"suffix":""},{"dropping-particle":"","family":"Vehreschild","given":"M. J.G.T.","non-dropping-particle":"","parse-names":false,"suffix":""},{"dropping-particle":"","family":"Viscoli","given":"C.","non-dropping-particle":"","parse-names":false,"suffix":""},{"dropping-particle":"","family":"Cornely","given":"O. A.","non-dropping-particle":"","parse-names":false,"suffix":""}],"container-title":"Clinical Microbiology and Infection","id":"ITEM-5","issued":{"date-parts":[["2018","5","1"]]},"page":"e1-e38","publisher":"Elsevier B.V.","title":"Diagnosis and management of Aspergillus diseases: executive summary of the 2017 ESCMID-ECMM-ERS guideline","type":"article-journal","volume":"24"},"uris":["http://www.mendeley.com/documents/?uuid=5eaef361-0e16-3d87-bd2e-021d8493d891"]}],"mendeley":{"formattedCitation":"[75,76,80,81,83]","plainTextFormattedCitation":"[75,76,80,81,83]","previouslyFormattedCitation":"[75,76,80,81,83]"},"properties":{"noteIndex":0},"schema":"https://github.com/citation-style-language/schema/raw/master/csl-citation.json"}</w:instrText>
      </w:r>
      <w:r>
        <w:rPr>
          <w:b/>
        </w:rPr>
        <w:fldChar w:fldCharType="separate"/>
      </w:r>
      <w:r w:rsidRPr="00824BFE">
        <w:rPr>
          <w:noProof/>
        </w:rPr>
        <w:t>[75,76,80,81,83]</w:t>
      </w:r>
      <w:r>
        <w:rPr>
          <w:b/>
        </w:rPr>
        <w:fldChar w:fldCharType="end"/>
      </w:r>
    </w:p>
    <w:p w14:paraId="1941E748" w14:textId="77777777" w:rsidR="00824BFE" w:rsidRPr="00DA2BC8" w:rsidRDefault="00824BFE" w:rsidP="00824BFE">
      <w:pPr>
        <w:ind w:right="50" w:firstLine="709"/>
        <w:contextualSpacing/>
      </w:pPr>
      <w:r w:rsidRPr="00DA2BC8">
        <w:t xml:space="preserve">Инвазивный аспергиллез является ведущей грибковой инфекцией в современной гематологии. В структуре инвазивных микозов у </w:t>
      </w:r>
      <w:r>
        <w:t xml:space="preserve">гематологических пациентов </w:t>
      </w:r>
      <w:r w:rsidRPr="00DA2BC8">
        <w:t xml:space="preserve">доля инвазивного аспергиллеза достигает 80%. Первичный очаг локализуется в легких (90-95%) и в придаточных пазухах носа (5-10%). Инвазивный аспергиллез преобладает у реципиентов аллогенных ТСГК, особенно неродственных, у </w:t>
      </w:r>
      <w:r>
        <w:t>пациентов с</w:t>
      </w:r>
      <w:r w:rsidRPr="00DA2BC8">
        <w:t xml:space="preserve"> острыми </w:t>
      </w:r>
      <w:r w:rsidRPr="00DA2BC8">
        <w:lastRenderedPageBreak/>
        <w:t>миелоидными лейкозами и миелодиспластическом синдром</w:t>
      </w:r>
      <w:r>
        <w:t>ом</w:t>
      </w:r>
      <w:r w:rsidRPr="00DA2BC8">
        <w:t xml:space="preserve">. </w:t>
      </w:r>
      <w:r w:rsidRPr="00DA2BC8">
        <w:rPr>
          <w:bCs/>
        </w:rPr>
        <w:t xml:space="preserve">Основные возбудители </w:t>
      </w:r>
      <w:r w:rsidRPr="00DA2BC8">
        <w:rPr>
          <w:i/>
          <w:iCs/>
        </w:rPr>
        <w:t>Aspergillus fumigatus</w:t>
      </w:r>
      <w:r w:rsidRPr="00DA2BC8">
        <w:t xml:space="preserve"> и </w:t>
      </w:r>
      <w:r w:rsidRPr="00DA2BC8">
        <w:rPr>
          <w:i/>
          <w:iCs/>
        </w:rPr>
        <w:t>Aspergillus flavus</w:t>
      </w:r>
      <w:r w:rsidRPr="00DA2BC8">
        <w:t xml:space="preserve">, реже - </w:t>
      </w:r>
      <w:r w:rsidRPr="00DA2BC8">
        <w:rPr>
          <w:i/>
          <w:iCs/>
        </w:rPr>
        <w:t>Aspergillus niger</w:t>
      </w:r>
      <w:r w:rsidRPr="00DA2BC8">
        <w:t xml:space="preserve"> и другие виды.</w:t>
      </w:r>
    </w:p>
    <w:p w14:paraId="105272FA" w14:textId="77777777" w:rsidR="00824BFE" w:rsidRPr="009B5EC6" w:rsidRDefault="00824BFE" w:rsidP="00824BFE">
      <w:pPr>
        <w:ind w:right="50" w:firstLine="709"/>
        <w:contextualSpacing/>
        <w:rPr>
          <w:i/>
          <w:iCs/>
          <w:u w:val="single"/>
        </w:rPr>
      </w:pPr>
      <w:r w:rsidRPr="009B5EC6">
        <w:rPr>
          <w:i/>
          <w:iCs/>
          <w:u w:val="single"/>
        </w:rPr>
        <w:t>Факторы риска</w:t>
      </w:r>
    </w:p>
    <w:p w14:paraId="46118EAD" w14:textId="77777777" w:rsidR="00824BFE" w:rsidRPr="00DA2BC8" w:rsidRDefault="00824BFE" w:rsidP="00824BFE">
      <w:pPr>
        <w:ind w:right="50" w:firstLine="709"/>
        <w:contextualSpacing/>
      </w:pPr>
      <w:r w:rsidRPr="00DA2BC8">
        <w:t>Основными факторами, индуцирующими развитие инвазивного аспергиллеза, являются гранулоцитопения (нейтрофилов менее 0,5×10</w:t>
      </w:r>
      <w:r w:rsidRPr="00DA2BC8">
        <w:rPr>
          <w:vertAlign w:val="superscript"/>
        </w:rPr>
        <w:t>9</w:t>
      </w:r>
      <w:r w:rsidRPr="00DA2BC8">
        <w:t>/л) длительностью от 10 дней и более на момент диагностики или в течение 60 дней до развития инвазивного аспергиллеза; трансплантация аллогенных ТГСК, лечение глюкокортикоидами и другими препаратами, приводящими к подавлению функции T-лимфоцитов. Частота инвазивного аспергиллеза возрастает в период эпидемии вирусных инфекций.</w:t>
      </w:r>
    </w:p>
    <w:p w14:paraId="2A9B62FB" w14:textId="77777777" w:rsidR="00824BFE" w:rsidRPr="00453773" w:rsidRDefault="00824BFE" w:rsidP="00824BFE">
      <w:pPr>
        <w:ind w:right="50" w:firstLine="709"/>
        <w:contextualSpacing/>
        <w:rPr>
          <w:b/>
          <w:bCs/>
        </w:rPr>
      </w:pPr>
      <w:r w:rsidRPr="00453773">
        <w:rPr>
          <w:b/>
          <w:bCs/>
        </w:rPr>
        <w:t>Инвазивный аспергиллез легких</w:t>
      </w:r>
    </w:p>
    <w:p w14:paraId="263112BF" w14:textId="77777777" w:rsidR="00824BFE" w:rsidRPr="009B5EC6" w:rsidRDefault="00824BFE" w:rsidP="00824BFE">
      <w:pPr>
        <w:ind w:right="50" w:firstLine="709"/>
        <w:contextualSpacing/>
        <w:rPr>
          <w:i/>
          <w:iCs/>
        </w:rPr>
      </w:pPr>
      <w:r w:rsidRPr="009B5EC6">
        <w:rPr>
          <w:i/>
          <w:iCs/>
          <w:u w:val="single"/>
        </w:rPr>
        <w:t>Симптомы</w:t>
      </w:r>
      <w:r w:rsidRPr="009B5EC6">
        <w:rPr>
          <w:i/>
          <w:iCs/>
        </w:rPr>
        <w:t xml:space="preserve"> </w:t>
      </w:r>
    </w:p>
    <w:p w14:paraId="43A901E1" w14:textId="77777777" w:rsidR="00824BFE" w:rsidRPr="00DA2BC8" w:rsidRDefault="00824BFE" w:rsidP="00824BFE">
      <w:pPr>
        <w:ind w:right="50" w:firstLine="709"/>
        <w:contextualSpacing/>
      </w:pPr>
      <w:r w:rsidRPr="00DA2BC8">
        <w:t xml:space="preserve">Начальные признаки скудные, в большинстве случаев бывает только лихорадка. У 15-20% </w:t>
      </w:r>
      <w:r>
        <w:t>пациентов</w:t>
      </w:r>
      <w:r w:rsidRPr="00DA2BC8">
        <w:t xml:space="preserve"> инвазивным аспергиллезом температура быва</w:t>
      </w:r>
      <w:r>
        <w:t>ет нормальной или субфебрильной</w:t>
      </w:r>
      <w:r w:rsidRPr="00DA2BC8">
        <w:t xml:space="preserve">. Другими симптомами являются кашель, сухой или с мокротой, кровохарканье, боль в грудной клетке, одышка. При прогрессировании инфекции может возникнуть легочное кровотечение, дыхательная недостаточность, спонтанный пневмоторакс. У 30-40% больных происходит диссеминация инвазивного аспергиллеза, чаще в головной мозг или печень. </w:t>
      </w:r>
    </w:p>
    <w:p w14:paraId="45B9DC12" w14:textId="77777777" w:rsidR="00824BFE" w:rsidRPr="009B5EC6" w:rsidRDefault="00824BFE" w:rsidP="00824BFE">
      <w:pPr>
        <w:ind w:right="50" w:firstLine="709"/>
        <w:contextualSpacing/>
        <w:rPr>
          <w:i/>
          <w:iCs/>
          <w:u w:val="single"/>
        </w:rPr>
      </w:pPr>
      <w:r w:rsidRPr="009B5EC6">
        <w:rPr>
          <w:i/>
          <w:iCs/>
          <w:u w:val="single"/>
        </w:rPr>
        <w:t>Диагностика инвазивного аспергиллеза легких</w:t>
      </w:r>
    </w:p>
    <w:p w14:paraId="063C7563" w14:textId="77777777" w:rsidR="00824BFE" w:rsidRPr="00DA2BC8" w:rsidRDefault="00824BFE" w:rsidP="00824BFE">
      <w:pPr>
        <w:ind w:right="50" w:firstLine="709"/>
        <w:contextualSpacing/>
      </w:pPr>
      <w:r w:rsidRPr="00DA2BC8">
        <w:rPr>
          <w:bCs/>
        </w:rPr>
        <w:t>Диагноз инвазивного аспергиллеза устанавливают</w:t>
      </w:r>
      <w:r w:rsidRPr="00DA2BC8">
        <w:t xml:space="preserve"> на основании наличия факторов риска, характерных изменений</w:t>
      </w:r>
      <w:r>
        <w:t xml:space="preserve"> при радиологическом исследовании (КТ/СКТ легких)</w:t>
      </w:r>
      <w:r w:rsidRPr="00DA2BC8">
        <w:t>, микологического подтвержден</w:t>
      </w:r>
      <w:r>
        <w:t>и</w:t>
      </w:r>
      <w:r w:rsidRPr="00DA2BC8">
        <w:t xml:space="preserve">я, включающего культуральное и/или серологические исследования. </w:t>
      </w:r>
    </w:p>
    <w:p w14:paraId="586FF815" w14:textId="77777777" w:rsidR="00824BFE" w:rsidRPr="009B5EC6" w:rsidRDefault="00824BFE" w:rsidP="00824BFE">
      <w:pPr>
        <w:ind w:right="50" w:firstLine="709"/>
        <w:contextualSpacing/>
        <w:rPr>
          <w:i/>
          <w:iCs/>
          <w:u w:val="single"/>
        </w:rPr>
      </w:pPr>
      <w:r w:rsidRPr="009B5EC6">
        <w:rPr>
          <w:i/>
          <w:iCs/>
          <w:u w:val="single"/>
        </w:rPr>
        <w:t>Радиологические особенности инвазивного аспергиллеза легких</w:t>
      </w:r>
    </w:p>
    <w:p w14:paraId="5A8D2268" w14:textId="77777777" w:rsidR="00824BFE" w:rsidRPr="00DA2BC8" w:rsidRDefault="00824BFE" w:rsidP="00824BFE">
      <w:pPr>
        <w:tabs>
          <w:tab w:val="left" w:pos="317"/>
        </w:tabs>
        <w:ind w:right="50" w:firstLine="709"/>
        <w:contextualSpacing/>
      </w:pPr>
      <w:r w:rsidRPr="00DA2BC8">
        <w:t xml:space="preserve">Ранняя диагностика инвазивного аспергиллеза легких возможна только по данным </w:t>
      </w:r>
      <w:r>
        <w:t>КТ</w:t>
      </w:r>
      <w:r w:rsidRPr="00DA2BC8">
        <w:t xml:space="preserve">. Рентгенографию </w:t>
      </w:r>
      <w:r>
        <w:t xml:space="preserve">рутинно </w:t>
      </w:r>
      <w:r w:rsidRPr="00DA2BC8">
        <w:t xml:space="preserve">не используют в диагностике инвазивного аспергиллеза по причине позднего выявления изменений в легких. Радиологические проявления инвазивного аспергиллеза легких не являются строго специфичными. На раннем этапе инфекции определяется симптом «ореола» (область разрежения, которая представляет собой геморрагический инфильтрат, окружающий некротизированную ткань легкого), в более отдаленные сроки - симптом «серпа» (формирование воздушной полости в виде полумесяца) или образование полости. Характерными также являются очаги с ровными контурами или инфильтраты треугольной формы, обращенные основанием к плевре, преобладает субплевральное расположение очагов. У реципиентов аллогенных ГСК вне нейтропении, получающих лечение преднизолоном по поводу РТПХ доминируют </w:t>
      </w:r>
      <w:r w:rsidRPr="00DA2BC8">
        <w:lastRenderedPageBreak/>
        <w:t>изменения в легких, неспецифичные для инвазивного аспергиллеза, – это центролобулярные очаги небольших размеров или изменения по типу бронхиолита. При диагностике инвазивного аспергиллеза следует провести КТ или МРТ головного мозга с целью исключения диссеминации. У больных, излеченных от инвазивного аспергиллеза, могут определяться в легких остаточные изменения в виде паренхиматозных тяжей или небольших полостей.</w:t>
      </w:r>
    </w:p>
    <w:p w14:paraId="736DD562" w14:textId="77777777" w:rsidR="00824BFE" w:rsidRPr="00DA2BC8" w:rsidRDefault="00824BFE" w:rsidP="00824BFE">
      <w:pPr>
        <w:ind w:right="50" w:firstLine="709"/>
        <w:contextualSpacing/>
      </w:pPr>
      <w:r w:rsidRPr="00EB3571">
        <w:rPr>
          <w:bCs/>
          <w:i/>
          <w:iCs/>
          <w:u w:val="single"/>
        </w:rPr>
        <w:t>Микологические исследования</w:t>
      </w:r>
      <w:r w:rsidRPr="00DA2BC8">
        <w:t xml:space="preserve"> включают выделение культуры </w:t>
      </w:r>
      <w:r w:rsidRPr="00DA2BC8">
        <w:rPr>
          <w:i/>
          <w:iCs/>
        </w:rPr>
        <w:t>Aspergillus</w:t>
      </w:r>
      <w:r w:rsidRPr="00DA2BC8">
        <w:t xml:space="preserve"> из мокроты, жидкости БАЛ или биоптата легкого либо обнаружение истинного септированного мицелия из биоптата (аспирата) при гистологическом или цитологическом исследовании; определение положительного антигена </w:t>
      </w:r>
      <w:r w:rsidRPr="00DA2BC8">
        <w:rPr>
          <w:i/>
          <w:iCs/>
        </w:rPr>
        <w:t>Aspergillus</w:t>
      </w:r>
      <w:r w:rsidRPr="00DA2BC8">
        <w:t xml:space="preserve"> (галактоманнан) в сыворотке (индекс оптической плотности ≥0,5) и/или в жидкости БАЛ (индекс оптической плотности от 1,0 и более).</w:t>
      </w:r>
    </w:p>
    <w:p w14:paraId="579FF621" w14:textId="77777777" w:rsidR="00824BFE" w:rsidRPr="00EB3571" w:rsidRDefault="00824BFE" w:rsidP="00824BFE">
      <w:pPr>
        <w:ind w:right="50" w:firstLine="709"/>
        <w:contextualSpacing/>
        <w:rPr>
          <w:i/>
          <w:iCs/>
          <w:u w:val="single"/>
        </w:rPr>
      </w:pPr>
      <w:r w:rsidRPr="00EB3571">
        <w:rPr>
          <w:i/>
          <w:iCs/>
          <w:u w:val="single"/>
        </w:rPr>
        <w:t>Мониторинг исследований</w:t>
      </w:r>
    </w:p>
    <w:p w14:paraId="2EB22EA0" w14:textId="77777777" w:rsidR="00824BFE" w:rsidRPr="00DA2BC8" w:rsidRDefault="00824BFE" w:rsidP="00824BFE">
      <w:pPr>
        <w:tabs>
          <w:tab w:val="left" w:pos="317"/>
        </w:tabs>
        <w:ind w:right="50" w:firstLine="709"/>
        <w:contextualSpacing/>
      </w:pPr>
      <w:r w:rsidRPr="00DA2BC8">
        <w:t>В процессе лечения инвазивного аспергиллеза повторяют КТ</w:t>
      </w:r>
      <w:r>
        <w:t xml:space="preserve">/СКТ легких </w:t>
      </w:r>
      <w:r w:rsidRPr="00DA2BC8">
        <w:t xml:space="preserve"> каждые 2-3 недели, при клинической неэффективности лечения - через 1 неделю от начала терапии, при стабилизации клинических проявлений инфекции – реже; определение антигена </w:t>
      </w:r>
      <w:r w:rsidRPr="00DA2BC8">
        <w:rPr>
          <w:i/>
          <w:iCs/>
        </w:rPr>
        <w:t>Aspergillus</w:t>
      </w:r>
      <w:r w:rsidRPr="00DA2BC8">
        <w:t xml:space="preserve"> (галактоманнан) в крови - 1 раз в неделю, если тест был положительным. Повторные положительные результаты определения галактоманнана (индекс оптической плотности &gt;0,5) в период лечения инвазивного аспергиллеза относятся к неблагоприятным факторам прогноза и свидетельсвуют об отсутствии контроля над инфекцией. </w:t>
      </w:r>
    </w:p>
    <w:p w14:paraId="04B3736A" w14:textId="77777777" w:rsidR="00824BFE" w:rsidRPr="00DA2BC8" w:rsidRDefault="00824BFE" w:rsidP="00824BFE">
      <w:pPr>
        <w:ind w:right="50" w:firstLine="709"/>
        <w:contextualSpacing/>
      </w:pPr>
      <w:r w:rsidRPr="00DA2BC8">
        <w:t>При повышении нейтрофилов (более 0,5×10</w:t>
      </w:r>
      <w:r w:rsidRPr="00DA2BC8">
        <w:rPr>
          <w:vertAlign w:val="superscript"/>
        </w:rPr>
        <w:t>9</w:t>
      </w:r>
      <w:r w:rsidRPr="00DA2BC8">
        <w:t xml:space="preserve">/л) объем поражения в легких может увеличиваться на фоне улучшения клинического состояния </w:t>
      </w:r>
      <w:r>
        <w:t>пациента</w:t>
      </w:r>
      <w:r w:rsidRPr="00DA2BC8">
        <w:t>. Модификацию противогрибковой терапии не проводят.</w:t>
      </w:r>
    </w:p>
    <w:p w14:paraId="735F6154" w14:textId="77777777" w:rsidR="00824BFE" w:rsidRPr="00DA2BC8" w:rsidRDefault="00824BFE" w:rsidP="00824BFE">
      <w:pPr>
        <w:ind w:right="50" w:firstLine="709"/>
        <w:contextualSpacing/>
      </w:pPr>
      <w:r w:rsidRPr="00DA2BC8">
        <w:t xml:space="preserve">Радиологические проявления, характерные для инвазивного аспергиллеза, могут быть при инфекции, вызванной другими микроорганизмами, или при иных патологических состояниях. Это следует учитывать, особенно когда диагноз инвазивного аспергиллеза установлен только на основании данных радиологического исследования без микологического подтверждения. </w:t>
      </w:r>
    </w:p>
    <w:p w14:paraId="2D25B9B8" w14:textId="77777777" w:rsidR="00824BFE" w:rsidRPr="00EB3571" w:rsidRDefault="00824BFE" w:rsidP="00824BFE">
      <w:pPr>
        <w:ind w:right="50" w:firstLine="709"/>
        <w:contextualSpacing/>
        <w:rPr>
          <w:i/>
        </w:rPr>
      </w:pPr>
      <w:r w:rsidRPr="00EB3571">
        <w:rPr>
          <w:i/>
          <w:u w:val="single"/>
        </w:rPr>
        <w:t xml:space="preserve">Лечение инвазивного аспергиллеза </w:t>
      </w:r>
    </w:p>
    <w:p w14:paraId="1B529865" w14:textId="77777777" w:rsidR="00824BFE" w:rsidRPr="00DA2BC8" w:rsidRDefault="00824BFE" w:rsidP="00824BFE">
      <w:pPr>
        <w:ind w:right="50" w:firstLine="709"/>
        <w:contextualSpacing/>
      </w:pPr>
      <w:r w:rsidRPr="00DA2BC8">
        <w:t>Основными принципами эффективной терапии инвазивного аспергиллеза являются своевременная диагностика; незамедлительное назначение антимикотиков при подозрении на инвазивный аспергиллез; назначение эффективных препаратов на первом этапе лечения.</w:t>
      </w:r>
    </w:p>
    <w:p w14:paraId="4AAD1848" w14:textId="77777777" w:rsidR="00824BFE" w:rsidRPr="00DA2BC8" w:rsidRDefault="00824BFE" w:rsidP="00824BFE">
      <w:pPr>
        <w:tabs>
          <w:tab w:val="left" w:pos="317"/>
        </w:tabs>
        <w:ind w:right="50" w:firstLine="709"/>
        <w:contextualSpacing/>
      </w:pPr>
      <w:r w:rsidRPr="00DA2BC8">
        <w:rPr>
          <w:bCs/>
        </w:rPr>
        <w:t>Препаратами выбора являются</w:t>
      </w:r>
      <w:r w:rsidRPr="00DA2BC8">
        <w:rPr>
          <w:b/>
          <w:bCs/>
        </w:rPr>
        <w:t xml:space="preserve"> </w:t>
      </w:r>
      <w:r w:rsidRPr="00DA2BC8">
        <w:t xml:space="preserve">вориконазол (в 1-й первый день по 6 мг/кг внутривенно 2 раза в сутки, в последующие дни по 4 мг/кг внутривенно 2 раза в сутки, с переходом в дальнейшем на пероральную форму по 200 мг 2 раза в сутки, у больных с </w:t>
      </w:r>
      <w:r w:rsidRPr="00DA2BC8">
        <w:lastRenderedPageBreak/>
        <w:t xml:space="preserve">высокой массой тела пероральная доза составляет 8 мг/кг, максимально - по 300 мг х 2 раза, прием натощак или через 1 час после еды), изавуконазол по 200 мг каждые 8 час в течение </w:t>
      </w:r>
      <w:r>
        <w:t xml:space="preserve">2 дней, далее по </w:t>
      </w:r>
      <w:r w:rsidRPr="00DA2BC8">
        <w:t>200 мг 1 раз в сутки внутривенно или перорально [</w:t>
      </w:r>
      <w:r w:rsidRPr="00EC3182">
        <w:t>6</w:t>
      </w:r>
      <w:r w:rsidRPr="00DA2BC8">
        <w:t xml:space="preserve">]. Изавуконазол в сравнении с вориконазолом имеет достоверно ниже токсичность, разрешен больным с отклонениями в функции печени, проявляет активность не только против </w:t>
      </w:r>
      <w:r w:rsidRPr="00DA2BC8">
        <w:rPr>
          <w:i/>
        </w:rPr>
        <w:t>Aspergillus</w:t>
      </w:r>
      <w:r w:rsidRPr="00DA2BC8">
        <w:t xml:space="preserve">, но и грибов рода </w:t>
      </w:r>
      <w:r w:rsidRPr="00DA2BC8">
        <w:rPr>
          <w:i/>
        </w:rPr>
        <w:t>Mucorales</w:t>
      </w:r>
      <w:r w:rsidRPr="00DA2BC8">
        <w:t xml:space="preserve">. Больным печеночными порфириями не назначают азолы, для лечения используют эхинокандин. </w:t>
      </w:r>
      <w:r w:rsidRPr="00DA2BC8">
        <w:rPr>
          <w:bCs/>
        </w:rPr>
        <w:t xml:space="preserve">Альтернативные антимикотики для лечения инвазивного аспергиллеза легких - </w:t>
      </w:r>
      <w:r w:rsidRPr="00DA2BC8">
        <w:t>липидный комплекс амфотерицина В (5 мг/кг/сутки внутривенно), липосомальный амфотерициин В (3 мг/кг/сутки), каспофунгин (в 1-й день 70 мг, затем 50 мг внутривенно 1 раз в сутки), микафунгин (100 мг 1 раз в сутки внутривенно). Лечение амфотерицином В инвазивного аспергиллеза легких не показано.</w:t>
      </w:r>
    </w:p>
    <w:p w14:paraId="6D8967D5" w14:textId="77777777" w:rsidR="00824BFE" w:rsidRPr="00DA2BC8" w:rsidRDefault="00824BFE" w:rsidP="00824BFE">
      <w:pPr>
        <w:tabs>
          <w:tab w:val="left" w:pos="317"/>
        </w:tabs>
        <w:ind w:right="50" w:firstLine="709"/>
        <w:contextualSpacing/>
      </w:pPr>
      <w:r w:rsidRPr="00DA2BC8">
        <w:rPr>
          <w:iCs/>
        </w:rPr>
        <w:t>Не используют сочетание противогрибковых препаратов в качестве терапии первой линии инвазивного аспергиллеза.</w:t>
      </w:r>
    </w:p>
    <w:p w14:paraId="4B6142E0" w14:textId="77777777" w:rsidR="00824BFE" w:rsidRPr="00DA2BC8" w:rsidRDefault="00824BFE" w:rsidP="00824BFE">
      <w:pPr>
        <w:ind w:right="50" w:firstLine="709"/>
        <w:contextualSpacing/>
        <w:rPr>
          <w:bCs/>
        </w:rPr>
      </w:pPr>
      <w:r w:rsidRPr="00DA2BC8">
        <w:rPr>
          <w:bCs/>
        </w:rPr>
        <w:t xml:space="preserve">Хирургическое лечение инвазивного аспергиллеза легких включает удаление очага, который </w:t>
      </w:r>
      <w:r w:rsidRPr="00DA2BC8">
        <w:t>расположен около крупных сосудов или перикарда, или в наличии активное кровохарканье из отдельного очага, или инвазия в плевральную полость/ребра.</w:t>
      </w:r>
    </w:p>
    <w:p w14:paraId="6D4F65D0" w14:textId="77777777" w:rsidR="00824BFE" w:rsidRPr="00DA2BC8" w:rsidRDefault="00824BFE" w:rsidP="00824BFE">
      <w:pPr>
        <w:ind w:right="50" w:firstLine="709"/>
        <w:contextualSpacing/>
      </w:pPr>
      <w:r w:rsidRPr="00DA2BC8">
        <w:rPr>
          <w:bCs/>
        </w:rPr>
        <w:t xml:space="preserve">Применение противогрибковых препаратов длительное и </w:t>
      </w:r>
      <w:r w:rsidRPr="00DA2BC8">
        <w:t>составляет не менее 6-12 недель. Критерием для отмены антимиоктиков является регрессия очагов в легких. Отрицательные результаты определения галактоманнана в сыворотке крови или в жидкости БАЛ в процессе лечения не являются основанием для прекращения противогрибковой терапии.</w:t>
      </w:r>
    </w:p>
    <w:p w14:paraId="1A01BF9F" w14:textId="77777777" w:rsidR="00824BFE" w:rsidRPr="008F73A5" w:rsidRDefault="00824BFE" w:rsidP="00824BFE">
      <w:pPr>
        <w:ind w:right="50" w:firstLine="709"/>
        <w:contextualSpacing/>
        <w:rPr>
          <w:b/>
          <w:bCs/>
        </w:rPr>
      </w:pPr>
      <w:r w:rsidRPr="008F73A5">
        <w:rPr>
          <w:b/>
          <w:bCs/>
        </w:rPr>
        <w:t>Инвазивный аспергиллезный риносинусит</w:t>
      </w:r>
    </w:p>
    <w:p w14:paraId="5020EF55" w14:textId="77777777" w:rsidR="00824BFE" w:rsidRPr="00DA2BC8" w:rsidRDefault="00824BFE" w:rsidP="00824BFE">
      <w:pPr>
        <w:ind w:right="50" w:firstLine="709"/>
        <w:contextualSpacing/>
      </w:pPr>
      <w:r w:rsidRPr="00EB3571">
        <w:rPr>
          <w:i/>
          <w:iCs/>
          <w:u w:val="single"/>
        </w:rPr>
        <w:t>Симптомы</w:t>
      </w:r>
      <w:r w:rsidRPr="00DA2BC8">
        <w:rPr>
          <w:bCs/>
        </w:rPr>
        <w:t xml:space="preserve"> включают </w:t>
      </w:r>
      <w:r w:rsidRPr="00DA2BC8">
        <w:t xml:space="preserve">затруднение носового дыхания, выраженную локальную боль в области пораженной околоносовой пазухи, периорбитальный отек на стороне поражения, асимметрию лица. </w:t>
      </w:r>
      <w:r>
        <w:t>При осмотре оториноларинголом н</w:t>
      </w:r>
      <w:r w:rsidRPr="00DA2BC8">
        <w:t>а слизистой оболочке нижней стенки и/или перегородки носового хода определяют некроз или изъязвления. В дальнейшем возникает деструкция мягкого и твердого неба, деструкция костей лицевой части черепа.</w:t>
      </w:r>
    </w:p>
    <w:p w14:paraId="1A8A6F0A" w14:textId="77777777" w:rsidR="00824BFE" w:rsidRDefault="00824BFE" w:rsidP="00824BFE">
      <w:pPr>
        <w:ind w:right="50" w:firstLine="709"/>
        <w:contextualSpacing/>
      </w:pPr>
      <w:r w:rsidRPr="00EB3571">
        <w:rPr>
          <w:i/>
          <w:iCs/>
          <w:u w:val="single"/>
        </w:rPr>
        <w:t>Диагноз аспергиллезного риносинусита</w:t>
      </w:r>
      <w:r w:rsidRPr="00DA2BC8">
        <w:rPr>
          <w:b/>
          <w:bCs/>
        </w:rPr>
        <w:t xml:space="preserve"> </w:t>
      </w:r>
      <w:r w:rsidRPr="00DA2BC8">
        <w:rPr>
          <w:bCs/>
        </w:rPr>
        <w:t>устанавливают на основании</w:t>
      </w:r>
      <w:r w:rsidRPr="00DA2BC8">
        <w:rPr>
          <w:b/>
          <w:bCs/>
        </w:rPr>
        <w:t xml:space="preserve"> </w:t>
      </w:r>
      <w:r w:rsidRPr="00DA2BC8">
        <w:t>радиологических призна</w:t>
      </w:r>
      <w:r>
        <w:t>ков (МРТ носоротоглотки)</w:t>
      </w:r>
      <w:r w:rsidRPr="00DA2BC8">
        <w:t xml:space="preserve"> и выделения культуры </w:t>
      </w:r>
      <w:r w:rsidRPr="00DA2BC8">
        <w:rPr>
          <w:i/>
          <w:iCs/>
        </w:rPr>
        <w:t xml:space="preserve">Aspergillus </w:t>
      </w:r>
      <w:r w:rsidRPr="00DA2BC8">
        <w:t>spp. из биоптата некротизированной слизистой оболочки носа или аспирата придаточных пазух носа либо обнаружение мицелия грибов при гистологическом или цитологическом исследовании биоптата (аспирата).</w:t>
      </w:r>
    </w:p>
    <w:p w14:paraId="4BD2A055" w14:textId="77777777" w:rsidR="00824BFE" w:rsidRPr="00DA2BC8" w:rsidRDefault="00824BFE" w:rsidP="00824BFE">
      <w:pPr>
        <w:ind w:right="50" w:firstLine="709"/>
        <w:contextualSpacing/>
      </w:pPr>
      <w:r w:rsidRPr="00EB3571">
        <w:rPr>
          <w:i/>
          <w:iCs/>
          <w:u w:val="single"/>
        </w:rPr>
        <w:t>Для лечения</w:t>
      </w:r>
      <w:r w:rsidRPr="00DA2BC8">
        <w:rPr>
          <w:b/>
          <w:bCs/>
        </w:rPr>
        <w:t xml:space="preserve"> </w:t>
      </w:r>
      <w:r w:rsidRPr="00DA2BC8">
        <w:t>используют те же препараты, что при инвазивном аспергиллезе легких.</w:t>
      </w:r>
    </w:p>
    <w:p w14:paraId="6A5DC494" w14:textId="77777777" w:rsidR="00824BFE" w:rsidRPr="001828E6" w:rsidRDefault="00824BFE" w:rsidP="00824BFE">
      <w:pPr>
        <w:ind w:right="50" w:firstLine="709"/>
        <w:contextualSpacing/>
        <w:rPr>
          <w:b/>
          <w:bCs/>
        </w:rPr>
      </w:pPr>
      <w:r w:rsidRPr="001828E6">
        <w:rPr>
          <w:b/>
          <w:bCs/>
        </w:rPr>
        <w:t xml:space="preserve">Резистентный инвазивный аспергиллез </w:t>
      </w:r>
    </w:p>
    <w:p w14:paraId="2A4B4A98" w14:textId="77777777" w:rsidR="00824BFE" w:rsidRPr="00DA2BC8" w:rsidRDefault="00824BFE" w:rsidP="00824BFE">
      <w:pPr>
        <w:ind w:right="50" w:firstLine="709"/>
        <w:contextualSpacing/>
      </w:pPr>
      <w:r w:rsidRPr="00DA2BC8">
        <w:rPr>
          <w:bCs/>
        </w:rPr>
        <w:lastRenderedPageBreak/>
        <w:t>В критерии резистентного течения входят</w:t>
      </w:r>
      <w:r w:rsidRPr="00DA2BC8">
        <w:rPr>
          <w:b/>
          <w:bCs/>
        </w:rPr>
        <w:t xml:space="preserve"> </w:t>
      </w:r>
      <w:r w:rsidRPr="00DA2BC8">
        <w:t>сохранение клинических признаков инфекции и отрицательная динамика в легких по данным КТВР не ранее чем через 7-14 дней от начала лечения.</w:t>
      </w:r>
    </w:p>
    <w:p w14:paraId="2579611E" w14:textId="77777777" w:rsidR="00824BFE" w:rsidRPr="00DA2BC8" w:rsidRDefault="00824BFE" w:rsidP="00824BFE">
      <w:pPr>
        <w:ind w:right="50" w:firstLine="709"/>
        <w:contextualSpacing/>
        <w:rPr>
          <w:b/>
          <w:bCs/>
          <w:i/>
          <w:iCs/>
        </w:rPr>
      </w:pPr>
      <w:r w:rsidRPr="00DA2BC8">
        <w:rPr>
          <w:bCs/>
          <w:iCs/>
        </w:rPr>
        <w:t>Проводят модификацию противогрибковой терапии, которая включает</w:t>
      </w:r>
      <w:r w:rsidRPr="00DA2BC8">
        <w:rPr>
          <w:b/>
          <w:bCs/>
          <w:i/>
          <w:iCs/>
        </w:rPr>
        <w:t xml:space="preserve"> </w:t>
      </w:r>
      <w:r w:rsidRPr="00DA2BC8">
        <w:t>добавление второго антимикотика к ранее назначенному (например, к вориконазолу добавляют эхинокандин), или назначают противогрибковый препарат другой группы, отменяя препарат первой линии (назначение липидного комплекса амфотерицина В 5 мг/кг/сутки или липосомального амфотерицина В 5 мг/кг/сутки).</w:t>
      </w:r>
    </w:p>
    <w:p w14:paraId="3C8F82B5" w14:textId="77777777" w:rsidR="00824BFE" w:rsidRPr="00047807" w:rsidRDefault="00824BFE" w:rsidP="00824BFE">
      <w:pPr>
        <w:ind w:right="50" w:firstLine="709"/>
        <w:contextualSpacing/>
        <w:rPr>
          <w:b/>
          <w:bCs/>
        </w:rPr>
      </w:pPr>
      <w:r w:rsidRPr="00047807">
        <w:rPr>
          <w:b/>
          <w:bCs/>
        </w:rPr>
        <w:t>Инвазивный аспергиллез ЦНС</w:t>
      </w:r>
    </w:p>
    <w:p w14:paraId="6896262E" w14:textId="77777777" w:rsidR="00824BFE" w:rsidRPr="00DA2BC8" w:rsidRDefault="00824BFE" w:rsidP="00824BFE">
      <w:pPr>
        <w:ind w:right="50" w:firstLine="709"/>
        <w:contextualSpacing/>
        <w:rPr>
          <w:bCs/>
        </w:rPr>
      </w:pPr>
      <w:r w:rsidRPr="00DA2BC8">
        <w:t xml:space="preserve">Поражение аспергиллами ЦНС происходит в результате диссеминации - гематогенной или из соседнего органа (инвазия грибов из околоносовых пазух). </w:t>
      </w:r>
      <w:r w:rsidRPr="00DA2BC8">
        <w:rPr>
          <w:bCs/>
        </w:rPr>
        <w:t xml:space="preserve">В критерии диагностики входят </w:t>
      </w:r>
      <w:r w:rsidRPr="00DA2BC8">
        <w:t xml:space="preserve">неврологические симптомы, выявление очагов в головном мозге при </w:t>
      </w:r>
      <w:r>
        <w:t>КТ/СКТ</w:t>
      </w:r>
      <w:r w:rsidRPr="00DA2BC8">
        <w:t xml:space="preserve"> или МРТ</w:t>
      </w:r>
      <w:r>
        <w:t xml:space="preserve"> (по показаниям с контрастированием)</w:t>
      </w:r>
      <w:r w:rsidRPr="00DA2BC8">
        <w:t>;</w:t>
      </w:r>
      <w:r w:rsidRPr="00DA2BC8">
        <w:rPr>
          <w:bCs/>
        </w:rPr>
        <w:t xml:space="preserve"> </w:t>
      </w:r>
      <w:r w:rsidRPr="00DA2BC8">
        <w:t xml:space="preserve">наличие первичного очага инвазии аспергиллами в легких или околоносовых пазухах. В части случаев может быть определен положительный антиген </w:t>
      </w:r>
      <w:r w:rsidRPr="00DA2BC8">
        <w:rPr>
          <w:i/>
          <w:iCs/>
        </w:rPr>
        <w:t>Aspergillus</w:t>
      </w:r>
      <w:r w:rsidRPr="00DA2BC8">
        <w:t xml:space="preserve"> (галактоманнана) в СМЖ (индекс оптической плотности ≥1</w:t>
      </w:r>
      <w:r>
        <w:t>)</w:t>
      </w:r>
      <w:r w:rsidRPr="00EC3182">
        <w:t>.</w:t>
      </w:r>
      <w:r w:rsidRPr="00DA2BC8">
        <w:rPr>
          <w:b/>
          <w:bCs/>
          <w:i/>
          <w:iCs/>
        </w:rPr>
        <w:t xml:space="preserve"> </w:t>
      </w:r>
      <w:r w:rsidRPr="00DA2BC8">
        <w:t>Препарат выбора для лечения инвазивного аспергиллеза ЦНС – липосомальный амфотерицин В (5-10 мг/кг/сутки) или липидный комплекс амфотерицина В (5 мг/кг /сутки); альтернативный – вориконазол (дозы как при лечении инвазивного аспергиллеза легких) или изавуконазол.</w:t>
      </w:r>
      <w:r w:rsidRPr="00DA2BC8">
        <w:rPr>
          <w:b/>
          <w:bCs/>
        </w:rPr>
        <w:t xml:space="preserve"> </w:t>
      </w:r>
      <w:r w:rsidRPr="00DA2BC8">
        <w:rPr>
          <w:bCs/>
        </w:rPr>
        <w:t xml:space="preserve">Если лечение проводили липидной формой амфотерицина В, то после стабилизации состояния, но не ранее чем через 2 недели, можно перейти на пероральный прием азолов (вориконазол, изавуконазол, позаконазол). </w:t>
      </w:r>
      <w:r w:rsidRPr="00DA2BC8">
        <w:t>Противогрибковые препараты, включая амфотерицин В, интратекально или в очаг поражения не вводят.</w:t>
      </w:r>
      <w:r w:rsidRPr="00DA2BC8">
        <w:rPr>
          <w:bCs/>
        </w:rPr>
        <w:t xml:space="preserve"> Хирургическое лечение</w:t>
      </w:r>
      <w:r w:rsidRPr="00DA2BC8">
        <w:t xml:space="preserve"> заключается в резекции очага в головном мозге, которую проводят при условии, что не будет усугубления неврологических нарушений. Лечение длительное, составляет несколько месяцев.</w:t>
      </w:r>
    </w:p>
    <w:p w14:paraId="6343970A" w14:textId="77777777" w:rsidR="00824BFE" w:rsidRDefault="00824BFE" w:rsidP="00824BFE">
      <w:pPr>
        <w:ind w:right="50"/>
        <w:contextualSpacing/>
        <w:rPr>
          <w:b/>
          <w:bCs/>
        </w:rPr>
      </w:pPr>
    </w:p>
    <w:p w14:paraId="33063CCA" w14:textId="329F962E" w:rsidR="00824BFE" w:rsidRPr="00084B8B" w:rsidRDefault="00824BFE" w:rsidP="00824BFE">
      <w:pPr>
        <w:ind w:right="49"/>
        <w:contextualSpacing/>
        <w:rPr>
          <w:bCs/>
          <w:u w:val="single"/>
        </w:rPr>
      </w:pPr>
      <w:r w:rsidRPr="00EB3571">
        <w:rPr>
          <w:bCs/>
          <w:u w:val="single"/>
        </w:rPr>
        <w:t>Диагностика и лечение мукормикоза</w:t>
      </w:r>
      <w:r>
        <w:rPr>
          <w:bCs/>
          <w:u w:val="single"/>
          <w:lang w:val="en-US"/>
        </w:rPr>
        <w:t xml:space="preserve"> </w:t>
      </w:r>
      <w:r>
        <w:rPr>
          <w:b/>
        </w:rPr>
        <w:fldChar w:fldCharType="begin" w:fldLock="1"/>
      </w:r>
      <w:r w:rsidR="00531C4D">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infections","type":"article-journal","volume":"20"},"uris":["http://www.mendeley.com/documents/?uuid=5a6b3e24-e337-3cd9-bb20-08cd60455554"]},{"id":"ITEM-4","itemData":{"DOI":"10.3324/haematol.2016.152900","ISSN":"15928721","PMID":"28011902","abstract":"The European Conference on Infections in Leukemia (ECIL) provides recommendations for diagnostic strategies and prophylactic, pre-emptive or targeted therapy strategies for various types of infection in patients with hematologic malignancies or hematopoietic stem cell transplantation recipients. Meetings are held every two years since 2005 and evidence-based recommendations are elaborated after evaluation of the literature and discussion among specialists of nearly all European countries. In this manuscript, the ECIL group presents the 2015-update of the recommendations for the targeted treatment of invasive candidiasis, aspergillosis and mucormycosis. Current data now allow a very strong recommendation in favor of echinocandins for first-line therapy of candidemia irrespective of the underlying predisposing factors. Anidulafungin has been given the same grading as the other echinocandins for hemato-oncological patients. The beneficial role of catheter removal in candidemia is strengthened. Aspergillus guidelines now recommend the use of either voriconazole or isavuconazole for first-line treatment of invasive aspergillosis, while first-line combination antifungal therapy is not routinely recommended. As only few new data were published since the last ECIL guidelines, no major changes were made to mucormycosis recommendations.","author":[{"dropping-particle":"","family":"Tissot","given":"Frederic","non-dropping-particle":"","parse-names":false,"suffix":""},{"dropping-particle":"","family":"Agrawal","given":"Samir","non-dropping-particle":"","parse-names":false,"suffix":""},{"dropping-particle":"","family":"Pagano","given":"Livio","non-dropping-particle":"","parse-names":false,"suffix":""},{"dropping-particle":"","family":"Petrikkos","given":"Georgios","non-dropping-particle":"","parse-names":false,"suffix":""},{"dropping-particle":"","family":"Groll","given":"Andreas H.","non-dropping-particle":"","parse-names":false,"suffix":""},{"dropping-particle":"","family":"Skiada","given":"Anna","non-dropping-particle":"","parse-names":false,"suffix":""},{"dropping-particle":"","family":"Lass-Flörl","given":"Cornelia","non-dropping-particle":"","parse-names":false,"suffix":""},{"dropping-particle":"","family":"Calandra","given":"Thierry","non-dropping-particle":"","parse-names":false,"suffix":""},{"dropping-particle":"","family":"Viscoli","given":"Claudio","non-dropping-particle":"","parse-names":false,"suffix":""},{"dropping-particle":"","family":"Herbrecht","given":"Raoul","non-dropping-particle":"","parse-names":false,"suffix":""}],"container-title":"Haematologica","id":"ITEM-4","issue":"3","issued":{"date-parts":[["2017","2","28"]]},"page":"433-444","publisher":"Ferrata Storti Foundation","title":"ECIL-6 guidelines for the treatment of invasive candidiasis, aspergillosis and mucormycosis in leukemia and hematopoietic stem cell transplant patients","type":"article-journal","volume":"102"},"uris":["http://www.mendeley.com/documents/?uuid=56063fed-25f6-3324-a2f1-f316166613f0"]},{"id":"ITEM-5","itemData":{"DOI":"10.1016/S1473-3099(19)30312-3","ISSN":"14744457","PMID":"31699664","abstract":"Mucormycosis is a difficult to diagnose rare disease with high morbidity and mortality. Diagnosis is often delayed, and disease tends to progress rapidly. Urgent surgical and medical intervention is lifesaving. Guidance on the complex multidisciplinary management has potential to improve prognosis, but approaches differ between health-care settings. From January, 2018, authors from 33 countries in all United Nations regions analysed the published evidence on mucormycosis management and provided consensus recommendations addressing differences between the regions of the world as part of the “One World One Guideline” initiative of the European Confederation of Medical Mycology (ECMM). Diagnostic management does not differ greatly between world regions. Upon suspicion of mucormycosis appropriate imaging is strongly recommended to document extent of disease and is followed by strongly recommended surgical intervention. First-line treatment with high-dose liposomal amphotericin B is strongly recommended, while intravenous isavuconazole and intravenous or delayed release tablet posaconazole are recommended with moderate strength. Both triazoles are strongly recommended salvage treatments. Amphotericin B deoxycholate is recommended against, because of substantial toxicity, but may be the only option in resource limited settings. Management of mucormycosis depends on recognising disease patterns and on early diagnosis. Limited availability of contemporary treatments burdens patients in low and middle income settings. Areas of uncertainty were identified and future research directions specified.","author":[{"dropping-particle":"","family":"Cornely","given":"Oliver A.","non-dropping-particle":"","parse-names":false,"suffix":""},{"dropping-particle":"","family":"Alastruey-Izquierdo","given":"Ana","non-dropping-particle":"","parse-names":false,"suffix":""},{"dropping-particle":"","family":"Arenz","given":"Dorothee","non-dropping-particle":"","parse-names":false,"suffix":""},{"dropping-particle":"","family":"Chen","given":"Sharon C.A.","non-dropping-particle":"","parse-names":false,"suffix":""},{"dropping-particle":"","family":"Dannaoui","given":"Eric","non-dropping-particle":"","parse-names":false,"suffix":""},{"dropping-particle":"","family":"Hochhegger","given":"Bruno","non-dropping-particle":"","parse-names":false,"suffix":""},{"dropping-particle":"","family":"Hoenigl","given":"Martin","non-dropping-particle":"","parse-names":false,"suffix":""},{"dropping-particle":"","family":"Jensen","given":"Henrik E.","non-dropping-particle":"","parse-names":false,"suffix":""},{"dropping-particle":"","family":"Lagrou","given":"Katrien","non-dropping-particle":"","parse-names":false,"suffix":""},{"dropping-particle":"","family":"Lewis","given":"Russell E.","non-dropping-particle":"","parse-names":false,"suffix":""},{"dropping-particle":"","family":"Mellinghoff","given":"Sibylle C.","non-dropping-particle":"","parse-names":false,"suffix":""},{"dropping-particle":"","family":"Mer","given":"Mervyn","non-dropping-particle":"","parse-names":false,"suffix":""},{"dropping-particle":"","family":"Pana","given":"Zoi D.","non-dropping-particle":"","parse-names":false,"suffix":""},{"dropping-particle":"","family":"Seidel","given":"Danila","non-dropping-particle":"","parse-names":false,"suffix":""},{"dropping-particle":"","family":"Sheppard","given":"Donald C.","non-dropping-particle":"","parse-names":false,"suffix":""},{"dropping-particle":"","family":"Wahba","given":"Roger","non-dropping-particle":"","parse-names":false,"suffix":""},{"dropping-particle":"","family":"Akova","given":"Murat","non-dropping-particle":"","parse-names":false,"suffix":""},{"dropping-particle":"","family":"Alanio","given":"Alexandre","non-dropping-particle":"","parse-names":false,"suffix":""},{"dropping-particle":"","family":"Al-Hatmi","given":"Abdullah M.S.","non-dropping-particle":"","parse-names":false,"suffix":""},{"dropping-particle":"","family":"Arikan-Akdagli","given":"Sevtap","non-dropping-particle":"","parse-names":false,"suffix":""},{"dropping-particle":"","family":"Badali","given":"Hamid","non-dropping-particle":"","parse-names":false,"suffix":""},{"dropping-particle":"","family":"Ben-Ami","given":"Ronen","non-dropping-particle":"","parse-names":false,"suffix":""},{"dropping-particle":"","family":"Bonifaz","given":"Alexandro","non-dropping-particle":"","parse-names":false,"suffix":""},{"dropping-particle":"","family":"Bretagne","given":"Stéphane","non-dropping-particle":"","parse-names":false,"suffix":""},{"dropping-particle":"","family":"Castagnola","given":"Elio","non-dropping-particle":"","parse-names":false,"suffix":""},{"dropping-particle":"","family":"Chayakulkeeree","given":"Methee","non-dropping-particle":"","parse-names":false,"suffix":""},{"dropping-particle":"","family":"Colombo","given":"Arnaldo L.","non-dropping-particle":"","parse-names":false,"suffix":""},{"dropping-particle":"","family":"Corzo-León","given":"Dora E.","non-dropping-particle":"","parse-names":false,"suffix":""},{"dropping-particle":"","family":"Drgona","given":"Lubos","non-dropping-particle":"","parse-names":false,"suffix":""},{"dropping-particle":"","family":"Groll","given":"Andreas H.","non-dropping-particle":"","parse-names":false,"suffix":""},{"dropping-particle":"","family":"Guinea","given":"Jesus","non-dropping-particle":"","parse-names":false,"suffix":""},{"dropping-particle":"","family":"Heussel","given":"Claus Peter","non-dropping-particle":"","parse-names":false,"suffix":""},{"dropping-particle":"","family":"Ibrahim","given":"Ashraf S.","non-dropping-particle":"","parse-names":false,"suffix":""},{"dropping-particle":"","family":"Kanj","given":"Souha S.","non-dropping-particle":"","parse-names":false,"suffix":""},{"dropping-particle":"","family":"Klimko","given":"Nikolay","non-dropping-particle":"","parse-names":false,"suffix":""},{"dropping-particle":"","family":"Lackner","given":"Michaela","non-dropping-particle":"","parse-names":false,"suffix":""},{"dropping-particle":"","family":"Lamoth","given":"Frederic","non-dropping-particle":"","parse-names":false,"suffix":""},{"dropping-particle":"","family":"Lanternier","given":"Fanny","non-dropping-particle":"","parse-names":false,"suffix":""},{"dropping-particle":"","family":"Lass-Floerl","given":"Cornelia","non-dropping-particle":"","parse-names":false,"suffix":""},{"dropping-particle":"","family":"Lee","given":"Dong Gun","non-dropping-particle":"","parse-names":false,"suffix":""},{"dropping-particle":"","family":"Lehrnbecher","given":"Thomas","non-dropping-particle":"","parse-names":false,"suffix":""},{"dropping-particle":"","family":"Lmimouni","given":"Badre E.","non-dropping-particle":"","parse-names":false,"suffix":""},{"dropping-particle":"","family":"Mares","given":"Mihai","non-dropping-particle":"","parse-names":false,"suffix":""},{"dropping-particle":"","family":"Maschmeyer","given":"Georg","non-dropping-particle":"","parse-names":false,"suffix":""},{"dropping-particle":"","family":"Meis","given":"Jacques F.","non-dropping-particle":"","parse-names":false,"suffix":""},{"dropping-particle":"","family":"Meletiadis","given":"Joseph","non-dropping-particle":"","parse-names":false,"suffix":""},{"dropping-particle":"","family":"Morrissey","given":"C. Orla","non-dropping-particle":"","parse-names":false,"suffix":""},{"dropping-particle":"","family":"Nucci","given":"Marcio","non-dropping-particle":"","parse-names":false,"suffix":""},{"dropping-particle":"","family":"Oladele","given":"Rita","non-dropping-particle":"","parse-names":false,"suffix":""},{"dropping-particle":"","family":"Pagano","given":"Livio","non-dropping-particle":"","parse-names":false,"suffix":""},{"dropping-particle":"","family":"Pasqualotto","given":"Alessandro","non-dropping-particle":"","parse-names":false,"suffix":""},{"dropping-particle":"","family":"Patel","given":"Atul","non-dropping-particle":"","parse-names":false,"suffix":""},{"dropping-particle":"","family":"Racil","given":"Zdenek","non-dropping-particle":"","parse-names":false,"suffix":""},{"dropping-particle":"","family":"Richardson","given":"Malcolm","non-dropping-particle":"","parse-names":false,"suffix":""},{"dropping-particle":"","family":"Roilides","given":"Emmanuel","non-dropping-particle":"","parse-names":false,"suffix":""},{"dropping-particle":"","family":"Ruhnke","given":"Markus","non-dropping-particle":"","parse-names":false,"suffix":""},{"dropping-particle":"","family":"Seyedmousavi","given":"Seyedmojtaba","non-dropping-particle":"","parse-names":false,"suffix":""},{"dropping-particle":"","family":"Sidharthan","given":"Neeraj","non-dropping-particle":"","parse-names":false,"suffix":""},{"dropping-particle":"","family":"Singh","given":"Nina","non-dropping-particle":"","parse-names":false,"suffix":""},{"dropping-particle":"","family":"Sinko","given":"János","non-dropping-particle":"","parse-names":false,"suffix":""},{"dropping-particle":"","family":"Skiada","given":"Anna","non-dropping-particle":"","parse-names":false,"suffix":""},{"dropping-particle":"","family":"Slavin","given":"Monica","non-dropping-particle":"","parse-names":false,"suffix":""},{"dropping-particle":"","family":"Soman","given":"Rajeev","non-dropping-particle":"","parse-names":false,"suffix":""},{"dropping-particle":"","family":"Spellberg","given":"Brad","non-dropping-particle":"","parse-names":false,"suffix":""},{"dropping-particle":"","family":"Steinbach","given":"William","non-dropping-particle":"","parse-names":false,"suffix":""},{"dropping-particle":"","family":"Tan","given":"Ban Hock","non-dropping-particle":"","parse-names":false,"suffix":""},{"dropping-particle":"","family":"Ullmann","given":"Andrew J.","non-dropping-particle":"","parse-names":false,"suffix":""},{"dropping-particle":"","family":"Vehreschild","given":"Jörg J.","non-dropping-particle":"","parse-names":false,"suffix":""},{"dropping-particle":"","family":"Vehreschild","given":"Maria J.G.T.","non-dropping-particle":"","parse-names":false,"suffix":""},{"dropping-particle":"","family":"Walsh","given":"Thomas J.","non-dropping-particle":"","parse-names":false,"suffix":""},{"dropping-particle":"","family":"White","given":"P. Lewis","non-dropping-particle":"","parse-names":false,"suffix":""},{"dropping-particle":"","family":"Wiederhold","given":"Nathan P.","non-dropping-particle":"","parse-names":false,"suffix":""},{"dropping-particle":"","family":"Zaoutis","given":"Theoklis","non-dropping-particle":"","parse-names":false,"suffix":""},{"dropping-particle":"","family":"Chakrabarti","given":"Arunaloke","non-dropping-particle":"","parse-names":false,"suffix":""}],"container-title":"The Lancet Infectious Diseases","id":"ITEM-5","issue":"12","issued":{"date-parts":[["2019","12","1"]]},"page":"e405-e421","publisher":"Lancet Publishing Group","title":"Global guideline for the diagnosis and management of mucormycosis: an initiative of the European Confederation of Medical Mycology in cooperation with the Mycoses Study Group Education and Research Consortium","type":"article","volume":"19"},"uris":["http://www.mendeley.com/documents/?uuid=fc978cfc-9076-3684-a701-eca666f38a46"]}],"mendeley":{"formattedCitation":"[75,76,80,81,84]","plainTextFormattedCitation":"[75,76,80,81,84]","previouslyFormattedCitation":"[75,76,80,81,84]"},"properties":{"noteIndex":0},"schema":"https://github.com/citation-style-language/schema/raw/master/csl-citation.json"}</w:instrText>
      </w:r>
      <w:r>
        <w:rPr>
          <w:b/>
        </w:rPr>
        <w:fldChar w:fldCharType="separate"/>
      </w:r>
      <w:r w:rsidRPr="00824BFE">
        <w:rPr>
          <w:noProof/>
        </w:rPr>
        <w:t>[75,76,80,81,84]</w:t>
      </w:r>
      <w:r>
        <w:rPr>
          <w:b/>
        </w:rPr>
        <w:fldChar w:fldCharType="end"/>
      </w:r>
    </w:p>
    <w:p w14:paraId="1156E947" w14:textId="77777777" w:rsidR="00824BFE" w:rsidRPr="00DA2BC8" w:rsidRDefault="00824BFE" w:rsidP="00824BFE">
      <w:pPr>
        <w:ind w:right="50" w:firstLine="709"/>
        <w:contextualSpacing/>
      </w:pPr>
      <w:r w:rsidRPr="00DA2BC8">
        <w:t>Мукормикоз занимает вторую позицию после инвазивного аспергиллеза в спектре инвазивных микозо</w:t>
      </w:r>
      <w:r>
        <w:t>в, вызванных плесневыми грибами</w:t>
      </w:r>
      <w:r w:rsidRPr="00DA2BC8">
        <w:t xml:space="preserve"> у </w:t>
      </w:r>
      <w:r>
        <w:t>гематологических пациентов</w:t>
      </w:r>
      <w:r w:rsidRPr="00DA2BC8">
        <w:t xml:space="preserve">. Частота мукормикоза у </w:t>
      </w:r>
      <w:r>
        <w:t>гематологических пациентов</w:t>
      </w:r>
      <w:r w:rsidRPr="00DA2BC8">
        <w:t xml:space="preserve"> не превышает 0,5%, в структуре инвазивных микозов составляет </w:t>
      </w:r>
      <w:r>
        <w:t>3-5</w:t>
      </w:r>
      <w:r w:rsidRPr="00DA2BC8">
        <w:t xml:space="preserve">. Мукормикоз преобладает у больных острыми лейкозами и реципиентов аллогенных СГК, характеризуется агрессивным течением с преимущественным поражением легких, частой диссеминацией (25-40%), высокой летальностью (50—60%). </w:t>
      </w:r>
      <w:r w:rsidRPr="00DA2BC8">
        <w:rPr>
          <w:bCs/>
        </w:rPr>
        <w:t xml:space="preserve">Возбудители </w:t>
      </w:r>
      <w:r w:rsidRPr="00DA2BC8">
        <w:t xml:space="preserve">– мицелиальные грибы </w:t>
      </w:r>
      <w:r w:rsidRPr="00DA2BC8">
        <w:rPr>
          <w:i/>
          <w:iCs/>
        </w:rPr>
        <w:t>Mucorales</w:t>
      </w:r>
      <w:r w:rsidRPr="00DA2BC8">
        <w:t xml:space="preserve">, среди них </w:t>
      </w:r>
      <w:r w:rsidRPr="00DA2BC8">
        <w:lastRenderedPageBreak/>
        <w:t xml:space="preserve">наиболее часто инфекцию у человека вызывают </w:t>
      </w:r>
      <w:r w:rsidRPr="00DA2BC8">
        <w:rPr>
          <w:i/>
          <w:iCs/>
        </w:rPr>
        <w:t>Rhizopus</w:t>
      </w:r>
      <w:r w:rsidRPr="00DA2BC8">
        <w:t xml:space="preserve"> spp., </w:t>
      </w:r>
      <w:r w:rsidRPr="00DA2BC8">
        <w:rPr>
          <w:i/>
          <w:iCs/>
        </w:rPr>
        <w:t>Mucor</w:t>
      </w:r>
      <w:r w:rsidRPr="00DA2BC8">
        <w:t xml:space="preserve"> spp., </w:t>
      </w:r>
      <w:r w:rsidRPr="00DA2BC8">
        <w:rPr>
          <w:i/>
          <w:iCs/>
        </w:rPr>
        <w:t>Lichtheimia</w:t>
      </w:r>
      <w:r w:rsidRPr="00DA2BC8">
        <w:t xml:space="preserve"> (</w:t>
      </w:r>
      <w:r w:rsidRPr="00DA2BC8">
        <w:rPr>
          <w:i/>
          <w:iCs/>
        </w:rPr>
        <w:t>Absidia</w:t>
      </w:r>
      <w:r w:rsidRPr="00DA2BC8">
        <w:t xml:space="preserve">) spp., </w:t>
      </w:r>
      <w:r w:rsidRPr="00DA2BC8">
        <w:rPr>
          <w:i/>
          <w:iCs/>
        </w:rPr>
        <w:t>Cunninghamella</w:t>
      </w:r>
      <w:r w:rsidRPr="00DA2BC8">
        <w:t xml:space="preserve"> spp., </w:t>
      </w:r>
      <w:r w:rsidRPr="00DA2BC8">
        <w:rPr>
          <w:i/>
          <w:iCs/>
        </w:rPr>
        <w:t>Rhizomucor</w:t>
      </w:r>
      <w:r w:rsidRPr="00DA2BC8">
        <w:t xml:space="preserve"> spp., </w:t>
      </w:r>
      <w:r w:rsidRPr="00DA2BC8">
        <w:rPr>
          <w:i/>
          <w:iCs/>
        </w:rPr>
        <w:t>Apophysomyces</w:t>
      </w:r>
      <w:r w:rsidRPr="00DA2BC8">
        <w:t xml:space="preserve"> spp., </w:t>
      </w:r>
      <w:r w:rsidRPr="00DA2BC8">
        <w:rPr>
          <w:i/>
          <w:iCs/>
        </w:rPr>
        <w:t>Saksenaea</w:t>
      </w:r>
      <w:r w:rsidRPr="00DA2BC8">
        <w:t xml:space="preserve"> spp.</w:t>
      </w:r>
    </w:p>
    <w:p w14:paraId="4E3FFEBE" w14:textId="77777777" w:rsidR="00824BFE" w:rsidRPr="00DA2BC8" w:rsidRDefault="00824BFE" w:rsidP="00824BFE">
      <w:pPr>
        <w:ind w:right="50" w:firstLine="709"/>
        <w:contextualSpacing/>
      </w:pPr>
      <w:r w:rsidRPr="00686506">
        <w:rPr>
          <w:i/>
          <w:iCs/>
          <w:u w:val="single"/>
        </w:rPr>
        <w:t>Факторы риска</w:t>
      </w:r>
      <w:r w:rsidRPr="00DA2BC8">
        <w:t xml:space="preserve"> возникновения мукормикоза во многом схожи с таковыми для инвазивного аспергиллеза и включают длительную гранулоцитопению (нейтрофилов менее 0,5 × 10</w:t>
      </w:r>
      <w:r w:rsidRPr="00DA2BC8">
        <w:rPr>
          <w:vertAlign w:val="superscript"/>
        </w:rPr>
        <w:t>9</w:t>
      </w:r>
      <w:r w:rsidRPr="00DA2BC8">
        <w:t xml:space="preserve">/л), трансплантацию аллогенных СГК, отсутствие ремиссии гемобластоза, лечение глюкокортикостероидами и другими иммуносупрессивными препаратами. К дополнительным факторам риска, ассоциированным с развитием мукормикоза, относят сахарный диабет, тяжелые травмы и обширные ожоги. Следует отметить, что вориконазол не активен в отношении </w:t>
      </w:r>
      <w:r w:rsidRPr="00DA2BC8">
        <w:rPr>
          <w:i/>
          <w:iCs/>
        </w:rPr>
        <w:t>Mucorale</w:t>
      </w:r>
      <w:r w:rsidRPr="00DA2BC8">
        <w:t xml:space="preserve">s, и в период его применения может возникать мукормикоз. Важным компонентом метаболизма </w:t>
      </w:r>
      <w:r w:rsidRPr="00DA2BC8">
        <w:rPr>
          <w:i/>
          <w:iCs/>
        </w:rPr>
        <w:t xml:space="preserve">Mucorales </w:t>
      </w:r>
      <w:r w:rsidRPr="00DA2BC8">
        <w:t xml:space="preserve">является железо, поэтому </w:t>
      </w:r>
      <w:r>
        <w:t>пациентов</w:t>
      </w:r>
      <w:r w:rsidRPr="00DA2BC8">
        <w:t xml:space="preserve"> с гемосидерозом относят к группе высокого риска по возникновению мукормикоза, как и пациентов, получающих лечение дефероксамином. </w:t>
      </w:r>
    </w:p>
    <w:p w14:paraId="081C9079" w14:textId="77777777" w:rsidR="00824BFE" w:rsidRPr="00047807" w:rsidRDefault="00824BFE" w:rsidP="00824BFE">
      <w:pPr>
        <w:ind w:right="50" w:firstLine="709"/>
        <w:contextualSpacing/>
        <w:rPr>
          <w:b/>
          <w:bCs/>
        </w:rPr>
      </w:pPr>
      <w:r w:rsidRPr="00047807">
        <w:rPr>
          <w:b/>
          <w:bCs/>
        </w:rPr>
        <w:t>Мукормикоз легких</w:t>
      </w:r>
    </w:p>
    <w:p w14:paraId="4ADF3671" w14:textId="77777777" w:rsidR="00824BFE" w:rsidRPr="00686506" w:rsidRDefault="00824BFE" w:rsidP="00824BFE">
      <w:pPr>
        <w:ind w:right="50" w:firstLine="709"/>
        <w:contextualSpacing/>
        <w:rPr>
          <w:i/>
          <w:iCs/>
          <w:u w:val="single"/>
        </w:rPr>
      </w:pPr>
      <w:r w:rsidRPr="00686506">
        <w:rPr>
          <w:i/>
          <w:iCs/>
          <w:u w:val="single"/>
        </w:rPr>
        <w:t>Симптомы</w:t>
      </w:r>
    </w:p>
    <w:p w14:paraId="703867A3" w14:textId="77777777" w:rsidR="00824BFE" w:rsidRPr="00DA2BC8" w:rsidRDefault="00824BFE" w:rsidP="00824BFE">
      <w:pPr>
        <w:ind w:right="50" w:firstLine="709"/>
        <w:contextualSpacing/>
      </w:pPr>
      <w:r w:rsidRPr="00DA2BC8">
        <w:t xml:space="preserve">Клинические проявления скудные, неспецифичные, схожи с таковыми при инвазивном аспергиллезе легких. Нередко присутствует непродуктивный кашель, прогрессирующая дыхательная недостаточность, плевральная боль. При наличии плеврита может выслушиваться шум трения плевры. Инвазия мицелия грибов в сосуды вызывает некроз окружающих тканей и приводит к образованию полостей и фатальным легочным кровотечениям. У </w:t>
      </w:r>
      <w:r>
        <w:t>гематологических пациентов</w:t>
      </w:r>
      <w:r w:rsidRPr="00DA2BC8">
        <w:t xml:space="preserve"> часто бывает диссеминация инфекции вследствие инвазии грибов в окружающие ткани и органы (бронхи, плевру, грудную стенку, диафрагму, печень и др.), или гематогенно (в головной мозг, селезенку, почки, сердце, мягкие ткани и т. д.). Для диссеминированной формы инфекции характерны симптомы, соответствующие локализации очагов поражения. </w:t>
      </w:r>
    </w:p>
    <w:p w14:paraId="3EECC935" w14:textId="77777777" w:rsidR="00824BFE" w:rsidRPr="00DA2BC8" w:rsidRDefault="00824BFE" w:rsidP="00824BFE">
      <w:pPr>
        <w:ind w:right="50" w:firstLine="709"/>
        <w:contextualSpacing/>
        <w:rPr>
          <w:b/>
          <w:bCs/>
        </w:rPr>
      </w:pPr>
      <w:r w:rsidRPr="00686506">
        <w:rPr>
          <w:i/>
          <w:iCs/>
          <w:u w:val="single"/>
        </w:rPr>
        <w:t>Диагностика мукормикоза легких</w:t>
      </w:r>
      <w:r w:rsidRPr="00DA2BC8">
        <w:rPr>
          <w:b/>
          <w:bCs/>
        </w:rPr>
        <w:t xml:space="preserve"> </w:t>
      </w:r>
      <w:r w:rsidRPr="00DA2BC8">
        <w:rPr>
          <w:bCs/>
        </w:rPr>
        <w:t xml:space="preserve">включает присутствие факторов риска, радиологические изменения в легких и наличие микологического подтверждения инфекции. </w:t>
      </w:r>
    </w:p>
    <w:p w14:paraId="1CEFCCCC" w14:textId="77777777" w:rsidR="00824BFE" w:rsidRPr="00686506" w:rsidRDefault="00824BFE" w:rsidP="00824BFE">
      <w:pPr>
        <w:ind w:right="50" w:firstLine="709"/>
        <w:contextualSpacing/>
        <w:rPr>
          <w:i/>
          <w:iCs/>
          <w:u w:val="single"/>
        </w:rPr>
      </w:pPr>
      <w:r w:rsidRPr="00686506">
        <w:rPr>
          <w:i/>
          <w:iCs/>
          <w:u w:val="single"/>
        </w:rPr>
        <w:t>Радиологические особенности мукормикоза легких</w:t>
      </w:r>
    </w:p>
    <w:p w14:paraId="36908015" w14:textId="77777777" w:rsidR="00824BFE" w:rsidRPr="00DA2BC8" w:rsidRDefault="00824BFE" w:rsidP="00824BFE">
      <w:pPr>
        <w:ind w:right="50" w:firstLine="709"/>
        <w:contextualSpacing/>
      </w:pPr>
      <w:r w:rsidRPr="00DA2BC8">
        <w:t>Основа радиологической диагностики – это КТ</w:t>
      </w:r>
      <w:r>
        <w:t>/СКТ</w:t>
      </w:r>
      <w:r w:rsidRPr="00DA2BC8">
        <w:t>. Радиологические проявления мукормикоза неспецифичны и часто схожи с инвазивным аспергиллезом. Выделяют ряд радиологических признаков, которые в большей степени характерны для мукормикоза, чем для инвазивного аспергиллеза, и включают симптом «обратного ореола» (просветление в центре очага или зоны консолидации), плевральный выпот, наличие от 10 и более очагов в легких.</w:t>
      </w:r>
    </w:p>
    <w:p w14:paraId="608E7487" w14:textId="77777777" w:rsidR="00824BFE" w:rsidRPr="00686506" w:rsidRDefault="00824BFE" w:rsidP="00824BFE">
      <w:pPr>
        <w:ind w:right="50" w:firstLine="709"/>
        <w:contextualSpacing/>
        <w:rPr>
          <w:bCs/>
          <w:i/>
          <w:iCs/>
        </w:rPr>
      </w:pPr>
      <w:r w:rsidRPr="00686506">
        <w:rPr>
          <w:bCs/>
          <w:i/>
          <w:iCs/>
          <w:u w:val="single"/>
        </w:rPr>
        <w:t>Микологическая диагностика мукормикоза</w:t>
      </w:r>
    </w:p>
    <w:p w14:paraId="54194325" w14:textId="77777777" w:rsidR="00824BFE" w:rsidRPr="00DA2BC8" w:rsidRDefault="00824BFE" w:rsidP="00824BFE">
      <w:pPr>
        <w:ind w:right="50" w:firstLine="709"/>
        <w:contextualSpacing/>
      </w:pPr>
      <w:r w:rsidRPr="00DA2BC8">
        <w:lastRenderedPageBreak/>
        <w:t xml:space="preserve">Нет серологических маркеров диагностики. Исследуют жидкость БАЛ или биоптаты органов. Диагноз устанавливают на основании обнаружения несептированного мицелия при флуоресцентной микроскопии либо при гистологическом исследовании биоптата, или детекции культуры грибов </w:t>
      </w:r>
      <w:r w:rsidRPr="00DA2BC8">
        <w:rPr>
          <w:i/>
          <w:iCs/>
        </w:rPr>
        <w:t>Mucorales</w:t>
      </w:r>
      <w:r w:rsidRPr="00DA2BC8">
        <w:t xml:space="preserve"> из исследуемых образцов. Вероятность получения культуры </w:t>
      </w:r>
      <w:r w:rsidRPr="00DA2BC8">
        <w:rPr>
          <w:i/>
          <w:iCs/>
        </w:rPr>
        <w:t xml:space="preserve">Mucorales </w:t>
      </w:r>
      <w:r w:rsidRPr="00DA2BC8">
        <w:rPr>
          <w:iCs/>
        </w:rPr>
        <w:t xml:space="preserve">выше из биоптатов, чем из жидкости БАЛ. </w:t>
      </w:r>
    </w:p>
    <w:p w14:paraId="6831D60E" w14:textId="77777777" w:rsidR="00824BFE" w:rsidRPr="00686506" w:rsidRDefault="00824BFE" w:rsidP="00824BFE">
      <w:pPr>
        <w:ind w:right="50" w:firstLine="709"/>
        <w:contextualSpacing/>
        <w:rPr>
          <w:i/>
          <w:iCs/>
          <w:u w:val="single"/>
        </w:rPr>
      </w:pPr>
      <w:r w:rsidRPr="00686506">
        <w:rPr>
          <w:i/>
          <w:iCs/>
          <w:u w:val="single"/>
        </w:rPr>
        <w:t>Лечение мукормикоза легких</w:t>
      </w:r>
    </w:p>
    <w:p w14:paraId="5AEDBB57" w14:textId="77777777" w:rsidR="00824BFE" w:rsidRPr="00DA2BC8" w:rsidRDefault="00824BFE" w:rsidP="00824BFE">
      <w:pPr>
        <w:ind w:right="50" w:firstLine="709"/>
        <w:contextualSpacing/>
      </w:pPr>
      <w:r w:rsidRPr="00DA2BC8">
        <w:t xml:space="preserve">Мукормикоз характеризуется крайне агрессивным течением. Лечение необходимо начинать при первых признаках инфекции, поскольку промедление в назначении антимикотиков приводит к увеличению частоты летальных исходов. </w:t>
      </w:r>
      <w:r w:rsidRPr="00DA2BC8">
        <w:rPr>
          <w:bCs/>
        </w:rPr>
        <w:t>Препаратами выбора для лечения являются липидные формы амфотерицина В (</w:t>
      </w:r>
      <w:r w:rsidRPr="00DA2BC8">
        <w:t>липосомальный амфотерицин или липидный комплекс амфотерицина В 5 мг/кг/сутки), альтернативный - изавуконазол (изавуконазол по 200 мг каждые 8 час в течение 2 дней (6 доз), далее по 200 мг 1 раз в сутки внутривенно или перорально). Замену липидной формы амфотерицина В на позаконазол проводят при одновременном наличии следующих условий: положительная динамика в легких по данным КТВР, стабильном состоянии больного, отсутствии мукозита и диареи, полноценном питании, отсутствии нарушения функции печени.</w:t>
      </w:r>
    </w:p>
    <w:p w14:paraId="6D38D3CA" w14:textId="77777777" w:rsidR="00824BFE" w:rsidRPr="00DA2BC8" w:rsidRDefault="00824BFE" w:rsidP="00824BFE">
      <w:pPr>
        <w:ind w:right="50" w:firstLine="709"/>
        <w:contextualSpacing/>
      </w:pPr>
      <w:r w:rsidRPr="00DA2BC8">
        <w:t>При диссеминации Mucorales в головной мозг препаратом выбора является липосомальный амфотерицин, дозирование может быть увеличено до 10 мг/кг в сутки. При неэффективности к липидным формам амфотерицина В добавляют эхинокандин или позаконазол.</w:t>
      </w:r>
    </w:p>
    <w:p w14:paraId="3821EEC2" w14:textId="77777777" w:rsidR="00824BFE" w:rsidRPr="00686506" w:rsidRDefault="00824BFE" w:rsidP="00824BFE">
      <w:pPr>
        <w:ind w:right="50" w:firstLine="709"/>
        <w:contextualSpacing/>
        <w:rPr>
          <w:i/>
          <w:iCs/>
          <w:u w:val="single"/>
        </w:rPr>
      </w:pPr>
      <w:r w:rsidRPr="00686506">
        <w:rPr>
          <w:i/>
          <w:iCs/>
          <w:u w:val="single"/>
        </w:rPr>
        <w:t>Хирургическое лечение мукормикоза легких</w:t>
      </w:r>
    </w:p>
    <w:p w14:paraId="08D1646B" w14:textId="77777777" w:rsidR="00824BFE" w:rsidRPr="00DA2BC8" w:rsidRDefault="00824BFE" w:rsidP="00824BFE">
      <w:pPr>
        <w:ind w:right="50" w:firstLine="709"/>
        <w:contextualSpacing/>
      </w:pPr>
      <w:r w:rsidRPr="00DA2BC8">
        <w:rPr>
          <w:i/>
          <w:iCs/>
        </w:rPr>
        <w:t>При локализованной форме</w:t>
      </w:r>
      <w:r w:rsidRPr="00DA2BC8">
        <w:t xml:space="preserve"> мукормикоза легких показано хирургическое лечение во всех случаях, если позволяет состояние </w:t>
      </w:r>
      <w:r>
        <w:t>пациента</w:t>
      </w:r>
      <w:r w:rsidRPr="00DA2BC8">
        <w:t xml:space="preserve">. Операцию выполняют при стабилизации состояния больного. </w:t>
      </w:r>
      <w:r w:rsidRPr="00DA2BC8">
        <w:rPr>
          <w:i/>
          <w:iCs/>
        </w:rPr>
        <w:t>При диссеминации</w:t>
      </w:r>
      <w:r w:rsidRPr="00DA2BC8">
        <w:t xml:space="preserve"> необходимость хирургического лечения определяется индивидуально.</w:t>
      </w:r>
    </w:p>
    <w:p w14:paraId="64060B7A" w14:textId="77777777" w:rsidR="00824BFE" w:rsidRPr="00DA2BC8" w:rsidRDefault="00824BFE" w:rsidP="00824BFE">
      <w:pPr>
        <w:ind w:right="50" w:firstLine="709"/>
        <w:contextualSpacing/>
      </w:pPr>
      <w:r w:rsidRPr="00686506">
        <w:t>Лечение</w:t>
      </w:r>
      <w:r w:rsidRPr="00DA2BC8">
        <w:rPr>
          <w:b/>
          <w:bCs/>
        </w:rPr>
        <w:t xml:space="preserve"> </w:t>
      </w:r>
      <w:r w:rsidRPr="00DA2BC8">
        <w:t xml:space="preserve">мукормикоза антимикотиками длительное, несколько месяцев. Критерием для отмены противогрибковых препаратов является регрессия очагов в легких. Всем больных, имевших мукормикоз в анамнезе, во время очередных курсов ПХТ проводят профилактику позаконазолом по 200 мг 3 раза в сутки в суспензии или изавуконазолом (см. вторичная профилактика). </w:t>
      </w:r>
    </w:p>
    <w:p w14:paraId="56F32069" w14:textId="77777777" w:rsidR="00824BFE" w:rsidRPr="00047807" w:rsidRDefault="00824BFE" w:rsidP="00824BFE">
      <w:pPr>
        <w:ind w:right="51" w:firstLine="709"/>
        <w:contextualSpacing/>
        <w:rPr>
          <w:b/>
          <w:bCs/>
        </w:rPr>
      </w:pPr>
      <w:r w:rsidRPr="00047807">
        <w:rPr>
          <w:b/>
          <w:bCs/>
        </w:rPr>
        <w:t>Мукормикоз придаточных пазух носа</w:t>
      </w:r>
    </w:p>
    <w:p w14:paraId="482F34DC" w14:textId="77777777" w:rsidR="00824BFE" w:rsidRPr="00DA2BC8" w:rsidRDefault="00824BFE" w:rsidP="00824BFE">
      <w:pPr>
        <w:ind w:right="51" w:firstLine="709"/>
        <w:contextualSpacing/>
      </w:pPr>
      <w:r w:rsidRPr="00DA2BC8">
        <w:t xml:space="preserve">Эта локализация инфекции наиболее характерна для </w:t>
      </w:r>
      <w:r>
        <w:t xml:space="preserve">гематологических пациентов с </w:t>
      </w:r>
      <w:r w:rsidRPr="00DA2BC8">
        <w:t xml:space="preserve">сахарным диабетом. Клиническая картина аналогична инвазивному аспергиллезному риносинуситу, но мукормикоз протекает более агрессивно, и в течение нескольких дней происходит вовлечение в инфекционный процесс окружающих мягких тканей (некроз) с </w:t>
      </w:r>
      <w:r w:rsidRPr="00DA2BC8">
        <w:lastRenderedPageBreak/>
        <w:t xml:space="preserve">деструкцией костей черепа и инвазией грибов в орбиту и головной мозг. Как правило, наблюдается одностороннее поражение грибами </w:t>
      </w:r>
      <w:r w:rsidRPr="00DA2BC8">
        <w:rPr>
          <w:i/>
        </w:rPr>
        <w:t>Mucorale</w:t>
      </w:r>
      <w:r w:rsidRPr="00DA2BC8">
        <w:rPr>
          <w:i/>
          <w:iCs/>
        </w:rPr>
        <w:t>s</w:t>
      </w:r>
      <w:r w:rsidRPr="00DA2BC8">
        <w:t xml:space="preserve"> придаточных пазух носа. </w:t>
      </w:r>
    </w:p>
    <w:p w14:paraId="560BB828" w14:textId="77777777" w:rsidR="00824BFE" w:rsidRPr="00DA2BC8" w:rsidRDefault="00824BFE" w:rsidP="00824BFE">
      <w:pPr>
        <w:ind w:right="51" w:firstLine="709"/>
        <w:contextualSpacing/>
      </w:pPr>
      <w:r w:rsidRPr="00DA2BC8">
        <w:t xml:space="preserve">Начальные симптомы заболевания включают боль, отек и покраснение на стороне поражения. В дальнейшем возникает некроз или изъязвления на слизистой оболочке носовых ходов, коже. Часто бывает гематогенненная диссеминация. Клиническая картина соответствует локализации очага поражения. </w:t>
      </w:r>
    </w:p>
    <w:p w14:paraId="1AA4C760" w14:textId="77777777" w:rsidR="00824BFE" w:rsidRPr="00DA2BC8" w:rsidRDefault="00824BFE" w:rsidP="00824BFE">
      <w:pPr>
        <w:ind w:right="51" w:firstLine="709"/>
        <w:contextualSpacing/>
      </w:pPr>
      <w:r w:rsidRPr="00686506">
        <w:rPr>
          <w:i/>
          <w:iCs/>
          <w:u w:val="single"/>
        </w:rPr>
        <w:t>Диагностика мукормикозного риносинусита</w:t>
      </w:r>
      <w:r w:rsidRPr="00DA2BC8">
        <w:rPr>
          <w:b/>
          <w:bCs/>
        </w:rPr>
        <w:t xml:space="preserve"> </w:t>
      </w:r>
      <w:r w:rsidRPr="00DA2BC8">
        <w:rPr>
          <w:bCs/>
        </w:rPr>
        <w:t>включает наличие</w:t>
      </w:r>
      <w:r w:rsidRPr="00DA2BC8">
        <w:rPr>
          <w:b/>
          <w:bCs/>
        </w:rPr>
        <w:t xml:space="preserve"> </w:t>
      </w:r>
      <w:r w:rsidRPr="00DA2BC8">
        <w:t>радиологических признаков риносинусита, деструкции костей черепа</w:t>
      </w:r>
      <w:r>
        <w:t xml:space="preserve"> при КТ/СКТ/МРТ</w:t>
      </w:r>
      <w:r w:rsidRPr="00DA2BC8">
        <w:t>;</w:t>
      </w:r>
      <w:r w:rsidRPr="00DA2BC8">
        <w:rPr>
          <w:b/>
          <w:bCs/>
        </w:rPr>
        <w:t xml:space="preserve"> </w:t>
      </w:r>
      <w:r w:rsidRPr="00DA2BC8">
        <w:t xml:space="preserve">выделение культуры </w:t>
      </w:r>
      <w:r w:rsidRPr="00DA2BC8">
        <w:rPr>
          <w:i/>
        </w:rPr>
        <w:t>Mucorales</w:t>
      </w:r>
      <w:r w:rsidRPr="00DA2BC8">
        <w:t xml:space="preserve"> из биоптата некротизированной слизистой оболочки носа или аспирата придаточных пазух носа или обнаружение несептированного мицелия грибов при гистологическом или цитологическом исследовании биоптата (аспирата). </w:t>
      </w:r>
    </w:p>
    <w:p w14:paraId="3E81767B" w14:textId="77777777" w:rsidR="00824BFE" w:rsidRPr="00DA2BC8" w:rsidRDefault="00824BFE" w:rsidP="00824BFE">
      <w:pPr>
        <w:ind w:right="51" w:firstLine="709"/>
        <w:contextualSpacing/>
        <w:rPr>
          <w:b/>
          <w:bCs/>
        </w:rPr>
      </w:pPr>
      <w:r w:rsidRPr="00686506">
        <w:rPr>
          <w:i/>
          <w:iCs/>
          <w:u w:val="single"/>
        </w:rPr>
        <w:t>Лечение мукормикоза придаточных пазух носа</w:t>
      </w:r>
      <w:r w:rsidRPr="00DA2BC8">
        <w:t xml:space="preserve"> является комбинированным и включает назначение противогрибковых препаратов в сочетании с оперативным лечением. Применяют те же антимикотики, что при мукормикозе легких.</w:t>
      </w:r>
      <w:r w:rsidRPr="00DA2BC8">
        <w:rPr>
          <w:bCs/>
        </w:rPr>
        <w:t xml:space="preserve"> </w:t>
      </w:r>
      <w:r w:rsidRPr="00DA2BC8">
        <w:t xml:space="preserve">Хирургическую резекцию очага поражения обязательно выполняют в пределах здоровых тканей. </w:t>
      </w:r>
    </w:p>
    <w:p w14:paraId="07AB26E7" w14:textId="77777777" w:rsidR="00824BFE" w:rsidRPr="00047807" w:rsidRDefault="00824BFE" w:rsidP="00824BFE">
      <w:pPr>
        <w:ind w:right="51" w:firstLine="709"/>
        <w:contextualSpacing/>
        <w:rPr>
          <w:b/>
          <w:bCs/>
        </w:rPr>
      </w:pPr>
      <w:r w:rsidRPr="00047807">
        <w:rPr>
          <w:b/>
          <w:bCs/>
        </w:rPr>
        <w:t>Мукормикоз кожи и мягких тканей</w:t>
      </w:r>
    </w:p>
    <w:p w14:paraId="4C0013B4" w14:textId="77777777" w:rsidR="00824BFE" w:rsidRPr="00DA2BC8" w:rsidRDefault="00824BFE" w:rsidP="00824BFE">
      <w:pPr>
        <w:ind w:right="51" w:firstLine="709"/>
        <w:contextualSpacing/>
      </w:pPr>
      <w:r w:rsidRPr="00DA2BC8">
        <w:t xml:space="preserve">Такая локализация инфекции преобладает у </w:t>
      </w:r>
      <w:r>
        <w:t>пациентов</w:t>
      </w:r>
      <w:r w:rsidRPr="00DA2BC8">
        <w:t xml:space="preserve"> с обширными травмами и ожогами. В некоторых случаях может быть следствием инвазивных медицинских процедур при использовании медицинского оборудования, контаминированного грибами </w:t>
      </w:r>
      <w:r w:rsidRPr="00DA2BC8">
        <w:rPr>
          <w:i/>
        </w:rPr>
        <w:t>Mucorales</w:t>
      </w:r>
      <w:r w:rsidRPr="00DA2BC8">
        <w:t xml:space="preserve">. </w:t>
      </w:r>
    </w:p>
    <w:p w14:paraId="3A00CB8A" w14:textId="77777777" w:rsidR="00824BFE" w:rsidRPr="00DA2BC8" w:rsidRDefault="00824BFE" w:rsidP="00824BFE">
      <w:pPr>
        <w:ind w:right="51" w:firstLine="709"/>
        <w:contextualSpacing/>
      </w:pPr>
      <w:r w:rsidRPr="00DA2BC8">
        <w:t xml:space="preserve">Симптомы мукормикоза кожи и мягких тканей включают наличие признаков воспаления (гиперемии, болезненности, уплотнения) в области очага инфекции с некрозом в центре, который появляется в течение короткого временного промежутка (1-4 суток). Инвазия грибов происходит в окружающие ткани, включая подкожно-жировую клетчатку и мышцы. При прорастании сосудов происходит гематогенная диссеминация мукормикоза в другие органы и ткани. Для диагностики мукормикоза мягких тканей необходимо провести краевую биопсию области поражения. </w:t>
      </w:r>
      <w:r w:rsidRPr="00DA2BC8">
        <w:rPr>
          <w:bCs/>
        </w:rPr>
        <w:t xml:space="preserve">Диагноз устанавливают на основании </w:t>
      </w:r>
      <w:r w:rsidRPr="00DA2BC8">
        <w:t xml:space="preserve">выделения культуры </w:t>
      </w:r>
      <w:r w:rsidRPr="00DA2BC8">
        <w:rPr>
          <w:i/>
        </w:rPr>
        <w:t>Mucorales</w:t>
      </w:r>
      <w:r w:rsidRPr="00DA2BC8">
        <w:t xml:space="preserve"> из биоптата некротизированной ткани либо обнаружения несептированного мицелия грибов при флуоресцентной микроскопии или гистологическом исследовании. </w:t>
      </w:r>
      <w:r w:rsidRPr="00DA2BC8">
        <w:rPr>
          <w:bCs/>
        </w:rPr>
        <w:t xml:space="preserve">Лечение мукормикоза мягких тканей во всех случяах комбринированное, включающее обязательную резекцию некроза до здоровых фрагментов и назначение антимикотиков, как </w:t>
      </w:r>
      <w:r w:rsidRPr="00DA2BC8">
        <w:t>при мукормикозе легких.</w:t>
      </w:r>
    </w:p>
    <w:p w14:paraId="4B8D3D3B" w14:textId="77777777" w:rsidR="00824BFE" w:rsidRDefault="00824BFE" w:rsidP="00824BFE">
      <w:pPr>
        <w:ind w:right="50"/>
        <w:contextualSpacing/>
        <w:rPr>
          <w:b/>
          <w:bCs/>
        </w:rPr>
      </w:pPr>
    </w:p>
    <w:p w14:paraId="0472E0F2" w14:textId="56406C3F" w:rsidR="00824BFE" w:rsidRPr="00144984" w:rsidRDefault="00824BFE" w:rsidP="00824BFE">
      <w:pPr>
        <w:ind w:right="49"/>
        <w:contextualSpacing/>
        <w:rPr>
          <w:bCs/>
          <w:u w:val="single"/>
        </w:rPr>
      </w:pPr>
      <w:r w:rsidRPr="00686506">
        <w:rPr>
          <w:bCs/>
          <w:u w:val="single"/>
        </w:rPr>
        <w:t xml:space="preserve">Диагностика и лечение инвазивных микозов, вызванных редкими плесневыми грибами </w:t>
      </w:r>
      <w:r>
        <w:rPr>
          <w:b/>
        </w:rPr>
        <w:fldChar w:fldCharType="begin" w:fldLock="1"/>
      </w:r>
      <w:r w:rsidR="00531C4D">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infections","type":"article-journal","volume":"20"},"uris":["http://www.mendeley.com/documents/?uuid=5a6b3e24-e337-3cd9-bb20-08cd60455554"]},{"id":"ITEM-4","itemData":{"DOI":"10.1111/1469-0691.12465","ISSN":"14690691","PMID":"24548001","abstract":"Mycoses summarized in the hyalohyphomycosis group are heterogeneous, defined by the presence of hyaline (non-dematiaceous) hyphae. The number of organisms implicated in hyalohyphomycosis is increasing and the most clinically important species belong to the genera Fusarium, Scedosporium, Acremonium, Scopulariopsis, Purpureocillium and Paecilomyces. Severely immunocompromised patients are particularly vulnerable to infection, and clinical manifestations range from colonization to chronic localized lesions to acute invasive and/or disseminated diseases. Diagnosis usually requires isolation and identification of the infecting pathogen. A poor prognosis is associated with fusariosis and early therapy of localized disease is important to prevent progression to a more aggressive or disseminated infection. Therapy should include voriconazole and surgical debridement where possible or posaconazole as salvage treatment. Voriconazole represents the first-line treatment of infections due to members of the genus Scedosporium. For Acremonium spp., Scopulariopsis spp., Purpureocillium spp. and Paecilomyces spp. the optimal antifungal treatment has not been established. Management usually consists of surgery and antifungal treatment, depending on the clinical presentation. © 2014 European Society of Clinical Microbiology and Infectious Diseases.","author":[{"dropping-particle":"","family":"Tortorano","given":"A. M.","non-dropping-particle":"","parse-names":false,"suffix":""},{"dropping-particle":"","family":"Richardson","given":"M.","non-dropping-particle":"","parse-names":false,"suffix":""},{"dropping-particle":"","family":"Roilides","given":"E.","non-dropping-particle":"","parse-names":false,"suffix":""},{"dropping-particle":"","family":"Diepeningen","given":"A.","non-dropping-particle":"van","parse-names":false,"suffix":""},{"dropping-particle":"","family":"Caira","given":"M.","non-dropping-particle":"","parse-names":false,"suffix":""},{"dropping-particle":"","family":"Munoz","given":"P.","non-dropping-particle":"","parse-names":false,"suffix":""},{"dropping-particle":"","family":"Johnson","given":"E.","non-dropping-particle":"","parse-names":false,"suffix":""},{"dropping-particle":"","family":"Meletiadis","given":"J.","non-dropping-particle":"","parse-names":false,"suffix":""},{"dropping-particle":"","family":"Pana","given":"Z. D.","non-dropping-particle":"","parse-names":false,"suffix":""},{"dropping-particle":"","family":"Lackner","given":"M.","non-dropping-particle":"","parse-names":false,"suffix":""},{"dropping-particle":"","family":"Verweij","given":"P.","non-dropping-particle":"","parse-names":false,"suffix":""},{"dropping-particle":"","family":"Freiberger","given":"T.","non-dropping-particle":"","parse-names":false,"suffix":""},{"dropping-particle":"","family":"Cornely","given":"O. A.","non-dropping-particle":"","parse-names":false,"suffix":""},{"dropping-particle":"","family":"Arikan-Akdagli","given":"S.","non-dropping-particle":"","parse-names":false,"suffix":""},{"dropping-particle":"","family":"Dannaoui","given":"E.","non-dropping-particle":"","parse-names":false,"suffix":""},{"dropping-particle":"","family":"Groll","given":"A. H.","non-dropping-particle":"","parse-names":false,"suffix":""},{"dropping-particle":"","family":"Lagrou","given":"K.","non-dropping-particle":"","parse-names":false,"suffix":""},{"dropping-particle":"","family":"Chakrabarti","given":"A.","non-dropping-particle":"","parse-names":false,"suffix":""},{"dropping-particle":"","family":"Lanternier","given":"F.","non-dropping-particle":"","parse-names":false,"suffix":""},{"dropping-particle":"","family":"Pagano","given":"L.","non-dropping-particle":"","parse-names":false,"suffix":""},{"dropping-particle":"","family":"Skiada","given":"A.","non-dropping-particle":"","parse-names":false,"suffix":""},{"dropping-particle":"","family":"Akova","given":"M.","non-dropping-particle":"","parse-names":false,"suffix":""},{"dropping-particle":"","family":"Arendrup","given":"M. C.","non-dropping-particle":"","parse-names":false,"suffix":""},{"dropping-particle":"","family":"Boekhout","given":"T.","non-dropping-particle":"","parse-names":false,"suffix":""},{"dropping-particle":"","family":"Chowdhary","given":"A.","non-dropping-particle":"","parse-names":false,"suffix":""},{"dropping-particle":"","family":"Cuenca-Estrella","given":"M.","non-dropping-particle":"","parse-names":false,"suffix":""},{"dropping-particle":"","family":"Guinea","given":"J.","non-dropping-particle":"","parse-names":false,"suffix":""},{"dropping-particle":"","family":"Guarro","given":"J.","non-dropping-particle":"","parse-names":false,"suffix":""},{"dropping-particle":"","family":"Hoog","given":"S.","non-dropping-particle":"de","parse-names":false,"suffix":""},{"dropping-particle":"","family":"Hope","given":"W.","non-dropping-particle":"","parse-names":false,"suffix":""},{"dropping-particle":"","family":"Kathuria","given":"S.","non-dropping-particle":"","parse-names":false,"suffix":""},{"dropping-particle":"","family":"Lortholary","given":"O.","non-dropping-particle":"","parse-names":false,"suffix":""},{"dropping-particle":"","family":"Meis","given":"J. F.","non-dropping-particle":"","parse-names":false,"suffix":""},{"dropping-particle":"","family":"Ullmann","given":"A. J.","non-dropping-particle":"","parse-names":false,"suffix":""},{"dropping-particle":"","family":"Petrikkos","given":"G.","non-dropping-particle":"","parse-names":false,"suffix":""},{"dropping-particle":"","family":"Lass-Flörl","given":"C.","non-dropping-particle":"","parse-names":false,"suffix":""}],"container-title":"Clinical Microbiology and Infection","id":"ITEM-4","issue":"S3","issued":{"date-parts":[["2014"]]},"page":"27-46","publisher":"Blackwell Publishing Ltd","title":"ESCMID and ECMM joint guidelines on diagnosis and management of hyalohyphomycosis: Fusarium spp., Scedosporium spp. and others","type":"article-journal","volume":"20"},"uris":["http://www.mendeley.com/documents/?uuid=a2a77bc6-7c62-3766-9352-c711579a66f5"]}],"mendeley":{"formattedCitation":"[75,76,80,85]","plainTextFormattedCitation":"[75,76,80,85]","previouslyFormattedCitation":"[75,76,80,85]"},"properties":{"noteIndex":0},"schema":"https://github.com/citation-style-language/schema/raw/master/csl-citation.json"}</w:instrText>
      </w:r>
      <w:r>
        <w:rPr>
          <w:b/>
        </w:rPr>
        <w:fldChar w:fldCharType="separate"/>
      </w:r>
      <w:r w:rsidRPr="00824BFE">
        <w:rPr>
          <w:noProof/>
        </w:rPr>
        <w:t>[75,76,80,85]</w:t>
      </w:r>
      <w:r>
        <w:rPr>
          <w:b/>
        </w:rPr>
        <w:fldChar w:fldCharType="end"/>
      </w:r>
    </w:p>
    <w:p w14:paraId="462C5597" w14:textId="77777777" w:rsidR="00824BFE" w:rsidRPr="00144984" w:rsidRDefault="00824BFE" w:rsidP="00824BFE">
      <w:pPr>
        <w:ind w:right="50" w:firstLine="708"/>
        <w:rPr>
          <w:b/>
          <w:bCs/>
        </w:rPr>
      </w:pPr>
      <w:r>
        <w:rPr>
          <w:bCs/>
        </w:rPr>
        <w:lastRenderedPageBreak/>
        <w:t>У</w:t>
      </w:r>
      <w:r w:rsidRPr="00144984">
        <w:rPr>
          <w:bCs/>
        </w:rPr>
        <w:t xml:space="preserve"> </w:t>
      </w:r>
      <w:r>
        <w:rPr>
          <w:bCs/>
        </w:rPr>
        <w:t>гематологических</w:t>
      </w:r>
      <w:r w:rsidRPr="00144984">
        <w:rPr>
          <w:bCs/>
        </w:rPr>
        <w:t xml:space="preserve"> </w:t>
      </w:r>
      <w:r>
        <w:rPr>
          <w:bCs/>
        </w:rPr>
        <w:t>пациентов</w:t>
      </w:r>
      <w:r w:rsidRPr="00144984">
        <w:rPr>
          <w:bCs/>
        </w:rPr>
        <w:t xml:space="preserve"> </w:t>
      </w:r>
      <w:r>
        <w:rPr>
          <w:bCs/>
        </w:rPr>
        <w:t>ввиду</w:t>
      </w:r>
      <w:r w:rsidRPr="00144984">
        <w:rPr>
          <w:bCs/>
        </w:rPr>
        <w:t xml:space="preserve"> </w:t>
      </w:r>
      <w:r>
        <w:rPr>
          <w:bCs/>
        </w:rPr>
        <w:t>иммуносупрессии</w:t>
      </w:r>
      <w:r w:rsidRPr="00144984">
        <w:rPr>
          <w:bCs/>
        </w:rPr>
        <w:t xml:space="preserve">, </w:t>
      </w:r>
      <w:r>
        <w:rPr>
          <w:bCs/>
        </w:rPr>
        <w:t>вызванной</w:t>
      </w:r>
      <w:r w:rsidRPr="00144984">
        <w:rPr>
          <w:bCs/>
        </w:rPr>
        <w:t xml:space="preserve"> </w:t>
      </w:r>
      <w:r>
        <w:rPr>
          <w:bCs/>
        </w:rPr>
        <w:t>как</w:t>
      </w:r>
      <w:r w:rsidRPr="00144984">
        <w:rPr>
          <w:bCs/>
        </w:rPr>
        <w:t xml:space="preserve"> </w:t>
      </w:r>
      <w:r>
        <w:rPr>
          <w:bCs/>
        </w:rPr>
        <w:t>самим</w:t>
      </w:r>
      <w:r w:rsidRPr="00144984">
        <w:rPr>
          <w:bCs/>
        </w:rPr>
        <w:t xml:space="preserve"> </w:t>
      </w:r>
      <w:r>
        <w:rPr>
          <w:bCs/>
        </w:rPr>
        <w:t>заболеванием</w:t>
      </w:r>
      <w:r w:rsidRPr="00144984">
        <w:rPr>
          <w:bCs/>
        </w:rPr>
        <w:t xml:space="preserve">, </w:t>
      </w:r>
      <w:r>
        <w:rPr>
          <w:bCs/>
        </w:rPr>
        <w:t>так</w:t>
      </w:r>
      <w:r w:rsidRPr="00144984">
        <w:rPr>
          <w:bCs/>
        </w:rPr>
        <w:t xml:space="preserve"> </w:t>
      </w:r>
      <w:r>
        <w:rPr>
          <w:bCs/>
        </w:rPr>
        <w:t>и</w:t>
      </w:r>
      <w:r w:rsidRPr="00144984">
        <w:rPr>
          <w:bCs/>
        </w:rPr>
        <w:t xml:space="preserve"> </w:t>
      </w:r>
      <w:r>
        <w:rPr>
          <w:bCs/>
        </w:rPr>
        <w:t>специфической</w:t>
      </w:r>
      <w:r w:rsidRPr="00144984">
        <w:rPr>
          <w:bCs/>
        </w:rPr>
        <w:t xml:space="preserve"> </w:t>
      </w:r>
      <w:r>
        <w:rPr>
          <w:bCs/>
        </w:rPr>
        <w:t>терапией</w:t>
      </w:r>
      <w:r w:rsidRPr="00144984">
        <w:rPr>
          <w:bCs/>
        </w:rPr>
        <w:t xml:space="preserve"> </w:t>
      </w:r>
      <w:r>
        <w:rPr>
          <w:bCs/>
        </w:rPr>
        <w:t>гематологического</w:t>
      </w:r>
      <w:r w:rsidRPr="00144984">
        <w:rPr>
          <w:bCs/>
        </w:rPr>
        <w:t xml:space="preserve"> </w:t>
      </w:r>
      <w:r>
        <w:rPr>
          <w:bCs/>
        </w:rPr>
        <w:t>заболевания</w:t>
      </w:r>
      <w:r w:rsidRPr="00144984">
        <w:rPr>
          <w:bCs/>
        </w:rPr>
        <w:t xml:space="preserve">, </w:t>
      </w:r>
      <w:r>
        <w:rPr>
          <w:bCs/>
        </w:rPr>
        <w:t>могут</w:t>
      </w:r>
      <w:r w:rsidRPr="00144984">
        <w:rPr>
          <w:bCs/>
        </w:rPr>
        <w:t xml:space="preserve"> </w:t>
      </w:r>
      <w:r>
        <w:rPr>
          <w:bCs/>
        </w:rPr>
        <w:t>встречаться</w:t>
      </w:r>
      <w:r w:rsidRPr="00144984">
        <w:rPr>
          <w:bCs/>
        </w:rPr>
        <w:t xml:space="preserve"> </w:t>
      </w:r>
      <w:r w:rsidRPr="00E41F19">
        <w:rPr>
          <w:bCs/>
        </w:rPr>
        <w:t>инвазивные</w:t>
      </w:r>
      <w:r w:rsidRPr="00144984">
        <w:rPr>
          <w:bCs/>
        </w:rPr>
        <w:t xml:space="preserve"> </w:t>
      </w:r>
      <w:r w:rsidRPr="00E41F19">
        <w:rPr>
          <w:bCs/>
        </w:rPr>
        <w:t>микозы</w:t>
      </w:r>
      <w:r w:rsidRPr="00144984">
        <w:rPr>
          <w:bCs/>
        </w:rPr>
        <w:t xml:space="preserve">, </w:t>
      </w:r>
      <w:r w:rsidRPr="00E41F19">
        <w:rPr>
          <w:bCs/>
        </w:rPr>
        <w:t>вызванные</w:t>
      </w:r>
      <w:r w:rsidRPr="00144984">
        <w:rPr>
          <w:bCs/>
        </w:rPr>
        <w:t xml:space="preserve"> </w:t>
      </w:r>
      <w:r w:rsidRPr="00E41F19">
        <w:rPr>
          <w:bCs/>
        </w:rPr>
        <w:t>редкими</w:t>
      </w:r>
      <w:r w:rsidRPr="00144984">
        <w:rPr>
          <w:bCs/>
        </w:rPr>
        <w:t xml:space="preserve"> </w:t>
      </w:r>
      <w:r w:rsidRPr="00E41F19">
        <w:rPr>
          <w:bCs/>
        </w:rPr>
        <w:t>плесневыми</w:t>
      </w:r>
      <w:r w:rsidRPr="00144984">
        <w:rPr>
          <w:bCs/>
        </w:rPr>
        <w:t xml:space="preserve"> </w:t>
      </w:r>
      <w:r w:rsidRPr="00E41F19">
        <w:rPr>
          <w:bCs/>
        </w:rPr>
        <w:t>грибами</w:t>
      </w:r>
      <w:r w:rsidRPr="00144984">
        <w:rPr>
          <w:bCs/>
        </w:rPr>
        <w:t>.</w:t>
      </w:r>
    </w:p>
    <w:p w14:paraId="2DDC6C1B" w14:textId="77777777" w:rsidR="00824BFE" w:rsidRPr="00144984" w:rsidRDefault="00824BFE" w:rsidP="00824BFE">
      <w:pPr>
        <w:ind w:right="50" w:firstLine="709"/>
        <w:contextualSpacing/>
        <w:rPr>
          <w:i/>
          <w:iCs/>
          <w:u w:val="single"/>
        </w:rPr>
      </w:pPr>
      <w:r w:rsidRPr="00686506">
        <w:rPr>
          <w:i/>
          <w:iCs/>
          <w:u w:val="single"/>
        </w:rPr>
        <w:t>Фузариоз</w:t>
      </w:r>
      <w:r w:rsidRPr="00144984">
        <w:rPr>
          <w:i/>
          <w:iCs/>
          <w:u w:val="single"/>
        </w:rPr>
        <w:t xml:space="preserve"> </w:t>
      </w:r>
    </w:p>
    <w:p w14:paraId="7C2C1103" w14:textId="77777777" w:rsidR="00824BFE" w:rsidRPr="00DA2BC8" w:rsidRDefault="00824BFE" w:rsidP="00824BFE">
      <w:pPr>
        <w:ind w:right="50" w:firstLine="709"/>
        <w:contextualSpacing/>
      </w:pPr>
      <w:r w:rsidRPr="00DA2BC8">
        <w:t>Основными</w:t>
      </w:r>
      <w:r w:rsidRPr="00144984">
        <w:t xml:space="preserve"> </w:t>
      </w:r>
      <w:r w:rsidRPr="00DA2BC8">
        <w:t>возбудителями</w:t>
      </w:r>
      <w:r w:rsidRPr="00144984">
        <w:t xml:space="preserve"> </w:t>
      </w:r>
      <w:r w:rsidRPr="00DA2BC8">
        <w:t>являются</w:t>
      </w:r>
      <w:r w:rsidRPr="00144984">
        <w:t xml:space="preserve"> </w:t>
      </w:r>
      <w:r w:rsidRPr="00FB256D">
        <w:rPr>
          <w:i/>
          <w:iCs/>
          <w:lang w:val="en-US"/>
        </w:rPr>
        <w:t>Fusarium</w:t>
      </w:r>
      <w:r w:rsidRPr="00144984">
        <w:rPr>
          <w:i/>
          <w:iCs/>
        </w:rPr>
        <w:t xml:space="preserve"> </w:t>
      </w:r>
      <w:r w:rsidRPr="00FB256D">
        <w:rPr>
          <w:i/>
          <w:iCs/>
          <w:lang w:val="en-US"/>
        </w:rPr>
        <w:t>solani</w:t>
      </w:r>
      <w:r w:rsidRPr="00144984">
        <w:t xml:space="preserve"> </w:t>
      </w:r>
      <w:r w:rsidRPr="00DA2BC8">
        <w:t>и</w:t>
      </w:r>
      <w:r w:rsidRPr="00144984">
        <w:t xml:space="preserve"> </w:t>
      </w:r>
      <w:r w:rsidRPr="00FB256D">
        <w:rPr>
          <w:i/>
          <w:iCs/>
          <w:lang w:val="en-US"/>
        </w:rPr>
        <w:t>Fusarium</w:t>
      </w:r>
      <w:r w:rsidRPr="00144984">
        <w:rPr>
          <w:i/>
          <w:iCs/>
        </w:rPr>
        <w:t xml:space="preserve"> </w:t>
      </w:r>
      <w:r w:rsidRPr="00FB256D">
        <w:rPr>
          <w:i/>
          <w:iCs/>
          <w:lang w:val="en-US"/>
        </w:rPr>
        <w:t>oxysporum</w:t>
      </w:r>
      <w:r w:rsidRPr="00144984">
        <w:t xml:space="preserve">. </w:t>
      </w:r>
      <w:r w:rsidRPr="00DA2BC8">
        <w:t>Фузариоз</w:t>
      </w:r>
      <w:r w:rsidRPr="00144984">
        <w:t xml:space="preserve"> </w:t>
      </w:r>
      <w:r w:rsidRPr="00DA2BC8">
        <w:t>развивается</w:t>
      </w:r>
      <w:r w:rsidRPr="00144984">
        <w:t xml:space="preserve"> </w:t>
      </w:r>
      <w:r w:rsidRPr="00DA2BC8">
        <w:t>преимущественно</w:t>
      </w:r>
      <w:r w:rsidRPr="00144984">
        <w:t xml:space="preserve"> </w:t>
      </w:r>
      <w:r w:rsidRPr="00DA2BC8">
        <w:t>у</w:t>
      </w:r>
      <w:r w:rsidRPr="00144984">
        <w:t xml:space="preserve"> </w:t>
      </w:r>
      <w:r>
        <w:t>онкогематологических</w:t>
      </w:r>
      <w:r w:rsidRPr="00144984">
        <w:t xml:space="preserve"> </w:t>
      </w:r>
      <w:r>
        <w:t>пациентов</w:t>
      </w:r>
      <w:r w:rsidRPr="00DA2BC8">
        <w:t xml:space="preserve">, в основном у </w:t>
      </w:r>
      <w:r>
        <w:t>пациентов с острыми миелоидными лейкозами</w:t>
      </w:r>
      <w:r w:rsidRPr="00DA2BC8">
        <w:t xml:space="preserve"> и у реципиентов аллогенных СГК. Ведущим фактором риска возникновения фузариоза является наличие гранулоцитопении. В отличие от других видов мицелиальных грибов, основным проявлением инфекции, вызванной </w:t>
      </w:r>
      <w:r w:rsidRPr="00DA2BC8">
        <w:rPr>
          <w:i/>
          <w:iCs/>
        </w:rPr>
        <w:t xml:space="preserve">Fusarium </w:t>
      </w:r>
      <w:r w:rsidRPr="00DA2BC8">
        <w:t xml:space="preserve">spp., является фунгемия (40-60%) с образованием септико-пиемических очагов на коже (60-80%), а также вовлечение в инфекционный процесс легких и придаточных пазух носа. Для фузариоза характерно наличие на коже множества септико-пиемических очагов в виде уплотненных эритематозных макул или папул, болезненных, с некрозом в центре. Летальность при фузариозе высокая и достигает 50-70% у иммунокомпрометированных больных. </w:t>
      </w:r>
      <w:r w:rsidRPr="00DA2BC8">
        <w:rPr>
          <w:bCs/>
        </w:rPr>
        <w:t xml:space="preserve">Для диагностики фузариоза должна быть получена культура </w:t>
      </w:r>
      <w:r w:rsidRPr="00DA2BC8">
        <w:rPr>
          <w:i/>
          <w:iCs/>
        </w:rPr>
        <w:t>Fusarium</w:t>
      </w:r>
      <w:r w:rsidRPr="00DA2BC8">
        <w:t xml:space="preserve"> spp. из крови или других стерильных образцов (биоптаты кожи и органов, аспират придаточных пазух носа), жидкости БАЛ или мокроты. При фузариозе может быть определен ложно-положительный антиген </w:t>
      </w:r>
      <w:r w:rsidRPr="00DA2BC8">
        <w:rPr>
          <w:i/>
          <w:iCs/>
        </w:rPr>
        <w:t>Aspergillus</w:t>
      </w:r>
      <w:r w:rsidRPr="00DA2BC8">
        <w:t xml:space="preserve"> (галактоманнан). Радиологические изменения в легких и придаточных пазухах носа при фузариозе неспецифичны и схожи с инвазивным аспергиллезом. </w:t>
      </w:r>
      <w:r w:rsidRPr="00DA2BC8">
        <w:rPr>
          <w:iCs/>
        </w:rPr>
        <w:t>Грибы</w:t>
      </w:r>
      <w:r w:rsidRPr="00DA2BC8">
        <w:rPr>
          <w:i/>
          <w:iCs/>
        </w:rPr>
        <w:t xml:space="preserve"> Fusaruim </w:t>
      </w:r>
      <w:r w:rsidRPr="00DA2BC8">
        <w:t xml:space="preserve">spp. характеризуются низкими параметрами чувствительности и могут быть устойчивыми ко всем препаратам из группы азолов. </w:t>
      </w:r>
    </w:p>
    <w:p w14:paraId="41958BB0" w14:textId="77777777" w:rsidR="00824BFE" w:rsidRPr="00DA2BC8" w:rsidRDefault="00824BFE" w:rsidP="00824BFE">
      <w:pPr>
        <w:ind w:right="50" w:firstLine="709"/>
        <w:contextualSpacing/>
        <w:rPr>
          <w:b/>
          <w:bCs/>
        </w:rPr>
      </w:pPr>
      <w:r w:rsidRPr="00DA2BC8">
        <w:rPr>
          <w:bCs/>
        </w:rPr>
        <w:t xml:space="preserve">Препаратом выбора для лечения является </w:t>
      </w:r>
      <w:r w:rsidRPr="00DA2BC8">
        <w:t xml:space="preserve">вориконазол (в 1-й день по 6 мг/кг внутривенно 2 раза в сутки, затем по 4 мг/кг внутривенно 2 раза в сутки, с переходом на пероральную форму по 200 мг 2 раза в сутки, прием натощак или через 1 час после еды), </w:t>
      </w:r>
      <w:r w:rsidRPr="00DA2BC8">
        <w:rPr>
          <w:bCs/>
        </w:rPr>
        <w:t xml:space="preserve">альтернативные препараты - </w:t>
      </w:r>
      <w:r w:rsidRPr="00DA2BC8">
        <w:t>липосомальный амфотерицин В (5 мг/кг)</w:t>
      </w:r>
      <w:r w:rsidRPr="00DA2BC8">
        <w:rPr>
          <w:bCs/>
        </w:rPr>
        <w:t>, л</w:t>
      </w:r>
      <w:r w:rsidRPr="00DA2BC8">
        <w:t>ипидный комплекс амфотерицина В (5 мг/кг), позаконазол (суспензия, по 400 мг 2 раза в сутки, после еды).</w:t>
      </w:r>
      <w:r w:rsidRPr="00DA2BC8">
        <w:rPr>
          <w:bCs/>
        </w:rPr>
        <w:t xml:space="preserve"> </w:t>
      </w:r>
      <w:r w:rsidRPr="00DA2BC8">
        <w:t xml:space="preserve">Не показано сочетание противогрибковых препаратов в качестве стартовой терапии. Не назначают эхинокандин ввиду природной устойчивости. </w:t>
      </w:r>
    </w:p>
    <w:p w14:paraId="211CB27C" w14:textId="77777777" w:rsidR="00824BFE" w:rsidRPr="00686506" w:rsidRDefault="00824BFE" w:rsidP="00824BFE">
      <w:pPr>
        <w:ind w:right="51" w:firstLine="709"/>
        <w:contextualSpacing/>
        <w:rPr>
          <w:i/>
          <w:iCs/>
          <w:u w:val="single"/>
        </w:rPr>
      </w:pPr>
      <w:r w:rsidRPr="00686506">
        <w:rPr>
          <w:i/>
          <w:iCs/>
          <w:u w:val="single"/>
        </w:rPr>
        <w:t xml:space="preserve">Сцедоспориоз </w:t>
      </w:r>
    </w:p>
    <w:p w14:paraId="64F806D4" w14:textId="77777777" w:rsidR="00824BFE" w:rsidRPr="00DA2BC8" w:rsidRDefault="00824BFE" w:rsidP="00824BFE">
      <w:pPr>
        <w:ind w:right="51" w:firstLine="709"/>
        <w:contextualSpacing/>
      </w:pPr>
      <w:r w:rsidRPr="00DA2BC8">
        <w:t xml:space="preserve">Основными возбудителя сцедоспориоза являются </w:t>
      </w:r>
      <w:r w:rsidRPr="00DA2BC8">
        <w:rPr>
          <w:i/>
          <w:iCs/>
        </w:rPr>
        <w:t>Scedosporium apiospermium</w:t>
      </w:r>
      <w:r w:rsidRPr="00DA2BC8">
        <w:t xml:space="preserve"> и </w:t>
      </w:r>
      <w:r w:rsidRPr="00DA2BC8">
        <w:rPr>
          <w:i/>
          <w:iCs/>
        </w:rPr>
        <w:t>Scedosporium prolificans</w:t>
      </w:r>
      <w:r w:rsidRPr="00DA2BC8">
        <w:t xml:space="preserve">. У иммунокомпрометированных больных преобладает диссеминированная форма инфекции с преимущественным поражением кожи, придаточных пазух носа, легких и центральной нервной системы. При сцедоспориозе головного мозга, в отличие от инвазивного аспергиллеза, может не быть изменений в легких или придаточных пазухах носа. </w:t>
      </w:r>
      <w:r w:rsidRPr="00DA2BC8">
        <w:rPr>
          <w:i/>
          <w:iCs/>
        </w:rPr>
        <w:t>S. prolificans</w:t>
      </w:r>
      <w:r w:rsidRPr="00DA2BC8">
        <w:t xml:space="preserve">, как и </w:t>
      </w:r>
      <w:r w:rsidRPr="00DA2BC8">
        <w:rPr>
          <w:i/>
          <w:iCs/>
        </w:rPr>
        <w:t>Fusarium</w:t>
      </w:r>
      <w:r w:rsidRPr="00DA2BC8">
        <w:t xml:space="preserve"> spp., с высокой </w:t>
      </w:r>
      <w:r w:rsidRPr="00DA2BC8">
        <w:lastRenderedPageBreak/>
        <w:t xml:space="preserve">частотой (&gt;50%) выделяют из гемокультуры. Для инфекций, вызванных </w:t>
      </w:r>
      <w:r w:rsidRPr="00DA2BC8">
        <w:rPr>
          <w:i/>
          <w:iCs/>
        </w:rPr>
        <w:t>S. prolificans</w:t>
      </w:r>
      <w:r w:rsidRPr="00DA2BC8">
        <w:t xml:space="preserve">, характерна очень высокая летальность (до 95%) среди больных опухолями системы крови ввиду наличия устойчивости этого микроорганизма ко многим противогрибковым препаратам, а в ряде случаев ко всем антимикотикам. </w:t>
      </w:r>
      <w:r w:rsidRPr="00DA2BC8">
        <w:rPr>
          <w:bCs/>
        </w:rPr>
        <w:t xml:space="preserve">Критерии диагностики сцедоспориоза включают </w:t>
      </w:r>
      <w:r w:rsidRPr="00DA2BC8">
        <w:t xml:space="preserve">выделение </w:t>
      </w:r>
      <w:r w:rsidRPr="00DA2BC8">
        <w:rPr>
          <w:i/>
          <w:iCs/>
        </w:rPr>
        <w:t xml:space="preserve">Scedosporium </w:t>
      </w:r>
      <w:r w:rsidRPr="00DA2BC8">
        <w:t xml:space="preserve">spp. из гемокультуры или других стерильных образцов (аспират из придаточных пазух носа, биоптаты тканей и органов), жидкости БАЛ, мокроты. </w:t>
      </w:r>
      <w:r w:rsidRPr="00DA2BC8">
        <w:rPr>
          <w:bCs/>
        </w:rPr>
        <w:t>Препарат выбора –</w:t>
      </w:r>
      <w:r w:rsidRPr="00DA2BC8">
        <w:t xml:space="preserve"> вориконазол (дозирование как при аспергиллезе), </w:t>
      </w:r>
      <w:r w:rsidRPr="00DA2BC8">
        <w:rPr>
          <w:bCs/>
        </w:rPr>
        <w:t>альтернативные - л</w:t>
      </w:r>
      <w:r w:rsidRPr="00DA2BC8">
        <w:t>ипосомальный или липидный комплекс амфотерцина В (5 мг/кг) или позаконазол (по 400 мг х 2 раза в сутки). Возможно применение сочетания антимикотиков.</w:t>
      </w:r>
    </w:p>
    <w:p w14:paraId="1A2ACD4F" w14:textId="77777777" w:rsidR="00824BFE" w:rsidRPr="00686506" w:rsidRDefault="00824BFE" w:rsidP="00824BFE">
      <w:pPr>
        <w:ind w:right="51" w:firstLine="709"/>
        <w:contextualSpacing/>
        <w:rPr>
          <w:i/>
          <w:iCs/>
          <w:u w:val="single"/>
        </w:rPr>
      </w:pPr>
      <w:r w:rsidRPr="00686506">
        <w:rPr>
          <w:i/>
          <w:iCs/>
          <w:u w:val="single"/>
        </w:rPr>
        <w:t>Инфекции, вызванные Acremonium spp.</w:t>
      </w:r>
    </w:p>
    <w:p w14:paraId="7712FE74" w14:textId="77777777" w:rsidR="00824BFE" w:rsidRPr="00DA2BC8" w:rsidRDefault="00824BFE" w:rsidP="00824BFE">
      <w:pPr>
        <w:ind w:right="51" w:firstLine="709"/>
        <w:contextualSpacing/>
      </w:pPr>
      <w:r>
        <w:t>Эти г</w:t>
      </w:r>
      <w:r w:rsidRPr="00DA2BC8">
        <w:t xml:space="preserve">рибы широко распространены в окружающей среде. Описаны случаи перитонита, инфицирования диализной фистулы, остеомиелита, менингита после спинномозговой анестезии, эндокардита после операции на клапанах, пневмонии, вызванные </w:t>
      </w:r>
      <w:r w:rsidRPr="00DA2BC8">
        <w:rPr>
          <w:i/>
          <w:iCs/>
        </w:rPr>
        <w:t xml:space="preserve">Acremonium </w:t>
      </w:r>
      <w:r w:rsidRPr="00DA2BC8">
        <w:t xml:space="preserve">spp., инфекции кровотока. Диагностика инфекций, вызванных </w:t>
      </w:r>
      <w:r w:rsidRPr="00DA2BC8">
        <w:rPr>
          <w:i/>
          <w:iCs/>
        </w:rPr>
        <w:t>Acremonium</w:t>
      </w:r>
      <w:r w:rsidRPr="00DA2BC8">
        <w:t xml:space="preserve"> spp</w:t>
      </w:r>
      <w:r>
        <w:t>. включает выделение культуры этих</w:t>
      </w:r>
      <w:r w:rsidRPr="00DA2BC8">
        <w:t xml:space="preserve"> грибов из локуса поражения</w:t>
      </w:r>
      <w:r>
        <w:t>, выявленного при соответствующей инструментальной диагностике (УЗИ, ЭхоКГ, КТ/СКТ, МРТ пораженных областей) и манипуляциях – люмбальная пункция, плевральная пункция, пункция брюшной полости, пункция/биопсия очага поражения</w:t>
      </w:r>
      <w:r w:rsidRPr="00DA2BC8">
        <w:t>. Лечение проводится вориконазолом или амфотерицином В или позаконазолом (стандартные дозы).</w:t>
      </w:r>
    </w:p>
    <w:p w14:paraId="2EB88F2B" w14:textId="77777777" w:rsidR="00824BFE" w:rsidRDefault="00824BFE" w:rsidP="00824BFE">
      <w:pPr>
        <w:ind w:right="50"/>
        <w:contextualSpacing/>
        <w:rPr>
          <w:b/>
          <w:bCs/>
        </w:rPr>
      </w:pPr>
    </w:p>
    <w:p w14:paraId="7959352A" w14:textId="5B0BD022" w:rsidR="00824BFE" w:rsidRPr="00084B8B" w:rsidRDefault="00824BFE" w:rsidP="00824BFE">
      <w:pPr>
        <w:ind w:right="50"/>
        <w:contextualSpacing/>
        <w:rPr>
          <w:b/>
        </w:rPr>
      </w:pPr>
      <w:r w:rsidRPr="00686506">
        <w:rPr>
          <w:bCs/>
          <w:u w:val="single"/>
        </w:rPr>
        <w:t>Диагностика и лечение пневмоцистной пневмонии</w:t>
      </w:r>
      <w:r w:rsidRPr="00084B8B">
        <w:rPr>
          <w:bCs/>
          <w:u w:val="single"/>
        </w:rPr>
        <w:t xml:space="preserve"> </w:t>
      </w:r>
      <w:r>
        <w:rPr>
          <w:b/>
        </w:rPr>
        <w:fldChar w:fldCharType="begin" w:fldLock="1"/>
      </w:r>
      <w:r w:rsidR="00531C4D">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infections","type":"article-journal","volume":"20"},"uris":["http://www.mendeley.com/documents/?uuid=5a6b3e24-e337-3cd9-bb20-08cd60455554"]},{"id":"ITEM-4","itemData":{"DOI":"10.1093/jac/dkw158","ISSN":"14602091","PMID":"27550993","abstract":"The initiation of systemic antimicrobial treatment of Pneumocystis jirovecii pneumonia (PCP) is triggered by clinical signs and symptoms, typical radiological and occasionally laboratory findings in patients at risk of this infection. Diagnostic proof by bronchoalveolar lavage should not delay the start of treatment. Most patients with haematological malignancies present with a severe PCP; therefore, antimicrobial therapy should be started intravenously. High-dose trimethoprim/sulfamethoxazole is the treatment of choice. In patients with documented intolerance to this regimen, the preferred alternative is the combination of primaquine plus clindamycin. Treatment success should be first evaluated after 1 week, and in case of clinical non-response, pulmonary CT scan and bronchoalveolar lavage should be repeated to look for secondary or co-infections. Treatment duration typically is 3 weeks and secondary anti-PCP prophylaxis is indicated in all patients thereafter. In patients with critical respiratory failure, non-invasive ventilation is not significantly superior to intubation and mechanical ventilation. The administration of glucocorticoids must be decided on a case-by-case basis.","author":[{"dropping-particle":"","family":"Maschmeyer","given":"Georg","non-dropping-particle":"","parse-names":false,"suffix":""},{"dropping-particle":"","family":"Helweg-Larsen","given":"Jannik","non-dropping-particle":"","parse-names":false,"suffix":""},{"dropping-particle":"","family":"Pagano","given":"Livio","non-dropping-particle":"","parse-names":false,"suffix":""},{"dropping-particle":"","family":"Robin","given":"Christine","non-dropping-particle":"","parse-names":false,"suffix":""},{"dropping-particle":"","family":"Cordonnier","given":"Catherine","non-dropping-particle":"","parse-names":false,"suffix":""},{"dropping-particle":"","family":"Schellongowski","given":"Peter","non-dropping-particle":"","parse-names":false,"suffix":""}],"container-title":"The Journal of antimicrobial chemotherapy","id":"ITEM-4","issue":"9","issued":{"date-parts":[["2016","9","1"]]},"page":"2405-2413","publisher":"J Antimicrob Chemother","title":"ECIL guidelines for treatment of Pneumocystis jirovecii pneumonia in non-HIV-infected haematology patients","type":"article-journal","volume":"71"},"uris":["http://www.mendeley.com/documents/?uuid=2f829fda-f017-3f84-8bbc-ec72967bb7a9"]}],"mendeley":{"formattedCitation":"[75,76,80,86]","plainTextFormattedCitation":"[75,76,80,86]","previouslyFormattedCitation":"[75,76,80,86]"},"properties":{"noteIndex":0},"schema":"https://github.com/citation-style-language/schema/raw/master/csl-citation.json"}</w:instrText>
      </w:r>
      <w:r>
        <w:rPr>
          <w:b/>
        </w:rPr>
        <w:fldChar w:fldCharType="separate"/>
      </w:r>
      <w:r w:rsidRPr="00824BFE">
        <w:rPr>
          <w:noProof/>
        </w:rPr>
        <w:t>[75,76,80,86]</w:t>
      </w:r>
      <w:r>
        <w:rPr>
          <w:b/>
        </w:rPr>
        <w:fldChar w:fldCharType="end"/>
      </w:r>
    </w:p>
    <w:p w14:paraId="6E599693" w14:textId="77777777" w:rsidR="00824BFE" w:rsidRPr="00DA2BC8" w:rsidRDefault="00824BFE" w:rsidP="00824BFE">
      <w:pPr>
        <w:ind w:right="50" w:firstLine="709"/>
        <w:contextualSpacing/>
      </w:pPr>
      <w:r w:rsidRPr="00DA2BC8">
        <w:t>До</w:t>
      </w:r>
      <w:r w:rsidRPr="00FB256D">
        <w:t xml:space="preserve"> </w:t>
      </w:r>
      <w:r w:rsidRPr="00DA2BC8">
        <w:t>недавнего</w:t>
      </w:r>
      <w:r w:rsidRPr="00FB256D">
        <w:t xml:space="preserve"> </w:t>
      </w:r>
      <w:r w:rsidRPr="00DA2BC8">
        <w:t>времени</w:t>
      </w:r>
      <w:r w:rsidRPr="00FB256D">
        <w:t xml:space="preserve"> </w:t>
      </w:r>
      <w:r w:rsidRPr="00DA2BC8">
        <w:t>большинство</w:t>
      </w:r>
      <w:r w:rsidRPr="00FB256D">
        <w:t xml:space="preserve"> </w:t>
      </w:r>
      <w:r w:rsidRPr="00DA2BC8">
        <w:t>специалистов</w:t>
      </w:r>
      <w:r w:rsidRPr="00FB256D">
        <w:t xml:space="preserve"> </w:t>
      </w:r>
      <w:r w:rsidRPr="00DA2BC8">
        <w:t>относили</w:t>
      </w:r>
      <w:r w:rsidRPr="00FB256D">
        <w:t xml:space="preserve"> </w:t>
      </w:r>
      <w:r w:rsidRPr="00FB256D">
        <w:rPr>
          <w:i/>
          <w:iCs/>
          <w:lang w:val="en-US"/>
        </w:rPr>
        <w:t>Pneumocystis</w:t>
      </w:r>
      <w:r w:rsidRPr="00FB256D">
        <w:rPr>
          <w:i/>
          <w:iCs/>
        </w:rPr>
        <w:t xml:space="preserve"> </w:t>
      </w:r>
      <w:r w:rsidRPr="00FB256D">
        <w:rPr>
          <w:i/>
          <w:iCs/>
          <w:lang w:val="en-US"/>
        </w:rPr>
        <w:t>jirovecii</w:t>
      </w:r>
      <w:r w:rsidRPr="00FB256D">
        <w:t xml:space="preserve"> (</w:t>
      </w:r>
      <w:r w:rsidRPr="00DA2BC8">
        <w:t>ранее</w:t>
      </w:r>
      <w:r w:rsidRPr="00FB256D">
        <w:t xml:space="preserve"> </w:t>
      </w:r>
      <w:r w:rsidRPr="00FB256D">
        <w:rPr>
          <w:i/>
          <w:iCs/>
          <w:lang w:val="en-US"/>
        </w:rPr>
        <w:t>Pneumocystis</w:t>
      </w:r>
      <w:r w:rsidRPr="00FB256D">
        <w:rPr>
          <w:i/>
          <w:iCs/>
        </w:rPr>
        <w:t xml:space="preserve"> </w:t>
      </w:r>
      <w:r w:rsidRPr="00FB256D">
        <w:rPr>
          <w:i/>
          <w:iCs/>
          <w:lang w:val="en-US"/>
        </w:rPr>
        <w:t>carinii</w:t>
      </w:r>
      <w:r w:rsidRPr="00FB256D">
        <w:t xml:space="preserve">) </w:t>
      </w:r>
      <w:r w:rsidRPr="00DA2BC8">
        <w:t>к</w:t>
      </w:r>
      <w:r w:rsidRPr="00FB256D">
        <w:t xml:space="preserve"> </w:t>
      </w:r>
      <w:r w:rsidRPr="00DA2BC8">
        <w:t>простейшим</w:t>
      </w:r>
      <w:r w:rsidRPr="00FB256D">
        <w:t xml:space="preserve">. </w:t>
      </w:r>
      <w:r w:rsidRPr="00DA2BC8">
        <w:t xml:space="preserve">Это подтверждалось эффективным лечением пневмоцистной инфекции препаратами с антипротозойной активностью и безуспешной терапией противогрибковыми препаратами, а также отсутствием некоторых веществ в клеточной стенке пневмоцист, характерных для грибов, например, эргостерола. В настоящее время </w:t>
      </w:r>
      <w:r w:rsidRPr="00DA2BC8">
        <w:rPr>
          <w:i/>
          <w:iCs/>
        </w:rPr>
        <w:t>P. jirovecii</w:t>
      </w:r>
      <w:r w:rsidRPr="00DA2BC8">
        <w:t xml:space="preserve"> отнесены к дрожжеподобным грибам, сходным с патогенами растений, на основании идентичности строения ряда клеточных структур, гомологичности ферментных систем, фрагментов рибонуклеиновых кислот (16S pРНК, 5S pРНК).</w:t>
      </w:r>
    </w:p>
    <w:p w14:paraId="7DF26B3A" w14:textId="77777777" w:rsidR="00824BFE" w:rsidRPr="00DA2BC8" w:rsidRDefault="00824BFE" w:rsidP="00824BFE">
      <w:pPr>
        <w:ind w:right="50" w:firstLine="709"/>
        <w:contextualSpacing/>
      </w:pPr>
      <w:r w:rsidRPr="00DA2BC8">
        <w:t xml:space="preserve">В общей популяции передача возбудителя происходит при непосредственном контакте с носителем </w:t>
      </w:r>
      <w:r w:rsidRPr="00DA2BC8">
        <w:rPr>
          <w:i/>
          <w:iCs/>
        </w:rPr>
        <w:t>P. jirovecii</w:t>
      </w:r>
      <w:r w:rsidRPr="00DA2BC8">
        <w:t xml:space="preserve">. У иммунокомпрометированных </w:t>
      </w:r>
      <w:r>
        <w:t>пациентов</w:t>
      </w:r>
      <w:r w:rsidRPr="00DA2BC8">
        <w:t xml:space="preserve"> </w:t>
      </w:r>
      <w:r w:rsidRPr="00DA2BC8">
        <w:rPr>
          <w:i/>
          <w:iCs/>
        </w:rPr>
        <w:t>P. jirovecii</w:t>
      </w:r>
      <w:r w:rsidRPr="00DA2BC8">
        <w:t xml:space="preserve"> вызывают тяжелую пневмонию, в большинстве случаев сопровождающейся острой дыхательной недостаточностью. Пневмоцистная пневмония возникает, прежде всего, у реципиентов аллогенных СГК, </w:t>
      </w:r>
      <w:r>
        <w:t xml:space="preserve">пациентов с </w:t>
      </w:r>
      <w:r w:rsidRPr="00DA2BC8">
        <w:t>острыми лимфобластными лейкозами</w:t>
      </w:r>
      <w:r>
        <w:t xml:space="preserve">, </w:t>
      </w:r>
      <w:r w:rsidRPr="00DA2BC8">
        <w:lastRenderedPageBreak/>
        <w:t xml:space="preserve">лимфопролиферативными заболеваниями, включая </w:t>
      </w:r>
      <w:r>
        <w:t>пациентов</w:t>
      </w:r>
      <w:r w:rsidRPr="00DA2BC8">
        <w:t xml:space="preserve"> хроническим лимфолейкозом, лимфомами, множественной миеломой. Сопутствующие заболевания, такие как хроническая обструктивная болезнь легких и бронхиальная астма также ассоциированы с развитием этой инфекции. Активная профилактика пневмоцистных пневмоний привели к существенному снижению частоты подобных осложнений. Развитие пневмоцистной пневмонии на фоне профилактического приема ко-тримоксазола бывает обусловлено чаще всего нарушениями в режиме приема препарата, а не резистентнотсью. Летальность от пневмоцистной пневмонии у </w:t>
      </w:r>
      <w:r>
        <w:t>гематологических пациентов</w:t>
      </w:r>
      <w:r w:rsidRPr="00DA2BC8">
        <w:t xml:space="preserve"> может достигать 30-50%, особенно у реципиентов аллогенных СГК. </w:t>
      </w:r>
    </w:p>
    <w:p w14:paraId="58088A94" w14:textId="77777777" w:rsidR="00824BFE" w:rsidRPr="00686506" w:rsidRDefault="00824BFE" w:rsidP="00824BFE">
      <w:pPr>
        <w:ind w:right="50" w:firstLine="709"/>
        <w:contextualSpacing/>
        <w:rPr>
          <w:i/>
          <w:iCs/>
        </w:rPr>
      </w:pPr>
      <w:r w:rsidRPr="00686506">
        <w:rPr>
          <w:i/>
          <w:iCs/>
          <w:u w:val="single"/>
        </w:rPr>
        <w:t>Факторы риска</w:t>
      </w:r>
    </w:p>
    <w:p w14:paraId="5AB92901" w14:textId="77777777" w:rsidR="00824BFE" w:rsidRPr="00DA2BC8" w:rsidRDefault="00824BFE" w:rsidP="00824BFE">
      <w:pPr>
        <w:ind w:right="50" w:firstLine="709"/>
        <w:contextualSpacing/>
      </w:pPr>
      <w:r w:rsidRPr="00DA2BC8">
        <w:t xml:space="preserve">Пневмоцистная пневмония возникает прежде всего у </w:t>
      </w:r>
      <w:r>
        <w:t>пациентов</w:t>
      </w:r>
      <w:r w:rsidRPr="00DA2BC8">
        <w:t xml:space="preserve"> с дефицитом Т-клеточного звена иммунитета, лимфоцитопенией, низким уровнем CD4+ клеток. Основной предрасполагающий фактор в развитии пневмоцистной пневмонии – это прием глюкокортикоидов. К другим факторам относят использование цитостатических препаратов (флюдарабин</w:t>
      </w:r>
      <w:r>
        <w:t>а, винкристина, циклофосфамида</w:t>
      </w:r>
      <w:r w:rsidRPr="00DA2BC8">
        <w:t xml:space="preserve">), моноклональных антител (ритуксимаба, </w:t>
      </w:r>
      <w:r>
        <w:t>обину</w:t>
      </w:r>
      <w:r w:rsidRPr="00DA2BC8">
        <w:t xml:space="preserve">тузумаба), трансплантация СГК, РТПХ. </w:t>
      </w:r>
    </w:p>
    <w:p w14:paraId="0C66F205" w14:textId="77777777" w:rsidR="00824BFE" w:rsidRPr="00686506" w:rsidRDefault="00824BFE" w:rsidP="00824BFE">
      <w:pPr>
        <w:ind w:right="50" w:firstLine="709"/>
        <w:contextualSpacing/>
        <w:rPr>
          <w:i/>
          <w:iCs/>
          <w:u w:val="single"/>
        </w:rPr>
      </w:pPr>
      <w:r w:rsidRPr="00686506">
        <w:rPr>
          <w:i/>
          <w:iCs/>
          <w:u w:val="single"/>
        </w:rPr>
        <w:t>Симптомы</w:t>
      </w:r>
    </w:p>
    <w:p w14:paraId="645F5772" w14:textId="77777777" w:rsidR="00824BFE" w:rsidRPr="00DA2BC8" w:rsidRDefault="00824BFE" w:rsidP="00824BFE">
      <w:pPr>
        <w:ind w:right="50" w:firstLine="709"/>
        <w:contextualSpacing/>
      </w:pPr>
      <w:r w:rsidRPr="00DA2BC8">
        <w:t xml:space="preserve">Начальные признаки инфекции включают лихорадку (90%), сухой кашель, одышку, затем быстро возникает острая дыхательная недостаточность. У части </w:t>
      </w:r>
      <w:r>
        <w:t>пациентов</w:t>
      </w:r>
      <w:r w:rsidRPr="00DA2BC8">
        <w:t xml:space="preserve">, получающих кортикостероиды, клиническая картина может быть стертой и ухудшение происходит только после снижения дозы или отмены этих препаратов. При осмотре </w:t>
      </w:r>
      <w:r>
        <w:t>пациента</w:t>
      </w:r>
      <w:r w:rsidRPr="00DA2BC8">
        <w:t xml:space="preserve"> с пневмоцистной пневмонией выявляется, прежде всего, несоответствие между физикальными данными и тяжестью </w:t>
      </w:r>
      <w:r>
        <w:t>состояния</w:t>
      </w:r>
      <w:r w:rsidRPr="00DA2BC8">
        <w:t xml:space="preserve">, когда крайне скудная аускультативная симптоматика сочетается с выраженной дыхательной недостаточностью (одышка, артериальная гипоксемия, респираторный алкалоз). </w:t>
      </w:r>
    </w:p>
    <w:p w14:paraId="38AAA202" w14:textId="77777777" w:rsidR="00824BFE" w:rsidRPr="00DA2BC8" w:rsidRDefault="00824BFE" w:rsidP="00824BFE">
      <w:pPr>
        <w:ind w:right="50" w:firstLine="709"/>
        <w:contextualSpacing/>
      </w:pPr>
      <w:r w:rsidRPr="00DA2BC8">
        <w:rPr>
          <w:bCs/>
        </w:rPr>
        <w:t>Диагностика включает о</w:t>
      </w:r>
      <w:r w:rsidRPr="00DA2BC8">
        <w:t xml:space="preserve">бнаружение цист, трофозоидов при флуоресцентной микроскопии (метод непрямой иммунофлюоресценции) или ДНК </w:t>
      </w:r>
      <w:r w:rsidRPr="00DA2BC8">
        <w:rPr>
          <w:i/>
          <w:iCs/>
        </w:rPr>
        <w:t>P. jirovecii</w:t>
      </w:r>
      <w:r w:rsidRPr="00DA2BC8">
        <w:t xml:space="preserve"> методом ПЦР в образцах жидкости БАЛ.</w:t>
      </w:r>
      <w:r w:rsidRPr="00DA2BC8">
        <w:rPr>
          <w:bCs/>
        </w:rPr>
        <w:t xml:space="preserve"> </w:t>
      </w:r>
      <w:r w:rsidRPr="00DA2BC8">
        <w:t xml:space="preserve">Образцы индуцированной мокроты или смывыв со слизистой оболочки бронхов и верхних дыхательных путей не используют для диагностики пневмоцистной инфекции у </w:t>
      </w:r>
      <w:r>
        <w:t>гематологических пациентов</w:t>
      </w:r>
      <w:r w:rsidRPr="00DA2BC8">
        <w:t xml:space="preserve"> ввиду их низкой чувствительности. </w:t>
      </w:r>
    </w:p>
    <w:p w14:paraId="0515E84B" w14:textId="77777777" w:rsidR="00824BFE" w:rsidRPr="00DA2BC8" w:rsidRDefault="00824BFE" w:rsidP="00824BFE">
      <w:pPr>
        <w:ind w:right="50" w:firstLine="709"/>
        <w:contextualSpacing/>
      </w:pPr>
      <w:r w:rsidRPr="00DA2BC8">
        <w:t xml:space="preserve">Неоднократное обнаружение ДНК пневмоцист при повторных исследованиях жидкости БАЛ не является критерием неэффективного лечения при наличии положительной клинической динамики. </w:t>
      </w:r>
      <w:r w:rsidRPr="00DA2BC8">
        <w:rPr>
          <w:i/>
          <w:iCs/>
        </w:rPr>
        <w:t>P. jirovecii</w:t>
      </w:r>
      <w:r w:rsidRPr="00DA2BC8">
        <w:t xml:space="preserve"> могут определяться в жидкости БАЛ в течение нескольких дней и даже недель при успешном лечении пневмоцистной пневмонии. </w:t>
      </w:r>
    </w:p>
    <w:p w14:paraId="347D3640" w14:textId="77777777" w:rsidR="00824BFE" w:rsidRPr="00DA2BC8" w:rsidRDefault="00824BFE" w:rsidP="00824BFE">
      <w:pPr>
        <w:ind w:right="50" w:firstLine="709"/>
        <w:contextualSpacing/>
      </w:pPr>
      <w:r w:rsidRPr="00DA2BC8">
        <w:lastRenderedPageBreak/>
        <w:t>У реципиентов аллогенных СГК пневмоцистная пневмония примерно в половине случаев сочетается с цитамегаловирусной инфекцией.</w:t>
      </w:r>
    </w:p>
    <w:p w14:paraId="42970726" w14:textId="77777777" w:rsidR="00824BFE" w:rsidRPr="00DA2BC8" w:rsidRDefault="00824BFE" w:rsidP="00824BFE">
      <w:pPr>
        <w:ind w:right="50" w:firstLine="709"/>
        <w:contextualSpacing/>
      </w:pPr>
      <w:r w:rsidRPr="00DA2BC8">
        <w:t xml:space="preserve">Повышение уровня лактатдегидрогеназы в сыворотке крови при пневмоцистной пневмонии более характерно для ВИЧ-инфицированных больных, а не для больных опухолями системы крови. </w:t>
      </w:r>
    </w:p>
    <w:p w14:paraId="36FA04BD" w14:textId="77777777" w:rsidR="00824BFE" w:rsidRPr="00686506" w:rsidRDefault="00824BFE" w:rsidP="00824BFE">
      <w:pPr>
        <w:ind w:right="50" w:firstLine="709"/>
        <w:contextualSpacing/>
        <w:rPr>
          <w:bCs/>
          <w:i/>
          <w:iCs/>
          <w:u w:val="single"/>
        </w:rPr>
      </w:pPr>
      <w:r w:rsidRPr="00686506">
        <w:rPr>
          <w:bCs/>
          <w:i/>
          <w:iCs/>
          <w:u w:val="single"/>
        </w:rPr>
        <w:t>Радиологические особенности пневмоцистной пневмонии</w:t>
      </w:r>
    </w:p>
    <w:p w14:paraId="30948886" w14:textId="77777777" w:rsidR="00824BFE" w:rsidRPr="00DA2BC8" w:rsidRDefault="00824BFE" w:rsidP="00824BFE">
      <w:pPr>
        <w:ind w:right="50" w:firstLine="709"/>
        <w:contextualSpacing/>
      </w:pPr>
      <w:r w:rsidRPr="00DA2BC8">
        <w:t>Заподозрить пневмоцистную пневмонию можно только по данным КТ</w:t>
      </w:r>
      <w:r>
        <w:t>/СКТ</w:t>
      </w:r>
      <w:r w:rsidRPr="00DA2BC8">
        <w:t>.</w:t>
      </w:r>
      <w:r w:rsidRPr="00DA2BC8">
        <w:rPr>
          <w:b/>
        </w:rPr>
        <w:t xml:space="preserve"> </w:t>
      </w:r>
    </w:p>
    <w:p w14:paraId="4D46498E" w14:textId="77777777" w:rsidR="00824BFE" w:rsidRPr="00DA2BC8" w:rsidRDefault="00824BFE" w:rsidP="00824BFE">
      <w:pPr>
        <w:ind w:right="50" w:firstLine="709"/>
        <w:contextualSpacing/>
      </w:pPr>
      <w:r w:rsidRPr="00DA2BC8">
        <w:t>При радиологическом исследовании легких обнаруживают облаковидную, туманную, по типу снежной бури или матового стекла, билатеральную инфильтрацию, чаще в прикорневых отделах легких. В то же время могут быть выявлены участки консолидации, буллы (10%), особенно в верхних долях легких, которые могут приводить к образованию пневмоторакса. Признаки плеврита бывают редко, за исключением реципиентов аллогенных СГК. В некоторых случаях определяют одиночные или множественные очаги в легких, описаны случаи симптома «обратного ореола» и каверн по данным КТ</w:t>
      </w:r>
      <w:r>
        <w:t>/СКТ</w:t>
      </w:r>
      <w:r w:rsidRPr="00DA2BC8">
        <w:t xml:space="preserve"> легких. </w:t>
      </w:r>
    </w:p>
    <w:p w14:paraId="1C80B45D" w14:textId="77777777" w:rsidR="00824BFE" w:rsidRPr="00DA2BC8" w:rsidRDefault="00824BFE" w:rsidP="00824BFE">
      <w:pPr>
        <w:ind w:right="50" w:firstLine="709"/>
        <w:contextualSpacing/>
        <w:rPr>
          <w:b/>
          <w:bCs/>
        </w:rPr>
      </w:pPr>
      <w:r w:rsidRPr="00DA2BC8">
        <w:rPr>
          <w:bCs/>
        </w:rPr>
        <w:t>Препаратом выбора является т</w:t>
      </w:r>
      <w:r w:rsidRPr="00DA2BC8">
        <w:t>риметоприм/сульфаметоксазол, который назначают из расчета по триметоприму 15-20 мг/кг в сутки, внутривенно, дозу разделяют на 3 приема.</w:t>
      </w:r>
    </w:p>
    <w:p w14:paraId="10941D38" w14:textId="77777777" w:rsidR="00824BFE" w:rsidRPr="00DA2BC8" w:rsidRDefault="00824BFE" w:rsidP="00824BFE">
      <w:pPr>
        <w:ind w:right="50" w:firstLine="709"/>
        <w:contextualSpacing/>
      </w:pPr>
      <w:r w:rsidRPr="00DA2BC8">
        <w:rPr>
          <w:bCs/>
        </w:rPr>
        <w:t xml:space="preserve">У </w:t>
      </w:r>
      <w:r w:rsidRPr="00DA2BC8">
        <w:t xml:space="preserve">нетяжелых </w:t>
      </w:r>
      <w:r>
        <w:t>пациентов</w:t>
      </w:r>
      <w:r w:rsidRPr="00DA2BC8">
        <w:t xml:space="preserve"> пневмоцистной пневмонией без дыхательной недостаточности, при условии отсутствия мукозита и нормальной функции желудочно-кишечного тракта (нет диареи), может быть использован триметоприм/сульфаметоксазол перорально в тех же дозах, как и для внутривенного назначения. Концентрация триметоприма/сульфаметоксазола в сыворотке крови является эквивалентной при использовании его внутривенно или перорально (в случае нормальной функции желудочно-кишечного тракта). Внутривенная форма триметоприма/сульфаметоксазола может быть заменена на пероральную без изменения дозирования препарата, как продолжение лечения, при клиническом улучшении состояния и нормальной абсорбции в желудочно-кишечном тракте. </w:t>
      </w:r>
    </w:p>
    <w:p w14:paraId="1D31A11F" w14:textId="77777777" w:rsidR="00824BFE" w:rsidRDefault="00824BFE" w:rsidP="00824BFE">
      <w:pPr>
        <w:ind w:right="50" w:firstLine="709"/>
        <w:contextualSpacing/>
      </w:pPr>
      <w:r w:rsidRPr="00DA2BC8">
        <w:t xml:space="preserve">Не рекомендовано назначать метотрексат в период терапии триметопримом/сульфаметоксазолом из-за развития побочных эффектов. </w:t>
      </w:r>
      <w:r w:rsidRPr="00DA2BC8">
        <w:rPr>
          <w:bCs/>
        </w:rPr>
        <w:t xml:space="preserve">Препаратами 2-го ряда являются </w:t>
      </w:r>
      <w:r w:rsidRPr="00DA2BC8">
        <w:t xml:space="preserve">пентамидин (4 мг/кг 1 раз в сутки, внутривенно, максимальная суточная доза 300 мг), сочетание примахина (30 мг внутрь 1 раз в сутки) и клиндамицина (600 мг внутривенно 3 раза в сутки). При неэффективности к триметоприму/сульфаметоксазолу добавляют каспофунгин (в 1-й день 70 мг, затем и по 50 мг внутривенно 1 раз в сутки). </w:t>
      </w:r>
      <w:r w:rsidRPr="00DA2BC8">
        <w:rPr>
          <w:iCs/>
        </w:rPr>
        <w:t>Не проводят одним эхинокандином</w:t>
      </w:r>
      <w:r w:rsidRPr="00DA2BC8">
        <w:t xml:space="preserve"> </w:t>
      </w:r>
      <w:r w:rsidRPr="00DA2BC8">
        <w:rPr>
          <w:iCs/>
        </w:rPr>
        <w:t>лечение пневмоцистной пневмонии (нет исследований).</w:t>
      </w:r>
      <w:r w:rsidRPr="00DA2BC8">
        <w:t xml:space="preserve"> Не рекомендовано назначение кортикостероидов всем больным с пневмоцистной </w:t>
      </w:r>
      <w:r w:rsidRPr="00DA2BC8">
        <w:lastRenderedPageBreak/>
        <w:t xml:space="preserve">пневмонией и дыхательной недостаточностью. Решение о добавлении кортикостероидов </w:t>
      </w:r>
      <w:r>
        <w:t>пациентам</w:t>
      </w:r>
      <w:r w:rsidRPr="00DA2BC8">
        <w:t xml:space="preserve"> с пневмоцистной пневмонией и дыхательной недостаточностью следует рассматривать индивидуально в каждом случае. </w:t>
      </w:r>
      <w:r w:rsidRPr="00DA2BC8">
        <w:rPr>
          <w:bCs/>
        </w:rPr>
        <w:t>Длительность лечения</w:t>
      </w:r>
      <w:r w:rsidRPr="00DA2BC8">
        <w:t xml:space="preserve"> пневмоцистной пневмонии составляет от 2 до 3-х недель.</w:t>
      </w:r>
    </w:p>
    <w:p w14:paraId="354E8352" w14:textId="77777777" w:rsidR="00824BFE" w:rsidRPr="00527F45" w:rsidRDefault="00824BFE" w:rsidP="00824BFE">
      <w:pPr>
        <w:pStyle w:val="2"/>
      </w:pPr>
      <w:bookmarkStart w:id="54" w:name="_Toc64565661"/>
      <w:bookmarkStart w:id="55" w:name="_Toc67522247"/>
      <w:bookmarkEnd w:id="53"/>
      <w:r w:rsidRPr="00A7029B">
        <w:t>7.</w:t>
      </w:r>
      <w:r>
        <w:t>9</w:t>
      </w:r>
      <w:r w:rsidRPr="00A7029B">
        <w:t xml:space="preserve">. </w:t>
      </w:r>
      <w:r w:rsidRPr="00262806">
        <w:t>Вирусные инфекции у пациентов с гематологическими заболеваниями</w:t>
      </w:r>
      <w:bookmarkEnd w:id="54"/>
      <w:bookmarkEnd w:id="55"/>
    </w:p>
    <w:p w14:paraId="3B50759F" w14:textId="77777777" w:rsidR="00824BFE" w:rsidRDefault="00824BFE" w:rsidP="00824BFE">
      <w:pPr>
        <w:ind w:firstLine="708"/>
      </w:pPr>
      <w:r w:rsidRPr="0028579C">
        <w:t xml:space="preserve">Герпесвирусные инфекции диагностируют </w:t>
      </w:r>
      <w:r>
        <w:t>чаще</w:t>
      </w:r>
      <w:r w:rsidRPr="0028579C">
        <w:t xml:space="preserve"> всего у </w:t>
      </w:r>
      <w:r>
        <w:t>гематологических пациентов с</w:t>
      </w:r>
      <w:r w:rsidRPr="0028579C">
        <w:t xml:space="preserve"> лимфопролиферативными заболеваниями и у реципиентов аллогенных </w:t>
      </w:r>
      <w:r w:rsidRPr="00053026">
        <w:t>гемопоэтических стволовых клеток</w:t>
      </w:r>
      <w:r w:rsidRPr="0028579C">
        <w:t xml:space="preserve"> </w:t>
      </w:r>
      <w:r>
        <w:t>(</w:t>
      </w:r>
      <w:r w:rsidRPr="0028579C">
        <w:t>ТГСК</w:t>
      </w:r>
      <w:r>
        <w:t>)</w:t>
      </w:r>
      <w:r w:rsidRPr="0028579C">
        <w:t xml:space="preserve">. </w:t>
      </w:r>
      <w:r>
        <w:t>Для диагностики герпесвирусных инфекций проводят комплекс необходимых инструментальных исследований для получения материала – исследование полости рта, промежности, влагалища, прямой кишки, эзофагогастродуоденоскопия, бронхоальвеалярный лаваж, люмбальная пункция, пункция/биопсия ткани/очага поражения любой локализации, выявленных при УЗИ, КТ/СКТ, МРТ органов и полостей, или физикально (</w:t>
      </w:r>
      <w:r w:rsidRPr="0028579C">
        <w:t>везикул</w:t>
      </w:r>
      <w:r>
        <w:t>ы</w:t>
      </w:r>
      <w:r w:rsidRPr="0028579C">
        <w:t>, “корочки” с везикул</w:t>
      </w:r>
      <w:r>
        <w:t xml:space="preserve">), </w:t>
      </w:r>
      <w:r w:rsidRPr="0028579C">
        <w:t>сыворотк</w:t>
      </w:r>
      <w:r>
        <w:t>а</w:t>
      </w:r>
      <w:r w:rsidRPr="0028579C">
        <w:t xml:space="preserve"> крови</w:t>
      </w:r>
      <w:r>
        <w:t>, и др</w:t>
      </w:r>
      <w:r w:rsidRPr="0028579C">
        <w:t>.</w:t>
      </w:r>
    </w:p>
    <w:p w14:paraId="18BD1B0C" w14:textId="77777777" w:rsidR="00824BFE" w:rsidRDefault="00824BFE" w:rsidP="00824BFE">
      <w:pPr>
        <w:ind w:firstLine="708"/>
      </w:pPr>
    </w:p>
    <w:p w14:paraId="29C35D5F" w14:textId="77777777" w:rsidR="00824BFE" w:rsidRPr="00A14D1D" w:rsidRDefault="00824BFE" w:rsidP="00824BFE">
      <w:pPr>
        <w:rPr>
          <w:bCs/>
          <w:i/>
          <w:iCs/>
          <w:u w:val="single"/>
        </w:rPr>
      </w:pPr>
      <w:r w:rsidRPr="00A14D1D">
        <w:rPr>
          <w:bCs/>
          <w:i/>
          <w:iCs/>
          <w:u w:val="single"/>
        </w:rPr>
        <w:t>Вирусы простого герпеса 1 и 2 типа (Herpes simplex virus, HSV)</w:t>
      </w:r>
    </w:p>
    <w:p w14:paraId="46E1E053" w14:textId="7FF6632D" w:rsidR="00824BFE" w:rsidRPr="00867D9A" w:rsidRDefault="00824BFE" w:rsidP="00824BFE">
      <w:pPr>
        <w:ind w:firstLine="708"/>
      </w:pPr>
      <w:r>
        <w:t>HSV</w:t>
      </w:r>
      <w:r w:rsidRPr="006B215F">
        <w:t xml:space="preserve"> вызывают у </w:t>
      </w:r>
      <w:r>
        <w:t>пациентов</w:t>
      </w:r>
      <w:r w:rsidRPr="006B215F">
        <w:t xml:space="preserve"> гематологическими заболеваниями прежде всего </w:t>
      </w:r>
      <w:r w:rsidRPr="0028579C">
        <w:t xml:space="preserve">повреждение слизистых оболочек (мукозиты), чаще HSV 1 тип. До 80% взрослых </w:t>
      </w:r>
      <w:r>
        <w:t xml:space="preserve">пациентов с </w:t>
      </w:r>
      <w:r w:rsidRPr="0028579C">
        <w:t>острыми миелоидными лейкозами (ОМЛ) являются серопозитивными</w:t>
      </w:r>
      <w:r>
        <w:t xml:space="preserve"> по HSV</w:t>
      </w:r>
      <w:r w:rsidRPr="0028579C">
        <w:t>. Мукозиты, вызванные HSV, являются</w:t>
      </w:r>
      <w:r>
        <w:t>,</w:t>
      </w:r>
      <w:r w:rsidRPr="0028579C">
        <w:t xml:space="preserve"> как правило</w:t>
      </w:r>
      <w:r>
        <w:t>,</w:t>
      </w:r>
      <w:r w:rsidRPr="0028579C">
        <w:t xml:space="preserve"> проявлением реактивации латентной вирусной инфекции во время курсов полихимиотерапии (ПХТ) и у реципиентов ТГСК. Частота мукозитов, вызванных HSV, среди серопозитивных</w:t>
      </w:r>
      <w:r>
        <w:t xml:space="preserve"> пациентов ОМЛ во время ПХТ составляет 61%- 66%</w:t>
      </w:r>
      <w:r w:rsidRPr="006B215F">
        <w:t xml:space="preserve">, среди реципиентов аллогенных ТГСК достигает 80%, из них основная доля в первые 4 недели после ТГСК. При реактивации </w:t>
      </w:r>
      <w:r>
        <w:t>HSV</w:t>
      </w:r>
      <w:r w:rsidRPr="006B215F">
        <w:t xml:space="preserve"> орофарингеальные дефекты на слизистой оболочке возникают у 85-90%, в области промежности (генитальный гесрпес) – у 10-15% больных. Другая манифестация реактивации </w:t>
      </w:r>
      <w:r>
        <w:t>HSV</w:t>
      </w:r>
      <w:r w:rsidRPr="006B215F">
        <w:t xml:space="preserve"> – это эзофагит (10%). К редким проявлениям </w:t>
      </w:r>
      <w:r w:rsidRPr="00867D9A">
        <w:t xml:space="preserve">относят пневмонию (2-3% при отсутствии профилактики), гепатиты, менингит, энцефалит </w:t>
      </w:r>
      <w:r w:rsidRPr="00867D9A">
        <w:fldChar w:fldCharType="begin" w:fldLock="1"/>
      </w:r>
      <w:r w:rsidR="00531C4D">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[87]","plainTextFormattedCitation":"[87]","previouslyFormattedCitation":"[87]"},"properties":{"noteIndex":0},"schema":"https://github.com/citation-style-language/schema/raw/master/csl-citation.json"}</w:instrText>
      </w:r>
      <w:r w:rsidRPr="00867D9A">
        <w:fldChar w:fldCharType="separate"/>
      </w:r>
      <w:r w:rsidRPr="00824BFE">
        <w:rPr>
          <w:noProof/>
        </w:rPr>
        <w:t>[87]</w:t>
      </w:r>
      <w:r w:rsidRPr="00867D9A">
        <w:fldChar w:fldCharType="end"/>
      </w:r>
      <w:r w:rsidRPr="00867D9A">
        <w:t>.</w:t>
      </w:r>
    </w:p>
    <w:p w14:paraId="6267AFAF" w14:textId="77777777" w:rsidR="00824BFE" w:rsidRPr="00867D9A" w:rsidRDefault="00824BFE" w:rsidP="00824BFE">
      <w:pPr>
        <w:ind w:firstLine="708"/>
        <w:rPr>
          <w:bCs/>
          <w:i/>
          <w:iCs/>
        </w:rPr>
      </w:pPr>
      <w:r w:rsidRPr="00867D9A">
        <w:rPr>
          <w:bCs/>
          <w:i/>
          <w:iCs/>
        </w:rPr>
        <w:t>Диагностика</w:t>
      </w:r>
    </w:p>
    <w:p w14:paraId="3ECBBD1E" w14:textId="3A8DF006" w:rsidR="00824BFE" w:rsidRPr="006B215F" w:rsidRDefault="00824BFE" w:rsidP="00824BFE">
      <w:pPr>
        <w:ind w:firstLine="708"/>
      </w:pPr>
      <w:r w:rsidRPr="006B215F">
        <w:t>Серологические тесты (выявление антител</w:t>
      </w:r>
      <w:r>
        <w:t xml:space="preserve"> в крови, биологических жидкостях</w:t>
      </w:r>
      <w:r w:rsidRPr="006B215F">
        <w:t>) проводят до индукционного курса П</w:t>
      </w:r>
      <w:r>
        <w:t>ХТ и</w:t>
      </w:r>
      <w:r w:rsidRPr="006B215F">
        <w:t xml:space="preserve"> перед ТГСК с целью выявдения серопозитивных пациентов</w:t>
      </w:r>
      <w:r>
        <w:t xml:space="preserve"> </w:t>
      </w:r>
      <w:r w:rsidRPr="00867D9A">
        <w:fldChar w:fldCharType="begin" w:fldLock="1"/>
      </w:r>
      <w:r w:rsidR="00531C4D">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[87]","plainTextFormattedCitation":"[87]","previouslyFormattedCitation":"[87]"},"properties":{"noteIndex":0},"schema":"https://github.com/citation-style-language/schema/raw/master/csl-citation.json"}</w:instrText>
      </w:r>
      <w:r w:rsidRPr="00867D9A">
        <w:fldChar w:fldCharType="separate"/>
      </w:r>
      <w:r w:rsidRPr="00824BFE">
        <w:rPr>
          <w:noProof/>
        </w:rPr>
        <w:t>[87]</w:t>
      </w:r>
      <w:r w:rsidRPr="00867D9A">
        <w:fldChar w:fldCharType="end"/>
      </w:r>
      <w:r w:rsidRPr="006B215F">
        <w:t>.</w:t>
      </w:r>
    </w:p>
    <w:p w14:paraId="2922FAFF" w14:textId="4AA8BA78" w:rsidR="00824BFE" w:rsidRPr="006B215F" w:rsidRDefault="00824BFE" w:rsidP="00824BFE">
      <w:pPr>
        <w:ind w:firstLine="708"/>
      </w:pPr>
      <w:r w:rsidRPr="006B215F">
        <w:t xml:space="preserve">Для диагностики инфекции необходимо выявление вирусного генома </w:t>
      </w:r>
      <w:r>
        <w:t xml:space="preserve">при молекулярно-биологическом исследовании </w:t>
      </w:r>
      <w:r w:rsidRPr="006B215F">
        <w:t xml:space="preserve">методом </w:t>
      </w:r>
      <w:r w:rsidRPr="0028579C">
        <w:t xml:space="preserve">полимеразной цепной реакции (ПЦР). </w:t>
      </w:r>
      <w:r w:rsidRPr="0028579C">
        <w:lastRenderedPageBreak/>
        <w:t>Исследуемые</w:t>
      </w:r>
      <w:r w:rsidRPr="006B215F">
        <w:t xml:space="preserve"> образцы – сыворотка крови, отделяемой со слизистой ротогл</w:t>
      </w:r>
      <w:r>
        <w:t>отки (</w:t>
      </w:r>
      <w:r w:rsidRPr="006B215F">
        <w:t xml:space="preserve">при наличии признаков мукозита) или со слизистой пищевода, </w:t>
      </w:r>
      <w:r>
        <w:t xml:space="preserve">аспираты и </w:t>
      </w:r>
      <w:r w:rsidRPr="006B215F">
        <w:t>биоптаты слизистых и органов</w:t>
      </w:r>
      <w:r>
        <w:t xml:space="preserve"> </w:t>
      </w:r>
      <w:r w:rsidRPr="00867D9A">
        <w:fldChar w:fldCharType="begin" w:fldLock="1"/>
      </w:r>
      <w:r w:rsidR="00531C4D">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[87]","plainTextFormattedCitation":"[87]","previouslyFormattedCitation":"[87]"},"properties":{"noteIndex":0},"schema":"https://github.com/citation-style-language/schema/raw/master/csl-citation.json"}</w:instrText>
      </w:r>
      <w:r w:rsidRPr="00867D9A">
        <w:fldChar w:fldCharType="separate"/>
      </w:r>
      <w:r w:rsidRPr="00824BFE">
        <w:rPr>
          <w:noProof/>
        </w:rPr>
        <w:t>[87]</w:t>
      </w:r>
      <w:r w:rsidRPr="00867D9A">
        <w:fldChar w:fldCharType="end"/>
      </w:r>
      <w:r w:rsidRPr="006B215F">
        <w:t>.</w:t>
      </w:r>
    </w:p>
    <w:p w14:paraId="3E03CCF9" w14:textId="77777777" w:rsidR="00824BFE" w:rsidRPr="00CA38D1" w:rsidRDefault="00824BFE" w:rsidP="00824BFE">
      <w:pPr>
        <w:ind w:firstLine="708"/>
        <w:rPr>
          <w:bCs/>
          <w:i/>
          <w:iCs/>
        </w:rPr>
      </w:pPr>
      <w:r w:rsidRPr="00CA38D1">
        <w:rPr>
          <w:bCs/>
          <w:i/>
          <w:iCs/>
        </w:rPr>
        <w:t>Лечение</w:t>
      </w:r>
    </w:p>
    <w:p w14:paraId="32DB391C" w14:textId="63634DAA" w:rsidR="00824BFE" w:rsidRPr="006B215F" w:rsidRDefault="00824BFE" w:rsidP="00824BFE">
      <w:pPr>
        <w:ind w:firstLine="708"/>
      </w:pPr>
      <w:r w:rsidRPr="006B215F">
        <w:t>Назначают ацикловир в дозе 250 мг/м</w:t>
      </w:r>
      <w:r w:rsidRPr="00CA38D1">
        <w:rPr>
          <w:vertAlign w:val="superscript"/>
        </w:rPr>
        <w:t>2</w:t>
      </w:r>
      <w:r w:rsidRPr="006B215F">
        <w:t xml:space="preserve"> или 5 мг/кг каждые 8 часов в течение 7-10 дней. При нетяжелых мукозитах проводят лечение пероральной формой препаратов- ацикловир по 200 и 5 раз или по 400 мг 5 раз в сутки, валацикловир – по 500 мг х 2 раза, фамцикловир по 500 мг 2 раза в течение 10 дней. При пневмонии или менингите используют высокие дозы ацикловира внутривенно 500 мг/м</w:t>
      </w:r>
      <w:r w:rsidRPr="006B215F">
        <w:rPr>
          <w:vertAlign w:val="superscript"/>
        </w:rPr>
        <w:t xml:space="preserve">2 </w:t>
      </w:r>
      <w:r w:rsidRPr="006B215F">
        <w:t>или 10 мг/кг каждые 8 часов в течение 14-21 дня</w:t>
      </w:r>
      <w:r>
        <w:t xml:space="preserve"> </w:t>
      </w:r>
      <w:r w:rsidRPr="00867D9A">
        <w:fldChar w:fldCharType="begin" w:fldLock="1"/>
      </w:r>
      <w:r w:rsidR="00531C4D">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[87]","plainTextFormattedCitation":"[87]","previouslyFormattedCitation":"[87]"},"properties":{"noteIndex":0},"schema":"https://github.com/citation-style-language/schema/raw/master/csl-citation.json"}</w:instrText>
      </w:r>
      <w:r w:rsidRPr="00867D9A">
        <w:fldChar w:fldCharType="separate"/>
      </w:r>
      <w:r w:rsidRPr="00824BFE">
        <w:rPr>
          <w:noProof/>
        </w:rPr>
        <w:t>[87]</w:t>
      </w:r>
      <w:r w:rsidRPr="00867D9A">
        <w:fldChar w:fldCharType="end"/>
      </w:r>
      <w:r w:rsidRPr="006B215F">
        <w:t>.</w:t>
      </w:r>
    </w:p>
    <w:p w14:paraId="1F2ABA0B" w14:textId="4C4BC83F" w:rsidR="00824BFE" w:rsidRDefault="00824BFE" w:rsidP="00824BFE">
      <w:pPr>
        <w:ind w:firstLine="708"/>
      </w:pPr>
      <w:r w:rsidRPr="006B215F">
        <w:t xml:space="preserve">Длительный прием ацикловира редко приводит к развитию резистентности. Резистентность к ацикловиру является следствием длительной реактивации </w:t>
      </w:r>
      <w:r>
        <w:t>HSV.</w:t>
      </w:r>
      <w:r w:rsidRPr="006B215F">
        <w:t xml:space="preserve"> В этих случаях назначают фоскарнет внутривенно 60 м</w:t>
      </w:r>
      <w:r>
        <w:t>г/кг каждые 12 час или 40 мг/кг</w:t>
      </w:r>
      <w:r w:rsidRPr="006B215F">
        <w:t xml:space="preserve"> каждые 8 час в течение 7-21 дня или до ликвидации симптомов инфекции</w:t>
      </w:r>
      <w:r>
        <w:t xml:space="preserve"> </w:t>
      </w:r>
      <w:r w:rsidRPr="00867D9A">
        <w:fldChar w:fldCharType="begin" w:fldLock="1"/>
      </w:r>
      <w:r w:rsidR="00531C4D">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[87]","plainTextFormattedCitation":"[87]","previouslyFormattedCitation":"[87]"},"properties":{"noteIndex":0},"schema":"https://github.com/citation-style-language/schema/raw/master/csl-citation.json"}</w:instrText>
      </w:r>
      <w:r w:rsidRPr="00867D9A">
        <w:fldChar w:fldCharType="separate"/>
      </w:r>
      <w:r w:rsidRPr="00824BFE">
        <w:rPr>
          <w:noProof/>
        </w:rPr>
        <w:t>[87]</w:t>
      </w:r>
      <w:r w:rsidRPr="00867D9A">
        <w:fldChar w:fldCharType="end"/>
      </w:r>
      <w:r w:rsidRPr="006B215F">
        <w:t>.</w:t>
      </w:r>
    </w:p>
    <w:p w14:paraId="45300DCA" w14:textId="77777777" w:rsidR="00824BFE" w:rsidRPr="006B215F" w:rsidRDefault="00824BFE" w:rsidP="00824BFE">
      <w:pPr>
        <w:ind w:firstLine="708"/>
      </w:pPr>
    </w:p>
    <w:p w14:paraId="5F8DD765" w14:textId="77777777" w:rsidR="00824BFE" w:rsidRPr="00861C01" w:rsidRDefault="00824BFE" w:rsidP="00824BFE">
      <w:pPr>
        <w:rPr>
          <w:bCs/>
          <w:i/>
          <w:iCs/>
          <w:u w:val="single"/>
        </w:rPr>
      </w:pPr>
      <w:r w:rsidRPr="00861C01">
        <w:rPr>
          <w:bCs/>
          <w:i/>
          <w:iCs/>
          <w:u w:val="single"/>
        </w:rPr>
        <w:t xml:space="preserve">Герпес зостер вирус (Herpes zoster virus, HZV) </w:t>
      </w:r>
    </w:p>
    <w:p w14:paraId="5F8D35CD" w14:textId="77777777" w:rsidR="00824BFE" w:rsidRPr="00EE012F" w:rsidRDefault="00824BFE" w:rsidP="00824BFE">
      <w:pPr>
        <w:ind w:firstLine="708"/>
      </w:pPr>
      <w:r w:rsidRPr="006B215F">
        <w:t xml:space="preserve">У реципиентов ТГСК инфекция </w:t>
      </w:r>
      <w:r w:rsidRPr="0028579C">
        <w:t>чаще возникает в течение первых 24 месяцев. Группу риска составляют больные с хронической реакцией «трансплантат против хозяина» (РТПХ). Другие факторы включают наличие острого лейкоза или лимфопролиферативного</w:t>
      </w:r>
      <w:r w:rsidRPr="006B215F">
        <w:t xml:space="preserve"> заболевания в качестве диагноза до ТГСК, во</w:t>
      </w:r>
      <w:r>
        <w:t>зраст старше 50 лет, проведение</w:t>
      </w:r>
      <w:r w:rsidRPr="006B215F">
        <w:t xml:space="preserve"> миелоаблативного режима, </w:t>
      </w:r>
      <w:r>
        <w:t>CD</w:t>
      </w:r>
      <w:r w:rsidRPr="006B215F">
        <w:t>34+</w:t>
      </w:r>
      <w:r>
        <w:t xml:space="preserve"> селектированная аллогенная или аутологичная ТГСК, наличие дефицита одновременно CD</w:t>
      </w:r>
      <w:r w:rsidRPr="006B215F">
        <w:t xml:space="preserve">4(+) и </w:t>
      </w:r>
      <w:r>
        <w:t>CD</w:t>
      </w:r>
      <w:r w:rsidRPr="006B215F">
        <w:t>8(+) лимфоцитов на 30</w:t>
      </w:r>
      <w:r>
        <w:t>-</w:t>
      </w:r>
      <w:r w:rsidRPr="006B215F">
        <w:t xml:space="preserve">й день после ТГСК. </w:t>
      </w:r>
      <w:r>
        <w:t>Гематологические пациенты с лимфопролиферативными заболеваниями составляют группу повышенного риска, независимо от этапа лечения / наблюдения.</w:t>
      </w:r>
    </w:p>
    <w:p w14:paraId="4755D9D5" w14:textId="77777777" w:rsidR="00824BFE" w:rsidRPr="006B215F" w:rsidRDefault="00824BFE" w:rsidP="00824BFE">
      <w:pPr>
        <w:ind w:firstLine="708"/>
      </w:pPr>
      <w:r w:rsidRPr="006B215F">
        <w:t xml:space="preserve">Инфекция, вызванная </w:t>
      </w:r>
      <w:r>
        <w:t>HZV</w:t>
      </w:r>
      <w:r w:rsidRPr="006B215F">
        <w:t xml:space="preserve">, характеризуется поражением межпозвоночных ганглиев, множественными высыпаниями на коже по ходу вовлеченных в процесс нервов, часто сопровождающимися сильными болями, возможно развитие энцефалита, гепатита, пневмонии. Описаны случаи локализации </w:t>
      </w:r>
      <w:r>
        <w:t>боли в эпигастральной области,</w:t>
      </w:r>
      <w:r w:rsidRPr="006B215F">
        <w:t xml:space="preserve"> абдоминальные с развитием паралитической кишечной непроходимости.</w:t>
      </w:r>
    </w:p>
    <w:p w14:paraId="43928A7C" w14:textId="77777777" w:rsidR="00824BFE" w:rsidRPr="006B215F" w:rsidRDefault="00824BFE" w:rsidP="00824BFE">
      <w:pPr>
        <w:ind w:firstLine="708"/>
      </w:pPr>
      <w:r w:rsidRPr="006B215F">
        <w:t xml:space="preserve">Диагностику проводят на основании </w:t>
      </w:r>
      <w:r>
        <w:t xml:space="preserve">выявления </w:t>
      </w:r>
      <w:r w:rsidRPr="0028579C">
        <w:t xml:space="preserve">дезоксирибонуклеиновой кислоты (ДНК) вируса </w:t>
      </w:r>
      <w:r>
        <w:t xml:space="preserve">при молекулярно-биологическом исследовании </w:t>
      </w:r>
      <w:r w:rsidRPr="0028579C">
        <w:t>методом ПЦР. Исследуют содержимое везикул, “корочки” с везикул, биоптаты тканей, мазки со слизистой зева, спинномозговую жидкость (СМЖ), сыворотку крови</w:t>
      </w:r>
      <w:r>
        <w:t>, и др</w:t>
      </w:r>
      <w:r w:rsidRPr="0028579C">
        <w:t>.</w:t>
      </w:r>
    </w:p>
    <w:p w14:paraId="67D7832C" w14:textId="77777777" w:rsidR="00824BFE" w:rsidRDefault="00824BFE" w:rsidP="00824BFE">
      <w:pPr>
        <w:ind w:firstLine="708"/>
      </w:pPr>
      <w:r w:rsidRPr="006B215F">
        <w:t>Лечение проводят ацикловиром внутривенно в дозе 500 мг/м</w:t>
      </w:r>
      <w:r w:rsidRPr="006B215F">
        <w:rPr>
          <w:vertAlign w:val="superscript"/>
        </w:rPr>
        <w:t>2</w:t>
      </w:r>
      <w:r w:rsidRPr="006B215F">
        <w:t xml:space="preserve">, введение каждые 8 часов. При стабилизации состояния возможен переход на пероральный прием препаратов – </w:t>
      </w:r>
      <w:r w:rsidRPr="006B215F">
        <w:lastRenderedPageBreak/>
        <w:t xml:space="preserve">валацикловир (по 100 мг 3 раза), фамцикловир (по 500 мг 3 раза), ацикловир (800 мг 5 раз). Общая длительность лечения составляет не менее 7 дней. В случае ацикловир-резистентных </w:t>
      </w:r>
      <w:r>
        <w:t xml:space="preserve">HZV используют фоскарнет (60 мг/кг каждые 12 час внутривенно) в течение 2 недель. </w:t>
      </w:r>
    </w:p>
    <w:p w14:paraId="51D01DCD" w14:textId="77777777" w:rsidR="00824BFE" w:rsidRDefault="00824BFE" w:rsidP="00824BFE">
      <w:pPr>
        <w:ind w:firstLine="708"/>
      </w:pPr>
    </w:p>
    <w:p w14:paraId="3814341D" w14:textId="77777777" w:rsidR="00824BFE" w:rsidRPr="007F7F8C" w:rsidRDefault="00824BFE" w:rsidP="00824BFE">
      <w:pPr>
        <w:rPr>
          <w:bCs/>
          <w:i/>
          <w:iCs/>
          <w:u w:val="single"/>
        </w:rPr>
      </w:pPr>
      <w:r w:rsidRPr="007F7F8C">
        <w:rPr>
          <w:bCs/>
          <w:i/>
          <w:iCs/>
          <w:u w:val="single"/>
        </w:rPr>
        <w:t>Цитомегаловирус (Cytomegalovirus, CMV)</w:t>
      </w:r>
    </w:p>
    <w:p w14:paraId="7A2012ED" w14:textId="7ECB9F4A" w:rsidR="00824BFE" w:rsidRPr="00E42938" w:rsidRDefault="00824BFE" w:rsidP="00824BFE">
      <w:pPr>
        <w:ind w:firstLine="708"/>
      </w:pPr>
      <w:r w:rsidRPr="0028579C">
        <w:t xml:space="preserve">CMV остается частым осложнением </w:t>
      </w:r>
      <w:r>
        <w:t xml:space="preserve">у гематологических пациентов, в частности, </w:t>
      </w:r>
      <w:r w:rsidRPr="0028579C">
        <w:t>у реципиентов аллогенных ТГСК, может быть причиной заболевания как на раннем, так и позднем этапе после ТГСК, приводит к угнетению костно-мозгового кровообращения. Виремия при лимфоидных гематологических заболеваниях (ХЛЛ, лимфомы, острый лимфобластный лейкоз) и множественной миеломе достигает 13,6% в то время при миелоидны</w:t>
      </w:r>
      <w:r>
        <w:t>х гемобластозах составляет 3,9%.</w:t>
      </w:r>
      <w:r w:rsidRPr="0028579C">
        <w:t xml:space="preserve"> Выделяют CMV</w:t>
      </w:r>
      <w:r>
        <w:t>-</w:t>
      </w:r>
      <w:r w:rsidRPr="0028579C">
        <w:t>инфекцию и CMV</w:t>
      </w:r>
      <w:r>
        <w:t>-</w:t>
      </w:r>
      <w:r w:rsidRPr="0028579C">
        <w:t>заболевание. При CMV</w:t>
      </w:r>
      <w:r>
        <w:t>-</w:t>
      </w:r>
      <w:r w:rsidRPr="0028579C">
        <w:t>инфекции определяется виремия и температура в сочетании или без подавления костно-мозгового кроветворения. В случае CMV</w:t>
      </w:r>
      <w:r>
        <w:t>-</w:t>
      </w:r>
      <w:r w:rsidRPr="0028579C">
        <w:t xml:space="preserve">заболевания вирус определяется в биоптате или из образцов, полученных в ходе инвазивных вмешательств (жидкость бронхоальвеолярного лаважа, СМЖ), </w:t>
      </w:r>
      <w:r>
        <w:t>с</w:t>
      </w:r>
      <w:r w:rsidRPr="0028579C">
        <w:t xml:space="preserve"> наличием</w:t>
      </w:r>
      <w:r w:rsidRPr="006B215F">
        <w:t xml:space="preserve"> симптомов, ассоциированных с </w:t>
      </w:r>
      <w:r>
        <w:t xml:space="preserve">локализацией мест получения </w:t>
      </w:r>
      <w:r w:rsidRPr="006B215F">
        <w:t>образц</w:t>
      </w:r>
      <w:r>
        <w:t>ов</w:t>
      </w:r>
      <w:r w:rsidRPr="006B215F">
        <w:t xml:space="preserve"> исследования. Наряду с пневмонией, энцефалитом, ретинитом может развиться </w:t>
      </w:r>
      <w:r>
        <w:t>CMV-</w:t>
      </w:r>
      <w:r w:rsidRPr="006B215F">
        <w:t xml:space="preserve">гастроинтестинальное заболевание, диагностика которого </w:t>
      </w:r>
      <w:r w:rsidRPr="00E42938">
        <w:t xml:space="preserve">является наиболее трудной, особенно у пациентов с РТПХ </w:t>
      </w:r>
      <w:r w:rsidRPr="00E42938">
        <w:fldChar w:fldCharType="begin" w:fldLock="1"/>
      </w:r>
      <w:r w:rsidR="00531C4D">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[88]","plainTextFormattedCitation":"[88]","previouslyFormattedCitation":"[88]"},"properties":{"noteIndex":0},"schema":"https://github.com/citation-style-language/schema/raw/master/csl-citation.json"}</w:instrText>
      </w:r>
      <w:r w:rsidRPr="00E42938">
        <w:fldChar w:fldCharType="separate"/>
      </w:r>
      <w:r w:rsidRPr="00824BFE">
        <w:rPr>
          <w:noProof/>
        </w:rPr>
        <w:t>[88]</w:t>
      </w:r>
      <w:r w:rsidRPr="00E42938">
        <w:fldChar w:fldCharType="end"/>
      </w:r>
      <w:r w:rsidRPr="00E42938">
        <w:t xml:space="preserve">. </w:t>
      </w:r>
    </w:p>
    <w:p w14:paraId="3B82F87F" w14:textId="77777777" w:rsidR="00824BFE" w:rsidRPr="007F7F8C" w:rsidRDefault="00824BFE" w:rsidP="00824BFE">
      <w:pPr>
        <w:ind w:firstLine="708"/>
        <w:rPr>
          <w:bCs/>
          <w:i/>
          <w:iCs/>
        </w:rPr>
      </w:pPr>
      <w:r w:rsidRPr="007F7F8C">
        <w:rPr>
          <w:bCs/>
          <w:i/>
          <w:iCs/>
        </w:rPr>
        <w:t>Диагностика</w:t>
      </w:r>
    </w:p>
    <w:p w14:paraId="2A83F748" w14:textId="77777777" w:rsidR="00824BFE" w:rsidRPr="006B215F" w:rsidRDefault="00824BFE" w:rsidP="00824BFE">
      <w:pPr>
        <w:ind w:firstLine="708"/>
      </w:pPr>
      <w:r w:rsidRPr="006B215F">
        <w:t xml:space="preserve">У реципиентов </w:t>
      </w:r>
      <w:r>
        <w:t xml:space="preserve">до </w:t>
      </w:r>
      <w:r w:rsidRPr="006B215F">
        <w:t xml:space="preserve">ТГСК исследуют наличие антител </w:t>
      </w:r>
      <w:r>
        <w:t>CMV.</w:t>
      </w:r>
    </w:p>
    <w:p w14:paraId="23B24226" w14:textId="6B84F2F2" w:rsidR="00824BFE" w:rsidRPr="006B215F" w:rsidRDefault="00824BFE" w:rsidP="00824BFE">
      <w:pPr>
        <w:ind w:firstLine="708"/>
      </w:pPr>
      <w:r w:rsidRPr="006B215F">
        <w:t xml:space="preserve">Для диагностики инфекции или заболевания используют </w:t>
      </w:r>
      <w:r w:rsidRPr="00B67A55">
        <w:t>молекулярно-биологическое исследование на цитомегаловирус, включая количественное исследование</w:t>
      </w:r>
      <w:r>
        <w:t xml:space="preserve"> </w:t>
      </w:r>
      <w:r w:rsidRPr="006B215F">
        <w:t xml:space="preserve"> мето</w:t>
      </w:r>
      <w:r>
        <w:t>дом</w:t>
      </w:r>
      <w:r w:rsidRPr="006B215F">
        <w:t xml:space="preserve"> ПЦР</w:t>
      </w:r>
      <w:r>
        <w:t xml:space="preserve"> </w:t>
      </w:r>
      <w:r w:rsidRPr="00E42938">
        <w:fldChar w:fldCharType="begin" w:fldLock="1"/>
      </w:r>
      <w:r w:rsidR="00531C4D">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[88]","plainTextFormattedCitation":"[88]","previouslyFormattedCitation":"[88]"},"properties":{"noteIndex":0},"schema":"https://github.com/citation-style-language/schema/raw/master/csl-citation.json"}</w:instrText>
      </w:r>
      <w:r w:rsidRPr="00E42938">
        <w:fldChar w:fldCharType="separate"/>
      </w:r>
      <w:r w:rsidRPr="00824BFE">
        <w:rPr>
          <w:noProof/>
        </w:rPr>
        <w:t>[88]</w:t>
      </w:r>
      <w:r w:rsidRPr="00E42938">
        <w:fldChar w:fldCharType="end"/>
      </w:r>
      <w:r w:rsidRPr="006B215F">
        <w:t>. Всем реципиентам аллогенной ТГ</w:t>
      </w:r>
      <w:r>
        <w:t>СК следует проводить мониторинг</w:t>
      </w:r>
      <w:r w:rsidRPr="006B215F">
        <w:t xml:space="preserve"> определения ДНК </w:t>
      </w:r>
      <w:r>
        <w:t>CMV</w:t>
      </w:r>
      <w:r w:rsidRPr="006B215F">
        <w:t xml:space="preserve"> не реже чем 1 раз в неделю. Длительность мониторинга составляет не менее 100 дней. Удлинение мониторинга рекомендовано у реципиентов с острой или хронической РТПХ, имевших </w:t>
      </w:r>
      <w:r>
        <w:t>CMV</w:t>
      </w:r>
      <w:r w:rsidRPr="006B215F">
        <w:t xml:space="preserve"> инфекцию в раннем периоде ТГСК, а также у реципиентов после несовместимой или неродственной ТГСК.</w:t>
      </w:r>
    </w:p>
    <w:p w14:paraId="08A0801A" w14:textId="77777777" w:rsidR="00824BFE" w:rsidRPr="007F7F8C" w:rsidRDefault="00824BFE" w:rsidP="00824BFE">
      <w:pPr>
        <w:ind w:firstLine="708"/>
        <w:rPr>
          <w:bCs/>
          <w:i/>
          <w:iCs/>
        </w:rPr>
      </w:pPr>
      <w:r w:rsidRPr="007F7F8C">
        <w:rPr>
          <w:bCs/>
          <w:i/>
          <w:iCs/>
        </w:rPr>
        <w:t>Лечение</w:t>
      </w:r>
    </w:p>
    <w:p w14:paraId="105F2630" w14:textId="21B63C55" w:rsidR="00824BFE" w:rsidRPr="006B215F" w:rsidRDefault="00824BFE" w:rsidP="00824BFE">
      <w:pPr>
        <w:ind w:firstLine="708"/>
      </w:pPr>
      <w:r w:rsidRPr="006B215F">
        <w:t>Препаратом 1 линии является ганцикловир (внутривенно, 10 мг/кг/сутки, дозу разделяют на два приема)</w:t>
      </w:r>
      <w:r>
        <w:t xml:space="preserve"> </w:t>
      </w:r>
      <w:r w:rsidRPr="00E42938">
        <w:fldChar w:fldCharType="begin" w:fldLock="1"/>
      </w:r>
      <w:r w:rsidR="00531C4D">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[88]","plainTextFormattedCitation":"[88]","previouslyFormattedCitation":"[88]"},"properties":{"noteIndex":0},"schema":"https://github.com/citation-style-language/schema/raw/master/csl-citation.json"}</w:instrText>
      </w:r>
      <w:r w:rsidRPr="00E42938">
        <w:fldChar w:fldCharType="separate"/>
      </w:r>
      <w:r w:rsidRPr="00824BFE">
        <w:rPr>
          <w:noProof/>
        </w:rPr>
        <w:t>[88]</w:t>
      </w:r>
      <w:r w:rsidRPr="00E42938">
        <w:fldChar w:fldCharType="end"/>
      </w:r>
      <w:r w:rsidRPr="006B215F">
        <w:t>. При резистентности назначают фоскарнет. Длительность лечения составляет не мене 2 недель. Назначают поддерживающую терапию ганцикловиром, если виремия продолжает определяться через 2 недели</w:t>
      </w:r>
      <w:r>
        <w:t xml:space="preserve"> </w:t>
      </w:r>
      <w:r w:rsidRPr="00E42938">
        <w:fldChar w:fldCharType="begin" w:fldLock="1"/>
      </w:r>
      <w:r w:rsidR="00531C4D">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[88]","plainTextFormattedCitation":"[88]","previouslyFormattedCitation":"[88]"},"properties":{"noteIndex":0},"schema":"https://github.com/citation-style-language/schema/raw/master/csl-citation.json"}</w:instrText>
      </w:r>
      <w:r w:rsidRPr="00E42938">
        <w:fldChar w:fldCharType="separate"/>
      </w:r>
      <w:r w:rsidRPr="00824BFE">
        <w:rPr>
          <w:noProof/>
        </w:rPr>
        <w:t>[88]</w:t>
      </w:r>
      <w:r w:rsidRPr="00E42938">
        <w:fldChar w:fldCharType="end"/>
      </w:r>
      <w:r w:rsidRPr="006B215F">
        <w:t>.</w:t>
      </w:r>
    </w:p>
    <w:p w14:paraId="2D48B084" w14:textId="77777777" w:rsidR="00824BFE" w:rsidRDefault="00824BFE" w:rsidP="00824BFE">
      <w:pPr>
        <w:rPr>
          <w:bCs/>
          <w:i/>
          <w:iCs/>
          <w:u w:val="single"/>
        </w:rPr>
      </w:pPr>
    </w:p>
    <w:p w14:paraId="58A890D1" w14:textId="77777777" w:rsidR="00824BFE" w:rsidRPr="00E42938" w:rsidRDefault="00824BFE" w:rsidP="00824BFE">
      <w:pPr>
        <w:rPr>
          <w:bCs/>
          <w:i/>
          <w:iCs/>
          <w:u w:val="single"/>
        </w:rPr>
      </w:pPr>
      <w:r w:rsidRPr="00E42938">
        <w:rPr>
          <w:bCs/>
          <w:i/>
          <w:iCs/>
          <w:u w:val="single"/>
        </w:rPr>
        <w:t>Вирус Эпштейна-Барр (Epstein-Barr virus – EBV)</w:t>
      </w:r>
    </w:p>
    <w:p w14:paraId="55C88C19" w14:textId="08231E2F" w:rsidR="00824BFE" w:rsidRDefault="00824BFE" w:rsidP="00824BFE">
      <w:pPr>
        <w:ind w:firstLine="708"/>
      </w:pPr>
      <w:r w:rsidRPr="003605AD">
        <w:lastRenderedPageBreak/>
        <w:t xml:space="preserve">Проявления </w:t>
      </w:r>
      <w:r>
        <w:t>EBV</w:t>
      </w:r>
      <w:r w:rsidRPr="00275E66">
        <w:t>-</w:t>
      </w:r>
      <w:r w:rsidRPr="003605AD">
        <w:t xml:space="preserve">инфекции могут быть в виде </w:t>
      </w:r>
      <w:r>
        <w:t>инфекционного мононуклеоза, хронической EBV</w:t>
      </w:r>
      <w:r w:rsidRPr="00275E66">
        <w:t>-</w:t>
      </w:r>
      <w:r>
        <w:t>инфекции, EBV-ассоциированной опухоли. В некоторых случаях проявлением реактивации бывает энцефалит, пневмония и гепатит. Частота EBV-ассоциированного лимфопролиферативного заболевания составляет у реципиентов аутологичных ТГСК около 0, 07%, аллогенных ТГСК – 0,45-4%</w:t>
      </w:r>
      <w:r w:rsidRPr="006B215F">
        <w:t>;</w:t>
      </w:r>
      <w:r>
        <w:t xml:space="preserve"> наиболее высокий показатель после гаплоидентичной ТГСК (до 25%) и после деплеции Т-клеток (12-29%). Реципиенты после неродственной или частично совместимой ТГСК или после деплеции Т-клеток составляют группу риска в отношении развития EBV</w:t>
      </w:r>
      <w:r w:rsidRPr="006B215F">
        <w:t xml:space="preserve"> </w:t>
      </w:r>
      <w:r>
        <w:t xml:space="preserve">ассоциированной опухоли </w:t>
      </w:r>
      <w:r w:rsidRPr="00867D9A">
        <w:fldChar w:fldCharType="begin" w:fldLock="1"/>
      </w:r>
      <w:r w:rsidR="00531C4D">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[87]","plainTextFormattedCitation":"[87]","previouslyFormattedCitation":"[87]"},"properties":{"noteIndex":0},"schema":"https://github.com/citation-style-language/schema/raw/master/csl-citation.json"}</w:instrText>
      </w:r>
      <w:r w:rsidRPr="00867D9A">
        <w:fldChar w:fldCharType="separate"/>
      </w:r>
      <w:r w:rsidRPr="00824BFE">
        <w:rPr>
          <w:noProof/>
        </w:rPr>
        <w:t>[87]</w:t>
      </w:r>
      <w:r w:rsidRPr="00867D9A">
        <w:fldChar w:fldCharType="end"/>
      </w:r>
      <w:r>
        <w:t>.</w:t>
      </w:r>
    </w:p>
    <w:p w14:paraId="09B383B0" w14:textId="77777777" w:rsidR="00824BFE" w:rsidRPr="006B215F" w:rsidRDefault="00824BFE" w:rsidP="00824BFE">
      <w:pPr>
        <w:ind w:firstLine="708"/>
      </w:pPr>
      <w:r>
        <w:t>Диагностика – детекция ДНК EBV</w:t>
      </w:r>
      <w:r w:rsidRPr="006B215F">
        <w:t xml:space="preserve"> методом ПЦР (количественный метод). Мониторинг </w:t>
      </w:r>
      <w:r>
        <w:t>ДНК EBV</w:t>
      </w:r>
      <w:r w:rsidRPr="006B215F">
        <w:t xml:space="preserve"> в группе высо</w:t>
      </w:r>
      <w:r>
        <w:t>ко</w:t>
      </w:r>
      <w:r w:rsidRPr="006B215F">
        <w:t xml:space="preserve">го риска (аллогенная ТГСК) необходимо проводить еженедельно в течение 3х месяцев после ТГСК, более продолжительный период – при хронической РТПХ, после </w:t>
      </w:r>
      <w:r>
        <w:t>гаплоидентичной ТГСК, а также среди пациентов с ранней реактивацией EBV</w:t>
      </w:r>
      <w:r w:rsidRPr="006B215F">
        <w:t>.</w:t>
      </w:r>
    </w:p>
    <w:p w14:paraId="46CF99EE" w14:textId="2E739544" w:rsidR="00824BFE" w:rsidRPr="003605AD" w:rsidRDefault="00824BFE" w:rsidP="00824BFE">
      <w:pPr>
        <w:ind w:firstLine="708"/>
      </w:pPr>
      <w:r w:rsidRPr="006B215F">
        <w:t xml:space="preserve">Лечение </w:t>
      </w:r>
      <w:r>
        <w:t xml:space="preserve">EBV-ассоциированного лимфопролиферативного заболевания проводят ритуксимабом </w:t>
      </w:r>
      <w:r w:rsidRPr="00867D9A">
        <w:fldChar w:fldCharType="begin" w:fldLock="1"/>
      </w:r>
      <w:r w:rsidR="00531C4D">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[87]","plainTextFormattedCitation":"[87]","previouslyFormattedCitation":"[87]"},"properties":{"noteIndex":0},"schema":"https://github.com/citation-style-language/schema/raw/master/csl-citation.json"}</w:instrText>
      </w:r>
      <w:r w:rsidRPr="00867D9A">
        <w:fldChar w:fldCharType="separate"/>
      </w:r>
      <w:r w:rsidRPr="00824BFE">
        <w:rPr>
          <w:noProof/>
        </w:rPr>
        <w:t>[87]</w:t>
      </w:r>
      <w:r w:rsidRPr="00867D9A">
        <w:fldChar w:fldCharType="end"/>
      </w:r>
      <w:r>
        <w:t>. Антивирусные препараты и иммуноглобулин не рекомендованы для лечения.</w:t>
      </w:r>
    </w:p>
    <w:p w14:paraId="255112A2" w14:textId="77777777" w:rsidR="00824BFE" w:rsidRDefault="00824BFE" w:rsidP="00824BFE">
      <w:pPr>
        <w:rPr>
          <w:bCs/>
          <w:i/>
          <w:iCs/>
          <w:u w:val="single"/>
        </w:rPr>
      </w:pPr>
    </w:p>
    <w:p w14:paraId="32449C28" w14:textId="77777777" w:rsidR="00824BFE" w:rsidRPr="00023E68" w:rsidRDefault="00824BFE" w:rsidP="00824BFE">
      <w:pPr>
        <w:rPr>
          <w:bCs/>
          <w:i/>
          <w:iCs/>
          <w:u w:val="single"/>
        </w:rPr>
      </w:pPr>
      <w:r w:rsidRPr="00023E68">
        <w:rPr>
          <w:bCs/>
          <w:i/>
          <w:iCs/>
          <w:u w:val="single"/>
        </w:rPr>
        <w:t>Вирус герпеса человека 6 типа (Human herpes virus 6 – HHV-6)</w:t>
      </w:r>
    </w:p>
    <w:p w14:paraId="0D277311" w14:textId="4F5B324F" w:rsidR="00824BFE" w:rsidRPr="006B215F" w:rsidRDefault="00824BFE" w:rsidP="00824BFE">
      <w:pPr>
        <w:ind w:firstLine="708"/>
      </w:pPr>
      <w:r>
        <w:t>Среди</w:t>
      </w:r>
      <w:r w:rsidRPr="006B215F">
        <w:rPr>
          <w:b/>
        </w:rPr>
        <w:t xml:space="preserve"> </w:t>
      </w:r>
      <w:r w:rsidRPr="00620C7D">
        <w:t>HHV</w:t>
      </w:r>
      <w:r w:rsidRPr="006B215F">
        <w:t xml:space="preserve">6 выделяют тип А и тип В. </w:t>
      </w:r>
      <w:r>
        <w:t xml:space="preserve">Реактивация вируса может приводить к развитию энцефалита, угнетению костно-мозгового кроветворения, пневмонии, быть причиной диареи. Энцефалит, вызванный </w:t>
      </w:r>
      <w:r w:rsidRPr="005B1B4B">
        <w:t>HHV</w:t>
      </w:r>
      <w:r w:rsidRPr="006B215F">
        <w:t xml:space="preserve">6, является редким проявлением инфекции, описаны случаи при неродственной ТГСК. В СМЖ </w:t>
      </w:r>
      <w:r>
        <w:t>пациентов с</w:t>
      </w:r>
      <w:r w:rsidRPr="006B215F">
        <w:t xml:space="preserve"> энцефалитом </w:t>
      </w:r>
      <w:r w:rsidRPr="005B1B4B">
        <w:t>HHV</w:t>
      </w:r>
      <w:r>
        <w:t>-</w:t>
      </w:r>
      <w:r w:rsidRPr="006B215F">
        <w:t xml:space="preserve">6 определяется повышенный уровень белка, в половине случаев бывает плеоцитоз. </w:t>
      </w:r>
      <w:r w:rsidRPr="0028579C">
        <w:t>Компьютерная томография головного мозга</w:t>
      </w:r>
      <w:r w:rsidRPr="006B215F">
        <w:t xml:space="preserve"> может быть нормальной, изменения </w:t>
      </w:r>
      <w:r w:rsidRPr="0028579C">
        <w:t>определяются при магнитно-резонансной томографии</w:t>
      </w:r>
      <w:r>
        <w:t xml:space="preserve"> </w:t>
      </w:r>
      <w:r w:rsidRPr="00E42938">
        <w:fldChar w:fldCharType="begin" w:fldLock="1"/>
      </w:r>
      <w:r w:rsidR="00531C4D">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[88]","plainTextFormattedCitation":"[88]","previouslyFormattedCitation":"[88]"},"properties":{"noteIndex":0},"schema":"https://github.com/citation-style-language/schema/raw/master/csl-citation.json"}</w:instrText>
      </w:r>
      <w:r w:rsidRPr="00E42938">
        <w:fldChar w:fldCharType="separate"/>
      </w:r>
      <w:r w:rsidRPr="00824BFE">
        <w:rPr>
          <w:noProof/>
        </w:rPr>
        <w:t>[88]</w:t>
      </w:r>
      <w:r w:rsidRPr="00E42938">
        <w:fldChar w:fldCharType="end"/>
      </w:r>
      <w:r w:rsidRPr="006B215F">
        <w:t xml:space="preserve">. </w:t>
      </w:r>
    </w:p>
    <w:p w14:paraId="3D76000F" w14:textId="77777777" w:rsidR="00824BFE" w:rsidRDefault="00824BFE" w:rsidP="00824BFE">
      <w:pPr>
        <w:ind w:firstLine="708"/>
      </w:pPr>
      <w:r>
        <w:t xml:space="preserve">Диагностика проводится на основании молекулярно-биологического исследования на </w:t>
      </w:r>
      <w:r w:rsidRPr="00620C7D">
        <w:t>HHV</w:t>
      </w:r>
      <w:r w:rsidRPr="006B215F">
        <w:t>6</w:t>
      </w:r>
      <w:r>
        <w:t xml:space="preserve">, выявляющая ДНК вируса методом ПЦР в крови, в СМЖ, других биологических субстратах, в том числе количественным методом. </w:t>
      </w:r>
    </w:p>
    <w:p w14:paraId="72ED11B8" w14:textId="32ABD54D" w:rsidR="00824BFE" w:rsidRPr="00C1743E" w:rsidRDefault="00824BFE" w:rsidP="00824BFE">
      <w:pPr>
        <w:ind w:firstLine="708"/>
      </w:pPr>
      <w:r>
        <w:t xml:space="preserve">Лечение включает назначение ганцикловира или фоскарнета, возможно сочетанное применение препаратов </w:t>
      </w:r>
      <w:r w:rsidRPr="00E42938">
        <w:fldChar w:fldCharType="begin" w:fldLock="1"/>
      </w:r>
      <w:r w:rsidR="00531C4D">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[88]","plainTextFormattedCitation":"[88]","previouslyFormattedCitation":"[88]"},"properties":{"noteIndex":0},"schema":"https://github.com/citation-style-language/schema/raw/master/csl-citation.json"}</w:instrText>
      </w:r>
      <w:r w:rsidRPr="00E42938">
        <w:fldChar w:fldCharType="separate"/>
      </w:r>
      <w:r w:rsidRPr="00824BFE">
        <w:rPr>
          <w:noProof/>
        </w:rPr>
        <w:t>[88]</w:t>
      </w:r>
      <w:r w:rsidRPr="00E42938">
        <w:fldChar w:fldCharType="end"/>
      </w:r>
      <w:r w:rsidRPr="006B215F">
        <w:t>.</w:t>
      </w:r>
      <w:r>
        <w:t xml:space="preserve"> Профилактика в отношении HHV</w:t>
      </w:r>
      <w:r w:rsidRPr="006B215F">
        <w:t>-6</w:t>
      </w:r>
      <w:r>
        <w:t xml:space="preserve"> не проводится.</w:t>
      </w:r>
    </w:p>
    <w:p w14:paraId="6C174317" w14:textId="77777777" w:rsidR="00824BFE" w:rsidRPr="00A67ED2" w:rsidRDefault="00824BFE" w:rsidP="00824BFE">
      <w:pPr>
        <w:pStyle w:val="2"/>
      </w:pPr>
      <w:bookmarkStart w:id="56" w:name="_Toc64565662"/>
      <w:bookmarkStart w:id="57" w:name="_Toc67522248"/>
      <w:r w:rsidRPr="00A7029B">
        <w:t>7.</w:t>
      </w:r>
      <w:r>
        <w:t>10</w:t>
      </w:r>
      <w:r w:rsidRPr="00A7029B">
        <w:t xml:space="preserve">. </w:t>
      </w:r>
      <w:r w:rsidRPr="003722EE">
        <w:t>Профилактика инфекционных осложнений у пациентов с гематологическими заболеваниями</w:t>
      </w:r>
      <w:bookmarkEnd w:id="56"/>
      <w:bookmarkEnd w:id="57"/>
    </w:p>
    <w:p w14:paraId="5375C570" w14:textId="77777777" w:rsidR="00824BFE" w:rsidRPr="003722EE" w:rsidRDefault="00824BFE" w:rsidP="00824BFE">
      <w:pPr>
        <w:ind w:right="49"/>
        <w:contextualSpacing/>
        <w:rPr>
          <w:b/>
        </w:rPr>
      </w:pPr>
    </w:p>
    <w:p w14:paraId="68242BBB" w14:textId="77777777" w:rsidR="00824BFE" w:rsidRPr="003722EE" w:rsidRDefault="00824BFE" w:rsidP="00824BFE">
      <w:pPr>
        <w:ind w:right="49" w:firstLine="708"/>
        <w:contextualSpacing/>
      </w:pPr>
      <w:r w:rsidRPr="003722EE">
        <w:lastRenderedPageBreak/>
        <w:t xml:space="preserve">Высокая частота инфекционных осложнений у гематологических пациентов, особенно в период нейтропении, диктует необходимость назначения препаратов для профилактики инфекций. Профилактика показана для инфекций, вызванных грибами и вирусами в группе высокого риска. Профилактика бактериальных инфекций становится менее актуальной по причине увеличения полирезистентных бактерий и проводится у определенной категории больных. </w:t>
      </w:r>
    </w:p>
    <w:p w14:paraId="4EAEA12A" w14:textId="77777777" w:rsidR="00824BFE" w:rsidRDefault="00824BFE" w:rsidP="00824BFE">
      <w:pPr>
        <w:ind w:right="49"/>
        <w:rPr>
          <w:i/>
          <w:iCs/>
          <w:u w:val="single"/>
        </w:rPr>
      </w:pPr>
    </w:p>
    <w:p w14:paraId="1C69A83E" w14:textId="77777777" w:rsidR="00824BFE" w:rsidRPr="003722EE" w:rsidRDefault="00824BFE" w:rsidP="00824BFE">
      <w:pPr>
        <w:ind w:right="49"/>
        <w:rPr>
          <w:i/>
          <w:iCs/>
          <w:u w:val="single"/>
        </w:rPr>
      </w:pPr>
      <w:r w:rsidRPr="003722EE">
        <w:rPr>
          <w:i/>
          <w:iCs/>
          <w:u w:val="single"/>
        </w:rPr>
        <w:t>Профилактика инфекций, вызванных бактериями</w:t>
      </w:r>
    </w:p>
    <w:p w14:paraId="1C682027" w14:textId="77777777" w:rsidR="00824BFE" w:rsidRPr="003722EE" w:rsidRDefault="00824BFE" w:rsidP="00824BFE">
      <w:pPr>
        <w:ind w:right="49" w:firstLine="709"/>
        <w:contextualSpacing/>
        <w:rPr>
          <w:bCs/>
        </w:rPr>
      </w:pPr>
      <w:r w:rsidRPr="003722EE">
        <w:rPr>
          <w:bCs/>
        </w:rPr>
        <w:t xml:space="preserve">Профилактику бактериальных инфекций проводят реципиентам аллогенной трансплантации гемопоэтических стволовых клеток (ТГСК), не имеющим колонизации слизистых оболочек энтеробактериями с продукцией </w:t>
      </w:r>
      <w:r w:rsidRPr="003722EE">
        <w:rPr>
          <w:bCs/>
        </w:rPr>
        <w:sym w:font="Symbol" w:char="F062"/>
      </w:r>
      <w:r w:rsidRPr="003722EE">
        <w:rPr>
          <w:bCs/>
        </w:rPr>
        <w:t xml:space="preserve">-лактамаз расширенного спектра или карбапенемаз, фторхинолон-устойчивыми штаммами </w:t>
      </w:r>
      <w:r w:rsidRPr="003722EE">
        <w:rPr>
          <w:bCs/>
          <w:i/>
        </w:rPr>
        <w:t>Pseudomonas aeruginosa, Stenotrophomonas maltophilia, Acinetobacter baumannii</w:t>
      </w:r>
      <w:r w:rsidRPr="003722EE">
        <w:rPr>
          <w:bCs/>
        </w:rPr>
        <w:t xml:space="preserve"> и другими бактериями, устойчивыми к фторхинолонам. Перед назначением фторхинолона для профилактики необходимо исследовать мазок со слизистой прямой кишки, исследование повторяют каждые 7 дней. Профилактику отменяют при назначении системных антибиотиков по поводу лихорадки в период нейтропении. Для профилактики используют фторхинолоны - </w:t>
      </w:r>
      <w:r w:rsidRPr="003722EE">
        <w:t xml:space="preserve">ципрофлоксацин по 0,5 г внутрь 2 раза в сутки </w:t>
      </w:r>
      <w:r w:rsidRPr="003722EE">
        <w:rPr>
          <w:iCs/>
        </w:rPr>
        <w:t>или</w:t>
      </w:r>
      <w:r w:rsidRPr="003722EE">
        <w:rPr>
          <w:bCs/>
        </w:rPr>
        <w:t xml:space="preserve"> </w:t>
      </w:r>
      <w:r w:rsidRPr="003722EE">
        <w:t>левофлоксацин по 0,5 г внутрь 1 раз в сутки. Назначают фторхинолон перед ТГСК с 1-го дня кондиционирования, отменяют - при лейкоцитах более 1,0х10</w:t>
      </w:r>
      <w:r w:rsidRPr="003722EE">
        <w:rPr>
          <w:vertAlign w:val="superscript"/>
        </w:rPr>
        <w:t>9</w:t>
      </w:r>
      <w:r w:rsidRPr="003722EE">
        <w:t>/л или при назначении системных антибиотиков по поводу возникшей инфекции.</w:t>
      </w:r>
    </w:p>
    <w:p w14:paraId="61A63289" w14:textId="77777777" w:rsidR="00824BFE" w:rsidRDefault="00824BFE" w:rsidP="00824BFE">
      <w:pPr>
        <w:ind w:right="49" w:firstLine="709"/>
        <w:contextualSpacing/>
      </w:pPr>
      <w:r w:rsidRPr="003722EE">
        <w:t>Профилактика бактериальных инфекций у других категорий пациентов исключена по причине неэффективности из-за высокой частоты детекции полирезистентных бактерий. Так, профилактическое применение фторхинолонов приводит к достоверному увеличению частоты инфекций, вызванных полирезистентными штаммами, возрастает необходимость в назначении карбапенемов . Отсутствие в протоколе лечения острых лейкозов антимикробной профилактики означает только более жесткий клинический и бактериологический мониторинг состояния пациента и своевременное назначение противомикробных препаратов внутривенно в соответствии с проявлениями инфекции. Не назначают антибиотики с целью деколонизации полирезистентных бактерий со слизистой желудочно-кишечного тракта.</w:t>
      </w:r>
    </w:p>
    <w:p w14:paraId="3FED9EB7" w14:textId="77777777" w:rsidR="00824BFE" w:rsidRPr="003722EE" w:rsidRDefault="00824BFE" w:rsidP="00824BFE">
      <w:pPr>
        <w:ind w:right="49" w:firstLine="709"/>
        <w:contextualSpacing/>
        <w:rPr>
          <w:bCs/>
        </w:rPr>
      </w:pPr>
    </w:p>
    <w:p w14:paraId="19EEB05E" w14:textId="1F1494F0" w:rsidR="00824BFE" w:rsidRPr="00DD5F61" w:rsidRDefault="00824BFE" w:rsidP="00824BFE">
      <w:pPr>
        <w:ind w:right="49"/>
        <w:rPr>
          <w:i/>
          <w:iCs/>
          <w:u w:val="single"/>
        </w:rPr>
      </w:pPr>
      <w:r w:rsidRPr="006F23E6">
        <w:rPr>
          <w:i/>
          <w:iCs/>
          <w:u w:val="single"/>
        </w:rPr>
        <w:t>Профилактика пневмоцистной пневмонии</w:t>
      </w:r>
      <w:r>
        <w:rPr>
          <w:i/>
          <w:iCs/>
          <w:u w:val="single"/>
        </w:rPr>
        <w:t xml:space="preserve"> </w:t>
      </w:r>
      <w:r>
        <w:rPr>
          <w:i/>
          <w:iCs/>
          <w:u w:val="single"/>
        </w:rPr>
        <w:fldChar w:fldCharType="begin" w:fldLock="1"/>
      </w:r>
      <w:r w:rsidR="00531C4D">
        <w:rPr>
          <w:i/>
          <w:iCs/>
          <w:u w:val="single"/>
        </w:rPr>
        <w:instrText>ADDIN CSL_CITATION {"citationItems":[{"id":"ITEM-1","itemData":{"DOI":"10.1093/jac/dkw157","ISSN":"14602091","PMID":"27550992","abstract":"The 5th European Conference on Infections in Leukaemia (ECIL-5) meeting aimed to establish evidence-based recommendations for the prophylaxis of Pneumocystis jirovecii pneumonia (PCP) in non-HIV-infected patients with an underlying haematological condition, including allogeneic HSCT recipients. Recommendations were based on the grading system of the IDSA. Trimethoprim/sulfamethoxazole given 2-3 times weekly is the drug of choice for the primary prophylaxis of PCP in adults (A-II) and children (A-I) and should be given during the entire period at risk. Recent data indicate that children may benefit equally from a once-weekly regimen (B-II). All other drugs, including pentamidine, atovaquone and dapsone, are considered second-line alternatives when trimethoprim/ sulfamethoxazole is poorly tolerated or contraindicated. The main indications of PCP prophylaxis are ALL, allogeneic HSCT, treatment with alemtuzumab, fludarabine/cyclophosphamide/rituximab combinations, &gt;4 weeks of treatmentwith corticosteroids andwell-defined primary immune deficiencies in children. Additional indications are proposed depending on the treatment regimen.","author":[{"dropping-particle":"","family":"Maertens","given":"Johan","non-dropping-particle":"","parse-names":false,"suffix":""},{"dropping-particle":"","family":"Cesaro","given":"Simone","non-dropping-particle":"","parse-names":false,"suffix":""},{"dropping-particle":"","family":"Maschmeyer","given":"Georg","non-dropping-particle":"","parse-names":false,"suffix":""},{"dropping-particle":"","family":"Einsele","given":"Hermann","non-dropping-particle":"","parse-names":false,"suffix":""},{"dropping-particle":"","family":"Donnelly","given":"J. Peter","non-dropping-particle":"","parse-names":false,"suffix":""},{"dropping-particle":"","family":"Alanio","given":"Alexandre","non-dropping-particle":"","parse-names":false,"suffix":""},{"dropping-particle":"","family":"Hauser","given":"Philippe","non-dropping-particle":"","parse-names":false,"suffix":""},{"dropping-particle":"","family":"Lagrou","given":"Katrien","non-dropping-particle":"","parse-names":false,"suffix":""},{"dropping-particle":"","family":"Melchers","given":"Willem J.G.","non-dropping-particle":"","parse-names":false,"suffix":""},{"dropping-particle":"","family":"Helweg-Larsen","given":"Jannik","non-dropping-particle":"","parse-names":false,"suffix":""},{"dropping-particle":"","family":"Matos","given":"Olga","non-dropping-particle":"","parse-names":false,"suffix":""},{"dropping-particle":"","family":"Bretagne","given":"Stéphane","non-dropping-particle":"","parse-names":false,"suffix":""},{"dropping-particle":"","family":"Cordonnier","given":"Catherine","non-dropping-particle":"","parse-names":false,"suffix":""},{"dropping-particle":"","family":"Agrawal","given":"Samir","non-dropping-particle":"","parse-names":false,"suffix":""},{"dropping-particle":"","family":"Kibbler","given":"Christopher","non-dropping-particle":"","parse-names":false,"suffix":""},{"dropping-particle":"","family":"Pagliuca","given":"Antonio","non-dropping-particle":"","parse-names":false,"suffix":""},{"dropping-particle":"","family":"Ward","given":"Katherine","non-dropping-particle":"","parse-names":false,"suffix":""},{"dropping-particle":"","family":"Akova","given":"Murat","non-dropping-particle":"","parse-names":false,"suffix":""},{"dropping-particle":"","family":"Herbrecht","given":"Raoul","non-dropping-particle":"","parse-names":false,"suffix":""},{"dropping-particle":"","family":"Mallet","given":"Vincent","non-dropping-particle":"","parse-names":false,"suffix":""},{"dropping-particle":"","family":"Ribaud","given":"Patricia","non-dropping-particle":"","parse-names":false,"suffix":""},{"dropping-particle":"","family":"Aljurf","given":"Mahmoud","non-dropping-particle":"","parse-names":false,"suffix":""},{"dropping-particle":"","family":"Averbuch","given":"Dina","non-dropping-particle":"","parse-names":false,"suffix":""},{"dropping-particle":"","family":"Engelhard","given":"Dan","non-dropping-particle":"","parse-names":false,"suffix":""},{"dropping-particle":"","family":"Berg","given":"Thomas","non-dropping-particle":"","parse-names":false,"suffix":""},{"dropping-particle":"","family":"Cornely","given":"Oliver","non-dropping-particle":"","parse-names":false,"suffix":""},{"dropping-particle":"","family":"Penack","given":"Olaf","non-dropping-particle":"","parse-names":false,"suffix":""},{"dropping-particle":"","family":"Boemmel","given":"Florian","non-dropping-particle":"van","parse-names":false,"suffix":""},{"dropping-particle":"","family":"Lilienfeld-Toal","given":"Marie","non-dropping-particle":"von","parse-names":false,"suffix":""},{"dropping-particle":"","family":"Blennow","given":"Ola","non-dropping-particle":"","parse-names":false,"suffix":""},{"dropping-particle":"","family":"Ljungman","given":"Per","non-dropping-particle":"","parse-names":false,"suffix":""},{"dropping-particle":"","family":"Bruggemann","given":"Roger","non-dropping-particle":"","parse-names":false,"suffix":""},{"dropping-particle":"","family":"Donnelly","given":"Peter","non-dropping-particle":"","parse-names":false,"suffix":""},{"dropping-particle":"","family":"Kullberg","given":"Bart Jan","non-dropping-particle":"","parse-names":false,"suffix":""},{"dropping-particle":"","family":"Melchers","given":"Willem","non-dropping-particle":"","parse-names":false,"suffix":""},{"dropping-particle":"","family":"Calandra","given":"Thierry","non-dropping-particle":"","parse-names":false,"suffix":""},{"dropping-particle":"","family":"Hirsch","given":"Hans","non-dropping-particle":"","parse-names":false,"suffix":""},{"dropping-particle":"","family":"Marchetti","given":"Oscar","non-dropping-particle":"","parse-names":false,"suffix":""},{"dropping-particle":"","family":"Orasch","given":"Christina","non-dropping-particle":"","parse-names":false,"suffix":""},{"dropping-particle":"","family":"Tissot","given":"Frederic","non-dropping-particle":"","parse-names":false,"suffix":""},{"dropping-particle":"","family":"Castagnola","given":"Elio","non-dropping-particle":"","parse-names":false,"suffix":""},{"dropping-particle":"","family":"Girmenia","given":"Corrado","non-dropping-particle":"","parse-names":false,"suffix":""},{"dropping-particle":"","family":"Mikulska","given":"Malgorzata","non-dropping-particle":"","parse-names":false,"suffix":""},{"dropping-particle":"","family":"Pagano","given":"Livio","non-dropping-particle":"","parse-names":false,"suffix":""},{"dropping-particle":"","family":"Viscoli","given":"Claudio","non-dropping-particle":"","parse-names":false,"suffix":""},{"dropping-particle":"","family":"La Camara","given":"Rafael","non-dropping-particle":"De","parse-names":false,"suffix":""},{"dropping-particle":"","family":"Duarte","given":"Rafael","non-dropping-particle":"","parse-names":false,"suffix":""},{"dropping-particle":"","family":"Munoz","given":"Patricia","non-dropping-particle":"","parse-names":false,"suffix":""},{"dropping-particle":"","family":"Drgona","given":"Lubos","non-dropping-particle":"","parse-names":false,"suffix":""},{"dropping-particle":"","family":"Hargreaves","given":"Ruth","non-dropping-particle":"","parse-names":false,"suffix":""},{"dropping-particle":"","family":"Hubacek","given":"Petr","non-dropping-particle":"","parse-names":false,"suffix":""},{"dropping-particle":"","family":"Kouba","given":"Michal","non-dropping-particle":"","parse-names":false,"suffix":""},{"dropping-particle":"","family":"Racil","given":"Zdenek","non-dropping-particle":"","parse-names":false,"suffix":""},{"dropping-particle":"","family":"Klyasova","given":"Galina","non-dropping-particle":"","parse-names":false,"suffix":""},{"dropping-particle":"","family":"Pettrikos","given":"George","non-dropping-particle":"","parse-names":false,"suffix":""},{"dropping-particle":"","family":"Roilides","given":"Emmanuel","non-dropping-particle":"","parse-names":false,"suffix":""},{"dropping-particle":"","family":"Skiada","given":"Anna","non-dropping-particle":"","parse-names":false,"suffix":""},{"dropping-particle":"","family":"Rizzi-Puechal","given":"Valérie","non-dropping-particle":"","parse-names":false,"suffix":""},{"dropping-particle":"","family":"Sinko","given":"Janos","non-dropping-particle":"","parse-names":false,"suffix":""},{"dropping-particle":"","family":"Slavin","given":"Monica","non-dropping-particle":"","parse-names":false,"suffix":""},{"dropping-particle":"","family":"Styczynski","given":"Jan","non-dropping-particle":"","parse-names":false,"suffix":""},{"dropping-particle":"","family":"Tweddle","given":"Lorraine","non-dropping-particle":"","parse-names":false,"suffix":""},{"dropping-particle":"","family":"Wood","given":"Craig","non-dropping-particle":"","parse-names":false,"suffix":""}],"container-title":"Journal of Antimicrobial Chemotherapy","id":"ITEM-1","issue":"9","issued":{"date-parts":[["2016","9","1"]]},"page":"1-8","publisher":"Oxford University Press","title":"ECIL guidelines for preventing Pneumocystis jirovecii pneumonia in patients with haematological malignancies and stem cell transplant recipients","type":"bill","volume":"71"},"uris":["http://www.mendeley.com/documents/?uuid=a0eb48bc-4417-4d24-8796-9587f2cfd3b7"]}],"mendeley":{"formattedCitation":"[89]","plainTextFormattedCitation":"[89]","previouslyFormattedCitation":"[89]"},"properties":{"noteIndex":0},"schema":"https://github.com/citation-style-language/schema/raw/master/csl-citation.json"}</w:instrText>
      </w:r>
      <w:r>
        <w:rPr>
          <w:i/>
          <w:iCs/>
          <w:u w:val="single"/>
        </w:rPr>
        <w:fldChar w:fldCharType="separate"/>
      </w:r>
      <w:r w:rsidRPr="00824BFE">
        <w:rPr>
          <w:iCs/>
          <w:noProof/>
        </w:rPr>
        <w:t>[89]</w:t>
      </w:r>
      <w:r>
        <w:rPr>
          <w:i/>
          <w:iCs/>
          <w:u w:val="single"/>
        </w:rPr>
        <w:fldChar w:fldCharType="end"/>
      </w:r>
    </w:p>
    <w:p w14:paraId="74F0D079" w14:textId="77777777" w:rsidR="00824BFE" w:rsidRPr="003722EE" w:rsidRDefault="00824BFE" w:rsidP="00824BFE">
      <w:pPr>
        <w:snapToGrid w:val="0"/>
        <w:ind w:right="51" w:firstLine="708"/>
        <w:contextualSpacing/>
      </w:pPr>
      <w:r w:rsidRPr="003722EE">
        <w:t>Профилактика пневмоцистной пневмонии является обязательной для:</w:t>
      </w:r>
    </w:p>
    <w:p w14:paraId="557AB95A" w14:textId="77777777" w:rsidR="00824BFE" w:rsidRPr="006F23E6" w:rsidRDefault="00824BFE" w:rsidP="00C5490F">
      <w:pPr>
        <w:pStyle w:val="afe"/>
        <w:widowControl w:val="0"/>
        <w:numPr>
          <w:ilvl w:val="0"/>
          <w:numId w:val="99"/>
        </w:numPr>
        <w:autoSpaceDE w:val="0"/>
        <w:autoSpaceDN w:val="0"/>
        <w:adjustRightInd w:val="0"/>
        <w:snapToGrid w:val="0"/>
        <w:ind w:right="51"/>
        <w:rPr>
          <w:szCs w:val="24"/>
        </w:rPr>
      </w:pPr>
      <w:r w:rsidRPr="006F23E6">
        <w:rPr>
          <w:szCs w:val="24"/>
        </w:rPr>
        <w:t>пациентов с острыми лимфобластными лейкозами (ОЛЛ);</w:t>
      </w:r>
    </w:p>
    <w:p w14:paraId="60259439" w14:textId="77777777" w:rsidR="00824BFE" w:rsidRPr="006F23E6" w:rsidRDefault="00824BFE" w:rsidP="00C5490F">
      <w:pPr>
        <w:pStyle w:val="afe"/>
        <w:widowControl w:val="0"/>
        <w:numPr>
          <w:ilvl w:val="0"/>
          <w:numId w:val="99"/>
        </w:numPr>
        <w:autoSpaceDE w:val="0"/>
        <w:autoSpaceDN w:val="0"/>
        <w:adjustRightInd w:val="0"/>
        <w:ind w:right="49"/>
        <w:rPr>
          <w:szCs w:val="24"/>
        </w:rPr>
      </w:pPr>
      <w:r w:rsidRPr="006F23E6">
        <w:rPr>
          <w:szCs w:val="24"/>
        </w:rPr>
        <w:t>реципиентов аллогенной ТГСК;</w:t>
      </w:r>
    </w:p>
    <w:p w14:paraId="1CB44971" w14:textId="77777777" w:rsidR="00824BFE" w:rsidRPr="006F23E6" w:rsidRDefault="00824BFE" w:rsidP="00C5490F">
      <w:pPr>
        <w:pStyle w:val="afe"/>
        <w:widowControl w:val="0"/>
        <w:numPr>
          <w:ilvl w:val="0"/>
          <w:numId w:val="99"/>
        </w:numPr>
        <w:autoSpaceDE w:val="0"/>
        <w:autoSpaceDN w:val="0"/>
        <w:adjustRightInd w:val="0"/>
        <w:ind w:right="49"/>
        <w:rPr>
          <w:szCs w:val="24"/>
        </w:rPr>
      </w:pPr>
      <w:r w:rsidRPr="006F23E6">
        <w:rPr>
          <w:szCs w:val="24"/>
        </w:rPr>
        <w:lastRenderedPageBreak/>
        <w:t>при терапиии алемтузумабом;</w:t>
      </w:r>
    </w:p>
    <w:p w14:paraId="4B723BC2" w14:textId="77777777" w:rsidR="00824BFE" w:rsidRPr="006F23E6" w:rsidRDefault="00824BFE" w:rsidP="00C5490F">
      <w:pPr>
        <w:pStyle w:val="afe"/>
        <w:widowControl w:val="0"/>
        <w:numPr>
          <w:ilvl w:val="0"/>
          <w:numId w:val="99"/>
        </w:numPr>
        <w:autoSpaceDE w:val="0"/>
        <w:autoSpaceDN w:val="0"/>
        <w:adjustRightInd w:val="0"/>
        <w:ind w:right="49"/>
        <w:rPr>
          <w:szCs w:val="24"/>
        </w:rPr>
      </w:pPr>
      <w:r w:rsidRPr="006F23E6">
        <w:rPr>
          <w:szCs w:val="24"/>
        </w:rPr>
        <w:t>при использовании программ с включением флударабина, циклофосфамида, ритуксимаба;</w:t>
      </w:r>
    </w:p>
    <w:p w14:paraId="786B54CB" w14:textId="77777777" w:rsidR="00824BFE" w:rsidRPr="006F23E6" w:rsidRDefault="00824BFE" w:rsidP="00C5490F">
      <w:pPr>
        <w:pStyle w:val="afe"/>
        <w:widowControl w:val="0"/>
        <w:numPr>
          <w:ilvl w:val="0"/>
          <w:numId w:val="99"/>
        </w:numPr>
        <w:autoSpaceDE w:val="0"/>
        <w:autoSpaceDN w:val="0"/>
        <w:adjustRightInd w:val="0"/>
        <w:ind w:right="51"/>
        <w:rPr>
          <w:szCs w:val="24"/>
        </w:rPr>
      </w:pPr>
      <w:r w:rsidRPr="006F23E6">
        <w:rPr>
          <w:szCs w:val="24"/>
        </w:rPr>
        <w:t>при лечении глюкокортикостероидными препаратами.</w:t>
      </w:r>
    </w:p>
    <w:p w14:paraId="48A0EF59" w14:textId="77777777" w:rsidR="00824BFE" w:rsidRPr="003722EE" w:rsidRDefault="00824BFE" w:rsidP="00824BFE">
      <w:pPr>
        <w:ind w:right="51" w:firstLine="708"/>
        <w:contextualSpacing/>
      </w:pPr>
      <w:r w:rsidRPr="003722EE">
        <w:t>Препарат для профилактики назначают больным ОЛЛ с 14-го дня полихимиотерапии (ПХТ) и проводят весь период лечения, включая этап поддерживания; реципиентам аллогенных ТГСК – от дня  констатации приживления костного мозга в течение 6 мес и более, включая весь период в период иммуносупрессивной терапии до повышения уровня CD4+ более 200 кл/мм</w:t>
      </w:r>
      <w:r w:rsidRPr="003722EE">
        <w:rPr>
          <w:vertAlign w:val="superscript"/>
        </w:rPr>
        <w:t>3</w:t>
      </w:r>
      <w:r w:rsidRPr="003722EE">
        <w:t xml:space="preserve">. Длительность профилактики при использовании препаратов алемтузумаб, флударабин, циклофосфамид, ритуксимаб, глюкокортикостероидов составляет от 6 мес и более. </w:t>
      </w:r>
    </w:p>
    <w:p w14:paraId="610B100F" w14:textId="77777777" w:rsidR="00824BFE" w:rsidRPr="003722EE" w:rsidRDefault="00824BFE" w:rsidP="00824BFE">
      <w:pPr>
        <w:ind w:right="51" w:firstLine="708"/>
        <w:contextualSpacing/>
      </w:pPr>
      <w:r w:rsidRPr="003722EE">
        <w:t xml:space="preserve">Профилактика пневмоцистной пневмонии также рекомендована: </w:t>
      </w:r>
    </w:p>
    <w:p w14:paraId="0073EA6B" w14:textId="77777777" w:rsidR="00824BFE" w:rsidRPr="003722EE" w:rsidRDefault="00824BFE" w:rsidP="00C5490F">
      <w:pPr>
        <w:pStyle w:val="afe"/>
        <w:widowControl w:val="0"/>
        <w:numPr>
          <w:ilvl w:val="0"/>
          <w:numId w:val="99"/>
        </w:numPr>
        <w:autoSpaceDE w:val="0"/>
        <w:autoSpaceDN w:val="0"/>
        <w:adjustRightInd w:val="0"/>
        <w:snapToGrid w:val="0"/>
        <w:ind w:right="51"/>
        <w:rPr>
          <w:szCs w:val="24"/>
        </w:rPr>
      </w:pPr>
      <w:r w:rsidRPr="003722EE">
        <w:rPr>
          <w:szCs w:val="24"/>
        </w:rPr>
        <w:t xml:space="preserve">пациентам с лимфопролиферативными заболеваниями при лечении курсами ПХТ, включающими глюкокортикостероидные препараты (в том числе, </w:t>
      </w:r>
      <w:r w:rsidRPr="006F23E6">
        <w:rPr>
          <w:szCs w:val="24"/>
        </w:rPr>
        <w:t>R</w:t>
      </w:r>
      <w:r w:rsidRPr="003722EE">
        <w:rPr>
          <w:szCs w:val="24"/>
        </w:rPr>
        <w:t>-</w:t>
      </w:r>
      <w:r w:rsidRPr="006F23E6">
        <w:rPr>
          <w:szCs w:val="24"/>
        </w:rPr>
        <w:t>CHOP</w:t>
      </w:r>
      <w:r w:rsidRPr="003722EE">
        <w:rPr>
          <w:szCs w:val="24"/>
        </w:rPr>
        <w:t xml:space="preserve"> или </w:t>
      </w:r>
      <w:r w:rsidRPr="006F23E6">
        <w:rPr>
          <w:szCs w:val="24"/>
        </w:rPr>
        <w:t>BEACOPP</w:t>
      </w:r>
      <w:r w:rsidRPr="003722EE">
        <w:rPr>
          <w:szCs w:val="24"/>
        </w:rPr>
        <w:t>-14, ВЕАСОРР</w:t>
      </w:r>
      <w:r w:rsidRPr="006F23E6">
        <w:rPr>
          <w:szCs w:val="24"/>
        </w:rPr>
        <w:t>esc</w:t>
      </w:r>
      <w:r w:rsidRPr="003722EE">
        <w:rPr>
          <w:szCs w:val="24"/>
        </w:rPr>
        <w:t xml:space="preserve"> и др.);</w:t>
      </w:r>
    </w:p>
    <w:p w14:paraId="79F4AB9D" w14:textId="77777777" w:rsidR="00824BFE" w:rsidRPr="003722EE" w:rsidRDefault="00824BFE" w:rsidP="00C5490F">
      <w:pPr>
        <w:pStyle w:val="afe"/>
        <w:widowControl w:val="0"/>
        <w:numPr>
          <w:ilvl w:val="0"/>
          <w:numId w:val="99"/>
        </w:numPr>
        <w:autoSpaceDE w:val="0"/>
        <w:autoSpaceDN w:val="0"/>
        <w:adjustRightInd w:val="0"/>
        <w:snapToGrid w:val="0"/>
        <w:ind w:right="51"/>
        <w:rPr>
          <w:szCs w:val="24"/>
        </w:rPr>
      </w:pPr>
      <w:r w:rsidRPr="003722EE">
        <w:rPr>
          <w:szCs w:val="24"/>
        </w:rPr>
        <w:t>при лечении лимфопролиферативных заболеваний нуклеозидными препаратами (флударабин, кладрибин);</w:t>
      </w:r>
    </w:p>
    <w:p w14:paraId="3A688E56" w14:textId="77777777" w:rsidR="00824BFE" w:rsidRPr="003722EE" w:rsidRDefault="00824BFE" w:rsidP="00C5490F">
      <w:pPr>
        <w:pStyle w:val="afe"/>
        <w:widowControl w:val="0"/>
        <w:numPr>
          <w:ilvl w:val="0"/>
          <w:numId w:val="99"/>
        </w:numPr>
        <w:autoSpaceDE w:val="0"/>
        <w:autoSpaceDN w:val="0"/>
        <w:adjustRightInd w:val="0"/>
        <w:snapToGrid w:val="0"/>
        <w:ind w:right="51"/>
        <w:rPr>
          <w:szCs w:val="24"/>
        </w:rPr>
      </w:pPr>
      <w:r w:rsidRPr="003722EE">
        <w:rPr>
          <w:szCs w:val="24"/>
        </w:rPr>
        <w:t xml:space="preserve"> при применении имуунодепрессантов (например, микофенолат мофетил);</w:t>
      </w:r>
    </w:p>
    <w:p w14:paraId="582958A0" w14:textId="77777777" w:rsidR="00824BFE" w:rsidRPr="003722EE" w:rsidRDefault="00824BFE" w:rsidP="00C5490F">
      <w:pPr>
        <w:pStyle w:val="afe"/>
        <w:widowControl w:val="0"/>
        <w:numPr>
          <w:ilvl w:val="0"/>
          <w:numId w:val="99"/>
        </w:numPr>
        <w:autoSpaceDE w:val="0"/>
        <w:autoSpaceDN w:val="0"/>
        <w:adjustRightInd w:val="0"/>
        <w:snapToGrid w:val="0"/>
        <w:ind w:right="51"/>
        <w:rPr>
          <w:szCs w:val="24"/>
        </w:rPr>
      </w:pPr>
      <w:r w:rsidRPr="003722EE">
        <w:rPr>
          <w:szCs w:val="24"/>
        </w:rPr>
        <w:t>при проведении лучевой терапии опухоли центральной нервной системы (ЦНС), или метастазах в ЦНС, с использованием высоких доз кортикостероидов.</w:t>
      </w:r>
    </w:p>
    <w:p w14:paraId="4539D4BB" w14:textId="77777777" w:rsidR="00824BFE" w:rsidRPr="003722EE" w:rsidRDefault="00824BFE" w:rsidP="00824BFE">
      <w:pPr>
        <w:ind w:right="49" w:firstLine="708"/>
        <w:contextualSpacing/>
        <w:rPr>
          <w:i/>
          <w:iCs/>
        </w:rPr>
      </w:pPr>
      <w:r w:rsidRPr="003722EE">
        <w:t>Препаратом выбора для профилактики пневмоцистной пневмонии является триметоприм/сульфаметоксазол, назначают по 480 мг ежедневно, альтернативный - пентамидин, применение в дозе 300 мг в виде аэрозоля через респираторный ингалятор или внутривенно каждые 3-4 недели.</w:t>
      </w:r>
    </w:p>
    <w:p w14:paraId="56A2E545" w14:textId="77777777" w:rsidR="00824BFE" w:rsidRPr="003722EE" w:rsidRDefault="00824BFE" w:rsidP="00824BFE">
      <w:pPr>
        <w:ind w:right="49" w:firstLine="708"/>
        <w:contextualSpacing/>
      </w:pPr>
      <w:r w:rsidRPr="003722EE">
        <w:t xml:space="preserve">Использование триметоприма/сульфаметоксазола ежедневно одновременно предупреждает инфекции, вызываемые </w:t>
      </w:r>
      <w:r w:rsidRPr="003722EE">
        <w:rPr>
          <w:i/>
          <w:iCs/>
        </w:rPr>
        <w:t>Toxoplasma gondii, Listeria monocytogenes, Nocardia asteroides.</w:t>
      </w:r>
    </w:p>
    <w:p w14:paraId="42427204" w14:textId="77777777" w:rsidR="00824BFE" w:rsidRPr="003722EE" w:rsidRDefault="00824BFE" w:rsidP="00824BFE">
      <w:pPr>
        <w:ind w:right="49" w:firstLine="708"/>
        <w:contextualSpacing/>
      </w:pPr>
      <w:r w:rsidRPr="003722EE">
        <w:t xml:space="preserve">Пациенты, инфицированные </w:t>
      </w:r>
      <w:r w:rsidRPr="003722EE">
        <w:rPr>
          <w:i/>
          <w:iCs/>
        </w:rPr>
        <w:t>Pneumocystis jirovecii,</w:t>
      </w:r>
      <w:r w:rsidRPr="003722EE">
        <w:t xml:space="preserve"> не должны находиться в одной палате с другими иммунокомпрометированными пациентами.</w:t>
      </w:r>
    </w:p>
    <w:p w14:paraId="0A1CD727" w14:textId="77777777" w:rsidR="00824BFE" w:rsidRDefault="00824BFE" w:rsidP="00824BFE">
      <w:pPr>
        <w:ind w:right="49"/>
        <w:rPr>
          <w:i/>
          <w:iCs/>
          <w:u w:val="single"/>
        </w:rPr>
      </w:pPr>
    </w:p>
    <w:p w14:paraId="0F76A287" w14:textId="2366ACDF" w:rsidR="00824BFE" w:rsidRPr="001A25D9" w:rsidRDefault="00824BFE" w:rsidP="00824BFE">
      <w:pPr>
        <w:ind w:right="49"/>
        <w:rPr>
          <w:i/>
          <w:iCs/>
          <w:u w:val="single"/>
        </w:rPr>
      </w:pPr>
      <w:r w:rsidRPr="00643B16">
        <w:rPr>
          <w:i/>
          <w:iCs/>
          <w:u w:val="single"/>
        </w:rPr>
        <w:t>Профилактика инфекций, вызванных грибами</w:t>
      </w:r>
      <w:r>
        <w:rPr>
          <w:i/>
          <w:iCs/>
          <w:u w:val="single"/>
        </w:rPr>
        <w:t xml:space="preserve"> </w:t>
      </w:r>
      <w:r>
        <w:rPr>
          <w:i/>
          <w:iCs/>
          <w:u w:val="single"/>
        </w:rPr>
        <w:fldChar w:fldCharType="begin" w:fldLock="1"/>
      </w:r>
      <w:r w:rsidR="00531C4D">
        <w:rPr>
          <w:i/>
          <w:iCs/>
          <w:u w:val="single"/>
        </w:rPr>
        <w:instrText>ADDIN CSL_CITATION {"citationItems":[{"id":"ITEM-1","itemData":{"DOI":"10.1038/bmt.2010.175","ISSN":"14765365","abstract":"In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Transplantation","id":"ITEM-1","issue":"5","issued":{"date-parts":[["2011"]]},"page":"709-718","publisher":"Nature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mendeley":{"formattedCitation":"[76]","plainTextFormattedCitation":"[76]","previouslyFormattedCitation":"[76]"},"properties":{"noteIndex":0},"schema":"https://github.com/citation-style-language/schema/raw/master/csl-citation.json"}</w:instrText>
      </w:r>
      <w:r>
        <w:rPr>
          <w:i/>
          <w:iCs/>
          <w:u w:val="single"/>
        </w:rPr>
        <w:fldChar w:fldCharType="separate"/>
      </w:r>
      <w:r w:rsidRPr="00824BFE">
        <w:rPr>
          <w:iCs/>
          <w:noProof/>
        </w:rPr>
        <w:t>[76]</w:t>
      </w:r>
      <w:r>
        <w:rPr>
          <w:i/>
          <w:iCs/>
          <w:u w:val="single"/>
        </w:rPr>
        <w:fldChar w:fldCharType="end"/>
      </w:r>
    </w:p>
    <w:p w14:paraId="5545C0BA" w14:textId="77777777" w:rsidR="00824BFE" w:rsidRPr="003722EE" w:rsidRDefault="00824BFE" w:rsidP="00824BFE">
      <w:pPr>
        <w:ind w:right="49" w:firstLine="709"/>
        <w:contextualSpacing/>
      </w:pPr>
      <w:r w:rsidRPr="003722EE">
        <w:t xml:space="preserve">Цель профилактического применения противогрибковых препаратов — предупреждение развития инвазивных микозов в группах высокого риска их возникновения. </w:t>
      </w:r>
    </w:p>
    <w:p w14:paraId="6FFF756F" w14:textId="77777777" w:rsidR="00824BFE" w:rsidRPr="003722EE" w:rsidRDefault="00824BFE" w:rsidP="00824BFE">
      <w:pPr>
        <w:ind w:right="49" w:firstLine="709"/>
        <w:contextualSpacing/>
      </w:pPr>
      <w:r w:rsidRPr="003722EE">
        <w:t xml:space="preserve">Различают первичную и вторичную </w:t>
      </w:r>
      <w:r w:rsidRPr="003722EE">
        <w:rPr>
          <w:bCs/>
        </w:rPr>
        <w:t xml:space="preserve">противогрибковую </w:t>
      </w:r>
      <w:r w:rsidRPr="003722EE">
        <w:t>профилактику.</w:t>
      </w:r>
    </w:p>
    <w:p w14:paraId="364929AC" w14:textId="77777777" w:rsidR="00824BFE" w:rsidRDefault="00824BFE" w:rsidP="00824BFE">
      <w:pPr>
        <w:ind w:right="51" w:firstLine="708"/>
        <w:contextualSpacing/>
        <w:rPr>
          <w:b/>
          <w:bCs/>
          <w:u w:val="single"/>
        </w:rPr>
      </w:pPr>
    </w:p>
    <w:p w14:paraId="2FD07930" w14:textId="77777777" w:rsidR="00824BFE" w:rsidRPr="00643B16" w:rsidRDefault="00824BFE" w:rsidP="00824BFE">
      <w:pPr>
        <w:ind w:right="51" w:firstLine="708"/>
        <w:contextualSpacing/>
        <w:rPr>
          <w:b/>
          <w:bCs/>
        </w:rPr>
      </w:pPr>
      <w:r w:rsidRPr="00643B16">
        <w:rPr>
          <w:b/>
          <w:bCs/>
        </w:rPr>
        <w:t xml:space="preserve">Первичная противогрибковая профилактика </w:t>
      </w:r>
    </w:p>
    <w:p w14:paraId="6BC5E7C6" w14:textId="77777777" w:rsidR="00824BFE" w:rsidRPr="003722EE" w:rsidRDefault="00824BFE" w:rsidP="00824BFE">
      <w:pPr>
        <w:ind w:right="51" w:firstLine="709"/>
        <w:contextualSpacing/>
        <w:rPr>
          <w:bCs/>
        </w:rPr>
      </w:pPr>
      <w:r w:rsidRPr="003722EE">
        <w:rPr>
          <w:bCs/>
        </w:rPr>
        <w:t>Первичная противогрибковая профилактика показана:</w:t>
      </w:r>
    </w:p>
    <w:p w14:paraId="22597FC2" w14:textId="77777777" w:rsidR="00824BFE" w:rsidRPr="003722EE" w:rsidRDefault="00824BFE" w:rsidP="00C5490F">
      <w:pPr>
        <w:pStyle w:val="afe"/>
        <w:widowControl w:val="0"/>
        <w:numPr>
          <w:ilvl w:val="0"/>
          <w:numId w:val="99"/>
        </w:numPr>
        <w:autoSpaceDE w:val="0"/>
        <w:autoSpaceDN w:val="0"/>
        <w:adjustRightInd w:val="0"/>
        <w:snapToGrid w:val="0"/>
        <w:ind w:right="51"/>
        <w:rPr>
          <w:szCs w:val="24"/>
        </w:rPr>
      </w:pPr>
      <w:r w:rsidRPr="003722EE">
        <w:rPr>
          <w:szCs w:val="24"/>
        </w:rPr>
        <w:t>реципиентам аллогенной ТГСК;</w:t>
      </w:r>
    </w:p>
    <w:p w14:paraId="5E86ED72" w14:textId="77777777" w:rsidR="00824BFE" w:rsidRPr="00643B16" w:rsidRDefault="00824BFE" w:rsidP="00C5490F">
      <w:pPr>
        <w:pStyle w:val="afe"/>
        <w:widowControl w:val="0"/>
        <w:numPr>
          <w:ilvl w:val="0"/>
          <w:numId w:val="99"/>
        </w:numPr>
        <w:autoSpaceDE w:val="0"/>
        <w:autoSpaceDN w:val="0"/>
        <w:adjustRightInd w:val="0"/>
        <w:snapToGrid w:val="0"/>
        <w:ind w:right="51"/>
        <w:rPr>
          <w:szCs w:val="24"/>
        </w:rPr>
      </w:pPr>
      <w:r w:rsidRPr="003722EE">
        <w:rPr>
          <w:szCs w:val="24"/>
        </w:rPr>
        <w:t>пациентам острым миелобластным лейкозом на этапах индукции и консолидации проводят при ожидаемой длительной нейтропении;</w:t>
      </w:r>
    </w:p>
    <w:p w14:paraId="7950228D" w14:textId="77777777" w:rsidR="00824BFE" w:rsidRPr="003722EE" w:rsidRDefault="00824BFE" w:rsidP="00C5490F">
      <w:pPr>
        <w:pStyle w:val="afe"/>
        <w:widowControl w:val="0"/>
        <w:numPr>
          <w:ilvl w:val="0"/>
          <w:numId w:val="99"/>
        </w:numPr>
        <w:autoSpaceDE w:val="0"/>
        <w:autoSpaceDN w:val="0"/>
        <w:adjustRightInd w:val="0"/>
        <w:snapToGrid w:val="0"/>
        <w:ind w:right="51"/>
        <w:rPr>
          <w:szCs w:val="24"/>
        </w:rPr>
      </w:pPr>
      <w:r w:rsidRPr="003722EE">
        <w:rPr>
          <w:szCs w:val="24"/>
        </w:rPr>
        <w:t>пациентам с апластической анемией (во время введения антитимоцитарного глобулина (</w:t>
      </w:r>
      <w:r w:rsidRPr="00643B16">
        <w:rPr>
          <w:szCs w:val="24"/>
        </w:rPr>
        <w:t>A</w:t>
      </w:r>
      <w:r w:rsidRPr="003722EE">
        <w:rPr>
          <w:szCs w:val="24"/>
        </w:rPr>
        <w:t>ТГ).</w:t>
      </w:r>
    </w:p>
    <w:p w14:paraId="124A69E5" w14:textId="77777777" w:rsidR="00824BFE" w:rsidRPr="003722EE" w:rsidRDefault="00824BFE" w:rsidP="00824BFE">
      <w:pPr>
        <w:ind w:right="51" w:firstLine="709"/>
        <w:contextualSpacing/>
        <w:rPr>
          <w:b/>
          <w:bCs/>
          <w:i/>
          <w:iCs/>
        </w:rPr>
      </w:pPr>
      <w:r w:rsidRPr="003722EE">
        <w:rPr>
          <w:bCs/>
          <w:iCs/>
        </w:rPr>
        <w:t xml:space="preserve">Реципиентам аллогенной ТГСК в период гранулоцитопении и пребывания в палате с фильтрами высокой степени очистки воздуха препаратом выбора для профилактики является </w:t>
      </w:r>
      <w:r w:rsidRPr="003722EE">
        <w:t>флуконазол, (400 мг в сутки, внутривенно или внутрь), альтернативные препараты - микафунгин 50</w:t>
      </w:r>
      <w:r>
        <w:t xml:space="preserve"> </w:t>
      </w:r>
      <w:r w:rsidRPr="003722EE">
        <w:t>мг внутривенно</w:t>
      </w:r>
      <w:r w:rsidRPr="003722EE">
        <w:rPr>
          <w:b/>
          <w:bCs/>
          <w:i/>
          <w:iCs/>
        </w:rPr>
        <w:t>,</w:t>
      </w:r>
      <w:r w:rsidRPr="003722EE">
        <w:rPr>
          <w:bCs/>
          <w:iCs/>
        </w:rPr>
        <w:t xml:space="preserve"> в</w:t>
      </w:r>
      <w:r w:rsidRPr="003722EE">
        <w:t>ориконазол (по 200</w:t>
      </w:r>
      <w:r>
        <w:t xml:space="preserve"> </w:t>
      </w:r>
      <w:r w:rsidRPr="003722EE">
        <w:t>мг 2 раза в сутки внутрь или внутривенно).</w:t>
      </w:r>
    </w:p>
    <w:p w14:paraId="4BCD349B" w14:textId="77777777" w:rsidR="00824BFE" w:rsidRPr="003722EE" w:rsidRDefault="00824BFE" w:rsidP="00824BFE">
      <w:pPr>
        <w:ind w:right="51" w:firstLine="709"/>
        <w:contextualSpacing/>
        <w:rPr>
          <w:bCs/>
          <w:iCs/>
        </w:rPr>
      </w:pPr>
      <w:r w:rsidRPr="003722EE">
        <w:rPr>
          <w:bCs/>
          <w:iCs/>
        </w:rPr>
        <w:t xml:space="preserve">Реципиентам аллогенной ТГСК в период гранулоцитопении, если они пребывают в палате без фильтров высокой степени очистки воздуха, </w:t>
      </w:r>
      <w:r w:rsidRPr="003722EE">
        <w:t xml:space="preserve">при проведении 2й и последующих трансплантаций </w:t>
      </w:r>
      <w:r w:rsidRPr="003722EE">
        <w:rPr>
          <w:bCs/>
          <w:iCs/>
        </w:rPr>
        <w:t>назначают антимикотики, активные против плесневых грибов:</w:t>
      </w:r>
    </w:p>
    <w:p w14:paraId="1A6803EA" w14:textId="77777777" w:rsidR="00824BFE" w:rsidRPr="00643B16" w:rsidRDefault="00824BFE" w:rsidP="00C5490F">
      <w:pPr>
        <w:pStyle w:val="afe"/>
        <w:widowControl w:val="0"/>
        <w:numPr>
          <w:ilvl w:val="0"/>
          <w:numId w:val="99"/>
        </w:numPr>
        <w:autoSpaceDE w:val="0"/>
        <w:autoSpaceDN w:val="0"/>
        <w:adjustRightInd w:val="0"/>
        <w:snapToGrid w:val="0"/>
        <w:ind w:right="51"/>
        <w:rPr>
          <w:szCs w:val="24"/>
        </w:rPr>
      </w:pPr>
      <w:r w:rsidRPr="00643B16">
        <w:rPr>
          <w:szCs w:val="24"/>
        </w:rPr>
        <w:t>микафунгин (по 50</w:t>
      </w:r>
      <w:r>
        <w:rPr>
          <w:szCs w:val="24"/>
        </w:rPr>
        <w:t xml:space="preserve"> </w:t>
      </w:r>
      <w:r w:rsidRPr="00643B16">
        <w:rPr>
          <w:szCs w:val="24"/>
        </w:rPr>
        <w:t>мг внутривенно)</w:t>
      </w:r>
      <w:r w:rsidRPr="003722EE">
        <w:rPr>
          <w:szCs w:val="24"/>
        </w:rPr>
        <w:t>;</w:t>
      </w:r>
    </w:p>
    <w:p w14:paraId="236AE72D" w14:textId="77777777" w:rsidR="00824BFE" w:rsidRPr="003722EE" w:rsidRDefault="00824BFE" w:rsidP="00C5490F">
      <w:pPr>
        <w:pStyle w:val="afe"/>
        <w:widowControl w:val="0"/>
        <w:numPr>
          <w:ilvl w:val="0"/>
          <w:numId w:val="99"/>
        </w:numPr>
        <w:autoSpaceDE w:val="0"/>
        <w:autoSpaceDN w:val="0"/>
        <w:adjustRightInd w:val="0"/>
        <w:snapToGrid w:val="0"/>
        <w:ind w:right="51"/>
        <w:rPr>
          <w:szCs w:val="24"/>
        </w:rPr>
      </w:pPr>
      <w:r w:rsidRPr="003722EE">
        <w:rPr>
          <w:szCs w:val="24"/>
        </w:rPr>
        <w:t>вориконазол (по 200</w:t>
      </w:r>
      <w:r w:rsidRPr="00643B16">
        <w:rPr>
          <w:szCs w:val="24"/>
        </w:rPr>
        <w:t> </w:t>
      </w:r>
      <w:r w:rsidRPr="003722EE">
        <w:rPr>
          <w:szCs w:val="24"/>
        </w:rPr>
        <w:t>мг 2</w:t>
      </w:r>
      <w:r w:rsidRPr="00643B16">
        <w:rPr>
          <w:szCs w:val="24"/>
        </w:rPr>
        <w:t> </w:t>
      </w:r>
      <w:r w:rsidRPr="003722EE">
        <w:rPr>
          <w:szCs w:val="24"/>
        </w:rPr>
        <w:t>раза в сутки внутрь или внутривенно);</w:t>
      </w:r>
    </w:p>
    <w:p w14:paraId="5733618B" w14:textId="77777777" w:rsidR="00824BFE" w:rsidRPr="003722EE" w:rsidRDefault="00824BFE" w:rsidP="00C5490F">
      <w:pPr>
        <w:pStyle w:val="afe"/>
        <w:widowControl w:val="0"/>
        <w:numPr>
          <w:ilvl w:val="0"/>
          <w:numId w:val="99"/>
        </w:numPr>
        <w:autoSpaceDE w:val="0"/>
        <w:autoSpaceDN w:val="0"/>
        <w:adjustRightInd w:val="0"/>
        <w:snapToGrid w:val="0"/>
        <w:ind w:right="51"/>
        <w:rPr>
          <w:szCs w:val="24"/>
        </w:rPr>
      </w:pPr>
      <w:r w:rsidRPr="003722EE">
        <w:rPr>
          <w:szCs w:val="24"/>
        </w:rPr>
        <w:t>позаконазол  в суспензии;</w:t>
      </w:r>
      <w:r>
        <w:rPr>
          <w:szCs w:val="24"/>
        </w:rPr>
        <w:t xml:space="preserve"> </w:t>
      </w:r>
      <w:r w:rsidRPr="003722EE">
        <w:rPr>
          <w:szCs w:val="24"/>
        </w:rPr>
        <w:t>по 200</w:t>
      </w:r>
      <w:r w:rsidRPr="00643B16">
        <w:rPr>
          <w:szCs w:val="24"/>
        </w:rPr>
        <w:t> </w:t>
      </w:r>
      <w:r w:rsidRPr="003722EE">
        <w:rPr>
          <w:szCs w:val="24"/>
        </w:rPr>
        <w:t>мг 3</w:t>
      </w:r>
      <w:r w:rsidRPr="00643B16">
        <w:rPr>
          <w:szCs w:val="24"/>
        </w:rPr>
        <w:t> </w:t>
      </w:r>
      <w:r w:rsidRPr="003722EE">
        <w:rPr>
          <w:szCs w:val="24"/>
        </w:rPr>
        <w:t>раза в сутки внутрь);</w:t>
      </w:r>
    </w:p>
    <w:p w14:paraId="6931F42D" w14:textId="77777777" w:rsidR="00824BFE" w:rsidRPr="003722EE" w:rsidRDefault="00824BFE" w:rsidP="00C5490F">
      <w:pPr>
        <w:pStyle w:val="afe"/>
        <w:widowControl w:val="0"/>
        <w:numPr>
          <w:ilvl w:val="0"/>
          <w:numId w:val="99"/>
        </w:numPr>
        <w:autoSpaceDE w:val="0"/>
        <w:autoSpaceDN w:val="0"/>
        <w:adjustRightInd w:val="0"/>
        <w:snapToGrid w:val="0"/>
        <w:ind w:right="51"/>
        <w:rPr>
          <w:szCs w:val="24"/>
        </w:rPr>
      </w:pPr>
      <w:r w:rsidRPr="003722EE">
        <w:rPr>
          <w:szCs w:val="24"/>
        </w:rPr>
        <w:t>позаконазол в таблетках (в 1 день по 300 мг 2 раза, далее по 300 мг 1 раз в сутки).</w:t>
      </w:r>
    </w:p>
    <w:p w14:paraId="3C7144A7" w14:textId="77777777" w:rsidR="00824BFE" w:rsidRPr="003722EE" w:rsidRDefault="00824BFE" w:rsidP="00824BFE">
      <w:pPr>
        <w:pStyle w:val="afe"/>
        <w:ind w:right="49"/>
        <w:rPr>
          <w:szCs w:val="24"/>
        </w:rPr>
      </w:pPr>
    </w:p>
    <w:p w14:paraId="6063A07E" w14:textId="77777777" w:rsidR="00824BFE" w:rsidRPr="003722EE" w:rsidRDefault="00824BFE" w:rsidP="00824BFE">
      <w:pPr>
        <w:pStyle w:val="afe"/>
        <w:ind w:right="49"/>
        <w:rPr>
          <w:szCs w:val="24"/>
        </w:rPr>
      </w:pPr>
      <w:r w:rsidRPr="003722EE">
        <w:rPr>
          <w:szCs w:val="24"/>
        </w:rPr>
        <w:t>Реципиентам, имевшим в анамнезе инвазивный аспергиллез назначают:</w:t>
      </w:r>
    </w:p>
    <w:p w14:paraId="6910FC34" w14:textId="77777777" w:rsidR="00824BFE" w:rsidRPr="003722EE" w:rsidRDefault="00824BFE" w:rsidP="00C5490F">
      <w:pPr>
        <w:pStyle w:val="afe"/>
        <w:widowControl w:val="0"/>
        <w:numPr>
          <w:ilvl w:val="0"/>
          <w:numId w:val="99"/>
        </w:numPr>
        <w:autoSpaceDE w:val="0"/>
        <w:autoSpaceDN w:val="0"/>
        <w:adjustRightInd w:val="0"/>
        <w:snapToGrid w:val="0"/>
        <w:ind w:right="51"/>
        <w:rPr>
          <w:szCs w:val="24"/>
        </w:rPr>
      </w:pPr>
      <w:r w:rsidRPr="003722EE">
        <w:rPr>
          <w:szCs w:val="24"/>
        </w:rPr>
        <w:t>вориконазол (по 200</w:t>
      </w:r>
      <w:r w:rsidRPr="00643B16">
        <w:rPr>
          <w:szCs w:val="24"/>
        </w:rPr>
        <w:t> </w:t>
      </w:r>
      <w:r w:rsidRPr="003722EE">
        <w:rPr>
          <w:szCs w:val="24"/>
        </w:rPr>
        <w:t>мг 2</w:t>
      </w:r>
      <w:r w:rsidRPr="00643B16">
        <w:rPr>
          <w:szCs w:val="24"/>
        </w:rPr>
        <w:t> </w:t>
      </w:r>
      <w:r w:rsidRPr="003722EE">
        <w:rPr>
          <w:szCs w:val="24"/>
        </w:rPr>
        <w:t>раза в сутки внутрь или внутривенно);</w:t>
      </w:r>
    </w:p>
    <w:p w14:paraId="4BA84F73" w14:textId="77777777" w:rsidR="00824BFE" w:rsidRPr="003722EE" w:rsidRDefault="00824BFE" w:rsidP="00C5490F">
      <w:pPr>
        <w:pStyle w:val="afe"/>
        <w:widowControl w:val="0"/>
        <w:numPr>
          <w:ilvl w:val="0"/>
          <w:numId w:val="99"/>
        </w:numPr>
        <w:autoSpaceDE w:val="0"/>
        <w:autoSpaceDN w:val="0"/>
        <w:adjustRightInd w:val="0"/>
        <w:snapToGrid w:val="0"/>
        <w:ind w:right="51"/>
        <w:rPr>
          <w:szCs w:val="24"/>
        </w:rPr>
      </w:pPr>
      <w:r w:rsidRPr="003722EE">
        <w:rPr>
          <w:szCs w:val="24"/>
        </w:rPr>
        <w:t>позаконазол (в суспензии по 200</w:t>
      </w:r>
      <w:r w:rsidRPr="00643B16">
        <w:rPr>
          <w:szCs w:val="24"/>
        </w:rPr>
        <w:t> </w:t>
      </w:r>
      <w:r w:rsidRPr="003722EE">
        <w:rPr>
          <w:szCs w:val="24"/>
        </w:rPr>
        <w:t>мг 3</w:t>
      </w:r>
      <w:r w:rsidRPr="00643B16">
        <w:rPr>
          <w:szCs w:val="24"/>
        </w:rPr>
        <w:t> </w:t>
      </w:r>
      <w:r w:rsidRPr="003722EE">
        <w:rPr>
          <w:szCs w:val="24"/>
        </w:rPr>
        <w:t>раза в сутки внутрь);</w:t>
      </w:r>
    </w:p>
    <w:p w14:paraId="12FCD296" w14:textId="77777777" w:rsidR="00824BFE" w:rsidRPr="003722EE" w:rsidRDefault="00824BFE" w:rsidP="00C5490F">
      <w:pPr>
        <w:pStyle w:val="afe"/>
        <w:widowControl w:val="0"/>
        <w:numPr>
          <w:ilvl w:val="0"/>
          <w:numId w:val="99"/>
        </w:numPr>
        <w:autoSpaceDE w:val="0"/>
        <w:autoSpaceDN w:val="0"/>
        <w:adjustRightInd w:val="0"/>
        <w:snapToGrid w:val="0"/>
        <w:ind w:right="51"/>
        <w:rPr>
          <w:szCs w:val="24"/>
        </w:rPr>
      </w:pPr>
      <w:r w:rsidRPr="003722EE">
        <w:rPr>
          <w:szCs w:val="24"/>
        </w:rPr>
        <w:t xml:space="preserve">позаконазол в таблетках (в 1 день по 300 мг 2 раза, далее по 300 мг 1 раз в сутки); </w:t>
      </w:r>
    </w:p>
    <w:p w14:paraId="082775E0" w14:textId="77777777" w:rsidR="00824BFE" w:rsidRPr="003722EE" w:rsidRDefault="00824BFE" w:rsidP="00C5490F">
      <w:pPr>
        <w:pStyle w:val="afe"/>
        <w:widowControl w:val="0"/>
        <w:numPr>
          <w:ilvl w:val="0"/>
          <w:numId w:val="99"/>
        </w:numPr>
        <w:autoSpaceDE w:val="0"/>
        <w:autoSpaceDN w:val="0"/>
        <w:adjustRightInd w:val="0"/>
        <w:snapToGrid w:val="0"/>
        <w:ind w:right="51"/>
        <w:rPr>
          <w:szCs w:val="24"/>
        </w:rPr>
      </w:pPr>
      <w:r w:rsidRPr="003722EE">
        <w:rPr>
          <w:szCs w:val="24"/>
        </w:rPr>
        <w:t>изавуконазол в таблетках или внутривенно (в 1-2 дни по 200 мг 3 раза, затем по 200 мг 1 раз).</w:t>
      </w:r>
    </w:p>
    <w:p w14:paraId="6CE1BA62" w14:textId="77777777" w:rsidR="00824BFE" w:rsidRPr="003722EE" w:rsidRDefault="00824BFE" w:rsidP="00824BFE">
      <w:pPr>
        <w:ind w:right="51" w:firstLine="709"/>
        <w:contextualSpacing/>
      </w:pPr>
    </w:p>
    <w:p w14:paraId="2AB841A8" w14:textId="77777777" w:rsidR="00824BFE" w:rsidRPr="003722EE" w:rsidRDefault="00824BFE" w:rsidP="00824BFE">
      <w:pPr>
        <w:ind w:right="51" w:firstLine="709"/>
        <w:contextualSpacing/>
      </w:pPr>
      <w:r w:rsidRPr="003722EE">
        <w:t>При реакции «трансплантат против хозяина» (РТПХ) и печеночной недостаточности препаратом выбора для профилактики является анидулафунгин (в 1й день 200 мг, далее 100 мг).</w:t>
      </w:r>
    </w:p>
    <w:p w14:paraId="79BB8DD7" w14:textId="77777777" w:rsidR="00824BFE" w:rsidRPr="003722EE" w:rsidRDefault="00824BFE" w:rsidP="00824BFE">
      <w:pPr>
        <w:ind w:right="49" w:firstLine="709"/>
        <w:contextualSpacing/>
        <w:rPr>
          <w:bCs/>
          <w:iCs/>
        </w:rPr>
      </w:pPr>
      <w:r w:rsidRPr="003722EE">
        <w:rPr>
          <w:bCs/>
          <w:iCs/>
        </w:rPr>
        <w:t xml:space="preserve">Реципиентам аутологичной ТГСК в период гранулоцитопении противогрибковую профилактику не проводят. </w:t>
      </w:r>
    </w:p>
    <w:p w14:paraId="2B3D59B5" w14:textId="77777777" w:rsidR="00824BFE" w:rsidRPr="003722EE" w:rsidRDefault="00824BFE" w:rsidP="00824BFE">
      <w:pPr>
        <w:ind w:right="49" w:firstLine="709"/>
        <w:contextualSpacing/>
      </w:pPr>
      <w:r w:rsidRPr="003722EE">
        <w:rPr>
          <w:bCs/>
          <w:iCs/>
        </w:rPr>
        <w:t xml:space="preserve">Больным острым миелоидным лейкозом противогрибковые препараты для профилактики назначают в индукции. Профилактика на этапе консолидации ПХТ также </w:t>
      </w:r>
      <w:r w:rsidRPr="003722EE">
        <w:rPr>
          <w:bCs/>
          <w:iCs/>
        </w:rPr>
        <w:lastRenderedPageBreak/>
        <w:t>может быть проведена при курсах ПХТ, приводящих к длительной нейтропении. П</w:t>
      </w:r>
      <w:r w:rsidRPr="003722EE">
        <w:rPr>
          <w:bCs/>
        </w:rPr>
        <w:t xml:space="preserve">репаратом выбора для профилактики является </w:t>
      </w:r>
      <w:r w:rsidRPr="003722EE">
        <w:t>позаконазол в суспензии (по 200 мг 3 раза после еды) или в таблетках (в 1 день по 300 мг х 2 раза, затем по 300 мг 1 раз, прием препарата не зависит от приема пищи).</w:t>
      </w:r>
    </w:p>
    <w:p w14:paraId="6BA73E1B" w14:textId="77777777" w:rsidR="00824BFE" w:rsidRPr="003722EE" w:rsidRDefault="00824BFE" w:rsidP="00824BFE">
      <w:pPr>
        <w:ind w:right="49" w:firstLine="709"/>
        <w:contextualSpacing/>
        <w:rPr>
          <w:bCs/>
          <w:iCs/>
        </w:rPr>
      </w:pPr>
      <w:r w:rsidRPr="003722EE">
        <w:rPr>
          <w:bCs/>
          <w:iCs/>
        </w:rPr>
        <w:t xml:space="preserve">Больным апластической анемией во время введения AТГ назначают для профилактики </w:t>
      </w:r>
      <w:r w:rsidRPr="003722EE">
        <w:t>флуконазол (400 мг в сутки, внутривенно или внутрь).</w:t>
      </w:r>
    </w:p>
    <w:p w14:paraId="0A068B59" w14:textId="77777777" w:rsidR="00824BFE" w:rsidRDefault="00824BFE" w:rsidP="00824BFE">
      <w:pPr>
        <w:tabs>
          <w:tab w:val="left" w:pos="0"/>
        </w:tabs>
        <w:ind w:right="49" w:firstLine="709"/>
        <w:contextualSpacing/>
      </w:pPr>
      <w:r w:rsidRPr="003722EE">
        <w:t>Антимикотики для профилактики назначают</w:t>
      </w:r>
      <w:r w:rsidRPr="003722EE">
        <w:rPr>
          <w:bCs/>
          <w:iCs/>
        </w:rPr>
        <w:t xml:space="preserve"> р</w:t>
      </w:r>
      <w:r w:rsidRPr="003722EE">
        <w:t>еципиентам аллогенной ТГСК  с 1-го дня предтрансплантационного кондиционирования</w:t>
      </w:r>
      <w:r w:rsidRPr="003722EE">
        <w:rPr>
          <w:b/>
          <w:bCs/>
          <w:i/>
          <w:iCs/>
        </w:rPr>
        <w:t xml:space="preserve">, </w:t>
      </w:r>
      <w:r w:rsidRPr="003722EE">
        <w:t xml:space="preserve">реципиентам с РТПХ и терапией преднизолона ≥ 1 мг/кг </w:t>
      </w:r>
      <w:r>
        <w:t>–</w:t>
      </w:r>
      <w:r w:rsidRPr="003722EE">
        <w:t xml:space="preserve"> с 1-го дня применения глюкокортикоидов, </w:t>
      </w:r>
      <w:r w:rsidRPr="003722EE">
        <w:rPr>
          <w:bCs/>
          <w:iCs/>
        </w:rPr>
        <w:t>пациента</w:t>
      </w:r>
      <w:r w:rsidRPr="003722EE">
        <w:t xml:space="preserve">м острым миелобластным лейкозом – с 1-го дня послекурсового периода, </w:t>
      </w:r>
      <w:r w:rsidRPr="003722EE">
        <w:rPr>
          <w:bCs/>
          <w:iCs/>
        </w:rPr>
        <w:t>пациента</w:t>
      </w:r>
      <w:r w:rsidRPr="003722EE">
        <w:t>м апластической анемией – за 2 дня до введения АТГ (в день назначения преднизолона).</w:t>
      </w:r>
    </w:p>
    <w:p w14:paraId="381C7A6C" w14:textId="77777777" w:rsidR="00824BFE" w:rsidRPr="00B77DCF" w:rsidRDefault="00824BFE" w:rsidP="00824BFE">
      <w:pPr>
        <w:tabs>
          <w:tab w:val="left" w:pos="0"/>
        </w:tabs>
        <w:ind w:right="49" w:firstLine="709"/>
        <w:contextualSpacing/>
        <w:rPr>
          <w:u w:val="single"/>
        </w:rPr>
      </w:pPr>
      <w:r w:rsidRPr="00B77DCF">
        <w:rPr>
          <w:iCs/>
          <w:u w:val="single"/>
        </w:rPr>
        <w:t xml:space="preserve">Критерии отмены профилактики противогрибковыми препаратами: </w:t>
      </w:r>
    </w:p>
    <w:p w14:paraId="379157B4" w14:textId="77777777" w:rsidR="00824BFE" w:rsidRPr="00643B16" w:rsidRDefault="00824BFE" w:rsidP="00C5490F">
      <w:pPr>
        <w:pStyle w:val="afe"/>
        <w:widowControl w:val="0"/>
        <w:numPr>
          <w:ilvl w:val="0"/>
          <w:numId w:val="99"/>
        </w:numPr>
        <w:autoSpaceDE w:val="0"/>
        <w:autoSpaceDN w:val="0"/>
        <w:adjustRightInd w:val="0"/>
        <w:snapToGrid w:val="0"/>
        <w:ind w:right="51"/>
        <w:rPr>
          <w:szCs w:val="24"/>
        </w:rPr>
      </w:pPr>
      <w:r w:rsidRPr="00643B16">
        <w:rPr>
          <w:szCs w:val="24"/>
        </w:rPr>
        <w:t>у реципиентов аллогенных ТГСК без РТПХ – восстановление гранулоцитов (&gt;0,5 х 10</w:t>
      </w:r>
      <w:r w:rsidRPr="00015917">
        <w:rPr>
          <w:szCs w:val="24"/>
          <w:vertAlign w:val="superscript"/>
        </w:rPr>
        <w:t>9</w:t>
      </w:r>
      <w:r w:rsidRPr="00643B16">
        <w:rPr>
          <w:szCs w:val="24"/>
        </w:rPr>
        <w:t xml:space="preserve">/л); </w:t>
      </w:r>
    </w:p>
    <w:p w14:paraId="5DDE5F64" w14:textId="77777777" w:rsidR="00824BFE" w:rsidRPr="003722EE" w:rsidRDefault="00824BFE" w:rsidP="00C5490F">
      <w:pPr>
        <w:pStyle w:val="afe"/>
        <w:widowControl w:val="0"/>
        <w:numPr>
          <w:ilvl w:val="0"/>
          <w:numId w:val="99"/>
        </w:numPr>
        <w:autoSpaceDE w:val="0"/>
        <w:autoSpaceDN w:val="0"/>
        <w:adjustRightInd w:val="0"/>
        <w:snapToGrid w:val="0"/>
        <w:ind w:right="51"/>
        <w:rPr>
          <w:szCs w:val="24"/>
        </w:rPr>
      </w:pPr>
      <w:r w:rsidRPr="003722EE">
        <w:rPr>
          <w:szCs w:val="24"/>
        </w:rPr>
        <w:t xml:space="preserve"> </w:t>
      </w:r>
      <w:r w:rsidRPr="00643B16">
        <w:rPr>
          <w:szCs w:val="24"/>
        </w:rPr>
        <w:t>у пациентов с РТПХ</w:t>
      </w:r>
      <w:r w:rsidRPr="003722EE">
        <w:rPr>
          <w:szCs w:val="24"/>
        </w:rPr>
        <w:t xml:space="preserve"> – “контроль” над РТПХ, снижение дозы преднизолона до 0,15-0,3 мг/кг/сут, количество гранулоцитов &gt;0,5х10</w:t>
      </w:r>
      <w:r w:rsidRPr="00015917">
        <w:rPr>
          <w:szCs w:val="24"/>
          <w:vertAlign w:val="superscript"/>
        </w:rPr>
        <w:t>9</w:t>
      </w:r>
      <w:r w:rsidRPr="003722EE">
        <w:rPr>
          <w:szCs w:val="24"/>
        </w:rPr>
        <w:t xml:space="preserve">/л, отсутствие лимфопении и цитомегаловирусной инфекции. </w:t>
      </w:r>
      <w:r w:rsidRPr="003722EE">
        <w:rPr>
          <w:szCs w:val="24"/>
        </w:rPr>
        <w:tab/>
      </w:r>
    </w:p>
    <w:p w14:paraId="36FE78B6" w14:textId="77777777" w:rsidR="00824BFE" w:rsidRPr="003722EE" w:rsidRDefault="00824BFE" w:rsidP="00C5490F">
      <w:pPr>
        <w:pStyle w:val="afe"/>
        <w:widowControl w:val="0"/>
        <w:numPr>
          <w:ilvl w:val="0"/>
          <w:numId w:val="99"/>
        </w:numPr>
        <w:autoSpaceDE w:val="0"/>
        <w:autoSpaceDN w:val="0"/>
        <w:adjustRightInd w:val="0"/>
        <w:snapToGrid w:val="0"/>
        <w:ind w:right="51"/>
        <w:rPr>
          <w:szCs w:val="24"/>
        </w:rPr>
      </w:pPr>
      <w:r w:rsidRPr="003722EE">
        <w:rPr>
          <w:szCs w:val="24"/>
        </w:rPr>
        <w:t xml:space="preserve">Особое внимание при отмене профилактического приема противогрибковых препаратов, активных в отношении плесневых грибов, следует уделять пациентам с доказанной или предполагаемой РТПХ легких. При наличии мокроты у пациентов с РТПХ легких необходимо во всех случаях проводить микологическое исследование на плесневые грибы. При обнаружении плесневых грибов в мокроте, даже при минимальных изменениях в легких, следует назначать позаконазол (суспензия, по 400 мг х 2 раза после еды), или позаконазол в таблетках (в 1й день по 300 мг х 2 раза, затем по 300 мг 1 раз), или изавуконазол (в 1-2 дни по 200 мг 3 раза, затем по 200 мг 1 раз в таблетках или внутривенно), вориконазол (по 200 мг х 2 раза в таблетках, у больных с весом &gt; 85 кг суточную дозу вориконазола в таблетках назначают из расчета 8 мг/кг/сутки, максимально – по 300 мг х 2 раза); </w:t>
      </w:r>
    </w:p>
    <w:p w14:paraId="5B69C1D8" w14:textId="77777777" w:rsidR="00824BFE" w:rsidRPr="00643B16" w:rsidRDefault="00824BFE" w:rsidP="00C5490F">
      <w:pPr>
        <w:pStyle w:val="afe"/>
        <w:widowControl w:val="0"/>
        <w:numPr>
          <w:ilvl w:val="0"/>
          <w:numId w:val="99"/>
        </w:numPr>
        <w:autoSpaceDE w:val="0"/>
        <w:autoSpaceDN w:val="0"/>
        <w:adjustRightInd w:val="0"/>
        <w:snapToGrid w:val="0"/>
        <w:ind w:right="51"/>
        <w:rPr>
          <w:szCs w:val="24"/>
        </w:rPr>
      </w:pPr>
      <w:r w:rsidRPr="003722EE">
        <w:rPr>
          <w:szCs w:val="24"/>
        </w:rPr>
        <w:t>у пациентов с о</w:t>
      </w:r>
      <w:r w:rsidRPr="00643B16">
        <w:rPr>
          <w:szCs w:val="24"/>
        </w:rPr>
        <w:t>стрыми миелоидными лейкозами – восстановление гранулоцитов (&gt;0,5 х 10</w:t>
      </w:r>
      <w:r w:rsidRPr="00015917">
        <w:rPr>
          <w:szCs w:val="24"/>
          <w:vertAlign w:val="superscript"/>
        </w:rPr>
        <w:t>9</w:t>
      </w:r>
      <w:r w:rsidRPr="00643B16">
        <w:rPr>
          <w:szCs w:val="24"/>
        </w:rPr>
        <w:t>/л);</w:t>
      </w:r>
    </w:p>
    <w:p w14:paraId="033E729C" w14:textId="77777777" w:rsidR="00824BFE" w:rsidRPr="003722EE" w:rsidRDefault="00824BFE" w:rsidP="00C5490F">
      <w:pPr>
        <w:pStyle w:val="afe"/>
        <w:widowControl w:val="0"/>
        <w:numPr>
          <w:ilvl w:val="0"/>
          <w:numId w:val="99"/>
        </w:numPr>
        <w:autoSpaceDE w:val="0"/>
        <w:autoSpaceDN w:val="0"/>
        <w:adjustRightInd w:val="0"/>
        <w:snapToGrid w:val="0"/>
        <w:ind w:right="51"/>
        <w:rPr>
          <w:szCs w:val="24"/>
        </w:rPr>
      </w:pPr>
      <w:r w:rsidRPr="00643B16">
        <w:rPr>
          <w:szCs w:val="24"/>
        </w:rPr>
        <w:t>у пациентов с апластической анемией – ч</w:t>
      </w:r>
      <w:r w:rsidRPr="003722EE">
        <w:rPr>
          <w:szCs w:val="24"/>
        </w:rPr>
        <w:t>ерез 10</w:t>
      </w:r>
      <w:r w:rsidRPr="00643B16">
        <w:rPr>
          <w:szCs w:val="24"/>
        </w:rPr>
        <w:t> </w:t>
      </w:r>
      <w:r w:rsidRPr="003722EE">
        <w:rPr>
          <w:szCs w:val="24"/>
        </w:rPr>
        <w:t>дней после окончания введения АТГ.</w:t>
      </w:r>
    </w:p>
    <w:p w14:paraId="0DBF76CF" w14:textId="77777777" w:rsidR="00824BFE" w:rsidRDefault="00824BFE" w:rsidP="00824BFE">
      <w:pPr>
        <w:ind w:right="51" w:firstLine="709"/>
        <w:contextualSpacing/>
        <w:rPr>
          <w:b/>
        </w:rPr>
      </w:pPr>
    </w:p>
    <w:p w14:paraId="053D9628" w14:textId="77777777" w:rsidR="00824BFE" w:rsidRPr="00B77DCF" w:rsidRDefault="00824BFE" w:rsidP="00824BFE">
      <w:pPr>
        <w:ind w:right="51" w:firstLine="709"/>
        <w:contextualSpacing/>
        <w:rPr>
          <w:b/>
        </w:rPr>
      </w:pPr>
      <w:r w:rsidRPr="00B77DCF">
        <w:rPr>
          <w:b/>
        </w:rPr>
        <w:t>Вторичная противогрибковая профилактика</w:t>
      </w:r>
    </w:p>
    <w:p w14:paraId="26B6346E" w14:textId="77777777" w:rsidR="00824BFE" w:rsidRPr="003722EE" w:rsidRDefault="00824BFE" w:rsidP="00824BFE">
      <w:pPr>
        <w:ind w:right="51" w:firstLine="708"/>
        <w:contextualSpacing/>
        <w:rPr>
          <w:bCs/>
        </w:rPr>
      </w:pPr>
      <w:r w:rsidRPr="003722EE">
        <w:lastRenderedPageBreak/>
        <w:t>Вторичная противогрибковая профилактика п</w:t>
      </w:r>
      <w:r w:rsidRPr="003722EE">
        <w:rPr>
          <w:bCs/>
        </w:rPr>
        <w:t>роводится:</w:t>
      </w:r>
    </w:p>
    <w:p w14:paraId="370626C5" w14:textId="77777777" w:rsidR="00824BFE" w:rsidRPr="00643B16" w:rsidRDefault="00824BFE" w:rsidP="00C5490F">
      <w:pPr>
        <w:pStyle w:val="afe"/>
        <w:widowControl w:val="0"/>
        <w:numPr>
          <w:ilvl w:val="0"/>
          <w:numId w:val="99"/>
        </w:numPr>
        <w:autoSpaceDE w:val="0"/>
        <w:autoSpaceDN w:val="0"/>
        <w:adjustRightInd w:val="0"/>
        <w:snapToGrid w:val="0"/>
        <w:ind w:right="51"/>
        <w:rPr>
          <w:szCs w:val="24"/>
        </w:rPr>
      </w:pPr>
      <w:r w:rsidRPr="00643B16">
        <w:rPr>
          <w:szCs w:val="24"/>
        </w:rPr>
        <w:t>пациентам, имевшим в анамнезе инвазивный микоз, вызванный плесневыми грибами (инвазивный аспергиллез, мукормикоз и др.), а также диссеминированный инвазивный кандидоз (инвазия в органы);</w:t>
      </w:r>
    </w:p>
    <w:p w14:paraId="020A1FFF" w14:textId="77777777" w:rsidR="00824BFE" w:rsidRPr="00643B16" w:rsidRDefault="00824BFE" w:rsidP="00C5490F">
      <w:pPr>
        <w:pStyle w:val="afe"/>
        <w:widowControl w:val="0"/>
        <w:numPr>
          <w:ilvl w:val="0"/>
          <w:numId w:val="99"/>
        </w:numPr>
        <w:autoSpaceDE w:val="0"/>
        <w:autoSpaceDN w:val="0"/>
        <w:adjustRightInd w:val="0"/>
        <w:snapToGrid w:val="0"/>
        <w:ind w:right="51"/>
        <w:rPr>
          <w:szCs w:val="24"/>
        </w:rPr>
      </w:pPr>
      <w:r w:rsidRPr="00643B16">
        <w:rPr>
          <w:szCs w:val="24"/>
        </w:rPr>
        <w:t>во время очередного курса ПХТ, если ожидается нейтропения от 7 дней и более</w:t>
      </w:r>
      <w:r>
        <w:rPr>
          <w:szCs w:val="24"/>
        </w:rPr>
        <w:t>.</w:t>
      </w:r>
    </w:p>
    <w:p w14:paraId="597A379A" w14:textId="77777777" w:rsidR="00824BFE" w:rsidRPr="00B77DCF" w:rsidRDefault="00824BFE" w:rsidP="00824BFE">
      <w:pPr>
        <w:snapToGrid w:val="0"/>
        <w:ind w:right="51" w:firstLine="709"/>
      </w:pPr>
      <w:r w:rsidRPr="00B77DCF">
        <w:t>Пациентам, имевшим кандидемию без диссеминации в органы, профилактику не проводят.</w:t>
      </w:r>
    </w:p>
    <w:p w14:paraId="40B3F11B" w14:textId="77777777" w:rsidR="00824BFE" w:rsidRPr="003722EE" w:rsidRDefault="00824BFE" w:rsidP="00824BFE">
      <w:pPr>
        <w:ind w:right="49" w:firstLine="709"/>
        <w:contextualSpacing/>
      </w:pPr>
      <w:r w:rsidRPr="003722EE">
        <w:t>Вторичная противогрибковая профилактика показана при курсах ПХТ, сопровождающихся нейтропенией, и при использовании иммуносупресивных препаратов. Для вторичной профилактики назначают препарат, при использовании которого было достигнуто излечение от инвазивного микоза, с 1-го дня послекурсового периода или при количестве гранулоцитов ≤0,5</w:t>
      </w:r>
      <w:r>
        <w:t xml:space="preserve"> </w:t>
      </w:r>
      <w:r w:rsidRPr="003722EE">
        <w:t>х</w:t>
      </w:r>
      <w:r>
        <w:t xml:space="preserve"> </w:t>
      </w:r>
      <w:r w:rsidRPr="003722EE">
        <w:t>10</w:t>
      </w:r>
      <w:r w:rsidRPr="003722EE">
        <w:rPr>
          <w:vertAlign w:val="superscript"/>
        </w:rPr>
        <w:t>9</w:t>
      </w:r>
      <w:r w:rsidRPr="003722EE">
        <w:t>/л, а также в течение всего периода применения иммуносупрессивных препаратов.</w:t>
      </w:r>
    </w:p>
    <w:p w14:paraId="52356157" w14:textId="135043A6" w:rsidR="00824BFE" w:rsidRPr="003722EE" w:rsidRDefault="00824BFE" w:rsidP="00824BFE">
      <w:pPr>
        <w:ind w:right="51" w:firstLine="709"/>
        <w:contextualSpacing/>
      </w:pPr>
      <w:r w:rsidRPr="003722EE">
        <w:t>Противогрибковые препараты, используемые для вторичной профилактики больным, имевшим в анамнезе</w:t>
      </w:r>
      <w:r w:rsidRPr="00026095">
        <w:t xml:space="preserve"> </w:t>
      </w:r>
      <w:r>
        <w:fldChar w:fldCharType="begin" w:fldLock="1"/>
      </w:r>
      <w:r w:rsidR="00531C4D">
        <w:instrText>ADDIN CSL_CITATION {"citationItems":[{"id":"ITEM-1","itemData":{"DOI":"10.3324/haematol.2016.152900","ISSN":"15928721","PMID":"28011902","abstract":"The European Conference on Infections in Leukemia (ECIL) provides recommendations for diagnostic strategies and prophylactic, pre-emptive or targeted therapy strategies for various types of infection in patients with hematologic malignancies or hematopoietic stem cell transplantation recipients. Meetings are held every two years since 2005 and evidence-based recommendations are elaborated after evaluation of the literature and discussion among specialists of nearly all European countries. In this manuscript, the ECIL group presents the 2015-update of the recommendations for the targeted treatment of invasive candidiasis, aspergillosis and mucormycosis. Current data now allow a very strong recommendation in favor of echinocandins for first-line therapy of candidemia irrespective of the underlying predisposing factors. Anidulafungin has been given the same grading as the other echinocandins for hemato-oncological patients. The beneficial role of catheter removal in candidemia is strengthened. Aspergillus guidelines now recommend the use of either voriconazole or isavuconazole for first-line treatment of invasive aspergillosis, while first-line combination antifungal therapy is not routinely recommended. As only few new data were published since the last ECIL guidelines, no major changes were made to mucormycosis recommendations.","author":[{"dropping-particle":"","family":"Tissot","given":"Frederic","non-dropping-particle":"","parse-names":false,"suffix":""},{"dropping-particle":"","family":"Agrawal","given":"Samir","non-dropping-particle":"","parse-names":false,"suffix":""},{"dropping-particle":"","family":"Pagano","given":"Livio","non-dropping-particle":"","parse-names":false,"suffix":""},{"dropping-particle":"","family":"Petrikkos","given":"Georgios","non-dropping-particle":"","parse-names":false,"suffix":""},{"dropping-particle":"","family":"Groll","given":"Andreas H.","non-dropping-particle":"","parse-names":false,"suffix":""},{"dropping-particle":"","family":"Skiada","given":"Anna","non-dropping-particle":"","parse-names":false,"suffix":""},{"dropping-particle":"","family":"Lass-Flörl","given":"Cornelia","non-dropping-particle":"","parse-names":false,"suffix":""},{"dropping-particle":"","family":"Calandra","given":"Thierry","non-dropping-particle":"","parse-names":false,"suffix":""},{"dropping-particle":"","family":"Viscoli","given":"Claudio","non-dropping-particle":"","parse-names":false,"suffix":""},{"dropping-particle":"","family":"Herbrecht","given":"Raoul","non-dropping-particle":"","parse-names":false,"suffix":""}],"container-title":"Haematologica","id":"ITEM-1","issue":"3","issued":{"date-parts":[["2017","2","28"]]},"page":"433-444","publisher":"Ferrata Storti Foundation","title":"ECIL-6 guidelines for the treatment of invasive candidiasis, aspergillosis and mucormycosis in leukemia and hematopoietic stem cell transplant patients","type":"article-journal","volume":"102"},"uris":["http://www.mendeley.com/documents/?uuid=56063fed-25f6-3324-a2f1-f316166613f0"]}],"mendeley":{"formattedCitation":"[81]","plainTextFormattedCitation":"[81]","previouslyFormattedCitation":"[81]"},"properties":{"noteIndex":0},"schema":"https://github.com/citation-style-language/schema/raw/master/csl-citation.json"}</w:instrText>
      </w:r>
      <w:r>
        <w:fldChar w:fldCharType="separate"/>
      </w:r>
      <w:r w:rsidRPr="00824BFE">
        <w:rPr>
          <w:noProof/>
        </w:rPr>
        <w:t>[81]</w:t>
      </w:r>
      <w:r>
        <w:fldChar w:fldCharType="end"/>
      </w:r>
      <w:r w:rsidRPr="003722EE">
        <w:t>:</w:t>
      </w:r>
    </w:p>
    <w:p w14:paraId="64E419D9" w14:textId="77777777" w:rsidR="00824BFE" w:rsidRPr="00643B16" w:rsidRDefault="00824BFE" w:rsidP="00C5490F">
      <w:pPr>
        <w:pStyle w:val="afe"/>
        <w:widowControl w:val="0"/>
        <w:numPr>
          <w:ilvl w:val="0"/>
          <w:numId w:val="99"/>
        </w:numPr>
        <w:autoSpaceDE w:val="0"/>
        <w:autoSpaceDN w:val="0"/>
        <w:adjustRightInd w:val="0"/>
        <w:snapToGrid w:val="0"/>
        <w:ind w:right="51"/>
        <w:rPr>
          <w:szCs w:val="24"/>
        </w:rPr>
      </w:pPr>
      <w:r w:rsidRPr="00643B16">
        <w:rPr>
          <w:szCs w:val="24"/>
        </w:rPr>
        <w:t>Кандидемию с диссеминацией в органы или хронический диссеминированный кандидоз:</w:t>
      </w:r>
    </w:p>
    <w:p w14:paraId="1DC09278" w14:textId="77777777" w:rsidR="00824BFE" w:rsidRPr="003722EE" w:rsidRDefault="00824BFE" w:rsidP="00C5490F">
      <w:pPr>
        <w:widowControl w:val="0"/>
        <w:numPr>
          <w:ilvl w:val="0"/>
          <w:numId w:val="100"/>
        </w:numPr>
        <w:tabs>
          <w:tab w:val="left" w:pos="317"/>
        </w:tabs>
        <w:autoSpaceDE w:val="0"/>
        <w:autoSpaceDN w:val="0"/>
        <w:adjustRightInd w:val="0"/>
        <w:ind w:right="49"/>
        <w:contextualSpacing/>
      </w:pPr>
      <w:r w:rsidRPr="003722EE">
        <w:t>флуконазол, по 400 мг в сутки, внутривенно или внутрь;</w:t>
      </w:r>
    </w:p>
    <w:p w14:paraId="7FBFCA00" w14:textId="77777777" w:rsidR="00824BFE" w:rsidRPr="003722EE" w:rsidRDefault="00824BFE" w:rsidP="00C5490F">
      <w:pPr>
        <w:widowControl w:val="0"/>
        <w:numPr>
          <w:ilvl w:val="0"/>
          <w:numId w:val="100"/>
        </w:numPr>
        <w:tabs>
          <w:tab w:val="left" w:pos="317"/>
        </w:tabs>
        <w:autoSpaceDE w:val="0"/>
        <w:autoSpaceDN w:val="0"/>
        <w:adjustRightInd w:val="0"/>
        <w:ind w:right="49"/>
        <w:contextualSpacing/>
      </w:pPr>
      <w:r w:rsidRPr="003722EE">
        <w:t>каспофунгин, по 50 мг в сутки внутривенно;</w:t>
      </w:r>
    </w:p>
    <w:p w14:paraId="7BB55BFB" w14:textId="77777777" w:rsidR="00824BFE" w:rsidRPr="003722EE" w:rsidRDefault="00824BFE" w:rsidP="00C5490F">
      <w:pPr>
        <w:widowControl w:val="0"/>
        <w:numPr>
          <w:ilvl w:val="0"/>
          <w:numId w:val="100"/>
        </w:numPr>
        <w:tabs>
          <w:tab w:val="left" w:pos="317"/>
        </w:tabs>
        <w:autoSpaceDE w:val="0"/>
        <w:autoSpaceDN w:val="0"/>
        <w:adjustRightInd w:val="0"/>
        <w:ind w:right="49"/>
        <w:contextualSpacing/>
      </w:pPr>
      <w:r w:rsidRPr="003722EE">
        <w:t>микафунгин, по 100 мг в сутки внутривенно;</w:t>
      </w:r>
    </w:p>
    <w:p w14:paraId="7796A14B" w14:textId="77777777" w:rsidR="00824BFE" w:rsidRPr="003722EE" w:rsidRDefault="00824BFE" w:rsidP="00C5490F">
      <w:pPr>
        <w:widowControl w:val="0"/>
        <w:numPr>
          <w:ilvl w:val="0"/>
          <w:numId w:val="100"/>
        </w:numPr>
        <w:tabs>
          <w:tab w:val="left" w:pos="317"/>
        </w:tabs>
        <w:autoSpaceDE w:val="0"/>
        <w:autoSpaceDN w:val="0"/>
        <w:adjustRightInd w:val="0"/>
        <w:ind w:right="51"/>
        <w:contextualSpacing/>
      </w:pPr>
      <w:r w:rsidRPr="003722EE">
        <w:t>анидулафунгин, по 100 мг в сутки внутривенно.</w:t>
      </w:r>
    </w:p>
    <w:p w14:paraId="68B6B6DA" w14:textId="77777777" w:rsidR="00824BFE" w:rsidRPr="00643B16" w:rsidRDefault="00824BFE" w:rsidP="00C5490F">
      <w:pPr>
        <w:pStyle w:val="afe"/>
        <w:widowControl w:val="0"/>
        <w:numPr>
          <w:ilvl w:val="0"/>
          <w:numId w:val="99"/>
        </w:numPr>
        <w:autoSpaceDE w:val="0"/>
        <w:autoSpaceDN w:val="0"/>
        <w:adjustRightInd w:val="0"/>
        <w:snapToGrid w:val="0"/>
        <w:ind w:right="51"/>
        <w:rPr>
          <w:szCs w:val="24"/>
        </w:rPr>
      </w:pPr>
      <w:r w:rsidRPr="00643B16">
        <w:rPr>
          <w:szCs w:val="24"/>
        </w:rPr>
        <w:t>Инвазивный аспергиллез:</w:t>
      </w:r>
    </w:p>
    <w:p w14:paraId="4491A5BB" w14:textId="77777777" w:rsidR="00824BFE" w:rsidRPr="003722EE" w:rsidRDefault="00824BFE" w:rsidP="00C5490F">
      <w:pPr>
        <w:widowControl w:val="0"/>
        <w:numPr>
          <w:ilvl w:val="0"/>
          <w:numId w:val="100"/>
        </w:numPr>
        <w:tabs>
          <w:tab w:val="left" w:pos="317"/>
        </w:tabs>
        <w:autoSpaceDE w:val="0"/>
        <w:autoSpaceDN w:val="0"/>
        <w:adjustRightInd w:val="0"/>
        <w:ind w:right="49"/>
        <w:contextualSpacing/>
      </w:pPr>
      <w:r w:rsidRPr="003722EE">
        <w:t>вориконазол (таблетки/внутривенно), по 200</w:t>
      </w:r>
      <w:r w:rsidRPr="00643B16">
        <w:t> </w:t>
      </w:r>
      <w:r w:rsidRPr="003722EE">
        <w:t>мг 2</w:t>
      </w:r>
      <w:r w:rsidRPr="00643B16">
        <w:t> </w:t>
      </w:r>
      <w:r w:rsidRPr="003722EE">
        <w:t>раза;</w:t>
      </w:r>
    </w:p>
    <w:p w14:paraId="228FDD4A" w14:textId="77777777" w:rsidR="00824BFE" w:rsidRPr="003722EE" w:rsidRDefault="00824BFE" w:rsidP="00C5490F">
      <w:pPr>
        <w:widowControl w:val="0"/>
        <w:numPr>
          <w:ilvl w:val="0"/>
          <w:numId w:val="100"/>
        </w:numPr>
        <w:tabs>
          <w:tab w:val="left" w:pos="317"/>
        </w:tabs>
        <w:autoSpaceDE w:val="0"/>
        <w:autoSpaceDN w:val="0"/>
        <w:adjustRightInd w:val="0"/>
        <w:ind w:right="49"/>
        <w:contextualSpacing/>
      </w:pPr>
      <w:r w:rsidRPr="003722EE">
        <w:t>позаконазол (суспензия), по 200</w:t>
      </w:r>
      <w:r w:rsidRPr="00643B16">
        <w:t> </w:t>
      </w:r>
      <w:r w:rsidRPr="003722EE">
        <w:t>мг 3</w:t>
      </w:r>
      <w:r w:rsidRPr="00643B16">
        <w:t> </w:t>
      </w:r>
      <w:r w:rsidRPr="003722EE">
        <w:t>раза (после еды);</w:t>
      </w:r>
    </w:p>
    <w:p w14:paraId="04291802" w14:textId="77777777" w:rsidR="00824BFE" w:rsidRPr="003722EE" w:rsidRDefault="00824BFE" w:rsidP="00C5490F">
      <w:pPr>
        <w:widowControl w:val="0"/>
        <w:numPr>
          <w:ilvl w:val="0"/>
          <w:numId w:val="100"/>
        </w:numPr>
        <w:tabs>
          <w:tab w:val="left" w:pos="317"/>
        </w:tabs>
        <w:autoSpaceDE w:val="0"/>
        <w:autoSpaceDN w:val="0"/>
        <w:adjustRightInd w:val="0"/>
        <w:ind w:right="49"/>
        <w:contextualSpacing/>
      </w:pPr>
      <w:r w:rsidRPr="003722EE">
        <w:t>позаконазол (таблетки) в 1й день по 300 мг х 2 раза, далее по 1 таб 1 раз;</w:t>
      </w:r>
    </w:p>
    <w:p w14:paraId="378ABA14" w14:textId="77777777" w:rsidR="00824BFE" w:rsidRPr="00643B16" w:rsidRDefault="00824BFE" w:rsidP="00C5490F">
      <w:pPr>
        <w:widowControl w:val="0"/>
        <w:numPr>
          <w:ilvl w:val="0"/>
          <w:numId w:val="100"/>
        </w:numPr>
        <w:tabs>
          <w:tab w:val="left" w:pos="317"/>
        </w:tabs>
        <w:autoSpaceDE w:val="0"/>
        <w:autoSpaceDN w:val="0"/>
        <w:adjustRightInd w:val="0"/>
        <w:ind w:right="49"/>
        <w:contextualSpacing/>
      </w:pPr>
      <w:r w:rsidRPr="003722EE">
        <w:t>изавуконазол (таблетки/внутривенно) в 1-2й дни по 200 мг 3 раза, затем по 200 мг 1 раз.</w:t>
      </w:r>
    </w:p>
    <w:p w14:paraId="60115154" w14:textId="77777777" w:rsidR="00824BFE" w:rsidRPr="00643B16" w:rsidRDefault="00824BFE" w:rsidP="00C5490F">
      <w:pPr>
        <w:pStyle w:val="afe"/>
        <w:widowControl w:val="0"/>
        <w:numPr>
          <w:ilvl w:val="0"/>
          <w:numId w:val="99"/>
        </w:numPr>
        <w:autoSpaceDE w:val="0"/>
        <w:autoSpaceDN w:val="0"/>
        <w:adjustRightInd w:val="0"/>
        <w:snapToGrid w:val="0"/>
        <w:ind w:right="51"/>
        <w:rPr>
          <w:szCs w:val="24"/>
        </w:rPr>
      </w:pPr>
      <w:r w:rsidRPr="00643B16">
        <w:rPr>
          <w:szCs w:val="24"/>
        </w:rPr>
        <w:t>Мукормикоз:</w:t>
      </w:r>
    </w:p>
    <w:p w14:paraId="1369E8F9" w14:textId="77777777" w:rsidR="00824BFE" w:rsidRPr="003722EE" w:rsidRDefault="00824BFE" w:rsidP="00C5490F">
      <w:pPr>
        <w:widowControl w:val="0"/>
        <w:numPr>
          <w:ilvl w:val="0"/>
          <w:numId w:val="100"/>
        </w:numPr>
        <w:tabs>
          <w:tab w:val="left" w:pos="317"/>
        </w:tabs>
        <w:autoSpaceDE w:val="0"/>
        <w:autoSpaceDN w:val="0"/>
        <w:adjustRightInd w:val="0"/>
        <w:ind w:right="49"/>
        <w:contextualSpacing/>
      </w:pPr>
      <w:r w:rsidRPr="003722EE">
        <w:t>позаконазол (суспензия), по 200</w:t>
      </w:r>
      <w:r w:rsidRPr="00643B16">
        <w:t> </w:t>
      </w:r>
      <w:r w:rsidRPr="003722EE">
        <w:t>мг 3</w:t>
      </w:r>
      <w:r w:rsidRPr="00643B16">
        <w:t> </w:t>
      </w:r>
      <w:r w:rsidRPr="003722EE">
        <w:t>раза (после еды);</w:t>
      </w:r>
    </w:p>
    <w:p w14:paraId="611B49AF" w14:textId="77777777" w:rsidR="00824BFE" w:rsidRPr="003722EE" w:rsidRDefault="00824BFE" w:rsidP="00C5490F">
      <w:pPr>
        <w:widowControl w:val="0"/>
        <w:numPr>
          <w:ilvl w:val="0"/>
          <w:numId w:val="100"/>
        </w:numPr>
        <w:tabs>
          <w:tab w:val="left" w:pos="317"/>
        </w:tabs>
        <w:autoSpaceDE w:val="0"/>
        <w:autoSpaceDN w:val="0"/>
        <w:adjustRightInd w:val="0"/>
        <w:ind w:right="49"/>
        <w:contextualSpacing/>
      </w:pPr>
      <w:r w:rsidRPr="003722EE">
        <w:t>позаконазол (таблетки) в 1й день по 300 мг х 2 раза, далее по 1 таб 1 раз;</w:t>
      </w:r>
    </w:p>
    <w:p w14:paraId="6EE6A560" w14:textId="77777777" w:rsidR="00824BFE" w:rsidRPr="00643B16" w:rsidRDefault="00824BFE" w:rsidP="00C5490F">
      <w:pPr>
        <w:widowControl w:val="0"/>
        <w:numPr>
          <w:ilvl w:val="0"/>
          <w:numId w:val="100"/>
        </w:numPr>
        <w:tabs>
          <w:tab w:val="left" w:pos="317"/>
        </w:tabs>
        <w:autoSpaceDE w:val="0"/>
        <w:autoSpaceDN w:val="0"/>
        <w:adjustRightInd w:val="0"/>
        <w:ind w:right="49"/>
        <w:contextualSpacing/>
      </w:pPr>
      <w:r w:rsidRPr="003722EE">
        <w:t>изавуконазол (таблетки/внутривенно) в 1-2й дни по 200 мг 3 раза, затем по 200 мг 1 раз.</w:t>
      </w:r>
    </w:p>
    <w:p w14:paraId="216335CF" w14:textId="77777777" w:rsidR="00824BFE" w:rsidRPr="003722EE" w:rsidRDefault="00824BFE" w:rsidP="00824BFE">
      <w:pPr>
        <w:ind w:right="51" w:firstLine="708"/>
        <w:contextualSpacing/>
      </w:pPr>
      <w:r w:rsidRPr="003722EE">
        <w:t xml:space="preserve">Амфотерицин В не назначают для профилактики инвазивных микозов по причине его высокой токсичности. При вторичной профилактике вориконазол, позаконазол, изавуконазол следует применять осторожно при курсах ПХТ, включающих винкристин, </w:t>
      </w:r>
      <w:r w:rsidRPr="003722EE">
        <w:lastRenderedPageBreak/>
        <w:t>поскольку они могут потенцировать развитие нейротоксичности. Назначать эти препараты следует не ранее чем через 3-5 дней от даты последнего введения винкристина.</w:t>
      </w:r>
    </w:p>
    <w:p w14:paraId="76140942" w14:textId="77777777" w:rsidR="00824BFE" w:rsidRPr="003722EE" w:rsidRDefault="00824BFE" w:rsidP="00824BFE">
      <w:pPr>
        <w:tabs>
          <w:tab w:val="left" w:pos="0"/>
        </w:tabs>
        <w:ind w:right="49"/>
        <w:contextualSpacing/>
        <w:rPr>
          <w:bCs/>
          <w:iCs/>
        </w:rPr>
      </w:pPr>
      <w:r w:rsidRPr="003722EE">
        <w:rPr>
          <w:bCs/>
        </w:rPr>
        <w:tab/>
        <w:t xml:space="preserve">Противогрибковые препараты, назначенные для вторичной профилактики, отменяют при </w:t>
      </w:r>
      <w:r w:rsidRPr="003722EE">
        <w:rPr>
          <w:bCs/>
          <w:iCs/>
        </w:rPr>
        <w:t>восстановление гранулоцитов (&gt;0,5 х 10</w:t>
      </w:r>
      <w:r w:rsidRPr="003722EE">
        <w:rPr>
          <w:bCs/>
          <w:iCs/>
          <w:vertAlign w:val="superscript"/>
        </w:rPr>
        <w:t>9</w:t>
      </w:r>
      <w:r w:rsidRPr="003722EE">
        <w:rPr>
          <w:bCs/>
          <w:iCs/>
        </w:rPr>
        <w:t>/л).</w:t>
      </w:r>
    </w:p>
    <w:p w14:paraId="79B4189E" w14:textId="77777777" w:rsidR="00824BFE" w:rsidRDefault="00824BFE" w:rsidP="00824BFE">
      <w:pPr>
        <w:pStyle w:val="afe"/>
        <w:ind w:right="51"/>
        <w:rPr>
          <w:b/>
          <w:szCs w:val="24"/>
        </w:rPr>
      </w:pPr>
    </w:p>
    <w:p w14:paraId="0D21581E" w14:textId="69870D42" w:rsidR="00824BFE" w:rsidRPr="0051550E" w:rsidRDefault="00824BFE" w:rsidP="00824BFE">
      <w:pPr>
        <w:pStyle w:val="afe"/>
        <w:ind w:right="51"/>
        <w:rPr>
          <w:bCs/>
          <w:i/>
          <w:iCs/>
          <w:szCs w:val="24"/>
          <w:u w:val="single"/>
        </w:rPr>
      </w:pPr>
      <w:r w:rsidRPr="00B77DCF">
        <w:rPr>
          <w:bCs/>
          <w:i/>
          <w:iCs/>
          <w:szCs w:val="24"/>
          <w:u w:val="single"/>
        </w:rPr>
        <w:t>Профилактика вирусных инфекций</w:t>
      </w:r>
      <w:r>
        <w:rPr>
          <w:bCs/>
          <w:i/>
          <w:iCs/>
          <w:szCs w:val="24"/>
          <w:u w:val="single"/>
        </w:rPr>
        <w:t xml:space="preserve"> </w:t>
      </w:r>
      <w:r>
        <w:rPr>
          <w:bCs/>
          <w:i/>
          <w:iCs/>
          <w:szCs w:val="24"/>
          <w:u w:val="single"/>
        </w:rPr>
        <w:fldChar w:fldCharType="begin" w:fldLock="1"/>
      </w:r>
      <w:r w:rsidR="00531C4D">
        <w:rPr>
          <w:bCs/>
          <w:i/>
          <w:iCs/>
          <w:szCs w:val="24"/>
          <w:u w:val="single"/>
        </w:rPr>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Leukemia","type":"article-journal","volume":"43"},"uris":["http://www.mendeley.com/documents/?uuid=d821a870-8754-3698-8a43-34506f6d18d8"]},{"id":"ITEM-2","itemData":{"DOI":"10.1038/bmt.2008.162","ISSN":"02683369","PMID":"18587440","abstract":"These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Transplantation","id":"ITEM-2","issue":"4","issued":{"date-parts":[["2008"]]},"page":"227-240","publisher":"Bone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[87,88]","plainTextFormattedCitation":"[87,88]","previouslyFormattedCitation":"[87,88]"},"properties":{"noteIndex":0},"schema":"https://github.com/citation-style-language/schema/raw/master/csl-citation.json"}</w:instrText>
      </w:r>
      <w:r>
        <w:rPr>
          <w:bCs/>
          <w:i/>
          <w:iCs/>
          <w:szCs w:val="24"/>
          <w:u w:val="single"/>
        </w:rPr>
        <w:fldChar w:fldCharType="separate"/>
      </w:r>
      <w:r w:rsidRPr="00824BFE">
        <w:rPr>
          <w:bCs/>
          <w:iCs/>
          <w:noProof/>
          <w:szCs w:val="24"/>
        </w:rPr>
        <w:t>[87,88]</w:t>
      </w:r>
      <w:r>
        <w:rPr>
          <w:bCs/>
          <w:i/>
          <w:iCs/>
          <w:szCs w:val="24"/>
          <w:u w:val="single"/>
        </w:rPr>
        <w:fldChar w:fldCharType="end"/>
      </w:r>
    </w:p>
    <w:p w14:paraId="533E2DF8" w14:textId="77777777" w:rsidR="00824BFE" w:rsidRPr="003722EE" w:rsidRDefault="00824BFE" w:rsidP="00824BFE">
      <w:pPr>
        <w:ind w:right="51" w:firstLine="708"/>
        <w:contextualSpacing/>
      </w:pPr>
      <w:r w:rsidRPr="003722EE">
        <w:t xml:space="preserve">Противовирусные препараты для профилактики назначают пациентам, серопозитивным по вирусу простого герпеса (ВПГ) - реципиентам аллогенной ТГСК, пациентам с острыми лейкозами, лимфомами, другими гематологическими заболеваниями. </w:t>
      </w:r>
    </w:p>
    <w:p w14:paraId="13767058" w14:textId="77777777" w:rsidR="00824BFE" w:rsidRPr="003722EE" w:rsidRDefault="00824BFE" w:rsidP="00824BFE">
      <w:pPr>
        <w:ind w:right="49" w:firstLine="709"/>
        <w:contextualSpacing/>
      </w:pPr>
      <w:r w:rsidRPr="003722EE">
        <w:t>Используют следующие препараты для профилактики вирусных инфекций:</w:t>
      </w:r>
    </w:p>
    <w:p w14:paraId="41C08D00" w14:textId="77777777" w:rsidR="00824BFE" w:rsidRPr="003722EE" w:rsidRDefault="00824BFE" w:rsidP="00C5490F">
      <w:pPr>
        <w:pStyle w:val="afe"/>
        <w:widowControl w:val="0"/>
        <w:numPr>
          <w:ilvl w:val="0"/>
          <w:numId w:val="99"/>
        </w:numPr>
        <w:autoSpaceDE w:val="0"/>
        <w:autoSpaceDN w:val="0"/>
        <w:adjustRightInd w:val="0"/>
        <w:snapToGrid w:val="0"/>
        <w:ind w:right="51"/>
        <w:rPr>
          <w:szCs w:val="24"/>
        </w:rPr>
      </w:pPr>
      <w:r w:rsidRPr="003722EE">
        <w:rPr>
          <w:szCs w:val="24"/>
        </w:rPr>
        <w:t>ацикловир внутривенно 250 мг/м</w:t>
      </w:r>
      <w:r w:rsidRPr="008356BD">
        <w:rPr>
          <w:szCs w:val="24"/>
          <w:vertAlign w:val="superscript"/>
        </w:rPr>
        <w:t>2</w:t>
      </w:r>
      <w:r w:rsidRPr="003722EE">
        <w:rPr>
          <w:szCs w:val="24"/>
        </w:rPr>
        <w:t xml:space="preserve"> или 5 мг/кг каждые 12 часов;</w:t>
      </w:r>
    </w:p>
    <w:p w14:paraId="12EE1936" w14:textId="77777777" w:rsidR="00824BFE" w:rsidRPr="003722EE" w:rsidRDefault="00824BFE" w:rsidP="00C5490F">
      <w:pPr>
        <w:pStyle w:val="afe"/>
        <w:widowControl w:val="0"/>
        <w:numPr>
          <w:ilvl w:val="0"/>
          <w:numId w:val="99"/>
        </w:numPr>
        <w:autoSpaceDE w:val="0"/>
        <w:autoSpaceDN w:val="0"/>
        <w:adjustRightInd w:val="0"/>
        <w:snapToGrid w:val="0"/>
        <w:ind w:right="51"/>
        <w:rPr>
          <w:szCs w:val="24"/>
        </w:rPr>
      </w:pPr>
      <w:r w:rsidRPr="003722EE">
        <w:rPr>
          <w:szCs w:val="24"/>
        </w:rPr>
        <w:t>ацикловир таблетки по 200 мг х 3 раза;</w:t>
      </w:r>
    </w:p>
    <w:p w14:paraId="5349E8C9" w14:textId="77777777" w:rsidR="00824BFE" w:rsidRPr="003722EE" w:rsidRDefault="00824BFE" w:rsidP="00C5490F">
      <w:pPr>
        <w:pStyle w:val="afe"/>
        <w:widowControl w:val="0"/>
        <w:numPr>
          <w:ilvl w:val="0"/>
          <w:numId w:val="99"/>
        </w:numPr>
        <w:autoSpaceDE w:val="0"/>
        <w:autoSpaceDN w:val="0"/>
        <w:adjustRightInd w:val="0"/>
        <w:snapToGrid w:val="0"/>
        <w:ind w:right="51"/>
        <w:rPr>
          <w:szCs w:val="24"/>
        </w:rPr>
      </w:pPr>
      <w:r w:rsidRPr="003722EE">
        <w:rPr>
          <w:szCs w:val="24"/>
        </w:rPr>
        <w:t>валациковир по 500 мг х 2 раза;</w:t>
      </w:r>
    </w:p>
    <w:p w14:paraId="55743B63" w14:textId="77777777" w:rsidR="00824BFE" w:rsidRPr="00643B16" w:rsidRDefault="00824BFE" w:rsidP="00C5490F">
      <w:pPr>
        <w:pStyle w:val="afe"/>
        <w:widowControl w:val="0"/>
        <w:numPr>
          <w:ilvl w:val="0"/>
          <w:numId w:val="99"/>
        </w:numPr>
        <w:autoSpaceDE w:val="0"/>
        <w:autoSpaceDN w:val="0"/>
        <w:adjustRightInd w:val="0"/>
        <w:snapToGrid w:val="0"/>
        <w:ind w:right="51"/>
        <w:rPr>
          <w:szCs w:val="24"/>
        </w:rPr>
      </w:pPr>
      <w:r w:rsidRPr="00643B16">
        <w:rPr>
          <w:szCs w:val="24"/>
        </w:rPr>
        <w:t>фамцикловир по 500 мг 2 раза.</w:t>
      </w:r>
    </w:p>
    <w:p w14:paraId="67173308" w14:textId="77777777" w:rsidR="00824BFE" w:rsidRPr="003722EE" w:rsidRDefault="00824BFE" w:rsidP="00824BFE">
      <w:pPr>
        <w:ind w:right="49" w:firstLine="709"/>
        <w:contextualSpacing/>
      </w:pPr>
      <w:r w:rsidRPr="003722EE">
        <w:t>Противовирусную профилактику применяют в течение 3-5 недель с 1-го дня ПХТ или кондицирования при ТГСК. Перевод с пероральной на внутривенную форму проводят у больных с мукозитом. У реципиентов аллогенной ТГСК и РТПХ или получающих иммуносупрессивную терапию, включая кортикостероиды, период профилактического приема препаратов является более продолжительным.</w:t>
      </w:r>
    </w:p>
    <w:p w14:paraId="000DB398" w14:textId="77777777" w:rsidR="00824BFE" w:rsidRPr="003722EE" w:rsidRDefault="00824BFE" w:rsidP="00824BFE">
      <w:pPr>
        <w:ind w:right="49" w:firstLine="709"/>
        <w:contextualSpacing/>
      </w:pPr>
      <w:r w:rsidRPr="003722EE">
        <w:t>Антивирусная профилактика ВПГ не требуется для серонегативных больных острыми лейкозами и после ТГСК.</w:t>
      </w:r>
    </w:p>
    <w:p w14:paraId="65B9FBD8" w14:textId="78D8614E" w:rsidR="00D06A4B" w:rsidRPr="00D06A4B" w:rsidRDefault="00D06A4B" w:rsidP="00D06A4B">
      <w:pPr>
        <w:pStyle w:val="2"/>
      </w:pPr>
      <w:bookmarkStart w:id="58" w:name="_Toc67522249"/>
      <w:r w:rsidRPr="00A7029B">
        <w:t>7.</w:t>
      </w:r>
      <w:r>
        <w:t xml:space="preserve">11 </w:t>
      </w:r>
      <w:r w:rsidRPr="00C23943">
        <w:rPr>
          <w:kern w:val="32"/>
        </w:rPr>
        <w:t>Диагностика гемотрансмиссивных инфекций</w:t>
      </w:r>
      <w:bookmarkEnd w:id="58"/>
    </w:p>
    <w:p w14:paraId="251C5D00" w14:textId="77777777" w:rsidR="00D06A4B" w:rsidRDefault="00D06A4B" w:rsidP="00D06A4B">
      <w:pPr>
        <w:ind w:firstLine="708"/>
        <w:rPr>
          <w:rFonts w:eastAsia="Arial Unicode MS"/>
        </w:rPr>
      </w:pPr>
      <w:r>
        <w:t>Пациенты гематологического профиля</w:t>
      </w:r>
      <w:r w:rsidRPr="008532D2">
        <w:t xml:space="preserve"> являются группой высокого риска вероятного инфицирования гемотрансмиссивными вирусными инфекциями, поскольку </w:t>
      </w:r>
      <w:r>
        <w:t>при многих гематологических заболеваниях пациентам</w:t>
      </w:r>
      <w:r w:rsidRPr="008532D2">
        <w:t xml:space="preserve"> проводятся множественные трансфузии от большого числа доноров, многочисленные медицинские манипуляции и инвазивные исследования. </w:t>
      </w:r>
      <w:r>
        <w:t xml:space="preserve">В </w:t>
      </w:r>
      <w:r w:rsidRPr="008532D2">
        <w:t xml:space="preserve">ряде случаев </w:t>
      </w:r>
      <w:r>
        <w:t>гематологические з</w:t>
      </w:r>
      <w:r w:rsidRPr="008532D2">
        <w:t xml:space="preserve">аболевания </w:t>
      </w:r>
      <w:r>
        <w:t>т</w:t>
      </w:r>
      <w:r w:rsidRPr="00626D84">
        <w:t>ребуют дифференциального диагноза с ВИЧ-инфекцией</w:t>
      </w:r>
      <w:r>
        <w:t>. Кроме того, а</w:t>
      </w:r>
      <w:r w:rsidRPr="008532D2">
        <w:rPr>
          <w:rFonts w:eastAsia="Arial Unicode MS"/>
        </w:rPr>
        <w:t xml:space="preserve">ктуальность проблемы </w:t>
      </w:r>
      <w:r w:rsidRPr="008532D2">
        <w:rPr>
          <w:kern w:val="32"/>
        </w:rPr>
        <w:t xml:space="preserve">гемотрансмиссивных инфекций </w:t>
      </w:r>
      <w:r w:rsidRPr="008532D2">
        <w:rPr>
          <w:rFonts w:eastAsia="Arial Unicode MS"/>
        </w:rPr>
        <w:t>у пациентов заболеваниями системы крови определяется вероятностью реактивации ранее латентного инфекционного процесса</w:t>
      </w:r>
      <w:r w:rsidRPr="008532D2">
        <w:t>.</w:t>
      </w:r>
      <w:r w:rsidRPr="008532D2">
        <w:rPr>
          <w:rFonts w:eastAsia="Arial Unicode MS"/>
        </w:rPr>
        <w:t xml:space="preserve"> </w:t>
      </w:r>
    </w:p>
    <w:p w14:paraId="4C288BFC" w14:textId="77777777" w:rsidR="00D06A4B" w:rsidRDefault="00D06A4B" w:rsidP="00D06A4B">
      <w:pPr>
        <w:ind w:firstLine="708"/>
      </w:pPr>
    </w:p>
    <w:p w14:paraId="4A8F2B39" w14:textId="77777777" w:rsidR="00D06A4B" w:rsidRPr="00B71129" w:rsidRDefault="00D06A4B" w:rsidP="00D06A4B">
      <w:pPr>
        <w:pStyle w:val="Normal11"/>
        <w:spacing w:line="360" w:lineRule="auto"/>
        <w:rPr>
          <w:bCs/>
          <w:i/>
          <w:iCs/>
          <w:sz w:val="22"/>
          <w:u w:val="single"/>
        </w:rPr>
      </w:pPr>
      <w:r w:rsidRPr="00B71129">
        <w:rPr>
          <w:bCs/>
          <w:i/>
          <w:iCs/>
          <w:szCs w:val="28"/>
          <w:u w:val="single"/>
        </w:rPr>
        <w:t>Лабораторная диагностика</w:t>
      </w:r>
    </w:p>
    <w:p w14:paraId="7179FA07" w14:textId="77777777" w:rsidR="00D06A4B" w:rsidRDefault="00D06A4B" w:rsidP="00D06A4B">
      <w:pPr>
        <w:ind w:firstLine="708"/>
      </w:pPr>
      <w:r>
        <w:t>С</w:t>
      </w:r>
      <w:r w:rsidRPr="000A150B">
        <w:t>огласно санитарно-эпидемиологическим правилам СП 3.1.3112-13 «П</w:t>
      </w:r>
      <w:r>
        <w:t>рофилактика вирусного гепатита С</w:t>
      </w:r>
      <w:r w:rsidRPr="000A150B">
        <w:t xml:space="preserve">» обязательному обследованию на наличие анти-ВГС и РНК ВГС </w:t>
      </w:r>
      <w:r w:rsidRPr="000A150B">
        <w:lastRenderedPageBreak/>
        <w:t>подлежат пациенты отделений гемодиализа, гематологии и трансплантации, пребывающие в медицинской организации более 1 месяца через 30 дней после поступления и далее – ежемесячно. Кроме того, реципиенты крови и ее компонентов, органов и тканей подлежат обязательному обследованию на наличие анти-ВГС при подозрении на заболевание гепатитом C и в течение 6 месяцев после переливания крови и ее компонентов, пересадки органов и тканей</w:t>
      </w:r>
      <w:r>
        <w:t>.</w:t>
      </w:r>
    </w:p>
    <w:p w14:paraId="6F79D3F4" w14:textId="77777777" w:rsidR="00D06A4B" w:rsidRDefault="00D06A4B" w:rsidP="00D06A4B">
      <w:pPr>
        <w:ind w:firstLine="708"/>
      </w:pPr>
      <w:r w:rsidRPr="007E59BC">
        <w:t>Согласно санитарно-эпидемиологическим правилам СП3.1.1.2341-08 «</w:t>
      </w:r>
      <w:r w:rsidRPr="000A150B">
        <w:t>П</w:t>
      </w:r>
      <w:r>
        <w:t xml:space="preserve">рофилактика вирусного гепатита </w:t>
      </w:r>
      <w:r w:rsidRPr="007E59BC">
        <w:t xml:space="preserve">B» обязательному обследованию на наличие </w:t>
      </w:r>
      <w:r w:rsidRPr="007E59BC">
        <w:rPr>
          <w:lang w:val="en-US"/>
        </w:rPr>
        <w:t>HBsAg</w:t>
      </w:r>
      <w:r w:rsidRPr="007E59BC">
        <w:t xml:space="preserve"> подлежат реципиенты крови и ее компонентов </w:t>
      </w:r>
      <w:r>
        <w:t xml:space="preserve">в </w:t>
      </w:r>
      <w:r w:rsidRPr="007E59BC">
        <w:t>течение 6 месяцев с момента последней трансфузии.</w:t>
      </w:r>
      <w:r>
        <w:t xml:space="preserve"> </w:t>
      </w:r>
    </w:p>
    <w:p w14:paraId="2FC529C2" w14:textId="0363BC53" w:rsidR="00D06A4B" w:rsidRDefault="00D06A4B" w:rsidP="00D06A4B">
      <w:pPr>
        <w:ind w:firstLine="708"/>
      </w:pPr>
      <w:r>
        <w:t xml:space="preserve">В клинических рекомендациях международных ассоциаций приведены различные стратегии скрининга маркеров ВГВ </w:t>
      </w:r>
      <w:r>
        <w:fldChar w:fldCharType="begin" w:fldLock="1"/>
      </w:r>
      <w:r w:rsidR="00531C4D">
        <w:instrText>ADDIN CSL_CITATION {"citationItems":[{"id":"ITEM-1","itemData":{"author":[{"dropping-particle":"","family":"Титова","given":"В.Б.","non-dropping-particle":"","parse-names":false,"suffix":""},{"dropping-particle":"","family":"Беляева","given":"Н.М.","non-dropping-particle":"","parse-names":false,"suffix":""}],"container-title":"Инфекционные болезни","id":"ITEM-1","issue":"3","issued":{"date-parts":[["2014"]]},"page":"51-60","title":"Вирусный гепатит В у иммуносупрессивных пациентов с онкологическими заболеваниями: патогенез, ведение и профилактика","type":"article-journal","volume":"12"},"uris":["http://www.mendeley.com/documents/?uuid=3941bbfb-358d-41ff-ba67-2c90cf30bdc3"]}],"mendeley":{"formattedCitation":"[90]","plainTextFormattedCitation":"[90]","previouslyFormattedCitation":"[90]"},"properties":{"noteIndex":0},"schema":"https://github.com/citation-style-language/schema/raw/master/csl-citation.json"}</w:instrText>
      </w:r>
      <w:r>
        <w:fldChar w:fldCharType="separate"/>
      </w:r>
      <w:r w:rsidR="00531C4D" w:rsidRPr="00531C4D">
        <w:rPr>
          <w:noProof/>
        </w:rPr>
        <w:t>[90]</w:t>
      </w:r>
      <w:r>
        <w:fldChar w:fldCharType="end"/>
      </w:r>
      <w:r>
        <w:t xml:space="preserve">. </w:t>
      </w:r>
      <w:r w:rsidRPr="00E71F5D">
        <w:t>Европейской ассоциацией по изучению печени рекомендовано мониторирование у пациентов при отсутствии HBsAg и возможном наличии анти-НВс активности АЛТ, концентрации ДНК ВГВ и проведение терапии аналогами нуклеозидов в случае подтверждения реактивации гепатита до повышения активности АЛТ</w:t>
      </w:r>
      <w:r w:rsidRPr="00EB2B8F">
        <w:t xml:space="preserve"> </w:t>
      </w:r>
      <w:r>
        <w:fldChar w:fldCharType="begin" w:fldLock="1"/>
      </w:r>
      <w:r w:rsidR="00531C4D">
        <w:instrText>ADDIN CSL_CITATION {"citationItems":[{"id":"ITEM-1","itemData":{"DOI":"10.1016/j.jhep.2012.02.010","ISSN":"01688278","PMID":"22436845","author":[{"dropping-particle":"","family":"Papatheodoridis","given":"George","non-dropping-particle":"","parse-names":false,"suffix":""},{"dropping-particle":"","family":"Buti","given":"Maria","non-dropping-particle":"","parse-names":false,"suffix":""},{"dropping-particle":"","family":"Cornberg","given":"Markus","non-dropping-particle":"","parse-names":false,"suffix":""},{"dropping-particle":"","family":"Janssen","given":"Harry","non-dropping-particle":"","parse-names":false,"suffix":""},{"dropping-particle":"","family":"Mutimer","given":"David","non-dropping-particle":"","parse-names":false,"suffix":""},{"dropping-particle":"","family":"Pol","given":"Stanislas","non-dropping-particle":"","parse-names":false,"suffix":""},{"dropping-particle":"","family":"Raimondo","given":"Giovanni","non-dropping-particle":"","parse-names":false,"suffix":""},{"dropping-particle":"","family":"Dusheiko","given":"Geoffrey","non-dropping-particle":"","parse-names":false,"suffix":""},{"dropping-particle":"","family":"Lok","given":"Anna","non-dropping-particle":"","parse-names":false,"suffix":""},{"dropping-particle":"","family":"Marcellin","given":"Patrick","non-dropping-particle":"","parse-names":false,"suffix":""}],"container-title":"Journal of Hepatology","id":"ITEM-1","issue":"1","issued":{"date-parts":[["2012","7","1"]]},"page":"167-185","publisher":"Elsevier B.V.","title":"EASL clinical practice guidelines: Management of chronic hepatitis B virus infection","type":"article","volume":"57"},"uris":["http://www.mendeley.com/documents/?uuid=d031160c-7302-3cad-80c7-cb9ded7fc99f"]}],"mendeley":{"formattedCitation":"[91]","plainTextFormattedCitation":"[91]","previouslyFormattedCitation":"[91]"},"properties":{"noteIndex":0},"schema":"https://github.com/citation-style-language/schema/raw/master/csl-citation.json"}</w:instrText>
      </w:r>
      <w:r>
        <w:fldChar w:fldCharType="separate"/>
      </w:r>
      <w:r w:rsidR="00531C4D" w:rsidRPr="00531C4D">
        <w:rPr>
          <w:noProof/>
        </w:rPr>
        <w:t>[91]</w:t>
      </w:r>
      <w:r>
        <w:fldChar w:fldCharType="end"/>
      </w:r>
      <w:r w:rsidRPr="00E71F5D">
        <w:t>.</w:t>
      </w:r>
      <w:r>
        <w:t xml:space="preserve"> </w:t>
      </w:r>
    </w:p>
    <w:p w14:paraId="39DFC388" w14:textId="77777777" w:rsidR="00D06A4B" w:rsidRDefault="00D06A4B" w:rsidP="00D06A4B">
      <w:pPr>
        <w:ind w:left="644"/>
        <w:rPr>
          <w:b/>
          <w:szCs w:val="28"/>
        </w:rPr>
      </w:pPr>
    </w:p>
    <w:p w14:paraId="585CF9E4" w14:textId="77777777" w:rsidR="00D06A4B" w:rsidRPr="00506902" w:rsidRDefault="00D06A4B" w:rsidP="00D06A4B">
      <w:pPr>
        <w:ind w:left="284"/>
        <w:rPr>
          <w:bCs/>
          <w:i/>
          <w:iCs/>
          <w:szCs w:val="28"/>
          <w:u w:val="single"/>
        </w:rPr>
      </w:pPr>
      <w:r w:rsidRPr="00506902">
        <w:rPr>
          <w:bCs/>
          <w:i/>
          <w:iCs/>
          <w:szCs w:val="28"/>
          <w:u w:val="single"/>
        </w:rPr>
        <w:t>Протокол обследования образцов крови пациентов на инфекционные маркеры (ВИЧ, ВГВ, ВГС, возбудителя сифилиса)</w:t>
      </w:r>
    </w:p>
    <w:p w14:paraId="01EB9698" w14:textId="77777777" w:rsidR="00D06A4B" w:rsidRDefault="00D06A4B" w:rsidP="00C5490F">
      <w:pPr>
        <w:pStyle w:val="Number1"/>
        <w:numPr>
          <w:ilvl w:val="0"/>
          <w:numId w:val="101"/>
        </w:numPr>
        <w:spacing w:line="360" w:lineRule="auto"/>
        <w:jc w:val="left"/>
      </w:pPr>
      <w:r w:rsidRPr="00350A4F">
        <w:t xml:space="preserve">Обследование всех </w:t>
      </w:r>
      <w:r>
        <w:t xml:space="preserve">первичных </w:t>
      </w:r>
      <w:r w:rsidRPr="00350A4F">
        <w:t>пациентов</w:t>
      </w:r>
      <w:r>
        <w:t xml:space="preserve"> на регламентированые исследования: </w:t>
      </w:r>
    </w:p>
    <w:p w14:paraId="45FCF4E0" w14:textId="77777777" w:rsidR="00D06A4B" w:rsidRDefault="00D06A4B" w:rsidP="00C5490F">
      <w:pPr>
        <w:pStyle w:val="Number1"/>
        <w:numPr>
          <w:ilvl w:val="0"/>
          <w:numId w:val="104"/>
        </w:numPr>
        <w:spacing w:line="360" w:lineRule="auto"/>
        <w:jc w:val="left"/>
      </w:pPr>
      <w:r>
        <w:t xml:space="preserve">Определение анти-ВИЧ (антитела </w:t>
      </w:r>
      <w:r w:rsidRPr="0009562B">
        <w:t>IgM, IgG к вирусу иммунодефицита человека ВИЧ-1</w:t>
      </w:r>
      <w:r>
        <w:t xml:space="preserve"> и </w:t>
      </w:r>
      <w:r w:rsidRPr="0009562B">
        <w:t xml:space="preserve">ВИЧ-2, </w:t>
      </w:r>
      <w:r>
        <w:t>антиген</w:t>
      </w:r>
      <w:r w:rsidRPr="0009562B">
        <w:t xml:space="preserve"> p24 ВИЧ-1)</w:t>
      </w:r>
      <w:r>
        <w:t>;</w:t>
      </w:r>
    </w:p>
    <w:p w14:paraId="144AFCF0" w14:textId="77777777" w:rsidR="00D06A4B" w:rsidRDefault="00D06A4B" w:rsidP="00C5490F">
      <w:pPr>
        <w:pStyle w:val="Number1"/>
        <w:numPr>
          <w:ilvl w:val="0"/>
          <w:numId w:val="104"/>
        </w:numPr>
        <w:spacing w:line="360" w:lineRule="auto"/>
        <w:jc w:val="left"/>
      </w:pPr>
      <w:r>
        <w:t>Определение HBsAg;</w:t>
      </w:r>
    </w:p>
    <w:p w14:paraId="1BD63937" w14:textId="77777777" w:rsidR="00D06A4B" w:rsidRDefault="00D06A4B" w:rsidP="00C5490F">
      <w:pPr>
        <w:pStyle w:val="Number1"/>
        <w:numPr>
          <w:ilvl w:val="0"/>
          <w:numId w:val="104"/>
        </w:numPr>
        <w:spacing w:line="360" w:lineRule="auto"/>
        <w:jc w:val="left"/>
      </w:pPr>
      <w:r>
        <w:t>Определение</w:t>
      </w:r>
      <w:r w:rsidRPr="00350A4F">
        <w:t xml:space="preserve"> </w:t>
      </w:r>
      <w:r>
        <w:t>антител к ВГС;</w:t>
      </w:r>
      <w:r w:rsidRPr="00350A4F">
        <w:t xml:space="preserve"> </w:t>
      </w:r>
    </w:p>
    <w:p w14:paraId="045DA509" w14:textId="77777777" w:rsidR="00D06A4B" w:rsidRDefault="00D06A4B" w:rsidP="00C5490F">
      <w:pPr>
        <w:pStyle w:val="Number1"/>
        <w:numPr>
          <w:ilvl w:val="0"/>
          <w:numId w:val="104"/>
        </w:numPr>
        <w:spacing w:line="360" w:lineRule="auto"/>
        <w:jc w:val="left"/>
      </w:pPr>
      <w:r>
        <w:t>Определение</w:t>
      </w:r>
      <w:r w:rsidRPr="00350A4F">
        <w:t xml:space="preserve"> РНК ВГС</w:t>
      </w:r>
      <w:r>
        <w:t xml:space="preserve"> (ПЦР, качественное);</w:t>
      </w:r>
    </w:p>
    <w:p w14:paraId="17910AA3" w14:textId="77777777" w:rsidR="00D06A4B" w:rsidRDefault="00D06A4B" w:rsidP="00C5490F">
      <w:pPr>
        <w:pStyle w:val="Number1"/>
        <w:numPr>
          <w:ilvl w:val="0"/>
          <w:numId w:val="104"/>
        </w:numPr>
        <w:spacing w:line="360" w:lineRule="auto"/>
        <w:jc w:val="left"/>
      </w:pPr>
      <w:r>
        <w:t>С</w:t>
      </w:r>
      <w:r w:rsidRPr="00350A4F">
        <w:t xml:space="preserve">ерологические реакции на </w:t>
      </w:r>
      <w:r w:rsidRPr="00B47058">
        <w:rPr>
          <w:iCs/>
        </w:rPr>
        <w:t>сифилис (о</w:t>
      </w:r>
      <w:r w:rsidRPr="00B47058">
        <w:t>пределение антител к бледной трепонеме качественное и полуколичественное в сыворотке крови</w:t>
      </w:r>
      <w:r>
        <w:t xml:space="preserve">; </w:t>
      </w:r>
      <w:r w:rsidRPr="00B47058">
        <w:t>определение антител к бледной трепонеме иммуноферментным методом в крови)</w:t>
      </w:r>
      <w:r>
        <w:t>.</w:t>
      </w:r>
    </w:p>
    <w:p w14:paraId="3251C3D1" w14:textId="77777777" w:rsidR="00D06A4B" w:rsidRDefault="00D06A4B" w:rsidP="00C5490F">
      <w:pPr>
        <w:pStyle w:val="Number1"/>
        <w:numPr>
          <w:ilvl w:val="0"/>
          <w:numId w:val="101"/>
        </w:numPr>
        <w:spacing w:line="360" w:lineRule="auto"/>
        <w:jc w:val="left"/>
      </w:pPr>
      <w:r>
        <w:t>Дополнительное о</w:t>
      </w:r>
      <w:r w:rsidRPr="00350A4F">
        <w:t xml:space="preserve">бследование всех </w:t>
      </w:r>
      <w:r>
        <w:t xml:space="preserve">первичных </w:t>
      </w:r>
      <w:r w:rsidRPr="00350A4F">
        <w:t xml:space="preserve">пациентов </w:t>
      </w:r>
      <w:r>
        <w:t xml:space="preserve">– кандидатов на трансфузии </w:t>
      </w:r>
      <w:r w:rsidRPr="00350A4F">
        <w:t>на наличие</w:t>
      </w:r>
      <w:r>
        <w:t>:</w:t>
      </w:r>
    </w:p>
    <w:p w14:paraId="05D1F009" w14:textId="77777777" w:rsidR="00D06A4B" w:rsidRPr="00757238" w:rsidRDefault="00D06A4B" w:rsidP="00C5490F">
      <w:pPr>
        <w:pStyle w:val="Number1"/>
        <w:numPr>
          <w:ilvl w:val="0"/>
          <w:numId w:val="105"/>
        </w:numPr>
        <w:spacing w:line="360" w:lineRule="auto"/>
        <w:jc w:val="left"/>
      </w:pPr>
      <w:r>
        <w:t xml:space="preserve">Определение </w:t>
      </w:r>
      <w:r w:rsidRPr="00757238">
        <w:t>антител к ядерному ант</w:t>
      </w:r>
      <w:r>
        <w:t>игену (HBcAg) вируса гепатита B;</w:t>
      </w:r>
    </w:p>
    <w:p w14:paraId="61F24B34" w14:textId="77777777" w:rsidR="00D06A4B" w:rsidRDefault="00D06A4B" w:rsidP="00C5490F">
      <w:pPr>
        <w:pStyle w:val="Number1"/>
        <w:numPr>
          <w:ilvl w:val="0"/>
          <w:numId w:val="105"/>
        </w:numPr>
        <w:spacing w:line="360" w:lineRule="auto"/>
        <w:jc w:val="left"/>
      </w:pPr>
      <w:r w:rsidRPr="007C6DC7">
        <w:t>Определение антител к поверхностному антигену (anti-HBs) вируса гепатита B</w:t>
      </w:r>
      <w:r>
        <w:t>;</w:t>
      </w:r>
      <w:r w:rsidRPr="00350A4F">
        <w:t xml:space="preserve"> </w:t>
      </w:r>
    </w:p>
    <w:p w14:paraId="273C041A" w14:textId="77777777" w:rsidR="00D06A4B" w:rsidRDefault="00D06A4B" w:rsidP="00C5490F">
      <w:pPr>
        <w:pStyle w:val="Number1"/>
        <w:numPr>
          <w:ilvl w:val="0"/>
          <w:numId w:val="105"/>
        </w:numPr>
        <w:spacing w:line="360" w:lineRule="auto"/>
        <w:jc w:val="left"/>
      </w:pPr>
      <w:r w:rsidRPr="007C6DC7">
        <w:t xml:space="preserve">Определение ДНК </w:t>
      </w:r>
      <w:r>
        <w:t>ВГ</w:t>
      </w:r>
      <w:r w:rsidRPr="007C6DC7">
        <w:t>B методом ПЦР, качественное исследование</w:t>
      </w:r>
      <w:r>
        <w:t>.</w:t>
      </w:r>
      <w:r w:rsidRPr="00350A4F">
        <w:t xml:space="preserve"> </w:t>
      </w:r>
    </w:p>
    <w:p w14:paraId="447616BD" w14:textId="77777777" w:rsidR="00D06A4B" w:rsidRDefault="00D06A4B" w:rsidP="00C5490F">
      <w:pPr>
        <w:pStyle w:val="Number1"/>
        <w:numPr>
          <w:ilvl w:val="0"/>
          <w:numId w:val="101"/>
        </w:numPr>
        <w:spacing w:line="360" w:lineRule="auto"/>
        <w:jc w:val="left"/>
      </w:pPr>
      <w:r>
        <w:t>Дополнительное о</w:t>
      </w:r>
      <w:r w:rsidRPr="00350A4F">
        <w:t>бследование</w:t>
      </w:r>
      <w:r>
        <w:t xml:space="preserve"> по показаниям:</w:t>
      </w:r>
    </w:p>
    <w:p w14:paraId="01531A78" w14:textId="77777777" w:rsidR="00D06A4B" w:rsidRPr="00350A4F" w:rsidRDefault="00D06A4B" w:rsidP="00C5490F">
      <w:pPr>
        <w:pStyle w:val="Number1"/>
        <w:numPr>
          <w:ilvl w:val="0"/>
          <w:numId w:val="103"/>
        </w:numPr>
        <w:spacing w:line="360" w:lineRule="auto"/>
        <w:jc w:val="left"/>
      </w:pPr>
      <w:r w:rsidRPr="00350A4F">
        <w:t>В случае обнаружения HBsAg — дополнительное исследование HВеAg.</w:t>
      </w:r>
    </w:p>
    <w:p w14:paraId="6C2B1DD8" w14:textId="77777777" w:rsidR="00D06A4B" w:rsidRPr="00350A4F" w:rsidRDefault="00D06A4B" w:rsidP="00C5490F">
      <w:pPr>
        <w:pStyle w:val="Number1"/>
        <w:numPr>
          <w:ilvl w:val="0"/>
          <w:numId w:val="103"/>
        </w:numPr>
        <w:spacing w:line="360" w:lineRule="auto"/>
        <w:jc w:val="left"/>
      </w:pPr>
      <w:r w:rsidRPr="00350A4F">
        <w:lastRenderedPageBreak/>
        <w:t>В случае обнаружения анти-HBс — дополнительное исследование анти-НВс IgM.</w:t>
      </w:r>
    </w:p>
    <w:p w14:paraId="4D24E6C6" w14:textId="77777777" w:rsidR="00D06A4B" w:rsidRPr="00350A4F" w:rsidRDefault="00D06A4B" w:rsidP="00C5490F">
      <w:pPr>
        <w:pStyle w:val="Number1"/>
        <w:numPr>
          <w:ilvl w:val="0"/>
          <w:numId w:val="103"/>
        </w:numPr>
        <w:spacing w:line="360" w:lineRule="auto"/>
        <w:jc w:val="left"/>
      </w:pPr>
      <w:r w:rsidRPr="00350A4F">
        <w:t xml:space="preserve">При наличии </w:t>
      </w:r>
      <w:r w:rsidRPr="007C6DC7">
        <w:t>только анти-HBs</w:t>
      </w:r>
      <w:r w:rsidRPr="00350A4F">
        <w:t xml:space="preserve"> (с учетом анамнестических данных больного о проведении вакцинации или отсутствии) — исследование анти-НВе для подтверждения инфицированности ВГВ.</w:t>
      </w:r>
    </w:p>
    <w:p w14:paraId="1BB61053" w14:textId="77777777" w:rsidR="00D06A4B" w:rsidRPr="00350A4F" w:rsidRDefault="00D06A4B" w:rsidP="00C5490F">
      <w:pPr>
        <w:pStyle w:val="Number1"/>
        <w:numPr>
          <w:ilvl w:val="0"/>
          <w:numId w:val="103"/>
        </w:numPr>
        <w:spacing w:line="360" w:lineRule="auto"/>
        <w:jc w:val="left"/>
      </w:pPr>
      <w:r w:rsidRPr="00350A4F">
        <w:t xml:space="preserve">При отсутствии </w:t>
      </w:r>
      <w:r w:rsidRPr="007C6DC7">
        <w:t>анти-HBс, анти-HBs</w:t>
      </w:r>
      <w:r w:rsidRPr="00350A4F">
        <w:t xml:space="preserve"> у больных с нарушенным иммунитетом — мониторинг этих маркеров не реже 1 раза в 3—6 месяцев в зависимости от динамики клинико-лабораторных показателей.</w:t>
      </w:r>
    </w:p>
    <w:p w14:paraId="329D0430" w14:textId="77777777" w:rsidR="00D06A4B" w:rsidRPr="00350A4F" w:rsidRDefault="00D06A4B" w:rsidP="00C5490F">
      <w:pPr>
        <w:pStyle w:val="Number1"/>
        <w:numPr>
          <w:ilvl w:val="0"/>
          <w:numId w:val="101"/>
        </w:numPr>
        <w:spacing w:line="360" w:lineRule="auto"/>
        <w:jc w:val="left"/>
      </w:pPr>
      <w:r>
        <w:t>Повторное ежемесячное о</w:t>
      </w:r>
      <w:r w:rsidRPr="00350A4F">
        <w:t xml:space="preserve">бследование на </w:t>
      </w:r>
      <w:r>
        <w:t>маркеры</w:t>
      </w:r>
      <w:r w:rsidRPr="00350A4F">
        <w:t xml:space="preserve"> HBsAg, анти-ВГС, ДНК ВГВ, РНК ВГС </w:t>
      </w:r>
      <w:r>
        <w:t xml:space="preserve">– </w:t>
      </w:r>
      <w:r w:rsidRPr="00350A4F">
        <w:t>для реципиентов</w:t>
      </w:r>
      <w:r>
        <w:t xml:space="preserve"> трансфузий</w:t>
      </w:r>
      <w:r w:rsidRPr="00350A4F">
        <w:t xml:space="preserve"> компонентов</w:t>
      </w:r>
      <w:r>
        <w:t xml:space="preserve"> </w:t>
      </w:r>
      <w:r w:rsidRPr="00350A4F">
        <w:t>крови, органов и тканей, пациентов гематологических и других смежных подразделений, пребывающих в стационаре свыше 1 месяца.</w:t>
      </w:r>
    </w:p>
    <w:p w14:paraId="4CB67C94" w14:textId="77777777" w:rsidR="00D06A4B" w:rsidRDefault="00D06A4B" w:rsidP="00C5490F">
      <w:pPr>
        <w:numPr>
          <w:ilvl w:val="0"/>
          <w:numId w:val="101"/>
        </w:numPr>
        <w:autoSpaceDE w:val="0"/>
        <w:autoSpaceDN w:val="0"/>
        <w:adjustRightInd w:val="0"/>
        <w:jc w:val="left"/>
      </w:pPr>
      <w:r w:rsidRPr="00350A4F">
        <w:t>Остальные контингенты пациентов вне зависимости от результатов тестирования при поступлении обследуются на инфекционные маркеры ВГВ и ВГС по клиническим и эпидемиологическим показаниям.</w:t>
      </w:r>
    </w:p>
    <w:p w14:paraId="0FD61D20" w14:textId="77777777" w:rsidR="00D06A4B" w:rsidRPr="00350A4F" w:rsidRDefault="00D06A4B" w:rsidP="00D06A4B">
      <w:pPr>
        <w:ind w:left="720"/>
      </w:pPr>
    </w:p>
    <w:p w14:paraId="2428028F" w14:textId="77777777" w:rsidR="00D06A4B" w:rsidRPr="00D20B00" w:rsidRDefault="00D06A4B" w:rsidP="00D06A4B">
      <w:pPr>
        <w:pStyle w:val="Normal11"/>
        <w:spacing w:line="360" w:lineRule="auto"/>
        <w:rPr>
          <w:bCs/>
          <w:i/>
          <w:iCs/>
          <w:u w:val="single"/>
        </w:rPr>
      </w:pPr>
      <w:r w:rsidRPr="00D20B00">
        <w:rPr>
          <w:bCs/>
          <w:i/>
          <w:iCs/>
          <w:u w:val="single"/>
        </w:rPr>
        <w:t>Инструментальная диагностика</w:t>
      </w:r>
    </w:p>
    <w:p w14:paraId="2DF6E8B0" w14:textId="77777777" w:rsidR="00D06A4B" w:rsidRDefault="00D06A4B" w:rsidP="00D06A4B">
      <w:pPr>
        <w:pStyle w:val="Normal11"/>
        <w:spacing w:line="360" w:lineRule="auto"/>
      </w:pPr>
      <w:r>
        <w:tab/>
      </w:r>
      <w:r>
        <w:tab/>
        <w:t>Инструментальная диагностика проводится по рекомендации врача-инфекциониста. При показаниях д</w:t>
      </w:r>
      <w:r w:rsidRPr="006A482D">
        <w:t xml:space="preserve">ля получения информации о стадии фиброза и прогнозе заболевания </w:t>
      </w:r>
      <w:r>
        <w:t>проводится:</w:t>
      </w:r>
    </w:p>
    <w:p w14:paraId="74497F60" w14:textId="77777777" w:rsidR="00D06A4B" w:rsidRDefault="00D06A4B" w:rsidP="00C5490F">
      <w:pPr>
        <w:pStyle w:val="Normal11"/>
        <w:numPr>
          <w:ilvl w:val="0"/>
          <w:numId w:val="106"/>
        </w:numPr>
        <w:spacing w:line="360" w:lineRule="auto"/>
      </w:pPr>
      <w:r>
        <w:t xml:space="preserve">УЗИ печени. </w:t>
      </w:r>
    </w:p>
    <w:p w14:paraId="42A8851A" w14:textId="77777777" w:rsidR="00D06A4B" w:rsidRDefault="00D06A4B" w:rsidP="00C5490F">
      <w:pPr>
        <w:pStyle w:val="Normal11"/>
        <w:numPr>
          <w:ilvl w:val="0"/>
          <w:numId w:val="106"/>
        </w:numPr>
        <w:spacing w:line="360" w:lineRule="auto"/>
      </w:pPr>
      <w:r>
        <w:t>Эластометрия печени</w:t>
      </w:r>
    </w:p>
    <w:p w14:paraId="560720C4" w14:textId="77777777" w:rsidR="00D06A4B" w:rsidRDefault="00D06A4B" w:rsidP="00C5490F">
      <w:pPr>
        <w:pStyle w:val="Normal11"/>
        <w:numPr>
          <w:ilvl w:val="0"/>
          <w:numId w:val="106"/>
        </w:numPr>
        <w:spacing w:line="360" w:lineRule="auto"/>
      </w:pPr>
      <w:r>
        <w:t>Б</w:t>
      </w:r>
      <w:r w:rsidRPr="006A482D">
        <w:t>иопси</w:t>
      </w:r>
      <w:r>
        <w:t>я</w:t>
      </w:r>
      <w:r w:rsidRPr="006A482D">
        <w:t xml:space="preserve"> печени</w:t>
      </w:r>
      <w:r>
        <w:t>.</w:t>
      </w:r>
      <w:r w:rsidRPr="006A482D">
        <w:t xml:space="preserve"> </w:t>
      </w:r>
    </w:p>
    <w:p w14:paraId="6A80F5BD" w14:textId="77777777" w:rsidR="00D06A4B" w:rsidRDefault="00D06A4B" w:rsidP="00D06A4B">
      <w:pPr>
        <w:pStyle w:val="Normal11"/>
        <w:spacing w:line="360" w:lineRule="auto"/>
        <w:ind w:left="1068" w:firstLine="0"/>
      </w:pPr>
    </w:p>
    <w:p w14:paraId="70603B22" w14:textId="77777777" w:rsidR="00D06A4B" w:rsidRPr="00D20B00" w:rsidRDefault="00D06A4B" w:rsidP="00D06A4B">
      <w:pPr>
        <w:pStyle w:val="Normal11"/>
        <w:spacing w:line="360" w:lineRule="auto"/>
        <w:rPr>
          <w:bCs/>
          <w:i/>
          <w:iCs/>
          <w:u w:val="single"/>
        </w:rPr>
      </w:pPr>
      <w:r w:rsidRPr="00D20B00">
        <w:rPr>
          <w:bCs/>
          <w:i/>
          <w:iCs/>
          <w:u w:val="single"/>
        </w:rPr>
        <w:t xml:space="preserve">Лечение и профилактика вирусных гепатитов В и С </w:t>
      </w:r>
    </w:p>
    <w:p w14:paraId="36C981A3" w14:textId="6F68DC55" w:rsidR="00D06A4B" w:rsidRPr="00E71F5D" w:rsidRDefault="00D06A4B" w:rsidP="00D06A4B">
      <w:pPr>
        <w:pStyle w:val="Normal11"/>
        <w:spacing w:line="360" w:lineRule="auto"/>
      </w:pPr>
      <w:r>
        <w:tab/>
      </w:r>
      <w:r>
        <w:tab/>
      </w:r>
      <w:r w:rsidRPr="00E71F5D">
        <w:t xml:space="preserve">Современные противовирусные препараты позволяют эффективно лечить острые и тяжелые формы </w:t>
      </w:r>
      <w:r>
        <w:t>вирусных гепатитов В и С</w:t>
      </w:r>
      <w:r w:rsidRPr="00E71F5D">
        <w:t>, однако эффективность такой терапии зависит от сроков начала лечения</w:t>
      </w:r>
      <w:r w:rsidRPr="00C46A96">
        <w:t xml:space="preserve"> </w:t>
      </w:r>
      <w:r>
        <w:fldChar w:fldCharType="begin" w:fldLock="1"/>
      </w:r>
      <w:r w:rsidR="00531C4D">
        <w:instrText>ADDIN CSL_CITATION {"citationItems":[{"id":"ITEM-1","itemData":{"DOI":"10.1002/jmv.22199","ISSN":"01466615","PMID":"21915865","abstract":"The aim of the study was to evaluate clinical and virological differences in HBV reactivation between patients with overt and occult HBV infection. Twenty-three consecutive patients with symptomatic HBV reactivation occurring during or after immunosuppressive therapy were enrolled in a retrospective study: 10 with reactivation of overt HBV infection (overt group) and 13 of occult HBV infection (occult group). Twenty-one patients were treated with nucleot(s)ide analogues after HBV reactivation. Regimens including rituximab or fludarabine were administered more frequently in the occult group (61% vs. 31%, respectively). HBV reactivation was severe frequently in the overt (40%) and occult groups (38.4%). Patients in the overt group showed higher HBV-DNA titers (1.1×10 8±1.4×10 8 vs. 5.1×10 5±6.8×10 5IU; P&lt;0.005). Seven patients died during HBV reactivation, two in the overt and five in the occult group. Of these seven patients, two remained untreated and five had been treated with Lamivudine; of the 16 patients showing remission of HBV reactivation, four had been treated with Lamivudine, four with Entecavir, two with Telbivudine, and six with Lamivudine plus Adefovir. It is concluded that HBV reactivation is life-threatening in patients with diseases inhibiting the immune response and/or receiving immunosuppressive drugs. Supportive therapy without antiviral drugs or Lamivudine monotherapy may not be effective for treating patients with HBV reactivation. © 2011 Wiley-Liss, Inc.","author":[{"dropping-particle":"","family":"Coppola","given":"Nicola","non-dropping-particle":"","parse-names":false,"suffix":""},{"dropping-particle":"","family":"Tonziello","given":"Gilda","non-dropping-particle":"","parse-names":false,"suffix":""},{"dropping-particle":"","family":"Pisaturo","given":"Mariantonietta","non-dropping-particle":"","parse-names":false,"suffix":""},{"dropping-particle":"","family":"Messina","given":"Vincenzo","non-dropping-particle":"","parse-names":false,"suffix":""},{"dropping-particle":"","family":"Guastafierro","given":"Salvatore","non-dropping-particle":"","parse-names":false,"suffix":""},{"dropping-particle":"","family":"Fiore","given":"Marco","non-dropping-particle":"","parse-names":false,"suffix":""},{"dropping-particle":"","family":"Iodice","given":"Valentina","non-dropping-particle":"","parse-names":false,"suffix":""},{"dropping-particle":"","family":"Sagnelli","given":"Caterina","non-dropping-particle":"","parse-names":false,"suffix":""},{"dropping-particle":"","family":"Stanzione","given":"Maria","non-dropping-particle":"","parse-names":false,"suffix":""},{"dropping-particle":"","family":"Capoluongo","given":"Nicolina","non-dropping-particle":"","parse-names":false,"suffix":""},{"dropping-particle":"","family":"Pasquale","given":"Giuseppe","non-dropping-particle":"","parse-names":false,"suffix":""},{"dropping-particle":"","family":"Sagnelli","given":"Evangelista","non-dropping-particle":"","parse-names":false,"suffix":""}],"container-title":"Journal of Medical Virology","id":"ITEM-1","issue":"11","issued":{"date-parts":[["2011","11"]]},"page":"1909-1916","publisher":"J Med Virol","title":"Reactivation of overt and occult hepatitis B infection in various immunosuppressive settings","type":"article-journal","volume":"83"},"uris":["http://www.mendeley.com/documents/?uuid=7dc438fe-ccda-3a54-a4c3-5a2d13cb41a2"]},{"id":"ITEM-2","itemData":{"DOI":"10.1016/j.jhep.2009.07.012","abstract":"Backgrounds/Aims: Hepatitis B virus (HBV) reactivation following treatment with rituximab has been reported in patients with either HBsAg-positive, or HBsAg-negative and anti-HBc positive infection. Patients with severe reactivation often have a fatal outcome despite treatment with lamivudine. The use of entecavir has not been reported in patients with severe HBV reactivation. Methods: We present a case of a HBsAg-negative patient diagnosed with chronic lymphocytic leukemia who received a chemotherapeutic regimen that included rituximab, who subsequently presented with severe HBV reactivation with ascites, jaundice and coagulopathy and was treated with entecavir. A review of the literature and underlying HBV associated mutations are discussed. Results: Entecavir produced a rapid and sustained suppression of HBV that was associated with rapid clinical improvement without any side effects. Conclusion: Entecavir is an efficacious and safe treatment for severe HBV reactivation.","author":[{"dropping-particle":"","family":"Sanchez","given":"Mayra J","non-dropping-particle":"","parse-names":false,"suffix":""},{"dropping-particle":"","family":"Buti","given":"Maria","non-dropping-particle":"","parse-names":false,"suffix":""},{"dropping-particle":"","family":"Homs","given":"Maria","non-dropping-particle":"","parse-names":false,"suffix":""},{"dropping-particle":"","family":"Palacios","given":"Andres","non-dropping-particle":"","parse-names":false,"suffix":""},{"dropping-particle":"","family":"Rodriguez-Frias","given":"Francisco","non-dropping-particle":"","parse-names":false,"suffix":""},{"dropping-particle":"","family":"Esteban","given":"Rafael","non-dropping-particle":"","parse-names":false,"suffix":""}],"container-title":"Journal of Hepatology","id":"ITEM-2","issued":{"date-parts":[["0"]]},"page":"1091-1096","title":"Successful use of entecavir for a severe case of reactivation of hepatitis B virus following polychemotherapy containing rituximab q","type":"article-journal","volume":"51"},"uris":["http://www.mendeley.com/documents/?uuid=7c5b9301-1084-3fdb-b8fc-ae5d3423651c"]}],"mendeley":{"formattedCitation":"[92,93]","plainTextFormattedCitation":"[92,93]","previouslyFormattedCitation":"[92,93]"},"properties":{"noteIndex":0},"schema":"https://github.com/citation-style-language/schema/raw/master/csl-citation.json"}</w:instrText>
      </w:r>
      <w:r>
        <w:fldChar w:fldCharType="separate"/>
      </w:r>
      <w:r w:rsidR="00531C4D" w:rsidRPr="00531C4D">
        <w:rPr>
          <w:noProof/>
        </w:rPr>
        <w:t>[92,93]</w:t>
      </w:r>
      <w:r>
        <w:fldChar w:fldCharType="end"/>
      </w:r>
      <w:r w:rsidRPr="00E71F5D">
        <w:t>. Несколько зарубежных рандомизированных контролируемых исследований с метаанализом данных показали, что для профилактики реактивации ВГВ целесообразно использовать ламивудин</w:t>
      </w:r>
      <w:r w:rsidRPr="009510CC">
        <w:t xml:space="preserve"> </w:t>
      </w:r>
      <w:r>
        <w:fldChar w:fldCharType="begin" w:fldLock="1"/>
      </w:r>
      <w:r w:rsidR="00531C4D">
        <w:instrText>ADDIN CSL_CITATION {"citationItems":[{"id":"ITEM-1","itemData":{"DOI":"10.1182/blood-2008-10-163493","ISSN":"00064971","PMID":"19144986","abstract":"Hepatitis B virus (HBV) reactivation is a serious but preventable complication of immunosuppression. Full HBV serologic profile must be obtained from all patients receiving intensive immunosuppressive therapy. In general, preemptive anti-HBV therapy is more effective than giving treatment after development of reactivation. Prompt lamivu-dine therapy should be given to at-risk patients who are hepatitis B surface antigen (HBsAg)-positive. It is recommended that lamivudine be continued until at least 6 months after the cessation of immunosuppression. Some patients requiring a longer duration of lamivudine therapy are at risk of developing drug resistance. The newer anti HBV agents are effective in overcoming lamivudine resistance. Early use of these agents may be considered. HBV reactivation was observed in HBsAg-negative patients with occult HBV infection (HBV DNA-positive) who are on heavy immunosuppression. The optimal management of this group of patients is unclear. For patients receiving allogeneic HSC transplants, the HBV status of the donors requires special attention. To minimize the risk of transmission of infection to recipients, HBsAg positive donors should receive adequate anti-HBV therapy before HSC donation. As the result of adoptive immune transfer, clearance of HBsAg is observed in HBsAg-positive patients receiving HSC transplants from donors who are positive for hepatitis B surface and core antibodies. © 2009 by The American Society of Hematology.","author":[{"dropping-particle":"","family":"Liang","given":"Raymond","non-dropping-particle":"","parse-names":false,"suffix":""}],"container-title":"Blood","id":"ITEM-1","issue":"14","issued":{"date-parts":[["2009","4","2"]]},"page":"3147-3153","publisher":"American Society of Hematology","title":"How I treat and monitor viral hepatitis B infection in patients receiving intensive immunosuppressive therapies or undergoing hematopoietic stem cell transplantation","type":"article-journal","volume":"113"},"uris":["http://www.mendeley.com/documents/?uuid=c6aa979e-82bd-3a05-b09a-b65bc02bee20"]},{"id":"ITEM-2","itemData":{"DOI":"10.1016/j.blre.2008.02.001","ISSN":"0268960X","abstract":"Viral hepatitis is the third major cause of liver dysfunction in allogeneic transplant recipients and has become a significant concern in patients with hematological malignancies receiving chemotherapy. Thus, identification of patients at risk for viral hepatitis is very important when evaluating and treating hematological malignancies. Serologic screening for all patients should include anti-HCV, hepatitis B surface antigen (HBsAg), hepatitis B surface antibody (anti-HBs), and hepatitis B core antibody (anti-HBc) testing. Current therapies for hepatitis B (HBV) virus infection are aimed at viral suppression, while treatment for hepatitis C (HCV) virus can eradicate infection in many treated patients. To prevent HBV viral reactivation, prophylaxis with nucleoside analogues should be initiated for all HBsAg-positive patients. HCV infection appears to have little impact on short-term survival after bone marrow transplantation (BMT), but eventually can impact long-term survival due to progression of liver disease. In this review we will highlight the mechanisms of virus reactivation, clinical manifestations, and management strategies to minimize acute and chronic morbidity in this population. © 2008 Elsevier Ltd. All rights reserved.","author":[{"dropping-particle":"","family":"Firpi","given":"Roberto J.","non-dropping-particle":"","parse-names":false,"suffix":""},{"dropping-particle":"","family":"Nelson","given":"David R.","non-dropping-particle":"","parse-names":false,"suffix":""}],"container-title":"Blood Reviews","id":"ITEM-2","issue":"3","issued":{"date-parts":[["2008","5","14"]]},"page":"117-126","title":"Management of viral hepatitis in hematologic malignancies","type":"article-journal","volume":"22"},"uris":["http://www.mendeley.com/documents/?uuid=bede40bd-819b-33b5-83bb-9b5be4df0b88"]},{"id":"ITEM-3","itemData":{"DOI":"10.1002/ajh.21022","ISSN":"03618609","abstract":"Several studies have shown that the frequency of hepatitis C virus (HCV) infection is high in patients with B-cell non-Hodgkin's lymphoma (NHL). In these studies, liver dysfunction during chemotherapy has been demonstrated, but changes in HCV ribonucleic acid (RNA) levels during chemotherapy have not been well documented. In this study, we monitored serum HCV RNA levels and liver function In five HCV-infected patients with B-cell NHL undergoing treatment with rituximab-combination chemotherapy. Increased HCV RNA levels during or after the chemotherapy were observed in all five patients, and a significant increase in transaminases was seen in one case. In this case, serum HCV RNA level dramatically decreased at the time of the increase of transaminases, and this suggested that the cause of liver damage was an immune reaction against hepatocytes with HCV and not any anticancer drug induced liver toxicity. Monitoring of serum HCV RNA levels and transaminases may be helpful to understand the cause of liver dysfunction in patients receiving chemotherapy. However, increases of HCV viral load were not associated with the occurrence of liver dysfunction in this study. Further studies will be necessary to investigate more fully the relationship between changes in HCV viral load and liver function during chemotherapy for HCV-infected patients. © 2007 Wiley-Liss, Inc.","author":[{"dropping-particle":"","family":"Ennishi","given":"Daisuke","non-dropping-particle":"","parse-names":false,"suffix":""},{"dropping-particle":"","family":"Terui","given":"Yasuhito","non-dropping-particle":"","parse-names":false,"suffix":""},{"dropping-particle":"","family":"Yokoyama","given":"Masahiro","non-dropping-particle":"","parse-names":false,"suffix":""},{"dropping-particle":"","family":"Mishima","given":"Yuko","non-dropping-particle":"","parse-names":false,"suffix":""},{"dropping-particle":"","family":"Takahashi","given":"Shunji","non-dropping-particle":"","parse-names":false,"suffix":""},{"dropping-particle":"","family":"Takeuchi","given":"Kengo","non-dropping-particle":"","parse-names":false,"suffix":""},{"dropping-particle":"","family":"Okamoto","given":"Hiroaki","non-dropping-particle":"","parse-names":false,"suffix":""},{"dropping-particle":"","family":"Tanimoto","given":"Mitsune","non-dropping-particle":"","parse-names":false,"suffix":""},{"dropping-particle":"","family":"Hatake","given":"Kiyohiko","non-dropping-particle":"","parse-names":false,"suffix":""}],"container-title":"American Journal of Hematology","id":"ITEM-3","issue":"1","issued":{"date-parts":[["2008","1","1"]]},"page":"59-62","publisher":"John Wiley &amp; Sons, Ltd","title":"Monitoring serum hepatitis C virus (HCV) RNA in patients with HCV-infected CD20-positive B-cell lymphoma undergoing rituximab combination chemotherapy","type":"article-journal","volume":"83"},"uris":["http://www.mendeley.com/documents/?uuid=1e8624bf-39e2-37ad-955a-10105c759886"]},{"id":"ITEM-4","itemData":{"DOI":"10.1111/j.1478-3231.2010.02396.x","ISSN":"14783223","PMID":"21205146","abstract":"Reactivation of hepatitis B is characterized by a sudden increase in hepatitis B virus (HBV) replication in a patient with prior evidence of resolved or inactive HBV infection. Although HBV reactivation can occur spontaneously, it usually occurs after chemotherapy, immunosuppression (organ transplantation) or an alteration in immune function (therapy for autoimmune disease, human immunodeficiency virus infection). The clinical presentation cases can vary, ranging from a subclinical, asymptomatic course to severe acute hepatitis and even death. Although reactivation of HBV is mainly found in HBsAg-positive patients, it can be observed in serologically recovered anti-hepatitis B core antibody (HBc)-positive, HBsAg-negative patients. Serum HBV DNA typically increases during immune suppression, followed by a disease flare and HBV DNA clearance following immune restoration after immune suppression is stopped. In organ transplant recipients, without immune reconstitution, high HBV DNA levels can lead to fibrosing cholestatic hepatitis related to the direct cytopathic effect of HBV. Several randomized, controlled trials and meta-analyses have shown that reactivation can be prevented by lamivudine prophylaxis. Screening for HBsAg and anti-HBc should be performed before beginning immunosuppressive treatment and routine prophylaxis is recommended in HBsAg-positive patients. The optimal duration of prophylaxis remains to be determined. In anti-HBc-positive patients with or without anti-hepatitis B surface antigen, alanine transaminase and HBV DNA levels should be closely monitored and antiviral therapy should be started when HBV reactivation is confirmed. The use of new more potent nucleos(t)ides analogues with lower resistance rates would seem to be logical; however, experience with these drugs in the prophylaxis and treatment of severe HBV reactivation is limited. © 2011 John Wiley &amp; Sons A/S.","author":[{"dropping-particle":"","family":"Roche","given":"Bruno","non-dropping-particle":"","parse-names":false,"suffix":""},{"dropping-particle":"","family":"Samuel","given":"Didier","non-dropping-particle":"","parse-names":false,"suffix":""}],"container-title":"Liver International","id":"ITEM-4","issue":"SUPPL. 1","issued":{"date-parts":[["2011","1"]]},"page":"104-110","publisher":"Liver Int","title":"The difficulties of managing severe hepatitis B virus reactivation","type":"article-journal","volume":"31"},"uris":["http://www.mendeley.com/documents/?uuid=7322b501-0227-3082-a6d1-2bf3f9e30c4f"]}],"mendeley":{"formattedCitation":"[94–97]","plainTextFormattedCitation":"[94–97]","previouslyFormattedCitation":"[94–97]"},"properties":{"noteIndex":0},"schema":"https://github.com/citation-style-language/schema/raw/master/csl-citation.json"}</w:instrText>
      </w:r>
      <w:r>
        <w:fldChar w:fldCharType="separate"/>
      </w:r>
      <w:r w:rsidR="00531C4D" w:rsidRPr="00531C4D">
        <w:rPr>
          <w:noProof/>
        </w:rPr>
        <w:t>[94–97]</w:t>
      </w:r>
      <w:r>
        <w:fldChar w:fldCharType="end"/>
      </w:r>
      <w:r w:rsidRPr="00E71F5D">
        <w:t>, а также другие более новые и эффективные нуклеозидные аналоги с меньшей скоростью развития к ним резистентности — адефовир, дипивоксил, энтекавир, телбивудин</w:t>
      </w:r>
      <w:r w:rsidRPr="00786DB5">
        <w:t xml:space="preserve"> </w:t>
      </w:r>
      <w:r>
        <w:rPr>
          <w:lang w:val="en-US"/>
        </w:rPr>
        <w:fldChar w:fldCharType="begin" w:fldLock="1"/>
      </w:r>
      <w:r w:rsidR="00531C4D">
        <w:rPr>
          <w:lang w:val="en-US"/>
        </w:rPr>
        <w:instrText>ADDIN</w:instrText>
      </w:r>
      <w:r w:rsidR="00531C4D" w:rsidRPr="004D35FC">
        <w:instrText xml:space="preserve"> </w:instrText>
      </w:r>
      <w:r w:rsidR="00531C4D">
        <w:rPr>
          <w:lang w:val="en-US"/>
        </w:rPr>
        <w:instrText>CSL</w:instrText>
      </w:r>
      <w:r w:rsidR="00531C4D" w:rsidRPr="004D35FC">
        <w:instrText>_</w:instrText>
      </w:r>
      <w:r w:rsidR="00531C4D">
        <w:rPr>
          <w:lang w:val="en-US"/>
        </w:rPr>
        <w:instrText>CITATION</w:instrText>
      </w:r>
      <w:r w:rsidR="00531C4D" w:rsidRPr="004D35FC">
        <w:instrText xml:space="preserve"> {"</w:instrText>
      </w:r>
      <w:r w:rsidR="00531C4D">
        <w:rPr>
          <w:lang w:val="en-US"/>
        </w:rPr>
        <w:instrText>citationItems</w:instrText>
      </w:r>
      <w:r w:rsidR="00531C4D" w:rsidRPr="004D35FC">
        <w:instrText>":[{"</w:instrText>
      </w:r>
      <w:r w:rsidR="00531C4D">
        <w:rPr>
          <w:lang w:val="en-US"/>
        </w:rPr>
        <w:instrText>id</w:instrText>
      </w:r>
      <w:r w:rsidR="00531C4D" w:rsidRPr="004D35FC">
        <w:instrText>":"</w:instrText>
      </w:r>
      <w:r w:rsidR="00531C4D">
        <w:rPr>
          <w:lang w:val="en-US"/>
        </w:rPr>
        <w:instrText>ITEM</w:instrText>
      </w:r>
      <w:r w:rsidR="00531C4D" w:rsidRPr="004D35FC">
        <w:instrText>-1","</w:instrText>
      </w:r>
      <w:r w:rsidR="00531C4D">
        <w:rPr>
          <w:lang w:val="en-US"/>
        </w:rPr>
        <w:instrText>itemData</w:instrText>
      </w:r>
      <w:r w:rsidR="00531C4D" w:rsidRPr="004D35FC">
        <w:instrText>":{"</w:instrText>
      </w:r>
      <w:r w:rsidR="00531C4D">
        <w:rPr>
          <w:lang w:val="en-US"/>
        </w:rPr>
        <w:instrText>DOI</w:instrText>
      </w:r>
      <w:r w:rsidR="00531C4D" w:rsidRPr="004D35FC">
        <w:instrText>":"10.1002/(</w:instrText>
      </w:r>
      <w:r w:rsidR="00531C4D">
        <w:rPr>
          <w:lang w:val="en-US"/>
        </w:rPr>
        <w:instrText>SICI</w:instrText>
      </w:r>
      <w:r w:rsidR="00531C4D" w:rsidRPr="004D35FC">
        <w:instrText>)1096-9071(200003)60:3&lt;256::</w:instrText>
      </w:r>
      <w:r w:rsidR="00531C4D">
        <w:rPr>
          <w:lang w:val="en-US"/>
        </w:rPr>
        <w:instrText>AID</w:instrText>
      </w:r>
      <w:r w:rsidR="00531C4D" w:rsidRPr="004D35FC">
        <w:instrText>-</w:instrText>
      </w:r>
      <w:r w:rsidR="00531C4D">
        <w:rPr>
          <w:lang w:val="en-US"/>
        </w:rPr>
        <w:instrText>JMV</w:instrText>
      </w:r>
      <w:r w:rsidR="00531C4D" w:rsidRPr="004D35FC">
        <w:instrText>2&gt;3.0.</w:instrText>
      </w:r>
      <w:r w:rsidR="00531C4D">
        <w:rPr>
          <w:lang w:val="en-US"/>
        </w:rPr>
        <w:instrText>CO</w:instrText>
      </w:r>
      <w:r w:rsidR="00531C4D" w:rsidRPr="004D35FC">
        <w:instrText>;2-</w:instrText>
      </w:r>
      <w:r w:rsidR="00531C4D">
        <w:rPr>
          <w:lang w:val="en-US"/>
        </w:rPr>
        <w:instrText>H</w:instrText>
      </w:r>
      <w:r w:rsidR="00531C4D" w:rsidRPr="004D35FC">
        <w:instrText>","</w:instrText>
      </w:r>
      <w:r w:rsidR="00531C4D">
        <w:rPr>
          <w:lang w:val="en-US"/>
        </w:rPr>
        <w:instrText>ISSN</w:instrText>
      </w:r>
      <w:r w:rsidR="00531C4D" w:rsidRPr="004D35FC">
        <w:instrText>":"0146-6615","</w:instrText>
      </w:r>
      <w:r w:rsidR="00531C4D">
        <w:rPr>
          <w:lang w:val="en-US"/>
        </w:rPr>
        <w:instrText>abstract</w:instrText>
      </w:r>
      <w:r w:rsidR="00531C4D" w:rsidRPr="004D35FC">
        <w:instrText>":"</w:instrText>
      </w:r>
      <w:r w:rsidR="00531C4D">
        <w:rPr>
          <w:lang w:val="en-US"/>
        </w:rPr>
        <w:instrText>Current</w:instrText>
      </w:r>
      <w:r w:rsidR="00531C4D" w:rsidRPr="004D35FC">
        <w:instrText xml:space="preserve"> </w:instrText>
      </w:r>
      <w:r w:rsidR="00531C4D">
        <w:rPr>
          <w:lang w:val="en-US"/>
        </w:rPr>
        <w:instrText>commercial</w:instrText>
      </w:r>
      <w:r w:rsidR="00531C4D" w:rsidRPr="004D35FC">
        <w:instrText xml:space="preserve"> </w:instrText>
      </w:r>
      <w:r w:rsidR="00531C4D">
        <w:rPr>
          <w:lang w:val="en-US"/>
        </w:rPr>
        <w:instrText>hepatitis</w:instrText>
      </w:r>
      <w:r w:rsidR="00531C4D" w:rsidRPr="004D35FC">
        <w:instrText xml:space="preserve"> </w:instrText>
      </w:r>
      <w:r w:rsidR="00531C4D">
        <w:rPr>
          <w:lang w:val="en-US"/>
        </w:rPr>
        <w:instrText>B</w:instrText>
      </w:r>
      <w:r w:rsidR="00531C4D" w:rsidRPr="004D35FC">
        <w:instrText xml:space="preserve"> </w:instrText>
      </w:r>
      <w:r w:rsidR="00531C4D">
        <w:rPr>
          <w:lang w:val="en-US"/>
        </w:rPr>
        <w:instrText>virus</w:instrText>
      </w:r>
      <w:r w:rsidR="00531C4D" w:rsidRPr="004D35FC">
        <w:instrText xml:space="preserve"> (</w:instrText>
      </w:r>
      <w:r w:rsidR="00531C4D">
        <w:rPr>
          <w:lang w:val="en-US"/>
        </w:rPr>
        <w:instrText>HBV</w:instrText>
      </w:r>
      <w:r w:rsidR="00531C4D" w:rsidRPr="004D35FC">
        <w:instrText xml:space="preserve">) </w:instrText>
      </w:r>
      <w:r w:rsidR="00531C4D">
        <w:rPr>
          <w:lang w:val="en-US"/>
        </w:rPr>
        <w:instrText>anti</w:instrText>
      </w:r>
      <w:r w:rsidR="00531C4D" w:rsidRPr="004D35FC">
        <w:instrText>-</w:instrText>
      </w:r>
      <w:r w:rsidR="00531C4D">
        <w:rPr>
          <w:lang w:val="en-US"/>
        </w:rPr>
        <w:instrText>HBe</w:instrText>
      </w:r>
      <w:r w:rsidR="00531C4D" w:rsidRPr="004D35FC">
        <w:instrText xml:space="preserve"> </w:instrText>
      </w:r>
      <w:r w:rsidR="00531C4D">
        <w:rPr>
          <w:lang w:val="en-US"/>
        </w:rPr>
        <w:instrText>immunoassays</w:instrText>
      </w:r>
      <w:r w:rsidR="00531C4D" w:rsidRPr="004D35FC">
        <w:instrText xml:space="preserve"> </w:instrText>
      </w:r>
      <w:r w:rsidR="00531C4D">
        <w:rPr>
          <w:lang w:val="en-US"/>
        </w:rPr>
        <w:instrText>are</w:instrText>
      </w:r>
      <w:r w:rsidR="00531C4D" w:rsidRPr="004D35FC">
        <w:instrText xml:space="preserve"> </w:instrText>
      </w:r>
      <w:r w:rsidR="00531C4D">
        <w:rPr>
          <w:lang w:val="en-US"/>
        </w:rPr>
        <w:instrText>designed</w:instrText>
      </w:r>
      <w:r w:rsidR="00531C4D" w:rsidRPr="004D35FC">
        <w:instrText xml:space="preserve"> </w:instrText>
      </w:r>
      <w:r w:rsidR="00531C4D">
        <w:rPr>
          <w:lang w:val="en-US"/>
        </w:rPr>
        <w:instrText>so</w:instrText>
      </w:r>
      <w:r w:rsidR="00531C4D" w:rsidRPr="004D35FC">
        <w:instrText xml:space="preserve"> </w:instrText>
      </w:r>
      <w:r w:rsidR="00531C4D">
        <w:rPr>
          <w:lang w:val="en-US"/>
        </w:rPr>
        <w:instrText>that</w:instrText>
      </w:r>
      <w:r w:rsidR="00531C4D" w:rsidRPr="004D35FC">
        <w:instrText xml:space="preserve"> </w:instrText>
      </w:r>
      <w:r w:rsidR="00531C4D">
        <w:rPr>
          <w:lang w:val="en-US"/>
        </w:rPr>
        <w:instrText>anti</w:instrText>
      </w:r>
      <w:r w:rsidR="00531C4D" w:rsidRPr="004D35FC">
        <w:instrText>-</w:instrText>
      </w:r>
      <w:r w:rsidR="00531C4D">
        <w:rPr>
          <w:lang w:val="en-US"/>
        </w:rPr>
        <w:instrText>HBe</w:instrText>
      </w:r>
      <w:r w:rsidR="00531C4D" w:rsidRPr="004D35FC">
        <w:instrText xml:space="preserve"> </w:instrText>
      </w:r>
      <w:r w:rsidR="00531C4D">
        <w:rPr>
          <w:lang w:val="en-US"/>
        </w:rPr>
        <w:instrText>is</w:instrText>
      </w:r>
      <w:r w:rsidR="00531C4D" w:rsidRPr="004D35FC">
        <w:instrText xml:space="preserve"> </w:instrText>
      </w:r>
      <w:r w:rsidR="00531C4D">
        <w:rPr>
          <w:lang w:val="en-US"/>
        </w:rPr>
        <w:instrText>detectable</w:instrText>
      </w:r>
      <w:r w:rsidR="00531C4D" w:rsidRPr="004D35FC">
        <w:instrText xml:space="preserve"> </w:instrText>
      </w:r>
      <w:r w:rsidR="00531C4D">
        <w:rPr>
          <w:lang w:val="en-US"/>
        </w:rPr>
        <w:instrText>only</w:instrText>
      </w:r>
      <w:r w:rsidR="00531C4D" w:rsidRPr="004D35FC">
        <w:instrText xml:space="preserve"> </w:instrText>
      </w:r>
      <w:r w:rsidR="00531C4D">
        <w:rPr>
          <w:lang w:val="en-US"/>
        </w:rPr>
        <w:instrText>in</w:instrText>
      </w:r>
      <w:r w:rsidR="00531C4D" w:rsidRPr="004D35FC">
        <w:instrText xml:space="preserve"> </w:instrText>
      </w:r>
      <w:r w:rsidR="00531C4D">
        <w:rPr>
          <w:lang w:val="en-US"/>
        </w:rPr>
        <w:instrText>the</w:instrText>
      </w:r>
      <w:r w:rsidR="00531C4D" w:rsidRPr="004D35FC">
        <w:instrText xml:space="preserve"> </w:instrText>
      </w:r>
      <w:r w:rsidR="00531C4D">
        <w:rPr>
          <w:lang w:val="en-US"/>
        </w:rPr>
        <w:instrText>absence</w:instrText>
      </w:r>
      <w:r w:rsidR="00531C4D" w:rsidRPr="004D35FC">
        <w:instrText xml:space="preserve"> </w:instrText>
      </w:r>
      <w:r w:rsidR="00531C4D">
        <w:rPr>
          <w:lang w:val="en-US"/>
        </w:rPr>
        <w:instrText>of</w:instrText>
      </w:r>
      <w:r w:rsidR="00531C4D" w:rsidRPr="004D35FC">
        <w:instrText xml:space="preserve"> </w:instrText>
      </w:r>
      <w:r w:rsidR="00531C4D">
        <w:rPr>
          <w:lang w:val="en-US"/>
        </w:rPr>
        <w:instrText>excess</w:instrText>
      </w:r>
      <w:r w:rsidR="00531C4D" w:rsidRPr="004D35FC">
        <w:instrText xml:space="preserve"> </w:instrText>
      </w:r>
      <w:r w:rsidR="00531C4D">
        <w:rPr>
          <w:lang w:val="en-US"/>
        </w:rPr>
        <w:instrText>HBeAg</w:instrText>
      </w:r>
      <w:r w:rsidR="00531C4D" w:rsidRPr="004D35FC">
        <w:instrText xml:space="preserve">. </w:instrText>
      </w:r>
      <w:r w:rsidR="00531C4D">
        <w:rPr>
          <w:lang w:val="en-US"/>
        </w:rPr>
        <w:instrText>Recently</w:instrText>
      </w:r>
      <w:r w:rsidR="00531C4D" w:rsidRPr="004D35FC">
        <w:instrText xml:space="preserve">, </w:instrText>
      </w:r>
      <w:r w:rsidR="00531C4D">
        <w:rPr>
          <w:lang w:val="en-US"/>
        </w:rPr>
        <w:instrText>with</w:instrText>
      </w:r>
      <w:r w:rsidR="00531C4D" w:rsidRPr="004D35FC">
        <w:instrText xml:space="preserve"> </w:instrText>
      </w:r>
      <w:r w:rsidR="00531C4D">
        <w:rPr>
          <w:lang w:val="en-US"/>
        </w:rPr>
        <w:instrText>the</w:instrText>
      </w:r>
      <w:r w:rsidR="00531C4D" w:rsidRPr="004D35FC">
        <w:instrText xml:space="preserve"> </w:instrText>
      </w:r>
      <w:r w:rsidR="00531C4D">
        <w:rPr>
          <w:lang w:val="en-US"/>
        </w:rPr>
        <w:instrText>use</w:instrText>
      </w:r>
      <w:r w:rsidR="00531C4D" w:rsidRPr="004D35FC">
        <w:instrText xml:space="preserve"> </w:instrText>
      </w:r>
      <w:r w:rsidR="00531C4D">
        <w:rPr>
          <w:lang w:val="en-US"/>
        </w:rPr>
        <w:instrText>of</w:instrText>
      </w:r>
      <w:r w:rsidR="00531C4D" w:rsidRPr="004D35FC">
        <w:instrText xml:space="preserve"> </w:instrText>
      </w:r>
      <w:r w:rsidR="00531C4D">
        <w:rPr>
          <w:lang w:val="en-US"/>
        </w:rPr>
        <w:instrText>direct</w:instrText>
      </w:r>
      <w:r w:rsidR="00531C4D" w:rsidRPr="004D35FC">
        <w:instrText xml:space="preserve"> </w:instrText>
      </w:r>
      <w:r w:rsidR="00531C4D">
        <w:rPr>
          <w:lang w:val="en-US"/>
        </w:rPr>
        <w:instrText>anti</w:instrText>
      </w:r>
      <w:r w:rsidR="00531C4D" w:rsidRPr="004D35FC">
        <w:instrText>-</w:instrText>
      </w:r>
      <w:r w:rsidR="00531C4D">
        <w:rPr>
          <w:lang w:val="en-US"/>
        </w:rPr>
        <w:instrText>HBe</w:instrText>
      </w:r>
      <w:r w:rsidR="00531C4D" w:rsidRPr="004D35FC">
        <w:instrText xml:space="preserve"> </w:instrText>
      </w:r>
      <w:r w:rsidR="00531C4D">
        <w:rPr>
          <w:lang w:val="en-US"/>
        </w:rPr>
        <w:instrText>assays</w:instrText>
      </w:r>
      <w:r w:rsidR="00531C4D" w:rsidRPr="004D35FC">
        <w:instrText xml:space="preserve">, </w:instrText>
      </w:r>
      <w:r w:rsidR="00531C4D">
        <w:rPr>
          <w:lang w:val="en-US"/>
        </w:rPr>
        <w:instrText>anti</w:instrText>
      </w:r>
      <w:r w:rsidR="00531C4D" w:rsidRPr="004D35FC">
        <w:instrText>-</w:instrText>
      </w:r>
      <w:r w:rsidR="00531C4D">
        <w:rPr>
          <w:lang w:val="en-US"/>
        </w:rPr>
        <w:instrText>HBe</w:instrText>
      </w:r>
      <w:r w:rsidR="00531C4D" w:rsidRPr="004D35FC">
        <w:instrText xml:space="preserve"> </w:instrText>
      </w:r>
      <w:r w:rsidR="00531C4D">
        <w:rPr>
          <w:lang w:val="en-US"/>
        </w:rPr>
        <w:instrText>was</w:instrText>
      </w:r>
      <w:r w:rsidR="00531C4D" w:rsidRPr="004D35FC">
        <w:instrText xml:space="preserve"> </w:instrText>
      </w:r>
      <w:r w:rsidR="00531C4D">
        <w:rPr>
          <w:lang w:val="en-US"/>
        </w:rPr>
        <w:instrText>detected</w:instrText>
      </w:r>
      <w:r w:rsidR="00531C4D" w:rsidRPr="004D35FC">
        <w:instrText xml:space="preserve"> </w:instrText>
      </w:r>
      <w:r w:rsidR="00531C4D">
        <w:rPr>
          <w:lang w:val="en-US"/>
        </w:rPr>
        <w:instrText>in</w:instrText>
      </w:r>
      <w:r w:rsidR="00531C4D" w:rsidRPr="004D35FC">
        <w:instrText xml:space="preserve"> </w:instrText>
      </w:r>
      <w:r w:rsidR="00531C4D">
        <w:rPr>
          <w:lang w:val="en-US"/>
        </w:rPr>
        <w:instrText>individuals</w:instrText>
      </w:r>
      <w:r w:rsidR="00531C4D" w:rsidRPr="004D35FC">
        <w:instrText xml:space="preserve"> </w:instrText>
      </w:r>
      <w:r w:rsidR="00531C4D">
        <w:rPr>
          <w:lang w:val="en-US"/>
        </w:rPr>
        <w:instrText>who</w:instrText>
      </w:r>
      <w:r w:rsidR="00531C4D" w:rsidRPr="004D35FC">
        <w:instrText xml:space="preserve"> </w:instrText>
      </w:r>
      <w:r w:rsidR="00531C4D">
        <w:rPr>
          <w:lang w:val="en-US"/>
        </w:rPr>
        <w:instrText>had</w:instrText>
      </w:r>
      <w:r w:rsidR="00531C4D" w:rsidRPr="004D35FC">
        <w:instrText xml:space="preserve"> </w:instrText>
      </w:r>
      <w:r w:rsidR="00531C4D">
        <w:rPr>
          <w:lang w:val="en-US"/>
        </w:rPr>
        <w:instrText>been</w:instrText>
      </w:r>
      <w:r w:rsidR="00531C4D" w:rsidRPr="004D35FC">
        <w:instrText xml:space="preserve"> </w:instrText>
      </w:r>
      <w:r w:rsidR="00531C4D">
        <w:rPr>
          <w:lang w:val="en-US"/>
        </w:rPr>
        <w:instrText>seropositive</w:instrText>
      </w:r>
      <w:r w:rsidR="00531C4D" w:rsidRPr="004D35FC">
        <w:instrText xml:space="preserve"> </w:instrText>
      </w:r>
      <w:r w:rsidR="00531C4D">
        <w:rPr>
          <w:lang w:val="en-US"/>
        </w:rPr>
        <w:instrText>for</w:instrText>
      </w:r>
      <w:r w:rsidR="00531C4D" w:rsidRPr="004D35FC">
        <w:instrText xml:space="preserve"> </w:instrText>
      </w:r>
      <w:r w:rsidR="00531C4D">
        <w:rPr>
          <w:lang w:val="en-US"/>
        </w:rPr>
        <w:instrText>several</w:instrText>
      </w:r>
      <w:r w:rsidR="00531C4D" w:rsidRPr="004D35FC">
        <w:instrText xml:space="preserve"> </w:instrText>
      </w:r>
      <w:r w:rsidR="00531C4D">
        <w:rPr>
          <w:lang w:val="en-US"/>
        </w:rPr>
        <w:instrText>years</w:instrText>
      </w:r>
      <w:r w:rsidR="00531C4D" w:rsidRPr="004D35FC">
        <w:instrText xml:space="preserve"> </w:instrText>
      </w:r>
      <w:r w:rsidR="00531C4D">
        <w:rPr>
          <w:lang w:val="en-US"/>
        </w:rPr>
        <w:instrText>for</w:instrText>
      </w:r>
      <w:r w:rsidR="00531C4D" w:rsidRPr="004D35FC">
        <w:instrText xml:space="preserve"> </w:instrText>
      </w:r>
      <w:r w:rsidR="00531C4D">
        <w:rPr>
          <w:lang w:val="en-US"/>
        </w:rPr>
        <w:instrText>HBeAg</w:instrText>
      </w:r>
      <w:r w:rsidR="00531C4D" w:rsidRPr="004D35FC">
        <w:instrText xml:space="preserve"> [</w:instrText>
      </w:r>
      <w:r w:rsidR="00531C4D">
        <w:rPr>
          <w:lang w:val="en-US"/>
        </w:rPr>
        <w:instrText>Maruyama</w:instrText>
      </w:r>
      <w:r w:rsidR="00531C4D" w:rsidRPr="004D35FC">
        <w:instrText xml:space="preserve"> </w:instrText>
      </w:r>
      <w:r w:rsidR="00531C4D">
        <w:rPr>
          <w:lang w:val="en-US"/>
        </w:rPr>
        <w:instrText>et</w:instrText>
      </w:r>
      <w:r w:rsidR="00531C4D" w:rsidRPr="004D35FC">
        <w:instrText xml:space="preserve"> </w:instrText>
      </w:r>
      <w:r w:rsidR="00531C4D">
        <w:rPr>
          <w:lang w:val="en-US"/>
        </w:rPr>
        <w:instrText>al</w:instrText>
      </w:r>
      <w:r w:rsidR="00531C4D" w:rsidRPr="004D35FC">
        <w:instrText xml:space="preserve">. (1993) </w:instrText>
      </w:r>
      <w:r w:rsidR="00531C4D">
        <w:rPr>
          <w:lang w:val="en-US"/>
        </w:rPr>
        <w:instrText>J</w:instrText>
      </w:r>
      <w:r w:rsidR="00531C4D" w:rsidRPr="004D35FC">
        <w:instrText xml:space="preserve">. </w:instrText>
      </w:r>
      <w:r w:rsidR="00531C4D">
        <w:rPr>
          <w:lang w:val="en-US"/>
        </w:rPr>
        <w:instrText>Clin</w:instrText>
      </w:r>
      <w:r w:rsidR="00531C4D" w:rsidRPr="004D35FC">
        <w:instrText xml:space="preserve">. </w:instrText>
      </w:r>
      <w:r w:rsidR="00531C4D">
        <w:rPr>
          <w:lang w:val="en-US"/>
        </w:rPr>
        <w:instrText>Invest</w:instrText>
      </w:r>
      <w:r w:rsidR="00531C4D" w:rsidRPr="004D35FC">
        <w:instrText xml:space="preserve">. 91:2586-2595]. </w:instrText>
      </w:r>
      <w:r w:rsidR="00531C4D">
        <w:rPr>
          <w:lang w:val="en-US"/>
        </w:rPr>
        <w:instrText>Although</w:instrText>
      </w:r>
      <w:r w:rsidR="00531C4D" w:rsidRPr="004D35FC">
        <w:instrText xml:space="preserve"> </w:instrText>
      </w:r>
      <w:r w:rsidR="00531C4D">
        <w:rPr>
          <w:lang w:val="en-US"/>
        </w:rPr>
        <w:instrText>anti</w:instrText>
      </w:r>
      <w:r w:rsidR="00531C4D" w:rsidRPr="004D35FC">
        <w:instrText>-</w:instrText>
      </w:r>
      <w:r w:rsidR="00531C4D">
        <w:rPr>
          <w:lang w:val="en-US"/>
        </w:rPr>
        <w:instrText>HBe</w:instrText>
      </w:r>
      <w:r w:rsidR="00531C4D" w:rsidRPr="004D35FC">
        <w:instrText xml:space="preserve"> </w:instrText>
      </w:r>
      <w:r w:rsidR="00531C4D">
        <w:rPr>
          <w:lang w:val="en-US"/>
        </w:rPr>
        <w:instrText>seroconversion</w:instrText>
      </w:r>
      <w:r w:rsidR="00531C4D" w:rsidRPr="004D35FC">
        <w:instrText xml:space="preserve"> </w:instrText>
      </w:r>
      <w:r w:rsidR="00531C4D">
        <w:rPr>
          <w:lang w:val="en-US"/>
        </w:rPr>
        <w:instrText>does</w:instrText>
      </w:r>
      <w:r w:rsidR="00531C4D" w:rsidRPr="004D35FC">
        <w:instrText xml:space="preserve"> </w:instrText>
      </w:r>
      <w:r w:rsidR="00531C4D">
        <w:rPr>
          <w:lang w:val="en-US"/>
        </w:rPr>
        <w:instrText>not</w:instrText>
      </w:r>
      <w:r w:rsidR="00531C4D" w:rsidRPr="004D35FC">
        <w:instrText xml:space="preserve"> </w:instrText>
      </w:r>
      <w:r w:rsidR="00531C4D">
        <w:rPr>
          <w:lang w:val="en-US"/>
        </w:rPr>
        <w:instrText>necessarily</w:instrText>
      </w:r>
      <w:r w:rsidR="00531C4D" w:rsidRPr="004D35FC">
        <w:instrText xml:space="preserve"> </w:instrText>
      </w:r>
      <w:r w:rsidR="00531C4D">
        <w:rPr>
          <w:lang w:val="en-US"/>
        </w:rPr>
        <w:instrText>indicate</w:instrText>
      </w:r>
      <w:r w:rsidR="00531C4D" w:rsidRPr="004D35FC">
        <w:instrText xml:space="preserve"> </w:instrText>
      </w:r>
      <w:r w:rsidR="00531C4D">
        <w:rPr>
          <w:lang w:val="en-US"/>
        </w:rPr>
        <w:instrText>subsequent</w:instrText>
      </w:r>
      <w:r w:rsidR="00531C4D" w:rsidRPr="004D35FC">
        <w:instrText xml:space="preserve"> </w:instrText>
      </w:r>
      <w:r w:rsidR="00531C4D">
        <w:rPr>
          <w:lang w:val="en-US"/>
        </w:rPr>
        <w:instrText>HBeAg</w:instrText>
      </w:r>
      <w:r w:rsidR="00531C4D" w:rsidRPr="004D35FC">
        <w:instrText xml:space="preserve"> </w:instrText>
      </w:r>
      <w:r w:rsidR="00531C4D">
        <w:rPr>
          <w:lang w:val="en-US"/>
        </w:rPr>
        <w:instrText>clearance</w:instrText>
      </w:r>
      <w:r w:rsidR="00531C4D" w:rsidRPr="004D35FC">
        <w:instrText xml:space="preserve">, </w:instrText>
      </w:r>
      <w:r w:rsidR="00531C4D">
        <w:rPr>
          <w:lang w:val="en-US"/>
        </w:rPr>
        <w:instrText>the</w:instrText>
      </w:r>
      <w:r w:rsidR="00531C4D" w:rsidRPr="004D35FC">
        <w:instrText xml:space="preserve"> </w:instrText>
      </w:r>
      <w:r w:rsidR="00531C4D">
        <w:rPr>
          <w:lang w:val="en-US"/>
        </w:rPr>
        <w:instrText>ability</w:instrText>
      </w:r>
      <w:r w:rsidR="00531C4D" w:rsidRPr="004D35FC">
        <w:instrText xml:space="preserve"> </w:instrText>
      </w:r>
      <w:r w:rsidR="00531C4D">
        <w:rPr>
          <w:lang w:val="en-US"/>
        </w:rPr>
        <w:instrText>to</w:instrText>
      </w:r>
      <w:r w:rsidR="00531C4D" w:rsidRPr="004D35FC">
        <w:instrText xml:space="preserve"> </w:instrText>
      </w:r>
      <w:r w:rsidR="00531C4D">
        <w:rPr>
          <w:lang w:val="en-US"/>
        </w:rPr>
        <w:instrText>detect</w:instrText>
      </w:r>
      <w:r w:rsidR="00531C4D" w:rsidRPr="004D35FC">
        <w:instrText xml:space="preserve"> </w:instrText>
      </w:r>
      <w:r w:rsidR="00531C4D">
        <w:rPr>
          <w:lang w:val="en-US"/>
        </w:rPr>
        <w:instrText>earlier</w:instrText>
      </w:r>
      <w:r w:rsidR="00531C4D" w:rsidRPr="004D35FC">
        <w:instrText xml:space="preserve"> </w:instrText>
      </w:r>
      <w:r w:rsidR="00531C4D">
        <w:rPr>
          <w:lang w:val="en-US"/>
        </w:rPr>
        <w:instrText>anti</w:instrText>
      </w:r>
      <w:r w:rsidR="00531C4D" w:rsidRPr="004D35FC">
        <w:instrText>-</w:instrText>
      </w:r>
      <w:r w:rsidR="00531C4D">
        <w:rPr>
          <w:lang w:val="en-US"/>
        </w:rPr>
        <w:instrText>HBe</w:instrText>
      </w:r>
      <w:r w:rsidR="00531C4D" w:rsidRPr="004D35FC">
        <w:instrText xml:space="preserve"> </w:instrText>
      </w:r>
      <w:r w:rsidR="00531C4D">
        <w:rPr>
          <w:lang w:val="en-US"/>
        </w:rPr>
        <w:instrText>seroconversion</w:instrText>
      </w:r>
      <w:r w:rsidR="00531C4D" w:rsidRPr="004D35FC">
        <w:instrText xml:space="preserve"> </w:instrText>
      </w:r>
      <w:r w:rsidR="00531C4D">
        <w:rPr>
          <w:lang w:val="en-US"/>
        </w:rPr>
        <w:instrText>could</w:instrText>
      </w:r>
      <w:r w:rsidR="00531C4D" w:rsidRPr="004D35FC">
        <w:instrText xml:space="preserve"> </w:instrText>
      </w:r>
      <w:r w:rsidR="00531C4D">
        <w:rPr>
          <w:lang w:val="en-US"/>
        </w:rPr>
        <w:instrText>have</w:instrText>
      </w:r>
      <w:r w:rsidR="00531C4D" w:rsidRPr="004D35FC">
        <w:instrText xml:space="preserve"> </w:instrText>
      </w:r>
      <w:r w:rsidR="00531C4D">
        <w:rPr>
          <w:lang w:val="en-US"/>
        </w:rPr>
        <w:instrText>clinical</w:instrText>
      </w:r>
      <w:r w:rsidR="00531C4D" w:rsidRPr="004D35FC">
        <w:instrText xml:space="preserve"> </w:instrText>
      </w:r>
      <w:r w:rsidR="00531C4D">
        <w:rPr>
          <w:lang w:val="en-US"/>
        </w:rPr>
        <w:instrText>significance</w:instrText>
      </w:r>
      <w:r w:rsidR="00531C4D" w:rsidRPr="004D35FC">
        <w:instrText xml:space="preserve"> </w:instrText>
      </w:r>
      <w:r w:rsidR="00531C4D">
        <w:rPr>
          <w:lang w:val="en-US"/>
        </w:rPr>
        <w:instrText>for</w:instrText>
      </w:r>
      <w:r w:rsidR="00531C4D" w:rsidRPr="004D35FC">
        <w:instrText xml:space="preserve"> </w:instrText>
      </w:r>
      <w:r w:rsidR="00531C4D">
        <w:rPr>
          <w:lang w:val="en-US"/>
        </w:rPr>
        <w:instrText>monitoring</w:instrText>
      </w:r>
      <w:r w:rsidR="00531C4D" w:rsidRPr="004D35FC">
        <w:instrText xml:space="preserve"> </w:instrText>
      </w:r>
      <w:r w:rsidR="00531C4D">
        <w:rPr>
          <w:lang w:val="en-US"/>
        </w:rPr>
        <w:instrText>patients</w:instrText>
      </w:r>
      <w:r w:rsidR="00531C4D" w:rsidRPr="004D35FC">
        <w:instrText xml:space="preserve"> </w:instrText>
      </w:r>
      <w:r w:rsidR="00531C4D">
        <w:rPr>
          <w:lang w:val="en-US"/>
        </w:rPr>
        <w:instrText>undergoing</w:instrText>
      </w:r>
      <w:r w:rsidR="00531C4D" w:rsidRPr="004D35FC">
        <w:instrText xml:space="preserve"> </w:instrText>
      </w:r>
      <w:r w:rsidR="00531C4D">
        <w:rPr>
          <w:lang w:val="en-US"/>
        </w:rPr>
        <w:instrText>HBV</w:instrText>
      </w:r>
      <w:r w:rsidR="00531C4D" w:rsidRPr="004D35FC">
        <w:instrText xml:space="preserve"> </w:instrText>
      </w:r>
      <w:r w:rsidR="00531C4D">
        <w:rPr>
          <w:lang w:val="en-US"/>
        </w:rPr>
        <w:instrText>immunotherapy</w:instrText>
      </w:r>
      <w:r w:rsidR="00531C4D" w:rsidRPr="004D35FC">
        <w:instrText xml:space="preserve"> (</w:instrText>
      </w:r>
      <w:r w:rsidR="00531C4D">
        <w:rPr>
          <w:lang w:val="en-US"/>
        </w:rPr>
        <w:instrText>e</w:instrText>
      </w:r>
      <w:r w:rsidR="00531C4D" w:rsidRPr="004D35FC">
        <w:instrText>.</w:instrText>
      </w:r>
      <w:r w:rsidR="00531C4D">
        <w:rPr>
          <w:lang w:val="en-US"/>
        </w:rPr>
        <w:instrText>g</w:instrText>
      </w:r>
      <w:r w:rsidR="00531C4D" w:rsidRPr="004D35FC">
        <w:instrText xml:space="preserve">., </w:instrText>
      </w:r>
      <w:r w:rsidR="00531C4D">
        <w:rPr>
          <w:lang w:val="en-US"/>
        </w:rPr>
        <w:instrText>α</w:instrText>
      </w:r>
      <w:r w:rsidR="00531C4D" w:rsidRPr="004D35FC">
        <w:instrText xml:space="preserve"> </w:instrText>
      </w:r>
      <w:r w:rsidR="00531C4D">
        <w:rPr>
          <w:lang w:val="en-US"/>
        </w:rPr>
        <w:instrText>interferon</w:instrText>
      </w:r>
      <w:r w:rsidR="00531C4D" w:rsidRPr="004D35FC">
        <w:instrText xml:space="preserve"> </w:instrText>
      </w:r>
      <w:r w:rsidR="00531C4D">
        <w:rPr>
          <w:lang w:val="en-US"/>
        </w:rPr>
        <w:instrText>therapy</w:instrText>
      </w:r>
      <w:r w:rsidR="00531C4D" w:rsidRPr="004D35FC">
        <w:instrText xml:space="preserve">). </w:instrText>
      </w:r>
      <w:r w:rsidR="00531C4D">
        <w:rPr>
          <w:lang w:val="en-US"/>
        </w:rPr>
        <w:instrText>Because</w:instrText>
      </w:r>
      <w:r w:rsidR="00531C4D" w:rsidRPr="004D35FC">
        <w:instrText xml:space="preserve"> </w:instrText>
      </w:r>
      <w:r w:rsidR="00531C4D">
        <w:rPr>
          <w:lang w:val="en-US"/>
        </w:rPr>
        <w:instrText>the</w:instrText>
      </w:r>
      <w:r w:rsidR="00531C4D" w:rsidRPr="004D35FC">
        <w:instrText xml:space="preserve"> </w:instrText>
      </w:r>
      <w:r w:rsidR="00531C4D">
        <w:rPr>
          <w:lang w:val="en-US"/>
        </w:rPr>
        <w:instrText>HBeAg</w:instrText>
      </w:r>
      <w:r w:rsidR="00531C4D" w:rsidRPr="004D35FC">
        <w:instrText xml:space="preserve"> </w:instrText>
      </w:r>
      <w:r w:rsidR="00531C4D">
        <w:rPr>
          <w:lang w:val="en-US"/>
        </w:rPr>
        <w:instrText>and</w:instrText>
      </w:r>
      <w:r w:rsidR="00531C4D" w:rsidRPr="004D35FC">
        <w:instrText xml:space="preserve"> </w:instrText>
      </w:r>
      <w:r w:rsidR="00531C4D">
        <w:rPr>
          <w:lang w:val="en-US"/>
        </w:rPr>
        <w:instrText>the</w:instrText>
      </w:r>
      <w:r w:rsidR="00531C4D" w:rsidRPr="004D35FC">
        <w:instrText xml:space="preserve"> </w:instrText>
      </w:r>
      <w:r w:rsidR="00531C4D">
        <w:rPr>
          <w:lang w:val="en-US"/>
        </w:rPr>
        <w:instrText>HBcAg</w:instrText>
      </w:r>
      <w:r w:rsidR="00531C4D" w:rsidRPr="004D35FC">
        <w:instrText xml:space="preserve"> </w:instrText>
      </w:r>
      <w:r w:rsidR="00531C4D">
        <w:rPr>
          <w:lang w:val="en-US"/>
        </w:rPr>
        <w:instrText>share</w:instrText>
      </w:r>
      <w:r w:rsidR="00531C4D" w:rsidRPr="004D35FC">
        <w:instrText xml:space="preserve"> 149 </w:instrText>
      </w:r>
      <w:r w:rsidR="00531C4D">
        <w:rPr>
          <w:lang w:val="en-US"/>
        </w:rPr>
        <w:instrText>amino</w:instrText>
      </w:r>
      <w:r w:rsidR="00531C4D" w:rsidRPr="004D35FC">
        <w:instrText xml:space="preserve"> </w:instrText>
      </w:r>
      <w:r w:rsidR="00531C4D">
        <w:rPr>
          <w:lang w:val="en-US"/>
        </w:rPr>
        <w:instrText>acids</w:instrText>
      </w:r>
      <w:r w:rsidR="00531C4D" w:rsidRPr="004D35FC">
        <w:instrText xml:space="preserve">, </w:instrText>
      </w:r>
      <w:r w:rsidR="00531C4D">
        <w:rPr>
          <w:lang w:val="en-US"/>
        </w:rPr>
        <w:instrText>an</w:instrText>
      </w:r>
      <w:r w:rsidR="00531C4D" w:rsidRPr="004D35FC">
        <w:instrText xml:space="preserve"> </w:instrText>
      </w:r>
      <w:r w:rsidR="00531C4D">
        <w:rPr>
          <w:lang w:val="en-US"/>
        </w:rPr>
        <w:instrText>anti</w:instrText>
      </w:r>
      <w:r w:rsidR="00531C4D" w:rsidRPr="004D35FC">
        <w:instrText>-</w:instrText>
      </w:r>
      <w:r w:rsidR="00531C4D">
        <w:rPr>
          <w:lang w:val="en-US"/>
        </w:rPr>
        <w:instrText>HBe</w:instrText>
      </w:r>
      <w:r w:rsidR="00531C4D" w:rsidRPr="004D35FC">
        <w:instrText xml:space="preserve"> </w:instrText>
      </w:r>
      <w:r w:rsidR="00531C4D">
        <w:rPr>
          <w:lang w:val="en-US"/>
        </w:rPr>
        <w:instrText>assay</w:instrText>
      </w:r>
      <w:r w:rsidR="00531C4D" w:rsidRPr="004D35FC">
        <w:instrText xml:space="preserve"> </w:instrText>
      </w:r>
      <w:r w:rsidR="00531C4D">
        <w:rPr>
          <w:lang w:val="en-US"/>
        </w:rPr>
        <w:instrText>must</w:instrText>
      </w:r>
      <w:r w:rsidR="00531C4D" w:rsidRPr="004D35FC">
        <w:instrText xml:space="preserve"> </w:instrText>
      </w:r>
      <w:r w:rsidR="00531C4D">
        <w:rPr>
          <w:lang w:val="en-US"/>
        </w:rPr>
        <w:instrText>distinguish</w:instrText>
      </w:r>
      <w:r w:rsidR="00531C4D" w:rsidRPr="004D35FC">
        <w:instrText xml:space="preserve"> </w:instrText>
      </w:r>
      <w:r w:rsidR="00531C4D">
        <w:rPr>
          <w:lang w:val="en-US"/>
        </w:rPr>
        <w:instrText>anti</w:instrText>
      </w:r>
      <w:r w:rsidR="00531C4D" w:rsidRPr="004D35FC">
        <w:instrText>-</w:instrText>
      </w:r>
      <w:r w:rsidR="00531C4D">
        <w:rPr>
          <w:lang w:val="en-US"/>
        </w:rPr>
        <w:instrText>HBe</w:instrText>
      </w:r>
      <w:r w:rsidR="00531C4D" w:rsidRPr="004D35FC">
        <w:instrText xml:space="preserve"> </w:instrText>
      </w:r>
      <w:r w:rsidR="00531C4D">
        <w:rPr>
          <w:lang w:val="en-US"/>
        </w:rPr>
        <w:instrText>from</w:instrText>
      </w:r>
      <w:r w:rsidR="00531C4D" w:rsidRPr="004D35FC">
        <w:instrText xml:space="preserve"> </w:instrText>
      </w:r>
      <w:r w:rsidR="00531C4D">
        <w:rPr>
          <w:lang w:val="en-US"/>
        </w:rPr>
        <w:instrText>anti</w:instrText>
      </w:r>
      <w:r w:rsidR="00531C4D" w:rsidRPr="004D35FC">
        <w:instrText>-</w:instrText>
      </w:r>
      <w:r w:rsidR="00531C4D">
        <w:rPr>
          <w:lang w:val="en-US"/>
        </w:rPr>
        <w:instrText>HBc</w:instrText>
      </w:r>
      <w:r w:rsidR="00531C4D" w:rsidRPr="004D35FC">
        <w:instrText xml:space="preserve"> </w:instrText>
      </w:r>
      <w:r w:rsidR="00531C4D">
        <w:rPr>
          <w:lang w:val="en-US"/>
        </w:rPr>
        <w:instrText>antibodies</w:instrText>
      </w:r>
      <w:r w:rsidR="00531C4D" w:rsidRPr="004D35FC">
        <w:instrText xml:space="preserve">. </w:instrText>
      </w:r>
      <w:r w:rsidR="00531C4D">
        <w:rPr>
          <w:lang w:val="en-US"/>
        </w:rPr>
        <w:instrText>Although</w:instrText>
      </w:r>
      <w:r w:rsidR="00531C4D" w:rsidRPr="004D35FC">
        <w:instrText xml:space="preserve"> </w:instrText>
      </w:r>
      <w:r w:rsidR="00531C4D">
        <w:rPr>
          <w:lang w:val="en-US"/>
        </w:rPr>
        <w:instrText>the</w:instrText>
      </w:r>
      <w:r w:rsidR="00531C4D" w:rsidRPr="004D35FC">
        <w:instrText xml:space="preserve"> </w:instrText>
      </w:r>
      <w:r w:rsidR="00531C4D">
        <w:rPr>
          <w:lang w:val="en-US"/>
        </w:rPr>
        <w:instrText>HBV</w:instrText>
      </w:r>
      <w:r w:rsidR="00531C4D" w:rsidRPr="004D35FC">
        <w:instrText xml:space="preserve"> </w:instrText>
      </w:r>
      <w:r w:rsidR="00531C4D">
        <w:rPr>
          <w:lang w:val="en-US"/>
        </w:rPr>
        <w:instrText>HBeAg</w:instrText>
      </w:r>
      <w:r w:rsidR="00531C4D" w:rsidRPr="004D35FC">
        <w:instrText xml:space="preserve"> </w:instrText>
      </w:r>
      <w:r w:rsidR="00531C4D">
        <w:rPr>
          <w:lang w:val="en-US"/>
        </w:rPr>
        <w:instrText>and</w:instrText>
      </w:r>
      <w:r w:rsidR="00531C4D" w:rsidRPr="004D35FC">
        <w:instrText xml:space="preserve"> </w:instrText>
      </w:r>
      <w:r w:rsidR="00531C4D">
        <w:rPr>
          <w:lang w:val="en-US"/>
        </w:rPr>
        <w:instrText>HBcAg</w:instrText>
      </w:r>
      <w:r w:rsidR="00531C4D" w:rsidRPr="004D35FC">
        <w:instrText xml:space="preserve"> </w:instrText>
      </w:r>
      <w:r w:rsidR="00531C4D">
        <w:rPr>
          <w:lang w:val="en-US"/>
        </w:rPr>
        <w:instrText>display</w:instrText>
      </w:r>
      <w:r w:rsidR="00531C4D" w:rsidRPr="004D35FC">
        <w:instrText xml:space="preserve"> </w:instrText>
      </w:r>
      <w:r w:rsidR="00531C4D">
        <w:rPr>
          <w:lang w:val="en-US"/>
        </w:rPr>
        <w:instrText>distinct</w:instrText>
      </w:r>
      <w:r w:rsidR="00531C4D" w:rsidRPr="004D35FC">
        <w:instrText xml:space="preserve"> </w:instrText>
      </w:r>
      <w:r w:rsidR="00531C4D">
        <w:rPr>
          <w:lang w:val="en-US"/>
        </w:rPr>
        <w:instrText>immunogenic</w:instrText>
      </w:r>
      <w:r w:rsidR="00531C4D" w:rsidRPr="004D35FC">
        <w:instrText xml:space="preserve"> </w:instrText>
      </w:r>
      <w:r w:rsidR="00531C4D">
        <w:rPr>
          <w:lang w:val="en-US"/>
        </w:rPr>
        <w:instrText>determinants</w:instrText>
      </w:r>
      <w:r w:rsidR="00531C4D" w:rsidRPr="004D35FC">
        <w:instrText xml:space="preserve">, </w:instrText>
      </w:r>
      <w:r w:rsidR="00531C4D">
        <w:rPr>
          <w:lang w:val="en-US"/>
        </w:rPr>
        <w:instrText>much</w:instrText>
      </w:r>
      <w:r w:rsidR="00531C4D" w:rsidRPr="004D35FC">
        <w:instrText xml:space="preserve"> </w:instrText>
      </w:r>
      <w:r w:rsidR="00531C4D">
        <w:rPr>
          <w:lang w:val="en-US"/>
        </w:rPr>
        <w:instrText>remains</w:instrText>
      </w:r>
      <w:r w:rsidR="00531C4D" w:rsidRPr="004D35FC">
        <w:instrText xml:space="preserve"> </w:instrText>
      </w:r>
      <w:r w:rsidR="00531C4D">
        <w:rPr>
          <w:lang w:val="en-US"/>
        </w:rPr>
        <w:instrText>unknown</w:instrText>
      </w:r>
      <w:r w:rsidR="00531C4D" w:rsidRPr="004D35FC">
        <w:instrText xml:space="preserve"> </w:instrText>
      </w:r>
      <w:r w:rsidR="00531C4D">
        <w:rPr>
          <w:lang w:val="en-US"/>
        </w:rPr>
        <w:instrText>regarding</w:instrText>
      </w:r>
      <w:r w:rsidR="00531C4D" w:rsidRPr="004D35FC">
        <w:instrText xml:space="preserve"> </w:instrText>
      </w:r>
      <w:r w:rsidR="00531C4D">
        <w:rPr>
          <w:lang w:val="en-US"/>
        </w:rPr>
        <w:instrText>the</w:instrText>
      </w:r>
      <w:r w:rsidR="00531C4D" w:rsidRPr="004D35FC">
        <w:instrText xml:space="preserve"> </w:instrText>
      </w:r>
      <w:r w:rsidR="00531C4D">
        <w:rPr>
          <w:lang w:val="en-US"/>
        </w:rPr>
        <w:instrText>complete</w:instrText>
      </w:r>
      <w:r w:rsidR="00531C4D" w:rsidRPr="004D35FC">
        <w:instrText xml:space="preserve"> </w:instrText>
      </w:r>
      <w:r w:rsidR="00531C4D">
        <w:rPr>
          <w:lang w:val="en-US"/>
        </w:rPr>
        <w:instrText>epitope</w:instrText>
      </w:r>
      <w:r w:rsidR="00531C4D" w:rsidRPr="004D35FC">
        <w:instrText xml:space="preserve"> </w:instrText>
      </w:r>
      <w:r w:rsidR="00531C4D">
        <w:rPr>
          <w:lang w:val="en-US"/>
        </w:rPr>
        <w:instrText>spectrum</w:instrText>
      </w:r>
      <w:r w:rsidR="00531C4D" w:rsidRPr="004D35FC">
        <w:instrText xml:space="preserve"> </w:instrText>
      </w:r>
      <w:r w:rsidR="00531C4D">
        <w:rPr>
          <w:lang w:val="en-US"/>
        </w:rPr>
        <w:instrText>specific</w:instrText>
      </w:r>
      <w:r w:rsidR="00531C4D" w:rsidRPr="004D35FC">
        <w:instrText xml:space="preserve"> </w:instrText>
      </w:r>
      <w:r w:rsidR="00531C4D">
        <w:rPr>
          <w:lang w:val="en-US"/>
        </w:rPr>
        <w:instrText>to</w:instrText>
      </w:r>
      <w:r w:rsidR="00531C4D" w:rsidRPr="004D35FC">
        <w:instrText xml:space="preserve"> </w:instrText>
      </w:r>
      <w:r w:rsidR="00531C4D">
        <w:rPr>
          <w:lang w:val="en-US"/>
        </w:rPr>
        <w:instrText>each</w:instrText>
      </w:r>
      <w:r w:rsidR="00531C4D" w:rsidRPr="004D35FC">
        <w:instrText xml:space="preserve"> </w:instrText>
      </w:r>
      <w:r w:rsidR="00531C4D">
        <w:rPr>
          <w:lang w:val="en-US"/>
        </w:rPr>
        <w:instrText>antigen</w:instrText>
      </w:r>
      <w:r w:rsidR="00531C4D" w:rsidRPr="004D35FC">
        <w:instrText xml:space="preserve">. </w:instrText>
      </w:r>
      <w:r w:rsidR="00531C4D">
        <w:rPr>
          <w:lang w:val="en-US"/>
        </w:rPr>
        <w:instrText>The</w:instrText>
      </w:r>
      <w:r w:rsidR="00531C4D" w:rsidRPr="004D35FC">
        <w:instrText xml:space="preserve"> </w:instrText>
      </w:r>
      <w:r w:rsidR="00531C4D">
        <w:rPr>
          <w:lang w:val="en-US"/>
        </w:rPr>
        <w:instrText>goal</w:instrText>
      </w:r>
      <w:r w:rsidR="00531C4D" w:rsidRPr="004D35FC">
        <w:instrText xml:space="preserve"> </w:instrText>
      </w:r>
      <w:r w:rsidR="00531C4D">
        <w:rPr>
          <w:lang w:val="en-US"/>
        </w:rPr>
        <w:instrText>of</w:instrText>
      </w:r>
      <w:r w:rsidR="00531C4D" w:rsidRPr="004D35FC">
        <w:instrText xml:space="preserve"> </w:instrText>
      </w:r>
      <w:r w:rsidR="00531C4D">
        <w:rPr>
          <w:lang w:val="en-US"/>
        </w:rPr>
        <w:instrText>this</w:instrText>
      </w:r>
      <w:r w:rsidR="00531C4D" w:rsidRPr="004D35FC">
        <w:instrText xml:space="preserve"> </w:instrText>
      </w:r>
      <w:r w:rsidR="00531C4D">
        <w:rPr>
          <w:lang w:val="en-US"/>
        </w:rPr>
        <w:instrText>study</w:instrText>
      </w:r>
      <w:r w:rsidR="00531C4D" w:rsidRPr="004D35FC">
        <w:instrText xml:space="preserve"> </w:instrText>
      </w:r>
      <w:r w:rsidR="00531C4D">
        <w:rPr>
          <w:lang w:val="en-US"/>
        </w:rPr>
        <w:instrText>was</w:instrText>
      </w:r>
      <w:r w:rsidR="00531C4D" w:rsidRPr="004D35FC">
        <w:instrText xml:space="preserve"> 3-</w:instrText>
      </w:r>
      <w:r w:rsidR="00531C4D">
        <w:rPr>
          <w:lang w:val="en-US"/>
        </w:rPr>
        <w:instrText>fold</w:instrText>
      </w:r>
      <w:r w:rsidR="00531C4D" w:rsidRPr="004D35FC">
        <w:instrText xml:space="preserve">. </w:instrText>
      </w:r>
      <w:r w:rsidR="00531C4D">
        <w:rPr>
          <w:lang w:val="en-US"/>
        </w:rPr>
        <w:instrText>The</w:instrText>
      </w:r>
      <w:r w:rsidR="00531C4D" w:rsidRPr="004D35FC">
        <w:instrText xml:space="preserve"> </w:instrText>
      </w:r>
      <w:r w:rsidR="00531C4D">
        <w:rPr>
          <w:lang w:val="en-US"/>
        </w:rPr>
        <w:instrText>first</w:instrText>
      </w:r>
      <w:r w:rsidR="00531C4D" w:rsidRPr="004D35FC">
        <w:instrText xml:space="preserve"> </w:instrText>
      </w:r>
      <w:r w:rsidR="00531C4D">
        <w:rPr>
          <w:lang w:val="en-US"/>
        </w:rPr>
        <w:instrText>objective</w:instrText>
      </w:r>
      <w:r w:rsidR="00531C4D" w:rsidRPr="004D35FC">
        <w:instrText xml:space="preserve"> </w:instrText>
      </w:r>
      <w:r w:rsidR="00531C4D">
        <w:rPr>
          <w:lang w:val="en-US"/>
        </w:rPr>
        <w:instrText>was</w:instrText>
      </w:r>
      <w:r w:rsidR="00531C4D" w:rsidRPr="004D35FC">
        <w:instrText xml:space="preserve"> </w:instrText>
      </w:r>
      <w:r w:rsidR="00531C4D">
        <w:rPr>
          <w:lang w:val="en-US"/>
        </w:rPr>
        <w:instrText>to</w:instrText>
      </w:r>
      <w:r w:rsidR="00531C4D" w:rsidRPr="004D35FC">
        <w:instrText xml:space="preserve"> </w:instrText>
      </w:r>
      <w:r w:rsidR="00531C4D">
        <w:rPr>
          <w:lang w:val="en-US"/>
        </w:rPr>
        <w:instrText>identify</w:instrText>
      </w:r>
      <w:r w:rsidR="00531C4D" w:rsidRPr="004D35FC">
        <w:instrText xml:space="preserve"> </w:instrText>
      </w:r>
      <w:r w:rsidR="00531C4D">
        <w:rPr>
          <w:lang w:val="en-US"/>
        </w:rPr>
        <w:instrText>HBeAg</w:instrText>
      </w:r>
      <w:r w:rsidR="00531C4D" w:rsidRPr="004D35FC">
        <w:instrText xml:space="preserve"> </w:instrText>
      </w:r>
      <w:r w:rsidR="00531C4D">
        <w:rPr>
          <w:lang w:val="en-US"/>
        </w:rPr>
        <w:instrText>specific</w:instrText>
      </w:r>
      <w:r w:rsidR="00531C4D" w:rsidRPr="004D35FC">
        <w:instrText xml:space="preserve"> </w:instrText>
      </w:r>
      <w:r w:rsidR="00531C4D">
        <w:rPr>
          <w:lang w:val="en-US"/>
        </w:rPr>
        <w:instrText>linear</w:instrText>
      </w:r>
      <w:r w:rsidR="00531C4D" w:rsidRPr="004D35FC">
        <w:instrText xml:space="preserve"> </w:instrText>
      </w:r>
      <w:r w:rsidR="00531C4D">
        <w:rPr>
          <w:lang w:val="en-US"/>
        </w:rPr>
        <w:instrText>epitopes</w:instrText>
      </w:r>
      <w:r w:rsidR="00531C4D" w:rsidRPr="004D35FC">
        <w:instrText xml:space="preserve">. </w:instrText>
      </w:r>
      <w:r w:rsidR="00531C4D">
        <w:rPr>
          <w:lang w:val="en-US"/>
        </w:rPr>
        <w:instrText>The</w:instrText>
      </w:r>
      <w:r w:rsidR="00531C4D" w:rsidRPr="004D35FC">
        <w:instrText xml:space="preserve"> </w:instrText>
      </w:r>
      <w:r w:rsidR="00531C4D">
        <w:rPr>
          <w:lang w:val="en-US"/>
        </w:rPr>
        <w:instrText>second</w:instrText>
      </w:r>
      <w:r w:rsidR="00531C4D" w:rsidRPr="004D35FC">
        <w:instrText xml:space="preserve"> </w:instrText>
      </w:r>
      <w:r w:rsidR="00531C4D">
        <w:rPr>
          <w:lang w:val="en-US"/>
        </w:rPr>
        <w:instrText>objective</w:instrText>
      </w:r>
      <w:r w:rsidR="00531C4D" w:rsidRPr="004D35FC">
        <w:instrText xml:space="preserve"> </w:instrText>
      </w:r>
      <w:r w:rsidR="00531C4D">
        <w:rPr>
          <w:lang w:val="en-US"/>
        </w:rPr>
        <w:instrText>was</w:instrText>
      </w:r>
      <w:r w:rsidR="00531C4D" w:rsidRPr="004D35FC">
        <w:instrText xml:space="preserve"> </w:instrText>
      </w:r>
      <w:r w:rsidR="00531C4D">
        <w:rPr>
          <w:lang w:val="en-US"/>
        </w:rPr>
        <w:instrText>to</w:instrText>
      </w:r>
      <w:r w:rsidR="00531C4D" w:rsidRPr="004D35FC">
        <w:instrText xml:space="preserve"> </w:instrText>
      </w:r>
      <w:r w:rsidR="00531C4D">
        <w:rPr>
          <w:lang w:val="en-US"/>
        </w:rPr>
        <w:instrText>design</w:instrText>
      </w:r>
      <w:r w:rsidR="00531C4D" w:rsidRPr="004D35FC">
        <w:instrText xml:space="preserve"> </w:instrText>
      </w:r>
      <w:r w:rsidR="00531C4D">
        <w:rPr>
          <w:lang w:val="en-US"/>
        </w:rPr>
        <w:instrText>an</w:instrText>
      </w:r>
      <w:r w:rsidR="00531C4D" w:rsidRPr="004D35FC">
        <w:instrText xml:space="preserve"> </w:instrText>
      </w:r>
      <w:r w:rsidR="00531C4D">
        <w:rPr>
          <w:lang w:val="en-US"/>
        </w:rPr>
        <w:instrText>anti</w:instrText>
      </w:r>
      <w:r w:rsidR="00531C4D" w:rsidRPr="004D35FC">
        <w:instrText>-</w:instrText>
      </w:r>
      <w:r w:rsidR="00531C4D">
        <w:rPr>
          <w:lang w:val="en-US"/>
        </w:rPr>
        <w:instrText>HBe</w:instrText>
      </w:r>
      <w:r w:rsidR="00531C4D" w:rsidRPr="004D35FC">
        <w:instrText xml:space="preserve"> </w:instrText>
      </w:r>
      <w:r w:rsidR="00531C4D">
        <w:rPr>
          <w:lang w:val="en-US"/>
        </w:rPr>
        <w:instrText>immunoassay</w:instrText>
      </w:r>
      <w:r w:rsidR="00531C4D" w:rsidRPr="004D35FC">
        <w:instrText xml:space="preserve"> </w:instrText>
      </w:r>
      <w:r w:rsidR="00531C4D">
        <w:rPr>
          <w:lang w:val="en-US"/>
        </w:rPr>
        <w:instrText>capable</w:instrText>
      </w:r>
      <w:r w:rsidR="00531C4D" w:rsidRPr="004D35FC">
        <w:instrText xml:space="preserve"> </w:instrText>
      </w:r>
      <w:r w:rsidR="00531C4D">
        <w:rPr>
          <w:lang w:val="en-US"/>
        </w:rPr>
        <w:instrText>of</w:instrText>
      </w:r>
      <w:r w:rsidR="00531C4D" w:rsidRPr="004D35FC">
        <w:instrText xml:space="preserve"> </w:instrText>
      </w:r>
      <w:r w:rsidR="00531C4D">
        <w:rPr>
          <w:lang w:val="en-US"/>
        </w:rPr>
        <w:instrText>detecting</w:instrText>
      </w:r>
      <w:r w:rsidR="00531C4D" w:rsidRPr="004D35FC">
        <w:instrText xml:space="preserve"> </w:instrText>
      </w:r>
      <w:r w:rsidR="00531C4D">
        <w:rPr>
          <w:lang w:val="en-US"/>
        </w:rPr>
        <w:instrText>anti</w:instrText>
      </w:r>
      <w:r w:rsidR="00531C4D" w:rsidRPr="004D35FC">
        <w:instrText>-</w:instrText>
      </w:r>
      <w:r w:rsidR="00531C4D">
        <w:rPr>
          <w:lang w:val="en-US"/>
        </w:rPr>
        <w:instrText>HBe</w:instrText>
      </w:r>
      <w:r w:rsidR="00531C4D" w:rsidRPr="004D35FC">
        <w:instrText xml:space="preserve"> </w:instrText>
      </w:r>
      <w:r w:rsidR="00531C4D">
        <w:rPr>
          <w:lang w:val="en-US"/>
        </w:rPr>
        <w:instrText>specific</w:instrText>
      </w:r>
      <w:r w:rsidR="00531C4D" w:rsidRPr="004D35FC">
        <w:instrText xml:space="preserve"> </w:instrText>
      </w:r>
      <w:r w:rsidR="00531C4D">
        <w:rPr>
          <w:lang w:val="en-US"/>
        </w:rPr>
        <w:instrText>antibody</w:instrText>
      </w:r>
      <w:r w:rsidR="00531C4D" w:rsidRPr="004D35FC">
        <w:instrText xml:space="preserve"> </w:instrText>
      </w:r>
      <w:r w:rsidR="00531C4D">
        <w:rPr>
          <w:lang w:val="en-US"/>
        </w:rPr>
        <w:instrText>in</w:instrText>
      </w:r>
      <w:r w:rsidR="00531C4D" w:rsidRPr="004D35FC">
        <w:instrText xml:space="preserve"> </w:instrText>
      </w:r>
      <w:r w:rsidR="00531C4D">
        <w:rPr>
          <w:lang w:val="en-US"/>
        </w:rPr>
        <w:instrText>the</w:instrText>
      </w:r>
      <w:r w:rsidR="00531C4D" w:rsidRPr="004D35FC">
        <w:instrText xml:space="preserve"> </w:instrText>
      </w:r>
      <w:r w:rsidR="00531C4D">
        <w:rPr>
          <w:lang w:val="en-US"/>
        </w:rPr>
        <w:instrText>presence</w:instrText>
      </w:r>
      <w:r w:rsidR="00531C4D" w:rsidRPr="004D35FC">
        <w:instrText xml:space="preserve"> </w:instrText>
      </w:r>
      <w:r w:rsidR="00531C4D">
        <w:rPr>
          <w:lang w:val="en-US"/>
        </w:rPr>
        <w:instrText>of</w:instrText>
      </w:r>
      <w:r w:rsidR="00531C4D" w:rsidRPr="004D35FC">
        <w:instrText xml:space="preserve"> </w:instrText>
      </w:r>
      <w:r w:rsidR="00531C4D">
        <w:rPr>
          <w:lang w:val="en-US"/>
        </w:rPr>
        <w:instrText>excess</w:instrText>
      </w:r>
      <w:r w:rsidR="00531C4D" w:rsidRPr="004D35FC">
        <w:instrText xml:space="preserve"> </w:instrText>
      </w:r>
      <w:r w:rsidR="00531C4D">
        <w:rPr>
          <w:lang w:val="en-US"/>
        </w:rPr>
        <w:instrText>HBeAg</w:instrText>
      </w:r>
      <w:r w:rsidR="00531C4D" w:rsidRPr="004D35FC">
        <w:instrText xml:space="preserve">. </w:instrText>
      </w:r>
      <w:r w:rsidR="00531C4D">
        <w:rPr>
          <w:lang w:val="en-US"/>
        </w:rPr>
        <w:instrText>The</w:instrText>
      </w:r>
      <w:r w:rsidR="00531C4D" w:rsidRPr="004D35FC">
        <w:instrText xml:space="preserve"> </w:instrText>
      </w:r>
      <w:r w:rsidR="00531C4D">
        <w:rPr>
          <w:lang w:val="en-US"/>
        </w:rPr>
        <w:instrText>third</w:instrText>
      </w:r>
      <w:r w:rsidR="00531C4D" w:rsidRPr="004D35FC">
        <w:instrText xml:space="preserve"> </w:instrText>
      </w:r>
      <w:r w:rsidR="00531C4D">
        <w:rPr>
          <w:lang w:val="en-US"/>
        </w:rPr>
        <w:instrText>objective</w:instrText>
      </w:r>
      <w:r w:rsidR="00531C4D" w:rsidRPr="004D35FC">
        <w:instrText xml:space="preserve"> </w:instrText>
      </w:r>
      <w:r w:rsidR="00531C4D">
        <w:rPr>
          <w:lang w:val="en-US"/>
        </w:rPr>
        <w:instrText>was</w:instrText>
      </w:r>
      <w:r w:rsidR="00531C4D" w:rsidRPr="004D35FC">
        <w:instrText xml:space="preserve"> </w:instrText>
      </w:r>
      <w:r w:rsidR="00531C4D">
        <w:rPr>
          <w:lang w:val="en-US"/>
        </w:rPr>
        <w:instrText>to</w:instrText>
      </w:r>
      <w:r w:rsidR="00531C4D" w:rsidRPr="004D35FC">
        <w:instrText xml:space="preserve"> </w:instrText>
      </w:r>
      <w:r w:rsidR="00531C4D">
        <w:rPr>
          <w:lang w:val="en-US"/>
        </w:rPr>
        <w:instrText>characterize early anti-HBe seroconversion antibodies. The major linear epitope residing in the HBeAg amino acid sequence was mapped and 2 novel minor epitopes (δ, γ) which appear to be HBeAg specific have been identified. An anti-HBe immunoassay capable of detecting anti-HBe specific antibody in the presence of excess HBeAg was designed. Finally, it was found that early anti-HBe seroconversion antibodies appear to be conformational, whereas later seroconversion, more typically associated with the clearance of HBeAg, is characterized by the presence of antibodies to the linear HBeAg epitopes.","author":[{"dropping-particle":"","family":"Baumeister","given":"Mark A.","non-dropping-particle":"","parse-names":false,"suffix":""},{"dropping-particle":"","family":"Medina-Selby","given":"Angelica","non-dropping-particle":"","parse-names":false,"suffix":""},{"dropping-particle":"","family":"Coit","given":"Doris","non-dropping-particle":"","parse-names":false,"suffix":""},{"dropping-particle":"","family":"Nguyen","given":"Steve","non-dropping-particle":"","parse-names":false,"suffix":""},{"dropping-particle":"","family":"George-Nascimento","given":"Carlos","non-dropping-particle":"","parse-names":false,"suffix":""},{"dropping-particle":"","family":"Gyenes","given":"Alexander","non-dropping-particle":"","parse-names":false,"suffix":""},{"dropping-particle":"","family":"Valenzuela","given":"Pablo","non-dropping-particle":"","parse-names":false,"suffix":""},{"dropping-particle":"","family":"Kuo","given":"George","non-dropping-particle":"","parse-names":false,"suffix":""},{"dropping-particle":"","family":"Chien","given":"David Y.","non-dropping-particle":"","parse-names":false,"suffix":""}],"container-title":"Journal of Medical Virology","id":"ITEM-1","issue":"3","issued":{"date-parts":[["2000","3","1"]]},"page":"256-263","publisher":"John Wiley &amp; Sons, Ltd","title":"Hepatitis B virus e antigen specific epitopes and limitations of commercial anti-HBe immunoassays","type":"article-journal","volume":"60"},"uris":["http://www.mendeley.com/documents/?uuid=157697dc-810b-3491-8616-538c082b1b1a"]}],"mendeley":{"formattedCitation":"[98]","plainTextFormattedCitation":"[98]","previouslyFormattedCitation":"[98]"},"properties":{"noteIndex":0},"schema":"https://github.com/citation-style-language/schema/raw/master/csl-citation.json"}</w:instrText>
      </w:r>
      <w:r>
        <w:rPr>
          <w:lang w:val="en-US"/>
        </w:rPr>
        <w:fldChar w:fldCharType="separate"/>
      </w:r>
      <w:r w:rsidR="00531C4D" w:rsidRPr="00531C4D">
        <w:rPr>
          <w:noProof/>
          <w:lang w:val="en-US"/>
        </w:rPr>
        <w:t>[98]</w:t>
      </w:r>
      <w:r>
        <w:rPr>
          <w:lang w:val="en-US"/>
        </w:rPr>
        <w:fldChar w:fldCharType="end"/>
      </w:r>
      <w:r w:rsidRPr="00E71F5D">
        <w:t xml:space="preserve">. Рекомендовано проведение профилактики </w:t>
      </w:r>
      <w:r>
        <w:t xml:space="preserve">гепатита </w:t>
      </w:r>
      <w:r w:rsidRPr="00E71F5D">
        <w:t>В у HBsAg-отрицательных пациентов, которым планируется пересадка костного мозга от анти-НВс-позитивных доноров: в первую очередь</w:t>
      </w:r>
      <w:r>
        <w:t xml:space="preserve"> </w:t>
      </w:r>
      <w:r w:rsidRPr="00E71F5D">
        <w:t>–</w:t>
      </w:r>
      <w:r>
        <w:t xml:space="preserve"> вакцинация;</w:t>
      </w:r>
      <w:r w:rsidRPr="00E71F5D">
        <w:t xml:space="preserve"> при </w:t>
      </w:r>
      <w:r>
        <w:t>дефиците</w:t>
      </w:r>
      <w:r w:rsidRPr="00E71F5D">
        <w:t xml:space="preserve"> времени</w:t>
      </w:r>
      <w:r>
        <w:t xml:space="preserve"> для вакцинации вследствие экстренных</w:t>
      </w:r>
      <w:r w:rsidRPr="00E71F5D">
        <w:t xml:space="preserve"> </w:t>
      </w:r>
      <w:r>
        <w:lastRenderedPageBreak/>
        <w:t xml:space="preserve">показаний к лечению гематологического заболевания </w:t>
      </w:r>
      <w:r w:rsidRPr="00E71F5D">
        <w:t xml:space="preserve">профилактику проводят с помощью специфического иммуноглобулина, ламивудина или их сочетания. </w:t>
      </w:r>
      <w:r>
        <w:t>При необходимости назначения терапии моноклональным антителом анти-CD20 у гематологических пациентов с положительными маркерами анти-НВс и/или анти-НВ</w:t>
      </w:r>
      <w:r>
        <w:rPr>
          <w:lang w:val="en-US"/>
        </w:rPr>
        <w:t>s</w:t>
      </w:r>
      <w:r>
        <w:t xml:space="preserve"> показан постоянный прием энтекавира 0,5 мг/сут на весь период лечения/поддерживающей терапии и не менее 1 года после завершения иммуносупрессивной терапии при неоднократных отрицательных результатах тестирования на ДНК ВГВ в крови; при развитии устойчивости к энтекавиру показан переход </w:t>
      </w:r>
      <w:r w:rsidRPr="001B6EC8">
        <w:t>на тенофовир</w:t>
      </w:r>
      <w:r>
        <w:t>.</w:t>
      </w:r>
    </w:p>
    <w:p w14:paraId="6B7F0E79" w14:textId="2ACA3769" w:rsidR="00D06A4B" w:rsidRPr="00A2796B" w:rsidRDefault="00D06A4B" w:rsidP="00D06A4B">
      <w:r w:rsidRPr="00E71F5D">
        <w:t xml:space="preserve">Профилактика реактивации ВГС и терапия </w:t>
      </w:r>
      <w:r>
        <w:t>В</w:t>
      </w:r>
      <w:r w:rsidRPr="00E71F5D">
        <w:t>ГС у гематологических больных с нарушениями иммунитета на этапах программной терапии представляется более затруднительной, чем у</w:t>
      </w:r>
      <w:r>
        <w:t xml:space="preserve"> лиц с нормальным иммунитетом</w:t>
      </w:r>
      <w:r w:rsidRPr="008262F3">
        <w:t xml:space="preserve"> </w:t>
      </w:r>
      <w:r>
        <w:fldChar w:fldCharType="begin" w:fldLock="1"/>
      </w:r>
      <w:r w:rsidR="00531C4D">
        <w:instrText>ADDIN CSL_CITATION {"citationItems":[{"id":"ITEM-1","itemData":{"DOI":"10.1038/nrclinonc.2012.1","ISSN":"17594774","PMID":"22271089","abstract":"Infections with hepatitis B virus (HBV) or hepatitis C virus (HCV) are associated with significant morbidity and mortality among patients with cancer, especially in patients with hematologic malignancies and those who undergo hematopoietic stem-cell transplantation. Reported rates of HBV reactivation in HBV carriers who undergo chemotherapy range from 14-72%. In these patients, mortality rates range from 5-52%. HCV reactivation seems to be less common than HBV reactivation and is usually associated with a good outcome and low mortality. However, once severe hepatitis develops, as a result of viral reactivation, mortality rates seem to be similar among patients infected with HBV or HCV. Liver damage owing to viral reactivation frequently leads to modifications or interruptions of chemotherapy, which can negatively affect patients' clinical outcome. Risk factors for the development of severe HBV or HCV reactivation need to be better defined to permit identification of patients who may benefit from preventive measures, early diagnosis, and therapy. In this article, we review the epidemiology, pathogenesis, risk factors, and clinical and laboratory manifestations associated with reactivation of HBV and HCV during immunosuppressive therapy. We also discuss strategies for the prevention and treatment of viral reactivation, including the management of reactivation with new antiviral agents. © 2012 Macmillan Publishers Limited. All rights reserved.","author":[{"dropping-particle":"","family":"Torres","given":"Harrys A.","non-dropping-particle":"","parse-names":false,"suffix":""},{"dropping-particle":"","family":"Davila","given":"Marta","non-dropping-particle":"","parse-names":false,"suffix":""}],"container-title":"Nature Reviews Clinical Oncology","id":"ITEM-1","issue":"3","issued":{"date-parts":[["2012","3"]]},"page":"156-166","publisher":"Nat Rev Clin Oncol","title":"Reactivation of hepatitis B virus and hepatitis C virus in patients with cancer","type":"article","volume":"9"},"uris":["http://www.mendeley.com/documents/?uuid=4b3e52b7-1df5-3438-ac0e-dece4683d1b8"]}],"mendeley":{"formattedCitation":"[99]","plainTextFormattedCitation":"[99]","previouslyFormattedCitation":"[99]"},"properties":{"noteIndex":0},"schema":"https://github.com/citation-style-language/schema/raw/master/csl-citation.json"}</w:instrText>
      </w:r>
      <w:r>
        <w:fldChar w:fldCharType="separate"/>
      </w:r>
      <w:r w:rsidR="00531C4D" w:rsidRPr="00531C4D">
        <w:rPr>
          <w:noProof/>
        </w:rPr>
        <w:t>[99]</w:t>
      </w:r>
      <w:r>
        <w:fldChar w:fldCharType="end"/>
      </w:r>
      <w:r w:rsidRPr="00E71F5D">
        <w:t xml:space="preserve">. Терапия </w:t>
      </w:r>
      <w:r>
        <w:t xml:space="preserve">ВГС </w:t>
      </w:r>
      <w:r w:rsidRPr="00E71F5D">
        <w:t>с применением новых препаратов прямого противовирусного действия на основе ингибиторов ферментов ВГС — NS3 и NS5B, а также блокаторов белка NS5A, позволяет достигнуть хороших результатов лечения у большинства пациентов</w:t>
      </w:r>
      <w:r w:rsidRPr="00B25E91">
        <w:t xml:space="preserve"> </w:t>
      </w:r>
      <w:r>
        <w:fldChar w:fldCharType="begin" w:fldLock="1"/>
      </w:r>
      <w:r w:rsidR="00531C4D">
        <w:instrText>ADDIN CSL_CITATION {"citationItems":[{"id":"ITEM-1","itemData":{"DOI":"10.1055/s-0034-1371006","ISSN":"10988971","PMID":"24782254","abstract":"Presently, interferon- (IFN-) containing treatment regimens are the standard of care for patients with hepatitis C virus (HCV) infections. Although this therapy eliminates the virus in a substantial proportion of patients, it has numerous side effects and contraindications. Recent approval of telaprevir and boceprevir, targeting the protease residing in nonstructural protein 3 (NS3) of the HCV genome, increased therapy success when given in combination with pegylated IFN and ribavirin, but side effects are more frequent and the management of treatment is complex. This situation will change soon with the introduction of new highly potent direct-acting antivirals. They target, in addition to the NS3 protease, NS5A, which is required for RNA replication and virion assembly and the NS5B RNA-dependent RNA polymerase. Moreover, host-cell factors such as cyclophilin A or microRNA-122, essential for HCV replication, have been pursued as therapeutic targets. In this review, the authors briefly summarize the main features of viral and cellular factors involved in HCV replication that are utilized as therapy targets for chronic hepatitis C. © 2014 by Thieme Medical Publishers, Inc.","author":[{"dropping-particle":"","family":"Rupp","given":"Daniel","non-dropping-particle":"","parse-names":false,"suffix":""},{"dropping-particle":"","family":"Bartenschlager","given":"Ralf","non-dropping-particle":"","parse-names":false,"suffix":""}],"container-title":"Seminars in Liver Disease","id":"ITEM-1","issue":"1","issued":{"date-parts":[["2014"]]},"page":"9-21","publisher":"Thieme Medical Publishers, Inc.","title":"Targets for antiviral therapy of hepatitis C","type":"article-journal","volume":"34"},"uris":["http://www.mendeley.com/documents/?uuid=545bae31-4382-32cf-83f6-b0514fa0fa7d"]}],"mendeley":{"formattedCitation":"[100]","plainTextFormattedCitation":"[100]","previouslyFormattedCitation":"[100]"},"properties":{"noteIndex":0},"schema":"https://github.com/citation-style-language/schema/raw/master/csl-citation.json"}</w:instrText>
      </w:r>
      <w:r>
        <w:fldChar w:fldCharType="separate"/>
      </w:r>
      <w:r w:rsidR="00531C4D" w:rsidRPr="00531C4D">
        <w:rPr>
          <w:noProof/>
        </w:rPr>
        <w:t>[100]</w:t>
      </w:r>
      <w:r>
        <w:fldChar w:fldCharType="end"/>
      </w:r>
      <w:r w:rsidRPr="00E71F5D">
        <w:t xml:space="preserve">. </w:t>
      </w:r>
      <w:r w:rsidRPr="00A2796B">
        <w:t xml:space="preserve">ВОЗ рекомендует использовать </w:t>
      </w:r>
      <w:r w:rsidRPr="00A2796B">
        <w:rPr>
          <w:bCs/>
        </w:rPr>
        <w:t>пангенотипные</w:t>
      </w:r>
      <w:r w:rsidRPr="00A2796B">
        <w:t xml:space="preserve"> комбинации </w:t>
      </w:r>
      <w:r>
        <w:t>противовирусных препаратов прямого действия</w:t>
      </w:r>
      <w:r w:rsidRPr="00A2796B">
        <w:rPr>
          <w:bCs/>
        </w:rPr>
        <w:t xml:space="preserve">: </w:t>
      </w:r>
    </w:p>
    <w:p w14:paraId="045B2402" w14:textId="77777777" w:rsidR="00D06A4B" w:rsidRPr="00A2796B" w:rsidRDefault="00D06A4B" w:rsidP="00C5490F">
      <w:pPr>
        <w:numPr>
          <w:ilvl w:val="0"/>
          <w:numId w:val="102"/>
        </w:numPr>
        <w:autoSpaceDE w:val="0"/>
        <w:autoSpaceDN w:val="0"/>
        <w:adjustRightInd w:val="0"/>
      </w:pPr>
      <w:r w:rsidRPr="00A2796B">
        <w:t xml:space="preserve">софосбувир/велпатасвир, 12 недель, </w:t>
      </w:r>
    </w:p>
    <w:p w14:paraId="37811181" w14:textId="77777777" w:rsidR="00D06A4B" w:rsidRPr="00A2796B" w:rsidRDefault="00D06A4B" w:rsidP="00C5490F">
      <w:pPr>
        <w:numPr>
          <w:ilvl w:val="0"/>
          <w:numId w:val="102"/>
        </w:numPr>
        <w:autoSpaceDE w:val="0"/>
        <w:autoSpaceDN w:val="0"/>
        <w:adjustRightInd w:val="0"/>
      </w:pPr>
      <w:r w:rsidRPr="00A2796B">
        <w:rPr>
          <w:lang w:val="en-US"/>
        </w:rPr>
        <w:t>c</w:t>
      </w:r>
      <w:r w:rsidRPr="00A2796B">
        <w:t xml:space="preserve">офосбувир/даклатасвир, 12 недель, </w:t>
      </w:r>
    </w:p>
    <w:p w14:paraId="6D896537" w14:textId="77777777" w:rsidR="00D06A4B" w:rsidRPr="00A2796B" w:rsidRDefault="00D06A4B" w:rsidP="00C5490F">
      <w:pPr>
        <w:numPr>
          <w:ilvl w:val="0"/>
          <w:numId w:val="102"/>
        </w:numPr>
        <w:autoSpaceDE w:val="0"/>
        <w:autoSpaceDN w:val="0"/>
        <w:adjustRightInd w:val="0"/>
      </w:pPr>
      <w:r w:rsidRPr="00A2796B">
        <w:t xml:space="preserve">глекапревир/пибрентасвир, 8 – 16 недель. </w:t>
      </w:r>
    </w:p>
    <w:p w14:paraId="4AFCE9A3" w14:textId="77777777" w:rsidR="00D06A4B" w:rsidRDefault="00D06A4B" w:rsidP="00D06A4B">
      <w:pPr>
        <w:rPr>
          <w:b/>
          <w:szCs w:val="28"/>
        </w:rPr>
      </w:pPr>
    </w:p>
    <w:p w14:paraId="639BF964" w14:textId="77777777" w:rsidR="00D06A4B" w:rsidRPr="00D20B00" w:rsidRDefault="00D06A4B" w:rsidP="00D06A4B">
      <w:pPr>
        <w:rPr>
          <w:bCs/>
          <w:i/>
          <w:iCs/>
          <w:sz w:val="22"/>
          <w:u w:val="single"/>
        </w:rPr>
      </w:pPr>
      <w:r w:rsidRPr="00D20B00">
        <w:rPr>
          <w:bCs/>
          <w:i/>
          <w:iCs/>
          <w:szCs w:val="28"/>
          <w:u w:val="single"/>
        </w:rPr>
        <w:t>Алгоритм действий врача</w:t>
      </w:r>
    </w:p>
    <w:p w14:paraId="71BB4FBC" w14:textId="77777777" w:rsidR="00D06A4B" w:rsidRDefault="00D06A4B" w:rsidP="00D06A4B">
      <w:pPr>
        <w:rPr>
          <w:szCs w:val="28"/>
        </w:rPr>
      </w:pPr>
      <w:r>
        <w:rPr>
          <w:noProof/>
        </w:rPr>
        <w:t xml:space="preserve">Врач-гематолог назначает лабораторное обследование на наличие маркеров гемотрансмиссивных инфекций согласно выше приведенному </w:t>
      </w:r>
      <w:r w:rsidRPr="00700883">
        <w:rPr>
          <w:noProof/>
        </w:rPr>
        <w:t>«</w:t>
      </w:r>
      <w:r w:rsidRPr="00700883">
        <w:rPr>
          <w:szCs w:val="28"/>
        </w:rPr>
        <w:t>Протоколу обследования образцов крови пациентов на инфекционные маркеры».</w:t>
      </w:r>
    </w:p>
    <w:p w14:paraId="39EEDA68" w14:textId="77777777" w:rsidR="00D06A4B" w:rsidRPr="00E71F5D" w:rsidRDefault="00D06A4B" w:rsidP="00D06A4B">
      <w:pPr>
        <w:rPr>
          <w:noProof/>
        </w:rPr>
      </w:pPr>
      <w:r>
        <w:rPr>
          <w:szCs w:val="28"/>
        </w:rPr>
        <w:t xml:space="preserve">В случае выявления </w:t>
      </w:r>
      <w:r>
        <w:rPr>
          <w:noProof/>
        </w:rPr>
        <w:t>маркеров гемотрансмиссивных инфекций пациента напрвляют на консультацию к врачу-инфекцианисту.</w:t>
      </w:r>
    </w:p>
    <w:p w14:paraId="178D05DC" w14:textId="2000A895" w:rsidR="00531C4D" w:rsidRPr="00531C4D" w:rsidRDefault="00531C4D" w:rsidP="00531C4D">
      <w:pPr>
        <w:pStyle w:val="2"/>
      </w:pPr>
      <w:bookmarkStart w:id="59" w:name="_Toc67522250"/>
      <w:r w:rsidRPr="00A7029B">
        <w:t>7.</w:t>
      </w:r>
      <w:r>
        <w:t xml:space="preserve">12 </w:t>
      </w:r>
      <w:r w:rsidRPr="00C15639">
        <w:t>Диагностика и лечение септического шока и острой дыхательной недостаточности у гематологических пациентов</w:t>
      </w:r>
      <w:bookmarkEnd w:id="59"/>
    </w:p>
    <w:p w14:paraId="1A5C25C0" w14:textId="77777777" w:rsidR="00531C4D" w:rsidRPr="00C15639" w:rsidRDefault="00531C4D" w:rsidP="00531C4D">
      <w:pPr>
        <w:pStyle w:val="Normal11"/>
        <w:spacing w:before="0" w:line="360" w:lineRule="auto"/>
        <w:rPr>
          <w:i/>
          <w:szCs w:val="24"/>
          <w:u w:val="single"/>
        </w:rPr>
      </w:pPr>
      <w:r w:rsidRPr="00C15639">
        <w:rPr>
          <w:i/>
          <w:szCs w:val="24"/>
          <w:u w:val="single"/>
        </w:rPr>
        <w:t>Сепсис и септический шок</w:t>
      </w:r>
    </w:p>
    <w:p w14:paraId="5C210114" w14:textId="77777777" w:rsidR="00531C4D" w:rsidRPr="00C15639" w:rsidRDefault="00531C4D" w:rsidP="00531C4D">
      <w:pPr>
        <w:pStyle w:val="Normal11"/>
        <w:spacing w:before="0" w:line="360" w:lineRule="auto"/>
        <w:ind w:firstLine="699"/>
        <w:rPr>
          <w:szCs w:val="24"/>
        </w:rPr>
      </w:pPr>
      <w:r w:rsidRPr="00C15639">
        <w:rPr>
          <w:szCs w:val="24"/>
        </w:rPr>
        <w:t>Сепсис — это угрожающая жизни органная дисфункция, вызванная нарушенным ответом организма больного на инфекцию. Сепсис регистрируется у 30% онкогематологических больных после проведения курсов химиотерапии и является одной из наиболее частых причин перевода их в отделение реанимации и интенсивной терапии (ОРИТ).</w:t>
      </w:r>
    </w:p>
    <w:p w14:paraId="79333D4B" w14:textId="77777777" w:rsidR="00531C4D" w:rsidRPr="00C15639" w:rsidRDefault="00531C4D" w:rsidP="00531C4D">
      <w:pPr>
        <w:ind w:firstLine="699"/>
        <w:rPr>
          <w:szCs w:val="24"/>
          <w:lang w:eastAsia="ru-RU"/>
        </w:rPr>
      </w:pPr>
      <w:r w:rsidRPr="00C15639">
        <w:rPr>
          <w:szCs w:val="24"/>
          <w:lang w:eastAsia="ru-RU"/>
        </w:rPr>
        <w:lastRenderedPageBreak/>
        <w:t>Сепсис является одним из факторов риска смертности у онкогематологических пациентов. Одним из наиболее тяжелых проявлений сепсиса является септический шок, который у этой категории больных является независимым предиктором летального исхода. Септический шок является одной из наиболее частых причин госпитализации в ОРИТ – 42%, а также является самой частой причиной смерти. Выживаемость при септическом шоке у больных в состоянии агранулоцитоза, по некоторым данным, составляет всего 27%. Хотя за последнее время выживаемость у онкогематологических пациентов с септическим шоком увеличилась, однако смертность все еще остается высокой и во многом зависит от оснащенности палаты интенсивной терапии, действий персонала при лечении больных с септическим шоком.</w:t>
      </w:r>
    </w:p>
    <w:p w14:paraId="3DC36F11" w14:textId="77777777" w:rsidR="00531C4D" w:rsidRPr="00C15639" w:rsidRDefault="00531C4D" w:rsidP="00531C4D">
      <w:pPr>
        <w:ind w:firstLine="699"/>
        <w:rPr>
          <w:szCs w:val="24"/>
          <w:lang w:eastAsia="ru-RU"/>
        </w:rPr>
      </w:pPr>
      <w:r w:rsidRPr="00C15639">
        <w:rPr>
          <w:szCs w:val="24"/>
          <w:lang w:eastAsia="ru-RU"/>
        </w:rPr>
        <w:t>Изучение клинических проявлений сепсиса у онкогематологических больных показало, что в 35% случаев его первые симптомы возникают в течение недели до выделения бактерий из крови, причем значимо чаще при сепсисе, обусловленном неферментирующими бактериями (56%) в сравнении с энтеробактериями (26%). У 33% больных гемобластозами лихорадка возникала лишь за сутки до развития септического шока. У онкогематологических больных обычно имеет место снижение уровня Ig</w:t>
      </w:r>
      <w:r w:rsidRPr="00C15639">
        <w:rPr>
          <w:szCs w:val="24"/>
          <w:lang w:val="en-US" w:eastAsia="ru-RU"/>
        </w:rPr>
        <w:t>G</w:t>
      </w:r>
      <w:r w:rsidRPr="00C15639">
        <w:rPr>
          <w:szCs w:val="24"/>
          <w:lang w:eastAsia="ru-RU"/>
        </w:rPr>
        <w:t xml:space="preserve"> и </w:t>
      </w:r>
      <w:r w:rsidRPr="00C15639">
        <w:rPr>
          <w:szCs w:val="24"/>
          <w:lang w:val="en-US" w:eastAsia="ru-RU"/>
        </w:rPr>
        <w:t>IgM</w:t>
      </w:r>
      <w:r w:rsidRPr="00C15639">
        <w:rPr>
          <w:szCs w:val="24"/>
          <w:lang w:eastAsia="ru-RU"/>
        </w:rPr>
        <w:t>, персистирует нейтропения, что также способствует развитию инфекционных осложнений. Таким образом, можно говорить о расширении понятия сепсис в онкогематологии. Необходимо подозревать сепсис у каждого больного онкогематологическим заболеванием или депрессией кроветоворения с фебрильной лихорадкой и даже нормальными уровнями маркеров воспаления, начинать или видоизменять таким пациентам антибиотическую терапию как можно раньше. Необходимо активное проведение комплекса диагностических исследований, повторение их, изменение тактики антимикробной терапии при отрицательных результатах у этих больных.</w:t>
      </w:r>
    </w:p>
    <w:p w14:paraId="0D88ACBB" w14:textId="77777777" w:rsidR="00531C4D" w:rsidRPr="00C15639" w:rsidRDefault="00531C4D" w:rsidP="00531C4D">
      <w:pPr>
        <w:ind w:firstLine="699"/>
        <w:rPr>
          <w:szCs w:val="24"/>
          <w:lang w:eastAsia="ru-RU"/>
        </w:rPr>
      </w:pPr>
      <w:r w:rsidRPr="00C15639">
        <w:rPr>
          <w:szCs w:val="24"/>
          <w:lang w:eastAsia="ru-RU"/>
        </w:rPr>
        <w:t xml:space="preserve">Определение понятия «сепсис» за последние годы претерпело ряд существенных изменений. </w:t>
      </w:r>
    </w:p>
    <w:p w14:paraId="4F573555" w14:textId="77777777" w:rsidR="00531C4D" w:rsidRPr="00C15639" w:rsidRDefault="00531C4D" w:rsidP="00531C4D">
      <w:pPr>
        <w:ind w:firstLine="699"/>
        <w:rPr>
          <w:szCs w:val="24"/>
          <w:lang w:eastAsia="ru-RU"/>
        </w:rPr>
      </w:pPr>
      <w:r w:rsidRPr="00C15639">
        <w:rPr>
          <w:szCs w:val="24"/>
          <w:lang w:eastAsia="ru-RU"/>
        </w:rPr>
        <w:t xml:space="preserve">В 1991 г. на согласительной конференции Американского колледжа пульмонологов и Общества специалистов критической медицины — ACCP/SCCM, состоявшейся в Чикаго, было дано определение сепсиса как системной реакции организма на инфекционный очаг («Сепсис-1»). Согласно этой концепции, выделяли синдром системного воспалительной реакции, сепсис, тяжелый сепсис, синдром полиорганной дисфункции, септической шок. </w:t>
      </w:r>
    </w:p>
    <w:p w14:paraId="5FA5EEF2" w14:textId="77777777" w:rsidR="00531C4D" w:rsidRPr="00C15639" w:rsidRDefault="00531C4D" w:rsidP="00531C4D">
      <w:pPr>
        <w:ind w:firstLine="699"/>
        <w:rPr>
          <w:szCs w:val="24"/>
          <w:lang w:eastAsia="ru-RU"/>
        </w:rPr>
      </w:pPr>
      <w:r w:rsidRPr="00C15639">
        <w:rPr>
          <w:szCs w:val="24"/>
          <w:lang w:eastAsia="ru-RU"/>
        </w:rPr>
        <w:t>В 2001 г. в этом определении был расширен список диагностических критериев, однако определение сепсиса, септического шока и органной дисфункции осталось в основном без изменений («Сепсис-2»).</w:t>
      </w:r>
    </w:p>
    <w:p w14:paraId="7BCC976C" w14:textId="34489666" w:rsidR="00531C4D" w:rsidRPr="00C15639" w:rsidRDefault="00531C4D" w:rsidP="00531C4D">
      <w:pPr>
        <w:ind w:firstLine="709"/>
        <w:rPr>
          <w:szCs w:val="24"/>
          <w:lang w:eastAsia="ru-RU"/>
        </w:rPr>
      </w:pPr>
      <w:r w:rsidRPr="00C15639">
        <w:rPr>
          <w:szCs w:val="24"/>
          <w:lang w:eastAsia="ru-RU"/>
        </w:rPr>
        <w:lastRenderedPageBreak/>
        <w:t>В январе 2014 г. Европейское общество специалистов интенсивной терапии (European Society of Intensive Care Medicine) и Общество специалистов критической медицины (Society of Critical Care Medicine) создали рабочую группу по разработке нового определения сепсиса. Это новое определение сепсиса и его осложнений получило название «Сепсис-3»</w:t>
      </w:r>
      <w:r w:rsidRPr="005E58DC">
        <w:rPr>
          <w:szCs w:val="24"/>
          <w:lang w:eastAsia="ru-RU"/>
        </w:rPr>
        <w:t xml:space="preserve"> </w:t>
      </w:r>
      <w:r>
        <w:rPr>
          <w:szCs w:val="24"/>
          <w:lang w:eastAsia="ru-RU"/>
        </w:rPr>
        <w:fldChar w:fldCharType="begin" w:fldLock="1"/>
      </w:r>
      <w:r w:rsidR="0000369C">
        <w:rPr>
          <w:szCs w:val="24"/>
          <w:lang w:eastAsia="ru-RU"/>
        </w:rPr>
        <w:instrText>ADDIN CSL_CITATION {"citationItems":[{"id":"ITEM-1","itemData":{"DOI":"10.1001/jama.2016.0287","ISSN":"15383598","PMID":"26903338","abstract":"IMPORTANCE: Definitions of sepsis and septic shock were last revised in 2001. Considerable advances have since been made into the pathobiology (changes in organ function, morphology, cell biology, biochemistry, immunology, and circulation), management, and epidemiology of sepsis, suggesting the need for reexamination. OBJECTIVE: To evaluate and, as needed, update definitions for sepsis and septic shock. PROCESS A task force (n = 19) with expertise in sepsis pathobiology, clinical trials, and epidemiology was convened by the Society of Critical Care Medicine and the European Society of Intensive Care Medicine. Definitions and clinical criteria were generated through meetings, Delphi processes, analysis of electronic health record databases, and voting, followed by circulation to international professional societies, requesting peer review and endorsement (by 31 societies listed in the Acknowledgment). KEY FINDINGS FROMEVIDENCE SYNTHESIS: Limitations of previous definitions included an excessive focus on inflammation, the misleading model that sepsis follows a continuum through severe sepsis to shock, and inadequate specificity and sensitivity of the systemic inflammatory response syndrome (SIRS) criteria. Multiple definitions and terminologies are currently in use for sepsis, septic shock, and organ dysfunction, leading to discrepancies in reported incidence and observed mortality. The task force concluded the term severe sepsis was redundant. RECOMMENDATIONS: Sepsis should be defined as life-threatening organ dysfunction caused by a dysregulated host response to infection. For clinical operationalization, organ dysfunction can be represented by an increase in the Sequential [Sepsis-related] Organ Failure Assessment (SOFA) score of 2 points or more, which is associated with an in-hospital mortality greater than 10%. Septic shock should be defined as a subset of sepsis in which particularly profound circulatory, cellular, and metabolic abnormalities are associated with a greater risk of mortality than with sepsis alone. Patients with septic shock can be clinically identified by a vasopressor requirement to maintain a mean arterial pressure of 65mmHg or greater and serum lactate level greater than 2 mmol/L (&gt;18mg/dL) in the absence of hypovolemia. This combination is associated with hospital mortality rates greater than 40%. In out-of-hospital, emergency department, or general hospital ward settings, adult patients with suspected infection can be rapidly i…","author":[{"dropping-particle":"","family":"Singer","given":"Mervyn","non-dropping-particle":"","parse-names":false,"suffix":""},{"dropping-particle":"","family":"Deutschman","given":"Clifford S.","non-dropping-particle":"","parse-names":false,"suffix":""},{"dropping-particle":"","family":"Seymour","given":"Christopherwarren","non-dropping-particle":"","parse-names":false,"suffix":""},{"dropping-particle":"","family":"Shankar-Hari","given":"Manu","non-dropping-particle":"","parse-names":false,"suffix":""},{"dropping-particle":"","family":"Annane","given":"Djillali","non-dropping-particle":"","parse-names":false,"suffix":""},{"dropping-particle":"","family":"Bauer","given":"Michael","non-dropping-particle":"","parse-names":false,"suffix":""},{"dropping-particle":"","family":"Bellomo","given":"Rinaldo","non-dropping-particle":"","parse-names":false,"suffix":""},{"dropping-particle":"","family":"Bernard","given":"Gordon R.","non-dropping-particle":"","parse-names":false,"suffix":""},{"dropping-particle":"","family":"Chiche","given":"Jean Daniel","non-dropping-particle":"","parse-names":false,"suffix":""},{"dropping-particle":"","family":"Coopersmith","given":"Craig M.","non-dropping-particle":"","parse-names":false,"suffix":""},{"dropping-particle":"","family":"Hotchkiss","given":"Richard S.","non-dropping-particle":"","parse-names":false,"suffix":""},{"dropping-particle":"","family":"Levy","given":"Mitchell M.","non-dropping-particle":"","parse-names":false,"suffix":""},{"dropping-particle":"","family":"Marshall","given":"John C.","non-dropping-particle":"","parse-names":false,"suffix":""},{"dropping-particle":"","family":"Martin","given":"Greg S.","non-dropping-particle":"","parse-names":false,"suffix":""},{"dropping-particle":"","family":"Opal","given":"Steven M.","non-dropping-particle":"","parse-names":false,"suffix":""},{"dropping-particle":"","family":"Rubenfeld","given":"Gordon D.","non-dropping-particle":"","parse-names":false,"suffix":""},{"dropping-particle":"Der","family":"Poll","given":"Tomvan","non-dropping-particle":"","parse-names":false,"suffix":""},{"dropping-particle":"","family":"Vincent","given":"Jean Louis","non-dropping-particle":"","parse-names":false,"suffix":""},{"dropping-particle":"","family":"Angus","given":"Derek C.","non-dropping-particle":"","parse-names":false,"suffix":""}],"container-title":"JAMA - Journal of the American Medical Association","id":"ITEM-1","issue":"8","issued":{"date-parts":[["2016","2","23"]]},"page":"801-810","publisher":"American Medical Association","title":"The third international consensus definitions for sepsis and septic shock (sepsis-3)","type":"article","volume":"315"},"uris":["http://www.mendeley.com/documents/?uuid=7a82ce29-56d4-3507-a1c5-e9dc199012e8"]}],"mendeley":{"formattedCitation":"[101]","plainTextFormattedCitation":"[101]","previouslyFormattedCitation":"[101]"},"properties":{"noteIndex":0},"schema":"https://github.com/citation-style-language/schema/raw/master/csl-citation.json"}</w:instrText>
      </w:r>
      <w:r>
        <w:rPr>
          <w:szCs w:val="24"/>
          <w:lang w:eastAsia="ru-RU"/>
        </w:rPr>
        <w:fldChar w:fldCharType="separate"/>
      </w:r>
      <w:r w:rsidRPr="00531C4D">
        <w:rPr>
          <w:noProof/>
          <w:szCs w:val="24"/>
          <w:lang w:eastAsia="ru-RU"/>
        </w:rPr>
        <w:t>[101]</w:t>
      </w:r>
      <w:r>
        <w:rPr>
          <w:szCs w:val="24"/>
          <w:lang w:eastAsia="ru-RU"/>
        </w:rPr>
        <w:fldChar w:fldCharType="end"/>
      </w:r>
      <w:r w:rsidRPr="00C15639">
        <w:rPr>
          <w:szCs w:val="24"/>
          <w:lang w:eastAsia="ru-RU"/>
        </w:rPr>
        <w:t>.</w:t>
      </w:r>
    </w:p>
    <w:p w14:paraId="72D9FE72" w14:textId="77777777" w:rsidR="00531C4D" w:rsidRDefault="00531C4D" w:rsidP="00531C4D">
      <w:pPr>
        <w:ind w:firstLine="708"/>
        <w:rPr>
          <w:b/>
          <w:bCs/>
          <w:lang w:eastAsia="ru-RU"/>
        </w:rPr>
      </w:pPr>
    </w:p>
    <w:p w14:paraId="30035121" w14:textId="77777777" w:rsidR="00531C4D" w:rsidRPr="00955814" w:rsidRDefault="00531C4D" w:rsidP="00531C4D">
      <w:pPr>
        <w:ind w:firstLine="708"/>
        <w:rPr>
          <w:b/>
          <w:bCs/>
          <w:lang w:eastAsia="ru-RU"/>
        </w:rPr>
      </w:pPr>
      <w:r w:rsidRPr="00955814">
        <w:rPr>
          <w:b/>
          <w:bCs/>
          <w:lang w:eastAsia="ru-RU"/>
        </w:rPr>
        <w:t>«Сепсис-3»: отличительные особенности</w:t>
      </w:r>
    </w:p>
    <w:p w14:paraId="0A4C2041" w14:textId="77777777" w:rsidR="00531C4D" w:rsidRPr="00C15639" w:rsidRDefault="00531C4D" w:rsidP="00531C4D">
      <w:pPr>
        <w:ind w:firstLine="709"/>
        <w:rPr>
          <w:b/>
          <w:szCs w:val="24"/>
        </w:rPr>
      </w:pPr>
      <w:r w:rsidRPr="00C15639">
        <w:rPr>
          <w:b/>
          <w:szCs w:val="24"/>
        </w:rPr>
        <w:t>1. Системная воспалительная реакция в настоящее время не рассматривается как критерий сепсиса.</w:t>
      </w:r>
    </w:p>
    <w:p w14:paraId="257E191C" w14:textId="77777777" w:rsidR="00531C4D" w:rsidRPr="00C15639" w:rsidRDefault="00531C4D" w:rsidP="00531C4D">
      <w:pPr>
        <w:ind w:firstLine="709"/>
        <w:rPr>
          <w:b/>
          <w:bCs/>
          <w:szCs w:val="24"/>
        </w:rPr>
      </w:pPr>
      <w:r w:rsidRPr="00C15639">
        <w:rPr>
          <w:szCs w:val="24"/>
          <w:lang w:eastAsia="ru-RU"/>
        </w:rPr>
        <w:t>Сепсис — это угрожающая жизни органная дисфункция, вызванная нарушенным ответом организма больного на инфекцию.</w:t>
      </w:r>
    </w:p>
    <w:p w14:paraId="71960330" w14:textId="77777777" w:rsidR="00531C4D" w:rsidRPr="00C15639" w:rsidRDefault="00531C4D" w:rsidP="00531C4D">
      <w:pPr>
        <w:ind w:firstLine="709"/>
        <w:rPr>
          <w:b/>
          <w:szCs w:val="24"/>
        </w:rPr>
      </w:pPr>
      <w:r w:rsidRPr="00C15639">
        <w:rPr>
          <w:b/>
          <w:szCs w:val="24"/>
        </w:rPr>
        <w:t xml:space="preserve">2. Системная воспалительная реакция заменена шкалой органной недостаточности </w:t>
      </w:r>
      <w:r w:rsidRPr="00C15639">
        <w:rPr>
          <w:b/>
          <w:szCs w:val="24"/>
          <w:lang w:val="en-US"/>
        </w:rPr>
        <w:t>qSOFA</w:t>
      </w:r>
      <w:r w:rsidRPr="00C15639">
        <w:rPr>
          <w:b/>
          <w:szCs w:val="24"/>
        </w:rPr>
        <w:t xml:space="preserve"> (</w:t>
      </w:r>
      <w:r w:rsidRPr="00C15639">
        <w:rPr>
          <w:b/>
          <w:szCs w:val="24"/>
          <w:lang w:val="en-US"/>
        </w:rPr>
        <w:t>quick</w:t>
      </w:r>
      <w:r w:rsidRPr="00C15639">
        <w:rPr>
          <w:b/>
          <w:szCs w:val="24"/>
        </w:rPr>
        <w:t xml:space="preserve"> </w:t>
      </w:r>
      <w:r w:rsidRPr="00C15639">
        <w:rPr>
          <w:b/>
          <w:szCs w:val="24"/>
          <w:lang w:val="en-US"/>
        </w:rPr>
        <w:t>Sequential</w:t>
      </w:r>
      <w:r w:rsidRPr="00C15639">
        <w:rPr>
          <w:b/>
          <w:szCs w:val="24"/>
        </w:rPr>
        <w:t xml:space="preserve"> </w:t>
      </w:r>
      <w:r w:rsidRPr="00C15639">
        <w:rPr>
          <w:b/>
          <w:szCs w:val="24"/>
          <w:lang w:val="en-US"/>
        </w:rPr>
        <w:t>Organ</w:t>
      </w:r>
      <w:r w:rsidRPr="00C15639">
        <w:rPr>
          <w:b/>
          <w:szCs w:val="24"/>
        </w:rPr>
        <w:t xml:space="preserve"> </w:t>
      </w:r>
      <w:r w:rsidRPr="00C15639">
        <w:rPr>
          <w:b/>
          <w:szCs w:val="24"/>
          <w:lang w:val="en-US"/>
        </w:rPr>
        <w:t>Failure</w:t>
      </w:r>
      <w:r w:rsidRPr="00C15639">
        <w:rPr>
          <w:b/>
          <w:szCs w:val="24"/>
        </w:rPr>
        <w:t xml:space="preserve"> </w:t>
      </w:r>
      <w:r w:rsidRPr="00C15639">
        <w:rPr>
          <w:b/>
          <w:szCs w:val="24"/>
          <w:lang w:val="en-US"/>
        </w:rPr>
        <w:t>Assessment</w:t>
      </w:r>
      <w:r w:rsidRPr="00C15639">
        <w:rPr>
          <w:b/>
          <w:szCs w:val="24"/>
        </w:rPr>
        <w:t>).</w:t>
      </w:r>
    </w:p>
    <w:p w14:paraId="2305353C" w14:textId="77777777" w:rsidR="00531C4D" w:rsidRPr="00C15639" w:rsidRDefault="00531C4D" w:rsidP="00531C4D">
      <w:pPr>
        <w:ind w:firstLine="709"/>
        <w:rPr>
          <w:szCs w:val="24"/>
          <w:lang w:eastAsia="ru-RU"/>
        </w:rPr>
      </w:pPr>
      <w:r w:rsidRPr="00C15639">
        <w:rPr>
          <w:szCs w:val="24"/>
          <w:lang w:eastAsia="ru-RU"/>
        </w:rPr>
        <w:t>Новые критерии qSOFA разработаны в качестве быстрого и простого инструмента, позволяющего идентифицировать сепсис в любых условиях. В отличие от SOFA, для шкалы qSOFA не требуются лабораторные тесты.</w:t>
      </w:r>
    </w:p>
    <w:p w14:paraId="19D80EBF" w14:textId="77777777" w:rsidR="00531C4D" w:rsidRPr="00C15639" w:rsidRDefault="00531C4D" w:rsidP="00531C4D">
      <w:pPr>
        <w:ind w:firstLine="709"/>
        <w:rPr>
          <w:szCs w:val="24"/>
          <w:lang w:eastAsia="ru-RU"/>
        </w:rPr>
      </w:pPr>
      <w:r w:rsidRPr="00C15639">
        <w:rPr>
          <w:szCs w:val="24"/>
          <w:lang w:eastAsia="ru-RU"/>
        </w:rPr>
        <w:t>Положительная шкала qSOFA помогает клиницисту увидеть органную дисфункцию, начать или эскалировать терапию, согласно принятым в интенсивной терапии правилам.</w:t>
      </w:r>
    </w:p>
    <w:p w14:paraId="10BA87F6" w14:textId="77777777" w:rsidR="00531C4D" w:rsidRPr="00C15639" w:rsidRDefault="00531C4D" w:rsidP="00531C4D">
      <w:pPr>
        <w:ind w:firstLine="709"/>
        <w:rPr>
          <w:szCs w:val="24"/>
          <w:lang w:eastAsia="ru-RU"/>
        </w:rPr>
      </w:pPr>
      <w:r w:rsidRPr="00C15639">
        <w:rPr>
          <w:szCs w:val="24"/>
          <w:lang w:eastAsia="ru-RU"/>
        </w:rPr>
        <w:t>Диагноз сепсиса устанавливается при подозрении на инфекцию и положительной qSOFA, то есть ≥ 2 критериев из следующих:</w:t>
      </w:r>
    </w:p>
    <w:p w14:paraId="5EFEA249" w14:textId="77777777" w:rsidR="00531C4D" w:rsidRPr="00C15639" w:rsidRDefault="00531C4D" w:rsidP="00531C4D">
      <w:pPr>
        <w:pStyle w:val="Number1"/>
        <w:spacing w:before="0" w:line="360" w:lineRule="auto"/>
        <w:ind w:firstLine="709"/>
        <w:rPr>
          <w:szCs w:val="24"/>
        </w:rPr>
      </w:pPr>
      <w:r w:rsidRPr="00C15639">
        <w:rPr>
          <w:szCs w:val="24"/>
        </w:rPr>
        <w:t>1.</w:t>
      </w:r>
      <w:r w:rsidRPr="00C15639">
        <w:rPr>
          <w:szCs w:val="24"/>
        </w:rPr>
        <w:tab/>
        <w:t>Нарушенный ментальный статус (шкала комы Глазго &lt; 15).</w:t>
      </w:r>
    </w:p>
    <w:p w14:paraId="69A4B404" w14:textId="77777777" w:rsidR="00531C4D" w:rsidRPr="00C15639" w:rsidRDefault="00531C4D" w:rsidP="00531C4D">
      <w:pPr>
        <w:pStyle w:val="Number1"/>
        <w:spacing w:before="0" w:line="360" w:lineRule="auto"/>
        <w:ind w:firstLine="709"/>
        <w:rPr>
          <w:szCs w:val="24"/>
        </w:rPr>
      </w:pPr>
      <w:r w:rsidRPr="00C15639">
        <w:rPr>
          <w:szCs w:val="24"/>
        </w:rPr>
        <w:t>2.</w:t>
      </w:r>
      <w:r w:rsidRPr="00C15639">
        <w:rPr>
          <w:szCs w:val="24"/>
        </w:rPr>
        <w:tab/>
        <w:t>Систолическое АД ≤ 100 мм рт. ст.</w:t>
      </w:r>
    </w:p>
    <w:p w14:paraId="6E9AF410" w14:textId="77777777" w:rsidR="00531C4D" w:rsidRPr="00C15639" w:rsidRDefault="00531C4D" w:rsidP="00531C4D">
      <w:pPr>
        <w:pStyle w:val="Number1"/>
        <w:spacing w:before="0" w:line="360" w:lineRule="auto"/>
        <w:ind w:firstLine="709"/>
        <w:rPr>
          <w:szCs w:val="24"/>
        </w:rPr>
      </w:pPr>
      <w:r w:rsidRPr="00C15639">
        <w:rPr>
          <w:szCs w:val="24"/>
        </w:rPr>
        <w:t>3.</w:t>
      </w:r>
      <w:r w:rsidRPr="00C15639">
        <w:rPr>
          <w:szCs w:val="24"/>
        </w:rPr>
        <w:tab/>
        <w:t>Число дыханий ≥ 22/мин.</w:t>
      </w:r>
    </w:p>
    <w:p w14:paraId="4991F842" w14:textId="77777777" w:rsidR="00531C4D" w:rsidRPr="00C15639" w:rsidRDefault="00531C4D" w:rsidP="00531C4D">
      <w:pPr>
        <w:ind w:firstLine="709"/>
        <w:rPr>
          <w:b/>
          <w:bCs/>
          <w:szCs w:val="24"/>
        </w:rPr>
      </w:pPr>
      <w:r w:rsidRPr="00C15639">
        <w:rPr>
          <w:b/>
          <w:bCs/>
          <w:szCs w:val="24"/>
        </w:rPr>
        <w:t xml:space="preserve">3. Шкала органной недостаточности </w:t>
      </w:r>
      <w:r w:rsidRPr="00C15639">
        <w:rPr>
          <w:b/>
          <w:bCs/>
          <w:szCs w:val="24"/>
          <w:lang w:val="en-US"/>
        </w:rPr>
        <w:t>SOFA</w:t>
      </w:r>
      <w:r w:rsidRPr="00C15639">
        <w:rPr>
          <w:b/>
          <w:bCs/>
          <w:szCs w:val="24"/>
        </w:rPr>
        <w:t xml:space="preserve"> (</w:t>
      </w:r>
      <w:r w:rsidRPr="00C15639">
        <w:rPr>
          <w:b/>
          <w:szCs w:val="24"/>
        </w:rPr>
        <w:t xml:space="preserve">Sepsis-related Organ Failure Assessment) </w:t>
      </w:r>
      <w:r w:rsidRPr="00C15639">
        <w:rPr>
          <w:b/>
          <w:bCs/>
          <w:szCs w:val="24"/>
        </w:rPr>
        <w:t>используется в настоящее время для клинической характеристики септических больных.</w:t>
      </w:r>
    </w:p>
    <w:p w14:paraId="7FEDCBEC" w14:textId="77777777" w:rsidR="00531C4D" w:rsidRPr="00C15639" w:rsidRDefault="00531C4D" w:rsidP="00531C4D">
      <w:pPr>
        <w:ind w:firstLine="709"/>
        <w:rPr>
          <w:szCs w:val="24"/>
          <w:lang w:eastAsia="ru-RU"/>
        </w:rPr>
      </w:pPr>
      <w:r w:rsidRPr="00C15639">
        <w:rPr>
          <w:szCs w:val="24"/>
          <w:lang w:eastAsia="ru-RU"/>
        </w:rPr>
        <w:t>Шкалы SOFA и qSOFA — «родные братья». Шкала SOFA — «золотой стандарт» для идентификации органной дисфункции у септических больных (таб.1). SOFA является лучшим предиктором госпитальной летальности, чем системная воспалительная реакция, ≥ 2 баллов по шкале SOFA означает увеличение от 2 до 25 раз риска смертельного исхода. SOFA учитывает 6 различных систем органов, придавая от 1 до 4 баллов для каждой системы. Повышение на 2 балла означает увеличение риска госпитальной летальности.</w:t>
      </w:r>
    </w:p>
    <w:p w14:paraId="60B515AB" w14:textId="77777777" w:rsidR="00531C4D" w:rsidRDefault="00531C4D" w:rsidP="00531C4D">
      <w:pPr>
        <w:pStyle w:val="table-name"/>
        <w:spacing w:before="0"/>
        <w:ind w:firstLine="0"/>
        <w:rPr>
          <w:szCs w:val="24"/>
          <w:lang w:val="ru-RU"/>
        </w:rPr>
      </w:pPr>
    </w:p>
    <w:p w14:paraId="1E0D218E" w14:textId="77777777" w:rsidR="00531C4D" w:rsidRPr="00C15639" w:rsidRDefault="00531C4D" w:rsidP="00531C4D">
      <w:pPr>
        <w:pStyle w:val="table-name"/>
        <w:spacing w:before="0"/>
        <w:ind w:firstLine="0"/>
        <w:rPr>
          <w:szCs w:val="24"/>
          <w:lang w:val="ru-RU"/>
        </w:rPr>
      </w:pPr>
      <w:r w:rsidRPr="00C15639">
        <w:rPr>
          <w:szCs w:val="24"/>
          <w:lang w:val="ru-RU"/>
        </w:rPr>
        <w:t xml:space="preserve">Таблица 1. Шкала </w:t>
      </w:r>
      <w:r w:rsidRPr="00C15639">
        <w:rPr>
          <w:szCs w:val="24"/>
        </w:rPr>
        <w:t>Sepsis</w:t>
      </w:r>
      <w:r w:rsidRPr="00C15639">
        <w:rPr>
          <w:szCs w:val="24"/>
          <w:lang w:val="ru-RU"/>
        </w:rPr>
        <w:t>-</w:t>
      </w:r>
      <w:r w:rsidRPr="00C15639">
        <w:rPr>
          <w:szCs w:val="24"/>
        </w:rPr>
        <w:t>related</w:t>
      </w:r>
      <w:r w:rsidRPr="00C15639">
        <w:rPr>
          <w:szCs w:val="24"/>
          <w:lang w:val="ru-RU"/>
        </w:rPr>
        <w:t xml:space="preserve"> </w:t>
      </w:r>
      <w:r w:rsidRPr="00C15639">
        <w:rPr>
          <w:szCs w:val="24"/>
        </w:rPr>
        <w:t>Organ</w:t>
      </w:r>
      <w:r w:rsidRPr="00C15639">
        <w:rPr>
          <w:szCs w:val="24"/>
          <w:lang w:val="ru-RU"/>
        </w:rPr>
        <w:t xml:space="preserve"> </w:t>
      </w:r>
      <w:r w:rsidRPr="00C15639">
        <w:rPr>
          <w:szCs w:val="24"/>
        </w:rPr>
        <w:t>Failure</w:t>
      </w:r>
      <w:r w:rsidRPr="00C15639">
        <w:rPr>
          <w:szCs w:val="24"/>
          <w:lang w:val="ru-RU"/>
        </w:rPr>
        <w:t xml:space="preserve"> </w:t>
      </w:r>
      <w:r w:rsidRPr="00C15639">
        <w:rPr>
          <w:szCs w:val="24"/>
        </w:rPr>
        <w:t>Assessment</w:t>
      </w:r>
      <w:r w:rsidRPr="00C15639">
        <w:rPr>
          <w:szCs w:val="24"/>
          <w:lang w:val="ru-RU"/>
        </w:rPr>
        <w:t xml:space="preserve"> (</w:t>
      </w:r>
      <w:r w:rsidRPr="00C15639">
        <w:rPr>
          <w:szCs w:val="24"/>
        </w:rPr>
        <w:t>SOFA</w:t>
      </w:r>
      <w:r w:rsidRPr="00C15639">
        <w:rPr>
          <w:szCs w:val="24"/>
          <w:lang w:val="ru-RU"/>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128"/>
        <w:gridCol w:w="1417"/>
        <w:gridCol w:w="1843"/>
        <w:gridCol w:w="1984"/>
      </w:tblGrid>
      <w:tr w:rsidR="00531C4D" w:rsidRPr="00C15639" w14:paraId="0C7C8454" w14:textId="77777777" w:rsidTr="00531C4D">
        <w:trPr>
          <w:cantSplit/>
          <w:trHeight w:val="20"/>
        </w:trPr>
        <w:tc>
          <w:tcPr>
            <w:tcW w:w="2808" w:type="dxa"/>
            <w:vMerge w:val="restart"/>
            <w:vAlign w:val="center"/>
          </w:tcPr>
          <w:p w14:paraId="78CD15A8" w14:textId="77777777" w:rsidR="00531C4D" w:rsidRPr="00C15639" w:rsidRDefault="00531C4D" w:rsidP="00531C4D">
            <w:pPr>
              <w:pStyle w:val="table-head-bold"/>
              <w:numPr>
                <w:ilvl w:val="12"/>
                <w:numId w:val="0"/>
              </w:numPr>
              <w:spacing w:before="0"/>
              <w:ind w:firstLine="425"/>
              <w:rPr>
                <w:sz w:val="24"/>
                <w:szCs w:val="24"/>
              </w:rPr>
            </w:pPr>
            <w:r w:rsidRPr="00C15639">
              <w:rPr>
                <w:sz w:val="24"/>
                <w:szCs w:val="24"/>
              </w:rPr>
              <w:t>Системы органов</w:t>
            </w:r>
          </w:p>
        </w:tc>
        <w:tc>
          <w:tcPr>
            <w:tcW w:w="6372" w:type="dxa"/>
            <w:gridSpan w:val="4"/>
          </w:tcPr>
          <w:p w14:paraId="6EC4BC66" w14:textId="77777777" w:rsidR="00531C4D" w:rsidRPr="00C15639" w:rsidRDefault="00531C4D" w:rsidP="00531C4D">
            <w:pPr>
              <w:pStyle w:val="table-head-bold"/>
              <w:numPr>
                <w:ilvl w:val="12"/>
                <w:numId w:val="0"/>
              </w:numPr>
              <w:spacing w:before="0"/>
              <w:ind w:firstLine="425"/>
              <w:rPr>
                <w:sz w:val="24"/>
                <w:szCs w:val="24"/>
              </w:rPr>
            </w:pPr>
            <w:r w:rsidRPr="00C15639">
              <w:rPr>
                <w:sz w:val="24"/>
                <w:szCs w:val="24"/>
              </w:rPr>
              <w:t>Баллы</w:t>
            </w:r>
          </w:p>
        </w:tc>
      </w:tr>
      <w:tr w:rsidR="00531C4D" w:rsidRPr="00C15639" w14:paraId="60A1DBB0" w14:textId="77777777" w:rsidTr="00531C4D">
        <w:trPr>
          <w:cantSplit/>
          <w:trHeight w:val="20"/>
        </w:trPr>
        <w:tc>
          <w:tcPr>
            <w:tcW w:w="2808" w:type="dxa"/>
            <w:vMerge/>
          </w:tcPr>
          <w:p w14:paraId="1FED33F4" w14:textId="77777777" w:rsidR="00531C4D" w:rsidRPr="00C15639" w:rsidRDefault="00531C4D" w:rsidP="00531C4D">
            <w:pPr>
              <w:pStyle w:val="table-head-bold"/>
              <w:numPr>
                <w:ilvl w:val="12"/>
                <w:numId w:val="0"/>
              </w:numPr>
              <w:spacing w:before="0"/>
              <w:ind w:firstLine="425"/>
              <w:rPr>
                <w:sz w:val="24"/>
                <w:szCs w:val="24"/>
              </w:rPr>
            </w:pPr>
          </w:p>
        </w:tc>
        <w:tc>
          <w:tcPr>
            <w:tcW w:w="1128" w:type="dxa"/>
          </w:tcPr>
          <w:p w14:paraId="69EEDC46" w14:textId="77777777" w:rsidR="00531C4D" w:rsidRPr="00C15639" w:rsidRDefault="00531C4D" w:rsidP="00531C4D">
            <w:pPr>
              <w:pStyle w:val="table-head-bold"/>
              <w:numPr>
                <w:ilvl w:val="12"/>
                <w:numId w:val="0"/>
              </w:numPr>
              <w:spacing w:before="0"/>
              <w:ind w:firstLine="425"/>
              <w:rPr>
                <w:sz w:val="24"/>
                <w:szCs w:val="24"/>
              </w:rPr>
            </w:pPr>
            <w:r w:rsidRPr="00C15639">
              <w:rPr>
                <w:sz w:val="24"/>
                <w:szCs w:val="24"/>
              </w:rPr>
              <w:t>1</w:t>
            </w:r>
          </w:p>
        </w:tc>
        <w:tc>
          <w:tcPr>
            <w:tcW w:w="1417" w:type="dxa"/>
          </w:tcPr>
          <w:p w14:paraId="0B8551F5" w14:textId="77777777" w:rsidR="00531C4D" w:rsidRPr="00C15639" w:rsidRDefault="00531C4D" w:rsidP="00531C4D">
            <w:pPr>
              <w:pStyle w:val="table-head-bold"/>
              <w:numPr>
                <w:ilvl w:val="12"/>
                <w:numId w:val="0"/>
              </w:numPr>
              <w:spacing w:before="0"/>
              <w:ind w:firstLine="425"/>
              <w:rPr>
                <w:sz w:val="24"/>
                <w:szCs w:val="24"/>
              </w:rPr>
            </w:pPr>
            <w:r w:rsidRPr="00C15639">
              <w:rPr>
                <w:sz w:val="24"/>
                <w:szCs w:val="24"/>
              </w:rPr>
              <w:t>2</w:t>
            </w:r>
          </w:p>
        </w:tc>
        <w:tc>
          <w:tcPr>
            <w:tcW w:w="1843" w:type="dxa"/>
          </w:tcPr>
          <w:p w14:paraId="14A5E665" w14:textId="77777777" w:rsidR="00531C4D" w:rsidRPr="00C15639" w:rsidRDefault="00531C4D" w:rsidP="00531C4D">
            <w:pPr>
              <w:pStyle w:val="table-head-bold"/>
              <w:numPr>
                <w:ilvl w:val="12"/>
                <w:numId w:val="0"/>
              </w:numPr>
              <w:spacing w:before="0"/>
              <w:ind w:firstLine="425"/>
              <w:rPr>
                <w:sz w:val="24"/>
                <w:szCs w:val="24"/>
              </w:rPr>
            </w:pPr>
            <w:r w:rsidRPr="00C15639">
              <w:rPr>
                <w:sz w:val="24"/>
                <w:szCs w:val="24"/>
              </w:rPr>
              <w:t>3</w:t>
            </w:r>
          </w:p>
        </w:tc>
        <w:tc>
          <w:tcPr>
            <w:tcW w:w="1984" w:type="dxa"/>
          </w:tcPr>
          <w:p w14:paraId="3B84619F" w14:textId="77777777" w:rsidR="00531C4D" w:rsidRPr="00C15639" w:rsidRDefault="00531C4D" w:rsidP="00531C4D">
            <w:pPr>
              <w:pStyle w:val="table-head-bold"/>
              <w:numPr>
                <w:ilvl w:val="12"/>
                <w:numId w:val="0"/>
              </w:numPr>
              <w:spacing w:before="0"/>
              <w:ind w:firstLine="425"/>
              <w:rPr>
                <w:sz w:val="24"/>
                <w:szCs w:val="24"/>
              </w:rPr>
            </w:pPr>
            <w:r w:rsidRPr="00C15639">
              <w:rPr>
                <w:sz w:val="24"/>
                <w:szCs w:val="24"/>
              </w:rPr>
              <w:t>4</w:t>
            </w:r>
          </w:p>
        </w:tc>
      </w:tr>
      <w:tr w:rsidR="00531C4D" w:rsidRPr="00C15639" w14:paraId="5C6E8658" w14:textId="77777777" w:rsidTr="00531C4D">
        <w:trPr>
          <w:cantSplit/>
          <w:trHeight w:val="20"/>
        </w:trPr>
        <w:tc>
          <w:tcPr>
            <w:tcW w:w="2808" w:type="dxa"/>
          </w:tcPr>
          <w:p w14:paraId="3C75E15B" w14:textId="77777777" w:rsidR="00531C4D" w:rsidRPr="00C15639" w:rsidRDefault="00531C4D" w:rsidP="00531C4D">
            <w:pPr>
              <w:pStyle w:val="table-text-0"/>
              <w:numPr>
                <w:ilvl w:val="12"/>
                <w:numId w:val="0"/>
              </w:numPr>
              <w:spacing w:before="0"/>
              <w:rPr>
                <w:b/>
                <w:sz w:val="24"/>
                <w:szCs w:val="24"/>
                <w:lang w:val="ru-RU"/>
              </w:rPr>
            </w:pPr>
            <w:r w:rsidRPr="00C15639">
              <w:rPr>
                <w:b/>
                <w:sz w:val="24"/>
                <w:szCs w:val="24"/>
                <w:lang w:val="ru-RU"/>
              </w:rPr>
              <w:lastRenderedPageBreak/>
              <w:t>Дыхание</w:t>
            </w:r>
          </w:p>
          <w:p w14:paraId="1153218D" w14:textId="77777777" w:rsidR="00531C4D" w:rsidRPr="00C15639" w:rsidRDefault="00531C4D" w:rsidP="00531C4D">
            <w:pPr>
              <w:pStyle w:val="table-text-0"/>
              <w:numPr>
                <w:ilvl w:val="12"/>
                <w:numId w:val="0"/>
              </w:numPr>
              <w:spacing w:before="0"/>
              <w:rPr>
                <w:sz w:val="24"/>
                <w:szCs w:val="24"/>
                <w:lang w:val="ru-RU"/>
              </w:rPr>
            </w:pPr>
            <w:r w:rsidRPr="00C15639">
              <w:rPr>
                <w:sz w:val="24"/>
                <w:szCs w:val="24"/>
              </w:rPr>
              <w:t>P</w:t>
            </w:r>
            <w:r w:rsidRPr="00C15639">
              <w:rPr>
                <w:sz w:val="24"/>
                <w:szCs w:val="24"/>
                <w:vertAlign w:val="subscript"/>
              </w:rPr>
              <w:t>a</w:t>
            </w:r>
            <w:r w:rsidRPr="00C15639">
              <w:rPr>
                <w:sz w:val="24"/>
                <w:szCs w:val="24"/>
              </w:rPr>
              <w:t>O</w:t>
            </w:r>
            <w:r w:rsidRPr="00C15639">
              <w:rPr>
                <w:sz w:val="24"/>
                <w:szCs w:val="24"/>
                <w:vertAlign w:val="subscript"/>
                <w:lang w:val="ru-RU"/>
              </w:rPr>
              <w:t>2</w:t>
            </w:r>
            <w:r w:rsidRPr="00C15639">
              <w:rPr>
                <w:sz w:val="24"/>
                <w:szCs w:val="24"/>
                <w:lang w:val="ru-RU"/>
              </w:rPr>
              <w:t>/</w:t>
            </w:r>
            <w:r w:rsidRPr="00C15639">
              <w:rPr>
                <w:sz w:val="24"/>
                <w:szCs w:val="24"/>
              </w:rPr>
              <w:t>F</w:t>
            </w:r>
            <w:r w:rsidRPr="00C15639">
              <w:rPr>
                <w:sz w:val="24"/>
                <w:szCs w:val="24"/>
                <w:vertAlign w:val="subscript"/>
              </w:rPr>
              <w:t>I</w:t>
            </w:r>
            <w:r w:rsidRPr="00C15639">
              <w:rPr>
                <w:sz w:val="24"/>
                <w:szCs w:val="24"/>
              </w:rPr>
              <w:t>O</w:t>
            </w:r>
            <w:r w:rsidRPr="00C15639">
              <w:rPr>
                <w:sz w:val="24"/>
                <w:szCs w:val="24"/>
                <w:vertAlign w:val="subscript"/>
                <w:lang w:val="ru-RU"/>
              </w:rPr>
              <w:t>2</w:t>
            </w:r>
            <w:r w:rsidRPr="00C15639">
              <w:rPr>
                <w:sz w:val="24"/>
                <w:szCs w:val="24"/>
                <w:lang w:val="ru-RU"/>
              </w:rPr>
              <w:t>, мм рт. ст.</w:t>
            </w:r>
          </w:p>
        </w:tc>
        <w:tc>
          <w:tcPr>
            <w:tcW w:w="1128" w:type="dxa"/>
            <w:vAlign w:val="center"/>
          </w:tcPr>
          <w:p w14:paraId="3D3AC842" w14:textId="77777777" w:rsidR="00531C4D" w:rsidRPr="00C15639" w:rsidRDefault="00531C4D" w:rsidP="00531C4D">
            <w:pPr>
              <w:pStyle w:val="table-text-0"/>
              <w:numPr>
                <w:ilvl w:val="12"/>
                <w:numId w:val="0"/>
              </w:numPr>
              <w:spacing w:before="0"/>
              <w:rPr>
                <w:sz w:val="24"/>
                <w:szCs w:val="24"/>
              </w:rPr>
            </w:pPr>
            <w:r w:rsidRPr="00C15639">
              <w:rPr>
                <w:sz w:val="24"/>
                <w:szCs w:val="24"/>
              </w:rPr>
              <w:t>399—300</w:t>
            </w:r>
          </w:p>
        </w:tc>
        <w:tc>
          <w:tcPr>
            <w:tcW w:w="1417" w:type="dxa"/>
            <w:vAlign w:val="center"/>
          </w:tcPr>
          <w:p w14:paraId="132161FF" w14:textId="77777777" w:rsidR="00531C4D" w:rsidRPr="00C15639" w:rsidRDefault="00531C4D" w:rsidP="00531C4D">
            <w:pPr>
              <w:pStyle w:val="table-text-0"/>
              <w:numPr>
                <w:ilvl w:val="12"/>
                <w:numId w:val="0"/>
              </w:numPr>
              <w:spacing w:before="0"/>
              <w:rPr>
                <w:sz w:val="24"/>
                <w:szCs w:val="24"/>
              </w:rPr>
            </w:pPr>
            <w:r w:rsidRPr="00C15639">
              <w:rPr>
                <w:sz w:val="24"/>
                <w:szCs w:val="24"/>
              </w:rPr>
              <w:t>299—200</w:t>
            </w:r>
          </w:p>
        </w:tc>
        <w:tc>
          <w:tcPr>
            <w:tcW w:w="1843" w:type="dxa"/>
            <w:vAlign w:val="center"/>
          </w:tcPr>
          <w:p w14:paraId="02B93B33" w14:textId="77777777" w:rsidR="00531C4D" w:rsidRPr="00C15639" w:rsidRDefault="00531C4D" w:rsidP="00531C4D">
            <w:pPr>
              <w:pStyle w:val="table-text-0"/>
              <w:numPr>
                <w:ilvl w:val="12"/>
                <w:numId w:val="0"/>
              </w:numPr>
              <w:spacing w:before="0"/>
              <w:rPr>
                <w:sz w:val="24"/>
                <w:szCs w:val="24"/>
              </w:rPr>
            </w:pPr>
            <w:r w:rsidRPr="00C15639">
              <w:rPr>
                <w:sz w:val="24"/>
                <w:szCs w:val="24"/>
              </w:rPr>
              <w:t>199—100</w:t>
            </w:r>
          </w:p>
        </w:tc>
        <w:tc>
          <w:tcPr>
            <w:tcW w:w="1984" w:type="dxa"/>
            <w:vAlign w:val="center"/>
          </w:tcPr>
          <w:p w14:paraId="1720B28D" w14:textId="77777777" w:rsidR="00531C4D" w:rsidRPr="00C15639" w:rsidRDefault="00531C4D" w:rsidP="00531C4D">
            <w:pPr>
              <w:pStyle w:val="table-text-0"/>
              <w:numPr>
                <w:ilvl w:val="12"/>
                <w:numId w:val="0"/>
              </w:numPr>
              <w:spacing w:before="0"/>
              <w:rPr>
                <w:sz w:val="24"/>
                <w:szCs w:val="24"/>
              </w:rPr>
            </w:pPr>
            <w:r w:rsidRPr="00C15639">
              <w:rPr>
                <w:sz w:val="24"/>
                <w:szCs w:val="24"/>
              </w:rPr>
              <w:t>&lt; 100</w:t>
            </w:r>
          </w:p>
        </w:tc>
      </w:tr>
      <w:tr w:rsidR="00531C4D" w:rsidRPr="00C15639" w14:paraId="120774F2" w14:textId="77777777" w:rsidTr="00531C4D">
        <w:trPr>
          <w:cantSplit/>
          <w:trHeight w:val="20"/>
        </w:trPr>
        <w:tc>
          <w:tcPr>
            <w:tcW w:w="2808" w:type="dxa"/>
          </w:tcPr>
          <w:p w14:paraId="1724B484" w14:textId="77777777" w:rsidR="00531C4D" w:rsidRPr="00C15639" w:rsidRDefault="00531C4D" w:rsidP="00531C4D">
            <w:pPr>
              <w:pStyle w:val="table-text-0"/>
              <w:numPr>
                <w:ilvl w:val="12"/>
                <w:numId w:val="0"/>
              </w:numPr>
              <w:spacing w:before="0"/>
              <w:rPr>
                <w:b/>
                <w:sz w:val="24"/>
                <w:szCs w:val="24"/>
              </w:rPr>
            </w:pPr>
            <w:r w:rsidRPr="00C15639">
              <w:rPr>
                <w:b/>
                <w:sz w:val="24"/>
                <w:szCs w:val="24"/>
              </w:rPr>
              <w:t>Коагуляция</w:t>
            </w:r>
          </w:p>
          <w:p w14:paraId="762DD78F" w14:textId="77777777" w:rsidR="00531C4D" w:rsidRPr="00C15639" w:rsidRDefault="00531C4D" w:rsidP="00531C4D">
            <w:pPr>
              <w:pStyle w:val="table-text-0"/>
              <w:numPr>
                <w:ilvl w:val="12"/>
                <w:numId w:val="0"/>
              </w:numPr>
              <w:spacing w:before="0"/>
              <w:rPr>
                <w:sz w:val="24"/>
                <w:szCs w:val="24"/>
              </w:rPr>
            </w:pPr>
            <w:r w:rsidRPr="00C15639">
              <w:rPr>
                <w:sz w:val="24"/>
                <w:szCs w:val="24"/>
              </w:rPr>
              <w:t xml:space="preserve">Тромбоциты, </w:t>
            </w:r>
            <w:r w:rsidRPr="00C15639">
              <w:rPr>
                <w:sz w:val="24"/>
                <w:szCs w:val="24"/>
              </w:rPr>
              <w:t> 10</w:t>
            </w:r>
            <w:r w:rsidRPr="00C15639">
              <w:rPr>
                <w:sz w:val="24"/>
                <w:szCs w:val="24"/>
                <w:vertAlign w:val="superscript"/>
              </w:rPr>
              <w:t>3</w:t>
            </w:r>
            <w:r w:rsidRPr="00C15639">
              <w:rPr>
                <w:sz w:val="24"/>
                <w:szCs w:val="24"/>
              </w:rPr>
              <w:t>/мм</w:t>
            </w:r>
            <w:r w:rsidRPr="00C15639">
              <w:rPr>
                <w:sz w:val="24"/>
                <w:szCs w:val="24"/>
                <w:vertAlign w:val="superscript"/>
              </w:rPr>
              <w:t>3</w:t>
            </w:r>
          </w:p>
        </w:tc>
        <w:tc>
          <w:tcPr>
            <w:tcW w:w="1128" w:type="dxa"/>
            <w:vAlign w:val="center"/>
          </w:tcPr>
          <w:p w14:paraId="57B37E36" w14:textId="77777777" w:rsidR="00531C4D" w:rsidRPr="00C15639" w:rsidRDefault="00531C4D" w:rsidP="00531C4D">
            <w:pPr>
              <w:pStyle w:val="table-text-0"/>
              <w:numPr>
                <w:ilvl w:val="12"/>
                <w:numId w:val="0"/>
              </w:numPr>
              <w:spacing w:before="0"/>
              <w:rPr>
                <w:sz w:val="24"/>
                <w:szCs w:val="24"/>
              </w:rPr>
            </w:pPr>
            <w:r w:rsidRPr="00C15639">
              <w:rPr>
                <w:sz w:val="24"/>
                <w:szCs w:val="24"/>
              </w:rPr>
              <w:t>&lt;</w:t>
            </w:r>
            <w:r w:rsidRPr="00C15639">
              <w:rPr>
                <w:sz w:val="24"/>
                <w:szCs w:val="24"/>
                <w:lang w:val="ru-RU"/>
              </w:rPr>
              <w:t> </w:t>
            </w:r>
            <w:r w:rsidRPr="00C15639">
              <w:rPr>
                <w:sz w:val="24"/>
                <w:szCs w:val="24"/>
              </w:rPr>
              <w:t>150</w:t>
            </w:r>
          </w:p>
        </w:tc>
        <w:tc>
          <w:tcPr>
            <w:tcW w:w="1417" w:type="dxa"/>
            <w:vAlign w:val="center"/>
          </w:tcPr>
          <w:p w14:paraId="1BFDC1CD" w14:textId="77777777" w:rsidR="00531C4D" w:rsidRPr="00C15639" w:rsidRDefault="00531C4D" w:rsidP="00531C4D">
            <w:pPr>
              <w:pStyle w:val="table-text-0"/>
              <w:numPr>
                <w:ilvl w:val="12"/>
                <w:numId w:val="0"/>
              </w:numPr>
              <w:spacing w:before="0"/>
              <w:rPr>
                <w:sz w:val="24"/>
                <w:szCs w:val="24"/>
              </w:rPr>
            </w:pPr>
            <w:r w:rsidRPr="00C15639">
              <w:rPr>
                <w:sz w:val="24"/>
                <w:szCs w:val="24"/>
              </w:rPr>
              <w:t>&lt;</w:t>
            </w:r>
            <w:r w:rsidRPr="00C15639">
              <w:rPr>
                <w:sz w:val="24"/>
                <w:szCs w:val="24"/>
                <w:lang w:val="ru-RU"/>
              </w:rPr>
              <w:t> </w:t>
            </w:r>
            <w:r w:rsidRPr="00C15639">
              <w:rPr>
                <w:sz w:val="24"/>
                <w:szCs w:val="24"/>
              </w:rPr>
              <w:t>100</w:t>
            </w:r>
          </w:p>
        </w:tc>
        <w:tc>
          <w:tcPr>
            <w:tcW w:w="1843" w:type="dxa"/>
            <w:vAlign w:val="center"/>
          </w:tcPr>
          <w:p w14:paraId="71008353" w14:textId="77777777" w:rsidR="00531C4D" w:rsidRPr="00C15639" w:rsidRDefault="00531C4D" w:rsidP="00531C4D">
            <w:pPr>
              <w:pStyle w:val="table-text-0"/>
              <w:numPr>
                <w:ilvl w:val="12"/>
                <w:numId w:val="0"/>
              </w:numPr>
              <w:spacing w:before="0"/>
              <w:rPr>
                <w:sz w:val="24"/>
                <w:szCs w:val="24"/>
              </w:rPr>
            </w:pPr>
            <w:r w:rsidRPr="00C15639">
              <w:rPr>
                <w:sz w:val="24"/>
                <w:szCs w:val="24"/>
              </w:rPr>
              <w:t>&lt;</w:t>
            </w:r>
            <w:r w:rsidRPr="00C15639">
              <w:rPr>
                <w:sz w:val="24"/>
                <w:szCs w:val="24"/>
                <w:lang w:val="ru-RU"/>
              </w:rPr>
              <w:t> </w:t>
            </w:r>
            <w:r w:rsidRPr="00C15639">
              <w:rPr>
                <w:sz w:val="24"/>
                <w:szCs w:val="24"/>
              </w:rPr>
              <w:t>50</w:t>
            </w:r>
          </w:p>
        </w:tc>
        <w:tc>
          <w:tcPr>
            <w:tcW w:w="1984" w:type="dxa"/>
            <w:vAlign w:val="center"/>
          </w:tcPr>
          <w:p w14:paraId="3BBB0DA6" w14:textId="77777777" w:rsidR="00531C4D" w:rsidRPr="00C15639" w:rsidRDefault="00531C4D" w:rsidP="00531C4D">
            <w:pPr>
              <w:pStyle w:val="table-text-0"/>
              <w:numPr>
                <w:ilvl w:val="12"/>
                <w:numId w:val="0"/>
              </w:numPr>
              <w:spacing w:before="0"/>
              <w:rPr>
                <w:sz w:val="24"/>
                <w:szCs w:val="24"/>
              </w:rPr>
            </w:pPr>
            <w:r w:rsidRPr="00C15639">
              <w:rPr>
                <w:sz w:val="24"/>
                <w:szCs w:val="24"/>
              </w:rPr>
              <w:t>&lt;</w:t>
            </w:r>
            <w:r w:rsidRPr="00C15639">
              <w:rPr>
                <w:sz w:val="24"/>
                <w:szCs w:val="24"/>
                <w:lang w:val="ru-RU"/>
              </w:rPr>
              <w:t> </w:t>
            </w:r>
            <w:r w:rsidRPr="00C15639">
              <w:rPr>
                <w:sz w:val="24"/>
                <w:szCs w:val="24"/>
              </w:rPr>
              <w:t>20</w:t>
            </w:r>
          </w:p>
        </w:tc>
      </w:tr>
      <w:tr w:rsidR="00531C4D" w:rsidRPr="00C15639" w14:paraId="1853AAA4" w14:textId="77777777" w:rsidTr="00531C4D">
        <w:trPr>
          <w:cantSplit/>
          <w:trHeight w:val="20"/>
        </w:trPr>
        <w:tc>
          <w:tcPr>
            <w:tcW w:w="2808" w:type="dxa"/>
          </w:tcPr>
          <w:p w14:paraId="431E2102" w14:textId="77777777" w:rsidR="00531C4D" w:rsidRPr="00C15639" w:rsidRDefault="00531C4D" w:rsidP="00531C4D">
            <w:pPr>
              <w:pStyle w:val="table-text-0"/>
              <w:numPr>
                <w:ilvl w:val="12"/>
                <w:numId w:val="0"/>
              </w:numPr>
              <w:spacing w:before="0"/>
              <w:rPr>
                <w:b/>
                <w:sz w:val="24"/>
                <w:szCs w:val="24"/>
                <w:lang w:val="ru-RU"/>
              </w:rPr>
            </w:pPr>
            <w:r w:rsidRPr="00C15639">
              <w:rPr>
                <w:b/>
                <w:sz w:val="24"/>
                <w:szCs w:val="24"/>
                <w:lang w:val="ru-RU"/>
              </w:rPr>
              <w:t>Печень</w:t>
            </w:r>
          </w:p>
          <w:p w14:paraId="75E5334C" w14:textId="77777777" w:rsidR="00531C4D" w:rsidRPr="00C15639" w:rsidRDefault="00531C4D" w:rsidP="00531C4D">
            <w:pPr>
              <w:pStyle w:val="table-text-0"/>
              <w:numPr>
                <w:ilvl w:val="12"/>
                <w:numId w:val="0"/>
              </w:numPr>
              <w:spacing w:before="0"/>
              <w:rPr>
                <w:sz w:val="24"/>
                <w:szCs w:val="24"/>
                <w:lang w:val="ru-RU"/>
              </w:rPr>
            </w:pPr>
            <w:r w:rsidRPr="00C15639">
              <w:rPr>
                <w:sz w:val="24"/>
                <w:szCs w:val="24"/>
                <w:lang w:val="ru-RU"/>
              </w:rPr>
              <w:t>Билирубин, мкмоль/л</w:t>
            </w:r>
          </w:p>
        </w:tc>
        <w:tc>
          <w:tcPr>
            <w:tcW w:w="1128" w:type="dxa"/>
            <w:vAlign w:val="center"/>
          </w:tcPr>
          <w:p w14:paraId="74EDE830" w14:textId="77777777" w:rsidR="00531C4D" w:rsidRPr="00C15639" w:rsidRDefault="00531C4D" w:rsidP="00531C4D">
            <w:pPr>
              <w:pStyle w:val="table-text-0"/>
              <w:numPr>
                <w:ilvl w:val="12"/>
                <w:numId w:val="0"/>
              </w:numPr>
              <w:spacing w:before="0"/>
              <w:rPr>
                <w:sz w:val="24"/>
                <w:szCs w:val="24"/>
                <w:lang w:val="ru-RU"/>
              </w:rPr>
            </w:pPr>
            <w:r w:rsidRPr="00C15639">
              <w:rPr>
                <w:sz w:val="24"/>
                <w:szCs w:val="24"/>
                <w:lang w:val="ru-RU"/>
              </w:rPr>
              <w:t>20—30</w:t>
            </w:r>
          </w:p>
        </w:tc>
        <w:tc>
          <w:tcPr>
            <w:tcW w:w="1417" w:type="dxa"/>
            <w:vAlign w:val="center"/>
          </w:tcPr>
          <w:p w14:paraId="65F163C2" w14:textId="77777777" w:rsidR="00531C4D" w:rsidRPr="00C15639" w:rsidRDefault="00531C4D" w:rsidP="00531C4D">
            <w:pPr>
              <w:pStyle w:val="table-text-0"/>
              <w:numPr>
                <w:ilvl w:val="12"/>
                <w:numId w:val="0"/>
              </w:numPr>
              <w:spacing w:before="0"/>
              <w:rPr>
                <w:sz w:val="24"/>
                <w:szCs w:val="24"/>
                <w:lang w:val="ru-RU"/>
              </w:rPr>
            </w:pPr>
            <w:r w:rsidRPr="00C15639">
              <w:rPr>
                <w:sz w:val="24"/>
                <w:szCs w:val="24"/>
                <w:lang w:val="ru-RU"/>
              </w:rPr>
              <w:t>33—101</w:t>
            </w:r>
          </w:p>
        </w:tc>
        <w:tc>
          <w:tcPr>
            <w:tcW w:w="1843" w:type="dxa"/>
            <w:vAlign w:val="center"/>
          </w:tcPr>
          <w:p w14:paraId="788D0016" w14:textId="77777777" w:rsidR="00531C4D" w:rsidRPr="00C15639" w:rsidRDefault="00531C4D" w:rsidP="00531C4D">
            <w:pPr>
              <w:pStyle w:val="table-text-0"/>
              <w:numPr>
                <w:ilvl w:val="12"/>
                <w:numId w:val="0"/>
              </w:numPr>
              <w:spacing w:before="0"/>
              <w:rPr>
                <w:sz w:val="24"/>
                <w:szCs w:val="24"/>
                <w:lang w:val="ru-RU"/>
              </w:rPr>
            </w:pPr>
            <w:r w:rsidRPr="00C15639">
              <w:rPr>
                <w:sz w:val="24"/>
                <w:szCs w:val="24"/>
                <w:lang w:val="ru-RU"/>
              </w:rPr>
              <w:t>102—204</w:t>
            </w:r>
          </w:p>
        </w:tc>
        <w:tc>
          <w:tcPr>
            <w:tcW w:w="1984" w:type="dxa"/>
            <w:vAlign w:val="center"/>
          </w:tcPr>
          <w:p w14:paraId="54493A70" w14:textId="77777777" w:rsidR="00531C4D" w:rsidRPr="00C15639" w:rsidRDefault="00531C4D" w:rsidP="00531C4D">
            <w:pPr>
              <w:pStyle w:val="table-text-0"/>
              <w:numPr>
                <w:ilvl w:val="12"/>
                <w:numId w:val="0"/>
              </w:numPr>
              <w:spacing w:before="0"/>
              <w:rPr>
                <w:sz w:val="24"/>
                <w:szCs w:val="24"/>
                <w:lang w:val="ru-RU"/>
              </w:rPr>
            </w:pPr>
            <w:r w:rsidRPr="00C15639">
              <w:rPr>
                <w:sz w:val="24"/>
                <w:szCs w:val="24"/>
                <w:lang w:val="ru-RU"/>
              </w:rPr>
              <w:t>&gt; 204</w:t>
            </w:r>
          </w:p>
        </w:tc>
      </w:tr>
      <w:tr w:rsidR="00531C4D" w:rsidRPr="00C15639" w14:paraId="5BEE7BA1" w14:textId="77777777" w:rsidTr="00531C4D">
        <w:trPr>
          <w:cantSplit/>
          <w:trHeight w:val="20"/>
        </w:trPr>
        <w:tc>
          <w:tcPr>
            <w:tcW w:w="2808" w:type="dxa"/>
          </w:tcPr>
          <w:p w14:paraId="5CC601C9" w14:textId="77777777" w:rsidR="00531C4D" w:rsidRPr="00C15639" w:rsidRDefault="00531C4D" w:rsidP="00531C4D">
            <w:pPr>
              <w:pStyle w:val="table-text-0"/>
              <w:numPr>
                <w:ilvl w:val="12"/>
                <w:numId w:val="0"/>
              </w:numPr>
              <w:spacing w:before="0"/>
              <w:rPr>
                <w:b/>
                <w:sz w:val="24"/>
                <w:szCs w:val="24"/>
                <w:lang w:val="ru-RU"/>
              </w:rPr>
            </w:pPr>
            <w:r w:rsidRPr="00C15639">
              <w:rPr>
                <w:b/>
                <w:sz w:val="24"/>
                <w:szCs w:val="24"/>
                <w:lang w:val="ru-RU"/>
              </w:rPr>
              <w:t>Сердечно-сосудистая система</w:t>
            </w:r>
          </w:p>
          <w:p w14:paraId="333F5C4E" w14:textId="77777777" w:rsidR="00531C4D" w:rsidRPr="00C15639" w:rsidRDefault="00531C4D" w:rsidP="00531C4D">
            <w:pPr>
              <w:pStyle w:val="table-text-0"/>
              <w:numPr>
                <w:ilvl w:val="12"/>
                <w:numId w:val="0"/>
              </w:numPr>
              <w:spacing w:before="0"/>
              <w:rPr>
                <w:sz w:val="24"/>
                <w:szCs w:val="24"/>
                <w:lang w:val="ru-RU"/>
              </w:rPr>
            </w:pPr>
            <w:r w:rsidRPr="00C15639">
              <w:rPr>
                <w:sz w:val="24"/>
                <w:szCs w:val="24"/>
                <w:lang w:val="ru-RU"/>
              </w:rPr>
              <w:t>Артериальная гипотензия</w:t>
            </w:r>
          </w:p>
        </w:tc>
        <w:tc>
          <w:tcPr>
            <w:tcW w:w="1128" w:type="dxa"/>
            <w:vAlign w:val="center"/>
          </w:tcPr>
          <w:p w14:paraId="20C4DF79" w14:textId="77777777" w:rsidR="00531C4D" w:rsidRPr="00C15639" w:rsidRDefault="00531C4D" w:rsidP="00531C4D">
            <w:pPr>
              <w:pStyle w:val="table-text-0"/>
              <w:numPr>
                <w:ilvl w:val="12"/>
                <w:numId w:val="0"/>
              </w:numPr>
              <w:spacing w:before="0"/>
              <w:rPr>
                <w:sz w:val="24"/>
                <w:szCs w:val="24"/>
                <w:lang w:val="ru-RU"/>
              </w:rPr>
            </w:pPr>
            <w:r w:rsidRPr="00C15639">
              <w:rPr>
                <w:sz w:val="24"/>
                <w:szCs w:val="24"/>
                <w:lang w:val="ru-RU"/>
              </w:rPr>
              <w:t>АД ср &lt; 65 мм рт. ст.</w:t>
            </w:r>
          </w:p>
        </w:tc>
        <w:tc>
          <w:tcPr>
            <w:tcW w:w="1417" w:type="dxa"/>
            <w:vAlign w:val="center"/>
          </w:tcPr>
          <w:p w14:paraId="3BBDF535" w14:textId="77777777" w:rsidR="00531C4D" w:rsidRPr="00C15639" w:rsidRDefault="00531C4D" w:rsidP="00531C4D">
            <w:pPr>
              <w:pStyle w:val="table-text-0"/>
              <w:numPr>
                <w:ilvl w:val="12"/>
                <w:numId w:val="0"/>
              </w:numPr>
              <w:spacing w:before="0"/>
              <w:rPr>
                <w:sz w:val="24"/>
                <w:szCs w:val="24"/>
                <w:lang w:val="ru-RU"/>
              </w:rPr>
            </w:pPr>
            <w:r w:rsidRPr="00C15639">
              <w:rPr>
                <w:sz w:val="24"/>
                <w:szCs w:val="24"/>
                <w:lang w:val="ru-RU"/>
              </w:rPr>
              <w:t>Допамин  &lt; 5 мкг/кг/мин или добутамин (любая доза)*</w:t>
            </w:r>
          </w:p>
        </w:tc>
        <w:tc>
          <w:tcPr>
            <w:tcW w:w="1843" w:type="dxa"/>
            <w:vAlign w:val="center"/>
          </w:tcPr>
          <w:p w14:paraId="0174BA57" w14:textId="77777777" w:rsidR="00531C4D" w:rsidRPr="00C15639" w:rsidRDefault="00531C4D" w:rsidP="00531C4D">
            <w:pPr>
              <w:pStyle w:val="table-text-0"/>
              <w:numPr>
                <w:ilvl w:val="12"/>
                <w:numId w:val="0"/>
              </w:numPr>
              <w:spacing w:before="0"/>
              <w:rPr>
                <w:sz w:val="24"/>
                <w:szCs w:val="24"/>
                <w:lang w:val="ru-RU"/>
              </w:rPr>
            </w:pPr>
            <w:r w:rsidRPr="00C15639">
              <w:rPr>
                <w:sz w:val="24"/>
                <w:szCs w:val="24"/>
                <w:lang w:val="ru-RU"/>
              </w:rPr>
              <w:t>Допамин &gt; 5 мкг/кг/мин, или адреналин ≤ 0,1 мкг/кг/мин или норадреналин ≤ 0,1 мкг/кг/мин</w:t>
            </w:r>
          </w:p>
        </w:tc>
        <w:tc>
          <w:tcPr>
            <w:tcW w:w="1984" w:type="dxa"/>
            <w:vAlign w:val="center"/>
          </w:tcPr>
          <w:p w14:paraId="761D450A" w14:textId="77777777" w:rsidR="00531C4D" w:rsidRPr="00C15639" w:rsidRDefault="00531C4D" w:rsidP="00531C4D">
            <w:pPr>
              <w:pStyle w:val="table-text-0"/>
              <w:numPr>
                <w:ilvl w:val="12"/>
                <w:numId w:val="0"/>
              </w:numPr>
              <w:spacing w:before="0"/>
              <w:rPr>
                <w:sz w:val="24"/>
                <w:szCs w:val="24"/>
                <w:lang w:val="ru-RU"/>
              </w:rPr>
            </w:pPr>
            <w:r w:rsidRPr="00C15639">
              <w:rPr>
                <w:sz w:val="24"/>
                <w:szCs w:val="24"/>
                <w:lang w:val="ru-RU"/>
              </w:rPr>
              <w:t>Допамин &gt; 15 мкг/кг/мин, или адреналин &gt; 0,1 мкг/кг/мин, или норадреналин &gt; 0,1 мкг/кг/мин</w:t>
            </w:r>
          </w:p>
        </w:tc>
      </w:tr>
      <w:tr w:rsidR="00531C4D" w:rsidRPr="00C15639" w14:paraId="47A7D7B6" w14:textId="77777777" w:rsidTr="00531C4D">
        <w:trPr>
          <w:cantSplit/>
          <w:trHeight w:val="20"/>
        </w:trPr>
        <w:tc>
          <w:tcPr>
            <w:tcW w:w="2808" w:type="dxa"/>
          </w:tcPr>
          <w:p w14:paraId="6709C38D" w14:textId="77777777" w:rsidR="00531C4D" w:rsidRPr="00C15639" w:rsidRDefault="00531C4D" w:rsidP="00531C4D">
            <w:pPr>
              <w:pStyle w:val="table-text-0"/>
              <w:numPr>
                <w:ilvl w:val="12"/>
                <w:numId w:val="0"/>
              </w:numPr>
              <w:spacing w:before="0"/>
              <w:rPr>
                <w:sz w:val="24"/>
                <w:szCs w:val="24"/>
                <w:lang w:val="ru-RU"/>
              </w:rPr>
            </w:pPr>
            <w:r w:rsidRPr="00C15639">
              <w:rPr>
                <w:sz w:val="24"/>
                <w:szCs w:val="24"/>
                <w:lang w:val="ru-RU"/>
              </w:rPr>
              <w:t>ЦНС</w:t>
            </w:r>
          </w:p>
          <w:p w14:paraId="7C9FDFEC" w14:textId="77777777" w:rsidR="00531C4D" w:rsidRPr="00C15639" w:rsidRDefault="00531C4D" w:rsidP="00531C4D">
            <w:pPr>
              <w:pStyle w:val="table-text-0"/>
              <w:numPr>
                <w:ilvl w:val="12"/>
                <w:numId w:val="0"/>
              </w:numPr>
              <w:spacing w:before="0"/>
              <w:rPr>
                <w:sz w:val="24"/>
                <w:szCs w:val="24"/>
                <w:lang w:val="ru-RU"/>
              </w:rPr>
            </w:pPr>
            <w:r w:rsidRPr="00C15639">
              <w:rPr>
                <w:sz w:val="24"/>
                <w:szCs w:val="24"/>
                <w:lang w:val="ru-RU"/>
              </w:rPr>
              <w:t>Шкала комы Глазго, баллы</w:t>
            </w:r>
          </w:p>
        </w:tc>
        <w:tc>
          <w:tcPr>
            <w:tcW w:w="1128" w:type="dxa"/>
            <w:vAlign w:val="center"/>
          </w:tcPr>
          <w:p w14:paraId="1C5E4990" w14:textId="77777777" w:rsidR="00531C4D" w:rsidRPr="00C15639" w:rsidRDefault="00531C4D" w:rsidP="00531C4D">
            <w:pPr>
              <w:pStyle w:val="table-text-0"/>
              <w:numPr>
                <w:ilvl w:val="12"/>
                <w:numId w:val="0"/>
              </w:numPr>
              <w:spacing w:before="0"/>
              <w:rPr>
                <w:sz w:val="24"/>
                <w:szCs w:val="24"/>
                <w:lang w:val="ru-RU"/>
              </w:rPr>
            </w:pPr>
            <w:r w:rsidRPr="00C15639">
              <w:rPr>
                <w:sz w:val="24"/>
                <w:szCs w:val="24"/>
                <w:lang w:val="ru-RU"/>
              </w:rPr>
              <w:t>3—14</w:t>
            </w:r>
          </w:p>
        </w:tc>
        <w:tc>
          <w:tcPr>
            <w:tcW w:w="1417" w:type="dxa"/>
            <w:vAlign w:val="center"/>
          </w:tcPr>
          <w:p w14:paraId="6838D148" w14:textId="77777777" w:rsidR="00531C4D" w:rsidRPr="00C15639" w:rsidRDefault="00531C4D" w:rsidP="00531C4D">
            <w:pPr>
              <w:pStyle w:val="table-text-0"/>
              <w:numPr>
                <w:ilvl w:val="12"/>
                <w:numId w:val="0"/>
              </w:numPr>
              <w:spacing w:before="0"/>
              <w:rPr>
                <w:sz w:val="24"/>
                <w:szCs w:val="24"/>
                <w:lang w:val="ru-RU"/>
              </w:rPr>
            </w:pPr>
            <w:r w:rsidRPr="00C15639">
              <w:rPr>
                <w:sz w:val="24"/>
                <w:szCs w:val="24"/>
                <w:lang w:val="ru-RU"/>
              </w:rPr>
              <w:t>10—12</w:t>
            </w:r>
          </w:p>
        </w:tc>
        <w:tc>
          <w:tcPr>
            <w:tcW w:w="1843" w:type="dxa"/>
            <w:vAlign w:val="center"/>
          </w:tcPr>
          <w:p w14:paraId="66C1AB4B" w14:textId="77777777" w:rsidR="00531C4D" w:rsidRPr="00C15639" w:rsidRDefault="00531C4D" w:rsidP="00531C4D">
            <w:pPr>
              <w:pStyle w:val="table-text-0"/>
              <w:numPr>
                <w:ilvl w:val="12"/>
                <w:numId w:val="0"/>
              </w:numPr>
              <w:spacing w:before="0"/>
              <w:rPr>
                <w:sz w:val="24"/>
                <w:szCs w:val="24"/>
                <w:lang w:val="ru-RU"/>
              </w:rPr>
            </w:pPr>
            <w:r w:rsidRPr="00C15639">
              <w:rPr>
                <w:sz w:val="24"/>
                <w:szCs w:val="24"/>
                <w:lang w:val="ru-RU"/>
              </w:rPr>
              <w:t>6—9</w:t>
            </w:r>
          </w:p>
        </w:tc>
        <w:tc>
          <w:tcPr>
            <w:tcW w:w="1984" w:type="dxa"/>
            <w:vAlign w:val="center"/>
          </w:tcPr>
          <w:p w14:paraId="2ED54AEB" w14:textId="77777777" w:rsidR="00531C4D" w:rsidRPr="00C15639" w:rsidRDefault="00531C4D" w:rsidP="00531C4D">
            <w:pPr>
              <w:pStyle w:val="table-text-0"/>
              <w:numPr>
                <w:ilvl w:val="12"/>
                <w:numId w:val="0"/>
              </w:numPr>
              <w:spacing w:before="0"/>
              <w:rPr>
                <w:sz w:val="24"/>
                <w:szCs w:val="24"/>
                <w:lang w:val="ru-RU"/>
              </w:rPr>
            </w:pPr>
            <w:r w:rsidRPr="00C15639">
              <w:rPr>
                <w:sz w:val="24"/>
                <w:szCs w:val="24"/>
                <w:lang w:val="ru-RU"/>
              </w:rPr>
              <w:t>&lt; 6</w:t>
            </w:r>
          </w:p>
        </w:tc>
      </w:tr>
      <w:tr w:rsidR="00531C4D" w:rsidRPr="00C15639" w14:paraId="11242FD6" w14:textId="77777777" w:rsidTr="00531C4D">
        <w:trPr>
          <w:cantSplit/>
          <w:trHeight w:val="20"/>
        </w:trPr>
        <w:tc>
          <w:tcPr>
            <w:tcW w:w="2808" w:type="dxa"/>
            <w:tcBorders>
              <w:bottom w:val="nil"/>
            </w:tcBorders>
          </w:tcPr>
          <w:p w14:paraId="0D0B3FC1" w14:textId="77777777" w:rsidR="00531C4D" w:rsidRPr="00C15639" w:rsidRDefault="00531C4D" w:rsidP="00531C4D">
            <w:pPr>
              <w:pStyle w:val="table-text-0"/>
              <w:numPr>
                <w:ilvl w:val="12"/>
                <w:numId w:val="0"/>
              </w:numPr>
              <w:spacing w:before="0"/>
              <w:rPr>
                <w:b/>
                <w:sz w:val="24"/>
                <w:szCs w:val="24"/>
                <w:lang w:val="ru-RU"/>
              </w:rPr>
            </w:pPr>
            <w:r w:rsidRPr="00C15639">
              <w:rPr>
                <w:b/>
                <w:sz w:val="24"/>
                <w:szCs w:val="24"/>
                <w:lang w:val="ru-RU"/>
              </w:rPr>
              <w:t>Почки</w:t>
            </w:r>
          </w:p>
        </w:tc>
        <w:tc>
          <w:tcPr>
            <w:tcW w:w="1128" w:type="dxa"/>
            <w:tcBorders>
              <w:bottom w:val="nil"/>
            </w:tcBorders>
            <w:vAlign w:val="center"/>
          </w:tcPr>
          <w:p w14:paraId="03999267" w14:textId="77777777" w:rsidR="00531C4D" w:rsidRPr="00C15639" w:rsidRDefault="00531C4D" w:rsidP="00531C4D">
            <w:pPr>
              <w:pStyle w:val="table-text-0"/>
              <w:numPr>
                <w:ilvl w:val="12"/>
                <w:numId w:val="0"/>
              </w:numPr>
              <w:spacing w:before="0"/>
              <w:rPr>
                <w:sz w:val="24"/>
                <w:szCs w:val="24"/>
                <w:lang w:val="ru-RU"/>
              </w:rPr>
            </w:pPr>
          </w:p>
        </w:tc>
        <w:tc>
          <w:tcPr>
            <w:tcW w:w="1417" w:type="dxa"/>
            <w:tcBorders>
              <w:bottom w:val="nil"/>
            </w:tcBorders>
            <w:vAlign w:val="center"/>
          </w:tcPr>
          <w:p w14:paraId="3592313E" w14:textId="77777777" w:rsidR="00531C4D" w:rsidRPr="00C15639" w:rsidRDefault="00531C4D" w:rsidP="00531C4D">
            <w:pPr>
              <w:pStyle w:val="table-text-0"/>
              <w:numPr>
                <w:ilvl w:val="12"/>
                <w:numId w:val="0"/>
              </w:numPr>
              <w:spacing w:before="0"/>
              <w:rPr>
                <w:sz w:val="24"/>
                <w:szCs w:val="24"/>
                <w:lang w:val="ru-RU"/>
              </w:rPr>
            </w:pPr>
          </w:p>
        </w:tc>
        <w:tc>
          <w:tcPr>
            <w:tcW w:w="1843" w:type="dxa"/>
            <w:tcBorders>
              <w:bottom w:val="nil"/>
            </w:tcBorders>
            <w:vAlign w:val="center"/>
          </w:tcPr>
          <w:p w14:paraId="4477D75D" w14:textId="77777777" w:rsidR="00531C4D" w:rsidRPr="00C15639" w:rsidRDefault="00531C4D" w:rsidP="00531C4D">
            <w:pPr>
              <w:pStyle w:val="table-text-0"/>
              <w:numPr>
                <w:ilvl w:val="12"/>
                <w:numId w:val="0"/>
              </w:numPr>
              <w:spacing w:before="0"/>
              <w:rPr>
                <w:sz w:val="24"/>
                <w:szCs w:val="24"/>
                <w:lang w:val="ru-RU"/>
              </w:rPr>
            </w:pPr>
          </w:p>
        </w:tc>
        <w:tc>
          <w:tcPr>
            <w:tcW w:w="1984" w:type="dxa"/>
            <w:tcBorders>
              <w:bottom w:val="nil"/>
            </w:tcBorders>
            <w:vAlign w:val="center"/>
          </w:tcPr>
          <w:p w14:paraId="448DDB55" w14:textId="77777777" w:rsidR="00531C4D" w:rsidRPr="00C15639" w:rsidRDefault="00531C4D" w:rsidP="00531C4D">
            <w:pPr>
              <w:pStyle w:val="table-text-0"/>
              <w:numPr>
                <w:ilvl w:val="12"/>
                <w:numId w:val="0"/>
              </w:numPr>
              <w:spacing w:before="0"/>
              <w:rPr>
                <w:sz w:val="24"/>
                <w:szCs w:val="24"/>
                <w:lang w:val="ru-RU"/>
              </w:rPr>
            </w:pPr>
          </w:p>
        </w:tc>
      </w:tr>
      <w:tr w:rsidR="00531C4D" w:rsidRPr="00C15639" w14:paraId="57898C24" w14:textId="77777777" w:rsidTr="00531C4D">
        <w:trPr>
          <w:cantSplit/>
          <w:trHeight w:val="20"/>
        </w:trPr>
        <w:tc>
          <w:tcPr>
            <w:tcW w:w="2808" w:type="dxa"/>
            <w:tcBorders>
              <w:top w:val="nil"/>
              <w:bottom w:val="nil"/>
            </w:tcBorders>
          </w:tcPr>
          <w:p w14:paraId="344BE40F" w14:textId="77777777" w:rsidR="00531C4D" w:rsidRPr="00C15639" w:rsidRDefault="00531C4D" w:rsidP="00531C4D">
            <w:pPr>
              <w:pStyle w:val="table-text-0"/>
              <w:numPr>
                <w:ilvl w:val="12"/>
                <w:numId w:val="0"/>
              </w:numPr>
              <w:spacing w:before="0"/>
              <w:rPr>
                <w:sz w:val="24"/>
                <w:szCs w:val="24"/>
                <w:lang w:val="ru-RU"/>
              </w:rPr>
            </w:pPr>
            <w:r w:rsidRPr="00C15639">
              <w:rPr>
                <w:sz w:val="24"/>
                <w:szCs w:val="24"/>
                <w:lang w:val="ru-RU"/>
              </w:rPr>
              <w:t>Креатинин, ммоль/л</w:t>
            </w:r>
          </w:p>
        </w:tc>
        <w:tc>
          <w:tcPr>
            <w:tcW w:w="1128" w:type="dxa"/>
            <w:tcBorders>
              <w:top w:val="nil"/>
            </w:tcBorders>
            <w:vAlign w:val="center"/>
          </w:tcPr>
          <w:p w14:paraId="5E78D995" w14:textId="77777777" w:rsidR="00531C4D" w:rsidRPr="00C15639" w:rsidRDefault="00531C4D" w:rsidP="00531C4D">
            <w:pPr>
              <w:pStyle w:val="table-text-0"/>
              <w:numPr>
                <w:ilvl w:val="12"/>
                <w:numId w:val="0"/>
              </w:numPr>
              <w:spacing w:before="0"/>
              <w:rPr>
                <w:sz w:val="24"/>
                <w:szCs w:val="24"/>
                <w:lang w:val="ru-RU"/>
              </w:rPr>
            </w:pPr>
            <w:r w:rsidRPr="00C15639">
              <w:rPr>
                <w:sz w:val="24"/>
                <w:szCs w:val="24"/>
                <w:lang w:val="ru-RU"/>
              </w:rPr>
              <w:t>0,11—0,17</w:t>
            </w:r>
          </w:p>
        </w:tc>
        <w:tc>
          <w:tcPr>
            <w:tcW w:w="1417" w:type="dxa"/>
            <w:tcBorders>
              <w:top w:val="nil"/>
            </w:tcBorders>
            <w:vAlign w:val="center"/>
          </w:tcPr>
          <w:p w14:paraId="5D400391" w14:textId="77777777" w:rsidR="00531C4D" w:rsidRPr="00C15639" w:rsidRDefault="00531C4D" w:rsidP="00531C4D">
            <w:pPr>
              <w:pStyle w:val="table-text-0"/>
              <w:numPr>
                <w:ilvl w:val="12"/>
                <w:numId w:val="0"/>
              </w:numPr>
              <w:spacing w:before="0"/>
              <w:rPr>
                <w:sz w:val="24"/>
                <w:szCs w:val="24"/>
                <w:lang w:val="ru-RU"/>
              </w:rPr>
            </w:pPr>
            <w:r w:rsidRPr="00C15639">
              <w:rPr>
                <w:sz w:val="24"/>
                <w:szCs w:val="24"/>
                <w:lang w:val="ru-RU"/>
              </w:rPr>
              <w:t>0,171—0,299</w:t>
            </w:r>
          </w:p>
        </w:tc>
        <w:tc>
          <w:tcPr>
            <w:tcW w:w="1843" w:type="dxa"/>
            <w:tcBorders>
              <w:top w:val="nil"/>
            </w:tcBorders>
            <w:vAlign w:val="center"/>
          </w:tcPr>
          <w:p w14:paraId="7BD5B4BA" w14:textId="77777777" w:rsidR="00531C4D" w:rsidRPr="00C15639" w:rsidRDefault="00531C4D" w:rsidP="00531C4D">
            <w:pPr>
              <w:pStyle w:val="table-text-0"/>
              <w:numPr>
                <w:ilvl w:val="12"/>
                <w:numId w:val="0"/>
              </w:numPr>
              <w:spacing w:before="0"/>
              <w:rPr>
                <w:sz w:val="24"/>
                <w:szCs w:val="24"/>
                <w:lang w:val="ru-RU"/>
              </w:rPr>
            </w:pPr>
            <w:r w:rsidRPr="00C15639">
              <w:rPr>
                <w:sz w:val="24"/>
                <w:szCs w:val="24"/>
                <w:lang w:val="ru-RU"/>
              </w:rPr>
              <w:t>0,3—0,44 или</w:t>
            </w:r>
          </w:p>
        </w:tc>
        <w:tc>
          <w:tcPr>
            <w:tcW w:w="1984" w:type="dxa"/>
            <w:tcBorders>
              <w:top w:val="nil"/>
            </w:tcBorders>
            <w:vAlign w:val="center"/>
          </w:tcPr>
          <w:p w14:paraId="508348B8" w14:textId="77777777" w:rsidR="00531C4D" w:rsidRPr="00C15639" w:rsidRDefault="00531C4D" w:rsidP="00531C4D">
            <w:pPr>
              <w:pStyle w:val="table-text-0"/>
              <w:numPr>
                <w:ilvl w:val="12"/>
                <w:numId w:val="0"/>
              </w:numPr>
              <w:spacing w:before="0"/>
              <w:rPr>
                <w:sz w:val="24"/>
                <w:szCs w:val="24"/>
                <w:lang w:val="ru-RU"/>
              </w:rPr>
            </w:pPr>
            <w:r w:rsidRPr="00C15639">
              <w:rPr>
                <w:sz w:val="24"/>
                <w:szCs w:val="24"/>
                <w:lang w:val="ru-RU"/>
              </w:rPr>
              <w:t>&gt; 0,44 или</w:t>
            </w:r>
          </w:p>
        </w:tc>
      </w:tr>
      <w:tr w:rsidR="00531C4D" w:rsidRPr="00C15639" w14:paraId="64BE2BBA" w14:textId="77777777" w:rsidTr="00531C4D">
        <w:trPr>
          <w:cantSplit/>
          <w:trHeight w:val="20"/>
        </w:trPr>
        <w:tc>
          <w:tcPr>
            <w:tcW w:w="2808" w:type="dxa"/>
            <w:tcBorders>
              <w:top w:val="nil"/>
            </w:tcBorders>
          </w:tcPr>
          <w:p w14:paraId="52D21DFD" w14:textId="77777777" w:rsidR="00531C4D" w:rsidRPr="00C15639" w:rsidRDefault="00531C4D" w:rsidP="00531C4D">
            <w:pPr>
              <w:pStyle w:val="table-text-0"/>
              <w:numPr>
                <w:ilvl w:val="12"/>
                <w:numId w:val="0"/>
              </w:numPr>
              <w:spacing w:before="0"/>
              <w:rPr>
                <w:sz w:val="24"/>
                <w:szCs w:val="24"/>
                <w:lang w:val="ru-RU"/>
              </w:rPr>
            </w:pPr>
            <w:r w:rsidRPr="00C15639">
              <w:rPr>
                <w:sz w:val="24"/>
                <w:szCs w:val="24"/>
                <w:lang w:val="ru-RU"/>
              </w:rPr>
              <w:t>Диурез, мл/сут</w:t>
            </w:r>
          </w:p>
        </w:tc>
        <w:tc>
          <w:tcPr>
            <w:tcW w:w="1128" w:type="dxa"/>
            <w:vAlign w:val="center"/>
          </w:tcPr>
          <w:p w14:paraId="61D555BD" w14:textId="77777777" w:rsidR="00531C4D" w:rsidRPr="00C15639" w:rsidRDefault="00531C4D" w:rsidP="00531C4D">
            <w:pPr>
              <w:pStyle w:val="table-text-0"/>
              <w:numPr>
                <w:ilvl w:val="12"/>
                <w:numId w:val="0"/>
              </w:numPr>
              <w:spacing w:before="0"/>
              <w:rPr>
                <w:sz w:val="24"/>
                <w:szCs w:val="24"/>
                <w:lang w:val="ru-RU"/>
              </w:rPr>
            </w:pPr>
          </w:p>
        </w:tc>
        <w:tc>
          <w:tcPr>
            <w:tcW w:w="1417" w:type="dxa"/>
            <w:vAlign w:val="center"/>
          </w:tcPr>
          <w:p w14:paraId="504723E7" w14:textId="77777777" w:rsidR="00531C4D" w:rsidRPr="00C15639" w:rsidRDefault="00531C4D" w:rsidP="00531C4D">
            <w:pPr>
              <w:pStyle w:val="table-text-0"/>
              <w:numPr>
                <w:ilvl w:val="12"/>
                <w:numId w:val="0"/>
              </w:numPr>
              <w:spacing w:before="0"/>
              <w:rPr>
                <w:sz w:val="24"/>
                <w:szCs w:val="24"/>
                <w:lang w:val="ru-RU"/>
              </w:rPr>
            </w:pPr>
          </w:p>
        </w:tc>
        <w:tc>
          <w:tcPr>
            <w:tcW w:w="1843" w:type="dxa"/>
            <w:vAlign w:val="center"/>
          </w:tcPr>
          <w:p w14:paraId="54393281" w14:textId="77777777" w:rsidR="00531C4D" w:rsidRPr="00C15639" w:rsidRDefault="00531C4D" w:rsidP="00531C4D">
            <w:pPr>
              <w:pStyle w:val="table-text-0"/>
              <w:numPr>
                <w:ilvl w:val="12"/>
                <w:numId w:val="0"/>
              </w:numPr>
              <w:spacing w:before="0"/>
              <w:rPr>
                <w:sz w:val="24"/>
                <w:szCs w:val="24"/>
                <w:lang w:val="ru-RU"/>
              </w:rPr>
            </w:pPr>
            <w:r w:rsidRPr="00C15639">
              <w:rPr>
                <w:sz w:val="24"/>
                <w:szCs w:val="24"/>
                <w:lang w:val="ru-RU"/>
              </w:rPr>
              <w:t>&lt; 500 мл/сут</w:t>
            </w:r>
          </w:p>
        </w:tc>
        <w:tc>
          <w:tcPr>
            <w:tcW w:w="1984" w:type="dxa"/>
            <w:vAlign w:val="center"/>
          </w:tcPr>
          <w:p w14:paraId="315353AF" w14:textId="77777777" w:rsidR="00531C4D" w:rsidRPr="00C15639" w:rsidRDefault="00531C4D" w:rsidP="00531C4D">
            <w:pPr>
              <w:pStyle w:val="table-text-0"/>
              <w:numPr>
                <w:ilvl w:val="12"/>
                <w:numId w:val="0"/>
              </w:numPr>
              <w:spacing w:before="0"/>
              <w:rPr>
                <w:sz w:val="24"/>
                <w:szCs w:val="24"/>
                <w:lang w:val="ru-RU"/>
              </w:rPr>
            </w:pPr>
            <w:r w:rsidRPr="00C15639">
              <w:rPr>
                <w:sz w:val="24"/>
                <w:szCs w:val="24"/>
                <w:lang w:val="ru-RU"/>
              </w:rPr>
              <w:t>&lt; 200 мл/сут</w:t>
            </w:r>
          </w:p>
        </w:tc>
      </w:tr>
      <w:tr w:rsidR="00531C4D" w:rsidRPr="00C15639" w14:paraId="197D9988" w14:textId="77777777" w:rsidTr="00531C4D">
        <w:trPr>
          <w:cantSplit/>
          <w:trHeight w:val="20"/>
        </w:trPr>
        <w:tc>
          <w:tcPr>
            <w:tcW w:w="9180" w:type="dxa"/>
            <w:gridSpan w:val="5"/>
          </w:tcPr>
          <w:p w14:paraId="6EA05F86" w14:textId="77777777" w:rsidR="00531C4D" w:rsidRPr="00C15639" w:rsidRDefault="00531C4D" w:rsidP="00531C4D">
            <w:pPr>
              <w:pStyle w:val="table-ref"/>
              <w:spacing w:before="0" w:after="0"/>
              <w:rPr>
                <w:sz w:val="24"/>
                <w:szCs w:val="24"/>
              </w:rPr>
            </w:pPr>
            <w:r w:rsidRPr="00C15639">
              <w:rPr>
                <w:sz w:val="24"/>
                <w:szCs w:val="24"/>
              </w:rPr>
              <w:t>* Применение ≥ 1 ч; дозы в мкг/кг/мин.</w:t>
            </w:r>
          </w:p>
        </w:tc>
      </w:tr>
    </w:tbl>
    <w:p w14:paraId="0277C802" w14:textId="77777777" w:rsidR="00531C4D" w:rsidRPr="00C15639" w:rsidRDefault="00531C4D" w:rsidP="00531C4D">
      <w:pPr>
        <w:rPr>
          <w:szCs w:val="24"/>
        </w:rPr>
      </w:pPr>
    </w:p>
    <w:p w14:paraId="4840A0C9" w14:textId="77777777" w:rsidR="00531C4D" w:rsidRPr="00C15639" w:rsidRDefault="00531C4D" w:rsidP="00531C4D">
      <w:pPr>
        <w:ind w:firstLine="709"/>
        <w:rPr>
          <w:szCs w:val="24"/>
        </w:rPr>
      </w:pPr>
      <w:r w:rsidRPr="00C15639">
        <w:rPr>
          <w:szCs w:val="24"/>
        </w:rPr>
        <w:t>Шкала qSOFA была создана из шкалы SOFA с помощью мультивариантного логистического регрессионного анализа. Положительная шкала SOFA — подозрение на инфекцию плюс наличие ≥ 2 баллов вследствие изменений вышеуказанных параметров.</w:t>
      </w:r>
    </w:p>
    <w:p w14:paraId="7265115E" w14:textId="77777777" w:rsidR="00531C4D" w:rsidRPr="00C15639" w:rsidRDefault="00531C4D" w:rsidP="00531C4D">
      <w:pPr>
        <w:ind w:firstLine="709"/>
        <w:rPr>
          <w:szCs w:val="24"/>
        </w:rPr>
      </w:pPr>
      <w:r w:rsidRPr="00C15639">
        <w:rPr>
          <w:b/>
          <w:bCs/>
          <w:szCs w:val="24"/>
        </w:rPr>
        <w:t>4. Исключено понятие «тяжелый сепсис».</w:t>
      </w:r>
      <w:r w:rsidRPr="00C15639">
        <w:rPr>
          <w:szCs w:val="24"/>
        </w:rPr>
        <w:t xml:space="preserve"> «Сепсис» и «септический шок» — это две оставшиеся категории, поскольку, согласно новому определению, сепсис — это системный ответ на инфекцию, сопровождающихся развитием органной дисфункции. По сути то, что раньше называлось тяжелым сепсисом стало называться сепсисом, а то, что раньше называли просто «сепсис», отнесено к категории инфекции. Таким образом, сепсис, согласно определению «Сепсис-3», это инфекция, протекающая с органной дисфункцией. </w:t>
      </w:r>
    </w:p>
    <w:p w14:paraId="2A582588" w14:textId="77777777" w:rsidR="00531C4D" w:rsidRPr="00C15639" w:rsidRDefault="00531C4D" w:rsidP="00531C4D">
      <w:pPr>
        <w:ind w:firstLine="709"/>
        <w:rPr>
          <w:szCs w:val="24"/>
        </w:rPr>
      </w:pPr>
      <w:r w:rsidRPr="00C15639">
        <w:rPr>
          <w:b/>
          <w:bCs/>
          <w:szCs w:val="24"/>
        </w:rPr>
        <w:t>5. Лактат — обязательный критерий септического шока наряду с артериальной гипотензией.</w:t>
      </w:r>
      <w:r w:rsidRPr="00C15639">
        <w:rPr>
          <w:bCs/>
          <w:szCs w:val="24"/>
        </w:rPr>
        <w:t xml:space="preserve"> </w:t>
      </w:r>
      <w:r w:rsidRPr="00C15639">
        <w:rPr>
          <w:szCs w:val="24"/>
        </w:rPr>
        <w:t>Раньше лактат рассматривался как маркер органной дисфункции. В «Сепсис-3» уровень лактата &gt; 2 ммоль/л является обязательным для диагноза септического шока. Для диагноза септического шока у больных должна быть артериальная гипотензия (среднее АД &lt; 65 мм рт. ст.) и уровень лактата &gt; 2 ммоль/л, несмотря на адекватную волемическую нагрузку.</w:t>
      </w:r>
    </w:p>
    <w:p w14:paraId="12A498EB" w14:textId="77777777" w:rsidR="00531C4D" w:rsidRDefault="00531C4D" w:rsidP="00531C4D">
      <w:pPr>
        <w:ind w:firstLine="709"/>
        <w:rPr>
          <w:b/>
          <w:bCs/>
          <w:lang w:eastAsia="ru-RU"/>
        </w:rPr>
      </w:pPr>
    </w:p>
    <w:p w14:paraId="4F8B1FED" w14:textId="77777777" w:rsidR="00531C4D" w:rsidRPr="00391AAB" w:rsidRDefault="00531C4D" w:rsidP="00531C4D">
      <w:pPr>
        <w:ind w:firstLine="709"/>
        <w:rPr>
          <w:b/>
          <w:bCs/>
          <w:lang w:eastAsia="ru-RU"/>
        </w:rPr>
      </w:pPr>
      <w:r w:rsidRPr="00391AAB">
        <w:rPr>
          <w:b/>
          <w:bCs/>
          <w:lang w:eastAsia="ru-RU"/>
        </w:rPr>
        <w:t>Эпидемиология сепсиса в гематологической клинике</w:t>
      </w:r>
    </w:p>
    <w:p w14:paraId="2754958D" w14:textId="77777777" w:rsidR="00531C4D" w:rsidRPr="00C15639" w:rsidRDefault="00531C4D" w:rsidP="00531C4D">
      <w:pPr>
        <w:pStyle w:val="Normal11"/>
        <w:spacing w:before="0" w:line="360" w:lineRule="auto"/>
        <w:ind w:firstLine="709"/>
        <w:rPr>
          <w:color w:val="auto"/>
          <w:szCs w:val="24"/>
        </w:rPr>
      </w:pPr>
      <w:r w:rsidRPr="00C15639">
        <w:rPr>
          <w:color w:val="auto"/>
          <w:szCs w:val="24"/>
        </w:rPr>
        <w:t xml:space="preserve">Наиболее часто выделяемыми из крови микроорганизмами при развитии септического шока у гематологических пацентов являются грамотрицательные </w:t>
      </w:r>
      <w:r w:rsidRPr="00C15639">
        <w:rPr>
          <w:color w:val="auto"/>
          <w:szCs w:val="24"/>
        </w:rPr>
        <w:lastRenderedPageBreak/>
        <w:t>палочки — у 47% больных; грамположительные бактерии выявляются лишь у 3,3% больных; у 6,7% больных из крови одновременно высеваются как грамположительные, так грамотрицательные микроорганизмы. Фунгемия является причиной септического шока у 10% больных. У 33% больных с септическим шоком патогены в крови не обнаруживаются.</w:t>
      </w:r>
    </w:p>
    <w:p w14:paraId="72F9FC84" w14:textId="77777777" w:rsidR="00531C4D" w:rsidRPr="00C15639" w:rsidRDefault="00531C4D" w:rsidP="00531C4D">
      <w:pPr>
        <w:ind w:firstLine="709"/>
        <w:rPr>
          <w:i/>
          <w:szCs w:val="24"/>
        </w:rPr>
      </w:pPr>
      <w:r w:rsidRPr="00C15639">
        <w:rPr>
          <w:szCs w:val="24"/>
        </w:rPr>
        <w:t xml:space="preserve">Среди грамотрицательных микроорганизмов септический шок чаще всего вызывают </w:t>
      </w:r>
      <w:r w:rsidRPr="00C15639">
        <w:rPr>
          <w:i/>
          <w:szCs w:val="24"/>
        </w:rPr>
        <w:t>Klebsiella pneumoniae, Pseudomonas aeruginosa, Escherichia coli, Acinetobacter baumannii</w:t>
      </w:r>
      <w:r w:rsidRPr="00C15639">
        <w:rPr>
          <w:szCs w:val="24"/>
        </w:rPr>
        <w:t xml:space="preserve">, среди грамположительных — </w:t>
      </w:r>
      <w:r w:rsidRPr="00C15639">
        <w:rPr>
          <w:i/>
          <w:szCs w:val="24"/>
        </w:rPr>
        <w:t>Enterococcus faecalis</w:t>
      </w:r>
      <w:r w:rsidRPr="00C15639">
        <w:rPr>
          <w:szCs w:val="24"/>
        </w:rPr>
        <w:t xml:space="preserve">, среди грибов — </w:t>
      </w:r>
      <w:r w:rsidRPr="00C15639">
        <w:rPr>
          <w:i/>
          <w:szCs w:val="24"/>
        </w:rPr>
        <w:t>Candida cruzei, Candida tropicalis, Acremonium spp.</w:t>
      </w:r>
    </w:p>
    <w:p w14:paraId="7B5939ED" w14:textId="77777777" w:rsidR="00531C4D" w:rsidRPr="00C15639" w:rsidRDefault="00531C4D" w:rsidP="00531C4D">
      <w:pPr>
        <w:ind w:firstLine="709"/>
        <w:rPr>
          <w:szCs w:val="24"/>
        </w:rPr>
      </w:pPr>
      <w:r w:rsidRPr="00C15639">
        <w:rPr>
          <w:szCs w:val="24"/>
        </w:rPr>
        <w:t xml:space="preserve">Наиболее частым первичным очагом инфекции при септическом шоке являются легкие (51%), на втором месте — инфекция кровотока (11%), кишечник (некротическая энтеропатия) (8%). У четверти больных, несмотря на тщательное обследование, первичный очаг инфекции не удается верифицировать. </w:t>
      </w:r>
    </w:p>
    <w:p w14:paraId="2910418B" w14:textId="77777777" w:rsidR="00531C4D" w:rsidRPr="000538D0" w:rsidRDefault="00531C4D" w:rsidP="00531C4D">
      <w:pPr>
        <w:ind w:firstLine="709"/>
        <w:rPr>
          <w:b/>
          <w:bCs/>
        </w:rPr>
      </w:pPr>
      <w:r w:rsidRPr="000538D0">
        <w:rPr>
          <w:b/>
          <w:bCs/>
        </w:rPr>
        <w:t>Диагностические критерии сепсиса</w:t>
      </w:r>
    </w:p>
    <w:p w14:paraId="6FAF427E" w14:textId="77777777" w:rsidR="00531C4D" w:rsidRPr="00C15639" w:rsidRDefault="00531C4D" w:rsidP="00531C4D">
      <w:pPr>
        <w:pStyle w:val="Normal11"/>
        <w:spacing w:before="0" w:line="360" w:lineRule="auto"/>
        <w:ind w:firstLine="709"/>
        <w:rPr>
          <w:color w:val="auto"/>
          <w:szCs w:val="24"/>
        </w:rPr>
      </w:pPr>
      <w:r w:rsidRPr="00C15639">
        <w:rPr>
          <w:color w:val="auto"/>
          <w:szCs w:val="24"/>
        </w:rPr>
        <w:t>Диагностические критерии сепсиса, согласно «Сепсис-3» = подозрение на инфекцию + положительная qSOFA, то есть ≥ 2 критериев из следующих:</w:t>
      </w:r>
    </w:p>
    <w:p w14:paraId="3196C32D" w14:textId="77777777" w:rsidR="00531C4D" w:rsidRPr="00C15639" w:rsidRDefault="00531C4D" w:rsidP="00531C4D">
      <w:pPr>
        <w:pStyle w:val="Number1"/>
        <w:spacing w:before="0" w:line="360" w:lineRule="auto"/>
        <w:ind w:firstLine="709"/>
        <w:rPr>
          <w:color w:val="auto"/>
          <w:szCs w:val="24"/>
        </w:rPr>
      </w:pPr>
      <w:r w:rsidRPr="00C15639">
        <w:rPr>
          <w:color w:val="auto"/>
          <w:szCs w:val="24"/>
        </w:rPr>
        <w:t>1. Нарушенный ментальный статус (шкала комы Глазго &lt; 15).</w:t>
      </w:r>
    </w:p>
    <w:p w14:paraId="7FCA624C" w14:textId="77777777" w:rsidR="00531C4D" w:rsidRPr="00C15639" w:rsidRDefault="00531C4D" w:rsidP="00531C4D">
      <w:pPr>
        <w:pStyle w:val="Number1"/>
        <w:spacing w:before="0" w:line="360" w:lineRule="auto"/>
        <w:ind w:firstLine="709"/>
        <w:rPr>
          <w:color w:val="auto"/>
          <w:szCs w:val="24"/>
        </w:rPr>
      </w:pPr>
      <w:r w:rsidRPr="00C15639">
        <w:rPr>
          <w:color w:val="auto"/>
          <w:szCs w:val="24"/>
        </w:rPr>
        <w:t xml:space="preserve">2. Систолическое АД ≤ 100 мм рт. ст. </w:t>
      </w:r>
    </w:p>
    <w:p w14:paraId="1229EC5B" w14:textId="77777777" w:rsidR="00531C4D" w:rsidRPr="00C15639" w:rsidRDefault="00531C4D" w:rsidP="00531C4D">
      <w:pPr>
        <w:pStyle w:val="Number1"/>
        <w:spacing w:before="0" w:line="360" w:lineRule="auto"/>
        <w:ind w:firstLine="709"/>
        <w:rPr>
          <w:color w:val="auto"/>
          <w:szCs w:val="24"/>
        </w:rPr>
      </w:pPr>
      <w:r w:rsidRPr="00C15639">
        <w:rPr>
          <w:color w:val="auto"/>
          <w:szCs w:val="24"/>
        </w:rPr>
        <w:t>3. Число дыханий ≥ 22/мин.</w:t>
      </w:r>
    </w:p>
    <w:p w14:paraId="6D5D2484" w14:textId="77777777" w:rsidR="00531C4D" w:rsidRPr="00C15639" w:rsidRDefault="00531C4D" w:rsidP="00531C4D">
      <w:pPr>
        <w:ind w:firstLine="709"/>
        <w:rPr>
          <w:szCs w:val="24"/>
        </w:rPr>
      </w:pPr>
      <w:r w:rsidRPr="00C15639">
        <w:rPr>
          <w:b/>
          <w:bCs/>
          <w:szCs w:val="24"/>
          <w:lang w:eastAsia="en-GB"/>
        </w:rPr>
        <w:t>Септический шок</w:t>
      </w:r>
      <w:r w:rsidRPr="00C15639">
        <w:rPr>
          <w:szCs w:val="24"/>
          <w:lang w:eastAsia="en-GB"/>
        </w:rPr>
        <w:t> — это сепсис, протекающий с персистирующей артериальной гипотензией, требующей для поддержания среднего АД выше 65 мм рт. ст. применения вазопресоров, несмотря на адекватную волемическую нагрузку, и с уровнем сывороточного лактата &gt; 2 ммоль/л (18 мг/дл). При наличии этих критериев смертность превышает 40%.</w:t>
      </w:r>
    </w:p>
    <w:p w14:paraId="294EC468" w14:textId="77777777" w:rsidR="00531C4D" w:rsidRPr="00C15639" w:rsidRDefault="00531C4D" w:rsidP="00531C4D">
      <w:pPr>
        <w:ind w:firstLine="709"/>
        <w:rPr>
          <w:szCs w:val="24"/>
          <w:lang w:eastAsia="en-GB"/>
        </w:rPr>
      </w:pPr>
      <w:r w:rsidRPr="00C15639">
        <w:rPr>
          <w:szCs w:val="24"/>
          <w:lang w:eastAsia="en-GB"/>
        </w:rPr>
        <w:t xml:space="preserve">Под артериальной гипотензией понимается снижение систолического АД &lt; 100 мм рт. ст. либо среднего АД &lt; 65 мм рт. ст. в течение более 1 часа, сохраняющееся, несмотря на адекватную инфузионную терапию. Критерием адекватности проводимой инфузионной терапии считается повышение ЦВД до 12 мм рт. ст., нормализация индекса </w:t>
      </w:r>
      <w:r w:rsidRPr="00C15639">
        <w:rPr>
          <w:szCs w:val="24"/>
        </w:rPr>
        <w:t>глобального конечно-диастолического объема (</w:t>
      </w:r>
      <w:r w:rsidRPr="00C15639">
        <w:rPr>
          <w:szCs w:val="24"/>
          <w:lang w:eastAsia="en-GB"/>
        </w:rPr>
        <w:t>ГКДО) по данным транспульмональной термодилюции, то есть &gt; 680 мл/м</w:t>
      </w:r>
      <w:r w:rsidRPr="00C15639">
        <w:rPr>
          <w:szCs w:val="24"/>
          <w:vertAlign w:val="superscript"/>
          <w:lang w:eastAsia="en-GB"/>
        </w:rPr>
        <w:t>2</w:t>
      </w:r>
      <w:r w:rsidRPr="00C15639">
        <w:rPr>
          <w:szCs w:val="24"/>
          <w:lang w:eastAsia="en-GB"/>
        </w:rPr>
        <w:t xml:space="preserve">. </w:t>
      </w:r>
    </w:p>
    <w:p w14:paraId="4DD18559" w14:textId="77777777" w:rsidR="00531C4D" w:rsidRPr="00C15639" w:rsidRDefault="00531C4D" w:rsidP="00531C4D">
      <w:pPr>
        <w:ind w:firstLine="709"/>
        <w:rPr>
          <w:szCs w:val="24"/>
          <w:lang w:eastAsia="en-GB"/>
        </w:rPr>
      </w:pPr>
      <w:r w:rsidRPr="00C15639">
        <w:rPr>
          <w:szCs w:val="24"/>
          <w:lang w:eastAsia="en-GB"/>
        </w:rPr>
        <w:t xml:space="preserve">Наличие бактериемии не является обязательным условием для диагностики септического шока. Считают, что больной выведен из состояния септического шока, если в течение суток без введения инотропных или вазопрессорных препаратов и волемической нагрузки систолическое АД стабилизируется на цифрах </w:t>
      </w:r>
      <w:r w:rsidRPr="00C15639">
        <w:rPr>
          <w:szCs w:val="24"/>
        </w:rPr>
        <w:t>≥</w:t>
      </w:r>
      <w:r w:rsidRPr="00C15639">
        <w:rPr>
          <w:szCs w:val="24"/>
          <w:lang w:eastAsia="en-GB"/>
        </w:rPr>
        <w:t> 90 мм рт. ст. и исчезают признаки нарушения тканевой перфузии.</w:t>
      </w:r>
    </w:p>
    <w:p w14:paraId="79F590AE" w14:textId="77777777" w:rsidR="00531C4D" w:rsidRPr="00C15639" w:rsidRDefault="00531C4D" w:rsidP="00531C4D">
      <w:pPr>
        <w:ind w:firstLine="709"/>
        <w:rPr>
          <w:szCs w:val="24"/>
          <w:lang w:eastAsia="en-GB"/>
        </w:rPr>
      </w:pPr>
      <w:r w:rsidRPr="00C15639">
        <w:rPr>
          <w:szCs w:val="24"/>
          <w:lang w:eastAsia="en-GB"/>
        </w:rPr>
        <w:lastRenderedPageBreak/>
        <w:t>Под острой почечной недостаточностью понимают олигурию (диурез &lt; 0,5 мл/кг/ч) и/или повышение концентрации креатинина сыворотки &gt; 0,2 ммоль/л).</w:t>
      </w:r>
    </w:p>
    <w:p w14:paraId="5CBC4BE2" w14:textId="77777777" w:rsidR="00531C4D" w:rsidRPr="00C15639" w:rsidRDefault="00531C4D" w:rsidP="00531C4D">
      <w:pPr>
        <w:ind w:firstLine="709"/>
        <w:rPr>
          <w:szCs w:val="24"/>
          <w:lang w:eastAsia="en-GB"/>
        </w:rPr>
      </w:pPr>
      <w:r w:rsidRPr="00C15639">
        <w:rPr>
          <w:szCs w:val="24"/>
          <w:lang w:eastAsia="en-GB"/>
        </w:rPr>
        <w:t xml:space="preserve">Печеночная дисфункция диагностируется при выявлении гипербилирубинемии &gt; 70 мкмоль/л и/или повышения активности трансаминаз в два раза и более от нормы. </w:t>
      </w:r>
    </w:p>
    <w:p w14:paraId="3EB813DD" w14:textId="77777777" w:rsidR="00531C4D" w:rsidRPr="00C15639" w:rsidRDefault="00531C4D" w:rsidP="00531C4D">
      <w:pPr>
        <w:ind w:firstLine="709"/>
        <w:rPr>
          <w:szCs w:val="24"/>
          <w:lang w:eastAsia="en-GB"/>
        </w:rPr>
      </w:pPr>
      <w:r w:rsidRPr="00C15639">
        <w:rPr>
          <w:szCs w:val="24"/>
          <w:lang w:eastAsia="en-GB"/>
        </w:rPr>
        <w:t>Критерии острой дыхательной недостаточности — тахипноэ (число дыханий в покое &gt; 30/мин), артериальная гипоксемия (Р</w:t>
      </w:r>
      <w:r w:rsidRPr="00C15639">
        <w:rPr>
          <w:szCs w:val="24"/>
          <w:vertAlign w:val="subscript"/>
          <w:lang w:eastAsia="en-GB"/>
        </w:rPr>
        <w:t>a</w:t>
      </w:r>
      <w:r w:rsidRPr="00C15639">
        <w:rPr>
          <w:szCs w:val="24"/>
          <w:lang w:eastAsia="en-GB"/>
        </w:rPr>
        <w:t>О</w:t>
      </w:r>
      <w:r w:rsidRPr="00C15639">
        <w:rPr>
          <w:szCs w:val="24"/>
          <w:vertAlign w:val="subscript"/>
          <w:lang w:eastAsia="en-GB"/>
        </w:rPr>
        <w:t>2</w:t>
      </w:r>
      <w:r w:rsidRPr="00C15639">
        <w:rPr>
          <w:szCs w:val="24"/>
          <w:lang w:eastAsia="en-GB"/>
        </w:rPr>
        <w:t xml:space="preserve"> &lt; 60 мм рт. ст.) или гиперкапния (Р</w:t>
      </w:r>
      <w:r w:rsidRPr="00C15639">
        <w:rPr>
          <w:szCs w:val="24"/>
          <w:vertAlign w:val="subscript"/>
          <w:lang w:eastAsia="en-GB"/>
        </w:rPr>
        <w:t>а</w:t>
      </w:r>
      <w:r w:rsidRPr="00C15639">
        <w:rPr>
          <w:szCs w:val="24"/>
          <w:lang w:eastAsia="en-GB"/>
        </w:rPr>
        <w:t>СО</w:t>
      </w:r>
      <w:r w:rsidRPr="00C15639">
        <w:rPr>
          <w:szCs w:val="24"/>
          <w:vertAlign w:val="subscript"/>
          <w:lang w:eastAsia="en-GB"/>
        </w:rPr>
        <w:t>2</w:t>
      </w:r>
      <w:r w:rsidRPr="00C15639">
        <w:rPr>
          <w:szCs w:val="24"/>
          <w:lang w:eastAsia="en-GB"/>
        </w:rPr>
        <w:t xml:space="preserve"> &gt; 50 мм рт. ст.) при дыхании воздухом, появление обширного двустороннего поражения легких по рентгенологическим данным при отсутствии клинических признаков первичной сердечной недостаточности и хронического заболевания легких. </w:t>
      </w:r>
    </w:p>
    <w:p w14:paraId="36DEDB4E" w14:textId="77777777" w:rsidR="00531C4D" w:rsidRPr="00C15639" w:rsidRDefault="00531C4D" w:rsidP="00510A44">
      <w:pPr>
        <w:ind w:firstLine="709"/>
        <w:rPr>
          <w:szCs w:val="24"/>
          <w:lang w:eastAsia="en-GB"/>
        </w:rPr>
      </w:pPr>
      <w:r w:rsidRPr="00C15639">
        <w:rPr>
          <w:szCs w:val="24"/>
          <w:lang w:eastAsia="en-GB"/>
        </w:rPr>
        <w:t>Выраженность дыхательной недостаточности оценивается у больных по респираторному индексу, вычисляемому по формуле P</w:t>
      </w:r>
      <w:r w:rsidRPr="00C15639">
        <w:rPr>
          <w:szCs w:val="24"/>
          <w:vertAlign w:val="subscript"/>
          <w:lang w:eastAsia="en-GB"/>
        </w:rPr>
        <w:t>a</w:t>
      </w:r>
      <w:r w:rsidRPr="00C15639">
        <w:rPr>
          <w:szCs w:val="24"/>
          <w:lang w:eastAsia="en-GB"/>
        </w:rPr>
        <w:t>O</w:t>
      </w:r>
      <w:r w:rsidRPr="00C15639">
        <w:rPr>
          <w:szCs w:val="24"/>
          <w:vertAlign w:val="subscript"/>
          <w:lang w:eastAsia="en-GB"/>
        </w:rPr>
        <w:t>2</w:t>
      </w:r>
      <w:r w:rsidRPr="00C15639">
        <w:rPr>
          <w:szCs w:val="24"/>
          <w:lang w:eastAsia="en-GB"/>
        </w:rPr>
        <w:t>/F</w:t>
      </w:r>
      <w:r w:rsidRPr="00C15639">
        <w:rPr>
          <w:szCs w:val="24"/>
          <w:vertAlign w:val="subscript"/>
          <w:lang w:eastAsia="en-GB"/>
        </w:rPr>
        <w:t>I</w:t>
      </w:r>
      <w:r w:rsidRPr="00C15639">
        <w:rPr>
          <w:szCs w:val="24"/>
          <w:lang w:eastAsia="en-GB"/>
        </w:rPr>
        <w:t>O</w:t>
      </w:r>
      <w:r w:rsidRPr="00C15639">
        <w:rPr>
          <w:szCs w:val="24"/>
          <w:vertAlign w:val="subscript"/>
          <w:lang w:eastAsia="en-GB"/>
        </w:rPr>
        <w:t>2</w:t>
      </w:r>
      <w:r w:rsidRPr="00C15639">
        <w:rPr>
          <w:szCs w:val="24"/>
          <w:lang w:eastAsia="en-GB"/>
        </w:rPr>
        <w:t>, где P</w:t>
      </w:r>
      <w:r w:rsidRPr="00C15639">
        <w:rPr>
          <w:szCs w:val="24"/>
          <w:vertAlign w:val="subscript"/>
          <w:lang w:eastAsia="en-GB"/>
        </w:rPr>
        <w:t>a</w:t>
      </w:r>
      <w:r w:rsidRPr="00C15639">
        <w:rPr>
          <w:szCs w:val="24"/>
          <w:lang w:eastAsia="en-GB"/>
        </w:rPr>
        <w:t>O</w:t>
      </w:r>
      <w:r w:rsidRPr="00C15639">
        <w:rPr>
          <w:szCs w:val="24"/>
          <w:vertAlign w:val="subscript"/>
          <w:lang w:eastAsia="en-GB"/>
        </w:rPr>
        <w:t>2</w:t>
      </w:r>
      <w:r w:rsidRPr="00C15639">
        <w:rPr>
          <w:szCs w:val="24"/>
          <w:lang w:eastAsia="en-GB"/>
        </w:rPr>
        <w:t> — это напряжения кислорода в артериальной крови, а F</w:t>
      </w:r>
      <w:r w:rsidRPr="00C15639">
        <w:rPr>
          <w:szCs w:val="24"/>
          <w:vertAlign w:val="subscript"/>
          <w:lang w:eastAsia="en-GB"/>
        </w:rPr>
        <w:t>I</w:t>
      </w:r>
      <w:r w:rsidRPr="00C15639">
        <w:rPr>
          <w:szCs w:val="24"/>
          <w:lang w:eastAsia="en-GB"/>
        </w:rPr>
        <w:t>O</w:t>
      </w:r>
      <w:r w:rsidRPr="00C15639">
        <w:rPr>
          <w:szCs w:val="24"/>
          <w:vertAlign w:val="subscript"/>
          <w:lang w:eastAsia="en-GB"/>
        </w:rPr>
        <w:t>2</w:t>
      </w:r>
      <w:r w:rsidRPr="00C15639">
        <w:rPr>
          <w:szCs w:val="24"/>
          <w:lang w:eastAsia="en-GB"/>
        </w:rPr>
        <w:t> — процентное содержание кислорода во вдыхаемой смеси, выраженное в долях единицы. В норме этот показатель превышает 350—400 мм рт. ст.</w:t>
      </w:r>
    </w:p>
    <w:p w14:paraId="1E9006E5" w14:textId="77777777" w:rsidR="00531C4D" w:rsidRPr="00C15639" w:rsidRDefault="00531C4D" w:rsidP="00510A44">
      <w:pPr>
        <w:ind w:firstLine="709"/>
        <w:rPr>
          <w:szCs w:val="24"/>
          <w:lang w:eastAsia="en-GB"/>
        </w:rPr>
      </w:pPr>
      <w:r w:rsidRPr="00C15639">
        <w:rPr>
          <w:szCs w:val="24"/>
          <w:lang w:eastAsia="en-GB"/>
        </w:rPr>
        <w:t>Некротическую энтеропатию диагностируют при появлении метеоризма, болей в животе, диареи при отсутствии признаков острого панкреатита.</w:t>
      </w:r>
    </w:p>
    <w:p w14:paraId="16654494" w14:textId="77777777" w:rsidR="00531C4D" w:rsidRPr="004E0F49" w:rsidRDefault="00531C4D" w:rsidP="00510A44">
      <w:pPr>
        <w:ind w:firstLine="708"/>
        <w:rPr>
          <w:b/>
          <w:bCs/>
          <w:lang w:eastAsia="en-GB"/>
        </w:rPr>
      </w:pPr>
      <w:r w:rsidRPr="004E0F49">
        <w:rPr>
          <w:b/>
          <w:bCs/>
          <w:lang w:eastAsia="en-GB"/>
        </w:rPr>
        <w:t>Алгоритм действий при поступлении больного в стационар с подозрением на септический шок</w:t>
      </w:r>
    </w:p>
    <w:p w14:paraId="46049CE2" w14:textId="77777777" w:rsidR="00531C4D" w:rsidRPr="00C15639" w:rsidRDefault="00531C4D" w:rsidP="00510A44">
      <w:pPr>
        <w:pStyle w:val="Number1"/>
        <w:spacing w:before="0" w:line="360" w:lineRule="auto"/>
        <w:rPr>
          <w:color w:val="auto"/>
          <w:szCs w:val="24"/>
        </w:rPr>
      </w:pPr>
      <w:r w:rsidRPr="00C15639">
        <w:rPr>
          <w:color w:val="auto"/>
          <w:szCs w:val="24"/>
        </w:rPr>
        <w:tab/>
        <w:t>1.</w:t>
      </w:r>
      <w:r w:rsidRPr="00C15639">
        <w:rPr>
          <w:color w:val="auto"/>
          <w:szCs w:val="24"/>
        </w:rPr>
        <w:tab/>
        <w:t>Взятие кровь для микробиологического исследования из периферической вены и/или из центрального катетера в объеме 8—10 мл во флаконы, предназначенные для культивирования аэробных бактерий (BACTEC PLUS Aerobic/F). При наличии у больного установленного центрального венозного катетера в связи с возможным его инфицированием необходимо удалить катетер с последующим посевом его кончика. В обязательном порядке пациенту устанавливается новый центральный венозный катетер под ультразвуковой навигацией.</w:t>
      </w:r>
    </w:p>
    <w:p w14:paraId="3A037001" w14:textId="77777777" w:rsidR="00531C4D" w:rsidRPr="00C15639" w:rsidRDefault="00531C4D" w:rsidP="00510A44">
      <w:pPr>
        <w:pStyle w:val="Number1"/>
        <w:spacing w:before="0" w:line="360" w:lineRule="auto"/>
        <w:rPr>
          <w:color w:val="auto"/>
          <w:szCs w:val="24"/>
        </w:rPr>
      </w:pPr>
      <w:r w:rsidRPr="00C15639">
        <w:rPr>
          <w:color w:val="auto"/>
          <w:szCs w:val="24"/>
        </w:rPr>
        <w:tab/>
        <w:t>2.</w:t>
      </w:r>
      <w:r w:rsidRPr="00C15639">
        <w:rPr>
          <w:color w:val="auto"/>
          <w:szCs w:val="24"/>
        </w:rPr>
        <w:tab/>
        <w:t xml:space="preserve">Выполнение посевов (микробиологических/бактериологических исследований) со слизистых прямой кишки, зева и мочи. </w:t>
      </w:r>
    </w:p>
    <w:p w14:paraId="30ECB167" w14:textId="77777777" w:rsidR="00531C4D" w:rsidRPr="00C15639" w:rsidRDefault="00531C4D" w:rsidP="00510A44">
      <w:pPr>
        <w:pStyle w:val="Number1"/>
        <w:spacing w:before="0" w:line="360" w:lineRule="auto"/>
        <w:rPr>
          <w:color w:val="auto"/>
          <w:szCs w:val="24"/>
        </w:rPr>
      </w:pPr>
      <w:r w:rsidRPr="00C15639">
        <w:rPr>
          <w:color w:val="auto"/>
          <w:szCs w:val="24"/>
        </w:rPr>
        <w:tab/>
        <w:t>3.</w:t>
      </w:r>
      <w:r w:rsidRPr="00C15639">
        <w:rPr>
          <w:color w:val="auto"/>
          <w:szCs w:val="24"/>
        </w:rPr>
        <w:tab/>
        <w:t xml:space="preserve">Определение концентрации маркеров воспаления — сывороточная концентрация прокальцитонина и С-реактивного белка, плазменная концентрация пресепсина. При развитии септического шока концентрация прокальцитонина может оставаться в пределах нормальных значений (запаздывать), так как уровень прокальцитонина обычно повышается только через 10—12 часов после развития сепсиса. Поэтому рекомендуется повторно определять концентрацию прокальцитонина через 10—12 часов от развития септического шока. Уровни маркеров воспаления должны определяться в динамике. </w:t>
      </w:r>
    </w:p>
    <w:p w14:paraId="035E8A7F" w14:textId="77777777" w:rsidR="00531C4D" w:rsidRPr="00C15639" w:rsidRDefault="00531C4D" w:rsidP="00510A44">
      <w:pPr>
        <w:pStyle w:val="Normal11"/>
        <w:spacing w:before="0" w:line="360" w:lineRule="auto"/>
        <w:ind w:left="284" w:hanging="284"/>
        <w:rPr>
          <w:color w:val="auto"/>
          <w:szCs w:val="24"/>
        </w:rPr>
      </w:pPr>
      <w:r w:rsidRPr="00C15639">
        <w:rPr>
          <w:color w:val="auto"/>
          <w:szCs w:val="24"/>
        </w:rPr>
        <w:lastRenderedPageBreak/>
        <w:tab/>
        <w:t>4.</w:t>
      </w:r>
      <w:r w:rsidRPr="00C15639">
        <w:rPr>
          <w:color w:val="auto"/>
          <w:szCs w:val="24"/>
        </w:rPr>
        <w:tab/>
        <w:t xml:space="preserve">Выполнение спиральной </w:t>
      </w:r>
      <w:r w:rsidRPr="00C15639">
        <w:rPr>
          <w:bCs/>
          <w:color w:val="auto"/>
          <w:szCs w:val="24"/>
        </w:rPr>
        <w:t xml:space="preserve">компьютерной томографии (СКТ) </w:t>
      </w:r>
      <w:r w:rsidRPr="00C15639">
        <w:rPr>
          <w:color w:val="auto"/>
          <w:szCs w:val="24"/>
        </w:rPr>
        <w:t>грудной клетки всем пациентам с подозрением на пневмонию, по результатам которой выявляется область наибольшего поражения, выполняется фибробронхоскопия с бронхоальвеолярным лаважом. (См. ниже раздел «</w:t>
      </w:r>
      <w:r w:rsidRPr="00C15639">
        <w:rPr>
          <w:kern w:val="36"/>
          <w:szCs w:val="24"/>
        </w:rPr>
        <w:t>Острая дыхательная недостаточность у гематологических пациентов» и Протокол</w:t>
      </w:r>
      <w:r w:rsidRPr="00C15639">
        <w:rPr>
          <w:color w:val="auto"/>
          <w:szCs w:val="24"/>
        </w:rPr>
        <w:t xml:space="preserve"> обследования пациентов с поражением легких (рис.1). </w:t>
      </w:r>
    </w:p>
    <w:p w14:paraId="5CF3E7F3" w14:textId="77777777" w:rsidR="00531C4D" w:rsidRPr="00C15639" w:rsidRDefault="00531C4D" w:rsidP="00510A44">
      <w:pPr>
        <w:pStyle w:val="Number1"/>
        <w:spacing w:before="0" w:line="360" w:lineRule="auto"/>
        <w:rPr>
          <w:color w:val="auto"/>
          <w:szCs w:val="24"/>
        </w:rPr>
      </w:pPr>
      <w:r w:rsidRPr="00C15639">
        <w:rPr>
          <w:color w:val="auto"/>
          <w:szCs w:val="24"/>
        </w:rPr>
        <w:tab/>
        <w:t>5.</w:t>
      </w:r>
      <w:r w:rsidRPr="00C15639">
        <w:rPr>
          <w:color w:val="auto"/>
          <w:szCs w:val="24"/>
        </w:rPr>
        <w:tab/>
        <w:t xml:space="preserve">Выполнение электрокардиографии и трансторакальной эхокардиографии всем пациментам, а также определение концентрации кардиомаркеров (тропонин I, КФК КФК-МБ) для исключения развития септической миокардиальной дисфункции или септического миокардита. </w:t>
      </w:r>
    </w:p>
    <w:p w14:paraId="14164FDD" w14:textId="77777777" w:rsidR="00531C4D" w:rsidRPr="00C15639" w:rsidRDefault="00531C4D" w:rsidP="00510A44">
      <w:pPr>
        <w:pStyle w:val="Number1"/>
        <w:spacing w:before="0" w:line="360" w:lineRule="auto"/>
        <w:rPr>
          <w:color w:val="auto"/>
          <w:szCs w:val="24"/>
        </w:rPr>
      </w:pPr>
      <w:r w:rsidRPr="00C15639">
        <w:rPr>
          <w:color w:val="auto"/>
          <w:szCs w:val="24"/>
        </w:rPr>
        <w:tab/>
        <w:t>6.</w:t>
      </w:r>
      <w:r w:rsidRPr="00C15639">
        <w:rPr>
          <w:color w:val="auto"/>
          <w:szCs w:val="24"/>
        </w:rPr>
        <w:tab/>
        <w:t xml:space="preserve">Установление артериальной линии для инвазивного мониторинга АД и взятия проб крови для анализа кислотно-щелочного состояния, газов крови у всех пациентов. Устанавливается катетер в a. radialis или a. femoralis либо катетер </w:t>
      </w:r>
      <w:r w:rsidRPr="00C15639">
        <w:rPr>
          <w:color w:val="auto"/>
          <w:szCs w:val="24"/>
          <w:lang w:val="en-US"/>
        </w:rPr>
        <w:t>P</w:t>
      </w:r>
      <w:r w:rsidRPr="00C15639">
        <w:rPr>
          <w:color w:val="auto"/>
          <w:szCs w:val="24"/>
        </w:rPr>
        <w:t>i</w:t>
      </w:r>
      <w:r w:rsidRPr="00C15639">
        <w:rPr>
          <w:color w:val="auto"/>
          <w:szCs w:val="24"/>
          <w:lang w:val="en-US"/>
        </w:rPr>
        <w:t>CCO</w:t>
      </w:r>
      <w:r w:rsidRPr="00C15639">
        <w:rPr>
          <w:color w:val="auto"/>
          <w:szCs w:val="24"/>
        </w:rPr>
        <w:t>. Цель терапии — достижение среднего АД ≥ 65 мм рт. ст., ЦВД 8—12 мм рт. ст., диуреза &gt; 0,5 мл/кг/ч, S</w:t>
      </w:r>
      <w:r w:rsidRPr="00C15639">
        <w:rPr>
          <w:color w:val="auto"/>
          <w:szCs w:val="24"/>
          <w:vertAlign w:val="subscript"/>
        </w:rPr>
        <w:t>cv</w:t>
      </w:r>
      <w:r w:rsidRPr="00C15639">
        <w:rPr>
          <w:color w:val="auto"/>
          <w:szCs w:val="24"/>
        </w:rPr>
        <w:t>O</w:t>
      </w:r>
      <w:r w:rsidRPr="00C15639">
        <w:rPr>
          <w:color w:val="auto"/>
          <w:szCs w:val="24"/>
          <w:vertAlign w:val="subscript"/>
        </w:rPr>
        <w:t>2</w:t>
      </w:r>
      <w:r w:rsidRPr="00C15639">
        <w:rPr>
          <w:color w:val="auto"/>
          <w:szCs w:val="24"/>
        </w:rPr>
        <w:t xml:space="preserve"> ≥ 70%, индекса ГКДО ≥ 680 мл/м</w:t>
      </w:r>
      <w:r w:rsidRPr="00C15639">
        <w:rPr>
          <w:color w:val="auto"/>
          <w:szCs w:val="24"/>
          <w:vertAlign w:val="superscript"/>
        </w:rPr>
        <w:t>2</w:t>
      </w:r>
      <w:r w:rsidRPr="00C15639">
        <w:rPr>
          <w:color w:val="auto"/>
          <w:szCs w:val="24"/>
        </w:rPr>
        <w:t xml:space="preserve">. Индекс ГКДО необходимо оценивать в динамике. Но не надо стремиться к достижению условных норм индекса ГКДО при появлении признаков перегрузки объемом, так как это условные нормы не всегда отражают волемический статус пациента. </w:t>
      </w:r>
    </w:p>
    <w:p w14:paraId="37028B0E" w14:textId="77777777" w:rsidR="00531C4D" w:rsidRPr="00C15639" w:rsidRDefault="00531C4D" w:rsidP="00510A44">
      <w:pPr>
        <w:pStyle w:val="Number1"/>
        <w:spacing w:before="0" w:line="360" w:lineRule="auto"/>
        <w:rPr>
          <w:color w:val="auto"/>
          <w:szCs w:val="24"/>
        </w:rPr>
      </w:pPr>
      <w:r w:rsidRPr="00C15639">
        <w:rPr>
          <w:color w:val="auto"/>
          <w:szCs w:val="24"/>
        </w:rPr>
        <w:tab/>
        <w:t>7.</w:t>
      </w:r>
      <w:r w:rsidRPr="00C15639">
        <w:rPr>
          <w:color w:val="auto"/>
          <w:szCs w:val="24"/>
        </w:rPr>
        <w:tab/>
        <w:t>При катетеризации сосудов уровень тромбоцитов &lt; 20х10</w:t>
      </w:r>
      <w:r w:rsidRPr="00C15639">
        <w:rPr>
          <w:color w:val="auto"/>
          <w:szCs w:val="24"/>
          <w:vertAlign w:val="superscript"/>
        </w:rPr>
        <w:t>9</w:t>
      </w:r>
      <w:r w:rsidRPr="00C15639">
        <w:rPr>
          <w:color w:val="auto"/>
          <w:szCs w:val="24"/>
        </w:rPr>
        <w:t xml:space="preserve">/л является показанием для трансфузии концентрата тромбоцитов. Процедуры катетеризации сосудов следует выполнять под ультразвуковым контролем. В неотложных ситуациях катетеризация выполняется при любом уровне тромбоцитов. </w:t>
      </w:r>
    </w:p>
    <w:p w14:paraId="779D73A5" w14:textId="77777777" w:rsidR="00531C4D" w:rsidRPr="00C15639" w:rsidRDefault="00531C4D" w:rsidP="00510A44">
      <w:pPr>
        <w:pStyle w:val="Number1"/>
        <w:spacing w:before="0" w:line="360" w:lineRule="auto"/>
        <w:rPr>
          <w:color w:val="auto"/>
          <w:szCs w:val="24"/>
        </w:rPr>
      </w:pPr>
      <w:r w:rsidRPr="00C15639">
        <w:rPr>
          <w:color w:val="auto"/>
          <w:szCs w:val="24"/>
        </w:rPr>
        <w:tab/>
      </w:r>
      <w:r w:rsidRPr="00C15639">
        <w:rPr>
          <w:color w:val="auto"/>
          <w:szCs w:val="24"/>
        </w:rPr>
        <w:tab/>
        <w:t>8.</w:t>
      </w:r>
      <w:r w:rsidRPr="00C15639">
        <w:rPr>
          <w:color w:val="auto"/>
          <w:szCs w:val="24"/>
        </w:rPr>
        <w:tab/>
        <w:t>При возникновении подозрения на сепсис должна быть начата эмпирическая антибактериальная терапия с использованием одного или более препаратов, имеющих активность против всех потенциальных патогенов (бактерии и/или грибы) и создающих адекватную концентрацию в предполагаемых источниках сепсиса. Антибактериальная терапия должна быть видоизменена с учетом профиля чувствительности микроорганизма к антибиотикам в наиболее ранние сроки. Модификацию антибактериальной терапии проводят согласно результатам микробиологических исследований.</w:t>
      </w:r>
    </w:p>
    <w:p w14:paraId="6E6A7FCB" w14:textId="77777777" w:rsidR="00531C4D" w:rsidRPr="00C15639" w:rsidRDefault="00531C4D" w:rsidP="00510A44">
      <w:pPr>
        <w:pStyle w:val="Number1"/>
        <w:spacing w:before="0" w:line="360" w:lineRule="auto"/>
        <w:rPr>
          <w:color w:val="auto"/>
          <w:szCs w:val="24"/>
        </w:rPr>
      </w:pPr>
      <w:r w:rsidRPr="00C15639">
        <w:rPr>
          <w:color w:val="auto"/>
          <w:szCs w:val="24"/>
        </w:rPr>
        <w:tab/>
        <w:t>9.</w:t>
      </w:r>
      <w:r w:rsidRPr="00C15639">
        <w:rPr>
          <w:color w:val="auto"/>
          <w:szCs w:val="24"/>
        </w:rPr>
        <w:tab/>
        <w:t xml:space="preserve">Волемическая нагрузка кристаллоидами — препаратами выбора в инфузионной терапии тяжелого сепсиса и септического шока. В инфузионной терапии сепсиса и септического шока не рекомендованы препараты гидроксиэтилкрахмала. Альбумин человека используется в инфузионной терапии тяжелого сепсиса и септического шока у пациентов, нуждающихся в значительных дозах кристаллоидов. Начальная водная нагрузка должна составлять не менее 30 мл/кг кристаллоидов (часть этой дозы можно </w:t>
      </w:r>
      <w:r w:rsidRPr="00C15639">
        <w:rPr>
          <w:color w:val="auto"/>
          <w:szCs w:val="24"/>
        </w:rPr>
        <w:lastRenderedPageBreak/>
        <w:t>заменить на альбумин человека). Для некоторых пациентов требуются большая доза и скорость введения. Начальной целью инфузии является ЦВД 8 мм рт. ст. (12 мм рт. ст. при проведении инвазивной вентиляции легких (ИВЛ). Часто инфузия необходима и в дальнейшем. Рекомендуется продолжать инфузию до тех пор, пока продолжается гемодинамическое улучшение (АД, ЧСС, темп диуреза, нормализация повышенного уровня лактата). Рекомендуется значительно уменьшить скорость инфузии, когда увеличение преднагрузки сердца (ЦВД) не приводит к гемодинамическому улучшению (возрастанию сердечного выброса). Таким образом, целевые значения жизненно важных параметров: ЦВД 8—12 мм рт. ст., индекс ГКДО 680 мл/м</w:t>
      </w:r>
      <w:r w:rsidRPr="00C15639">
        <w:rPr>
          <w:color w:val="auto"/>
          <w:szCs w:val="24"/>
          <w:vertAlign w:val="superscript"/>
        </w:rPr>
        <w:t>2</w:t>
      </w:r>
      <w:r w:rsidRPr="00C15639">
        <w:rPr>
          <w:color w:val="auto"/>
          <w:szCs w:val="24"/>
        </w:rPr>
        <w:t xml:space="preserve">, среднее АД 65 мм рт. ст., диурез 0,5 мл/кг в час, оксигенация в смешанной венозной крови 70% или в венозной крови из верхней полой вены 65%. </w:t>
      </w:r>
    </w:p>
    <w:p w14:paraId="06B57C85" w14:textId="77777777" w:rsidR="00531C4D" w:rsidRPr="00C15639" w:rsidRDefault="00531C4D" w:rsidP="00510A44">
      <w:pPr>
        <w:pStyle w:val="Number1"/>
        <w:spacing w:before="0" w:line="360" w:lineRule="auto"/>
        <w:rPr>
          <w:color w:val="auto"/>
          <w:szCs w:val="24"/>
        </w:rPr>
      </w:pPr>
      <w:r w:rsidRPr="00C15639">
        <w:rPr>
          <w:color w:val="auto"/>
          <w:szCs w:val="24"/>
        </w:rPr>
        <w:tab/>
        <w:t>10.</w:t>
      </w:r>
      <w:r w:rsidRPr="00C15639">
        <w:rPr>
          <w:color w:val="auto"/>
          <w:szCs w:val="24"/>
        </w:rPr>
        <w:tab/>
        <w:t>Вазопрессорная терапия должна начинаться при сохраняющемся в течение &gt; 1 часа, несмотря на инфузию адекватных объемов жидкости, систолическом АД &lt; 90 мм рт. ст. или среднем АД &lt; 65 мм рт. ст. Увеличение дозы препарата продолжается до достижения целевого уровня среднего АД ≥ 65 мм рт. ст. Норэпинефрин — препарат выбора среди вазопрессоров, его начальная доза 0,5—1 мкг/кг/мин. Эпинефрин может использоваться и в качестве второго вазопрессора и в качестве потенциальной замены норэпинефрина в случае, когда необходим дополнительный вазопрессор для поддержания адекватного артериального давления. Терлипрессин (Реместип) в дозе 1,3 мк/кг/ч может использоваться совместно с норэпинефрином как для поддержания среднего АД, так и для снижения дозы норэпинефрина. Допамин в качестве альтернативного вазопрессора должен использоваться только у строго определенных групп пациентов (например, у пациентов с низким риском тахиаритмии, у пациентов с брадикардией). Не следует использовать низкие дозы допамина для защиты почек. Инфузия добутамина в дозе до 20 мкг/кг в минуту может быть назначена или добавлена к вазопрессорам в следующих случаях: дисфункция миокарда, выражающаяся в виде роста давления наполнения и низкого сердечного выброса; сохраняющиеся симптомы гипоперфузии несмотря на достигнутый адекватный внутрисосудистый объем и нормальное среднее АД.</w:t>
      </w:r>
    </w:p>
    <w:p w14:paraId="7B76B1D6" w14:textId="77777777" w:rsidR="00531C4D" w:rsidRPr="00C15639" w:rsidRDefault="00531C4D" w:rsidP="00510A44">
      <w:pPr>
        <w:pStyle w:val="Number1"/>
        <w:spacing w:before="0" w:line="360" w:lineRule="auto"/>
        <w:rPr>
          <w:color w:val="auto"/>
          <w:szCs w:val="24"/>
        </w:rPr>
      </w:pPr>
      <w:r w:rsidRPr="00C15639">
        <w:rPr>
          <w:color w:val="auto"/>
          <w:szCs w:val="24"/>
        </w:rPr>
        <w:tab/>
        <w:t>11.</w:t>
      </w:r>
      <w:r w:rsidRPr="00C15639">
        <w:rPr>
          <w:color w:val="auto"/>
          <w:szCs w:val="24"/>
        </w:rPr>
        <w:tab/>
        <w:t xml:space="preserve">При развитии септического шока проводится терапия глюкокортикоидами: в первые сутки внутривенно вводится нагрузочная доза 100 мг гидрокортизона в виде болюсной короткой инфузии, а затем начинается круглосуточная инфузия препарата 200 мг/сут в виде внутривенной постоянной суточной инфузии. Гидрокортизон отменятся после прекращения использования вазопрессоров. Не используют гидрокортизон, если волемическая нагрузка и вазопрессорная терапия способны стабилизировать гемодинамику. </w:t>
      </w:r>
    </w:p>
    <w:p w14:paraId="13914F70" w14:textId="77777777" w:rsidR="00531C4D" w:rsidRPr="00C15639" w:rsidRDefault="00531C4D" w:rsidP="00510A44">
      <w:pPr>
        <w:pStyle w:val="Number1"/>
        <w:spacing w:before="0" w:line="360" w:lineRule="auto"/>
        <w:rPr>
          <w:color w:val="auto"/>
          <w:szCs w:val="24"/>
        </w:rPr>
      </w:pPr>
      <w:r w:rsidRPr="00C15639">
        <w:rPr>
          <w:color w:val="auto"/>
          <w:szCs w:val="24"/>
        </w:rPr>
        <w:lastRenderedPageBreak/>
        <w:tab/>
        <w:t>12.</w:t>
      </w:r>
      <w:r w:rsidRPr="00C15639">
        <w:rPr>
          <w:color w:val="auto"/>
          <w:szCs w:val="24"/>
        </w:rPr>
        <w:tab/>
        <w:t>Препараты крови: показанием для трансфузии эритроцитов является снижение уровня Hb &lt; 70 г/л (целевой уровень Hb — 70—90 г/л) у взрослых. Не следует использовать эритропоэтин в качестве специфической терапии анемии, связанной с тяжелым сепсисом. Трансфузию тромбоцитов рекомендовано проводить при снижении уровня тромбоцитов менее 20х10</w:t>
      </w:r>
      <w:r w:rsidRPr="00C15639">
        <w:rPr>
          <w:color w:val="auto"/>
          <w:szCs w:val="24"/>
          <w:vertAlign w:val="superscript"/>
        </w:rPr>
        <w:t>9</w:t>
      </w:r>
      <w:r w:rsidRPr="00C15639">
        <w:rPr>
          <w:color w:val="auto"/>
          <w:szCs w:val="24"/>
        </w:rPr>
        <w:t>/л либо при наличии геморрагического синдрома. Свежезамороженная плазма (СЗП) не должна применяться для коррекции лабораторных показателей при отсутствии кровотечения или планируемого инвазивного вмешательства. Трансфузия СЗП осуществляется только при развитии геморрагического синдрома.</w:t>
      </w:r>
    </w:p>
    <w:p w14:paraId="48A1365B" w14:textId="77777777" w:rsidR="00531C4D" w:rsidRPr="00C15639" w:rsidRDefault="00531C4D" w:rsidP="00510A44">
      <w:pPr>
        <w:pStyle w:val="Number1"/>
        <w:spacing w:before="0" w:line="360" w:lineRule="auto"/>
        <w:rPr>
          <w:color w:val="auto"/>
          <w:szCs w:val="24"/>
        </w:rPr>
      </w:pPr>
      <w:r w:rsidRPr="00C15639">
        <w:rPr>
          <w:color w:val="auto"/>
          <w:szCs w:val="24"/>
        </w:rPr>
        <w:tab/>
        <w:t>13.</w:t>
      </w:r>
      <w:r w:rsidRPr="00C15639">
        <w:rPr>
          <w:color w:val="auto"/>
          <w:szCs w:val="24"/>
        </w:rPr>
        <w:tab/>
        <w:t xml:space="preserve">Нет общих данных по проведению заместительной терапии донорскими иммуноглобулинами. Однако у 67% онкогематологических больных с сепсисом выявляется гуморальный иммунодефицит (снижение уровня одного из классов иммуноглобулинов). У пациентов с сепсисом при выявлении гуморального иммунодефицита необходимо проведение заместительной терапии препаратами IgG в зависимости в дозе 0,5 г/кг дней внутривенно. При дефиците иммуноглобулина М используется пентаглобин, обогащенный IgМ. Пентаглобин может использоваться также и без выявленного дефицита IgМ для лечения септического шока в дозе 5 мг/кг/сут в течение 3 дней в/в в виде непрерывной инфузии. </w:t>
      </w:r>
    </w:p>
    <w:p w14:paraId="6BAF2383" w14:textId="77777777" w:rsidR="00531C4D" w:rsidRPr="00C15639" w:rsidRDefault="00531C4D" w:rsidP="00510A44">
      <w:pPr>
        <w:pStyle w:val="Number1"/>
        <w:spacing w:before="0" w:line="360" w:lineRule="auto"/>
        <w:rPr>
          <w:color w:val="auto"/>
          <w:szCs w:val="24"/>
        </w:rPr>
      </w:pPr>
      <w:r w:rsidRPr="00C15639">
        <w:rPr>
          <w:color w:val="auto"/>
          <w:szCs w:val="24"/>
        </w:rPr>
        <w:tab/>
        <w:t>14.</w:t>
      </w:r>
      <w:r w:rsidRPr="00C15639">
        <w:rPr>
          <w:color w:val="auto"/>
          <w:szCs w:val="24"/>
        </w:rPr>
        <w:tab/>
        <w:t xml:space="preserve">Заместительная почечная терапия. Возможно использование как процедуры гемодиализа, так и гемодиафильтрации. При развитии острой почечной недостаточности может проводиться гемодиализ, хотя предпочтительнее использовать гемодиафильтрацию. При развитии выраженных метаболических нарушений (лактат-ацидоз, электролитные нарушения) методом выбора является круглосуточная гемодиафильтрация. </w:t>
      </w:r>
    </w:p>
    <w:p w14:paraId="38F24C5B" w14:textId="77777777" w:rsidR="00531C4D" w:rsidRDefault="00531C4D" w:rsidP="00510A44">
      <w:pPr>
        <w:pStyle w:val="Number1"/>
        <w:spacing w:before="0" w:line="360" w:lineRule="auto"/>
        <w:rPr>
          <w:color w:val="auto"/>
          <w:szCs w:val="24"/>
        </w:rPr>
      </w:pPr>
      <w:r w:rsidRPr="00C15639">
        <w:rPr>
          <w:color w:val="auto"/>
          <w:szCs w:val="24"/>
        </w:rPr>
        <w:tab/>
        <w:t>15.</w:t>
      </w:r>
      <w:r w:rsidRPr="00C15639">
        <w:rPr>
          <w:color w:val="auto"/>
          <w:szCs w:val="24"/>
        </w:rPr>
        <w:tab/>
        <w:t>При развитии острой дыхательной недостаточности, некоррегируемой с помощью неинвазивных методов респираторной поддержки, больным интубируется трахея, и они переводятся на ИВЛ.</w:t>
      </w:r>
    </w:p>
    <w:p w14:paraId="42680AF6" w14:textId="77777777" w:rsidR="00531C4D" w:rsidRPr="00C15639" w:rsidRDefault="00531C4D" w:rsidP="00510A44">
      <w:pPr>
        <w:pStyle w:val="Number1"/>
        <w:spacing w:before="0" w:line="360" w:lineRule="auto"/>
        <w:rPr>
          <w:color w:val="auto"/>
          <w:szCs w:val="24"/>
        </w:rPr>
      </w:pPr>
    </w:p>
    <w:p w14:paraId="2C795948" w14:textId="77777777" w:rsidR="00531C4D" w:rsidRPr="00C15639" w:rsidRDefault="00531C4D" w:rsidP="00510A44">
      <w:pPr>
        <w:pStyle w:val="Number1"/>
        <w:spacing w:before="0" w:line="360" w:lineRule="auto"/>
        <w:rPr>
          <w:i/>
          <w:kern w:val="36"/>
          <w:szCs w:val="24"/>
          <w:u w:val="single"/>
        </w:rPr>
      </w:pPr>
      <w:r w:rsidRPr="00C15639">
        <w:rPr>
          <w:i/>
          <w:kern w:val="36"/>
          <w:szCs w:val="24"/>
          <w:u w:val="single"/>
        </w:rPr>
        <w:t>Острая дыхательная недостаточность у гематологических пациентов</w:t>
      </w:r>
    </w:p>
    <w:p w14:paraId="4662F7CC" w14:textId="77777777" w:rsidR="00531C4D" w:rsidRPr="00C15639" w:rsidRDefault="00531C4D" w:rsidP="00510A44">
      <w:pPr>
        <w:ind w:firstLine="709"/>
        <w:rPr>
          <w:szCs w:val="24"/>
        </w:rPr>
      </w:pPr>
      <w:r w:rsidRPr="00C15639">
        <w:rPr>
          <w:szCs w:val="24"/>
        </w:rPr>
        <w:t xml:space="preserve">Легочная патология и возникающая вследствие нее острая дыхательная недостаточность (ОДН) являются частыми осложнениями у гематологических пациентов. ОДН может возникнуть на любых этапах гематологического заболевания: в дебюте, при проведении индукционной химиотерапии, на стадии миелотоксического агранулоцитоза и восстановления костномозгового кроветворения, во время ремиссии или поддерживающего лечения, при возникновении рецидива и т. д. ОДН является причиной перевода в </w:t>
      </w:r>
      <w:r w:rsidRPr="00C15639">
        <w:rPr>
          <w:szCs w:val="24"/>
        </w:rPr>
        <w:lastRenderedPageBreak/>
        <w:t>реанимационное отделение каждого четвертого пациента онкогематологическим заболеванием.</w:t>
      </w:r>
    </w:p>
    <w:p w14:paraId="5DC92260" w14:textId="77777777" w:rsidR="00531C4D" w:rsidRPr="004E0F49" w:rsidRDefault="00531C4D" w:rsidP="00531C4D">
      <w:pPr>
        <w:ind w:firstLine="709"/>
        <w:rPr>
          <w:b/>
          <w:bCs/>
        </w:rPr>
      </w:pPr>
      <w:r w:rsidRPr="004E0F49">
        <w:rPr>
          <w:b/>
          <w:bCs/>
        </w:rPr>
        <w:t>Обструктивная ОДН</w:t>
      </w:r>
    </w:p>
    <w:p w14:paraId="0838B1D7" w14:textId="77777777" w:rsidR="00531C4D" w:rsidRPr="00510A44" w:rsidRDefault="00531C4D" w:rsidP="00510A44">
      <w:pPr>
        <w:ind w:firstLine="709"/>
        <w:rPr>
          <w:szCs w:val="24"/>
        </w:rPr>
      </w:pPr>
      <w:r w:rsidRPr="00C15639">
        <w:rPr>
          <w:szCs w:val="24"/>
        </w:rPr>
        <w:t xml:space="preserve">Обструктивная ОДН выявляется у 5—7% больных гемобластозами, и может быть вызвана окклюзией просвета трахеи увеличенными подслизистыми лимфатическими узлами, обструкцией бронхов опухолевыми массами, сдавлением бронхов перибронхиальными лимфатическими узлами или сужением просвета бронхов за счет эндобронхиальной инфильтрации опухолевыми клетками лимфоме или лейкозе. Так, при лимфоме Ходжкина до начала лечения в отсутствие ОДН функциональные легочные тесты почти в половине случаев обнаруживают нарушение проходимости дыхательных путей, которое проявляется во время вдоха; при этом при КТ умеренная или тяжелая деформация трахеи выявляется лишь у трети больных. Даже при отсутствии сужения просвета дыхательных путей опухолевыми массами окружающие трахею лимфатические узлы делают ее стенки более ригидными, что не позволяет ей расширяться при отрицательном внутригрудном давлении во время вдоха и замедляет тем самым скорость потока воздуха. Другими причинами обструктивной ОДН у больных с гемобластозами являются </w:t>
      </w:r>
      <w:r w:rsidRPr="00510A44">
        <w:rPr>
          <w:szCs w:val="24"/>
        </w:rPr>
        <w:t>воспалительный процесс мягких тканей лица и шеи (нома), обструкция трахеи и главных бронхов аспергиллезной мицетомой, закупорка гортани при кандидозном поражении надгортанника, гематома в полости ротоглотки или гортани.</w:t>
      </w:r>
    </w:p>
    <w:p w14:paraId="020B4D57" w14:textId="77777777" w:rsidR="00531C4D" w:rsidRPr="00510A44" w:rsidRDefault="00531C4D" w:rsidP="00510A44">
      <w:pPr>
        <w:ind w:firstLine="709"/>
        <w:rPr>
          <w:b/>
          <w:bCs/>
          <w:szCs w:val="24"/>
        </w:rPr>
      </w:pPr>
      <w:r w:rsidRPr="00510A44">
        <w:rPr>
          <w:b/>
          <w:bCs/>
          <w:szCs w:val="24"/>
        </w:rPr>
        <w:t>Паренхиматозная ОДН</w:t>
      </w:r>
    </w:p>
    <w:p w14:paraId="06A2B9FB" w14:textId="77777777" w:rsidR="00531C4D" w:rsidRPr="00510A44" w:rsidRDefault="00531C4D" w:rsidP="00510A44">
      <w:pPr>
        <w:ind w:firstLine="709"/>
        <w:rPr>
          <w:szCs w:val="24"/>
        </w:rPr>
      </w:pPr>
      <w:r w:rsidRPr="00510A44">
        <w:rPr>
          <w:szCs w:val="24"/>
        </w:rPr>
        <w:t>Паренхиматозные поражения легких являются основной причиной ОДН. Эта форма дыхательной недостаточности выявляется у 93—95% больных с гемобластозами. Поражение легких при гематологических заболеваниях может носить как инфекционный, так и неинфекционный характер.</w:t>
      </w:r>
    </w:p>
    <w:p w14:paraId="2BC58E94" w14:textId="77777777" w:rsidR="00531C4D" w:rsidRPr="00510A44" w:rsidRDefault="00531C4D" w:rsidP="00510A44">
      <w:pPr>
        <w:pStyle w:val="4"/>
        <w:numPr>
          <w:ilvl w:val="12"/>
          <w:numId w:val="0"/>
        </w:numPr>
        <w:spacing w:line="360" w:lineRule="auto"/>
        <w:ind w:firstLine="709"/>
        <w:rPr>
          <w:i/>
          <w:sz w:val="24"/>
          <w:szCs w:val="24"/>
          <w:lang w:val="ru-RU"/>
        </w:rPr>
      </w:pPr>
      <w:r w:rsidRPr="00510A44">
        <w:rPr>
          <w:sz w:val="24"/>
          <w:szCs w:val="24"/>
          <w:lang w:val="ru-RU"/>
        </w:rPr>
        <w:t>Инфекционные поражения легких</w:t>
      </w:r>
    </w:p>
    <w:p w14:paraId="54FB9DAB" w14:textId="77777777" w:rsidR="00531C4D" w:rsidRPr="00510A44" w:rsidRDefault="00531C4D" w:rsidP="00510A44">
      <w:pPr>
        <w:pStyle w:val="Number1"/>
        <w:spacing w:before="0" w:line="360" w:lineRule="auto"/>
        <w:ind w:left="0" w:firstLine="709"/>
        <w:rPr>
          <w:color w:val="auto"/>
          <w:szCs w:val="24"/>
        </w:rPr>
      </w:pPr>
      <w:r w:rsidRPr="00510A44">
        <w:rPr>
          <w:color w:val="auto"/>
          <w:szCs w:val="24"/>
        </w:rPr>
        <w:t xml:space="preserve">Пневмонии различной этиологии — наиболее частые причины ОДН. В половине случаев они вызываются </w:t>
      </w:r>
      <w:r w:rsidRPr="00510A44">
        <w:rPr>
          <w:bCs/>
          <w:color w:val="auto"/>
          <w:szCs w:val="24"/>
        </w:rPr>
        <w:t>бактериями</w:t>
      </w:r>
      <w:r w:rsidRPr="00510A44">
        <w:rPr>
          <w:color w:val="auto"/>
          <w:szCs w:val="24"/>
        </w:rPr>
        <w:t>, при этом чаще всего возбудителями являются грамотрицательные микроорганизмы</w:t>
      </w:r>
    </w:p>
    <w:p w14:paraId="53DC98E0" w14:textId="77777777" w:rsidR="00531C4D" w:rsidRPr="00510A44" w:rsidRDefault="00531C4D" w:rsidP="00510A44">
      <w:pPr>
        <w:ind w:firstLine="709"/>
        <w:rPr>
          <w:szCs w:val="24"/>
        </w:rPr>
      </w:pPr>
      <w:r w:rsidRPr="00510A44">
        <w:rPr>
          <w:szCs w:val="24"/>
        </w:rPr>
        <w:t xml:space="preserve">Основными грамотрицательными возбудителями </w:t>
      </w:r>
      <w:r w:rsidRPr="00510A44">
        <w:rPr>
          <w:b/>
          <w:szCs w:val="24"/>
        </w:rPr>
        <w:t>бактериальных пневмоний</w:t>
      </w:r>
      <w:r w:rsidRPr="00510A44">
        <w:rPr>
          <w:szCs w:val="24"/>
        </w:rPr>
        <w:t xml:space="preserve"> являются </w:t>
      </w:r>
      <w:r w:rsidRPr="00510A44">
        <w:rPr>
          <w:i/>
          <w:szCs w:val="24"/>
          <w:lang w:val="en-US"/>
        </w:rPr>
        <w:t>Pseudomonas</w:t>
      </w:r>
      <w:r w:rsidRPr="00510A44">
        <w:rPr>
          <w:i/>
          <w:szCs w:val="24"/>
        </w:rPr>
        <w:t xml:space="preserve"> </w:t>
      </w:r>
      <w:r w:rsidRPr="00510A44">
        <w:rPr>
          <w:i/>
          <w:szCs w:val="24"/>
          <w:lang w:val="en-US"/>
        </w:rPr>
        <w:t>aeruginosa</w:t>
      </w:r>
      <w:r w:rsidRPr="00510A44">
        <w:rPr>
          <w:szCs w:val="24"/>
        </w:rPr>
        <w:t xml:space="preserve">, </w:t>
      </w:r>
      <w:r w:rsidRPr="00510A44">
        <w:rPr>
          <w:i/>
          <w:szCs w:val="24"/>
          <w:lang w:val="en-US"/>
        </w:rPr>
        <w:t>Stenotrophomonas</w:t>
      </w:r>
      <w:r w:rsidRPr="00510A44">
        <w:rPr>
          <w:i/>
          <w:szCs w:val="24"/>
        </w:rPr>
        <w:t xml:space="preserve"> </w:t>
      </w:r>
      <w:r w:rsidRPr="00510A44">
        <w:rPr>
          <w:i/>
          <w:szCs w:val="24"/>
          <w:lang w:val="en-US"/>
        </w:rPr>
        <w:t>maltophilia</w:t>
      </w:r>
      <w:r w:rsidRPr="00510A44">
        <w:rPr>
          <w:i/>
          <w:szCs w:val="24"/>
        </w:rPr>
        <w:t xml:space="preserve">, </w:t>
      </w:r>
      <w:r w:rsidRPr="00510A44">
        <w:rPr>
          <w:i/>
          <w:szCs w:val="24"/>
          <w:lang w:val="en-US"/>
        </w:rPr>
        <w:t>Klebsiella</w:t>
      </w:r>
      <w:r w:rsidRPr="00510A44">
        <w:rPr>
          <w:i/>
          <w:szCs w:val="24"/>
        </w:rPr>
        <w:t xml:space="preserve"> </w:t>
      </w:r>
      <w:r w:rsidRPr="00510A44">
        <w:rPr>
          <w:i/>
          <w:szCs w:val="24"/>
          <w:lang w:val="en-US"/>
        </w:rPr>
        <w:t>pneumoniae</w:t>
      </w:r>
      <w:r w:rsidRPr="00510A44">
        <w:rPr>
          <w:i/>
          <w:szCs w:val="24"/>
        </w:rPr>
        <w:t xml:space="preserve">, </w:t>
      </w:r>
      <w:r w:rsidRPr="00510A44">
        <w:rPr>
          <w:i/>
          <w:szCs w:val="24"/>
          <w:lang w:val="en-US"/>
        </w:rPr>
        <w:t>Acinetobacter</w:t>
      </w:r>
      <w:r w:rsidRPr="00510A44">
        <w:rPr>
          <w:i/>
          <w:szCs w:val="24"/>
        </w:rPr>
        <w:t xml:space="preserve"> </w:t>
      </w:r>
      <w:r w:rsidRPr="00510A44">
        <w:rPr>
          <w:i/>
          <w:szCs w:val="24"/>
          <w:lang w:val="en-US"/>
        </w:rPr>
        <w:t>baumannii</w:t>
      </w:r>
      <w:r w:rsidRPr="00510A44">
        <w:rPr>
          <w:i/>
          <w:szCs w:val="24"/>
        </w:rPr>
        <w:t xml:space="preserve"> и </w:t>
      </w:r>
      <w:r w:rsidRPr="00510A44">
        <w:rPr>
          <w:i/>
          <w:szCs w:val="24"/>
          <w:lang w:val="en-US"/>
        </w:rPr>
        <w:t>Escherichia</w:t>
      </w:r>
      <w:r w:rsidRPr="00510A44">
        <w:rPr>
          <w:i/>
          <w:szCs w:val="24"/>
        </w:rPr>
        <w:t xml:space="preserve"> </w:t>
      </w:r>
      <w:r w:rsidRPr="00510A44">
        <w:rPr>
          <w:i/>
          <w:szCs w:val="24"/>
          <w:lang w:val="en-US"/>
        </w:rPr>
        <w:t>coli</w:t>
      </w:r>
      <w:r w:rsidRPr="00510A44">
        <w:rPr>
          <w:szCs w:val="24"/>
        </w:rPr>
        <w:t xml:space="preserve">, а также </w:t>
      </w:r>
      <w:r w:rsidRPr="00510A44">
        <w:rPr>
          <w:i/>
          <w:szCs w:val="24"/>
          <w:lang w:val="en-US"/>
        </w:rPr>
        <w:t>Legionella</w:t>
      </w:r>
      <w:r w:rsidRPr="00510A44">
        <w:rPr>
          <w:i/>
          <w:szCs w:val="24"/>
        </w:rPr>
        <w:t xml:space="preserve"> </w:t>
      </w:r>
      <w:r w:rsidRPr="00510A44">
        <w:rPr>
          <w:i/>
          <w:szCs w:val="24"/>
          <w:lang w:val="en-US"/>
        </w:rPr>
        <w:t>pneumophila</w:t>
      </w:r>
      <w:r w:rsidRPr="00510A44">
        <w:rPr>
          <w:szCs w:val="24"/>
        </w:rPr>
        <w:t xml:space="preserve">. Среди грамположительных бактерий чаще встречается </w:t>
      </w:r>
      <w:r w:rsidRPr="00510A44">
        <w:rPr>
          <w:i/>
          <w:szCs w:val="24"/>
        </w:rPr>
        <w:t>Staphylococcus aureus.</w:t>
      </w:r>
    </w:p>
    <w:p w14:paraId="50E1B32C" w14:textId="77777777" w:rsidR="00531C4D" w:rsidRPr="00C15639" w:rsidRDefault="00531C4D" w:rsidP="00510A44">
      <w:pPr>
        <w:tabs>
          <w:tab w:val="left" w:pos="142"/>
        </w:tabs>
        <w:ind w:firstLine="709"/>
        <w:rPr>
          <w:szCs w:val="24"/>
        </w:rPr>
      </w:pPr>
      <w:r w:rsidRPr="00510A44">
        <w:rPr>
          <w:szCs w:val="24"/>
        </w:rPr>
        <w:t xml:space="preserve">Результативность исследования жидкости бронхоальвеолярного лаважа (БАЛ) зависит от продолжительности пребывания больных в ОРИТ. У пациентов, которые провели в ОРИТ 14 дней и более, чаще, чем при поступлении, диагностируется пневмония </w:t>
      </w:r>
      <w:r w:rsidRPr="00510A44">
        <w:rPr>
          <w:szCs w:val="24"/>
        </w:rPr>
        <w:lastRenderedPageBreak/>
        <w:t>бактериальной этиологии (73% случаев против 39%). При этом увеличивается частота</w:t>
      </w:r>
      <w:r w:rsidRPr="00C15639">
        <w:rPr>
          <w:szCs w:val="24"/>
        </w:rPr>
        <w:t xml:space="preserve"> выявления грамотрицательных микроорганизмов при бактериальных пневмониях (с 21% при поступлении до 47% к 14 суткам). С увеличением длительности пребывания в ОРИТ чаще диагностируется также пневмония смешанной этиологии.</w:t>
      </w:r>
    </w:p>
    <w:p w14:paraId="7DA38B1A" w14:textId="77777777" w:rsidR="00531C4D" w:rsidRPr="00C15639" w:rsidRDefault="00531C4D" w:rsidP="00531C4D">
      <w:pPr>
        <w:tabs>
          <w:tab w:val="left" w:pos="142"/>
        </w:tabs>
        <w:ind w:firstLine="709"/>
        <w:rPr>
          <w:szCs w:val="24"/>
        </w:rPr>
      </w:pPr>
      <w:r w:rsidRPr="00C15639">
        <w:rPr>
          <w:szCs w:val="24"/>
        </w:rPr>
        <w:t>Грамположительные микроорганизмы в жидкости БАЛ (</w:t>
      </w:r>
      <w:r w:rsidRPr="00C15639">
        <w:rPr>
          <w:i/>
          <w:szCs w:val="24"/>
        </w:rPr>
        <w:t xml:space="preserve">S. </w:t>
      </w:r>
      <w:r w:rsidRPr="00C15639">
        <w:rPr>
          <w:i/>
          <w:szCs w:val="24"/>
          <w:lang w:val="en-US"/>
        </w:rPr>
        <w:t>a</w:t>
      </w:r>
      <w:r w:rsidRPr="00C15639">
        <w:rPr>
          <w:i/>
          <w:szCs w:val="24"/>
        </w:rPr>
        <w:t>ureus</w:t>
      </w:r>
      <w:r w:rsidRPr="00C15639">
        <w:rPr>
          <w:szCs w:val="24"/>
        </w:rPr>
        <w:t>)</w:t>
      </w:r>
      <w:r w:rsidRPr="00C15639">
        <w:rPr>
          <w:i/>
          <w:szCs w:val="24"/>
        </w:rPr>
        <w:t xml:space="preserve"> </w:t>
      </w:r>
      <w:r w:rsidRPr="00C15639">
        <w:rPr>
          <w:szCs w:val="24"/>
        </w:rPr>
        <w:t>выявляются в 21,4% случаев.</w:t>
      </w:r>
    </w:p>
    <w:p w14:paraId="061C68C6" w14:textId="77777777" w:rsidR="00531C4D" w:rsidRPr="00C15639" w:rsidRDefault="00531C4D" w:rsidP="00531C4D">
      <w:pPr>
        <w:ind w:firstLine="709"/>
        <w:rPr>
          <w:szCs w:val="24"/>
        </w:rPr>
      </w:pPr>
      <w:r w:rsidRPr="00C15639">
        <w:rPr>
          <w:szCs w:val="24"/>
        </w:rPr>
        <w:t xml:space="preserve">Инвазивный аспергиллез легких выявляется у 28% гематологических пациентов в ОРИТ. В двух третях случаев он диагностируется на основании положительного индекса оптической плотности в жидкости БАЛ в оставшейся трети случаев — при выявлении в ней мицелия грибов при микроскопии. Наличие одновременно антигена </w:t>
      </w:r>
      <w:r w:rsidRPr="00C15639">
        <w:rPr>
          <w:i/>
          <w:szCs w:val="24"/>
        </w:rPr>
        <w:t>Aspergillus</w:t>
      </w:r>
      <w:r w:rsidRPr="00C15639">
        <w:rPr>
          <w:szCs w:val="24"/>
        </w:rPr>
        <w:t xml:space="preserve"> и мицелия грибов наблюдается у 25% пациентов. При этом следует отметить, что лишь у 25% гематологических пациентов грибы рода </w:t>
      </w:r>
      <w:r w:rsidRPr="00C15639">
        <w:rPr>
          <w:i/>
          <w:szCs w:val="24"/>
        </w:rPr>
        <w:t>Aspergillus</w:t>
      </w:r>
      <w:r w:rsidRPr="00C15639">
        <w:rPr>
          <w:szCs w:val="24"/>
        </w:rPr>
        <w:t xml:space="preserve"> являются единственными возбудителями пневмонии; в остальных случаях в образцах жидкости БАЛ выявляются и другие патогены.</w:t>
      </w:r>
    </w:p>
    <w:p w14:paraId="0AEC1F04" w14:textId="77777777" w:rsidR="00531C4D" w:rsidRPr="00C15639" w:rsidRDefault="00531C4D" w:rsidP="00531C4D">
      <w:pPr>
        <w:ind w:firstLine="709"/>
        <w:rPr>
          <w:szCs w:val="24"/>
        </w:rPr>
      </w:pPr>
      <w:r w:rsidRPr="00C15639">
        <w:rPr>
          <w:szCs w:val="24"/>
        </w:rPr>
        <w:t xml:space="preserve">Диагноз </w:t>
      </w:r>
      <w:r w:rsidRPr="00C15639">
        <w:rPr>
          <w:b/>
          <w:szCs w:val="24"/>
        </w:rPr>
        <w:t>вирусной пневмонии</w:t>
      </w:r>
      <w:r w:rsidRPr="00C15639">
        <w:rPr>
          <w:szCs w:val="24"/>
        </w:rPr>
        <w:t xml:space="preserve"> устанавливается по совокупности клиническо-радиологической картины и выявлению методом ПЦР вирусной ДНК в жидкости БАЛ и в крови. </w:t>
      </w:r>
      <w:r w:rsidRPr="00C15639">
        <w:rPr>
          <w:bCs/>
          <w:szCs w:val="24"/>
        </w:rPr>
        <w:t>Вирусы</w:t>
      </w:r>
      <w:r w:rsidRPr="00C15639">
        <w:rPr>
          <w:b/>
          <w:bCs/>
          <w:szCs w:val="24"/>
        </w:rPr>
        <w:t xml:space="preserve"> </w:t>
      </w:r>
      <w:r w:rsidRPr="00C15639">
        <w:rPr>
          <w:szCs w:val="24"/>
        </w:rPr>
        <w:t>являются вторыми по частоте после бактерий возбудителями, вызывающими ОДН при гематологических заболеваниях. Наряду с цитомегаловирусом (ЦМВ) причиной поражения легких и развития ОДН у больных с гемобластозами может быть вирус Эпштейна—Барр. Последний, инфицируя человеческие фибробласты, стимулирует в них продукцию цитокинов, в частности основного фактора роста фибробластов и ИЛ-1, что приводит к пролиферации фибробластов и развитию интерстициальной пневмонии. Цитомегаловирусные пневмонии у больных с гемобластозами после высокодозной химиотерапии встречаются в 4—52% случаев. Среди пациентов, перенесших трансплантацию гемопоэтических стволовых клеток (ТГСК), цитомегаловирусная пневмония развивается в 2—36% случаев. К факторам риска цитомегаловирусной пневмонии после трансплантации относят аллогенную трансплантацию, развитие реакции «трансплантат против хозяина» и наличие антител к вирусу в сыворотке перед трансплантацией. При ОДН у больных гемобластозами цитомегаловирусная пневмония диагностируется в 29% случаев.</w:t>
      </w:r>
    </w:p>
    <w:p w14:paraId="1F6EA0F1" w14:textId="77777777" w:rsidR="00531C4D" w:rsidRPr="00510A44" w:rsidRDefault="00531C4D" w:rsidP="00510A44">
      <w:pPr>
        <w:ind w:firstLine="709"/>
        <w:rPr>
          <w:szCs w:val="24"/>
        </w:rPr>
      </w:pPr>
      <w:r w:rsidRPr="00C15639">
        <w:rPr>
          <w:b/>
          <w:bCs/>
          <w:szCs w:val="24"/>
        </w:rPr>
        <w:t xml:space="preserve">Пневмоцистная пневмония </w:t>
      </w:r>
      <w:r w:rsidRPr="00C15639">
        <w:rPr>
          <w:szCs w:val="24"/>
        </w:rPr>
        <w:t>является причиной ОДН у гематологических пациентов в 10% случаев. Вариант основного заболевания рассматривается как фактор риска, поскольку определяет глубину и характер иммуносупрессии. Основной иммунный дефект, способствующий пневмоцистной инфекции, — это уменьшение числа СD4-клеток (</w:t>
      </w:r>
      <w:r w:rsidRPr="00C15639">
        <w:rPr>
          <w:szCs w:val="24"/>
          <w:lang w:val="en-US"/>
        </w:rPr>
        <w:t>T</w:t>
      </w:r>
      <w:r w:rsidRPr="00C15639">
        <w:rPr>
          <w:szCs w:val="24"/>
        </w:rPr>
        <w:t xml:space="preserve">-хелперов). Поражение </w:t>
      </w:r>
      <w:r w:rsidRPr="00C15639">
        <w:rPr>
          <w:szCs w:val="24"/>
          <w:lang w:val="en-US"/>
        </w:rPr>
        <w:t>T</w:t>
      </w:r>
      <w:r w:rsidRPr="00C15639">
        <w:rPr>
          <w:szCs w:val="24"/>
        </w:rPr>
        <w:t xml:space="preserve">-клеточного звена иммунитета свойственно </w:t>
      </w:r>
      <w:r w:rsidRPr="00C15639">
        <w:rPr>
          <w:szCs w:val="24"/>
        </w:rPr>
        <w:lastRenderedPageBreak/>
        <w:t xml:space="preserve">лимфопролиферативным заболеваниям, и при них пневмоцистная пневмония встречается наиболее часто, но она возможна при любых других гематологичесикх заболеваниях, сопровождающихся иммуносупрессией – острых лейкозах, хроническом лимфолейкозе, лимфомах, множественной миеломе и других. До начала иммуносупрессивной терапии </w:t>
      </w:r>
      <w:r w:rsidRPr="00510A44">
        <w:rPr>
          <w:szCs w:val="24"/>
        </w:rPr>
        <w:t>пневмоцистная инфекция у онкогематологических пациентов встречается редко, обычно она возникает через месяц после начала специфической терапии. Риск развития пневмоцистоза особенно высок в течение первых 5—6 мес после трансплантации костного мозга, а также у пациентов с реакцией «трансплантат против хозяина».</w:t>
      </w:r>
    </w:p>
    <w:p w14:paraId="7220F1C6" w14:textId="77777777" w:rsidR="00531C4D" w:rsidRPr="00510A44" w:rsidRDefault="00531C4D" w:rsidP="00510A44">
      <w:pPr>
        <w:pStyle w:val="4"/>
        <w:numPr>
          <w:ilvl w:val="12"/>
          <w:numId w:val="0"/>
        </w:numPr>
        <w:spacing w:line="360" w:lineRule="auto"/>
        <w:ind w:firstLine="709"/>
        <w:rPr>
          <w:i/>
          <w:sz w:val="24"/>
          <w:szCs w:val="24"/>
          <w:lang w:val="ru-RU"/>
        </w:rPr>
      </w:pPr>
      <w:r w:rsidRPr="00510A44">
        <w:rPr>
          <w:sz w:val="24"/>
          <w:szCs w:val="24"/>
          <w:lang w:val="ru-RU"/>
        </w:rPr>
        <w:t>Неинфекционные поражения легких</w:t>
      </w:r>
    </w:p>
    <w:p w14:paraId="74E829EB" w14:textId="77777777" w:rsidR="00531C4D" w:rsidRPr="00C15639" w:rsidRDefault="00531C4D" w:rsidP="00510A44">
      <w:pPr>
        <w:ind w:firstLine="709"/>
        <w:rPr>
          <w:szCs w:val="24"/>
        </w:rPr>
      </w:pPr>
      <w:r w:rsidRPr="00510A44">
        <w:rPr>
          <w:b/>
          <w:bCs/>
          <w:szCs w:val="24"/>
        </w:rPr>
        <w:t xml:space="preserve">Опухолевые поражения легких </w:t>
      </w:r>
      <w:r w:rsidRPr="00510A44">
        <w:rPr>
          <w:szCs w:val="24"/>
        </w:rPr>
        <w:t>встречаются значительно чаще, чем диагностируются прижизненно. По данным гистологических исследований, частота лейкемических поражений легких колеблется от 8 до 77%. Выделяют паренхиматозные поражения, к которым относят лейкозную инфильтрацию интерстиция, и непаренхиматозные поражения, то есть инфильтрацию бронхов, сосудов и плевры, внутрисосудистые скопления лейкозных клеток (лейкостазы). Развитие ОДН до начала химиотерапии, а также наличие большого количества бластных клеток в крови косвенно свидетельствует о диффузной лейкозной инфильтрации легких. Так, на аутопсии при остром миелобластном лейкозе, когда число лейкоцитов больше 100х10</w:t>
      </w:r>
      <w:r w:rsidRPr="00510A44">
        <w:rPr>
          <w:szCs w:val="24"/>
          <w:vertAlign w:val="superscript"/>
        </w:rPr>
        <w:t>9</w:t>
      </w:r>
      <w:r w:rsidRPr="00510A44">
        <w:rPr>
          <w:szCs w:val="24"/>
        </w:rPr>
        <w:t xml:space="preserve">/л, лейкостазы в легких выявляются в 35% случаев. При миеломной болезни в легких нередко обнаруживаются плазмоклеточная и лимфоидная инфильтрация интерстициальной ткани, скопление парапротеина, отложение амилоида в альвеолах и межальвеолярных перегородках, кальцификация легких, выпот в плевральных полостях. При поражении легких лимфомой в легочной ткани может быть найдена клональная </w:t>
      </w:r>
      <w:r w:rsidRPr="00510A44">
        <w:rPr>
          <w:szCs w:val="24"/>
          <w:lang w:val="en-US"/>
        </w:rPr>
        <w:t>B</w:t>
      </w:r>
      <w:r w:rsidRPr="00510A44">
        <w:rPr>
          <w:szCs w:val="24"/>
        </w:rPr>
        <w:t>-клеточная</w:t>
      </w:r>
      <w:r w:rsidRPr="00C15639">
        <w:rPr>
          <w:szCs w:val="24"/>
        </w:rPr>
        <w:t xml:space="preserve"> пролиферация.</w:t>
      </w:r>
    </w:p>
    <w:p w14:paraId="099D1948" w14:textId="77777777" w:rsidR="00531C4D" w:rsidRPr="00C15639" w:rsidRDefault="00531C4D" w:rsidP="00531C4D">
      <w:pPr>
        <w:ind w:firstLine="709"/>
        <w:rPr>
          <w:szCs w:val="24"/>
        </w:rPr>
      </w:pPr>
      <w:r w:rsidRPr="00C15639">
        <w:rPr>
          <w:b/>
          <w:bCs/>
          <w:szCs w:val="24"/>
        </w:rPr>
        <w:t xml:space="preserve">Массивный клеточный цитолиз </w:t>
      </w:r>
      <w:r w:rsidRPr="00C15639">
        <w:rPr>
          <w:szCs w:val="24"/>
        </w:rPr>
        <w:t>является причиной ОДН у больных с гемобластозами в 4,4% случаев. Цитолитический синдром развивается вследствие быстрого массивного распада опухолевых клеток под действием химиотерапии. При описании этого синдрома основное внимание уделяется острой почечной недостаточности, гиперкалиемии и гиперурикемии, меньше известно о поражении легких, в то время, как при распаде опухолевых клеток выделяется большое количество биологически активных веществ, повышающих проницаемость мембран капилляров в легочной ткани.</w:t>
      </w:r>
    </w:p>
    <w:p w14:paraId="6ADF8AD6" w14:textId="77777777" w:rsidR="00531C4D" w:rsidRPr="00C15639" w:rsidRDefault="00531C4D" w:rsidP="00531C4D">
      <w:pPr>
        <w:ind w:firstLine="709"/>
        <w:rPr>
          <w:szCs w:val="24"/>
        </w:rPr>
      </w:pPr>
      <w:r w:rsidRPr="00C15639">
        <w:rPr>
          <w:b/>
          <w:bCs/>
          <w:szCs w:val="24"/>
        </w:rPr>
        <w:t xml:space="preserve">Ретиноидный синдром </w:t>
      </w:r>
      <w:r w:rsidRPr="00C15639">
        <w:rPr>
          <w:szCs w:val="24"/>
        </w:rPr>
        <w:t>возникает при лечении полностью трансретиноевой кислотой (третиноин) острого промиелоцитарного лейкоза. Ретиноидный синдром регистрируется у 6% больных с гемобластозами и ОДН. Частота этого синдрома среди больных, получающих третиноин, колеблется от 13 до 68%. Он возникает спустя 2—</w:t>
      </w:r>
      <w:r w:rsidRPr="00C15639">
        <w:rPr>
          <w:szCs w:val="24"/>
        </w:rPr>
        <w:lastRenderedPageBreak/>
        <w:t>47 дней после начала терапии. При гистологическом исследовании легких у больных, умерших от ретиноидного синдрома, выявляют внутриальвеолярные миелоидные инфильтраты, отек, экcсудацию фибрина, легочный капиллярит, диффузные альвеолярные кровоизлияния.</w:t>
      </w:r>
    </w:p>
    <w:p w14:paraId="1CDE2FFA" w14:textId="77777777" w:rsidR="00531C4D" w:rsidRPr="00C15639" w:rsidRDefault="00531C4D" w:rsidP="00510A44">
      <w:pPr>
        <w:ind w:firstLine="709"/>
        <w:rPr>
          <w:szCs w:val="24"/>
        </w:rPr>
      </w:pPr>
      <w:r w:rsidRPr="00C15639">
        <w:rPr>
          <w:bCs/>
          <w:szCs w:val="24"/>
        </w:rPr>
        <w:t>На</w:t>
      </w:r>
      <w:r w:rsidRPr="00C15639">
        <w:rPr>
          <w:b/>
          <w:bCs/>
          <w:szCs w:val="24"/>
        </w:rPr>
        <w:t xml:space="preserve"> неинфекционные поражения легких после трансплантации гемопоэтических стволовых клеток </w:t>
      </w:r>
      <w:r w:rsidRPr="00C15639">
        <w:rPr>
          <w:bCs/>
          <w:szCs w:val="24"/>
        </w:rPr>
        <w:t xml:space="preserve">в структуре ОДН приходится </w:t>
      </w:r>
      <w:r w:rsidRPr="00C15639">
        <w:rPr>
          <w:szCs w:val="24"/>
        </w:rPr>
        <w:t xml:space="preserve">2%. К ним относят интерстициальный легочный фиброз, облитерирующий бронхиолит, легочную форму веноокклюзионной болезни, альвеолярные кровоизлияния, синдром повышенной проницаемости капилляров. У гематологических пациентов, перенесших ТГСК, факторами риска поражений легких являются: 1) аллогенная трансплантация, при которой легочные осложнения возникают в 24% случаев; 2) реакция «трансплантат против хозяина»; 3) назначение циклоспорина и метотрексата для профилактики «вторичной болезни», при которой ОДН возникает чаще, чем у больных, у которых с этой целью удаляли из трансплантата </w:t>
      </w:r>
      <w:r w:rsidRPr="00C15639">
        <w:rPr>
          <w:szCs w:val="24"/>
          <w:lang w:val="en-US"/>
        </w:rPr>
        <w:t>T</w:t>
      </w:r>
      <w:r w:rsidRPr="00C15639">
        <w:rPr>
          <w:szCs w:val="24"/>
        </w:rPr>
        <w:t>-лимфоциты; 4) сниженный до трансплантации более чем на 80% объем форсированного выдоха за 1-ю секунду.</w:t>
      </w:r>
    </w:p>
    <w:p w14:paraId="12E34398" w14:textId="77777777" w:rsidR="00531C4D" w:rsidRPr="00C15639" w:rsidRDefault="00531C4D" w:rsidP="00510A44">
      <w:pPr>
        <w:ind w:firstLine="709"/>
        <w:rPr>
          <w:szCs w:val="24"/>
        </w:rPr>
      </w:pPr>
      <w:r w:rsidRPr="00C15639">
        <w:rPr>
          <w:szCs w:val="24"/>
        </w:rPr>
        <w:t>Выделяется ряд отличительных черт паренхиматозной ОДН при гематологических заболеваниях:</w:t>
      </w:r>
    </w:p>
    <w:p w14:paraId="33A4D36B" w14:textId="77777777" w:rsidR="00531C4D" w:rsidRPr="00C15639" w:rsidRDefault="00531C4D" w:rsidP="00C5490F">
      <w:pPr>
        <w:pStyle w:val="Numlist"/>
        <w:numPr>
          <w:ilvl w:val="0"/>
          <w:numId w:val="107"/>
        </w:numPr>
        <w:autoSpaceDE w:val="0"/>
        <w:autoSpaceDN w:val="0"/>
        <w:adjustRightInd w:val="0"/>
        <w:spacing w:line="360" w:lineRule="auto"/>
      </w:pPr>
      <w:r w:rsidRPr="00C15639">
        <w:rPr>
          <w:u w:val="single"/>
        </w:rPr>
        <w:t>Полиэтиологичность.</w:t>
      </w:r>
      <w:r w:rsidRPr="00C15639">
        <w:t xml:space="preserve"> </w:t>
      </w:r>
    </w:p>
    <w:p w14:paraId="554F885C" w14:textId="77777777" w:rsidR="00531C4D" w:rsidRPr="00C15639" w:rsidRDefault="00531C4D" w:rsidP="00510A44">
      <w:pPr>
        <w:pStyle w:val="Numlist"/>
        <w:spacing w:line="360" w:lineRule="auto"/>
      </w:pPr>
      <w:r w:rsidRPr="00C15639">
        <w:t>Причинами ОДН могут быть поражения легких как инфекционного, так и неинфекционного генеза. Более чем у 50% гематологических пациентов поражения легких, приводящие к ОДН, обусловлены сразу несколькими причинами. Выделение той или иной этиологии поражения легких нередко носит условный характер.</w:t>
      </w:r>
    </w:p>
    <w:p w14:paraId="672F1F1D" w14:textId="77777777" w:rsidR="00531C4D" w:rsidRPr="00C15639" w:rsidRDefault="00531C4D" w:rsidP="00C5490F">
      <w:pPr>
        <w:pStyle w:val="Numlist"/>
        <w:numPr>
          <w:ilvl w:val="0"/>
          <w:numId w:val="107"/>
        </w:numPr>
        <w:autoSpaceDE w:val="0"/>
        <w:autoSpaceDN w:val="0"/>
        <w:adjustRightInd w:val="0"/>
        <w:spacing w:line="360" w:lineRule="auto"/>
      </w:pPr>
      <w:r w:rsidRPr="00C15639">
        <w:rPr>
          <w:u w:val="single"/>
        </w:rPr>
        <w:t>Однообразие и гетерогенность клинических проявлений.</w:t>
      </w:r>
      <w:r w:rsidRPr="00C15639">
        <w:t xml:space="preserve"> </w:t>
      </w:r>
    </w:p>
    <w:p w14:paraId="15C998BE" w14:textId="77777777" w:rsidR="00531C4D" w:rsidRPr="00C15639" w:rsidRDefault="00531C4D" w:rsidP="00510A44">
      <w:pPr>
        <w:pStyle w:val="Numlist"/>
        <w:spacing w:line="360" w:lineRule="auto"/>
      </w:pPr>
      <w:r w:rsidRPr="00C15639">
        <w:t>В основе поражений легких лежат различные патологические процессы, зачастую при этом имеющие внешне схожие проявления. С другой стороны, поражения легких, вызванные одной и той же причиной, у гематологических пациентов с различной степенью и формой иммуносупрессии могут протекать по-разному.</w:t>
      </w:r>
    </w:p>
    <w:p w14:paraId="71F57881" w14:textId="77777777" w:rsidR="00531C4D" w:rsidRPr="00C15639" w:rsidRDefault="00531C4D" w:rsidP="00C5490F">
      <w:pPr>
        <w:pStyle w:val="Numlist"/>
        <w:numPr>
          <w:ilvl w:val="0"/>
          <w:numId w:val="107"/>
        </w:numPr>
        <w:autoSpaceDE w:val="0"/>
        <w:autoSpaceDN w:val="0"/>
        <w:adjustRightInd w:val="0"/>
        <w:spacing w:line="360" w:lineRule="auto"/>
      </w:pPr>
      <w:r w:rsidRPr="00C15639">
        <w:rPr>
          <w:u w:val="single"/>
        </w:rPr>
        <w:t>Тяжесть состояния</w:t>
      </w:r>
      <w:r w:rsidRPr="00C15639">
        <w:t xml:space="preserve">. </w:t>
      </w:r>
    </w:p>
    <w:p w14:paraId="711CD1A4" w14:textId="77777777" w:rsidR="00531C4D" w:rsidRPr="00C15639" w:rsidRDefault="00531C4D" w:rsidP="00510A44">
      <w:pPr>
        <w:pStyle w:val="Numlist"/>
        <w:spacing w:line="360" w:lineRule="auto"/>
      </w:pPr>
      <w:r w:rsidRPr="00C15639">
        <w:t>Легочная патология при гематологических заболеваниях протекает тяжело – средняя сумма баллов по шкале АРАСНЕ II у этой категории пациентов при ОДН равна 23, а на основании отношения парциального давления кислорода в артериальной крови к фракции вдыхаемого кислорода (</w:t>
      </w:r>
      <w:r w:rsidRPr="00C15639">
        <w:rPr>
          <w:lang w:val="en-US"/>
        </w:rPr>
        <w:t>P</w:t>
      </w:r>
      <w:r w:rsidRPr="00C15639">
        <w:rPr>
          <w:vertAlign w:val="subscript"/>
          <w:lang w:val="en-US"/>
        </w:rPr>
        <w:t>a</w:t>
      </w:r>
      <w:r w:rsidRPr="00C15639">
        <w:rPr>
          <w:lang w:val="en-US"/>
        </w:rPr>
        <w:t>O</w:t>
      </w:r>
      <w:r w:rsidRPr="00C15639">
        <w:rPr>
          <w:vertAlign w:val="subscript"/>
        </w:rPr>
        <w:t>2</w:t>
      </w:r>
      <w:r w:rsidRPr="00C15639">
        <w:t>/F</w:t>
      </w:r>
      <w:r w:rsidRPr="00C15639">
        <w:rPr>
          <w:vertAlign w:val="subscript"/>
        </w:rPr>
        <w:t>I</w:t>
      </w:r>
      <w:r w:rsidRPr="00C15639">
        <w:rPr>
          <w:lang w:val="en-US"/>
        </w:rPr>
        <w:t>O</w:t>
      </w:r>
      <w:r w:rsidRPr="00C15639">
        <w:rPr>
          <w:vertAlign w:val="subscript"/>
        </w:rPr>
        <w:t>2</w:t>
      </w:r>
      <w:r w:rsidRPr="00C15639">
        <w:t>) большинству из этих больных можно поставить диагноз острого респираторного дистресс-синдрома.</w:t>
      </w:r>
    </w:p>
    <w:p w14:paraId="79A36641" w14:textId="77777777" w:rsidR="00531C4D" w:rsidRPr="00C15639" w:rsidRDefault="00531C4D" w:rsidP="00C5490F">
      <w:pPr>
        <w:pStyle w:val="Numlist"/>
        <w:numPr>
          <w:ilvl w:val="0"/>
          <w:numId w:val="107"/>
        </w:numPr>
        <w:autoSpaceDE w:val="0"/>
        <w:autoSpaceDN w:val="0"/>
        <w:adjustRightInd w:val="0"/>
        <w:spacing w:line="360" w:lineRule="auto"/>
      </w:pPr>
      <w:r w:rsidRPr="00C15639">
        <w:rPr>
          <w:u w:val="single"/>
        </w:rPr>
        <w:t xml:space="preserve">Частое сочетание легочной патологии с поражениями других органов и систем. </w:t>
      </w:r>
    </w:p>
    <w:p w14:paraId="0C96B830" w14:textId="77777777" w:rsidR="00531C4D" w:rsidRPr="00C15639" w:rsidRDefault="00531C4D" w:rsidP="00510A44">
      <w:pPr>
        <w:pStyle w:val="Numlist"/>
        <w:spacing w:line="360" w:lineRule="auto"/>
      </w:pPr>
      <w:r w:rsidRPr="00C15639">
        <w:lastRenderedPageBreak/>
        <w:t>Острая почечная недостаточность выявляется при ОДН у 42,5% гематологических пациентов, печеночная дисфункция — у 35%, левожелудочковая недостаточность — у 25%, нарушения сознания — у 25%.</w:t>
      </w:r>
    </w:p>
    <w:p w14:paraId="0D24C48F" w14:textId="77777777" w:rsidR="00531C4D" w:rsidRPr="00C15639" w:rsidRDefault="00531C4D" w:rsidP="00C5490F">
      <w:pPr>
        <w:pStyle w:val="Numlist"/>
        <w:numPr>
          <w:ilvl w:val="0"/>
          <w:numId w:val="107"/>
        </w:numPr>
        <w:autoSpaceDE w:val="0"/>
        <w:autoSpaceDN w:val="0"/>
        <w:adjustRightInd w:val="0"/>
        <w:spacing w:line="360" w:lineRule="auto"/>
      </w:pPr>
      <w:r w:rsidRPr="00C15639">
        <w:rPr>
          <w:u w:val="single"/>
        </w:rPr>
        <w:t>Скоротечность.</w:t>
      </w:r>
      <w:r w:rsidRPr="00C15639">
        <w:t xml:space="preserve"> </w:t>
      </w:r>
    </w:p>
    <w:p w14:paraId="5695617D" w14:textId="77777777" w:rsidR="00531C4D" w:rsidRPr="00C15639" w:rsidRDefault="00531C4D" w:rsidP="00510A44">
      <w:pPr>
        <w:pStyle w:val="Numlist"/>
        <w:spacing w:line="360" w:lineRule="auto"/>
        <w:ind w:firstLine="709"/>
      </w:pPr>
      <w:r w:rsidRPr="00C15639">
        <w:t>От первых симптомов поражения легких до возникновения ОДН, требующей ИВЛ, проходит от нескольких часов до нескольких дней. При неблагоприятном исходе пациенты погибают в течение первой недели. Вследствие быстроты, с которое развивается легочная патология, необходимо обследовать гематологических пациентов в сжатые сроки, чтобы успеть начать эффективную этиотропную терапию.</w:t>
      </w:r>
    </w:p>
    <w:p w14:paraId="3BC9D373" w14:textId="77777777" w:rsidR="00531C4D" w:rsidRPr="000538D0" w:rsidRDefault="00531C4D" w:rsidP="00510A44">
      <w:pPr>
        <w:ind w:firstLine="709"/>
        <w:rPr>
          <w:b/>
          <w:bCs/>
        </w:rPr>
      </w:pPr>
      <w:r w:rsidRPr="000538D0">
        <w:rPr>
          <w:b/>
          <w:bCs/>
        </w:rPr>
        <w:t xml:space="preserve">Обследование гематологических пациентов с поражениями легких </w:t>
      </w:r>
    </w:p>
    <w:p w14:paraId="48C1B0DA" w14:textId="77777777" w:rsidR="00531C4D" w:rsidRPr="00C15639" w:rsidRDefault="00531C4D" w:rsidP="00510A44">
      <w:pPr>
        <w:ind w:firstLine="709"/>
        <w:rPr>
          <w:b/>
          <w:bCs/>
          <w:szCs w:val="24"/>
        </w:rPr>
      </w:pPr>
      <w:r w:rsidRPr="00C15639">
        <w:rPr>
          <w:b/>
          <w:bCs/>
          <w:szCs w:val="24"/>
        </w:rPr>
        <w:t>Клиническая картина</w:t>
      </w:r>
    </w:p>
    <w:p w14:paraId="49AA7F60" w14:textId="77777777" w:rsidR="00531C4D" w:rsidRPr="00C15639" w:rsidRDefault="00531C4D" w:rsidP="00510A44">
      <w:pPr>
        <w:ind w:firstLine="709"/>
        <w:rPr>
          <w:szCs w:val="24"/>
        </w:rPr>
      </w:pPr>
      <w:r w:rsidRPr="00C15639">
        <w:rPr>
          <w:bCs/>
          <w:szCs w:val="24"/>
        </w:rPr>
        <w:t xml:space="preserve">Жалобы </w:t>
      </w:r>
      <w:r w:rsidRPr="00C15639">
        <w:rPr>
          <w:szCs w:val="24"/>
        </w:rPr>
        <w:t>пациента, часто даже при выраженном поражении легких, скудные. Нередко первыми симптомами являются высокая лихорадка и одышка. Кашель может быть с мокротой, но чаще он сухой. При вовлечении в процесс плевры могут беспокоить боли при дыхании.</w:t>
      </w:r>
    </w:p>
    <w:p w14:paraId="2CE55A19" w14:textId="77777777" w:rsidR="00531C4D" w:rsidRPr="00C15639" w:rsidRDefault="00531C4D" w:rsidP="00510A44">
      <w:pPr>
        <w:ind w:firstLine="709"/>
        <w:rPr>
          <w:bCs/>
          <w:szCs w:val="24"/>
        </w:rPr>
      </w:pPr>
      <w:r w:rsidRPr="00C15639">
        <w:rPr>
          <w:bCs/>
          <w:szCs w:val="24"/>
        </w:rPr>
        <w:t>Данные анамнеза:</w:t>
      </w:r>
    </w:p>
    <w:p w14:paraId="75BE2AD9" w14:textId="77777777" w:rsidR="00531C4D" w:rsidRPr="00C15639" w:rsidRDefault="00531C4D" w:rsidP="00510A44">
      <w:pPr>
        <w:ind w:firstLine="709"/>
        <w:rPr>
          <w:szCs w:val="24"/>
        </w:rPr>
      </w:pPr>
      <w:r w:rsidRPr="00C15639">
        <w:rPr>
          <w:szCs w:val="24"/>
        </w:rPr>
        <w:t xml:space="preserve">Легочная патология, возникшая в дебюте или при рецидиве гемобластоза, когда обнаруживаются гиперлейкоцитоз и большое число бластных клеток в периферической крови, может быть следствием поражения легких </w:t>
      </w:r>
      <w:r w:rsidRPr="00C15639">
        <w:rPr>
          <w:bCs/>
          <w:szCs w:val="24"/>
        </w:rPr>
        <w:t>опухолевыми клетками</w:t>
      </w:r>
      <w:r w:rsidRPr="00C15639">
        <w:rPr>
          <w:szCs w:val="24"/>
        </w:rPr>
        <w:t xml:space="preserve">. </w:t>
      </w:r>
    </w:p>
    <w:p w14:paraId="1B7EC8C3" w14:textId="77777777" w:rsidR="00531C4D" w:rsidRPr="00C15639" w:rsidRDefault="00531C4D" w:rsidP="00510A44">
      <w:pPr>
        <w:ind w:firstLine="709"/>
        <w:rPr>
          <w:szCs w:val="24"/>
        </w:rPr>
      </w:pPr>
      <w:r w:rsidRPr="00C15639">
        <w:rPr>
          <w:szCs w:val="24"/>
        </w:rPr>
        <w:t xml:space="preserve">При длительной иммуносупрессивной терапии препаратами, подавляющими </w:t>
      </w:r>
      <w:r w:rsidRPr="00C15639">
        <w:rPr>
          <w:szCs w:val="24"/>
          <w:lang w:val="en-US"/>
        </w:rPr>
        <w:t>T</w:t>
      </w:r>
      <w:r w:rsidRPr="00C15639">
        <w:rPr>
          <w:szCs w:val="24"/>
        </w:rPr>
        <w:t>-клеточный иммунитет (</w:t>
      </w:r>
      <w:r w:rsidRPr="00C15639">
        <w:rPr>
          <w:bCs/>
          <w:szCs w:val="24"/>
        </w:rPr>
        <w:t>циклоспорин.</w:t>
      </w:r>
      <w:r w:rsidRPr="00C15639">
        <w:rPr>
          <w:szCs w:val="24"/>
        </w:rPr>
        <w:t xml:space="preserve"> глюкокортикоиды, флударабин и т. д.), велик риск цитомегаловирусной и/или пневмоцистной пневмонии. </w:t>
      </w:r>
    </w:p>
    <w:p w14:paraId="69E8931D" w14:textId="77777777" w:rsidR="00531C4D" w:rsidRPr="00C15639" w:rsidRDefault="00531C4D" w:rsidP="00510A44">
      <w:pPr>
        <w:ind w:firstLine="709"/>
        <w:rPr>
          <w:szCs w:val="24"/>
        </w:rPr>
      </w:pPr>
      <w:r w:rsidRPr="00C15639">
        <w:rPr>
          <w:szCs w:val="24"/>
        </w:rPr>
        <w:t xml:space="preserve">При поражении легких в период миелотоксического агранулоцитоза велика вероятность бактериальной и/или грибковой пневмонии. </w:t>
      </w:r>
    </w:p>
    <w:p w14:paraId="1A60BB2B" w14:textId="77777777" w:rsidR="00531C4D" w:rsidRPr="00C15639" w:rsidRDefault="00531C4D" w:rsidP="00510A44">
      <w:pPr>
        <w:ind w:firstLine="709"/>
        <w:rPr>
          <w:szCs w:val="24"/>
        </w:rPr>
      </w:pPr>
      <w:r w:rsidRPr="00C15639">
        <w:rPr>
          <w:szCs w:val="24"/>
        </w:rPr>
        <w:t>Если изменения в легких возникают или прогрессируют, несмотря на лечение антибиотиками, то следует исключить инвазию легочной ткани грибами.</w:t>
      </w:r>
    </w:p>
    <w:p w14:paraId="0BF92F39" w14:textId="77777777" w:rsidR="00531C4D" w:rsidRPr="00C15639" w:rsidRDefault="00531C4D" w:rsidP="00510A44">
      <w:pPr>
        <w:ind w:firstLine="709"/>
        <w:rPr>
          <w:szCs w:val="24"/>
        </w:rPr>
      </w:pPr>
      <w:r w:rsidRPr="00C15639">
        <w:rPr>
          <w:szCs w:val="24"/>
        </w:rPr>
        <w:t>Вариант заболевания системы крови позволяет отнести гематологического пациента с ОДН к группе риска по тем или иным факторам. Бактериальная пневмония одинаково часто встречается у пациентов с различными гематологическими заболеваниями, однако причиной ОДН она чаще всего служит у пациентов с острыми лейкозами. При хроническом лимфолейкозе пневмоцистная пневмония встречается чаще, чем при остром лейкозе, а у пациентов с лимфомами преобладает вирусная пневмония, которая у них выявляется чаще, чем поражение легких опухолевыми клетками.</w:t>
      </w:r>
    </w:p>
    <w:p w14:paraId="719565EF" w14:textId="77777777" w:rsidR="00531C4D" w:rsidRPr="00C15639" w:rsidRDefault="00531C4D" w:rsidP="00510A44">
      <w:pPr>
        <w:ind w:firstLine="709"/>
        <w:rPr>
          <w:szCs w:val="24"/>
        </w:rPr>
      </w:pPr>
      <w:r w:rsidRPr="00C15639">
        <w:rPr>
          <w:szCs w:val="24"/>
        </w:rPr>
        <w:lastRenderedPageBreak/>
        <w:t>Возникновение легочной патологии нередко связано с предшествующим лечением. Срок от окончания химиотерапии до развития ОДН при бактериальных пневмониях значительно меньше, чем при пневмоцистных и вирусных пневмониях.</w:t>
      </w:r>
    </w:p>
    <w:p w14:paraId="0B7485ED" w14:textId="77777777" w:rsidR="00531C4D" w:rsidRPr="00C15639" w:rsidRDefault="00531C4D" w:rsidP="00510A44">
      <w:pPr>
        <w:ind w:firstLine="709"/>
        <w:rPr>
          <w:szCs w:val="24"/>
        </w:rPr>
      </w:pPr>
      <w:r w:rsidRPr="00C15639">
        <w:rPr>
          <w:bCs/>
          <w:szCs w:val="24"/>
        </w:rPr>
        <w:t>Наличие миелотоксического агранулоцитоза</w:t>
      </w:r>
      <w:r w:rsidRPr="00C15639">
        <w:rPr>
          <w:b/>
          <w:bCs/>
          <w:szCs w:val="24"/>
        </w:rPr>
        <w:t xml:space="preserve"> </w:t>
      </w:r>
      <w:r w:rsidRPr="00C15639">
        <w:rPr>
          <w:szCs w:val="24"/>
        </w:rPr>
        <w:t>является решающим фактором, влияющим на возникновение легочной патологии. У пациентов с агранулоцитозом бактериальные и грибковые пневмонии встречаются значительно чаще, чем вирусные и пневмоцистные пневмонии или опухолевое поражение легких.</w:t>
      </w:r>
    </w:p>
    <w:p w14:paraId="10429191" w14:textId="77777777" w:rsidR="00531C4D" w:rsidRPr="000538D0" w:rsidRDefault="00531C4D" w:rsidP="00510A44">
      <w:pPr>
        <w:ind w:firstLine="709"/>
        <w:rPr>
          <w:b/>
          <w:bCs/>
        </w:rPr>
      </w:pPr>
      <w:r w:rsidRPr="000538D0">
        <w:rPr>
          <w:b/>
          <w:bCs/>
        </w:rPr>
        <w:t>Лабораторные исследования</w:t>
      </w:r>
    </w:p>
    <w:p w14:paraId="64D7318E" w14:textId="77777777" w:rsidR="00531C4D" w:rsidRDefault="00531C4D" w:rsidP="00C5490F">
      <w:pPr>
        <w:pStyle w:val="afe"/>
        <w:numPr>
          <w:ilvl w:val="0"/>
          <w:numId w:val="108"/>
        </w:numPr>
        <w:rPr>
          <w:szCs w:val="24"/>
        </w:rPr>
      </w:pPr>
      <w:r w:rsidRPr="00C15639">
        <w:rPr>
          <w:szCs w:val="24"/>
        </w:rPr>
        <w:t>Рутинные общетерапевтические исследования – клинический анализ крови, биохимический анализ крови (мочевина, креатинин, билирубин (в том числе по фракциям), мочевая кислота, панкреатическая аимлаза, амилаза, липаза, альбумин, АЛТ/АСТ, КФК/КФК-МВ, глюкоза, калий, натрий, кальций ионизированный, хлор, другие параметры по показаниям), коагулограмма</w:t>
      </w:r>
      <w:r w:rsidRPr="00C15639">
        <w:rPr>
          <w:color w:val="FF0000"/>
          <w:szCs w:val="24"/>
        </w:rPr>
        <w:t xml:space="preserve"> </w:t>
      </w:r>
      <w:r w:rsidRPr="00C15639">
        <w:rPr>
          <w:szCs w:val="24"/>
        </w:rPr>
        <w:t xml:space="preserve">(АЧТВ, протромбин по Квику, тромбиновое время, фибриноген, антитромбин </w:t>
      </w:r>
      <w:r w:rsidRPr="00C15639">
        <w:rPr>
          <w:szCs w:val="24"/>
          <w:lang w:val="en-US"/>
        </w:rPr>
        <w:t>III</w:t>
      </w:r>
      <w:r w:rsidRPr="00C15639">
        <w:rPr>
          <w:szCs w:val="24"/>
        </w:rPr>
        <w:t>, другие параметры по показаниям);</w:t>
      </w:r>
    </w:p>
    <w:p w14:paraId="2E94F22C" w14:textId="77777777" w:rsidR="00531C4D" w:rsidRPr="000538D0" w:rsidRDefault="00531C4D" w:rsidP="00C5490F">
      <w:pPr>
        <w:pStyle w:val="afe"/>
        <w:numPr>
          <w:ilvl w:val="0"/>
          <w:numId w:val="108"/>
        </w:numPr>
        <w:rPr>
          <w:szCs w:val="24"/>
        </w:rPr>
      </w:pPr>
      <w:r w:rsidRPr="00C15639">
        <w:t xml:space="preserve">Исследование газов артериальной крови – обязательно при обследовании пациента с подозрением на ОДН. </w:t>
      </w:r>
    </w:p>
    <w:p w14:paraId="231B56CE" w14:textId="77777777" w:rsidR="00531C4D" w:rsidRPr="00C15639" w:rsidRDefault="00531C4D" w:rsidP="00531C4D">
      <w:pPr>
        <w:ind w:firstLine="709"/>
        <w:rPr>
          <w:b/>
          <w:bCs/>
          <w:szCs w:val="24"/>
        </w:rPr>
      </w:pPr>
      <w:r w:rsidRPr="00C15639">
        <w:rPr>
          <w:b/>
          <w:bCs/>
          <w:szCs w:val="24"/>
        </w:rPr>
        <w:t>Инструментальные исследования</w:t>
      </w:r>
    </w:p>
    <w:p w14:paraId="6ADDE7FD" w14:textId="77777777" w:rsidR="00531C4D" w:rsidRPr="00C15639" w:rsidRDefault="00531C4D" w:rsidP="00C5490F">
      <w:pPr>
        <w:pStyle w:val="afe"/>
        <w:numPr>
          <w:ilvl w:val="0"/>
          <w:numId w:val="108"/>
        </w:numPr>
        <w:rPr>
          <w:szCs w:val="24"/>
        </w:rPr>
      </w:pPr>
      <w:r w:rsidRPr="00C15639">
        <w:rPr>
          <w:szCs w:val="24"/>
        </w:rPr>
        <w:t>Исследование показателей легочной вентиляции и резервов дыхания – позволяет оценить функциональную способность легких. Большое значение исследование функции внешнего дыхания имеет в диагностике облитерирующего бронхиолита, при котором на ранних стадиях выявляется уменьшение форсированного экспираторного потока, а позже — объема форсированного выдоха за 1-ю секунду и форсированной жизненной емкости легких.</w:t>
      </w:r>
    </w:p>
    <w:p w14:paraId="5E19B5DE" w14:textId="77777777" w:rsidR="00531C4D" w:rsidRPr="00C15639" w:rsidRDefault="00531C4D" w:rsidP="00C5490F">
      <w:pPr>
        <w:pStyle w:val="afe"/>
        <w:numPr>
          <w:ilvl w:val="0"/>
          <w:numId w:val="108"/>
        </w:numPr>
        <w:rPr>
          <w:szCs w:val="24"/>
        </w:rPr>
      </w:pPr>
      <w:r w:rsidRPr="00C15639">
        <w:rPr>
          <w:szCs w:val="24"/>
        </w:rPr>
        <w:t xml:space="preserve">Радиологическое исследование легких – в первую очередь, СКТ, поскольку рентгенологическое исследование легких, выполняемое в условиях ОРИТ на портативных рентгеновских установках, малоинформативно и не имеет существенного диагностического значения у иммунокомпрометированных гематологических пациентов. Небольшая мощность излучения портативного аппарата приводит к тому, что для снимка требуется большее время экспозиции, а пациенты с ОДН не могут надолго задержать дыхание, поэтому высок риск артефактов, связанных с дыханием. Короткое фокусное расстояние может приводить к эффекту увеличения теней на снимках, в частности сердечной тени. При использовании портативной рентгеновской установки для повторных снимков обычно не удается воспроизвести условия съемки, поэтому рентгенограммы трудно </w:t>
      </w:r>
      <w:r w:rsidRPr="00C15639">
        <w:rPr>
          <w:szCs w:val="24"/>
        </w:rPr>
        <w:lastRenderedPageBreak/>
        <w:t>сопоставлять между собой. С помощью рентгеновских снимков можно лишь исключить экстрапульмональные причины ОДН (пневмоторакс, пневмомедиастинум, гидроторакс и т. д.) и провести первичную оценку состояния легочной ткани, поскольку у пациентов с агранулоцитозом пневмония протекает без нейтрофильной инфильтрации легочной ткани, и при лейкопении в первые дни развития пневмонии не обнаруживаются рентгенологические изменения в легких. Сложности в диагностике легочного поражения возникают не только при агранулоцитозе, но и при гиперлейкоцитозе – в ряде случаев у пациентов с гемобластозами, протекающими с гиперлейкоцитозом и лейкостазами, даже при развитии ОДН на рентгенограмме легких не находят изменений. Скудные рентгенографические изменения выявляются и при грибковых, вирусных и пневмоцистных пневмониях. При сравнении рентгенологического заключения с данными аутопсии при лейкемических повреждениях легких полное совпадение диагнозов обнаружено лишь в 3% случаев, частичное — в 60%, расхождение — в 38% случаев. Поэтому основным методом диагностики легочного поражения у гематологических пациентов является СКТ легких, при которой значимо чаще, чем при рентгенографии, обнаруживаются усиление и деформация легочного рисунка, выпот в плевральной полости, отек легочной ткани, перивазальные и перибронхиальные инфильтраты, утолщение и инфильтрация плевры, буллезные изменения легких. Проводить СКТ рекомендуется всем гематологическим пациентам с поражениями легких, но в обязательном порядке она показана при несоответствии между клиническими проявлениями и рентгенологическими изменениями в легких, при подозрении на полостные образования, при сохраняющемся легочном поражении, несмотря на проводимую терапию.</w:t>
      </w:r>
    </w:p>
    <w:p w14:paraId="1B62E14A" w14:textId="77777777" w:rsidR="00531C4D" w:rsidRPr="00C15639" w:rsidRDefault="00531C4D" w:rsidP="00C5490F">
      <w:pPr>
        <w:pStyle w:val="afe"/>
        <w:numPr>
          <w:ilvl w:val="0"/>
          <w:numId w:val="108"/>
        </w:numPr>
        <w:rPr>
          <w:szCs w:val="24"/>
        </w:rPr>
      </w:pPr>
      <w:r w:rsidRPr="00C15639">
        <w:rPr>
          <w:szCs w:val="24"/>
        </w:rPr>
        <w:t xml:space="preserve">При подозрении на ТЭЛА проводят СКТ с в/в контрастным усилением, позволяющим выявить тромб в ветвях легочной артерии. </w:t>
      </w:r>
      <w:bookmarkStart w:id="60" w:name="_Toc434240802"/>
    </w:p>
    <w:p w14:paraId="3B698CFB" w14:textId="77777777" w:rsidR="00531C4D" w:rsidRPr="00C15639" w:rsidRDefault="00531C4D" w:rsidP="00C5490F">
      <w:pPr>
        <w:pStyle w:val="afe"/>
        <w:numPr>
          <w:ilvl w:val="0"/>
          <w:numId w:val="108"/>
        </w:numPr>
        <w:rPr>
          <w:szCs w:val="24"/>
        </w:rPr>
      </w:pPr>
      <w:r w:rsidRPr="00C15639">
        <w:rPr>
          <w:szCs w:val="24"/>
        </w:rPr>
        <w:t xml:space="preserve">Ультразвуковая диагностика поражений легких и плевры </w:t>
      </w:r>
      <w:bookmarkEnd w:id="60"/>
      <w:r w:rsidRPr="00C15639">
        <w:rPr>
          <w:szCs w:val="24"/>
        </w:rPr>
        <w:t xml:space="preserve">– в последние годы в ОРИТ для выявления легочных поражений широкое применение находит ультразвуковое сканирование. Неинвазивность, быстрота выполнения, точность, доступность, мобильность, отсутствие необходимости в транспортировке больных позволяют рассматривать его как прикроватный метод диагностики. Много лет ультразвук не использовался для диагностики легочной патологии, поскольку считалось, что из-за содержащегося в них воздуха легкие не имеют акустического сопротивления. Однако при отеке легких, пневмонии, фиброзе легких содержание воздуха в легких снижается, происходит утолщение интралобулярных септ, которые находятся на </w:t>
      </w:r>
      <w:r w:rsidRPr="00C15639">
        <w:rPr>
          <w:szCs w:val="24"/>
        </w:rPr>
        <w:lastRenderedPageBreak/>
        <w:t xml:space="preserve">поверхности висцеральной плевры, что создает акустическое сопротивление тканей легких, от них отражаются ультразвуковые волны, и на экране монитора формируется изображение. Для получения общей картины патологических изменений и визуализации глубоко расположенных объектов (например, ателектаз, долевая пневмония) применяют датчик с частотой 3—5 МГц. Для изучения поверхностных структур (плевра, мягкие ткани грудной стенки) применяют датчик с частотой 7—10 МГц. Для получения оптимального изображения объектов, находящихся в грудной полости на разной глубине, лучше иметь два разных по форме датчика с различным набором частот и, соответственно, функциональным предназначением. </w:t>
      </w:r>
      <w:bookmarkStart w:id="61" w:name="_Toc434240804"/>
    </w:p>
    <w:bookmarkEnd w:id="61"/>
    <w:p w14:paraId="5B523C65" w14:textId="77777777" w:rsidR="00531C4D" w:rsidRPr="00C15639" w:rsidRDefault="00531C4D" w:rsidP="00C5490F">
      <w:pPr>
        <w:pStyle w:val="afe"/>
        <w:numPr>
          <w:ilvl w:val="0"/>
          <w:numId w:val="108"/>
        </w:numPr>
        <w:rPr>
          <w:szCs w:val="24"/>
        </w:rPr>
      </w:pPr>
      <w:r w:rsidRPr="00C15639">
        <w:rPr>
          <w:szCs w:val="24"/>
        </w:rPr>
        <w:t xml:space="preserve">Микробиологическое исследование посевов со слизистой ротоглотки и прямой кишки – бактериологическое исследование мазков со слизистых оболочек ротоглотки и прямой кишки проводится на агаризованной среде Эндо для выявления грамотрицательных бактерий и на хромогенной селективной среде CHROMagarТМESBL (CHROMagar, Франция), предназначенной для прямого выделения энтеробактерий, вырабатывающих бета-лактамазы расширенного спектра действия. Между колонизацией слизистой ротоглотки бактериями и больничной пневмонией имеется взаимосвязь. Колонизация слизистой ротоглотки A. baumannii на 2 недели опережает появление этих микроорганизмов в жидкости БАЛ. P. aeruginosa выделяют со слизистой ротоглотки на 7 дней раньше, чем в жидкости БАЛ. </w:t>
      </w:r>
    </w:p>
    <w:p w14:paraId="7CE3C5E8" w14:textId="77777777" w:rsidR="00531C4D" w:rsidRPr="00C15639" w:rsidRDefault="00531C4D" w:rsidP="00C5490F">
      <w:pPr>
        <w:pStyle w:val="afe"/>
        <w:numPr>
          <w:ilvl w:val="0"/>
          <w:numId w:val="108"/>
        </w:numPr>
        <w:rPr>
          <w:szCs w:val="24"/>
        </w:rPr>
      </w:pPr>
      <w:r w:rsidRPr="00C15639">
        <w:rPr>
          <w:szCs w:val="24"/>
        </w:rPr>
        <w:t>Исследование мокроты – исследование мокроты с целью верификации этиологии легочного поражения имеет низкую диагностическую ценность из-за возможной контаминации материала микрофлорой полости рта и вследствие особенностей воспалительного процесса в условиях нейтропении. Другой метод диагностики легочной инфекции — это исследование трахеального аспирата. Метод был предложен более 30 лет назад, однако вследствие частой бактериальной колонизации трахеобронхиального дерева получаемые с помощью трахеальной аспирации результаты часто не отражают истинной причины поражения легких. С помощью исследования трахеального аспирата нельзя выявить многие внутриклеточные микроорганизмы, такие как пневмоцисты, легионеллы.</w:t>
      </w:r>
    </w:p>
    <w:p w14:paraId="492C3F9B" w14:textId="77777777" w:rsidR="00531C4D" w:rsidRPr="00C15639" w:rsidRDefault="00531C4D" w:rsidP="00C5490F">
      <w:pPr>
        <w:pStyle w:val="afe"/>
        <w:numPr>
          <w:ilvl w:val="0"/>
          <w:numId w:val="108"/>
        </w:numPr>
        <w:rPr>
          <w:szCs w:val="24"/>
        </w:rPr>
      </w:pPr>
      <w:r w:rsidRPr="00C15639">
        <w:rPr>
          <w:szCs w:val="24"/>
        </w:rPr>
        <w:t>Фибробронхоскопия с БАЛ – является следующим этапом диагностики легочной патологии. Сроки проведения исследования зависят от клинической ситуации:</w:t>
      </w:r>
    </w:p>
    <w:p w14:paraId="4190ED8F" w14:textId="77777777" w:rsidR="00531C4D" w:rsidRPr="00C15639" w:rsidRDefault="00531C4D" w:rsidP="00C5490F">
      <w:pPr>
        <w:pStyle w:val="afe"/>
        <w:numPr>
          <w:ilvl w:val="1"/>
          <w:numId w:val="108"/>
        </w:numPr>
        <w:rPr>
          <w:szCs w:val="24"/>
        </w:rPr>
      </w:pPr>
      <w:r w:rsidRPr="00C15639">
        <w:rPr>
          <w:szCs w:val="24"/>
        </w:rPr>
        <w:t xml:space="preserve">при очаговых поражениях легких, если антибиотики не назначались и легочный процесс не имеет скоротечного характера, может быть предпринята </w:t>
      </w:r>
      <w:r w:rsidRPr="00C15639">
        <w:rPr>
          <w:szCs w:val="24"/>
        </w:rPr>
        <w:lastRenderedPageBreak/>
        <w:t>попытка лечения антибиотиками по результатам микробиологического исследования либо попытка эмпирической антибактериальной терапии в течение 2—7 дней (при прогрессировании заболевания эти сроки можно сократить);</w:t>
      </w:r>
    </w:p>
    <w:p w14:paraId="6FF64F07" w14:textId="77777777" w:rsidR="00531C4D" w:rsidRPr="00C15639" w:rsidRDefault="00531C4D" w:rsidP="00C5490F">
      <w:pPr>
        <w:pStyle w:val="afe"/>
        <w:numPr>
          <w:ilvl w:val="1"/>
          <w:numId w:val="108"/>
        </w:numPr>
        <w:rPr>
          <w:szCs w:val="24"/>
        </w:rPr>
      </w:pPr>
      <w:r w:rsidRPr="00C15639">
        <w:rPr>
          <w:szCs w:val="24"/>
        </w:rPr>
        <w:t>при ОДН БАЛ проводят сразу же, не теряя время на эмпирическую антибактериальную терапию.</w:t>
      </w:r>
    </w:p>
    <w:p w14:paraId="5742B5B4" w14:textId="77777777" w:rsidR="00531C4D" w:rsidRPr="00C15639" w:rsidRDefault="00531C4D" w:rsidP="00531C4D">
      <w:pPr>
        <w:ind w:firstLine="709"/>
        <w:rPr>
          <w:szCs w:val="24"/>
        </w:rPr>
      </w:pPr>
      <w:r w:rsidRPr="00C15639">
        <w:rPr>
          <w:szCs w:val="24"/>
        </w:rPr>
        <w:t>Процедура БАЛ выполняется под контролем ЭКГ-мониторинга и пульс-оксиметрии. Обязательным условием во время бронхоскопии и проведения лаважа является S</w:t>
      </w:r>
      <w:r w:rsidRPr="00C15639">
        <w:rPr>
          <w:szCs w:val="24"/>
          <w:vertAlign w:val="subscript"/>
        </w:rPr>
        <w:t>a</w:t>
      </w:r>
      <w:r w:rsidRPr="00C15639">
        <w:rPr>
          <w:szCs w:val="24"/>
        </w:rPr>
        <w:t>O</w:t>
      </w:r>
      <w:r w:rsidRPr="00C15639">
        <w:rPr>
          <w:szCs w:val="24"/>
          <w:vertAlign w:val="subscript"/>
        </w:rPr>
        <w:t>2</w:t>
      </w:r>
      <w:r w:rsidRPr="00C15639">
        <w:rPr>
          <w:szCs w:val="24"/>
        </w:rPr>
        <w:t xml:space="preserve"> не ниже 90%. Бронхоскопия выполняется в условиях оксигенотерапии (ингаляция кислорода через носовые катетеры, с помощью маски Вентури либо маски с резервуаром, в которой вырезано боковое отверстие для бронхоскопа). Если не удается обеспечить достаточную оксигенацию крови, бронхоскопия выполняется в условиях неинвазивной вентиляции легких. Для анестезии верхних дыхательных путей применяют 10% раствор лидокаина в виде аэрозоля. При трансназальном введении бронхоскопа анестезию слизистой носа проводят аппликационно, установив в носовой ход турунду, смоченную растворами лидокаина и адреналина. У больных с тромбоцитопенией (число тромбоцитов &lt; 30 </w:t>
      </w:r>
      <w:r w:rsidRPr="00C15639">
        <w:rPr>
          <w:szCs w:val="24"/>
        </w:rPr>
        <w:t> 10</w:t>
      </w:r>
      <w:r w:rsidRPr="00C15639">
        <w:rPr>
          <w:szCs w:val="24"/>
          <w:vertAlign w:val="superscript"/>
        </w:rPr>
        <w:t>9</w:t>
      </w:r>
      <w:r w:rsidRPr="00C15639">
        <w:rPr>
          <w:szCs w:val="24"/>
        </w:rPr>
        <w:t> л</w:t>
      </w:r>
      <w:r w:rsidRPr="00C15639">
        <w:rPr>
          <w:szCs w:val="24"/>
          <w:vertAlign w:val="superscript"/>
        </w:rPr>
        <w:t>–1</w:t>
      </w:r>
      <w:r w:rsidRPr="00C15639">
        <w:rPr>
          <w:szCs w:val="24"/>
        </w:rPr>
        <w:t>), выраженной коагулопатией и кровоточивостью бронхоскоп проводят трансорально, поскольку трансназальное введение может осложниться носовым кровотечением.</w:t>
      </w:r>
    </w:p>
    <w:p w14:paraId="3541A577" w14:textId="77777777" w:rsidR="00531C4D" w:rsidRPr="00C15639" w:rsidRDefault="00531C4D" w:rsidP="00531C4D">
      <w:pPr>
        <w:ind w:firstLine="709"/>
        <w:rPr>
          <w:szCs w:val="24"/>
        </w:rPr>
      </w:pPr>
      <w:r w:rsidRPr="00C15639">
        <w:rPr>
          <w:szCs w:val="24"/>
        </w:rPr>
        <w:t>Для локальной анестезии голосовых связок используют 10% раствор лидокаина, для анестезии бифуркации трахеи и шпор бронхов — 2% раствор лидокаина. Суммарная доза лидокаина за процедуру не должна превышать 600 мг. Если состояние больного тяжелое, и у него выражена ОДН, на время проведения бронхоскопии и лаважа он может быть переведен на ИВЛ. У больных на ИВЛ процедура выполняется под общей анестезией через адаптер респиратора, снабженный клапаном для бронхоскопа.</w:t>
      </w:r>
    </w:p>
    <w:p w14:paraId="32758F5D" w14:textId="77777777" w:rsidR="00531C4D" w:rsidRPr="00C15639" w:rsidRDefault="00531C4D" w:rsidP="00531C4D">
      <w:pPr>
        <w:ind w:firstLine="709"/>
        <w:rPr>
          <w:szCs w:val="24"/>
        </w:rPr>
      </w:pPr>
      <w:r w:rsidRPr="00C15639">
        <w:rPr>
          <w:szCs w:val="24"/>
        </w:rPr>
        <w:t>При проведении бронхоскопа избегают отсасывания во избежание контаминации канала бронхоскопа. После осмотра трахеобронхиального дерева выполняют бронхоальвеолярный лаваж. Место проведения лаважа определяют по данным рентгенографии и КТ: либо в области наибольшего поражения, либо, при диффузном поражении легких, — в средней доле правого легкого или в язычковом сегменте левого легкого.</w:t>
      </w:r>
    </w:p>
    <w:p w14:paraId="6309A10C" w14:textId="77777777" w:rsidR="00531C4D" w:rsidRPr="00C15639" w:rsidRDefault="00531C4D" w:rsidP="00531C4D">
      <w:pPr>
        <w:ind w:firstLine="709"/>
        <w:rPr>
          <w:szCs w:val="24"/>
        </w:rPr>
      </w:pPr>
      <w:r w:rsidRPr="00C15639">
        <w:rPr>
          <w:szCs w:val="24"/>
        </w:rPr>
        <w:t>К бронхоскопу через трехходовой краник присоединяется стерильный пластикатный мешок (как правило, мешки, используемые для забора крови, но без консерванта гемаконы). Лаваж выполняется путем введения подогретого до 37</w:t>
      </w:r>
      <w:r w:rsidRPr="00C15639">
        <w:rPr>
          <w:szCs w:val="24"/>
          <w:vertAlign w:val="superscript"/>
        </w:rPr>
        <w:t>о</w:t>
      </w:r>
      <w:r w:rsidRPr="00C15639">
        <w:rPr>
          <w:szCs w:val="24"/>
        </w:rPr>
        <w:t xml:space="preserve"> </w:t>
      </w:r>
      <w:r w:rsidRPr="00C15639">
        <w:rPr>
          <w:szCs w:val="24"/>
          <w:lang w:val="en-US"/>
        </w:rPr>
        <w:t>C</w:t>
      </w:r>
      <w:r w:rsidRPr="00C15639">
        <w:rPr>
          <w:szCs w:val="24"/>
        </w:rPr>
        <w:t xml:space="preserve"> физиологического раствора одноразовыми шприцами — 8 порций по 20 мл. Отсасывание должно быть мягким (под давлением меньше 50—80 мм рт. ст.), чтобы избежать коллапса альвеол и нарушения </w:t>
      </w:r>
      <w:r w:rsidRPr="00C15639">
        <w:rPr>
          <w:szCs w:val="24"/>
        </w:rPr>
        <w:lastRenderedPageBreak/>
        <w:t>отсасывания жидкости. Первую порцию лаважной жидкости отделяют от остальных, поскольку она представляет собой преимущественно бронхиальный смыв и не отражает состав альвеолярной клеточной популяции. Остальную жидкость собирают в мешок. При процедуре возвращается 40—60% объема введенной жидкости. После окончания процедуры лаважная жидкость перемешивается и направляется на исследование.</w:t>
      </w:r>
    </w:p>
    <w:p w14:paraId="03744765" w14:textId="77777777" w:rsidR="00531C4D" w:rsidRPr="00C15639" w:rsidRDefault="00531C4D" w:rsidP="00531C4D">
      <w:pPr>
        <w:ind w:firstLine="709"/>
        <w:rPr>
          <w:szCs w:val="24"/>
        </w:rPr>
      </w:pPr>
      <w:r w:rsidRPr="00C15639">
        <w:rPr>
          <w:szCs w:val="24"/>
        </w:rPr>
        <w:t>Хотя фибробронхоскопия и лаваж считаются безопасными процедурами, их проведение у больных с геморрагическим синдромом и артериальной гипоксемией требует специальной подготовки. При глубокой тромбоцитопении (число тромбоцитов &lt; 30 </w:t>
      </w:r>
      <w:r w:rsidRPr="00C15639">
        <w:rPr>
          <w:szCs w:val="24"/>
        </w:rPr>
        <w:t>10</w:t>
      </w:r>
      <w:r w:rsidRPr="00C15639">
        <w:rPr>
          <w:szCs w:val="24"/>
          <w:vertAlign w:val="superscript"/>
        </w:rPr>
        <w:t>9</w:t>
      </w:r>
      <w:r w:rsidRPr="00C15639">
        <w:rPr>
          <w:szCs w:val="24"/>
        </w:rPr>
        <w:t> л</w:t>
      </w:r>
      <w:r w:rsidRPr="00C15639">
        <w:rPr>
          <w:szCs w:val="24"/>
          <w:vertAlign w:val="superscript"/>
        </w:rPr>
        <w:t>–1</w:t>
      </w:r>
      <w:r w:rsidRPr="00C15639">
        <w:rPr>
          <w:szCs w:val="24"/>
        </w:rPr>
        <w:t>) перед процедурой производится переливание концентрата тромбоцитов (400—500 </w:t>
      </w:r>
      <w:r w:rsidRPr="00C15639">
        <w:rPr>
          <w:szCs w:val="24"/>
        </w:rPr>
        <w:t> 10</w:t>
      </w:r>
      <w:r w:rsidRPr="00C15639">
        <w:rPr>
          <w:szCs w:val="24"/>
          <w:vertAlign w:val="superscript"/>
        </w:rPr>
        <w:t xml:space="preserve">9 </w:t>
      </w:r>
      <w:r w:rsidRPr="00C15639">
        <w:rPr>
          <w:szCs w:val="24"/>
        </w:rPr>
        <w:t xml:space="preserve">клеток) </w:t>
      </w:r>
      <w:r w:rsidRPr="00C15639">
        <w:rPr>
          <w:szCs w:val="24"/>
          <w:lang w:val="en-US"/>
        </w:rPr>
        <w:t>c</w:t>
      </w:r>
      <w:r w:rsidRPr="00C15639">
        <w:rPr>
          <w:szCs w:val="24"/>
        </w:rPr>
        <w:t xml:space="preserve"> целью повышения числа тромбоцитов до 40—50 </w:t>
      </w:r>
      <w:r w:rsidRPr="00C15639">
        <w:rPr>
          <w:szCs w:val="24"/>
        </w:rPr>
        <w:t> 10</w:t>
      </w:r>
      <w:r w:rsidRPr="00C15639">
        <w:rPr>
          <w:szCs w:val="24"/>
          <w:vertAlign w:val="superscript"/>
        </w:rPr>
        <w:t>9</w:t>
      </w:r>
      <w:r w:rsidRPr="00C15639">
        <w:rPr>
          <w:szCs w:val="24"/>
        </w:rPr>
        <w:t> л</w:t>
      </w:r>
      <w:r w:rsidRPr="00C15639">
        <w:rPr>
          <w:szCs w:val="24"/>
          <w:vertAlign w:val="superscript"/>
        </w:rPr>
        <w:t>–1</w:t>
      </w:r>
      <w:r w:rsidRPr="00C15639">
        <w:rPr>
          <w:szCs w:val="24"/>
        </w:rPr>
        <w:t xml:space="preserve"> или нормализации времени кровотечения. Если геморрагический синдром обусловлен нарушениями коагуляционного гемостаза, то подготовка к бронхоскопии осуществляется переливанием свежезамороженной плазмы (500—1000 мл), криопреципитата и факторов свертывания до достижения нормального АЧТВ и повышения уровней факторов свертывания.</w:t>
      </w:r>
    </w:p>
    <w:p w14:paraId="1EE38EBD" w14:textId="77777777" w:rsidR="00531C4D" w:rsidRPr="00C15639" w:rsidRDefault="00531C4D" w:rsidP="00531C4D">
      <w:pPr>
        <w:ind w:firstLine="709"/>
        <w:rPr>
          <w:szCs w:val="24"/>
        </w:rPr>
      </w:pPr>
      <w:r w:rsidRPr="00C15639">
        <w:rPr>
          <w:szCs w:val="24"/>
        </w:rPr>
        <w:t>Цитологическое исследование лаважа может помочь в диагностике опухолевых поражений легких у пациентов с гематологическими заболеваниями, но в основном помогает выявить возбудителя легочной инфекции, в том числе, цитомегаловирусной и пневмоцистной природы (возбудители этих инфекций в ряде случаев могут быть выявлены при окраске мазка БАЛ по Романовскому—Гимзе).</w:t>
      </w:r>
    </w:p>
    <w:p w14:paraId="1AE7A01C" w14:textId="77777777" w:rsidR="00531C4D" w:rsidRPr="00C15639" w:rsidRDefault="00531C4D" w:rsidP="00510A44">
      <w:pPr>
        <w:pStyle w:val="5"/>
        <w:spacing w:before="0"/>
        <w:ind w:firstLine="709"/>
        <w:jc w:val="both"/>
        <w:rPr>
          <w:rFonts w:ascii="Times New Roman" w:hAnsi="Times New Roman" w:cs="Times New Roman"/>
          <w:b w:val="0"/>
          <w:color w:val="000000" w:themeColor="text1"/>
        </w:rPr>
      </w:pPr>
      <w:r w:rsidRPr="00C15639">
        <w:rPr>
          <w:rFonts w:ascii="Times New Roman" w:hAnsi="Times New Roman" w:cs="Times New Roman"/>
          <w:color w:val="000000" w:themeColor="text1"/>
        </w:rPr>
        <w:t>Бактериоскопия</w:t>
      </w:r>
    </w:p>
    <w:p w14:paraId="42F61588" w14:textId="77777777" w:rsidR="00531C4D" w:rsidRPr="00C15639" w:rsidRDefault="00531C4D" w:rsidP="00531C4D">
      <w:pPr>
        <w:ind w:firstLine="709"/>
        <w:rPr>
          <w:szCs w:val="24"/>
        </w:rPr>
      </w:pPr>
      <w:r w:rsidRPr="00C15639">
        <w:rPr>
          <w:szCs w:val="24"/>
        </w:rPr>
        <w:t>При микроскопии нативного материала для выявления бактерий и грибов проводят окрашивание по Граму и Романовскому—Гимзе, для выявления грибов — окрашивание калькофлуором белым. Для выявления кислотоустойчивых микроорганизмов (микобактерий туберкулеза, нокардий) просматривают препараты, окрашенные по Цилю—Нильсену. Данные микроскопии должны быть получены в первые же сутки после выполнения лаважа.</w:t>
      </w:r>
    </w:p>
    <w:p w14:paraId="75A4E78E" w14:textId="77777777" w:rsidR="00531C4D" w:rsidRPr="00C15639" w:rsidRDefault="00531C4D" w:rsidP="00510A44">
      <w:pPr>
        <w:pStyle w:val="5"/>
        <w:spacing w:before="0"/>
        <w:ind w:firstLine="709"/>
        <w:jc w:val="both"/>
        <w:rPr>
          <w:rFonts w:ascii="Times New Roman" w:hAnsi="Times New Roman" w:cs="Times New Roman"/>
          <w:b w:val="0"/>
          <w:color w:val="000000" w:themeColor="text1"/>
        </w:rPr>
      </w:pPr>
      <w:r w:rsidRPr="00C15639">
        <w:rPr>
          <w:rFonts w:ascii="Times New Roman" w:hAnsi="Times New Roman" w:cs="Times New Roman"/>
          <w:color w:val="000000" w:themeColor="text1"/>
        </w:rPr>
        <w:t>Посев на количественную культуру</w:t>
      </w:r>
    </w:p>
    <w:p w14:paraId="52543B08" w14:textId="77777777" w:rsidR="00531C4D" w:rsidRPr="00C15639" w:rsidRDefault="00531C4D" w:rsidP="00531C4D">
      <w:pPr>
        <w:ind w:firstLine="709"/>
        <w:rPr>
          <w:szCs w:val="24"/>
        </w:rPr>
      </w:pPr>
      <w:r w:rsidRPr="00C15639">
        <w:rPr>
          <w:szCs w:val="24"/>
        </w:rPr>
        <w:t>При микробиологическом исследовании с целью отличить колонизацию от инвазии микроорганизмами проводится количественный анализ лаважной жидкости. Клинически значимая инфекция возникает при наличии 10</w:t>
      </w:r>
      <w:r w:rsidRPr="00C15639">
        <w:rPr>
          <w:szCs w:val="24"/>
          <w:vertAlign w:val="superscript"/>
        </w:rPr>
        <w:t>4</w:t>
      </w:r>
      <w:r w:rsidRPr="00C15639">
        <w:rPr>
          <w:szCs w:val="24"/>
        </w:rPr>
        <w:t xml:space="preserve"> КОЕ на 1 г ткани легкого или при наличии более 10</w:t>
      </w:r>
      <w:r w:rsidRPr="00C15639">
        <w:rPr>
          <w:szCs w:val="24"/>
          <w:vertAlign w:val="superscript"/>
        </w:rPr>
        <w:t>5</w:t>
      </w:r>
      <w:r w:rsidRPr="00C15639">
        <w:rPr>
          <w:szCs w:val="24"/>
        </w:rPr>
        <w:t xml:space="preserve"> бактерий в 1 мл экссудата. Поскольку при лаваже происходит разведение секрета приблизительно в 100 раз, то рост 10</w:t>
      </w:r>
      <w:r w:rsidRPr="00C15639">
        <w:rPr>
          <w:szCs w:val="24"/>
          <w:vertAlign w:val="superscript"/>
        </w:rPr>
        <w:t>3</w:t>
      </w:r>
      <w:r w:rsidRPr="00C15639">
        <w:rPr>
          <w:szCs w:val="24"/>
        </w:rPr>
        <w:t>—10</w:t>
      </w:r>
      <w:r w:rsidRPr="00C15639">
        <w:rPr>
          <w:szCs w:val="24"/>
          <w:vertAlign w:val="superscript"/>
        </w:rPr>
        <w:t>4</w:t>
      </w:r>
      <w:r w:rsidRPr="00C15639">
        <w:rPr>
          <w:szCs w:val="24"/>
        </w:rPr>
        <w:t> КОЕ/мл соответствует присутствию 10</w:t>
      </w:r>
      <w:r w:rsidRPr="00C15639">
        <w:rPr>
          <w:szCs w:val="24"/>
          <w:vertAlign w:val="superscript"/>
        </w:rPr>
        <w:t>5</w:t>
      </w:r>
      <w:r w:rsidRPr="00C15639">
        <w:rPr>
          <w:szCs w:val="24"/>
        </w:rPr>
        <w:t>—10</w:t>
      </w:r>
      <w:r w:rsidRPr="00C15639">
        <w:rPr>
          <w:szCs w:val="24"/>
          <w:vertAlign w:val="superscript"/>
        </w:rPr>
        <w:t>6</w:t>
      </w:r>
      <w:r w:rsidRPr="00C15639">
        <w:rPr>
          <w:szCs w:val="24"/>
        </w:rPr>
        <w:t xml:space="preserve"> бактерий в легочном секрете. Именно эта величина принята за диагностически значимую для БАЛ. Однако у иммунокомпрометированных больных, большинство из которых к моменту выполнения БАЛ уже получают массивную антибактериальную терапию, даже </w:t>
      </w:r>
      <w:r w:rsidRPr="00C15639">
        <w:rPr>
          <w:szCs w:val="24"/>
        </w:rPr>
        <w:lastRenderedPageBreak/>
        <w:t>10</w:t>
      </w:r>
      <w:r w:rsidRPr="00C15639">
        <w:rPr>
          <w:szCs w:val="24"/>
          <w:vertAlign w:val="superscript"/>
        </w:rPr>
        <w:t>3</w:t>
      </w:r>
      <w:r w:rsidRPr="00C15639">
        <w:rPr>
          <w:szCs w:val="24"/>
        </w:rPr>
        <w:t> КОЕ/мл свидетельствует об этиологической роли микроорганизмов в поражении легких.</w:t>
      </w:r>
    </w:p>
    <w:p w14:paraId="046972E8" w14:textId="77777777" w:rsidR="00531C4D" w:rsidRPr="00C15639" w:rsidRDefault="00531C4D" w:rsidP="00531C4D">
      <w:pPr>
        <w:ind w:firstLine="709"/>
        <w:rPr>
          <w:szCs w:val="24"/>
        </w:rPr>
      </w:pPr>
      <w:r w:rsidRPr="00C15639">
        <w:rPr>
          <w:szCs w:val="24"/>
        </w:rPr>
        <w:t xml:space="preserve">Для выявления легионеллеза исследуются образец лаважной жидкости и мочи пациента – в моче иммунохроматографическим методом выявляется растворимый липополисахаридный антиген </w:t>
      </w:r>
      <w:r w:rsidRPr="00C15639">
        <w:rPr>
          <w:szCs w:val="24"/>
          <w:lang w:val="en-US"/>
        </w:rPr>
        <w:t>Legionella</w:t>
      </w:r>
      <w:r w:rsidRPr="00C15639">
        <w:rPr>
          <w:szCs w:val="24"/>
        </w:rPr>
        <w:t xml:space="preserve"> </w:t>
      </w:r>
      <w:r w:rsidRPr="00C15639">
        <w:rPr>
          <w:szCs w:val="24"/>
          <w:lang w:val="en-US"/>
        </w:rPr>
        <w:t>pneumophila</w:t>
      </w:r>
      <w:r w:rsidRPr="00C15639">
        <w:rPr>
          <w:szCs w:val="24"/>
        </w:rPr>
        <w:t xml:space="preserve"> серогруппы 1.</w:t>
      </w:r>
    </w:p>
    <w:p w14:paraId="5C69EF51" w14:textId="77777777" w:rsidR="00531C4D" w:rsidRPr="00C15639" w:rsidRDefault="00531C4D" w:rsidP="00510A44">
      <w:pPr>
        <w:pStyle w:val="5"/>
        <w:spacing w:before="0"/>
        <w:ind w:firstLine="709"/>
        <w:jc w:val="both"/>
        <w:rPr>
          <w:rFonts w:ascii="Times New Roman" w:hAnsi="Times New Roman" w:cs="Times New Roman"/>
          <w:b w:val="0"/>
        </w:rPr>
      </w:pPr>
      <w:r w:rsidRPr="00C15639">
        <w:rPr>
          <w:rFonts w:ascii="Times New Roman" w:hAnsi="Times New Roman" w:cs="Times New Roman"/>
          <w:color w:val="000000" w:themeColor="text1"/>
        </w:rPr>
        <w:t>Исследование на пневмоцистную инфекцию</w:t>
      </w:r>
    </w:p>
    <w:p w14:paraId="670EE9BD" w14:textId="77777777" w:rsidR="00531C4D" w:rsidRPr="00C15639" w:rsidRDefault="00531C4D" w:rsidP="00531C4D">
      <w:pPr>
        <w:ind w:firstLine="709"/>
        <w:rPr>
          <w:szCs w:val="24"/>
        </w:rPr>
      </w:pPr>
      <w:r w:rsidRPr="00C15639">
        <w:rPr>
          <w:szCs w:val="24"/>
        </w:rPr>
        <w:t xml:space="preserve">Наиболее доступным методом является выявление пневмоцист в мазках, окрашенных по Романовскому—Гимзе. Эта окраска позволяет выявить пневмоцисты на всех стадиях их жизненного цикла: на стадии цист, прецист, трофозоитов, — а также окрашивает экссудативный материал в виде «ячеистой пены». Недостатком метода является интенсивная окраска не только микроорганизмов, но и всего мазка, на фоне которого можно не заметить </w:t>
      </w:r>
      <w:r w:rsidRPr="00C15639">
        <w:rPr>
          <w:i/>
          <w:szCs w:val="24"/>
        </w:rPr>
        <w:t>Pneumocystis carinii</w:t>
      </w:r>
      <w:r w:rsidRPr="00C15639">
        <w:rPr>
          <w:szCs w:val="24"/>
        </w:rPr>
        <w:t xml:space="preserve">. Для выявления </w:t>
      </w:r>
      <w:r w:rsidRPr="00C15639">
        <w:rPr>
          <w:i/>
          <w:szCs w:val="24"/>
        </w:rPr>
        <w:t>P. carinii</w:t>
      </w:r>
      <w:r w:rsidRPr="00C15639">
        <w:rPr>
          <w:szCs w:val="24"/>
        </w:rPr>
        <w:t xml:space="preserve"> используется также импрегнация метенамин-серебряным нитратом по Гомори или серебром по Грокотту. Оба метода не выявляют трофозоиты и требуют для своей постановки длительного времени. В настоящее время появились наборы для модифицированной быстрой окраски серебром. Однако все эти виды окраски низкоспецифичны и могут не выявить пневмоцисты при небольшом количестве микроорганизмов в материале. Иммунофлюоресцентная окраска более чувствительна, чем окраска серебром или по Романовскому—Гимзе, что важно при малой контаминации материала пневмоцистами. Иммунофлюоресцентные методы основаны на использовании мышиных антител к пневмоцистам. Антитела могут быть специфично направлены либо только против цист, либо против трофозоитов, цист и спорозоитов и т. д. Антитела могут быть моно- и поликлональными. В последние годы показано, что характерная для пневмоцист последовательность ДНК может быть выявлена в мокроте, лаважной жидкости и легочной ткани с помощью ПЦР.</w:t>
      </w:r>
    </w:p>
    <w:p w14:paraId="4229E668" w14:textId="77777777" w:rsidR="00531C4D" w:rsidRPr="00C15639" w:rsidRDefault="00531C4D" w:rsidP="00510A44">
      <w:pPr>
        <w:pStyle w:val="5"/>
        <w:spacing w:before="0"/>
        <w:ind w:firstLine="709"/>
        <w:jc w:val="both"/>
        <w:rPr>
          <w:rFonts w:ascii="Times New Roman" w:hAnsi="Times New Roman" w:cs="Times New Roman"/>
          <w:b w:val="0"/>
          <w:color w:val="000000" w:themeColor="text1"/>
        </w:rPr>
      </w:pPr>
      <w:r w:rsidRPr="00C15639">
        <w:rPr>
          <w:rFonts w:ascii="Times New Roman" w:hAnsi="Times New Roman" w:cs="Times New Roman"/>
          <w:color w:val="000000" w:themeColor="text1"/>
        </w:rPr>
        <w:t>Исследование лаважной жидкости на наличие ЦМВ</w:t>
      </w:r>
    </w:p>
    <w:p w14:paraId="5C78E917" w14:textId="77777777" w:rsidR="00531C4D" w:rsidRPr="00C15639" w:rsidRDefault="00531C4D" w:rsidP="00531C4D">
      <w:pPr>
        <w:ind w:firstLine="709"/>
        <w:rPr>
          <w:szCs w:val="24"/>
        </w:rPr>
      </w:pPr>
      <w:r w:rsidRPr="00C15639">
        <w:rPr>
          <w:szCs w:val="24"/>
        </w:rPr>
        <w:t xml:space="preserve">Высокочувствительным методом выявления ЦМВ является ПЦР, позволяющая обнаружить очень малые количества ДНК вируса. Интерпретация результатов исследования на цитомегаловирусную инфекцию представляет большие сложности, поскольку выявление ЦМВ в лаважной жидкости не всегда бывает признаком инфекции, а может быть проявлением носительства вируса. Диагноз цитомегаловирусной пневмонии становится вероятным при обнаружении наряду с ДНК вируса в лаважной жидкости повышенного уровня антител к ЦМВ </w:t>
      </w:r>
      <w:r w:rsidRPr="00C15639">
        <w:rPr>
          <w:bCs/>
          <w:szCs w:val="24"/>
        </w:rPr>
        <w:t>в сыворотке (</w:t>
      </w:r>
      <w:r w:rsidRPr="00C15639">
        <w:rPr>
          <w:szCs w:val="24"/>
        </w:rPr>
        <w:t xml:space="preserve">в частности IgM), антигена вируса в лейкоцитах крови, а также при положительном результате теста в культуре диплоидных фибробластов человека, свидетельствующем о репликации вируса. Однако в условиях глубокой иммуносупрессии </w:t>
      </w:r>
      <w:r w:rsidRPr="00C15639">
        <w:rPr>
          <w:bCs/>
          <w:szCs w:val="24"/>
        </w:rPr>
        <w:t>серологический</w:t>
      </w:r>
      <w:r w:rsidRPr="00C15639">
        <w:rPr>
          <w:szCs w:val="24"/>
        </w:rPr>
        <w:t xml:space="preserve"> ответ на инфекцию может отсутствовать, </w:t>
      </w:r>
      <w:r w:rsidRPr="00C15639">
        <w:rPr>
          <w:szCs w:val="24"/>
        </w:rPr>
        <w:lastRenderedPageBreak/>
        <w:t>цитомегаловирусная пневмония не обязательно сопровождается виремией, а для проведения теста в культуре фибробластов необходим слишком длительный срок (не менее 3 нед).</w:t>
      </w:r>
    </w:p>
    <w:p w14:paraId="2592F1DF" w14:textId="77777777" w:rsidR="00531C4D" w:rsidRPr="00C15639" w:rsidRDefault="00531C4D" w:rsidP="00531C4D">
      <w:pPr>
        <w:ind w:firstLine="709"/>
        <w:rPr>
          <w:szCs w:val="24"/>
        </w:rPr>
      </w:pPr>
      <w:r w:rsidRPr="00C15639">
        <w:rPr>
          <w:szCs w:val="24"/>
        </w:rPr>
        <w:t>В связи с этим, и со скоротечным течением поражения легких при ЦМВ-инфекции у гематологических пациентов обнаружение ЦМВ в лаважной жидкости должно рассматриваться как проявление цитомегаловирусной пневмонии и служить показанием для начала противовирусной терапии. У больных с поражением легких без ОДН (за исключением пациентов после трансплантации костного мозга, которые также относятся к группе высокого риска) может быть предпринята попытка лечения других причин легочной патологии и лишь при неэффективности последней назначают противовирусную терапию. Исследование жидкости БАЛ является важным этапом диагностики поражения легких, однако несмотря на весь комплекс исследований, в 38% случаев выявить этиологию поражения легких не удается, и в этих случаях иногда приходится прибегать к биопсии легкого.</w:t>
      </w:r>
    </w:p>
    <w:p w14:paraId="1155BBAD" w14:textId="77777777" w:rsidR="00531C4D" w:rsidRPr="000538D0" w:rsidRDefault="00531C4D" w:rsidP="00531C4D">
      <w:pPr>
        <w:ind w:firstLine="709"/>
        <w:rPr>
          <w:b/>
          <w:bCs/>
        </w:rPr>
      </w:pPr>
      <w:r w:rsidRPr="000538D0">
        <w:rPr>
          <w:b/>
          <w:bCs/>
        </w:rPr>
        <w:t>Биопсия легкого</w:t>
      </w:r>
    </w:p>
    <w:p w14:paraId="210D9026" w14:textId="77777777" w:rsidR="00531C4D" w:rsidRPr="00C15639" w:rsidRDefault="00531C4D" w:rsidP="00531C4D">
      <w:pPr>
        <w:ind w:firstLine="709"/>
        <w:rPr>
          <w:szCs w:val="24"/>
        </w:rPr>
      </w:pPr>
      <w:r w:rsidRPr="00C15639">
        <w:rPr>
          <w:szCs w:val="24"/>
        </w:rPr>
        <w:t>Если проведенное исследование не выявило причины поражения легких, диагноз может быть поставлен с помощью биопсии легкого. Результаты, полученные при биопсии, можно разделить на специфические, по которым устанавливается причина поражения легких, и неспецифические — изменения, отражающие различные стадии острого повреждения легких, по которым нельзя установить</w:t>
      </w:r>
      <w:r w:rsidRPr="00C15639">
        <w:rPr>
          <w:bCs/>
          <w:szCs w:val="24"/>
        </w:rPr>
        <w:t xml:space="preserve"> его</w:t>
      </w:r>
      <w:r w:rsidRPr="00C15639">
        <w:rPr>
          <w:b/>
          <w:bCs/>
          <w:szCs w:val="24"/>
        </w:rPr>
        <w:t xml:space="preserve"> </w:t>
      </w:r>
      <w:r w:rsidRPr="00C15639">
        <w:rPr>
          <w:szCs w:val="24"/>
        </w:rPr>
        <w:t>этиологию: воспалительные изменения, фиброз, гиалиноз, хроническая пневмония и т. д.</w:t>
      </w:r>
    </w:p>
    <w:p w14:paraId="205FD367" w14:textId="77777777" w:rsidR="00531C4D" w:rsidRPr="00C15639" w:rsidRDefault="00531C4D" w:rsidP="00531C4D">
      <w:pPr>
        <w:ind w:firstLine="709"/>
        <w:rPr>
          <w:szCs w:val="24"/>
        </w:rPr>
      </w:pPr>
      <w:r w:rsidRPr="00C15639">
        <w:rPr>
          <w:szCs w:val="24"/>
        </w:rPr>
        <w:t>Может быть выполнена трансбронхиальная, торакоскопическая либо открытая биопсия легкого.</w:t>
      </w:r>
      <w:r w:rsidRPr="00C15639">
        <w:rPr>
          <w:b/>
          <w:bCs/>
          <w:szCs w:val="24"/>
        </w:rPr>
        <w:t xml:space="preserve"> </w:t>
      </w:r>
      <w:r w:rsidRPr="00C15639">
        <w:rPr>
          <w:szCs w:val="24"/>
        </w:rPr>
        <w:t>Трансбронхиальная биопсия — наименее инвазивный метод получения легочной ткани. Однако число больных в гематологической клинике, которым может быть выполнена трансбронхиальная биопсия, невелико из-за высокой частоты осложнений, возникающих при выполнении биопсии, наиболее серьезными из которых являются пневмоторакс и кровотечение. Трансбронхиальная биопсия противопоказана больным с тромбоцитопенией, ДВС-синдромом, легочной гипертензией, уремией, глубокой анемией и больным, находящимся на ИВЛ. Точность диагностики при трансбронхиальной биопсии составляет лишь 26%. Поэтому трансбронхиальная биопсия проводится лишь у ограниченного круга больных, и ее отрицательный результат не позволяет полностью исключить причину поражения легких.</w:t>
      </w:r>
    </w:p>
    <w:p w14:paraId="173DE8D8" w14:textId="77777777" w:rsidR="00531C4D" w:rsidRPr="00C15639" w:rsidRDefault="00531C4D" w:rsidP="00531C4D">
      <w:pPr>
        <w:ind w:firstLine="709"/>
        <w:rPr>
          <w:szCs w:val="24"/>
        </w:rPr>
      </w:pPr>
      <w:r w:rsidRPr="00C15639">
        <w:rPr>
          <w:szCs w:val="24"/>
        </w:rPr>
        <w:t xml:space="preserve">Открытую биопсию легкого называют золотым стандартом диагностики легочной патологии. В последние годы в качестве альтернативы открытой биопсии применяется торакоскопическая биопсия легкого. Эта процедура значительно менее травматична, чем </w:t>
      </w:r>
      <w:r w:rsidRPr="00C15639">
        <w:rPr>
          <w:szCs w:val="24"/>
        </w:rPr>
        <w:lastRenderedPageBreak/>
        <w:t>открытая биопсия, и в то же время позволяет получить ткань легкого под визуальным контролем. Торакоскопическую биопсию невозможно выполнить при массивном спаечном процессе в плевральной полости, ее проведению мешает также выраженная эмфизема. Для выполнения торакоскопической биопсии биоптируемые участки должны быть доступны.</w:t>
      </w:r>
    </w:p>
    <w:p w14:paraId="3D1A5274" w14:textId="77777777" w:rsidR="00531C4D" w:rsidRPr="00C15639" w:rsidRDefault="00531C4D" w:rsidP="00531C4D">
      <w:pPr>
        <w:ind w:firstLine="709"/>
        <w:rPr>
          <w:szCs w:val="24"/>
        </w:rPr>
      </w:pPr>
      <w:r w:rsidRPr="00C15639">
        <w:rPr>
          <w:szCs w:val="24"/>
        </w:rPr>
        <w:t>Биопсия легкого позволяет получить дополнительную информацию об этиологии поражения легких в 73% случаев. Среди видов патологии, дополнительно выявляемых при биопсии легкого, — вирусные, пневмоцистные, грибковые пневмонии, интерстициальный легочный фиброз, опухоли.</w:t>
      </w:r>
    </w:p>
    <w:p w14:paraId="35D9F785" w14:textId="77777777" w:rsidR="00531C4D" w:rsidRPr="00C15639" w:rsidRDefault="00531C4D" w:rsidP="00531C4D">
      <w:pPr>
        <w:ind w:firstLine="709"/>
        <w:rPr>
          <w:szCs w:val="24"/>
        </w:rPr>
      </w:pPr>
      <w:r w:rsidRPr="00C15639">
        <w:rPr>
          <w:szCs w:val="24"/>
        </w:rPr>
        <w:t>После биопсии легкого модификация терапии проводится у 7—77% больных с гемобластозами, однако улучшение состояния в результате этого отмечалось лишь у 18—39% больных.</w:t>
      </w:r>
    </w:p>
    <w:p w14:paraId="05F978D2" w14:textId="77777777" w:rsidR="00531C4D" w:rsidRPr="00C15639" w:rsidRDefault="00531C4D" w:rsidP="00531C4D">
      <w:pPr>
        <w:ind w:firstLine="709"/>
        <w:rPr>
          <w:szCs w:val="24"/>
        </w:rPr>
      </w:pPr>
      <w:r w:rsidRPr="00C15639">
        <w:rPr>
          <w:szCs w:val="24"/>
        </w:rPr>
        <w:t>Таким образом, биопсия легкого может решить диагностические проблемы лишь при соблюдении ряда условий:</w:t>
      </w:r>
    </w:p>
    <w:p w14:paraId="4E9CB90D" w14:textId="77777777" w:rsidR="00531C4D" w:rsidRPr="00C15639" w:rsidRDefault="00531C4D" w:rsidP="00C5490F">
      <w:pPr>
        <w:pStyle w:val="afe"/>
        <w:numPr>
          <w:ilvl w:val="0"/>
          <w:numId w:val="108"/>
        </w:numPr>
        <w:rPr>
          <w:szCs w:val="24"/>
        </w:rPr>
      </w:pPr>
      <w:r w:rsidRPr="00C15639">
        <w:rPr>
          <w:szCs w:val="24"/>
        </w:rPr>
        <w:t>биопсия должна проводиться после выполнения всего комплекса менее инвазивных методов обследования, включая бронхоскопию с БАЛ, и попыток эмпирической терапии предполагаемой причины поражения легких;</w:t>
      </w:r>
    </w:p>
    <w:p w14:paraId="6D73FA5E" w14:textId="77777777" w:rsidR="00531C4D" w:rsidRPr="00C15639" w:rsidRDefault="00531C4D" w:rsidP="00C5490F">
      <w:pPr>
        <w:pStyle w:val="afe"/>
        <w:numPr>
          <w:ilvl w:val="0"/>
          <w:numId w:val="108"/>
        </w:numPr>
        <w:rPr>
          <w:szCs w:val="24"/>
        </w:rPr>
      </w:pPr>
      <w:r w:rsidRPr="00C15639">
        <w:rPr>
          <w:szCs w:val="24"/>
        </w:rPr>
        <w:t xml:space="preserve">эмпирическая терапия не должна быть длительной, а биопсия легкого не должна рассматриваться как крайняя мера, выполняемая лишь при ухудшении состояния пациента, ее необходимо проводить до развития ОДН. </w:t>
      </w:r>
    </w:p>
    <w:p w14:paraId="1558CF67" w14:textId="77777777" w:rsidR="00531C4D" w:rsidRPr="00C15639" w:rsidRDefault="00531C4D" w:rsidP="00C5490F">
      <w:pPr>
        <w:pStyle w:val="afe"/>
        <w:numPr>
          <w:ilvl w:val="0"/>
          <w:numId w:val="108"/>
        </w:numPr>
        <w:rPr>
          <w:szCs w:val="24"/>
        </w:rPr>
      </w:pPr>
      <w:r w:rsidRPr="00C15639">
        <w:rPr>
          <w:szCs w:val="24"/>
        </w:rPr>
        <w:t>исследование полученного биопсийного материала должно включать в себя кроме цитологического и гистологического (при необходимости, иммуногистохимического) исследований, также поиск всех вероятных возбудителей микробиологическими, молекулярно-биологическими и др. методами иследований.</w:t>
      </w:r>
    </w:p>
    <w:p w14:paraId="0B196196" w14:textId="77777777" w:rsidR="00531C4D" w:rsidRPr="000538D0" w:rsidRDefault="00531C4D" w:rsidP="00510A44">
      <w:pPr>
        <w:ind w:firstLine="709"/>
        <w:rPr>
          <w:b/>
          <w:bCs/>
        </w:rPr>
      </w:pPr>
      <w:r w:rsidRPr="000538D0">
        <w:rPr>
          <w:b/>
          <w:bCs/>
        </w:rPr>
        <w:t>Интерпретация результатов</w:t>
      </w:r>
    </w:p>
    <w:p w14:paraId="67C16FB0" w14:textId="77777777" w:rsidR="00531C4D" w:rsidRPr="00C15639" w:rsidRDefault="00531C4D" w:rsidP="00510A44">
      <w:pPr>
        <w:pStyle w:val="Numlist"/>
        <w:spacing w:line="360" w:lineRule="auto"/>
        <w:ind w:firstLine="709"/>
      </w:pPr>
      <w:r w:rsidRPr="00C15639">
        <w:t>1. Бактериальная пневмония диагностируется при выявлении в количественном посеве лаважной жидкости микроорганизмов в количестве 10</w:t>
      </w:r>
      <w:r w:rsidRPr="00C15639">
        <w:rPr>
          <w:vertAlign w:val="superscript"/>
        </w:rPr>
        <w:t>3</w:t>
      </w:r>
      <w:r w:rsidRPr="00C15639">
        <w:t> КОЕ/мл или выше. Выявления 10</w:t>
      </w:r>
      <w:r w:rsidRPr="00C15639">
        <w:rPr>
          <w:vertAlign w:val="superscript"/>
        </w:rPr>
        <w:t>1</w:t>
      </w:r>
      <w:r w:rsidRPr="00C15639">
        <w:t>—10</w:t>
      </w:r>
      <w:r w:rsidRPr="00C15639">
        <w:rPr>
          <w:vertAlign w:val="superscript"/>
        </w:rPr>
        <w:t>2</w:t>
      </w:r>
      <w:r w:rsidRPr="00C15639">
        <w:t> КОЕ/мл недостаточно для подтверждения бактериального характера поражения легких, однако рост в любом количестве высокопатогенных грамположительных (</w:t>
      </w:r>
      <w:r w:rsidRPr="00C15639">
        <w:rPr>
          <w:i/>
        </w:rPr>
        <w:t>S. aureus</w:t>
      </w:r>
      <w:r w:rsidRPr="00C15639">
        <w:t>) или грамотрицательных (</w:t>
      </w:r>
      <w:r w:rsidRPr="00C15639">
        <w:rPr>
          <w:i/>
        </w:rPr>
        <w:t>P. aeruginosa, Acinetobacter spp., S. maltophilia</w:t>
      </w:r>
      <w:r w:rsidRPr="00C15639">
        <w:t xml:space="preserve"> и др.) микроорганизмов должен учитываться при назначении антибактериальных препаратов.</w:t>
      </w:r>
    </w:p>
    <w:p w14:paraId="02E6959F" w14:textId="77777777" w:rsidR="00531C4D" w:rsidRPr="00C15639" w:rsidRDefault="00531C4D" w:rsidP="00510A44">
      <w:pPr>
        <w:pStyle w:val="Numlist"/>
        <w:spacing w:line="360" w:lineRule="auto"/>
        <w:ind w:firstLine="709"/>
      </w:pPr>
      <w:r w:rsidRPr="00C15639">
        <w:t xml:space="preserve">Исследование мочи иммунохроматографическим методом позволяет выявить растворимый антиген </w:t>
      </w:r>
      <w:r w:rsidRPr="00C15639">
        <w:rPr>
          <w:i/>
        </w:rPr>
        <w:t>Legionella pneumophila</w:t>
      </w:r>
      <w:r w:rsidRPr="00C15639">
        <w:t xml:space="preserve">, но только серогруппы 1. Ответ может быть получен уже в течение первых суток. Положительный результат является показанием к целенаправленной антибактериальной терапии легионеллеза («респираторные» </w:t>
      </w:r>
      <w:r w:rsidRPr="00C15639">
        <w:lastRenderedPageBreak/>
        <w:t>фторхинолоны, макролиды). В то же время отрицательный результат исследования мочи не исключает легионеллеза, поскольку заболевание может быть вызвано другими серотипами возбудителя. Окончательно подтвердить или отвергнуть диагноз легионеллеза можно только бактериологически (выделение легионелл на селективном буферном угольно-дрожжевом агаре), для чего требуется не менее 5—7 дней.</w:t>
      </w:r>
    </w:p>
    <w:p w14:paraId="6306B0B4" w14:textId="77777777" w:rsidR="00531C4D" w:rsidRPr="00C15639" w:rsidRDefault="00531C4D" w:rsidP="00510A44">
      <w:pPr>
        <w:pStyle w:val="Numlist"/>
        <w:spacing w:line="360" w:lineRule="auto"/>
        <w:ind w:firstLine="709"/>
      </w:pPr>
      <w:r w:rsidRPr="00C15639">
        <w:t xml:space="preserve">До получения результатов исследования жидкости БАЛ при назначении антибиотиков могут учитываться результаты посевов со слизистой ротоглотки и прямой кишки. Выявление на слизистой ротоглотки у больных с пневмонией </w:t>
      </w:r>
      <w:r w:rsidRPr="00C15639">
        <w:rPr>
          <w:i/>
        </w:rPr>
        <w:t>A. baumannii</w:t>
      </w:r>
      <w:r w:rsidRPr="00C15639">
        <w:t xml:space="preserve"> или </w:t>
      </w:r>
      <w:r w:rsidRPr="00C15639">
        <w:rPr>
          <w:i/>
        </w:rPr>
        <w:t>P. aeruginosa</w:t>
      </w:r>
      <w:r w:rsidRPr="00C15639">
        <w:t xml:space="preserve"> с большой долей вероятности указывает на то, что именно эти патогены являются возбудителями пневмонии.</w:t>
      </w:r>
    </w:p>
    <w:p w14:paraId="12B5CF39" w14:textId="77777777" w:rsidR="00531C4D" w:rsidRPr="00C15639" w:rsidRDefault="00531C4D" w:rsidP="00510A44">
      <w:pPr>
        <w:pStyle w:val="Numlist"/>
        <w:spacing w:line="360" w:lineRule="auto"/>
        <w:ind w:firstLine="709"/>
      </w:pPr>
      <w:r w:rsidRPr="00C15639">
        <w:t>2. Аспергиллез подтверждается выявлением в лаважной жидкости мицелия грибов (при микроскопии) и повышенного уровня индекса оптической плотности галактоманнана (выше 1). В то же время повышение уровня индекса оптической плотности в лаважной жидкости, даже весьма значительное (в ряде случаев до 6—7), может быть ложным. Диагноз аспергиллеза становится более достоверным при соответствующей рентгенологической картине, одновременном выявлении повышенного (выше 0,5) уровня индекса оптической плотности галактоманнана в крови, выявлении мицелия грибов при микроскопии лаважной жидкости и росте аспергиллов при бактериологическом исследовании.</w:t>
      </w:r>
    </w:p>
    <w:p w14:paraId="63DB826A" w14:textId="77777777" w:rsidR="00531C4D" w:rsidRPr="00C15639" w:rsidRDefault="00531C4D" w:rsidP="00510A44">
      <w:pPr>
        <w:pStyle w:val="Numlist"/>
        <w:spacing w:line="360" w:lineRule="auto"/>
        <w:ind w:firstLine="709"/>
      </w:pPr>
      <w:r w:rsidRPr="00C15639">
        <w:t>3. Туберкулез легких может быть диагностирован при выявлении микобактерий в лаважной жидкости при окраске ее по Цилю—Нильсену. При выявлении ДНК микобактерий методом ПЦР диагноз туберкулеза представляется более вероятным при наличии соответствующей клинической и рентгенологической картина и неэффективности терапии антибиотиками широкого спектра действия.</w:t>
      </w:r>
    </w:p>
    <w:p w14:paraId="77270C00" w14:textId="77777777" w:rsidR="00531C4D" w:rsidRPr="00C15639" w:rsidRDefault="00531C4D" w:rsidP="00510A44">
      <w:pPr>
        <w:pStyle w:val="Numlist"/>
        <w:spacing w:line="360" w:lineRule="auto"/>
        <w:ind w:firstLine="709"/>
      </w:pPr>
      <w:r w:rsidRPr="00C15639">
        <w:t>4. Пневмоцистная пневмония диагностируется при выявлении в лаважной жидкости или биоптате легкого пневмоцист одним из следующих методов: реакция иммунофлюоресценции; окраска по Романовскому—Гимзе, толуидиновым синим, гематоксилин-эозином или по Папаниколау; импрегнация метенамин-серебряным нитратом по Гомори или серебром по Грокотту. Обнаружение или отсутствие антипневмоцистных антител в сыворотке не является критерием диагноза.</w:t>
      </w:r>
    </w:p>
    <w:p w14:paraId="300440A1" w14:textId="77777777" w:rsidR="00531C4D" w:rsidRPr="00C15639" w:rsidRDefault="00531C4D" w:rsidP="00510A44">
      <w:pPr>
        <w:pStyle w:val="Numlist"/>
        <w:spacing w:line="360" w:lineRule="auto"/>
        <w:ind w:firstLine="709"/>
      </w:pPr>
      <w:r w:rsidRPr="00C15639">
        <w:t xml:space="preserve">5. Диагноз цитомегаловирусной пневмонии представляется достоверным в следующих случаях: а) при наличии клинической картины интерстициальной пневмонии, развившейся у пациентов, входящих в группу риска (пациенты, перенесшие трансплантацию костного мозга, длительно получавшие иммуносупрессивную терапию, пациенты лимфопролиферативными заболеваниями и т. д.); б) при выявлении высокого </w:t>
      </w:r>
      <w:r w:rsidRPr="00C15639">
        <w:lastRenderedPageBreak/>
        <w:t>титра антител к ЦМВ, относящихся к иммуноглобулинам класса М; в) при выявлении в лаважной жидкости или легочном биоптате ЦМВ; г) при положительном результате теста в культуре диплоидных фибробластов человека. В сомнительных случаях, когда в биологическом материале обнаруживается только ДНК или антиген вируса, принятие решения о начале противовирусной терапии должно исходить из конкретной клинической ситуации. Выявление ЦМВ в лаважной жидкости или биоптате легкого у пациентов с ОДН и перенесших трансплантацию костного мозга или интенсивную иммуносупрессивную и химиотерапию должно рассматриваться как проявление цитомегаловирусной пневмонии и являться показанием к началу противовирусной терапии. В остальных группах пациентов может быть предпринята попытка лечения других причин поражения легких и лишь при его неэффективности может быть назначена противовирусная терапия.</w:t>
      </w:r>
    </w:p>
    <w:p w14:paraId="2E30383B" w14:textId="77777777" w:rsidR="00531C4D" w:rsidRPr="00C15639" w:rsidRDefault="00531C4D" w:rsidP="00510A44">
      <w:pPr>
        <w:pStyle w:val="Numlist"/>
        <w:spacing w:line="360" w:lineRule="auto"/>
        <w:ind w:firstLine="709"/>
      </w:pPr>
      <w:r w:rsidRPr="00C15639">
        <w:t>6. Выявление опухолевых клеток в лаважной жидкости свидетельствует о поражении легких опухолью при условии, что эти клетки отсутствуют в периферической крови. При одновременном выявлении опухолевых клеток в периферической крови диагноз носит вероятностный характер, поскольку возможно их попадание в лаважную жидкость из крови. Поражение легких при гематологических заболеваниях может быть подтверждено исследованием биоптата легкого.</w:t>
      </w:r>
    </w:p>
    <w:p w14:paraId="0AE9FDD0" w14:textId="77777777" w:rsidR="00531C4D" w:rsidRPr="00C15639" w:rsidRDefault="00531C4D" w:rsidP="00510A44">
      <w:pPr>
        <w:pStyle w:val="Numlist"/>
        <w:spacing w:line="360" w:lineRule="auto"/>
        <w:ind w:firstLine="709"/>
      </w:pPr>
      <w:r w:rsidRPr="00C15639">
        <w:t>7. При неинфекционных поражениях легких (интерстициальном легочном фиброзе, облитерирующем бронхиолите, легочных формах реакции «трансплантат против хозяина» и т. д.) для подтверждения диагноза требуются биопсия легкого и гистологическое исследование.</w:t>
      </w:r>
    </w:p>
    <w:p w14:paraId="4DBAC7E3" w14:textId="77777777" w:rsidR="00531C4D" w:rsidRPr="000538D0" w:rsidRDefault="00531C4D" w:rsidP="00510A44">
      <w:pPr>
        <w:ind w:firstLine="709"/>
        <w:rPr>
          <w:b/>
          <w:bCs/>
        </w:rPr>
      </w:pPr>
      <w:r w:rsidRPr="000538D0">
        <w:rPr>
          <w:b/>
          <w:bCs/>
        </w:rPr>
        <w:t>Лечение острых паренхиматозных повреждений легких</w:t>
      </w:r>
    </w:p>
    <w:p w14:paraId="11933991" w14:textId="77777777" w:rsidR="00531C4D" w:rsidRPr="00C15639" w:rsidRDefault="00531C4D" w:rsidP="00510A44">
      <w:pPr>
        <w:ind w:firstLine="709"/>
        <w:rPr>
          <w:szCs w:val="24"/>
        </w:rPr>
      </w:pPr>
      <w:r w:rsidRPr="00C15639">
        <w:rPr>
          <w:szCs w:val="24"/>
        </w:rPr>
        <w:t>Лечение ОДН заключается в решении двух тесно взаимосвязанных задач: устранение повреждающего фактора и компенсация ОДН. Первая задача решается посредством этиотропной терапии, вторая — с помощью оксигенотерапии или респираторной поддержки.</w:t>
      </w:r>
    </w:p>
    <w:p w14:paraId="58142AF1" w14:textId="77777777" w:rsidR="00531C4D" w:rsidRPr="00C15639" w:rsidRDefault="00531C4D" w:rsidP="00510A44">
      <w:pPr>
        <w:ind w:firstLine="709"/>
        <w:rPr>
          <w:szCs w:val="24"/>
        </w:rPr>
      </w:pPr>
      <w:r w:rsidRPr="00C15639">
        <w:rPr>
          <w:szCs w:val="24"/>
        </w:rPr>
        <w:t xml:space="preserve">Антибактериальная терапия пневмоний основывается на выявленном возбудителе и его чувствительности к антибиотикам. При развитии </w:t>
      </w:r>
      <w:r w:rsidRPr="00C15639">
        <w:rPr>
          <w:b/>
          <w:bCs/>
          <w:szCs w:val="24"/>
        </w:rPr>
        <w:t>ретиноидного синдрома</w:t>
      </w:r>
      <w:r w:rsidRPr="00C15639">
        <w:rPr>
          <w:szCs w:val="24"/>
        </w:rPr>
        <w:t xml:space="preserve"> назначают дексаметазон по схеме лечения ретиноидного синдрома. </w:t>
      </w:r>
      <w:r w:rsidRPr="00C15639">
        <w:rPr>
          <w:b/>
          <w:bCs/>
          <w:szCs w:val="24"/>
        </w:rPr>
        <w:t>Специфические опухолевые поражения легких у пациентов с гемобластозами</w:t>
      </w:r>
      <w:r w:rsidRPr="00C15639">
        <w:rPr>
          <w:szCs w:val="24"/>
        </w:rPr>
        <w:t xml:space="preserve"> являются показанием к незамедлительному началу противоопухолевой терапии. При ОДН, вызванной </w:t>
      </w:r>
      <w:r w:rsidRPr="00C15639">
        <w:rPr>
          <w:b/>
          <w:bCs/>
          <w:szCs w:val="24"/>
        </w:rPr>
        <w:t>цитолитическим синдромом,</w:t>
      </w:r>
      <w:r w:rsidRPr="00C15639">
        <w:rPr>
          <w:szCs w:val="24"/>
        </w:rPr>
        <w:t xml:space="preserve"> продолжают начатую ранее химиотерапию и одновременно принимают меры для профилактики других осложнений, вызываемых цитолизом (гиперурикемии, острой почечной недостаточности и т. д.): водная нагрузка, подщелачивание, назначение аллопуринола, проведение плазмафереза, цитафереза. </w:t>
      </w:r>
      <w:r w:rsidRPr="00C15639">
        <w:rPr>
          <w:szCs w:val="24"/>
        </w:rPr>
        <w:lastRenderedPageBreak/>
        <w:t>Разрешение патологии легких наблюдается, как правило, одновременно со снижением количества лейкоцитов крови и развитием миелотоксического агранулоцитоза. При интерстициальном легочном фиброзе и облитерирующем бронхиолите назначают глюкокортикоиды, усиливают иммуносупрессивную терапию, если данное осложнение возникло при обострении реакции «трансплантат против хозяина».</w:t>
      </w:r>
    </w:p>
    <w:p w14:paraId="18C05365" w14:textId="77777777" w:rsidR="00531C4D" w:rsidRPr="000538D0" w:rsidRDefault="00531C4D" w:rsidP="00531C4D">
      <w:pPr>
        <w:ind w:firstLine="709"/>
        <w:rPr>
          <w:b/>
          <w:bCs/>
        </w:rPr>
      </w:pPr>
      <w:r w:rsidRPr="000538D0">
        <w:rPr>
          <w:b/>
          <w:bCs/>
        </w:rPr>
        <w:t>Респираторная терапия острой дыхательной недостаточности</w:t>
      </w:r>
    </w:p>
    <w:p w14:paraId="254BF620" w14:textId="77777777" w:rsidR="00531C4D" w:rsidRPr="00510A44" w:rsidRDefault="00531C4D" w:rsidP="00510A44">
      <w:pPr>
        <w:ind w:firstLine="709"/>
        <w:rPr>
          <w:szCs w:val="24"/>
        </w:rPr>
      </w:pPr>
      <w:r w:rsidRPr="00C15639">
        <w:rPr>
          <w:szCs w:val="24"/>
        </w:rPr>
        <w:t xml:space="preserve">Стратегическим принципом терапии ОДН при заболеваниях системы крови является </w:t>
      </w:r>
      <w:r w:rsidRPr="00510A44">
        <w:rPr>
          <w:szCs w:val="24"/>
        </w:rPr>
        <w:t>этапность лечения: оксигенотерапия, неинвазивная вентиляция легких, ИВЛ.</w:t>
      </w:r>
    </w:p>
    <w:p w14:paraId="6E2DF872" w14:textId="77777777" w:rsidR="00531C4D" w:rsidRPr="00510A44" w:rsidRDefault="00531C4D" w:rsidP="00510A44">
      <w:pPr>
        <w:ind w:firstLine="709"/>
        <w:rPr>
          <w:szCs w:val="24"/>
        </w:rPr>
      </w:pPr>
      <w:r w:rsidRPr="00510A44">
        <w:rPr>
          <w:szCs w:val="24"/>
        </w:rPr>
        <w:t>Лечение ОДН целесообразно начинать с оксигенотерапии через носовой кататер либо маску. При ее неэффективности начинают респираторную поддержку с помощью респиратора для неинвазивной вентиляции легких и лишь в случае неэффективности последней переводят больного на ИВЛ.</w:t>
      </w:r>
    </w:p>
    <w:p w14:paraId="74A130E9" w14:textId="77777777" w:rsidR="00531C4D" w:rsidRPr="00510A44" w:rsidRDefault="00531C4D" w:rsidP="00510A44">
      <w:pPr>
        <w:pStyle w:val="4"/>
        <w:numPr>
          <w:ilvl w:val="12"/>
          <w:numId w:val="0"/>
        </w:numPr>
        <w:spacing w:line="360" w:lineRule="auto"/>
        <w:ind w:firstLine="709"/>
        <w:rPr>
          <w:i/>
          <w:color w:val="000000" w:themeColor="text1"/>
          <w:sz w:val="24"/>
          <w:szCs w:val="24"/>
          <w:lang w:val="ru-RU"/>
        </w:rPr>
      </w:pPr>
      <w:r w:rsidRPr="00510A44">
        <w:rPr>
          <w:color w:val="000000" w:themeColor="text1"/>
          <w:sz w:val="24"/>
          <w:szCs w:val="24"/>
          <w:lang w:val="ru-RU"/>
        </w:rPr>
        <w:t>Неинвазивная вентиляция легких в лечении острой дыхательной недостаточности</w:t>
      </w:r>
    </w:p>
    <w:p w14:paraId="66DE5274" w14:textId="77777777" w:rsidR="00531C4D" w:rsidRPr="00C15639" w:rsidRDefault="00531C4D" w:rsidP="00510A44">
      <w:pPr>
        <w:ind w:firstLine="709"/>
        <w:rPr>
          <w:szCs w:val="24"/>
        </w:rPr>
      </w:pPr>
      <w:r w:rsidRPr="00510A44">
        <w:rPr>
          <w:szCs w:val="24"/>
        </w:rPr>
        <w:t>Неинвазивную вентиляцию легких необходимо рассматривать как первый этап респираторной поддержки при ОДН у гематологических пациентов. Показанием к неинвазивной вентиляции является гипоксемия (Р</w:t>
      </w:r>
      <w:r w:rsidRPr="00510A44">
        <w:rPr>
          <w:szCs w:val="24"/>
          <w:vertAlign w:val="subscript"/>
        </w:rPr>
        <w:t>а</w:t>
      </w:r>
      <w:r w:rsidRPr="00510A44">
        <w:rPr>
          <w:szCs w:val="24"/>
        </w:rPr>
        <w:t>О</w:t>
      </w:r>
      <w:r w:rsidRPr="00510A44">
        <w:rPr>
          <w:szCs w:val="24"/>
          <w:vertAlign w:val="subscript"/>
        </w:rPr>
        <w:t>2</w:t>
      </w:r>
      <w:r w:rsidRPr="00510A44">
        <w:rPr>
          <w:szCs w:val="24"/>
        </w:rPr>
        <w:t xml:space="preserve"> &lt; 60 мм рт. ст.), сохраняющаяся при ингаляции дыхательной смеси с </w:t>
      </w:r>
      <w:r w:rsidRPr="00510A44">
        <w:rPr>
          <w:szCs w:val="24"/>
          <w:lang w:val="en-US"/>
        </w:rPr>
        <w:t>F</w:t>
      </w:r>
      <w:r w:rsidRPr="00510A44">
        <w:rPr>
          <w:szCs w:val="24"/>
          <w:vertAlign w:val="subscript"/>
          <w:lang w:val="en-US"/>
        </w:rPr>
        <w:t>I</w:t>
      </w:r>
      <w:r w:rsidRPr="00510A44">
        <w:rPr>
          <w:szCs w:val="24"/>
          <w:lang w:val="en-US"/>
        </w:rPr>
        <w:t>O</w:t>
      </w:r>
      <w:r w:rsidRPr="00510A44">
        <w:rPr>
          <w:szCs w:val="24"/>
          <w:vertAlign w:val="subscript"/>
        </w:rPr>
        <w:t>2</w:t>
      </w:r>
      <w:r w:rsidRPr="00510A44">
        <w:rPr>
          <w:szCs w:val="24"/>
        </w:rPr>
        <w:t xml:space="preserve"> более 50%. По сравнению с оксигенотерапией, проводимой с помощью маски Вентури, неинвазивная вентиляция — более эффективный метод респираторной поддержки. Этот метод обеспечивает рекрутирование неаэрируемых альвеол и раздувание зон микроателектазов, в результате чего улучшаются вентиляционно-</w:t>
      </w:r>
      <w:r w:rsidRPr="00C15639">
        <w:rPr>
          <w:szCs w:val="24"/>
        </w:rPr>
        <w:t>перфузионные отношения, повышается легочный комплайнс, уменьшается работа дыхательных мышц.</w:t>
      </w:r>
    </w:p>
    <w:p w14:paraId="7A0E170F" w14:textId="77777777" w:rsidR="00531C4D" w:rsidRPr="00510A44" w:rsidRDefault="00531C4D" w:rsidP="00510A44">
      <w:pPr>
        <w:ind w:firstLine="709"/>
        <w:rPr>
          <w:szCs w:val="24"/>
        </w:rPr>
      </w:pPr>
      <w:r w:rsidRPr="00C15639">
        <w:rPr>
          <w:szCs w:val="24"/>
        </w:rPr>
        <w:t xml:space="preserve">Неинвазивная вентиляции легких позволяет избежать интубации трахеи у гематологических пациентов и ОДН в 41% случаев. Именно с использованием неинвазивной вентиляции легких связаны успехи респираторной поддержки у </w:t>
      </w:r>
      <w:r w:rsidRPr="00510A44">
        <w:rPr>
          <w:szCs w:val="24"/>
        </w:rPr>
        <w:t>онкогематологических пациентов.</w:t>
      </w:r>
    </w:p>
    <w:p w14:paraId="0997A25F" w14:textId="77777777" w:rsidR="00531C4D" w:rsidRPr="00510A44" w:rsidRDefault="00531C4D" w:rsidP="00510A44">
      <w:pPr>
        <w:ind w:firstLine="709"/>
        <w:rPr>
          <w:szCs w:val="24"/>
        </w:rPr>
      </w:pPr>
      <w:r w:rsidRPr="00510A44">
        <w:rPr>
          <w:szCs w:val="24"/>
        </w:rPr>
        <w:t>К побочным эффектам неинвазивной вентиляции легких относятся мацерация кожи, гематомы на переносице, а при тромбоцитопении — также носовые кровотечения и геморрагический стоматит. Основными причинами неэффективности неинвазивной вентиляции у этих больных являются нарастание тяжести ОДН и нарушения сознания различного генеза (вследствие энцефалита, нейролейкемии, кровоизлияния в мозг).</w:t>
      </w:r>
    </w:p>
    <w:p w14:paraId="193CDD2C" w14:textId="77777777" w:rsidR="00531C4D" w:rsidRPr="00510A44" w:rsidRDefault="00531C4D" w:rsidP="00510A44">
      <w:pPr>
        <w:pStyle w:val="4"/>
        <w:numPr>
          <w:ilvl w:val="12"/>
          <w:numId w:val="0"/>
        </w:numPr>
        <w:spacing w:line="360" w:lineRule="auto"/>
        <w:ind w:firstLine="709"/>
        <w:rPr>
          <w:i/>
          <w:color w:val="000000" w:themeColor="text1"/>
          <w:sz w:val="24"/>
          <w:szCs w:val="24"/>
          <w:lang w:val="ru-RU"/>
        </w:rPr>
      </w:pPr>
      <w:r w:rsidRPr="00510A44">
        <w:rPr>
          <w:color w:val="000000" w:themeColor="text1"/>
          <w:sz w:val="24"/>
          <w:szCs w:val="24"/>
          <w:lang w:val="ru-RU"/>
        </w:rPr>
        <w:lastRenderedPageBreak/>
        <w:t>Искусственная вентиляция легких в лечении острой дыхательной недостаточности</w:t>
      </w:r>
    </w:p>
    <w:p w14:paraId="4EFD9F79" w14:textId="77777777" w:rsidR="00531C4D" w:rsidRPr="00510A44" w:rsidRDefault="00531C4D" w:rsidP="00510A44">
      <w:pPr>
        <w:ind w:firstLine="709"/>
        <w:rPr>
          <w:szCs w:val="24"/>
        </w:rPr>
      </w:pPr>
      <w:r w:rsidRPr="00510A44">
        <w:rPr>
          <w:szCs w:val="24"/>
        </w:rPr>
        <w:t>ИВЛ была и остается основным методом лечения тяжелой ОДН при заболеваниях системы крови. Проведение ИВЛ позволяет не только компенсировать ОДН у большинства больных, но и выполнять ряд лечебных и диагностических процедур (химиотерапия, бронхоскопия с БАЛ, биопсия легкого и т. д.).</w:t>
      </w:r>
    </w:p>
    <w:p w14:paraId="72DBD186" w14:textId="77777777" w:rsidR="00531C4D" w:rsidRPr="00510A44" w:rsidRDefault="00531C4D" w:rsidP="00510A44">
      <w:pPr>
        <w:ind w:firstLine="709"/>
        <w:rPr>
          <w:szCs w:val="24"/>
        </w:rPr>
      </w:pPr>
      <w:r w:rsidRPr="00510A44">
        <w:rPr>
          <w:szCs w:val="24"/>
        </w:rPr>
        <w:t>Первым шагом при проведении ИВЛ является присоединение респиратора к дыхательным путям пациента, то есть обеспечение эндотрахеального доступа. Основные проблемы, возникающие при этом у пациентов с заболеваниями системы крови, связаны с нарушением проходимости дыхательных путей вследствие геморрагического синдрома, воспалительных изменений и отека мягких тканей или сдавлении дыхательных путей опухолевым конгломератом. В этой связи следует подчеркнуть важность выбора рациональной тактики при заведомо сложной интубации. При показаниях к экстренному переводу этих больных на ИВЛ выполняется оротрахеальная интубация. При невозможности по каким-либо причинам выполнить прямую ларингоскопию проводится интубация по фибробронхоскопу под местной анестезией при сохраненном сознании. При интубации этих больных в условиях общей анестезии с миорелаксацией велика опасность того, что не удастся добиться адекватной вентиляции с помощью маски и провести прямую ларингоскопию. При невозможности выполнить прямую ларингоскопию либо интубацию по фибробронхоскопу может быть произведена трахеостомия под местной анестезией.</w:t>
      </w:r>
    </w:p>
    <w:p w14:paraId="76020972" w14:textId="77777777" w:rsidR="00531C4D" w:rsidRPr="00510A44" w:rsidRDefault="00531C4D" w:rsidP="00510A44">
      <w:pPr>
        <w:ind w:firstLine="709"/>
        <w:rPr>
          <w:szCs w:val="24"/>
        </w:rPr>
      </w:pPr>
      <w:r w:rsidRPr="00510A44">
        <w:rPr>
          <w:szCs w:val="24"/>
        </w:rPr>
        <w:t>После интубации трахеи лишь у 15% гематологических пациентов не обнаруживается повреждений в дыхательных путях. Геморрагический трахеобронхит, кровоизлияния в слизистую и мягкие ткани трахеи и бронхов являются наиболее частыми клиническими и морфологическими формами поражения трахеобронхиального дерева: кровоизлияния в слизистую трахеи и бронхов встречаются у 67% пациентов. Тяжесть геморрагического трахеобронхита определяется не столько общим геморрагическим синдромом, сколько выраженностью местного воспаления в трахеобронхиальном дереве. В этих условиях оптимальным способом присоединения респиратора к дыхательным путям пациента является ранняя трахеостомия, выполняемая в течение первых трех суток после перевода больного на ИВЛ.</w:t>
      </w:r>
    </w:p>
    <w:p w14:paraId="47315FB6" w14:textId="77777777" w:rsidR="00531C4D" w:rsidRPr="00510A44" w:rsidRDefault="00531C4D" w:rsidP="00510A44">
      <w:pPr>
        <w:ind w:firstLine="709"/>
        <w:rPr>
          <w:szCs w:val="24"/>
        </w:rPr>
      </w:pPr>
      <w:r w:rsidRPr="00510A44">
        <w:rPr>
          <w:szCs w:val="24"/>
        </w:rPr>
        <w:t xml:space="preserve">Трахеостомия — оптимальный метод обеспечения проходимости дыхательных путей при длительной ИВЛ. По сравнению с трансларингеальной интубацией она </w:t>
      </w:r>
      <w:r w:rsidRPr="00510A44">
        <w:rPr>
          <w:bCs/>
          <w:szCs w:val="24"/>
        </w:rPr>
        <w:t>лучше переносится больными</w:t>
      </w:r>
      <w:r w:rsidRPr="00510A44">
        <w:rPr>
          <w:szCs w:val="24"/>
        </w:rPr>
        <w:t>, позволяет уменьшить сопротивление дыхательных путей и объем мертвого пространства, облегчить туалет дыхательных путей, избежать травмы голосовых связок.</w:t>
      </w:r>
    </w:p>
    <w:p w14:paraId="4C31A85A" w14:textId="77777777" w:rsidR="00531C4D" w:rsidRPr="00510A44" w:rsidRDefault="00531C4D" w:rsidP="00510A44">
      <w:pPr>
        <w:ind w:firstLine="709"/>
        <w:rPr>
          <w:szCs w:val="24"/>
        </w:rPr>
      </w:pPr>
      <w:r w:rsidRPr="00510A44">
        <w:rPr>
          <w:szCs w:val="24"/>
        </w:rPr>
        <w:lastRenderedPageBreak/>
        <w:t>Обязательное условие респираторной терапии ОДН, особенно при наличии геморрагического синдрома — ежедневные санационные бронхоскопии.</w:t>
      </w:r>
    </w:p>
    <w:p w14:paraId="2814595E" w14:textId="77777777" w:rsidR="00531C4D" w:rsidRPr="00510A44" w:rsidRDefault="00531C4D" w:rsidP="00510A44">
      <w:pPr>
        <w:ind w:firstLine="709"/>
        <w:rPr>
          <w:szCs w:val="24"/>
        </w:rPr>
      </w:pPr>
    </w:p>
    <w:p w14:paraId="2FB5285E" w14:textId="77777777" w:rsidR="00531C4D" w:rsidRPr="00510A44" w:rsidRDefault="00531C4D" w:rsidP="00510A44">
      <w:pPr>
        <w:ind w:firstLine="709"/>
        <w:rPr>
          <w:szCs w:val="24"/>
        </w:rPr>
      </w:pPr>
      <w:r w:rsidRPr="00510A44">
        <w:rPr>
          <w:szCs w:val="24"/>
        </w:rPr>
        <w:t>Прогноз при ОДН гематологических пациентов зависит от характера поражения легких и выраженности нарушения их функции. Общая выживаемость больных с ОДН в палате интенсивной терапии составляет 51%, но она существенно различается в зависимости от выраженности ОДН и вида респираторной поддержки. Выживаемость пациентов, которым проводилась только оксигенотерапия, составляет 82%. Относительно высокая выживаемость (41%) достигнута среди пациентов, которым проводилась эффективная респираторная поддержка с помощью неинвазивной вентиляции легких. В то же время, несмотря на применение современных респираторов, пока не удалось добиться увеличения выживаемости пациентовх, которым проводилась ИВЛ (в настоящее время этот показатель не превышает 15%).</w:t>
      </w:r>
    </w:p>
    <w:p w14:paraId="53DA60FC" w14:textId="77777777" w:rsidR="00531C4D" w:rsidRPr="00510A44" w:rsidRDefault="00531C4D" w:rsidP="00510A44">
      <w:pPr>
        <w:ind w:firstLine="709"/>
        <w:rPr>
          <w:szCs w:val="24"/>
        </w:rPr>
      </w:pPr>
      <w:r w:rsidRPr="00510A44">
        <w:rPr>
          <w:szCs w:val="24"/>
        </w:rPr>
        <w:t xml:space="preserve">Помимо тяжести поражения легких неблагоприятными прогностическими факторами при ОДН у больных с гемобластозами являются: а) длительно сохраняющаяся нейтропения; б) поражение нескольких органов и систем; в) резистентность гемобластоза к химиотерапии; г) сочетание ОДН с септическим шоком, ОПН. </w:t>
      </w:r>
    </w:p>
    <w:p w14:paraId="7BC77E48" w14:textId="77777777" w:rsidR="00531C4D" w:rsidRPr="00C15639" w:rsidRDefault="00531C4D" w:rsidP="00531C4D">
      <w:pPr>
        <w:ind w:firstLine="709"/>
        <w:rPr>
          <w:szCs w:val="24"/>
        </w:rPr>
      </w:pPr>
      <w:r w:rsidRPr="00C15639">
        <w:rPr>
          <w:szCs w:val="24"/>
        </w:rPr>
        <w:t>Исход лечения ОДН во многом зависит от этиотропной терапии: при эмпирической терапии он будет хуже, чем при этиотропной, а выживаемость больных даже при одинаковых режимах ИВЛ будет отличаться в зависимости от поражения легких (бактериальные, вирусные и т. д.). Так, у гематологических пациентов смертность при ОДН установленной этиологии почти в два раза ниже, чем при ОДН невыясненной этиологии.</w:t>
      </w:r>
    </w:p>
    <w:p w14:paraId="2F448F16" w14:textId="77777777" w:rsidR="00531C4D" w:rsidRDefault="00531C4D" w:rsidP="00531C4D">
      <w:pPr>
        <w:ind w:firstLine="709"/>
        <w:rPr>
          <w:szCs w:val="24"/>
        </w:rPr>
      </w:pPr>
      <w:r w:rsidRPr="00C15639">
        <w:rPr>
          <w:szCs w:val="24"/>
        </w:rPr>
        <w:t>При интерстициальном легочном фиброзе и опухолевых поражениях легких прогноз чаще неблагоприятный, и значительно лучше — при пневмониях, ретиноидном и цитолитическом синдромах. Улучшить результаты интенсивной терапии при поражениях легких позволяют точная диагностика, переход от эмпирической к этиотропной терапии, перевод больного в палату интенсивной терапии, мониторинг сердечной, почечной и дыхательной функций, протезирование нарушенных функций органов и систем (ИВЛ, гемодиализ, инотропная терапия и т. д.) – рис.1.</w:t>
      </w:r>
    </w:p>
    <w:p w14:paraId="74320D70" w14:textId="77777777" w:rsidR="00531C4D" w:rsidRDefault="00531C4D" w:rsidP="00531C4D">
      <w:pPr>
        <w:ind w:firstLine="709"/>
        <w:rPr>
          <w:szCs w:val="24"/>
        </w:rPr>
        <w:sectPr w:rsidR="00531C4D" w:rsidSect="00531C4D">
          <w:type w:val="continuous"/>
          <w:pgSz w:w="11906" w:h="16838"/>
          <w:pgMar w:top="1134" w:right="850" w:bottom="1134" w:left="1701" w:header="708" w:footer="708" w:gutter="0"/>
          <w:cols w:space="708"/>
          <w:docGrid w:linePitch="360"/>
        </w:sectPr>
      </w:pPr>
    </w:p>
    <w:p w14:paraId="3F3A88B5" w14:textId="77777777" w:rsidR="00531C4D" w:rsidRPr="00C15639" w:rsidRDefault="00531C4D" w:rsidP="00531C4D">
      <w:pPr>
        <w:ind w:firstLine="709"/>
        <w:rPr>
          <w:szCs w:val="24"/>
        </w:rPr>
      </w:pPr>
    </w:p>
    <w:p w14:paraId="439B6DE2" w14:textId="77777777" w:rsidR="00531C4D" w:rsidRPr="00C15639" w:rsidRDefault="00531C4D" w:rsidP="00531C4D">
      <w:pPr>
        <w:pStyle w:val="afffff0"/>
        <w:spacing w:after="0"/>
        <w:rPr>
          <w:i w:val="0"/>
          <w:lang w:val="ru-RU"/>
        </w:rPr>
      </w:pPr>
    </w:p>
    <w:p w14:paraId="3CD340AF" w14:textId="77777777" w:rsidR="00531C4D" w:rsidRPr="00C15639" w:rsidRDefault="00531C4D" w:rsidP="00531C4D">
      <w:pPr>
        <w:rPr>
          <w:szCs w:val="24"/>
        </w:rPr>
      </w:pPr>
      <w:r w:rsidRPr="00C15639">
        <w:rPr>
          <w:bCs/>
          <w:szCs w:val="24"/>
        </w:rPr>
        <w:t>Рисунок 1.</w:t>
      </w:r>
      <w:r w:rsidRPr="00C15639">
        <w:rPr>
          <w:szCs w:val="24"/>
        </w:rPr>
        <w:t xml:space="preserve"> Протокол обследования больных с ОДН. </w:t>
      </w:r>
    </w:p>
    <w:p w14:paraId="0F653B4A" w14:textId="77777777" w:rsidR="00531C4D" w:rsidRPr="00C15639" w:rsidRDefault="00531C4D" w:rsidP="00531C4D">
      <w:pPr>
        <w:pStyle w:val="afffff0"/>
        <w:spacing w:after="0"/>
        <w:rPr>
          <w:i w:val="0"/>
          <w:lang w:val="ru-RU"/>
        </w:rPr>
      </w:pPr>
    </w:p>
    <w:tbl>
      <w:tblPr>
        <w:tblW w:w="20037" w:type="dxa"/>
        <w:tblInd w:w="-1" w:type="dxa"/>
        <w:tblLayout w:type="fixed"/>
        <w:tblCellMar>
          <w:left w:w="70" w:type="dxa"/>
          <w:right w:w="70" w:type="dxa"/>
        </w:tblCellMar>
        <w:tblLook w:val="0000" w:firstRow="0" w:lastRow="0" w:firstColumn="0" w:lastColumn="0" w:noHBand="0" w:noVBand="0"/>
      </w:tblPr>
      <w:tblGrid>
        <w:gridCol w:w="8"/>
        <w:gridCol w:w="496"/>
        <w:gridCol w:w="140"/>
        <w:gridCol w:w="134"/>
        <w:gridCol w:w="286"/>
        <w:gridCol w:w="120"/>
        <w:gridCol w:w="17"/>
        <w:gridCol w:w="146"/>
        <w:gridCol w:w="146"/>
        <w:gridCol w:w="134"/>
        <w:gridCol w:w="8"/>
        <w:gridCol w:w="141"/>
        <w:gridCol w:w="276"/>
        <w:gridCol w:w="429"/>
        <w:gridCol w:w="8"/>
        <w:gridCol w:w="130"/>
        <w:gridCol w:w="146"/>
        <w:gridCol w:w="279"/>
        <w:gridCol w:w="8"/>
        <w:gridCol w:w="134"/>
        <w:gridCol w:w="4"/>
        <w:gridCol w:w="138"/>
        <w:gridCol w:w="8"/>
        <w:gridCol w:w="191"/>
        <w:gridCol w:w="374"/>
        <w:gridCol w:w="272"/>
        <w:gridCol w:w="289"/>
        <w:gridCol w:w="410"/>
        <w:gridCol w:w="2"/>
        <w:gridCol w:w="22"/>
        <w:gridCol w:w="103"/>
        <w:gridCol w:w="144"/>
        <w:gridCol w:w="31"/>
        <w:gridCol w:w="124"/>
        <w:gridCol w:w="8"/>
        <w:gridCol w:w="94"/>
        <w:gridCol w:w="851"/>
        <w:gridCol w:w="57"/>
        <w:gridCol w:w="242"/>
        <w:gridCol w:w="171"/>
        <w:gridCol w:w="296"/>
        <w:gridCol w:w="284"/>
        <w:gridCol w:w="218"/>
        <w:gridCol w:w="12"/>
        <w:gridCol w:w="9"/>
        <w:gridCol w:w="14"/>
        <w:gridCol w:w="134"/>
        <w:gridCol w:w="108"/>
        <w:gridCol w:w="137"/>
        <w:gridCol w:w="23"/>
        <w:gridCol w:w="148"/>
        <w:gridCol w:w="32"/>
        <w:gridCol w:w="146"/>
        <w:gridCol w:w="89"/>
        <w:gridCol w:w="343"/>
        <w:gridCol w:w="2"/>
        <w:gridCol w:w="8"/>
        <w:gridCol w:w="78"/>
        <w:gridCol w:w="54"/>
        <w:gridCol w:w="252"/>
        <w:gridCol w:w="177"/>
        <w:gridCol w:w="56"/>
        <w:gridCol w:w="24"/>
        <w:gridCol w:w="62"/>
        <w:gridCol w:w="90"/>
        <w:gridCol w:w="34"/>
        <w:gridCol w:w="156"/>
        <w:gridCol w:w="113"/>
        <w:gridCol w:w="50"/>
        <w:gridCol w:w="52"/>
        <w:gridCol w:w="69"/>
        <w:gridCol w:w="170"/>
        <w:gridCol w:w="333"/>
        <w:gridCol w:w="34"/>
        <w:gridCol w:w="197"/>
        <w:gridCol w:w="24"/>
        <w:gridCol w:w="9"/>
        <w:gridCol w:w="16"/>
        <w:gridCol w:w="166"/>
        <w:gridCol w:w="26"/>
        <w:gridCol w:w="86"/>
        <w:gridCol w:w="289"/>
        <w:gridCol w:w="33"/>
        <w:gridCol w:w="170"/>
        <w:gridCol w:w="29"/>
        <w:gridCol w:w="134"/>
        <w:gridCol w:w="112"/>
        <w:gridCol w:w="99"/>
        <w:gridCol w:w="30"/>
        <w:gridCol w:w="30"/>
        <w:gridCol w:w="54"/>
        <w:gridCol w:w="107"/>
        <w:gridCol w:w="36"/>
        <w:gridCol w:w="5"/>
        <w:gridCol w:w="82"/>
        <w:gridCol w:w="34"/>
        <w:gridCol w:w="67"/>
        <w:gridCol w:w="18"/>
        <w:gridCol w:w="89"/>
        <w:gridCol w:w="132"/>
        <w:gridCol w:w="158"/>
        <w:gridCol w:w="141"/>
        <w:gridCol w:w="263"/>
        <w:gridCol w:w="178"/>
        <w:gridCol w:w="26"/>
        <w:gridCol w:w="84"/>
        <w:gridCol w:w="82"/>
        <w:gridCol w:w="64"/>
        <w:gridCol w:w="2"/>
        <w:gridCol w:w="116"/>
        <w:gridCol w:w="70"/>
        <w:gridCol w:w="102"/>
        <w:gridCol w:w="139"/>
        <w:gridCol w:w="152"/>
        <w:gridCol w:w="149"/>
        <w:gridCol w:w="438"/>
        <w:gridCol w:w="22"/>
        <w:gridCol w:w="84"/>
        <w:gridCol w:w="148"/>
        <w:gridCol w:w="1"/>
        <w:gridCol w:w="115"/>
        <w:gridCol w:w="73"/>
        <w:gridCol w:w="243"/>
        <w:gridCol w:w="217"/>
        <w:gridCol w:w="86"/>
        <w:gridCol w:w="435"/>
        <w:gridCol w:w="254"/>
        <w:gridCol w:w="188"/>
        <w:gridCol w:w="192"/>
        <w:gridCol w:w="53"/>
        <w:gridCol w:w="305"/>
        <w:gridCol w:w="432"/>
        <w:gridCol w:w="1000"/>
        <w:gridCol w:w="1423"/>
        <w:gridCol w:w="8"/>
      </w:tblGrid>
      <w:tr w:rsidR="00531C4D" w:rsidRPr="00C15639" w14:paraId="274639DD" w14:textId="77777777" w:rsidTr="00531C4D">
        <w:trPr>
          <w:gridBefore w:val="11"/>
          <w:gridAfter w:val="7"/>
          <w:wBefore w:w="1627" w:type="dxa"/>
          <w:wAfter w:w="3413" w:type="dxa"/>
        </w:trPr>
        <w:tc>
          <w:tcPr>
            <w:tcW w:w="7882" w:type="dxa"/>
            <w:gridSpan w:val="54"/>
            <w:tcBorders>
              <w:top w:val="single" w:sz="6" w:space="0" w:color="auto"/>
              <w:left w:val="single" w:sz="6" w:space="0" w:color="auto"/>
              <w:bottom w:val="single" w:sz="6" w:space="0" w:color="auto"/>
              <w:right w:val="single" w:sz="6" w:space="0" w:color="auto"/>
            </w:tcBorders>
          </w:tcPr>
          <w:p w14:paraId="39A044D3" w14:textId="77777777" w:rsidR="00531C4D" w:rsidRPr="00C15639" w:rsidRDefault="00531C4D" w:rsidP="00531C4D">
            <w:pPr>
              <w:pStyle w:val="1ff3"/>
              <w:spacing w:line="360" w:lineRule="auto"/>
              <w:jc w:val="center"/>
              <w:rPr>
                <w:sz w:val="24"/>
                <w:szCs w:val="24"/>
              </w:rPr>
            </w:pPr>
            <w:r w:rsidRPr="00C15639">
              <w:rPr>
                <w:sz w:val="24"/>
                <w:szCs w:val="24"/>
              </w:rPr>
              <w:t>Кашель, одышка, лихорадка, аускультативная картина</w:t>
            </w:r>
          </w:p>
        </w:tc>
        <w:tc>
          <w:tcPr>
            <w:tcW w:w="1423" w:type="dxa"/>
            <w:gridSpan w:val="14"/>
          </w:tcPr>
          <w:p w14:paraId="547D1C4E" w14:textId="77777777" w:rsidR="00531C4D" w:rsidRPr="00C15639" w:rsidRDefault="00531C4D" w:rsidP="00531C4D">
            <w:pPr>
              <w:rPr>
                <w:szCs w:val="24"/>
              </w:rPr>
            </w:pPr>
          </w:p>
        </w:tc>
        <w:tc>
          <w:tcPr>
            <w:tcW w:w="1423" w:type="dxa"/>
            <w:gridSpan w:val="18"/>
          </w:tcPr>
          <w:p w14:paraId="5EB3CB61" w14:textId="77777777" w:rsidR="00531C4D" w:rsidRPr="00C15639" w:rsidRDefault="00531C4D" w:rsidP="00531C4D">
            <w:pPr>
              <w:rPr>
                <w:szCs w:val="24"/>
              </w:rPr>
            </w:pPr>
          </w:p>
        </w:tc>
        <w:tc>
          <w:tcPr>
            <w:tcW w:w="1423" w:type="dxa"/>
            <w:gridSpan w:val="14"/>
          </w:tcPr>
          <w:p w14:paraId="328E296C" w14:textId="77777777" w:rsidR="00531C4D" w:rsidRPr="00C15639" w:rsidRDefault="00531C4D" w:rsidP="00531C4D">
            <w:pPr>
              <w:rPr>
                <w:szCs w:val="24"/>
              </w:rPr>
            </w:pPr>
          </w:p>
        </w:tc>
        <w:tc>
          <w:tcPr>
            <w:tcW w:w="1423" w:type="dxa"/>
            <w:gridSpan w:val="11"/>
          </w:tcPr>
          <w:p w14:paraId="12D7DE44" w14:textId="77777777" w:rsidR="00531C4D" w:rsidRPr="00C15639" w:rsidRDefault="00531C4D" w:rsidP="00531C4D">
            <w:pPr>
              <w:rPr>
                <w:szCs w:val="24"/>
              </w:rPr>
            </w:pPr>
          </w:p>
        </w:tc>
        <w:tc>
          <w:tcPr>
            <w:tcW w:w="1423" w:type="dxa"/>
            <w:gridSpan w:val="6"/>
          </w:tcPr>
          <w:p w14:paraId="7E769BDC" w14:textId="77777777" w:rsidR="00531C4D" w:rsidRPr="00C15639" w:rsidRDefault="00531C4D" w:rsidP="00531C4D">
            <w:pPr>
              <w:rPr>
                <w:szCs w:val="24"/>
              </w:rPr>
            </w:pPr>
          </w:p>
        </w:tc>
      </w:tr>
      <w:tr w:rsidR="00531C4D" w:rsidRPr="00C15639" w14:paraId="6B0F1D38" w14:textId="77777777" w:rsidTr="00531C4D">
        <w:trPr>
          <w:gridBefore w:val="1"/>
          <w:gridAfter w:val="59"/>
          <w:wAfter w:w="9296" w:type="dxa"/>
        </w:trPr>
        <w:tc>
          <w:tcPr>
            <w:tcW w:w="1485" w:type="dxa"/>
            <w:gridSpan w:val="8"/>
          </w:tcPr>
          <w:p w14:paraId="4C269F56" w14:textId="77777777" w:rsidR="00531C4D" w:rsidRPr="00C15639" w:rsidRDefault="00531C4D" w:rsidP="00531C4D">
            <w:pPr>
              <w:pStyle w:val="1ff3"/>
              <w:spacing w:line="360" w:lineRule="auto"/>
              <w:rPr>
                <w:sz w:val="24"/>
                <w:szCs w:val="24"/>
              </w:rPr>
            </w:pPr>
          </w:p>
        </w:tc>
        <w:tc>
          <w:tcPr>
            <w:tcW w:w="996" w:type="dxa"/>
            <w:gridSpan w:val="6"/>
          </w:tcPr>
          <w:p w14:paraId="00BB8E19" w14:textId="77777777" w:rsidR="00531C4D" w:rsidRPr="00C15639" w:rsidRDefault="00531C4D" w:rsidP="00531C4D">
            <w:pPr>
              <w:pStyle w:val="1ff3"/>
              <w:spacing w:line="360" w:lineRule="auto"/>
              <w:rPr>
                <w:sz w:val="24"/>
                <w:szCs w:val="24"/>
              </w:rPr>
            </w:pPr>
          </w:p>
        </w:tc>
        <w:tc>
          <w:tcPr>
            <w:tcW w:w="2809" w:type="dxa"/>
            <w:gridSpan w:val="19"/>
            <w:tcBorders>
              <w:right w:val="single" w:sz="6" w:space="0" w:color="auto"/>
            </w:tcBorders>
          </w:tcPr>
          <w:p w14:paraId="3646FF1E" w14:textId="77777777" w:rsidR="00531C4D" w:rsidRPr="00C15639" w:rsidRDefault="00531C4D" w:rsidP="00531C4D">
            <w:pPr>
              <w:pStyle w:val="1ff3"/>
              <w:spacing w:line="360" w:lineRule="auto"/>
              <w:jc w:val="center"/>
              <w:rPr>
                <w:sz w:val="24"/>
                <w:szCs w:val="24"/>
              </w:rPr>
            </w:pPr>
          </w:p>
        </w:tc>
        <w:tc>
          <w:tcPr>
            <w:tcW w:w="2635" w:type="dxa"/>
            <w:gridSpan w:val="15"/>
          </w:tcPr>
          <w:p w14:paraId="5CB5F7EA" w14:textId="77777777" w:rsidR="00531C4D" w:rsidRPr="00C15639" w:rsidRDefault="00531C4D" w:rsidP="00531C4D">
            <w:pPr>
              <w:pStyle w:val="1ff3"/>
              <w:spacing w:line="360" w:lineRule="auto"/>
              <w:jc w:val="center"/>
              <w:rPr>
                <w:sz w:val="24"/>
                <w:szCs w:val="24"/>
              </w:rPr>
            </w:pPr>
          </w:p>
        </w:tc>
        <w:tc>
          <w:tcPr>
            <w:tcW w:w="1408" w:type="dxa"/>
            <w:gridSpan w:val="13"/>
          </w:tcPr>
          <w:p w14:paraId="4BF4C564" w14:textId="77777777" w:rsidR="00531C4D" w:rsidRPr="00C15639" w:rsidRDefault="00531C4D" w:rsidP="00531C4D">
            <w:pPr>
              <w:rPr>
                <w:szCs w:val="24"/>
              </w:rPr>
            </w:pPr>
          </w:p>
        </w:tc>
        <w:tc>
          <w:tcPr>
            <w:tcW w:w="1408" w:type="dxa"/>
            <w:gridSpan w:val="14"/>
          </w:tcPr>
          <w:p w14:paraId="08457110" w14:textId="77777777" w:rsidR="00531C4D" w:rsidRPr="00C15639" w:rsidRDefault="00531C4D" w:rsidP="00531C4D">
            <w:pPr>
              <w:rPr>
                <w:szCs w:val="24"/>
              </w:rPr>
            </w:pPr>
          </w:p>
        </w:tc>
      </w:tr>
      <w:tr w:rsidR="00531C4D" w:rsidRPr="00C15639" w14:paraId="1BFCAEB1" w14:textId="77777777" w:rsidTr="00531C4D">
        <w:trPr>
          <w:gridBefore w:val="1"/>
          <w:gridAfter w:val="57"/>
          <w:wAfter w:w="9271" w:type="dxa"/>
        </w:trPr>
        <w:tc>
          <w:tcPr>
            <w:tcW w:w="1485" w:type="dxa"/>
            <w:gridSpan w:val="8"/>
          </w:tcPr>
          <w:p w14:paraId="3DE0E634" w14:textId="77777777" w:rsidR="00531C4D" w:rsidRPr="00C15639" w:rsidRDefault="00531C4D" w:rsidP="00531C4D">
            <w:pPr>
              <w:pStyle w:val="1ff3"/>
              <w:spacing w:line="360" w:lineRule="auto"/>
              <w:rPr>
                <w:sz w:val="24"/>
                <w:szCs w:val="24"/>
              </w:rPr>
            </w:pPr>
          </w:p>
        </w:tc>
        <w:tc>
          <w:tcPr>
            <w:tcW w:w="1559" w:type="dxa"/>
            <w:gridSpan w:val="10"/>
          </w:tcPr>
          <w:p w14:paraId="77EC3247" w14:textId="77777777" w:rsidR="00531C4D" w:rsidRPr="00C15639" w:rsidRDefault="00531C4D" w:rsidP="00531C4D">
            <w:pPr>
              <w:pStyle w:val="1ff3"/>
              <w:spacing w:line="360" w:lineRule="auto"/>
              <w:rPr>
                <w:sz w:val="24"/>
                <w:szCs w:val="24"/>
              </w:rPr>
            </w:pPr>
          </w:p>
        </w:tc>
        <w:tc>
          <w:tcPr>
            <w:tcW w:w="4744" w:type="dxa"/>
            <w:gridSpan w:val="29"/>
            <w:tcBorders>
              <w:top w:val="single" w:sz="6" w:space="0" w:color="auto"/>
              <w:left w:val="single" w:sz="6" w:space="0" w:color="auto"/>
              <w:bottom w:val="single" w:sz="6" w:space="0" w:color="auto"/>
              <w:right w:val="single" w:sz="6" w:space="0" w:color="auto"/>
            </w:tcBorders>
          </w:tcPr>
          <w:p w14:paraId="3B51C262" w14:textId="77777777" w:rsidR="00531C4D" w:rsidRPr="00C15639" w:rsidRDefault="00531C4D" w:rsidP="00531C4D">
            <w:pPr>
              <w:pStyle w:val="1ff3"/>
              <w:spacing w:line="360" w:lineRule="auto"/>
              <w:jc w:val="center"/>
              <w:rPr>
                <w:sz w:val="24"/>
                <w:szCs w:val="24"/>
              </w:rPr>
            </w:pPr>
            <w:r w:rsidRPr="00C15639">
              <w:rPr>
                <w:sz w:val="24"/>
                <w:szCs w:val="24"/>
              </w:rPr>
              <w:t>Исследование газов артериальной крови</w:t>
            </w:r>
          </w:p>
        </w:tc>
        <w:tc>
          <w:tcPr>
            <w:tcW w:w="160" w:type="dxa"/>
            <w:gridSpan w:val="2"/>
          </w:tcPr>
          <w:p w14:paraId="4A9AF55B" w14:textId="77777777" w:rsidR="00531C4D" w:rsidRPr="00C15639" w:rsidRDefault="00531C4D" w:rsidP="00531C4D">
            <w:pPr>
              <w:pStyle w:val="1ff3"/>
              <w:spacing w:line="360" w:lineRule="auto"/>
              <w:jc w:val="center"/>
              <w:rPr>
                <w:sz w:val="24"/>
                <w:szCs w:val="24"/>
              </w:rPr>
            </w:pPr>
          </w:p>
        </w:tc>
        <w:tc>
          <w:tcPr>
            <w:tcW w:w="1409" w:type="dxa"/>
            <w:gridSpan w:val="13"/>
          </w:tcPr>
          <w:p w14:paraId="35C37009" w14:textId="77777777" w:rsidR="00531C4D" w:rsidRPr="00C15639" w:rsidRDefault="00531C4D" w:rsidP="00531C4D">
            <w:pPr>
              <w:rPr>
                <w:szCs w:val="24"/>
              </w:rPr>
            </w:pPr>
          </w:p>
        </w:tc>
        <w:tc>
          <w:tcPr>
            <w:tcW w:w="1409" w:type="dxa"/>
            <w:gridSpan w:val="15"/>
          </w:tcPr>
          <w:p w14:paraId="25ADEA27" w14:textId="77777777" w:rsidR="00531C4D" w:rsidRPr="00C15639" w:rsidRDefault="00531C4D" w:rsidP="00531C4D">
            <w:pPr>
              <w:rPr>
                <w:szCs w:val="24"/>
              </w:rPr>
            </w:pPr>
          </w:p>
        </w:tc>
      </w:tr>
      <w:tr w:rsidR="00531C4D" w:rsidRPr="00C15639" w14:paraId="22DEA588" w14:textId="77777777" w:rsidTr="00531C4D">
        <w:trPr>
          <w:gridBefore w:val="1"/>
          <w:gridAfter w:val="59"/>
          <w:wAfter w:w="9296" w:type="dxa"/>
        </w:trPr>
        <w:tc>
          <w:tcPr>
            <w:tcW w:w="1485" w:type="dxa"/>
            <w:gridSpan w:val="8"/>
          </w:tcPr>
          <w:p w14:paraId="47C66B95" w14:textId="77777777" w:rsidR="00531C4D" w:rsidRPr="00C15639" w:rsidRDefault="00531C4D" w:rsidP="00531C4D">
            <w:pPr>
              <w:pStyle w:val="1ff3"/>
              <w:spacing w:line="360" w:lineRule="auto"/>
              <w:rPr>
                <w:sz w:val="24"/>
                <w:szCs w:val="24"/>
              </w:rPr>
            </w:pPr>
          </w:p>
        </w:tc>
        <w:tc>
          <w:tcPr>
            <w:tcW w:w="996" w:type="dxa"/>
            <w:gridSpan w:val="6"/>
          </w:tcPr>
          <w:p w14:paraId="2219FE36" w14:textId="77777777" w:rsidR="00531C4D" w:rsidRPr="00C15639" w:rsidRDefault="00531C4D" w:rsidP="00531C4D">
            <w:pPr>
              <w:pStyle w:val="1ff3"/>
              <w:spacing w:line="360" w:lineRule="auto"/>
              <w:rPr>
                <w:sz w:val="24"/>
                <w:szCs w:val="24"/>
              </w:rPr>
            </w:pPr>
          </w:p>
        </w:tc>
        <w:tc>
          <w:tcPr>
            <w:tcW w:w="2809" w:type="dxa"/>
            <w:gridSpan w:val="19"/>
            <w:tcBorders>
              <w:right w:val="single" w:sz="6" w:space="0" w:color="auto"/>
            </w:tcBorders>
          </w:tcPr>
          <w:p w14:paraId="5A3A113E" w14:textId="77777777" w:rsidR="00531C4D" w:rsidRPr="00C15639" w:rsidRDefault="00531C4D" w:rsidP="00531C4D">
            <w:pPr>
              <w:pStyle w:val="1ff3"/>
              <w:spacing w:line="360" w:lineRule="auto"/>
              <w:jc w:val="center"/>
              <w:rPr>
                <w:sz w:val="24"/>
                <w:szCs w:val="24"/>
              </w:rPr>
            </w:pPr>
          </w:p>
        </w:tc>
        <w:tc>
          <w:tcPr>
            <w:tcW w:w="2635" w:type="dxa"/>
            <w:gridSpan w:val="15"/>
          </w:tcPr>
          <w:p w14:paraId="00B45723" w14:textId="77777777" w:rsidR="00531C4D" w:rsidRPr="00C15639" w:rsidRDefault="00531C4D" w:rsidP="00531C4D">
            <w:pPr>
              <w:pStyle w:val="1ff3"/>
              <w:spacing w:line="360" w:lineRule="auto"/>
              <w:jc w:val="center"/>
              <w:rPr>
                <w:sz w:val="24"/>
                <w:szCs w:val="24"/>
              </w:rPr>
            </w:pPr>
          </w:p>
        </w:tc>
        <w:tc>
          <w:tcPr>
            <w:tcW w:w="1408" w:type="dxa"/>
            <w:gridSpan w:val="13"/>
          </w:tcPr>
          <w:p w14:paraId="217F8480" w14:textId="77777777" w:rsidR="00531C4D" w:rsidRPr="00C15639" w:rsidRDefault="00531C4D" w:rsidP="00531C4D">
            <w:pPr>
              <w:rPr>
                <w:szCs w:val="24"/>
              </w:rPr>
            </w:pPr>
          </w:p>
        </w:tc>
        <w:tc>
          <w:tcPr>
            <w:tcW w:w="1408" w:type="dxa"/>
            <w:gridSpan w:val="14"/>
          </w:tcPr>
          <w:p w14:paraId="340AF17A" w14:textId="77777777" w:rsidR="00531C4D" w:rsidRPr="00C15639" w:rsidRDefault="00531C4D" w:rsidP="00531C4D">
            <w:pPr>
              <w:rPr>
                <w:szCs w:val="24"/>
              </w:rPr>
            </w:pPr>
          </w:p>
        </w:tc>
      </w:tr>
      <w:tr w:rsidR="00531C4D" w:rsidRPr="00C15639" w14:paraId="29B451D6" w14:textId="77777777" w:rsidTr="00531C4D">
        <w:trPr>
          <w:gridBefore w:val="19"/>
          <w:gridAfter w:val="18"/>
          <w:wBefore w:w="3044" w:type="dxa"/>
          <w:wAfter w:w="5257" w:type="dxa"/>
          <w:cantSplit/>
        </w:trPr>
        <w:tc>
          <w:tcPr>
            <w:tcW w:w="4636" w:type="dxa"/>
            <w:gridSpan w:val="28"/>
            <w:tcBorders>
              <w:top w:val="single" w:sz="6" w:space="0" w:color="auto"/>
              <w:left w:val="single" w:sz="6" w:space="0" w:color="auto"/>
              <w:bottom w:val="single" w:sz="6" w:space="0" w:color="auto"/>
              <w:right w:val="single" w:sz="6" w:space="0" w:color="auto"/>
            </w:tcBorders>
          </w:tcPr>
          <w:p w14:paraId="52812A2F" w14:textId="77777777" w:rsidR="00531C4D" w:rsidRPr="00C15639" w:rsidRDefault="00531C4D" w:rsidP="00531C4D">
            <w:pPr>
              <w:pStyle w:val="1ff3"/>
              <w:spacing w:line="360" w:lineRule="auto"/>
              <w:jc w:val="center"/>
              <w:rPr>
                <w:sz w:val="24"/>
                <w:szCs w:val="24"/>
              </w:rPr>
            </w:pPr>
            <w:r w:rsidRPr="00C15639">
              <w:rPr>
                <w:sz w:val="24"/>
                <w:szCs w:val="24"/>
              </w:rPr>
              <w:t>Ультразвуковое исследование легких</w:t>
            </w:r>
          </w:p>
        </w:tc>
        <w:tc>
          <w:tcPr>
            <w:tcW w:w="1420" w:type="dxa"/>
            <w:gridSpan w:val="13"/>
          </w:tcPr>
          <w:p w14:paraId="403C321E" w14:textId="77777777" w:rsidR="00531C4D" w:rsidRPr="00C15639" w:rsidRDefault="00531C4D" w:rsidP="00531C4D">
            <w:pPr>
              <w:rPr>
                <w:szCs w:val="24"/>
              </w:rPr>
            </w:pPr>
          </w:p>
        </w:tc>
        <w:tc>
          <w:tcPr>
            <w:tcW w:w="1420" w:type="dxa"/>
            <w:gridSpan w:val="14"/>
          </w:tcPr>
          <w:p w14:paraId="605B6D62" w14:textId="77777777" w:rsidR="00531C4D" w:rsidRPr="00C15639" w:rsidRDefault="00531C4D" w:rsidP="00531C4D">
            <w:pPr>
              <w:rPr>
                <w:szCs w:val="24"/>
              </w:rPr>
            </w:pPr>
          </w:p>
        </w:tc>
        <w:tc>
          <w:tcPr>
            <w:tcW w:w="1420" w:type="dxa"/>
            <w:gridSpan w:val="15"/>
          </w:tcPr>
          <w:p w14:paraId="2E802331" w14:textId="77777777" w:rsidR="00531C4D" w:rsidRPr="00C15639" w:rsidRDefault="00531C4D" w:rsidP="00531C4D">
            <w:pPr>
              <w:rPr>
                <w:szCs w:val="24"/>
              </w:rPr>
            </w:pPr>
          </w:p>
        </w:tc>
        <w:tc>
          <w:tcPr>
            <w:tcW w:w="1420" w:type="dxa"/>
            <w:gridSpan w:val="16"/>
          </w:tcPr>
          <w:p w14:paraId="04D2D96F" w14:textId="77777777" w:rsidR="00531C4D" w:rsidRPr="00C15639" w:rsidRDefault="00531C4D" w:rsidP="00531C4D">
            <w:pPr>
              <w:rPr>
                <w:szCs w:val="24"/>
              </w:rPr>
            </w:pPr>
          </w:p>
        </w:tc>
        <w:tc>
          <w:tcPr>
            <w:tcW w:w="1420" w:type="dxa"/>
            <w:gridSpan w:val="12"/>
          </w:tcPr>
          <w:p w14:paraId="27EC2781" w14:textId="77777777" w:rsidR="00531C4D" w:rsidRPr="00C15639" w:rsidRDefault="00531C4D" w:rsidP="00531C4D">
            <w:pPr>
              <w:rPr>
                <w:szCs w:val="24"/>
              </w:rPr>
            </w:pPr>
          </w:p>
        </w:tc>
      </w:tr>
      <w:tr w:rsidR="00531C4D" w:rsidRPr="00C15639" w14:paraId="554E3830" w14:textId="77777777" w:rsidTr="00531C4D">
        <w:trPr>
          <w:gridBefore w:val="3"/>
          <w:gridAfter w:val="37"/>
          <w:wBefore w:w="636" w:type="dxa"/>
          <w:wAfter w:w="7664" w:type="dxa"/>
          <w:cantSplit/>
        </w:trPr>
        <w:tc>
          <w:tcPr>
            <w:tcW w:w="4662" w:type="dxa"/>
            <w:gridSpan w:val="32"/>
            <w:tcBorders>
              <w:bottom w:val="single" w:sz="6" w:space="0" w:color="auto"/>
              <w:right w:val="single" w:sz="6" w:space="0" w:color="auto"/>
            </w:tcBorders>
          </w:tcPr>
          <w:p w14:paraId="05B44DA5" w14:textId="77777777" w:rsidR="00531C4D" w:rsidRPr="00C15639" w:rsidRDefault="00531C4D" w:rsidP="00531C4D">
            <w:pPr>
              <w:pStyle w:val="1ff3"/>
              <w:spacing w:line="360" w:lineRule="auto"/>
              <w:jc w:val="center"/>
              <w:rPr>
                <w:sz w:val="24"/>
                <w:szCs w:val="24"/>
              </w:rPr>
            </w:pPr>
          </w:p>
        </w:tc>
        <w:tc>
          <w:tcPr>
            <w:tcW w:w="1415" w:type="dxa"/>
            <w:gridSpan w:val="5"/>
          </w:tcPr>
          <w:p w14:paraId="711370AE" w14:textId="77777777" w:rsidR="00531C4D" w:rsidRPr="00C15639" w:rsidRDefault="00531C4D" w:rsidP="00531C4D">
            <w:pPr>
              <w:rPr>
                <w:szCs w:val="24"/>
              </w:rPr>
            </w:pPr>
          </w:p>
        </w:tc>
        <w:tc>
          <w:tcPr>
            <w:tcW w:w="1415" w:type="dxa"/>
            <w:gridSpan w:val="12"/>
          </w:tcPr>
          <w:p w14:paraId="11D6B6D4" w14:textId="77777777" w:rsidR="00531C4D" w:rsidRPr="00C15639" w:rsidRDefault="00531C4D" w:rsidP="00531C4D">
            <w:pPr>
              <w:rPr>
                <w:szCs w:val="24"/>
              </w:rPr>
            </w:pPr>
          </w:p>
        </w:tc>
        <w:tc>
          <w:tcPr>
            <w:tcW w:w="1415" w:type="dxa"/>
            <w:gridSpan w:val="14"/>
          </w:tcPr>
          <w:p w14:paraId="7530A0FA" w14:textId="77777777" w:rsidR="00531C4D" w:rsidRPr="00C15639" w:rsidRDefault="00531C4D" w:rsidP="00531C4D">
            <w:pPr>
              <w:rPr>
                <w:szCs w:val="24"/>
              </w:rPr>
            </w:pPr>
          </w:p>
        </w:tc>
        <w:tc>
          <w:tcPr>
            <w:tcW w:w="1415" w:type="dxa"/>
            <w:gridSpan w:val="14"/>
          </w:tcPr>
          <w:p w14:paraId="659C9F56" w14:textId="77777777" w:rsidR="00531C4D" w:rsidRPr="00C15639" w:rsidRDefault="00531C4D" w:rsidP="00531C4D">
            <w:pPr>
              <w:rPr>
                <w:szCs w:val="24"/>
              </w:rPr>
            </w:pPr>
          </w:p>
        </w:tc>
        <w:tc>
          <w:tcPr>
            <w:tcW w:w="1415" w:type="dxa"/>
            <w:gridSpan w:val="18"/>
          </w:tcPr>
          <w:p w14:paraId="4499A4A5" w14:textId="77777777" w:rsidR="00531C4D" w:rsidRPr="00C15639" w:rsidRDefault="00531C4D" w:rsidP="00531C4D">
            <w:pPr>
              <w:rPr>
                <w:szCs w:val="24"/>
              </w:rPr>
            </w:pPr>
          </w:p>
        </w:tc>
      </w:tr>
      <w:tr w:rsidR="00531C4D" w:rsidRPr="00C15639" w14:paraId="1D5B26FE" w14:textId="77777777" w:rsidTr="00531C4D">
        <w:trPr>
          <w:gridBefore w:val="2"/>
          <w:wBefore w:w="496" w:type="dxa"/>
          <w:cantSplit/>
        </w:trPr>
        <w:tc>
          <w:tcPr>
            <w:tcW w:w="12397" w:type="dxa"/>
            <w:gridSpan w:val="100"/>
            <w:tcBorders>
              <w:top w:val="single" w:sz="6" w:space="0" w:color="auto"/>
              <w:left w:val="single" w:sz="6" w:space="0" w:color="auto"/>
              <w:bottom w:val="single" w:sz="6" w:space="0" w:color="auto"/>
              <w:right w:val="single" w:sz="6" w:space="0" w:color="auto"/>
            </w:tcBorders>
          </w:tcPr>
          <w:p w14:paraId="34CE7902" w14:textId="77777777" w:rsidR="00531C4D" w:rsidRPr="00C15639" w:rsidRDefault="00531C4D" w:rsidP="00531C4D">
            <w:pPr>
              <w:pStyle w:val="1ff3"/>
              <w:spacing w:line="360" w:lineRule="auto"/>
              <w:jc w:val="center"/>
              <w:rPr>
                <w:sz w:val="24"/>
                <w:szCs w:val="24"/>
              </w:rPr>
            </w:pPr>
            <w:r w:rsidRPr="00C15639">
              <w:rPr>
                <w:sz w:val="24"/>
                <w:szCs w:val="24"/>
              </w:rPr>
              <w:t>СКТ легких - желательна у всех больных. Абсолютные показания - наличие полостей, подозрение на поражение легких ЦМВ, пневмоцистами, грибами, опухолевыми клетками. При ОДН СКТ выполняется у всех больных</w:t>
            </w:r>
          </w:p>
        </w:tc>
        <w:tc>
          <w:tcPr>
            <w:tcW w:w="1427" w:type="dxa"/>
            <w:gridSpan w:val="13"/>
          </w:tcPr>
          <w:p w14:paraId="700506F5" w14:textId="77777777" w:rsidR="00531C4D" w:rsidRPr="00C15639" w:rsidRDefault="00531C4D" w:rsidP="00531C4D">
            <w:pPr>
              <w:rPr>
                <w:szCs w:val="24"/>
              </w:rPr>
            </w:pPr>
          </w:p>
        </w:tc>
        <w:tc>
          <w:tcPr>
            <w:tcW w:w="1427" w:type="dxa"/>
            <w:gridSpan w:val="10"/>
          </w:tcPr>
          <w:p w14:paraId="0BE8DEEA" w14:textId="77777777" w:rsidR="00531C4D" w:rsidRPr="00C15639" w:rsidRDefault="00531C4D" w:rsidP="00531C4D">
            <w:pPr>
              <w:rPr>
                <w:szCs w:val="24"/>
              </w:rPr>
            </w:pPr>
          </w:p>
        </w:tc>
        <w:tc>
          <w:tcPr>
            <w:tcW w:w="1427" w:type="dxa"/>
            <w:gridSpan w:val="6"/>
          </w:tcPr>
          <w:p w14:paraId="7FBC7EDC" w14:textId="77777777" w:rsidR="00531C4D" w:rsidRPr="00C15639" w:rsidRDefault="00531C4D" w:rsidP="00531C4D">
            <w:pPr>
              <w:rPr>
                <w:szCs w:val="24"/>
              </w:rPr>
            </w:pPr>
          </w:p>
        </w:tc>
        <w:tc>
          <w:tcPr>
            <w:tcW w:w="1432" w:type="dxa"/>
            <w:gridSpan w:val="2"/>
          </w:tcPr>
          <w:p w14:paraId="7D5BC58A" w14:textId="77777777" w:rsidR="00531C4D" w:rsidRPr="00C15639" w:rsidRDefault="00531C4D" w:rsidP="00531C4D">
            <w:pPr>
              <w:rPr>
                <w:szCs w:val="24"/>
              </w:rPr>
            </w:pPr>
          </w:p>
        </w:tc>
        <w:tc>
          <w:tcPr>
            <w:tcW w:w="1431" w:type="dxa"/>
            <w:gridSpan w:val="2"/>
          </w:tcPr>
          <w:p w14:paraId="44B636A5" w14:textId="77777777" w:rsidR="00531C4D" w:rsidRPr="00C15639" w:rsidRDefault="00531C4D" w:rsidP="00531C4D">
            <w:pPr>
              <w:rPr>
                <w:szCs w:val="24"/>
              </w:rPr>
            </w:pPr>
          </w:p>
        </w:tc>
      </w:tr>
      <w:tr w:rsidR="00531C4D" w:rsidRPr="00C15639" w14:paraId="19FC75A1" w14:textId="77777777" w:rsidTr="00531C4D">
        <w:trPr>
          <w:gridBefore w:val="2"/>
          <w:gridAfter w:val="21"/>
          <w:wBefore w:w="496" w:type="dxa"/>
          <w:wAfter w:w="5866" w:type="dxa"/>
          <w:cantSplit/>
          <w:trHeight w:val="240"/>
        </w:trPr>
        <w:tc>
          <w:tcPr>
            <w:tcW w:w="2832" w:type="dxa"/>
            <w:gridSpan w:val="21"/>
            <w:tcBorders>
              <w:right w:val="single" w:sz="6" w:space="0" w:color="auto"/>
            </w:tcBorders>
          </w:tcPr>
          <w:p w14:paraId="4CF3A9F3" w14:textId="77777777" w:rsidR="00531C4D" w:rsidRPr="00C15639" w:rsidRDefault="00531C4D" w:rsidP="00531C4D">
            <w:pPr>
              <w:pStyle w:val="1ff3"/>
              <w:spacing w:line="360" w:lineRule="auto"/>
              <w:jc w:val="center"/>
              <w:rPr>
                <w:sz w:val="24"/>
                <w:szCs w:val="24"/>
              </w:rPr>
            </w:pPr>
          </w:p>
        </w:tc>
        <w:tc>
          <w:tcPr>
            <w:tcW w:w="5466" w:type="dxa"/>
            <w:gridSpan w:val="35"/>
            <w:tcBorders>
              <w:left w:val="nil"/>
              <w:right w:val="single" w:sz="6" w:space="0" w:color="auto"/>
            </w:tcBorders>
          </w:tcPr>
          <w:p w14:paraId="3ACBBAA6" w14:textId="77777777" w:rsidR="00531C4D" w:rsidRPr="00C15639" w:rsidRDefault="00531C4D" w:rsidP="00531C4D">
            <w:pPr>
              <w:pStyle w:val="1ff3"/>
              <w:spacing w:line="360" w:lineRule="auto"/>
              <w:rPr>
                <w:sz w:val="24"/>
                <w:szCs w:val="24"/>
              </w:rPr>
            </w:pPr>
          </w:p>
        </w:tc>
        <w:tc>
          <w:tcPr>
            <w:tcW w:w="1120" w:type="dxa"/>
            <w:gridSpan w:val="12"/>
            <w:tcBorders>
              <w:top w:val="single" w:sz="6" w:space="0" w:color="auto"/>
              <w:left w:val="nil"/>
            </w:tcBorders>
          </w:tcPr>
          <w:p w14:paraId="34C4574F" w14:textId="77777777" w:rsidR="00531C4D" w:rsidRPr="00C15639" w:rsidRDefault="00531C4D" w:rsidP="00531C4D">
            <w:pPr>
              <w:pStyle w:val="1ff3"/>
              <w:spacing w:line="360" w:lineRule="auto"/>
              <w:jc w:val="center"/>
              <w:rPr>
                <w:sz w:val="24"/>
                <w:szCs w:val="24"/>
              </w:rPr>
            </w:pPr>
          </w:p>
        </w:tc>
        <w:tc>
          <w:tcPr>
            <w:tcW w:w="1419" w:type="dxa"/>
            <w:gridSpan w:val="12"/>
          </w:tcPr>
          <w:p w14:paraId="6B5645D7" w14:textId="77777777" w:rsidR="00531C4D" w:rsidRPr="00C15639" w:rsidRDefault="00531C4D" w:rsidP="00531C4D">
            <w:pPr>
              <w:rPr>
                <w:szCs w:val="24"/>
              </w:rPr>
            </w:pPr>
          </w:p>
        </w:tc>
        <w:tc>
          <w:tcPr>
            <w:tcW w:w="1419" w:type="dxa"/>
            <w:gridSpan w:val="19"/>
          </w:tcPr>
          <w:p w14:paraId="67C248A2" w14:textId="77777777" w:rsidR="00531C4D" w:rsidRPr="00C15639" w:rsidRDefault="00531C4D" w:rsidP="00531C4D">
            <w:pPr>
              <w:rPr>
                <w:szCs w:val="24"/>
              </w:rPr>
            </w:pPr>
          </w:p>
        </w:tc>
        <w:tc>
          <w:tcPr>
            <w:tcW w:w="1419" w:type="dxa"/>
            <w:gridSpan w:val="13"/>
          </w:tcPr>
          <w:p w14:paraId="23694EB0" w14:textId="77777777" w:rsidR="00531C4D" w:rsidRPr="00C15639" w:rsidRDefault="00531C4D" w:rsidP="00531C4D">
            <w:pPr>
              <w:rPr>
                <w:szCs w:val="24"/>
              </w:rPr>
            </w:pPr>
          </w:p>
        </w:tc>
      </w:tr>
      <w:tr w:rsidR="00531C4D" w:rsidRPr="00C15639" w14:paraId="36B7574B" w14:textId="77777777" w:rsidTr="00531C4D">
        <w:trPr>
          <w:gridBefore w:val="3"/>
          <w:gridAfter w:val="8"/>
          <w:wBefore w:w="636" w:type="dxa"/>
          <w:wAfter w:w="3601" w:type="dxa"/>
          <w:cantSplit/>
        </w:trPr>
        <w:tc>
          <w:tcPr>
            <w:tcW w:w="4530" w:type="dxa"/>
            <w:gridSpan w:val="30"/>
            <w:tcBorders>
              <w:top w:val="single" w:sz="6" w:space="0" w:color="auto"/>
              <w:left w:val="single" w:sz="6" w:space="0" w:color="auto"/>
              <w:bottom w:val="single" w:sz="6" w:space="0" w:color="auto"/>
              <w:right w:val="single" w:sz="6" w:space="0" w:color="auto"/>
            </w:tcBorders>
          </w:tcPr>
          <w:p w14:paraId="0539641A" w14:textId="77777777" w:rsidR="00531C4D" w:rsidRPr="00C15639" w:rsidRDefault="00531C4D" w:rsidP="00531C4D">
            <w:pPr>
              <w:pStyle w:val="1ff3"/>
              <w:spacing w:line="360" w:lineRule="auto"/>
              <w:jc w:val="center"/>
              <w:rPr>
                <w:sz w:val="24"/>
                <w:szCs w:val="24"/>
              </w:rPr>
            </w:pPr>
            <w:r w:rsidRPr="00C15639">
              <w:rPr>
                <w:sz w:val="24"/>
                <w:szCs w:val="24"/>
              </w:rPr>
              <w:t>Диффузные изменения в легких</w:t>
            </w:r>
          </w:p>
        </w:tc>
        <w:tc>
          <w:tcPr>
            <w:tcW w:w="2380" w:type="dxa"/>
            <w:gridSpan w:val="13"/>
            <w:tcBorders>
              <w:left w:val="nil"/>
              <w:right w:val="single" w:sz="6" w:space="0" w:color="auto"/>
            </w:tcBorders>
          </w:tcPr>
          <w:p w14:paraId="05C1FF48" w14:textId="77777777" w:rsidR="00531C4D" w:rsidRPr="00C15639" w:rsidRDefault="00531C4D" w:rsidP="00531C4D">
            <w:pPr>
              <w:pStyle w:val="1ff3"/>
              <w:spacing w:line="360" w:lineRule="auto"/>
              <w:rPr>
                <w:sz w:val="24"/>
                <w:szCs w:val="24"/>
              </w:rPr>
            </w:pPr>
          </w:p>
        </w:tc>
        <w:tc>
          <w:tcPr>
            <w:tcW w:w="4621" w:type="dxa"/>
            <w:gridSpan w:val="47"/>
            <w:tcBorders>
              <w:top w:val="single" w:sz="6" w:space="0" w:color="auto"/>
              <w:left w:val="nil"/>
              <w:bottom w:val="single" w:sz="6" w:space="0" w:color="auto"/>
              <w:right w:val="single" w:sz="6" w:space="0" w:color="auto"/>
            </w:tcBorders>
          </w:tcPr>
          <w:p w14:paraId="7E6B2BB8" w14:textId="77777777" w:rsidR="00531C4D" w:rsidRPr="00C15639" w:rsidRDefault="00531C4D" w:rsidP="00531C4D">
            <w:pPr>
              <w:pStyle w:val="1ff3"/>
              <w:spacing w:line="360" w:lineRule="auto"/>
              <w:jc w:val="center"/>
              <w:rPr>
                <w:sz w:val="24"/>
                <w:szCs w:val="24"/>
              </w:rPr>
            </w:pPr>
            <w:r w:rsidRPr="00C15639">
              <w:rPr>
                <w:sz w:val="24"/>
                <w:szCs w:val="24"/>
              </w:rPr>
              <w:t>Очаговые изменения в легких</w:t>
            </w:r>
          </w:p>
        </w:tc>
        <w:tc>
          <w:tcPr>
            <w:tcW w:w="1423" w:type="dxa"/>
            <w:gridSpan w:val="15"/>
          </w:tcPr>
          <w:p w14:paraId="70792561" w14:textId="77777777" w:rsidR="00531C4D" w:rsidRPr="00C15639" w:rsidRDefault="00531C4D" w:rsidP="00531C4D">
            <w:pPr>
              <w:rPr>
                <w:szCs w:val="24"/>
              </w:rPr>
            </w:pPr>
          </w:p>
        </w:tc>
        <w:tc>
          <w:tcPr>
            <w:tcW w:w="1423" w:type="dxa"/>
            <w:gridSpan w:val="12"/>
          </w:tcPr>
          <w:p w14:paraId="729BFE09" w14:textId="77777777" w:rsidR="00531C4D" w:rsidRPr="00C15639" w:rsidRDefault="00531C4D" w:rsidP="00531C4D">
            <w:pPr>
              <w:rPr>
                <w:szCs w:val="24"/>
              </w:rPr>
            </w:pPr>
          </w:p>
        </w:tc>
        <w:tc>
          <w:tcPr>
            <w:tcW w:w="1423" w:type="dxa"/>
            <w:gridSpan w:val="7"/>
          </w:tcPr>
          <w:p w14:paraId="656D8C97" w14:textId="77777777" w:rsidR="00531C4D" w:rsidRPr="00C15639" w:rsidRDefault="00531C4D" w:rsidP="00531C4D">
            <w:pPr>
              <w:rPr>
                <w:szCs w:val="24"/>
              </w:rPr>
            </w:pPr>
          </w:p>
        </w:tc>
      </w:tr>
      <w:tr w:rsidR="00531C4D" w:rsidRPr="00C15639" w14:paraId="1E389F65" w14:textId="77777777" w:rsidTr="00531C4D">
        <w:trPr>
          <w:gridBefore w:val="19"/>
          <w:gridAfter w:val="21"/>
          <w:wBefore w:w="3044" w:type="dxa"/>
          <w:wAfter w:w="5866" w:type="dxa"/>
          <w:cantSplit/>
          <w:trHeight w:hRule="exact" w:val="240"/>
        </w:trPr>
        <w:tc>
          <w:tcPr>
            <w:tcW w:w="2348" w:type="dxa"/>
            <w:gridSpan w:val="17"/>
            <w:tcBorders>
              <w:left w:val="single" w:sz="6" w:space="0" w:color="auto"/>
            </w:tcBorders>
          </w:tcPr>
          <w:p w14:paraId="329CBB4D" w14:textId="77777777" w:rsidR="00531C4D" w:rsidRPr="00C15639" w:rsidRDefault="00531C4D" w:rsidP="00531C4D">
            <w:pPr>
              <w:pStyle w:val="1ff3"/>
              <w:spacing w:line="360" w:lineRule="auto"/>
              <w:jc w:val="center"/>
              <w:rPr>
                <w:sz w:val="24"/>
                <w:szCs w:val="24"/>
              </w:rPr>
            </w:pPr>
          </w:p>
        </w:tc>
        <w:tc>
          <w:tcPr>
            <w:tcW w:w="3324" w:type="dxa"/>
            <w:gridSpan w:val="21"/>
            <w:tcBorders>
              <w:left w:val="nil"/>
              <w:right w:val="single" w:sz="6" w:space="0" w:color="auto"/>
            </w:tcBorders>
          </w:tcPr>
          <w:p w14:paraId="41CA57C2" w14:textId="77777777" w:rsidR="00531C4D" w:rsidRPr="00C15639" w:rsidRDefault="00531C4D" w:rsidP="00531C4D">
            <w:pPr>
              <w:pStyle w:val="1ff3"/>
              <w:spacing w:line="360" w:lineRule="auto"/>
              <w:rPr>
                <w:sz w:val="24"/>
                <w:szCs w:val="24"/>
              </w:rPr>
            </w:pPr>
          </w:p>
        </w:tc>
        <w:tc>
          <w:tcPr>
            <w:tcW w:w="1198" w:type="dxa"/>
            <w:gridSpan w:val="13"/>
            <w:tcBorders>
              <w:left w:val="nil"/>
            </w:tcBorders>
          </w:tcPr>
          <w:p w14:paraId="0A957EB4" w14:textId="77777777" w:rsidR="00531C4D" w:rsidRPr="00C15639" w:rsidRDefault="00531C4D" w:rsidP="00531C4D">
            <w:pPr>
              <w:pStyle w:val="1ff3"/>
              <w:spacing w:line="360" w:lineRule="auto"/>
              <w:jc w:val="center"/>
              <w:rPr>
                <w:sz w:val="24"/>
                <w:szCs w:val="24"/>
              </w:rPr>
            </w:pPr>
          </w:p>
        </w:tc>
        <w:tc>
          <w:tcPr>
            <w:tcW w:w="1419" w:type="dxa"/>
            <w:gridSpan w:val="12"/>
          </w:tcPr>
          <w:p w14:paraId="242A6EF9" w14:textId="77777777" w:rsidR="00531C4D" w:rsidRPr="00C15639" w:rsidRDefault="00531C4D" w:rsidP="00531C4D">
            <w:pPr>
              <w:rPr>
                <w:szCs w:val="24"/>
              </w:rPr>
            </w:pPr>
          </w:p>
        </w:tc>
        <w:tc>
          <w:tcPr>
            <w:tcW w:w="1419" w:type="dxa"/>
            <w:gridSpan w:val="19"/>
          </w:tcPr>
          <w:p w14:paraId="0AF0070C" w14:textId="77777777" w:rsidR="00531C4D" w:rsidRPr="00C15639" w:rsidRDefault="00531C4D" w:rsidP="00531C4D">
            <w:pPr>
              <w:rPr>
                <w:szCs w:val="24"/>
              </w:rPr>
            </w:pPr>
          </w:p>
        </w:tc>
        <w:tc>
          <w:tcPr>
            <w:tcW w:w="1419" w:type="dxa"/>
            <w:gridSpan w:val="13"/>
          </w:tcPr>
          <w:p w14:paraId="354B20DD" w14:textId="77777777" w:rsidR="00531C4D" w:rsidRPr="00C15639" w:rsidRDefault="00531C4D" w:rsidP="00531C4D">
            <w:pPr>
              <w:rPr>
                <w:szCs w:val="24"/>
              </w:rPr>
            </w:pPr>
          </w:p>
        </w:tc>
      </w:tr>
      <w:tr w:rsidR="00531C4D" w:rsidRPr="00C15639" w14:paraId="79B8BC4F" w14:textId="77777777" w:rsidTr="00531C4D">
        <w:trPr>
          <w:gridBefore w:val="3"/>
          <w:gridAfter w:val="21"/>
          <w:wBefore w:w="636" w:type="dxa"/>
          <w:wAfter w:w="5866" w:type="dxa"/>
          <w:cantSplit/>
        </w:trPr>
        <w:tc>
          <w:tcPr>
            <w:tcW w:w="7460" w:type="dxa"/>
            <w:gridSpan w:val="48"/>
            <w:tcBorders>
              <w:top w:val="single" w:sz="6" w:space="0" w:color="auto"/>
              <w:left w:val="single" w:sz="6" w:space="0" w:color="auto"/>
              <w:bottom w:val="single" w:sz="6" w:space="0" w:color="auto"/>
              <w:right w:val="single" w:sz="6" w:space="0" w:color="auto"/>
            </w:tcBorders>
          </w:tcPr>
          <w:p w14:paraId="7D47A8C0" w14:textId="77777777" w:rsidR="00531C4D" w:rsidRPr="00C15639" w:rsidRDefault="00531C4D" w:rsidP="00531C4D">
            <w:pPr>
              <w:pStyle w:val="1ff3"/>
              <w:spacing w:line="360" w:lineRule="auto"/>
              <w:jc w:val="center"/>
              <w:rPr>
                <w:sz w:val="24"/>
                <w:szCs w:val="24"/>
              </w:rPr>
            </w:pPr>
            <w:r w:rsidRPr="00C15639">
              <w:rPr>
                <w:sz w:val="24"/>
                <w:szCs w:val="24"/>
              </w:rPr>
              <w:t>Исключить сердечную недостаточность, при показаниях - диуретики</w:t>
            </w:r>
          </w:p>
        </w:tc>
        <w:tc>
          <w:tcPr>
            <w:tcW w:w="620" w:type="dxa"/>
            <w:gridSpan w:val="6"/>
            <w:tcBorders>
              <w:left w:val="nil"/>
              <w:right w:val="single" w:sz="6" w:space="0" w:color="auto"/>
            </w:tcBorders>
          </w:tcPr>
          <w:p w14:paraId="4121BD65" w14:textId="77777777" w:rsidR="00531C4D" w:rsidRPr="00C15639" w:rsidRDefault="00531C4D" w:rsidP="00531C4D">
            <w:pPr>
              <w:pStyle w:val="1ff3"/>
              <w:spacing w:line="360" w:lineRule="auto"/>
              <w:rPr>
                <w:sz w:val="24"/>
                <w:szCs w:val="24"/>
              </w:rPr>
            </w:pPr>
          </w:p>
        </w:tc>
        <w:tc>
          <w:tcPr>
            <w:tcW w:w="1198" w:type="dxa"/>
            <w:gridSpan w:val="13"/>
            <w:tcBorders>
              <w:left w:val="nil"/>
            </w:tcBorders>
          </w:tcPr>
          <w:p w14:paraId="466B980B" w14:textId="77777777" w:rsidR="00531C4D" w:rsidRPr="00C15639" w:rsidRDefault="00531C4D" w:rsidP="00531C4D">
            <w:pPr>
              <w:pStyle w:val="1ff3"/>
              <w:spacing w:line="360" w:lineRule="auto"/>
              <w:jc w:val="center"/>
              <w:rPr>
                <w:sz w:val="24"/>
                <w:szCs w:val="24"/>
              </w:rPr>
            </w:pPr>
          </w:p>
        </w:tc>
        <w:tc>
          <w:tcPr>
            <w:tcW w:w="1419" w:type="dxa"/>
            <w:gridSpan w:val="12"/>
          </w:tcPr>
          <w:p w14:paraId="28B4BB5C" w14:textId="77777777" w:rsidR="00531C4D" w:rsidRPr="00C15639" w:rsidRDefault="00531C4D" w:rsidP="00531C4D">
            <w:pPr>
              <w:rPr>
                <w:szCs w:val="24"/>
              </w:rPr>
            </w:pPr>
          </w:p>
        </w:tc>
        <w:tc>
          <w:tcPr>
            <w:tcW w:w="1419" w:type="dxa"/>
            <w:gridSpan w:val="19"/>
          </w:tcPr>
          <w:p w14:paraId="38847856" w14:textId="77777777" w:rsidR="00531C4D" w:rsidRPr="00C15639" w:rsidRDefault="00531C4D" w:rsidP="00531C4D">
            <w:pPr>
              <w:rPr>
                <w:szCs w:val="24"/>
              </w:rPr>
            </w:pPr>
          </w:p>
        </w:tc>
        <w:tc>
          <w:tcPr>
            <w:tcW w:w="1419" w:type="dxa"/>
            <w:gridSpan w:val="13"/>
          </w:tcPr>
          <w:p w14:paraId="4D0952C2" w14:textId="77777777" w:rsidR="00531C4D" w:rsidRPr="00C15639" w:rsidRDefault="00531C4D" w:rsidP="00531C4D">
            <w:pPr>
              <w:rPr>
                <w:szCs w:val="24"/>
              </w:rPr>
            </w:pPr>
          </w:p>
        </w:tc>
      </w:tr>
      <w:tr w:rsidR="00531C4D" w:rsidRPr="00C15639" w14:paraId="7D8CB0B5" w14:textId="77777777" w:rsidTr="00531C4D">
        <w:trPr>
          <w:gridBefore w:val="23"/>
          <w:gridAfter w:val="6"/>
          <w:wBefore w:w="3328" w:type="dxa"/>
          <w:wAfter w:w="3221" w:type="dxa"/>
          <w:cantSplit/>
        </w:trPr>
        <w:tc>
          <w:tcPr>
            <w:tcW w:w="565" w:type="dxa"/>
            <w:gridSpan w:val="2"/>
            <w:tcBorders>
              <w:left w:val="single" w:sz="6" w:space="0" w:color="auto"/>
              <w:bottom w:val="single" w:sz="6" w:space="0" w:color="auto"/>
            </w:tcBorders>
          </w:tcPr>
          <w:p w14:paraId="3F1D08C0" w14:textId="77777777" w:rsidR="00531C4D" w:rsidRPr="00C15639" w:rsidRDefault="00531C4D" w:rsidP="00531C4D">
            <w:pPr>
              <w:pStyle w:val="1ff3"/>
              <w:spacing w:line="360" w:lineRule="auto"/>
              <w:jc w:val="center"/>
              <w:rPr>
                <w:sz w:val="24"/>
                <w:szCs w:val="24"/>
              </w:rPr>
            </w:pPr>
          </w:p>
        </w:tc>
        <w:tc>
          <w:tcPr>
            <w:tcW w:w="4823" w:type="dxa"/>
            <w:gridSpan w:val="32"/>
            <w:tcBorders>
              <w:left w:val="nil"/>
            </w:tcBorders>
          </w:tcPr>
          <w:p w14:paraId="57E596E0" w14:textId="77777777" w:rsidR="00531C4D" w:rsidRPr="00C15639" w:rsidRDefault="00531C4D" w:rsidP="00531C4D">
            <w:pPr>
              <w:pStyle w:val="1ff3"/>
              <w:spacing w:line="360" w:lineRule="auto"/>
              <w:jc w:val="center"/>
              <w:rPr>
                <w:sz w:val="24"/>
                <w:szCs w:val="24"/>
              </w:rPr>
            </w:pPr>
          </w:p>
        </w:tc>
        <w:tc>
          <w:tcPr>
            <w:tcW w:w="983" w:type="dxa"/>
            <w:gridSpan w:val="10"/>
            <w:tcBorders>
              <w:left w:val="single" w:sz="6" w:space="0" w:color="auto"/>
            </w:tcBorders>
          </w:tcPr>
          <w:p w14:paraId="1DD9E326" w14:textId="77777777" w:rsidR="00531C4D" w:rsidRPr="00C15639" w:rsidRDefault="00531C4D" w:rsidP="00531C4D">
            <w:pPr>
              <w:pStyle w:val="1ff3"/>
              <w:spacing w:line="360" w:lineRule="auto"/>
              <w:jc w:val="center"/>
              <w:rPr>
                <w:sz w:val="24"/>
                <w:szCs w:val="24"/>
              </w:rPr>
            </w:pPr>
          </w:p>
        </w:tc>
        <w:tc>
          <w:tcPr>
            <w:tcW w:w="163" w:type="dxa"/>
            <w:gridSpan w:val="2"/>
            <w:tcBorders>
              <w:left w:val="nil"/>
            </w:tcBorders>
          </w:tcPr>
          <w:p w14:paraId="4AEBDF21" w14:textId="77777777" w:rsidR="00531C4D" w:rsidRPr="00C15639" w:rsidRDefault="00531C4D" w:rsidP="00531C4D">
            <w:pPr>
              <w:pStyle w:val="1ff3"/>
              <w:spacing w:line="360" w:lineRule="auto"/>
              <w:rPr>
                <w:sz w:val="24"/>
                <w:szCs w:val="24"/>
              </w:rPr>
            </w:pPr>
          </w:p>
        </w:tc>
        <w:tc>
          <w:tcPr>
            <w:tcW w:w="1504" w:type="dxa"/>
            <w:gridSpan w:val="14"/>
          </w:tcPr>
          <w:p w14:paraId="55DBC2EA" w14:textId="77777777" w:rsidR="00531C4D" w:rsidRPr="00C15639" w:rsidRDefault="00531C4D" w:rsidP="00531C4D">
            <w:pPr>
              <w:pStyle w:val="1ff3"/>
              <w:spacing w:line="360" w:lineRule="auto"/>
              <w:rPr>
                <w:sz w:val="24"/>
                <w:szCs w:val="24"/>
              </w:rPr>
            </w:pPr>
          </w:p>
        </w:tc>
        <w:tc>
          <w:tcPr>
            <w:tcW w:w="5450" w:type="dxa"/>
            <w:gridSpan w:val="46"/>
          </w:tcPr>
          <w:p w14:paraId="6AD1613F" w14:textId="77777777" w:rsidR="00531C4D" w:rsidRPr="00C15639" w:rsidRDefault="00531C4D" w:rsidP="00531C4D">
            <w:pPr>
              <w:pStyle w:val="1ff3"/>
              <w:spacing w:line="360" w:lineRule="auto"/>
              <w:jc w:val="center"/>
              <w:rPr>
                <w:sz w:val="24"/>
                <w:szCs w:val="24"/>
              </w:rPr>
            </w:pPr>
          </w:p>
        </w:tc>
      </w:tr>
      <w:tr w:rsidR="00531C4D" w:rsidRPr="00C15639" w14:paraId="4C67F5D1" w14:textId="77777777" w:rsidTr="00531C4D">
        <w:trPr>
          <w:gridBefore w:val="12"/>
          <w:gridAfter w:val="2"/>
          <w:wBefore w:w="1768" w:type="dxa"/>
          <w:wAfter w:w="1431" w:type="dxa"/>
          <w:cantSplit/>
        </w:trPr>
        <w:tc>
          <w:tcPr>
            <w:tcW w:w="3120" w:type="dxa"/>
            <w:gridSpan w:val="18"/>
            <w:tcBorders>
              <w:top w:val="single" w:sz="6" w:space="0" w:color="auto"/>
              <w:left w:val="single" w:sz="6" w:space="0" w:color="auto"/>
              <w:bottom w:val="single" w:sz="6" w:space="0" w:color="auto"/>
              <w:right w:val="single" w:sz="6" w:space="0" w:color="auto"/>
            </w:tcBorders>
          </w:tcPr>
          <w:p w14:paraId="196415A7" w14:textId="77777777" w:rsidR="00531C4D" w:rsidRPr="00C15639" w:rsidRDefault="00531C4D" w:rsidP="00531C4D">
            <w:pPr>
              <w:pStyle w:val="1ff3"/>
              <w:spacing w:line="360" w:lineRule="auto"/>
              <w:jc w:val="center"/>
              <w:rPr>
                <w:sz w:val="24"/>
                <w:szCs w:val="24"/>
              </w:rPr>
            </w:pPr>
            <w:r w:rsidRPr="00C15639">
              <w:rPr>
                <w:sz w:val="24"/>
                <w:szCs w:val="24"/>
              </w:rPr>
              <w:t>Сохраняются изменения</w:t>
            </w:r>
          </w:p>
        </w:tc>
        <w:tc>
          <w:tcPr>
            <w:tcW w:w="3828" w:type="dxa"/>
            <w:gridSpan w:val="27"/>
            <w:tcBorders>
              <w:left w:val="single" w:sz="6" w:space="0" w:color="auto"/>
              <w:right w:val="single" w:sz="6" w:space="0" w:color="auto"/>
            </w:tcBorders>
          </w:tcPr>
          <w:p w14:paraId="2F9F71EC" w14:textId="77777777" w:rsidR="00531C4D" w:rsidRPr="00C15639" w:rsidRDefault="00531C4D" w:rsidP="00531C4D">
            <w:pPr>
              <w:pStyle w:val="1ff3"/>
              <w:spacing w:line="360" w:lineRule="auto"/>
              <w:jc w:val="center"/>
              <w:rPr>
                <w:sz w:val="24"/>
                <w:szCs w:val="24"/>
              </w:rPr>
            </w:pPr>
          </w:p>
        </w:tc>
        <w:tc>
          <w:tcPr>
            <w:tcW w:w="2650" w:type="dxa"/>
            <w:gridSpan w:val="26"/>
            <w:tcBorders>
              <w:left w:val="nil"/>
            </w:tcBorders>
          </w:tcPr>
          <w:p w14:paraId="12E244CD" w14:textId="77777777" w:rsidR="00531C4D" w:rsidRPr="00C15639" w:rsidRDefault="00531C4D" w:rsidP="00531C4D">
            <w:pPr>
              <w:pStyle w:val="1ff3"/>
              <w:spacing w:line="360" w:lineRule="auto"/>
              <w:jc w:val="center"/>
              <w:rPr>
                <w:sz w:val="24"/>
                <w:szCs w:val="24"/>
              </w:rPr>
            </w:pPr>
          </w:p>
        </w:tc>
        <w:tc>
          <w:tcPr>
            <w:tcW w:w="170" w:type="dxa"/>
            <w:tcBorders>
              <w:left w:val="nil"/>
            </w:tcBorders>
          </w:tcPr>
          <w:p w14:paraId="0D762CB1" w14:textId="77777777" w:rsidR="00531C4D" w:rsidRPr="00C15639" w:rsidRDefault="00531C4D" w:rsidP="00531C4D">
            <w:pPr>
              <w:pStyle w:val="1ff3"/>
              <w:spacing w:line="360" w:lineRule="auto"/>
              <w:rPr>
                <w:sz w:val="24"/>
                <w:szCs w:val="24"/>
              </w:rPr>
            </w:pPr>
          </w:p>
        </w:tc>
        <w:tc>
          <w:tcPr>
            <w:tcW w:w="1620" w:type="dxa"/>
            <w:gridSpan w:val="19"/>
          </w:tcPr>
          <w:p w14:paraId="099D28F8" w14:textId="77777777" w:rsidR="00531C4D" w:rsidRPr="00C15639" w:rsidRDefault="00531C4D" w:rsidP="00531C4D">
            <w:pPr>
              <w:pStyle w:val="1ff3"/>
              <w:spacing w:line="360" w:lineRule="auto"/>
              <w:rPr>
                <w:sz w:val="24"/>
                <w:szCs w:val="24"/>
              </w:rPr>
            </w:pPr>
          </w:p>
        </w:tc>
        <w:tc>
          <w:tcPr>
            <w:tcW w:w="5450" w:type="dxa"/>
            <w:gridSpan w:val="30"/>
          </w:tcPr>
          <w:p w14:paraId="6D395B14" w14:textId="77777777" w:rsidR="00531C4D" w:rsidRPr="00C15639" w:rsidRDefault="00531C4D" w:rsidP="00531C4D">
            <w:pPr>
              <w:pStyle w:val="1ff3"/>
              <w:spacing w:line="360" w:lineRule="auto"/>
              <w:jc w:val="center"/>
              <w:rPr>
                <w:sz w:val="24"/>
                <w:szCs w:val="24"/>
              </w:rPr>
            </w:pPr>
          </w:p>
        </w:tc>
      </w:tr>
      <w:tr w:rsidR="00531C4D" w:rsidRPr="00C15639" w14:paraId="2DF4A9DC" w14:textId="77777777" w:rsidTr="00531C4D">
        <w:trPr>
          <w:gridAfter w:val="14"/>
          <w:wAfter w:w="4901" w:type="dxa"/>
          <w:cantSplit/>
        </w:trPr>
        <w:tc>
          <w:tcPr>
            <w:tcW w:w="4173" w:type="dxa"/>
            <w:gridSpan w:val="26"/>
            <w:tcBorders>
              <w:right w:val="single" w:sz="6" w:space="0" w:color="auto"/>
            </w:tcBorders>
          </w:tcPr>
          <w:p w14:paraId="4B4E2DF7" w14:textId="77777777" w:rsidR="00531C4D" w:rsidRPr="00C15639" w:rsidRDefault="00531C4D" w:rsidP="00531C4D">
            <w:pPr>
              <w:pStyle w:val="1ff3"/>
              <w:spacing w:line="360" w:lineRule="auto"/>
              <w:jc w:val="center"/>
              <w:rPr>
                <w:sz w:val="24"/>
                <w:szCs w:val="24"/>
              </w:rPr>
            </w:pPr>
          </w:p>
        </w:tc>
        <w:tc>
          <w:tcPr>
            <w:tcW w:w="826" w:type="dxa"/>
            <w:gridSpan w:val="5"/>
            <w:tcBorders>
              <w:left w:val="nil"/>
            </w:tcBorders>
          </w:tcPr>
          <w:p w14:paraId="11462ACF" w14:textId="77777777" w:rsidR="00531C4D" w:rsidRPr="00C15639" w:rsidRDefault="00531C4D" w:rsidP="00531C4D">
            <w:pPr>
              <w:pStyle w:val="1ff3"/>
              <w:spacing w:line="360" w:lineRule="auto"/>
              <w:rPr>
                <w:sz w:val="24"/>
                <w:szCs w:val="24"/>
              </w:rPr>
            </w:pPr>
          </w:p>
        </w:tc>
        <w:tc>
          <w:tcPr>
            <w:tcW w:w="3715" w:type="dxa"/>
            <w:gridSpan w:val="24"/>
            <w:tcBorders>
              <w:right w:val="single" w:sz="6" w:space="0" w:color="auto"/>
            </w:tcBorders>
          </w:tcPr>
          <w:p w14:paraId="4BE50504" w14:textId="77777777" w:rsidR="00531C4D" w:rsidRPr="00C15639" w:rsidRDefault="00531C4D" w:rsidP="00531C4D">
            <w:pPr>
              <w:pStyle w:val="1ff3"/>
              <w:spacing w:line="360" w:lineRule="auto"/>
              <w:rPr>
                <w:sz w:val="24"/>
                <w:szCs w:val="24"/>
              </w:rPr>
            </w:pPr>
          </w:p>
        </w:tc>
        <w:tc>
          <w:tcPr>
            <w:tcW w:w="3582" w:type="dxa"/>
            <w:gridSpan w:val="41"/>
            <w:tcBorders>
              <w:left w:val="nil"/>
            </w:tcBorders>
          </w:tcPr>
          <w:p w14:paraId="2BFE3EAD" w14:textId="77777777" w:rsidR="00531C4D" w:rsidRPr="00C15639" w:rsidRDefault="00531C4D" w:rsidP="00531C4D">
            <w:pPr>
              <w:pStyle w:val="1ff3"/>
              <w:spacing w:line="360" w:lineRule="auto"/>
              <w:jc w:val="center"/>
              <w:rPr>
                <w:sz w:val="24"/>
                <w:szCs w:val="24"/>
              </w:rPr>
            </w:pPr>
          </w:p>
        </w:tc>
        <w:tc>
          <w:tcPr>
            <w:tcW w:w="1420" w:type="dxa"/>
            <w:gridSpan w:val="14"/>
          </w:tcPr>
          <w:p w14:paraId="53B72C9E" w14:textId="77777777" w:rsidR="00531C4D" w:rsidRPr="00C15639" w:rsidRDefault="00531C4D" w:rsidP="00531C4D">
            <w:pPr>
              <w:rPr>
                <w:szCs w:val="24"/>
              </w:rPr>
            </w:pPr>
          </w:p>
        </w:tc>
        <w:tc>
          <w:tcPr>
            <w:tcW w:w="1420" w:type="dxa"/>
            <w:gridSpan w:val="11"/>
          </w:tcPr>
          <w:p w14:paraId="353784F6" w14:textId="77777777" w:rsidR="00531C4D" w:rsidRPr="00C15639" w:rsidRDefault="00531C4D" w:rsidP="00531C4D">
            <w:pPr>
              <w:rPr>
                <w:szCs w:val="24"/>
              </w:rPr>
            </w:pPr>
          </w:p>
        </w:tc>
      </w:tr>
      <w:tr w:rsidR="00531C4D" w:rsidRPr="00C15639" w14:paraId="703D6B23" w14:textId="77777777" w:rsidTr="00531C4D">
        <w:trPr>
          <w:gridAfter w:val="1"/>
        </w:trPr>
        <w:tc>
          <w:tcPr>
            <w:tcW w:w="3186" w:type="dxa"/>
            <w:gridSpan w:val="20"/>
          </w:tcPr>
          <w:p w14:paraId="1E252442" w14:textId="77777777" w:rsidR="00531C4D" w:rsidRPr="00C15639" w:rsidRDefault="00531C4D" w:rsidP="00531C4D">
            <w:pPr>
              <w:pStyle w:val="1ff3"/>
              <w:spacing w:line="360" w:lineRule="auto"/>
              <w:rPr>
                <w:sz w:val="24"/>
                <w:szCs w:val="24"/>
              </w:rPr>
            </w:pPr>
          </w:p>
        </w:tc>
        <w:tc>
          <w:tcPr>
            <w:tcW w:w="9416" w:type="dxa"/>
            <w:gridSpan w:val="80"/>
            <w:tcBorders>
              <w:top w:val="single" w:sz="6" w:space="0" w:color="auto"/>
              <w:left w:val="single" w:sz="6" w:space="0" w:color="auto"/>
              <w:bottom w:val="single" w:sz="6" w:space="0" w:color="auto"/>
              <w:right w:val="single" w:sz="6" w:space="0" w:color="auto"/>
            </w:tcBorders>
          </w:tcPr>
          <w:p w14:paraId="11ECA875" w14:textId="77777777" w:rsidR="00531C4D" w:rsidRPr="00C15639" w:rsidRDefault="00531C4D" w:rsidP="00531C4D">
            <w:pPr>
              <w:pStyle w:val="1ff3"/>
              <w:spacing w:line="360" w:lineRule="auto"/>
              <w:jc w:val="center"/>
              <w:rPr>
                <w:sz w:val="24"/>
                <w:szCs w:val="24"/>
              </w:rPr>
            </w:pPr>
            <w:r w:rsidRPr="00C15639">
              <w:rPr>
                <w:sz w:val="24"/>
                <w:szCs w:val="24"/>
              </w:rPr>
              <w:t>Фибробронхоскопия + бронхоальвеолярный лаваж</w:t>
            </w:r>
          </w:p>
        </w:tc>
        <w:tc>
          <w:tcPr>
            <w:tcW w:w="1425" w:type="dxa"/>
            <w:gridSpan w:val="13"/>
          </w:tcPr>
          <w:p w14:paraId="3F0757FC" w14:textId="77777777" w:rsidR="00531C4D" w:rsidRPr="00C15639" w:rsidRDefault="00531C4D" w:rsidP="00531C4D">
            <w:pPr>
              <w:rPr>
                <w:szCs w:val="24"/>
              </w:rPr>
            </w:pPr>
          </w:p>
        </w:tc>
        <w:tc>
          <w:tcPr>
            <w:tcW w:w="1425" w:type="dxa"/>
            <w:gridSpan w:val="10"/>
          </w:tcPr>
          <w:p w14:paraId="17C74354" w14:textId="77777777" w:rsidR="00531C4D" w:rsidRPr="00C15639" w:rsidRDefault="00531C4D" w:rsidP="00531C4D">
            <w:pPr>
              <w:rPr>
                <w:szCs w:val="24"/>
              </w:rPr>
            </w:pPr>
          </w:p>
        </w:tc>
        <w:tc>
          <w:tcPr>
            <w:tcW w:w="1425" w:type="dxa"/>
            <w:gridSpan w:val="7"/>
          </w:tcPr>
          <w:p w14:paraId="526EACC1" w14:textId="77777777" w:rsidR="00531C4D" w:rsidRPr="00C15639" w:rsidRDefault="00531C4D" w:rsidP="00531C4D">
            <w:pPr>
              <w:rPr>
                <w:szCs w:val="24"/>
              </w:rPr>
            </w:pPr>
          </w:p>
        </w:tc>
        <w:tc>
          <w:tcPr>
            <w:tcW w:w="3160" w:type="dxa"/>
            <w:gridSpan w:val="4"/>
          </w:tcPr>
          <w:p w14:paraId="7AE64DA3" w14:textId="77777777" w:rsidR="00531C4D" w:rsidRPr="00C15639" w:rsidRDefault="00531C4D" w:rsidP="00531C4D">
            <w:pPr>
              <w:rPr>
                <w:szCs w:val="24"/>
              </w:rPr>
            </w:pPr>
          </w:p>
        </w:tc>
      </w:tr>
      <w:tr w:rsidR="00531C4D" w:rsidRPr="00C15639" w14:paraId="1B6D1234" w14:textId="77777777" w:rsidTr="00531C4D">
        <w:trPr>
          <w:gridAfter w:val="50"/>
          <w:wAfter w:w="8464" w:type="dxa"/>
          <w:cantSplit/>
        </w:trPr>
        <w:tc>
          <w:tcPr>
            <w:tcW w:w="1184" w:type="dxa"/>
            <w:gridSpan w:val="6"/>
          </w:tcPr>
          <w:p w14:paraId="7F44008B" w14:textId="77777777" w:rsidR="00531C4D" w:rsidRPr="00C15639" w:rsidRDefault="00531C4D" w:rsidP="00531C4D">
            <w:pPr>
              <w:pStyle w:val="1ff3"/>
              <w:spacing w:line="360" w:lineRule="auto"/>
              <w:rPr>
                <w:sz w:val="24"/>
                <w:szCs w:val="24"/>
              </w:rPr>
            </w:pPr>
          </w:p>
        </w:tc>
        <w:tc>
          <w:tcPr>
            <w:tcW w:w="1297" w:type="dxa"/>
            <w:gridSpan w:val="8"/>
          </w:tcPr>
          <w:p w14:paraId="6ED5C4D0" w14:textId="77777777" w:rsidR="00531C4D" w:rsidRPr="00C15639" w:rsidRDefault="00531C4D" w:rsidP="00531C4D">
            <w:pPr>
              <w:pStyle w:val="1ff3"/>
              <w:spacing w:line="360" w:lineRule="auto"/>
              <w:rPr>
                <w:sz w:val="24"/>
                <w:szCs w:val="24"/>
              </w:rPr>
            </w:pPr>
          </w:p>
        </w:tc>
        <w:tc>
          <w:tcPr>
            <w:tcW w:w="3770" w:type="dxa"/>
            <w:gridSpan w:val="23"/>
            <w:tcBorders>
              <w:right w:val="single" w:sz="6" w:space="0" w:color="auto"/>
            </w:tcBorders>
          </w:tcPr>
          <w:p w14:paraId="19EC4432" w14:textId="77777777" w:rsidR="00531C4D" w:rsidRPr="00C15639" w:rsidRDefault="00531C4D" w:rsidP="00531C4D">
            <w:pPr>
              <w:pStyle w:val="1ff3"/>
              <w:spacing w:line="360" w:lineRule="auto"/>
              <w:rPr>
                <w:sz w:val="24"/>
                <w:szCs w:val="24"/>
              </w:rPr>
            </w:pPr>
          </w:p>
        </w:tc>
        <w:tc>
          <w:tcPr>
            <w:tcW w:w="1268" w:type="dxa"/>
            <w:gridSpan w:val="6"/>
          </w:tcPr>
          <w:p w14:paraId="1800E38B" w14:textId="77777777" w:rsidR="00531C4D" w:rsidRPr="00C15639" w:rsidRDefault="00531C4D" w:rsidP="00531C4D">
            <w:pPr>
              <w:pStyle w:val="1ff3"/>
              <w:spacing w:line="360" w:lineRule="auto"/>
              <w:rPr>
                <w:sz w:val="24"/>
                <w:szCs w:val="24"/>
              </w:rPr>
            </w:pPr>
          </w:p>
        </w:tc>
        <w:tc>
          <w:tcPr>
            <w:tcW w:w="2642" w:type="dxa"/>
            <w:gridSpan w:val="29"/>
          </w:tcPr>
          <w:p w14:paraId="752619DE" w14:textId="77777777" w:rsidR="00531C4D" w:rsidRPr="00C15639" w:rsidRDefault="00531C4D" w:rsidP="00531C4D">
            <w:pPr>
              <w:pStyle w:val="1ff3"/>
              <w:spacing w:line="360" w:lineRule="auto"/>
              <w:rPr>
                <w:sz w:val="24"/>
                <w:szCs w:val="24"/>
              </w:rPr>
            </w:pPr>
          </w:p>
        </w:tc>
        <w:tc>
          <w:tcPr>
            <w:tcW w:w="1412" w:type="dxa"/>
            <w:gridSpan w:val="13"/>
          </w:tcPr>
          <w:p w14:paraId="51BB59B3" w14:textId="77777777" w:rsidR="00531C4D" w:rsidRPr="00C15639" w:rsidRDefault="00531C4D" w:rsidP="00531C4D">
            <w:pPr>
              <w:rPr>
                <w:szCs w:val="24"/>
              </w:rPr>
            </w:pPr>
          </w:p>
        </w:tc>
      </w:tr>
      <w:tr w:rsidR="00531C4D" w:rsidRPr="00C15639" w14:paraId="2C6C7800" w14:textId="77777777" w:rsidTr="00531C4D">
        <w:trPr>
          <w:gridBefore w:val="13"/>
          <w:gridAfter w:val="3"/>
          <w:wBefore w:w="2052" w:type="dxa"/>
          <w:wAfter w:w="2423" w:type="dxa"/>
          <w:cantSplit/>
        </w:trPr>
        <w:tc>
          <w:tcPr>
            <w:tcW w:w="8442" w:type="dxa"/>
            <w:gridSpan w:val="60"/>
            <w:tcBorders>
              <w:top w:val="single" w:sz="6" w:space="0" w:color="auto"/>
              <w:left w:val="single" w:sz="6" w:space="0" w:color="auto"/>
              <w:bottom w:val="single" w:sz="6" w:space="0" w:color="auto"/>
              <w:right w:val="single" w:sz="6" w:space="0" w:color="auto"/>
            </w:tcBorders>
          </w:tcPr>
          <w:p w14:paraId="42601721" w14:textId="77777777" w:rsidR="00531C4D" w:rsidRPr="00C15639" w:rsidRDefault="00531C4D" w:rsidP="00531C4D">
            <w:pPr>
              <w:pStyle w:val="1ff3"/>
              <w:spacing w:line="360" w:lineRule="auto"/>
              <w:jc w:val="center"/>
              <w:rPr>
                <w:sz w:val="24"/>
                <w:szCs w:val="24"/>
              </w:rPr>
            </w:pPr>
            <w:r w:rsidRPr="00C15639">
              <w:rPr>
                <w:sz w:val="24"/>
                <w:szCs w:val="24"/>
              </w:rPr>
              <w:t>Исследование лаважной жидкости, сыворотки, мочи</w:t>
            </w:r>
          </w:p>
        </w:tc>
        <w:tc>
          <w:tcPr>
            <w:tcW w:w="1424" w:type="dxa"/>
            <w:gridSpan w:val="15"/>
          </w:tcPr>
          <w:p w14:paraId="7B641657" w14:textId="77777777" w:rsidR="00531C4D" w:rsidRPr="00C15639" w:rsidRDefault="00531C4D" w:rsidP="00531C4D">
            <w:pPr>
              <w:rPr>
                <w:szCs w:val="24"/>
              </w:rPr>
            </w:pPr>
          </w:p>
        </w:tc>
        <w:tc>
          <w:tcPr>
            <w:tcW w:w="1424" w:type="dxa"/>
            <w:gridSpan w:val="16"/>
          </w:tcPr>
          <w:p w14:paraId="49BA0124" w14:textId="77777777" w:rsidR="00531C4D" w:rsidRPr="00C15639" w:rsidRDefault="00531C4D" w:rsidP="00531C4D">
            <w:pPr>
              <w:rPr>
                <w:szCs w:val="24"/>
              </w:rPr>
            </w:pPr>
          </w:p>
        </w:tc>
        <w:tc>
          <w:tcPr>
            <w:tcW w:w="1424" w:type="dxa"/>
            <w:gridSpan w:val="12"/>
          </w:tcPr>
          <w:p w14:paraId="7FCA8D87" w14:textId="77777777" w:rsidR="00531C4D" w:rsidRPr="00C15639" w:rsidRDefault="00531C4D" w:rsidP="00531C4D">
            <w:pPr>
              <w:rPr>
                <w:szCs w:val="24"/>
              </w:rPr>
            </w:pPr>
          </w:p>
        </w:tc>
        <w:tc>
          <w:tcPr>
            <w:tcW w:w="1424" w:type="dxa"/>
            <w:gridSpan w:val="10"/>
          </w:tcPr>
          <w:p w14:paraId="18A470E0" w14:textId="77777777" w:rsidR="00531C4D" w:rsidRPr="00C15639" w:rsidRDefault="00531C4D" w:rsidP="00531C4D">
            <w:pPr>
              <w:rPr>
                <w:szCs w:val="24"/>
              </w:rPr>
            </w:pPr>
          </w:p>
        </w:tc>
        <w:tc>
          <w:tcPr>
            <w:tcW w:w="1424" w:type="dxa"/>
            <w:gridSpan w:val="6"/>
          </w:tcPr>
          <w:p w14:paraId="778B0C86" w14:textId="77777777" w:rsidR="00531C4D" w:rsidRPr="00C15639" w:rsidRDefault="00531C4D" w:rsidP="00531C4D">
            <w:pPr>
              <w:rPr>
                <w:szCs w:val="24"/>
              </w:rPr>
            </w:pPr>
          </w:p>
        </w:tc>
      </w:tr>
      <w:tr w:rsidR="00531C4D" w:rsidRPr="00C15639" w14:paraId="69A5D9F2" w14:textId="77777777" w:rsidTr="00531C4D">
        <w:trPr>
          <w:gridBefore w:val="4"/>
          <w:gridAfter w:val="28"/>
          <w:wBefore w:w="778" w:type="dxa"/>
          <w:wAfter w:w="6503" w:type="dxa"/>
          <w:cantSplit/>
        </w:trPr>
        <w:tc>
          <w:tcPr>
            <w:tcW w:w="849" w:type="dxa"/>
            <w:gridSpan w:val="6"/>
            <w:tcBorders>
              <w:top w:val="single" w:sz="6" w:space="0" w:color="auto"/>
              <w:left w:val="single" w:sz="6" w:space="0" w:color="auto"/>
              <w:bottom w:val="single" w:sz="6" w:space="0" w:color="auto"/>
            </w:tcBorders>
          </w:tcPr>
          <w:p w14:paraId="584473A3" w14:textId="77777777" w:rsidR="00531C4D" w:rsidRPr="00C15639" w:rsidRDefault="00531C4D" w:rsidP="00531C4D">
            <w:pPr>
              <w:pStyle w:val="1ff3"/>
              <w:spacing w:line="360" w:lineRule="auto"/>
              <w:rPr>
                <w:sz w:val="24"/>
                <w:szCs w:val="24"/>
              </w:rPr>
            </w:pPr>
          </w:p>
        </w:tc>
        <w:tc>
          <w:tcPr>
            <w:tcW w:w="1559" w:type="dxa"/>
            <w:gridSpan w:val="10"/>
            <w:tcBorders>
              <w:top w:val="single" w:sz="6" w:space="0" w:color="auto"/>
              <w:right w:val="single" w:sz="6" w:space="0" w:color="auto"/>
            </w:tcBorders>
          </w:tcPr>
          <w:p w14:paraId="551513AC" w14:textId="77777777" w:rsidR="00531C4D" w:rsidRPr="00C15639" w:rsidRDefault="00531C4D" w:rsidP="00531C4D">
            <w:pPr>
              <w:pStyle w:val="1ff3"/>
              <w:spacing w:line="360" w:lineRule="auto"/>
              <w:rPr>
                <w:sz w:val="24"/>
                <w:szCs w:val="24"/>
              </w:rPr>
            </w:pPr>
          </w:p>
        </w:tc>
        <w:tc>
          <w:tcPr>
            <w:tcW w:w="1957" w:type="dxa"/>
            <w:gridSpan w:val="12"/>
            <w:tcBorders>
              <w:left w:val="single" w:sz="6" w:space="0" w:color="auto"/>
              <w:right w:val="single" w:sz="6" w:space="0" w:color="auto"/>
            </w:tcBorders>
          </w:tcPr>
          <w:p w14:paraId="24A0970F" w14:textId="77777777" w:rsidR="00531C4D" w:rsidRPr="00C15639" w:rsidRDefault="00531C4D" w:rsidP="00531C4D">
            <w:pPr>
              <w:pStyle w:val="1ff3"/>
              <w:spacing w:line="360" w:lineRule="auto"/>
              <w:rPr>
                <w:sz w:val="24"/>
                <w:szCs w:val="24"/>
              </w:rPr>
            </w:pPr>
          </w:p>
        </w:tc>
        <w:tc>
          <w:tcPr>
            <w:tcW w:w="3139" w:type="dxa"/>
            <w:gridSpan w:val="21"/>
            <w:tcBorders>
              <w:top w:val="single" w:sz="6" w:space="0" w:color="auto"/>
              <w:left w:val="single" w:sz="6" w:space="0" w:color="auto"/>
              <w:right w:val="single" w:sz="6" w:space="0" w:color="auto"/>
            </w:tcBorders>
          </w:tcPr>
          <w:p w14:paraId="3FCFF1AB" w14:textId="77777777" w:rsidR="00531C4D" w:rsidRPr="00C15639" w:rsidRDefault="00531C4D" w:rsidP="00531C4D">
            <w:pPr>
              <w:pStyle w:val="1ff3"/>
              <w:spacing w:line="360" w:lineRule="auto"/>
              <w:rPr>
                <w:sz w:val="24"/>
                <w:szCs w:val="24"/>
              </w:rPr>
            </w:pPr>
          </w:p>
        </w:tc>
        <w:tc>
          <w:tcPr>
            <w:tcW w:w="3425" w:type="dxa"/>
            <w:gridSpan w:val="33"/>
            <w:tcBorders>
              <w:top w:val="single" w:sz="6" w:space="0" w:color="auto"/>
              <w:left w:val="single" w:sz="6" w:space="0" w:color="auto"/>
              <w:right w:val="single" w:sz="6" w:space="0" w:color="auto"/>
            </w:tcBorders>
          </w:tcPr>
          <w:p w14:paraId="2776F115" w14:textId="77777777" w:rsidR="00531C4D" w:rsidRPr="00C15639" w:rsidRDefault="00531C4D" w:rsidP="00531C4D">
            <w:pPr>
              <w:pStyle w:val="1ff3"/>
              <w:spacing w:line="360" w:lineRule="auto"/>
              <w:rPr>
                <w:sz w:val="24"/>
                <w:szCs w:val="24"/>
              </w:rPr>
            </w:pPr>
          </w:p>
        </w:tc>
        <w:tc>
          <w:tcPr>
            <w:tcW w:w="1827" w:type="dxa"/>
            <w:gridSpan w:val="21"/>
            <w:tcBorders>
              <w:left w:val="single" w:sz="6" w:space="0" w:color="auto"/>
            </w:tcBorders>
          </w:tcPr>
          <w:p w14:paraId="190B82CE" w14:textId="77777777" w:rsidR="00531C4D" w:rsidRPr="00C15639" w:rsidRDefault="00531C4D" w:rsidP="00531C4D">
            <w:pPr>
              <w:pStyle w:val="1ff3"/>
              <w:spacing w:line="360" w:lineRule="auto"/>
              <w:rPr>
                <w:sz w:val="24"/>
                <w:szCs w:val="24"/>
              </w:rPr>
            </w:pPr>
          </w:p>
        </w:tc>
      </w:tr>
      <w:tr w:rsidR="00531C4D" w:rsidRPr="00C15639" w14:paraId="3F21DC09" w14:textId="77777777" w:rsidTr="00531C4D">
        <w:tblPrEx>
          <w:tblCellMar>
            <w:left w:w="71" w:type="dxa"/>
            <w:right w:w="71" w:type="dxa"/>
          </w:tblCellMar>
        </w:tblPrEx>
        <w:trPr>
          <w:gridAfter w:val="11"/>
          <w:wAfter w:w="4368" w:type="dxa"/>
          <w:cantSplit/>
        </w:trPr>
        <w:tc>
          <w:tcPr>
            <w:tcW w:w="2481" w:type="dxa"/>
            <w:gridSpan w:val="14"/>
            <w:tcBorders>
              <w:top w:val="single" w:sz="6" w:space="0" w:color="auto"/>
              <w:left w:val="single" w:sz="6" w:space="0" w:color="auto"/>
              <w:bottom w:val="single" w:sz="6" w:space="0" w:color="auto"/>
              <w:right w:val="single" w:sz="6" w:space="0" w:color="auto"/>
            </w:tcBorders>
          </w:tcPr>
          <w:p w14:paraId="1AA71333" w14:textId="77777777" w:rsidR="00531C4D" w:rsidRPr="00C15639" w:rsidRDefault="00531C4D" w:rsidP="00531C4D">
            <w:pPr>
              <w:pStyle w:val="1ff3"/>
              <w:spacing w:line="360" w:lineRule="auto"/>
              <w:rPr>
                <w:sz w:val="24"/>
                <w:szCs w:val="24"/>
              </w:rPr>
            </w:pPr>
            <w:r w:rsidRPr="00C15639">
              <w:rPr>
                <w:sz w:val="24"/>
                <w:szCs w:val="24"/>
              </w:rPr>
              <w:t>Микробиологическое исследование + исследование на легионеллез (моча, лаваж)</w:t>
            </w:r>
          </w:p>
        </w:tc>
        <w:tc>
          <w:tcPr>
            <w:tcW w:w="2391" w:type="dxa"/>
            <w:gridSpan w:val="14"/>
            <w:tcBorders>
              <w:top w:val="single" w:sz="6" w:space="0" w:color="auto"/>
              <w:left w:val="single" w:sz="6" w:space="0" w:color="auto"/>
              <w:bottom w:val="single" w:sz="6" w:space="0" w:color="auto"/>
              <w:right w:val="single" w:sz="6" w:space="0" w:color="auto"/>
            </w:tcBorders>
          </w:tcPr>
          <w:p w14:paraId="16984FCA" w14:textId="77777777" w:rsidR="00531C4D" w:rsidRPr="00C15639" w:rsidRDefault="00531C4D" w:rsidP="00531C4D">
            <w:pPr>
              <w:pStyle w:val="1ff3"/>
              <w:spacing w:line="360" w:lineRule="auto"/>
              <w:jc w:val="center"/>
              <w:rPr>
                <w:sz w:val="24"/>
                <w:szCs w:val="24"/>
              </w:rPr>
            </w:pPr>
            <w:r w:rsidRPr="00C15639">
              <w:rPr>
                <w:sz w:val="24"/>
                <w:szCs w:val="24"/>
              </w:rPr>
              <w:t>Исследование на уровень галактоманнана лаважа, сыворотки.</w:t>
            </w:r>
          </w:p>
        </w:tc>
        <w:tc>
          <w:tcPr>
            <w:tcW w:w="2659" w:type="dxa"/>
            <w:gridSpan w:val="16"/>
            <w:tcBorders>
              <w:top w:val="single" w:sz="6" w:space="0" w:color="auto"/>
              <w:left w:val="single" w:sz="6" w:space="0" w:color="auto"/>
              <w:bottom w:val="single" w:sz="6" w:space="0" w:color="auto"/>
              <w:right w:val="single" w:sz="6" w:space="0" w:color="auto"/>
            </w:tcBorders>
          </w:tcPr>
          <w:p w14:paraId="6C39BE10" w14:textId="77777777" w:rsidR="00531C4D" w:rsidRPr="00C15639" w:rsidRDefault="00531C4D" w:rsidP="00531C4D">
            <w:pPr>
              <w:pStyle w:val="1ff3"/>
              <w:spacing w:line="360" w:lineRule="auto"/>
              <w:jc w:val="center"/>
              <w:rPr>
                <w:sz w:val="24"/>
                <w:szCs w:val="24"/>
              </w:rPr>
            </w:pPr>
            <w:r w:rsidRPr="00C15639">
              <w:rPr>
                <w:sz w:val="24"/>
                <w:szCs w:val="24"/>
              </w:rPr>
              <w:t>Бактериоскопия: окраски по Граму, Романовскому-Гимзе, Циль-Нильсену</w:t>
            </w:r>
          </w:p>
        </w:tc>
        <w:tc>
          <w:tcPr>
            <w:tcW w:w="1896" w:type="dxa"/>
            <w:gridSpan w:val="20"/>
            <w:tcBorders>
              <w:top w:val="single" w:sz="6" w:space="0" w:color="auto"/>
              <w:left w:val="single" w:sz="6" w:space="0" w:color="auto"/>
              <w:bottom w:val="single" w:sz="6" w:space="0" w:color="auto"/>
              <w:right w:val="single" w:sz="6" w:space="0" w:color="auto"/>
            </w:tcBorders>
          </w:tcPr>
          <w:p w14:paraId="7E3D692A" w14:textId="77777777" w:rsidR="00531C4D" w:rsidRPr="00C15639" w:rsidRDefault="00531C4D" w:rsidP="00531C4D">
            <w:pPr>
              <w:pStyle w:val="1ff3"/>
              <w:spacing w:line="360" w:lineRule="auto"/>
              <w:jc w:val="center"/>
              <w:rPr>
                <w:sz w:val="24"/>
                <w:szCs w:val="24"/>
              </w:rPr>
            </w:pPr>
            <w:r w:rsidRPr="00C15639">
              <w:rPr>
                <w:sz w:val="24"/>
                <w:szCs w:val="24"/>
              </w:rPr>
              <w:t>Цитологическое исследование: окраска по Романовскому-Гимзе</w:t>
            </w:r>
          </w:p>
        </w:tc>
        <w:tc>
          <w:tcPr>
            <w:tcW w:w="2551" w:type="dxa"/>
            <w:gridSpan w:val="26"/>
            <w:tcBorders>
              <w:top w:val="single" w:sz="6" w:space="0" w:color="auto"/>
              <w:left w:val="single" w:sz="6" w:space="0" w:color="auto"/>
              <w:bottom w:val="single" w:sz="6" w:space="0" w:color="auto"/>
              <w:right w:val="single" w:sz="6" w:space="0" w:color="auto"/>
            </w:tcBorders>
          </w:tcPr>
          <w:p w14:paraId="14F86C1E" w14:textId="77777777" w:rsidR="00531C4D" w:rsidRPr="00C15639" w:rsidRDefault="00531C4D" w:rsidP="00531C4D">
            <w:pPr>
              <w:pStyle w:val="1ff3"/>
              <w:spacing w:line="360" w:lineRule="auto"/>
              <w:rPr>
                <w:sz w:val="24"/>
                <w:szCs w:val="24"/>
              </w:rPr>
            </w:pPr>
            <w:r w:rsidRPr="00C15639">
              <w:rPr>
                <w:sz w:val="24"/>
                <w:szCs w:val="24"/>
              </w:rPr>
              <w:t>Выявление пневмоцист в мазках по Романовскому-Гимза, РИФ</w:t>
            </w:r>
          </w:p>
        </w:tc>
        <w:tc>
          <w:tcPr>
            <w:tcW w:w="3691" w:type="dxa"/>
            <w:gridSpan w:val="34"/>
            <w:tcBorders>
              <w:top w:val="single" w:sz="6" w:space="0" w:color="auto"/>
              <w:bottom w:val="single" w:sz="6" w:space="0" w:color="auto"/>
              <w:right w:val="single" w:sz="6" w:space="0" w:color="auto"/>
            </w:tcBorders>
          </w:tcPr>
          <w:p w14:paraId="1958781E" w14:textId="77777777" w:rsidR="00531C4D" w:rsidRPr="00C15639" w:rsidRDefault="00531C4D" w:rsidP="00531C4D">
            <w:pPr>
              <w:pStyle w:val="1ff3"/>
              <w:spacing w:line="360" w:lineRule="auto"/>
              <w:rPr>
                <w:sz w:val="24"/>
                <w:szCs w:val="24"/>
              </w:rPr>
            </w:pPr>
            <w:r w:rsidRPr="00C15639">
              <w:rPr>
                <w:sz w:val="24"/>
                <w:szCs w:val="24"/>
              </w:rPr>
              <w:t>Выявление ЦМВ методом ПЦР (кровь, лаваж), определение</w:t>
            </w:r>
          </w:p>
          <w:p w14:paraId="7204D9BB" w14:textId="77777777" w:rsidR="00531C4D" w:rsidRPr="00C15639" w:rsidRDefault="00531C4D" w:rsidP="00531C4D">
            <w:pPr>
              <w:pStyle w:val="1ff3"/>
              <w:spacing w:line="360" w:lineRule="auto"/>
              <w:rPr>
                <w:sz w:val="24"/>
                <w:szCs w:val="24"/>
              </w:rPr>
            </w:pPr>
            <w:r w:rsidRPr="00C15639">
              <w:rPr>
                <w:sz w:val="24"/>
                <w:szCs w:val="24"/>
              </w:rPr>
              <w:t xml:space="preserve"> антител IgM и IgG в сыворотке</w:t>
            </w:r>
          </w:p>
        </w:tc>
      </w:tr>
      <w:tr w:rsidR="00531C4D" w:rsidRPr="00C15639" w14:paraId="26A7CFA9" w14:textId="77777777" w:rsidTr="00531C4D">
        <w:trPr>
          <w:gridAfter w:val="43"/>
          <w:wAfter w:w="7898" w:type="dxa"/>
          <w:trHeight w:val="240"/>
        </w:trPr>
        <w:tc>
          <w:tcPr>
            <w:tcW w:w="1184" w:type="dxa"/>
            <w:gridSpan w:val="6"/>
          </w:tcPr>
          <w:p w14:paraId="11031DEA" w14:textId="77777777" w:rsidR="00531C4D" w:rsidRPr="00C15639" w:rsidRDefault="00531C4D" w:rsidP="00531C4D">
            <w:pPr>
              <w:pStyle w:val="1ff3"/>
              <w:spacing w:line="360" w:lineRule="auto"/>
              <w:rPr>
                <w:sz w:val="24"/>
                <w:szCs w:val="24"/>
              </w:rPr>
            </w:pPr>
          </w:p>
        </w:tc>
        <w:tc>
          <w:tcPr>
            <w:tcW w:w="443" w:type="dxa"/>
            <w:gridSpan w:val="4"/>
            <w:tcBorders>
              <w:left w:val="single" w:sz="6" w:space="0" w:color="auto"/>
            </w:tcBorders>
          </w:tcPr>
          <w:p w14:paraId="3F9F48EA" w14:textId="77777777" w:rsidR="00531C4D" w:rsidRPr="00C15639" w:rsidRDefault="00531C4D" w:rsidP="00531C4D">
            <w:pPr>
              <w:pStyle w:val="1ff3"/>
              <w:spacing w:line="360" w:lineRule="auto"/>
              <w:rPr>
                <w:sz w:val="24"/>
                <w:szCs w:val="24"/>
              </w:rPr>
            </w:pPr>
          </w:p>
        </w:tc>
        <w:tc>
          <w:tcPr>
            <w:tcW w:w="425" w:type="dxa"/>
            <w:gridSpan w:val="3"/>
          </w:tcPr>
          <w:p w14:paraId="5CBD079B" w14:textId="77777777" w:rsidR="00531C4D" w:rsidRPr="00C15639" w:rsidRDefault="00531C4D" w:rsidP="00531C4D">
            <w:pPr>
              <w:pStyle w:val="1ff3"/>
              <w:spacing w:line="360" w:lineRule="auto"/>
              <w:rPr>
                <w:sz w:val="24"/>
                <w:szCs w:val="24"/>
              </w:rPr>
            </w:pPr>
          </w:p>
        </w:tc>
        <w:tc>
          <w:tcPr>
            <w:tcW w:w="7233" w:type="dxa"/>
            <w:gridSpan w:val="48"/>
            <w:tcBorders>
              <w:right w:val="single" w:sz="6" w:space="0" w:color="auto"/>
            </w:tcBorders>
          </w:tcPr>
          <w:p w14:paraId="5AD9B3E7" w14:textId="77777777" w:rsidR="00531C4D" w:rsidRPr="00C15639" w:rsidRDefault="00531C4D" w:rsidP="00531C4D">
            <w:pPr>
              <w:pStyle w:val="1ff3"/>
              <w:spacing w:line="360" w:lineRule="auto"/>
              <w:rPr>
                <w:sz w:val="24"/>
                <w:szCs w:val="24"/>
              </w:rPr>
            </w:pPr>
          </w:p>
        </w:tc>
        <w:tc>
          <w:tcPr>
            <w:tcW w:w="1440" w:type="dxa"/>
            <w:gridSpan w:val="14"/>
            <w:tcBorders>
              <w:left w:val="nil"/>
            </w:tcBorders>
          </w:tcPr>
          <w:p w14:paraId="6CD782A7" w14:textId="77777777" w:rsidR="00531C4D" w:rsidRPr="00C15639" w:rsidRDefault="00531C4D" w:rsidP="00531C4D">
            <w:pPr>
              <w:pStyle w:val="1ff3"/>
              <w:spacing w:line="360" w:lineRule="auto"/>
              <w:rPr>
                <w:sz w:val="24"/>
                <w:szCs w:val="24"/>
              </w:rPr>
            </w:pPr>
          </w:p>
        </w:tc>
        <w:tc>
          <w:tcPr>
            <w:tcW w:w="1414" w:type="dxa"/>
            <w:gridSpan w:val="17"/>
          </w:tcPr>
          <w:p w14:paraId="22BC236D" w14:textId="77777777" w:rsidR="00531C4D" w:rsidRPr="00C15639" w:rsidRDefault="00531C4D" w:rsidP="00531C4D">
            <w:pPr>
              <w:rPr>
                <w:szCs w:val="24"/>
              </w:rPr>
            </w:pPr>
          </w:p>
        </w:tc>
      </w:tr>
      <w:tr w:rsidR="00531C4D" w:rsidRPr="00C15639" w14:paraId="5B354BF8" w14:textId="77777777" w:rsidTr="00531C4D">
        <w:trPr>
          <w:gridAfter w:val="17"/>
          <w:wAfter w:w="5165" w:type="dxa"/>
        </w:trPr>
        <w:tc>
          <w:tcPr>
            <w:tcW w:w="3044" w:type="dxa"/>
            <w:gridSpan w:val="18"/>
            <w:tcBorders>
              <w:top w:val="single" w:sz="6" w:space="0" w:color="auto"/>
              <w:left w:val="single" w:sz="6" w:space="0" w:color="auto"/>
              <w:bottom w:val="single" w:sz="6" w:space="0" w:color="auto"/>
              <w:right w:val="single" w:sz="6" w:space="0" w:color="auto"/>
            </w:tcBorders>
          </w:tcPr>
          <w:p w14:paraId="0ED64FAD" w14:textId="77777777" w:rsidR="00531C4D" w:rsidRPr="00C15639" w:rsidRDefault="00531C4D" w:rsidP="00531C4D">
            <w:pPr>
              <w:pStyle w:val="1ff3"/>
              <w:spacing w:line="360" w:lineRule="auto"/>
              <w:rPr>
                <w:sz w:val="24"/>
                <w:szCs w:val="24"/>
              </w:rPr>
            </w:pPr>
            <w:r w:rsidRPr="00C15639">
              <w:rPr>
                <w:sz w:val="24"/>
                <w:szCs w:val="24"/>
              </w:rPr>
              <w:t>Диагноз установлен</w:t>
            </w:r>
          </w:p>
        </w:tc>
        <w:tc>
          <w:tcPr>
            <w:tcW w:w="4496" w:type="dxa"/>
            <w:gridSpan w:val="27"/>
            <w:tcBorders>
              <w:left w:val="nil"/>
              <w:right w:val="single" w:sz="6" w:space="0" w:color="auto"/>
            </w:tcBorders>
          </w:tcPr>
          <w:p w14:paraId="4EBB6C0D" w14:textId="77777777" w:rsidR="00531C4D" w:rsidRPr="00C15639" w:rsidRDefault="00531C4D" w:rsidP="00531C4D">
            <w:pPr>
              <w:pStyle w:val="1ff3"/>
              <w:spacing w:line="360" w:lineRule="auto"/>
              <w:jc w:val="center"/>
              <w:rPr>
                <w:sz w:val="24"/>
                <w:szCs w:val="24"/>
              </w:rPr>
            </w:pPr>
          </w:p>
        </w:tc>
        <w:tc>
          <w:tcPr>
            <w:tcW w:w="4279" w:type="dxa"/>
            <w:gridSpan w:val="42"/>
            <w:tcBorders>
              <w:top w:val="single" w:sz="6" w:space="0" w:color="auto"/>
              <w:left w:val="single" w:sz="6" w:space="0" w:color="auto"/>
              <w:bottom w:val="single" w:sz="6" w:space="0" w:color="auto"/>
              <w:right w:val="single" w:sz="6" w:space="0" w:color="auto"/>
            </w:tcBorders>
          </w:tcPr>
          <w:p w14:paraId="072CFE27" w14:textId="77777777" w:rsidR="00531C4D" w:rsidRPr="00C15639" w:rsidRDefault="00531C4D" w:rsidP="00531C4D">
            <w:pPr>
              <w:pStyle w:val="1ff3"/>
              <w:spacing w:line="360" w:lineRule="auto"/>
              <w:jc w:val="center"/>
              <w:rPr>
                <w:sz w:val="24"/>
                <w:szCs w:val="24"/>
              </w:rPr>
            </w:pPr>
            <w:r w:rsidRPr="00C15639">
              <w:rPr>
                <w:sz w:val="24"/>
                <w:szCs w:val="24"/>
              </w:rPr>
              <w:t>Диагноз не установлен</w:t>
            </w:r>
          </w:p>
        </w:tc>
        <w:tc>
          <w:tcPr>
            <w:tcW w:w="213" w:type="dxa"/>
            <w:gridSpan w:val="4"/>
          </w:tcPr>
          <w:p w14:paraId="641EBFF5" w14:textId="77777777" w:rsidR="00531C4D" w:rsidRPr="00C15639" w:rsidRDefault="00531C4D" w:rsidP="00531C4D">
            <w:pPr>
              <w:pStyle w:val="1ff3"/>
              <w:spacing w:line="360" w:lineRule="auto"/>
              <w:rPr>
                <w:sz w:val="24"/>
                <w:szCs w:val="24"/>
              </w:rPr>
            </w:pPr>
          </w:p>
        </w:tc>
        <w:tc>
          <w:tcPr>
            <w:tcW w:w="1420" w:type="dxa"/>
            <w:gridSpan w:val="15"/>
          </w:tcPr>
          <w:p w14:paraId="0AB71723" w14:textId="77777777" w:rsidR="00531C4D" w:rsidRPr="00C15639" w:rsidRDefault="00531C4D" w:rsidP="00531C4D">
            <w:pPr>
              <w:rPr>
                <w:szCs w:val="24"/>
              </w:rPr>
            </w:pPr>
          </w:p>
        </w:tc>
        <w:tc>
          <w:tcPr>
            <w:tcW w:w="1420" w:type="dxa"/>
            <w:gridSpan w:val="12"/>
          </w:tcPr>
          <w:p w14:paraId="2CFF5A3B" w14:textId="77777777" w:rsidR="00531C4D" w:rsidRPr="00C15639" w:rsidRDefault="00531C4D" w:rsidP="00531C4D">
            <w:pPr>
              <w:rPr>
                <w:szCs w:val="24"/>
              </w:rPr>
            </w:pPr>
          </w:p>
        </w:tc>
      </w:tr>
      <w:tr w:rsidR="00531C4D" w:rsidRPr="00C15639" w14:paraId="77E8D90F" w14:textId="77777777" w:rsidTr="00531C4D">
        <w:trPr>
          <w:gridAfter w:val="16"/>
          <w:wAfter w:w="5017" w:type="dxa"/>
        </w:trPr>
        <w:tc>
          <w:tcPr>
            <w:tcW w:w="1201" w:type="dxa"/>
            <w:gridSpan w:val="7"/>
            <w:tcBorders>
              <w:right w:val="single" w:sz="6" w:space="0" w:color="auto"/>
            </w:tcBorders>
          </w:tcPr>
          <w:p w14:paraId="26B04E53" w14:textId="77777777" w:rsidR="00531C4D" w:rsidRPr="00C15639" w:rsidRDefault="00531C4D" w:rsidP="00531C4D">
            <w:pPr>
              <w:pStyle w:val="1ff3"/>
              <w:spacing w:line="360" w:lineRule="auto"/>
              <w:rPr>
                <w:sz w:val="24"/>
                <w:szCs w:val="24"/>
              </w:rPr>
            </w:pPr>
          </w:p>
        </w:tc>
        <w:tc>
          <w:tcPr>
            <w:tcW w:w="7655" w:type="dxa"/>
            <w:gridSpan w:val="52"/>
            <w:tcBorders>
              <w:left w:val="nil"/>
              <w:right w:val="single" w:sz="6" w:space="0" w:color="auto"/>
            </w:tcBorders>
          </w:tcPr>
          <w:p w14:paraId="54B988D6" w14:textId="77777777" w:rsidR="00531C4D" w:rsidRPr="00C15639" w:rsidRDefault="00531C4D" w:rsidP="00531C4D">
            <w:pPr>
              <w:pStyle w:val="1ff3"/>
              <w:spacing w:line="360" w:lineRule="auto"/>
              <w:jc w:val="center"/>
              <w:rPr>
                <w:sz w:val="24"/>
                <w:szCs w:val="24"/>
              </w:rPr>
            </w:pPr>
          </w:p>
        </w:tc>
        <w:tc>
          <w:tcPr>
            <w:tcW w:w="1902" w:type="dxa"/>
            <w:gridSpan w:val="18"/>
            <w:tcBorders>
              <w:left w:val="nil"/>
            </w:tcBorders>
          </w:tcPr>
          <w:p w14:paraId="6CC36CE8" w14:textId="77777777" w:rsidR="00531C4D" w:rsidRPr="00C15639" w:rsidRDefault="00531C4D" w:rsidP="00531C4D">
            <w:pPr>
              <w:pStyle w:val="1ff3"/>
              <w:spacing w:line="360" w:lineRule="auto"/>
              <w:rPr>
                <w:sz w:val="24"/>
                <w:szCs w:val="24"/>
              </w:rPr>
            </w:pPr>
          </w:p>
        </w:tc>
        <w:tc>
          <w:tcPr>
            <w:tcW w:w="1422" w:type="dxa"/>
            <w:gridSpan w:val="17"/>
          </w:tcPr>
          <w:p w14:paraId="2035E117" w14:textId="77777777" w:rsidR="00531C4D" w:rsidRPr="00C15639" w:rsidRDefault="00531C4D" w:rsidP="00531C4D">
            <w:pPr>
              <w:rPr>
                <w:szCs w:val="24"/>
              </w:rPr>
            </w:pPr>
          </w:p>
        </w:tc>
        <w:tc>
          <w:tcPr>
            <w:tcW w:w="1420" w:type="dxa"/>
            <w:gridSpan w:val="15"/>
          </w:tcPr>
          <w:p w14:paraId="4E08FCE8" w14:textId="77777777" w:rsidR="00531C4D" w:rsidRPr="00C15639" w:rsidRDefault="00531C4D" w:rsidP="00531C4D">
            <w:pPr>
              <w:rPr>
                <w:szCs w:val="24"/>
              </w:rPr>
            </w:pPr>
          </w:p>
        </w:tc>
        <w:tc>
          <w:tcPr>
            <w:tcW w:w="1420" w:type="dxa"/>
            <w:gridSpan w:val="10"/>
          </w:tcPr>
          <w:p w14:paraId="49DB2A0C" w14:textId="77777777" w:rsidR="00531C4D" w:rsidRPr="00C15639" w:rsidRDefault="00531C4D" w:rsidP="00531C4D">
            <w:pPr>
              <w:rPr>
                <w:szCs w:val="24"/>
              </w:rPr>
            </w:pPr>
          </w:p>
        </w:tc>
      </w:tr>
      <w:tr w:rsidR="00531C4D" w:rsidRPr="00C15639" w14:paraId="19D48420" w14:textId="77777777" w:rsidTr="00531C4D">
        <w:trPr>
          <w:gridAfter w:val="16"/>
          <w:wAfter w:w="5017" w:type="dxa"/>
        </w:trPr>
        <w:tc>
          <w:tcPr>
            <w:tcW w:w="3044" w:type="dxa"/>
            <w:gridSpan w:val="18"/>
            <w:tcBorders>
              <w:top w:val="single" w:sz="6" w:space="0" w:color="auto"/>
              <w:left w:val="single" w:sz="6" w:space="0" w:color="auto"/>
              <w:bottom w:val="single" w:sz="6" w:space="0" w:color="auto"/>
              <w:right w:val="single" w:sz="6" w:space="0" w:color="auto"/>
            </w:tcBorders>
          </w:tcPr>
          <w:p w14:paraId="3ADC1853" w14:textId="77777777" w:rsidR="00531C4D" w:rsidRPr="00C15639" w:rsidRDefault="00531C4D" w:rsidP="00531C4D">
            <w:pPr>
              <w:pStyle w:val="1ff3"/>
              <w:spacing w:line="360" w:lineRule="auto"/>
              <w:jc w:val="center"/>
              <w:rPr>
                <w:sz w:val="24"/>
                <w:szCs w:val="24"/>
              </w:rPr>
            </w:pPr>
            <w:r w:rsidRPr="00C15639">
              <w:rPr>
                <w:sz w:val="24"/>
                <w:szCs w:val="24"/>
              </w:rPr>
              <w:t>Лечение 3-10 дней</w:t>
            </w:r>
          </w:p>
        </w:tc>
        <w:tc>
          <w:tcPr>
            <w:tcW w:w="5812" w:type="dxa"/>
            <w:gridSpan w:val="41"/>
            <w:tcBorders>
              <w:left w:val="nil"/>
              <w:right w:val="single" w:sz="6" w:space="0" w:color="auto"/>
            </w:tcBorders>
          </w:tcPr>
          <w:p w14:paraId="289DF601" w14:textId="77777777" w:rsidR="00531C4D" w:rsidRPr="00C15639" w:rsidRDefault="00531C4D" w:rsidP="00531C4D">
            <w:pPr>
              <w:pStyle w:val="1ff3"/>
              <w:spacing w:line="360" w:lineRule="auto"/>
              <w:jc w:val="center"/>
              <w:rPr>
                <w:sz w:val="24"/>
                <w:szCs w:val="24"/>
              </w:rPr>
            </w:pPr>
          </w:p>
        </w:tc>
        <w:tc>
          <w:tcPr>
            <w:tcW w:w="1902" w:type="dxa"/>
            <w:gridSpan w:val="18"/>
            <w:tcBorders>
              <w:left w:val="nil"/>
            </w:tcBorders>
          </w:tcPr>
          <w:p w14:paraId="4EF353A3" w14:textId="77777777" w:rsidR="00531C4D" w:rsidRPr="00C15639" w:rsidRDefault="00531C4D" w:rsidP="00531C4D">
            <w:pPr>
              <w:pStyle w:val="1ff3"/>
              <w:spacing w:line="360" w:lineRule="auto"/>
              <w:rPr>
                <w:sz w:val="24"/>
                <w:szCs w:val="24"/>
              </w:rPr>
            </w:pPr>
          </w:p>
        </w:tc>
        <w:tc>
          <w:tcPr>
            <w:tcW w:w="1422" w:type="dxa"/>
            <w:gridSpan w:val="17"/>
          </w:tcPr>
          <w:p w14:paraId="67DC74CC" w14:textId="77777777" w:rsidR="00531C4D" w:rsidRPr="00C15639" w:rsidRDefault="00531C4D" w:rsidP="00531C4D">
            <w:pPr>
              <w:rPr>
                <w:szCs w:val="24"/>
              </w:rPr>
            </w:pPr>
          </w:p>
        </w:tc>
        <w:tc>
          <w:tcPr>
            <w:tcW w:w="1420" w:type="dxa"/>
            <w:gridSpan w:val="15"/>
          </w:tcPr>
          <w:p w14:paraId="0F79951F" w14:textId="77777777" w:rsidR="00531C4D" w:rsidRPr="00C15639" w:rsidRDefault="00531C4D" w:rsidP="00531C4D">
            <w:pPr>
              <w:rPr>
                <w:szCs w:val="24"/>
              </w:rPr>
            </w:pPr>
          </w:p>
        </w:tc>
        <w:tc>
          <w:tcPr>
            <w:tcW w:w="1420" w:type="dxa"/>
            <w:gridSpan w:val="10"/>
          </w:tcPr>
          <w:p w14:paraId="465A8607" w14:textId="77777777" w:rsidR="00531C4D" w:rsidRPr="00C15639" w:rsidRDefault="00531C4D" w:rsidP="00531C4D">
            <w:pPr>
              <w:rPr>
                <w:szCs w:val="24"/>
              </w:rPr>
            </w:pPr>
          </w:p>
        </w:tc>
      </w:tr>
      <w:tr w:rsidR="00531C4D" w:rsidRPr="00C15639" w14:paraId="54E10321" w14:textId="77777777" w:rsidTr="00531C4D">
        <w:trPr>
          <w:gridAfter w:val="43"/>
          <w:wAfter w:w="7898" w:type="dxa"/>
        </w:trPr>
        <w:tc>
          <w:tcPr>
            <w:tcW w:w="1184" w:type="dxa"/>
            <w:gridSpan w:val="6"/>
          </w:tcPr>
          <w:p w14:paraId="08DD8157" w14:textId="77777777" w:rsidR="00531C4D" w:rsidRPr="00C15639" w:rsidRDefault="00531C4D" w:rsidP="00531C4D">
            <w:pPr>
              <w:pStyle w:val="1ff3"/>
              <w:spacing w:line="360" w:lineRule="auto"/>
              <w:rPr>
                <w:sz w:val="24"/>
                <w:szCs w:val="24"/>
              </w:rPr>
            </w:pPr>
          </w:p>
        </w:tc>
        <w:tc>
          <w:tcPr>
            <w:tcW w:w="1297" w:type="dxa"/>
            <w:gridSpan w:val="8"/>
            <w:tcBorders>
              <w:left w:val="single" w:sz="6" w:space="0" w:color="auto"/>
            </w:tcBorders>
          </w:tcPr>
          <w:p w14:paraId="34B7A58C" w14:textId="77777777" w:rsidR="00531C4D" w:rsidRPr="00C15639" w:rsidRDefault="00531C4D" w:rsidP="00531C4D">
            <w:pPr>
              <w:pStyle w:val="1ff3"/>
              <w:spacing w:line="360" w:lineRule="auto"/>
              <w:rPr>
                <w:sz w:val="24"/>
                <w:szCs w:val="24"/>
              </w:rPr>
            </w:pPr>
          </w:p>
        </w:tc>
        <w:tc>
          <w:tcPr>
            <w:tcW w:w="1981" w:type="dxa"/>
            <w:gridSpan w:val="13"/>
            <w:tcBorders>
              <w:top w:val="single" w:sz="6" w:space="0" w:color="auto"/>
              <w:right w:val="single" w:sz="6" w:space="0" w:color="auto"/>
            </w:tcBorders>
          </w:tcPr>
          <w:p w14:paraId="0456B585" w14:textId="77777777" w:rsidR="00531C4D" w:rsidRPr="00C15639" w:rsidRDefault="00531C4D" w:rsidP="00531C4D">
            <w:pPr>
              <w:pStyle w:val="1ff3"/>
              <w:spacing w:line="360" w:lineRule="auto"/>
              <w:rPr>
                <w:sz w:val="24"/>
                <w:szCs w:val="24"/>
              </w:rPr>
            </w:pPr>
          </w:p>
        </w:tc>
        <w:tc>
          <w:tcPr>
            <w:tcW w:w="4394" w:type="dxa"/>
            <w:gridSpan w:val="32"/>
            <w:tcBorders>
              <w:left w:val="nil"/>
            </w:tcBorders>
          </w:tcPr>
          <w:p w14:paraId="0D7E51A3" w14:textId="77777777" w:rsidR="00531C4D" w:rsidRPr="00C15639" w:rsidRDefault="00531C4D" w:rsidP="00531C4D">
            <w:pPr>
              <w:pStyle w:val="1ff3"/>
              <w:spacing w:line="360" w:lineRule="auto"/>
              <w:rPr>
                <w:sz w:val="24"/>
                <w:szCs w:val="24"/>
              </w:rPr>
            </w:pPr>
          </w:p>
        </w:tc>
        <w:tc>
          <w:tcPr>
            <w:tcW w:w="1869" w:type="dxa"/>
            <w:gridSpan w:val="16"/>
            <w:tcBorders>
              <w:left w:val="single" w:sz="6" w:space="0" w:color="auto"/>
            </w:tcBorders>
          </w:tcPr>
          <w:p w14:paraId="420E9509" w14:textId="77777777" w:rsidR="00531C4D" w:rsidRPr="00C15639" w:rsidRDefault="00531C4D" w:rsidP="00531C4D">
            <w:pPr>
              <w:pStyle w:val="1ff3"/>
              <w:spacing w:line="360" w:lineRule="auto"/>
              <w:rPr>
                <w:sz w:val="24"/>
                <w:szCs w:val="24"/>
              </w:rPr>
            </w:pPr>
          </w:p>
        </w:tc>
        <w:tc>
          <w:tcPr>
            <w:tcW w:w="1414" w:type="dxa"/>
            <w:gridSpan w:val="17"/>
          </w:tcPr>
          <w:p w14:paraId="4478444C" w14:textId="77777777" w:rsidR="00531C4D" w:rsidRPr="00C15639" w:rsidRDefault="00531C4D" w:rsidP="00531C4D">
            <w:pPr>
              <w:rPr>
                <w:szCs w:val="24"/>
              </w:rPr>
            </w:pPr>
          </w:p>
        </w:tc>
      </w:tr>
      <w:tr w:rsidR="00531C4D" w:rsidRPr="00C15639" w14:paraId="11D9E2B2" w14:textId="77777777" w:rsidTr="00531C4D">
        <w:trPr>
          <w:gridAfter w:val="26"/>
          <w:wAfter w:w="6437" w:type="dxa"/>
        </w:trPr>
        <w:tc>
          <w:tcPr>
            <w:tcW w:w="2619" w:type="dxa"/>
            <w:gridSpan w:val="16"/>
            <w:tcBorders>
              <w:top w:val="single" w:sz="6" w:space="0" w:color="auto"/>
              <w:left w:val="single" w:sz="6" w:space="0" w:color="auto"/>
              <w:bottom w:val="single" w:sz="6" w:space="0" w:color="auto"/>
              <w:right w:val="single" w:sz="6" w:space="0" w:color="auto"/>
            </w:tcBorders>
          </w:tcPr>
          <w:p w14:paraId="5741FBED" w14:textId="77777777" w:rsidR="00531C4D" w:rsidRPr="00C15639" w:rsidRDefault="00531C4D" w:rsidP="00531C4D">
            <w:pPr>
              <w:pStyle w:val="1ff3"/>
              <w:spacing w:line="360" w:lineRule="auto"/>
              <w:rPr>
                <w:sz w:val="24"/>
                <w:szCs w:val="24"/>
              </w:rPr>
            </w:pPr>
            <w:r w:rsidRPr="00C15639">
              <w:rPr>
                <w:sz w:val="24"/>
                <w:szCs w:val="24"/>
              </w:rPr>
              <w:t>Лечение эффективно</w:t>
            </w:r>
          </w:p>
        </w:tc>
        <w:tc>
          <w:tcPr>
            <w:tcW w:w="425" w:type="dxa"/>
            <w:gridSpan w:val="2"/>
            <w:tcBorders>
              <w:left w:val="nil"/>
            </w:tcBorders>
          </w:tcPr>
          <w:p w14:paraId="196AA55E" w14:textId="77777777" w:rsidR="00531C4D" w:rsidRPr="00C15639" w:rsidRDefault="00531C4D" w:rsidP="00531C4D">
            <w:pPr>
              <w:pStyle w:val="1ff3"/>
              <w:spacing w:line="360" w:lineRule="auto"/>
              <w:rPr>
                <w:sz w:val="24"/>
                <w:szCs w:val="24"/>
              </w:rPr>
            </w:pPr>
          </w:p>
        </w:tc>
        <w:tc>
          <w:tcPr>
            <w:tcW w:w="5327" w:type="dxa"/>
            <w:gridSpan w:val="36"/>
            <w:tcBorders>
              <w:top w:val="single" w:sz="6" w:space="0" w:color="auto"/>
              <w:left w:val="single" w:sz="6" w:space="0" w:color="auto"/>
              <w:bottom w:val="single" w:sz="6" w:space="0" w:color="auto"/>
              <w:right w:val="single" w:sz="6" w:space="0" w:color="auto"/>
            </w:tcBorders>
          </w:tcPr>
          <w:p w14:paraId="2B56BAB3" w14:textId="77777777" w:rsidR="00531C4D" w:rsidRPr="00C15639" w:rsidRDefault="00531C4D" w:rsidP="00531C4D">
            <w:pPr>
              <w:pStyle w:val="1ff3"/>
              <w:spacing w:line="360" w:lineRule="auto"/>
              <w:jc w:val="center"/>
              <w:rPr>
                <w:sz w:val="24"/>
                <w:szCs w:val="24"/>
              </w:rPr>
            </w:pPr>
            <w:r w:rsidRPr="00C15639">
              <w:rPr>
                <w:sz w:val="24"/>
                <w:szCs w:val="24"/>
              </w:rPr>
              <w:t>Отсутствует или недостаточный эффект лечения</w:t>
            </w:r>
          </w:p>
        </w:tc>
        <w:tc>
          <w:tcPr>
            <w:tcW w:w="485" w:type="dxa"/>
            <w:gridSpan w:val="5"/>
            <w:tcBorders>
              <w:left w:val="nil"/>
            </w:tcBorders>
          </w:tcPr>
          <w:p w14:paraId="39453DAB" w14:textId="77777777" w:rsidR="00531C4D" w:rsidRPr="00C15639" w:rsidRDefault="00531C4D" w:rsidP="00531C4D">
            <w:pPr>
              <w:pStyle w:val="1ff3"/>
              <w:spacing w:line="360" w:lineRule="auto"/>
              <w:rPr>
                <w:sz w:val="24"/>
                <w:szCs w:val="24"/>
              </w:rPr>
            </w:pPr>
          </w:p>
        </w:tc>
        <w:tc>
          <w:tcPr>
            <w:tcW w:w="3324" w:type="dxa"/>
            <w:gridSpan w:val="35"/>
            <w:tcBorders>
              <w:left w:val="single" w:sz="6" w:space="0" w:color="auto"/>
            </w:tcBorders>
          </w:tcPr>
          <w:p w14:paraId="305B9E64" w14:textId="77777777" w:rsidR="00531C4D" w:rsidRPr="00C15639" w:rsidRDefault="00531C4D" w:rsidP="00531C4D">
            <w:pPr>
              <w:rPr>
                <w:szCs w:val="24"/>
              </w:rPr>
            </w:pPr>
          </w:p>
        </w:tc>
        <w:tc>
          <w:tcPr>
            <w:tcW w:w="1420" w:type="dxa"/>
            <w:gridSpan w:val="15"/>
          </w:tcPr>
          <w:p w14:paraId="45D830EE" w14:textId="77777777" w:rsidR="00531C4D" w:rsidRPr="00C15639" w:rsidRDefault="00531C4D" w:rsidP="00531C4D">
            <w:pPr>
              <w:rPr>
                <w:szCs w:val="24"/>
              </w:rPr>
            </w:pPr>
          </w:p>
        </w:tc>
      </w:tr>
      <w:tr w:rsidR="00531C4D" w:rsidRPr="00C15639" w14:paraId="3492EC88" w14:textId="77777777" w:rsidTr="00531C4D">
        <w:trPr>
          <w:gridAfter w:val="43"/>
          <w:wAfter w:w="7898" w:type="dxa"/>
        </w:trPr>
        <w:tc>
          <w:tcPr>
            <w:tcW w:w="1184" w:type="dxa"/>
            <w:gridSpan w:val="6"/>
          </w:tcPr>
          <w:p w14:paraId="6EDA7E09" w14:textId="77777777" w:rsidR="00531C4D" w:rsidRPr="00C15639" w:rsidRDefault="00531C4D" w:rsidP="00531C4D">
            <w:pPr>
              <w:pStyle w:val="1ff3"/>
              <w:spacing w:line="360" w:lineRule="auto"/>
              <w:rPr>
                <w:sz w:val="24"/>
                <w:szCs w:val="24"/>
              </w:rPr>
            </w:pPr>
          </w:p>
        </w:tc>
        <w:tc>
          <w:tcPr>
            <w:tcW w:w="1297" w:type="dxa"/>
            <w:gridSpan w:val="8"/>
          </w:tcPr>
          <w:p w14:paraId="4F220206" w14:textId="77777777" w:rsidR="00531C4D" w:rsidRPr="00C15639" w:rsidRDefault="00531C4D" w:rsidP="00531C4D">
            <w:pPr>
              <w:pStyle w:val="1ff3"/>
              <w:spacing w:line="360" w:lineRule="auto"/>
              <w:rPr>
                <w:sz w:val="24"/>
                <w:szCs w:val="24"/>
              </w:rPr>
            </w:pPr>
          </w:p>
        </w:tc>
        <w:tc>
          <w:tcPr>
            <w:tcW w:w="1046" w:type="dxa"/>
            <w:gridSpan w:val="10"/>
          </w:tcPr>
          <w:p w14:paraId="66B4899A" w14:textId="77777777" w:rsidR="00531C4D" w:rsidRPr="00C15639" w:rsidRDefault="00531C4D" w:rsidP="00531C4D">
            <w:pPr>
              <w:pStyle w:val="1ff3"/>
              <w:spacing w:line="360" w:lineRule="auto"/>
              <w:rPr>
                <w:sz w:val="24"/>
                <w:szCs w:val="24"/>
              </w:rPr>
            </w:pPr>
          </w:p>
        </w:tc>
        <w:tc>
          <w:tcPr>
            <w:tcW w:w="3023" w:type="dxa"/>
            <w:gridSpan w:val="15"/>
            <w:tcBorders>
              <w:right w:val="single" w:sz="6" w:space="0" w:color="auto"/>
            </w:tcBorders>
          </w:tcPr>
          <w:p w14:paraId="370FC897" w14:textId="77777777" w:rsidR="00531C4D" w:rsidRPr="00C15639" w:rsidRDefault="00531C4D" w:rsidP="00531C4D">
            <w:pPr>
              <w:pStyle w:val="1ff3"/>
              <w:spacing w:line="360" w:lineRule="auto"/>
              <w:rPr>
                <w:sz w:val="24"/>
                <w:szCs w:val="24"/>
              </w:rPr>
            </w:pPr>
          </w:p>
        </w:tc>
        <w:tc>
          <w:tcPr>
            <w:tcW w:w="2306" w:type="dxa"/>
            <w:gridSpan w:val="20"/>
            <w:tcBorders>
              <w:left w:val="nil"/>
              <w:right w:val="single" w:sz="6" w:space="0" w:color="auto"/>
            </w:tcBorders>
          </w:tcPr>
          <w:p w14:paraId="738F150E" w14:textId="77777777" w:rsidR="00531C4D" w:rsidRPr="00C15639" w:rsidRDefault="00531C4D" w:rsidP="00531C4D">
            <w:pPr>
              <w:pStyle w:val="1ff3"/>
              <w:spacing w:line="360" w:lineRule="auto"/>
              <w:rPr>
                <w:sz w:val="24"/>
                <w:szCs w:val="24"/>
              </w:rPr>
            </w:pPr>
          </w:p>
        </w:tc>
        <w:tc>
          <w:tcPr>
            <w:tcW w:w="3283" w:type="dxa"/>
            <w:gridSpan w:val="33"/>
            <w:tcBorders>
              <w:left w:val="nil"/>
            </w:tcBorders>
          </w:tcPr>
          <w:p w14:paraId="5327AFDF" w14:textId="77777777" w:rsidR="00531C4D" w:rsidRPr="00C15639" w:rsidRDefault="00531C4D" w:rsidP="00531C4D">
            <w:pPr>
              <w:rPr>
                <w:szCs w:val="24"/>
              </w:rPr>
            </w:pPr>
          </w:p>
        </w:tc>
      </w:tr>
      <w:tr w:rsidR="00531C4D" w:rsidRPr="00C15639" w14:paraId="3E7E9724" w14:textId="77777777" w:rsidTr="00531C4D">
        <w:trPr>
          <w:gridAfter w:val="23"/>
          <w:wAfter w:w="6149" w:type="dxa"/>
        </w:trPr>
        <w:tc>
          <w:tcPr>
            <w:tcW w:w="3328" w:type="dxa"/>
            <w:gridSpan w:val="22"/>
          </w:tcPr>
          <w:p w14:paraId="0388F42D" w14:textId="77777777" w:rsidR="00531C4D" w:rsidRPr="00C15639" w:rsidRDefault="00531C4D" w:rsidP="00531C4D">
            <w:pPr>
              <w:pStyle w:val="1ff3"/>
              <w:spacing w:line="360" w:lineRule="auto"/>
              <w:rPr>
                <w:sz w:val="24"/>
                <w:szCs w:val="24"/>
              </w:rPr>
            </w:pPr>
          </w:p>
        </w:tc>
        <w:tc>
          <w:tcPr>
            <w:tcW w:w="6492" w:type="dxa"/>
            <w:gridSpan w:val="46"/>
            <w:tcBorders>
              <w:top w:val="single" w:sz="6" w:space="0" w:color="auto"/>
              <w:left w:val="single" w:sz="6" w:space="0" w:color="auto"/>
              <w:bottom w:val="single" w:sz="6" w:space="0" w:color="auto"/>
              <w:right w:val="single" w:sz="6" w:space="0" w:color="auto"/>
            </w:tcBorders>
          </w:tcPr>
          <w:p w14:paraId="380C22DD" w14:textId="77777777" w:rsidR="00531C4D" w:rsidRPr="00C15639" w:rsidRDefault="00531C4D" w:rsidP="00531C4D">
            <w:pPr>
              <w:pStyle w:val="1ff3"/>
              <w:spacing w:line="360" w:lineRule="auto"/>
              <w:jc w:val="center"/>
              <w:rPr>
                <w:sz w:val="24"/>
                <w:szCs w:val="24"/>
              </w:rPr>
            </w:pPr>
            <w:r w:rsidRPr="00C15639">
              <w:rPr>
                <w:sz w:val="24"/>
                <w:szCs w:val="24"/>
              </w:rPr>
              <w:t xml:space="preserve">Биопсия легкого </w:t>
            </w:r>
          </w:p>
        </w:tc>
        <w:tc>
          <w:tcPr>
            <w:tcW w:w="171" w:type="dxa"/>
            <w:gridSpan w:val="3"/>
          </w:tcPr>
          <w:p w14:paraId="44A23AD2" w14:textId="77777777" w:rsidR="00531C4D" w:rsidRPr="00C15639" w:rsidRDefault="00531C4D" w:rsidP="00531C4D">
            <w:pPr>
              <w:pStyle w:val="1ff3"/>
              <w:spacing w:line="360" w:lineRule="auto"/>
              <w:rPr>
                <w:sz w:val="24"/>
                <w:szCs w:val="24"/>
              </w:rPr>
            </w:pPr>
          </w:p>
        </w:tc>
        <w:tc>
          <w:tcPr>
            <w:tcW w:w="1061" w:type="dxa"/>
            <w:gridSpan w:val="10"/>
          </w:tcPr>
          <w:p w14:paraId="1EB76F85" w14:textId="77777777" w:rsidR="00531C4D" w:rsidRPr="00C15639" w:rsidRDefault="00531C4D" w:rsidP="00531C4D">
            <w:pPr>
              <w:pStyle w:val="1ff3"/>
              <w:spacing w:line="360" w:lineRule="auto"/>
              <w:rPr>
                <w:sz w:val="24"/>
                <w:szCs w:val="24"/>
              </w:rPr>
            </w:pPr>
          </w:p>
        </w:tc>
        <w:tc>
          <w:tcPr>
            <w:tcW w:w="1418" w:type="dxa"/>
            <w:gridSpan w:val="18"/>
          </w:tcPr>
          <w:p w14:paraId="7E3E0400" w14:textId="77777777" w:rsidR="00531C4D" w:rsidRPr="00C15639" w:rsidRDefault="00531C4D" w:rsidP="00531C4D">
            <w:pPr>
              <w:rPr>
                <w:szCs w:val="24"/>
              </w:rPr>
            </w:pPr>
          </w:p>
        </w:tc>
        <w:tc>
          <w:tcPr>
            <w:tcW w:w="1418" w:type="dxa"/>
            <w:gridSpan w:val="13"/>
          </w:tcPr>
          <w:p w14:paraId="2C2C672B" w14:textId="77777777" w:rsidR="00531C4D" w:rsidRPr="00C15639" w:rsidRDefault="00531C4D" w:rsidP="00531C4D">
            <w:pPr>
              <w:rPr>
                <w:szCs w:val="24"/>
              </w:rPr>
            </w:pPr>
          </w:p>
        </w:tc>
      </w:tr>
      <w:tr w:rsidR="00531C4D" w:rsidRPr="00C15639" w14:paraId="260B353B" w14:textId="77777777" w:rsidTr="00531C4D">
        <w:trPr>
          <w:gridAfter w:val="40"/>
          <w:wAfter w:w="7775" w:type="dxa"/>
          <w:cantSplit/>
        </w:trPr>
        <w:tc>
          <w:tcPr>
            <w:tcW w:w="1064" w:type="dxa"/>
            <w:gridSpan w:val="5"/>
          </w:tcPr>
          <w:p w14:paraId="1979149A" w14:textId="77777777" w:rsidR="00531C4D" w:rsidRPr="00C15639" w:rsidRDefault="00531C4D" w:rsidP="00531C4D">
            <w:pPr>
              <w:pStyle w:val="1ff3"/>
              <w:spacing w:line="360" w:lineRule="auto"/>
              <w:rPr>
                <w:sz w:val="24"/>
                <w:szCs w:val="24"/>
              </w:rPr>
            </w:pPr>
          </w:p>
        </w:tc>
        <w:tc>
          <w:tcPr>
            <w:tcW w:w="1701" w:type="dxa"/>
            <w:gridSpan w:val="12"/>
            <w:tcBorders>
              <w:top w:val="single" w:sz="6" w:space="0" w:color="auto"/>
              <w:left w:val="single" w:sz="6" w:space="0" w:color="auto"/>
            </w:tcBorders>
          </w:tcPr>
          <w:p w14:paraId="55180739" w14:textId="77777777" w:rsidR="00531C4D" w:rsidRPr="00C15639" w:rsidRDefault="00531C4D" w:rsidP="00531C4D">
            <w:pPr>
              <w:pStyle w:val="1ff3"/>
              <w:spacing w:line="360" w:lineRule="auto"/>
              <w:rPr>
                <w:sz w:val="24"/>
                <w:szCs w:val="24"/>
              </w:rPr>
            </w:pPr>
          </w:p>
        </w:tc>
        <w:tc>
          <w:tcPr>
            <w:tcW w:w="2109" w:type="dxa"/>
            <w:gridSpan w:val="12"/>
            <w:tcBorders>
              <w:top w:val="single" w:sz="6" w:space="0" w:color="auto"/>
              <w:left w:val="single" w:sz="6" w:space="0" w:color="auto"/>
              <w:bottom w:val="single" w:sz="6" w:space="0" w:color="auto"/>
              <w:right w:val="single" w:sz="6" w:space="0" w:color="auto"/>
            </w:tcBorders>
          </w:tcPr>
          <w:p w14:paraId="15DA0727" w14:textId="77777777" w:rsidR="00531C4D" w:rsidRPr="00C15639" w:rsidRDefault="00531C4D" w:rsidP="00531C4D">
            <w:pPr>
              <w:pStyle w:val="1ff3"/>
              <w:spacing w:line="360" w:lineRule="auto"/>
              <w:jc w:val="center"/>
              <w:rPr>
                <w:sz w:val="24"/>
                <w:szCs w:val="24"/>
              </w:rPr>
            </w:pPr>
          </w:p>
        </w:tc>
        <w:tc>
          <w:tcPr>
            <w:tcW w:w="2143" w:type="dxa"/>
            <w:gridSpan w:val="12"/>
            <w:tcBorders>
              <w:top w:val="single" w:sz="6" w:space="0" w:color="auto"/>
            </w:tcBorders>
          </w:tcPr>
          <w:p w14:paraId="685116CB" w14:textId="77777777" w:rsidR="00531C4D" w:rsidRPr="00C15639" w:rsidRDefault="00531C4D" w:rsidP="00531C4D">
            <w:pPr>
              <w:pStyle w:val="1ff3"/>
              <w:spacing w:line="360" w:lineRule="auto"/>
              <w:rPr>
                <w:sz w:val="24"/>
                <w:szCs w:val="24"/>
              </w:rPr>
            </w:pPr>
          </w:p>
        </w:tc>
        <w:tc>
          <w:tcPr>
            <w:tcW w:w="1699" w:type="dxa"/>
            <w:gridSpan w:val="15"/>
            <w:tcBorders>
              <w:top w:val="single" w:sz="6" w:space="0" w:color="auto"/>
              <w:left w:val="single" w:sz="6" w:space="0" w:color="auto"/>
              <w:right w:val="single" w:sz="6" w:space="0" w:color="auto"/>
            </w:tcBorders>
          </w:tcPr>
          <w:p w14:paraId="09E4495C" w14:textId="77777777" w:rsidR="00531C4D" w:rsidRPr="00C15639" w:rsidRDefault="00531C4D" w:rsidP="00531C4D">
            <w:pPr>
              <w:pStyle w:val="1ff3"/>
              <w:spacing w:line="360" w:lineRule="auto"/>
              <w:rPr>
                <w:sz w:val="24"/>
                <w:szCs w:val="24"/>
              </w:rPr>
            </w:pPr>
          </w:p>
        </w:tc>
        <w:tc>
          <w:tcPr>
            <w:tcW w:w="3546" w:type="dxa"/>
            <w:gridSpan w:val="39"/>
            <w:tcBorders>
              <w:top w:val="single" w:sz="6" w:space="0" w:color="auto"/>
              <w:right w:val="single" w:sz="6" w:space="0" w:color="auto"/>
            </w:tcBorders>
          </w:tcPr>
          <w:p w14:paraId="15DEF935" w14:textId="77777777" w:rsidR="00531C4D" w:rsidRPr="00C15639" w:rsidRDefault="00531C4D" w:rsidP="00531C4D">
            <w:pPr>
              <w:pStyle w:val="1ff3"/>
              <w:spacing w:line="360" w:lineRule="auto"/>
              <w:rPr>
                <w:sz w:val="24"/>
                <w:szCs w:val="24"/>
              </w:rPr>
            </w:pPr>
          </w:p>
        </w:tc>
      </w:tr>
      <w:tr w:rsidR="00531C4D" w:rsidRPr="00C15639" w14:paraId="2E4FB975" w14:textId="77777777" w:rsidTr="00531C4D">
        <w:trPr>
          <w:gridAfter w:val="1"/>
          <w:cantSplit/>
        </w:trPr>
        <w:tc>
          <w:tcPr>
            <w:tcW w:w="1347" w:type="dxa"/>
            <w:gridSpan w:val="8"/>
            <w:tcBorders>
              <w:top w:val="single" w:sz="6" w:space="0" w:color="auto"/>
              <w:left w:val="single" w:sz="6" w:space="0" w:color="auto"/>
              <w:bottom w:val="single" w:sz="6" w:space="0" w:color="auto"/>
              <w:right w:val="single" w:sz="6" w:space="0" w:color="auto"/>
            </w:tcBorders>
          </w:tcPr>
          <w:p w14:paraId="1705DD25" w14:textId="77777777" w:rsidR="00531C4D" w:rsidRPr="00C15639" w:rsidRDefault="00531C4D" w:rsidP="00531C4D">
            <w:pPr>
              <w:pStyle w:val="1ff3"/>
              <w:spacing w:line="360" w:lineRule="auto"/>
              <w:rPr>
                <w:sz w:val="24"/>
                <w:szCs w:val="24"/>
              </w:rPr>
            </w:pPr>
            <w:r w:rsidRPr="00C15639">
              <w:rPr>
                <w:sz w:val="24"/>
                <w:szCs w:val="24"/>
              </w:rPr>
              <w:t>Цитология отпечатков</w:t>
            </w:r>
          </w:p>
        </w:tc>
        <w:tc>
          <w:tcPr>
            <w:tcW w:w="1843" w:type="dxa"/>
            <w:gridSpan w:val="13"/>
            <w:tcBorders>
              <w:top w:val="single" w:sz="6" w:space="0" w:color="auto"/>
              <w:left w:val="single" w:sz="6" w:space="0" w:color="auto"/>
              <w:bottom w:val="single" w:sz="6" w:space="0" w:color="auto"/>
              <w:right w:val="single" w:sz="6" w:space="0" w:color="auto"/>
            </w:tcBorders>
          </w:tcPr>
          <w:p w14:paraId="57019D92" w14:textId="77777777" w:rsidR="00531C4D" w:rsidRPr="00C15639" w:rsidRDefault="00531C4D" w:rsidP="00531C4D">
            <w:pPr>
              <w:pStyle w:val="1ff3"/>
              <w:spacing w:line="360" w:lineRule="auto"/>
              <w:jc w:val="center"/>
              <w:rPr>
                <w:sz w:val="24"/>
                <w:szCs w:val="24"/>
              </w:rPr>
            </w:pPr>
            <w:r w:rsidRPr="00C15639">
              <w:rPr>
                <w:sz w:val="24"/>
                <w:szCs w:val="24"/>
              </w:rPr>
              <w:t>Гистологическое исследование</w:t>
            </w:r>
          </w:p>
        </w:tc>
        <w:tc>
          <w:tcPr>
            <w:tcW w:w="3118" w:type="dxa"/>
            <w:gridSpan w:val="17"/>
            <w:tcBorders>
              <w:top w:val="single" w:sz="6" w:space="0" w:color="auto"/>
              <w:left w:val="single" w:sz="6" w:space="0" w:color="auto"/>
              <w:bottom w:val="single" w:sz="6" w:space="0" w:color="auto"/>
              <w:right w:val="single" w:sz="6" w:space="0" w:color="auto"/>
            </w:tcBorders>
          </w:tcPr>
          <w:p w14:paraId="7406CEAA" w14:textId="77777777" w:rsidR="00531C4D" w:rsidRPr="00C15639" w:rsidRDefault="00531C4D" w:rsidP="00531C4D">
            <w:pPr>
              <w:pStyle w:val="1ff3"/>
              <w:spacing w:line="360" w:lineRule="auto"/>
              <w:jc w:val="center"/>
              <w:rPr>
                <w:sz w:val="24"/>
                <w:szCs w:val="24"/>
              </w:rPr>
            </w:pPr>
            <w:r w:rsidRPr="00C15639">
              <w:rPr>
                <w:sz w:val="24"/>
                <w:szCs w:val="24"/>
              </w:rPr>
              <w:t>Бактериоскопия (окраски по Романовскому-Гимзе, Граму)</w:t>
            </w:r>
          </w:p>
        </w:tc>
        <w:tc>
          <w:tcPr>
            <w:tcW w:w="993" w:type="dxa"/>
            <w:gridSpan w:val="4"/>
            <w:tcBorders>
              <w:top w:val="single" w:sz="6" w:space="0" w:color="auto"/>
              <w:left w:val="single" w:sz="6" w:space="0" w:color="auto"/>
              <w:bottom w:val="single" w:sz="6" w:space="0" w:color="auto"/>
              <w:right w:val="single" w:sz="6" w:space="0" w:color="auto"/>
            </w:tcBorders>
          </w:tcPr>
          <w:p w14:paraId="44334DCA" w14:textId="77777777" w:rsidR="00531C4D" w:rsidRPr="00C15639" w:rsidRDefault="00531C4D" w:rsidP="00531C4D">
            <w:pPr>
              <w:pStyle w:val="1ff3"/>
              <w:spacing w:line="360" w:lineRule="auto"/>
              <w:jc w:val="center"/>
              <w:rPr>
                <w:sz w:val="24"/>
                <w:szCs w:val="24"/>
              </w:rPr>
            </w:pPr>
            <w:r w:rsidRPr="00C15639">
              <w:rPr>
                <w:sz w:val="24"/>
                <w:szCs w:val="24"/>
              </w:rPr>
              <w:t>Посев ткани</w:t>
            </w:r>
          </w:p>
        </w:tc>
        <w:tc>
          <w:tcPr>
            <w:tcW w:w="12736" w:type="dxa"/>
            <w:gridSpan w:val="92"/>
            <w:tcBorders>
              <w:top w:val="single" w:sz="6" w:space="0" w:color="auto"/>
              <w:left w:val="single" w:sz="6" w:space="0" w:color="auto"/>
              <w:bottom w:val="single" w:sz="6" w:space="0" w:color="auto"/>
              <w:right w:val="single" w:sz="6" w:space="0" w:color="auto"/>
            </w:tcBorders>
          </w:tcPr>
          <w:p w14:paraId="7F3C05F0" w14:textId="77777777" w:rsidR="00531C4D" w:rsidRPr="00C15639" w:rsidRDefault="00531C4D" w:rsidP="00531C4D">
            <w:pPr>
              <w:pStyle w:val="1ff3"/>
              <w:spacing w:line="360" w:lineRule="auto"/>
              <w:rPr>
                <w:sz w:val="24"/>
                <w:szCs w:val="24"/>
              </w:rPr>
            </w:pPr>
            <w:r w:rsidRPr="00C15639">
              <w:rPr>
                <w:sz w:val="24"/>
                <w:szCs w:val="24"/>
              </w:rPr>
              <w:t>Определение пневмоцист, ЦМВ, вируса Эпштейна-Барр</w:t>
            </w:r>
          </w:p>
          <w:p w14:paraId="3CBCB3EF" w14:textId="77777777" w:rsidR="00531C4D" w:rsidRPr="00C15639" w:rsidRDefault="00531C4D" w:rsidP="00531C4D">
            <w:pPr>
              <w:pStyle w:val="1ff3"/>
              <w:spacing w:line="360" w:lineRule="auto"/>
              <w:rPr>
                <w:sz w:val="24"/>
                <w:szCs w:val="24"/>
              </w:rPr>
            </w:pPr>
            <w:r w:rsidRPr="00C15639">
              <w:rPr>
                <w:sz w:val="24"/>
                <w:szCs w:val="24"/>
              </w:rPr>
              <w:t>Иммуногистохимическим методом</w:t>
            </w:r>
          </w:p>
        </w:tc>
      </w:tr>
    </w:tbl>
    <w:p w14:paraId="438A8AFB" w14:textId="77777777" w:rsidR="00531C4D" w:rsidRPr="00C15639" w:rsidRDefault="00531C4D" w:rsidP="00531C4D">
      <w:pPr>
        <w:rPr>
          <w:szCs w:val="24"/>
        </w:rPr>
      </w:pPr>
      <w:r w:rsidRPr="00C15639">
        <w:rPr>
          <w:szCs w:val="24"/>
        </w:rPr>
        <w:t>СКТ — компьютерная томография; ПЦР — полимеразная цепная реакция; РИФ — реакция иммунофлюоресценции; ЦМВ — цитомегаловирус.</w:t>
      </w:r>
    </w:p>
    <w:p w14:paraId="350291FB" w14:textId="77777777" w:rsidR="00531C4D" w:rsidRDefault="00531C4D" w:rsidP="00531C4D">
      <w:pPr>
        <w:pStyle w:val="Number1"/>
        <w:spacing w:before="0"/>
        <w:rPr>
          <w:color w:val="auto"/>
          <w:szCs w:val="24"/>
        </w:rPr>
        <w:sectPr w:rsidR="00531C4D" w:rsidSect="00531C4D">
          <w:pgSz w:w="16838" w:h="11906" w:orient="landscape"/>
          <w:pgMar w:top="850" w:right="1134" w:bottom="1701" w:left="1134" w:header="708" w:footer="708" w:gutter="0"/>
          <w:cols w:space="708"/>
          <w:docGrid w:linePitch="360"/>
        </w:sectPr>
      </w:pPr>
    </w:p>
    <w:p w14:paraId="3EA71902" w14:textId="77777777" w:rsidR="00531C4D" w:rsidRPr="00C15639" w:rsidRDefault="00531C4D" w:rsidP="00531C4D">
      <w:pPr>
        <w:pStyle w:val="Number1"/>
        <w:spacing w:before="0"/>
        <w:rPr>
          <w:color w:val="auto"/>
          <w:szCs w:val="24"/>
        </w:rPr>
      </w:pPr>
    </w:p>
    <w:p w14:paraId="2AD3D53B" w14:textId="62A31B4F" w:rsidR="0000369C" w:rsidRPr="0000369C" w:rsidRDefault="00510A44" w:rsidP="0000369C">
      <w:pPr>
        <w:pStyle w:val="2"/>
      </w:pPr>
      <w:bookmarkStart w:id="62" w:name="_Toc67522251"/>
      <w:r w:rsidRPr="00A7029B">
        <w:t>7.</w:t>
      </w:r>
      <w:r>
        <w:t xml:space="preserve">13 </w:t>
      </w:r>
      <w:bookmarkStart w:id="63" w:name="_Toc64478740"/>
      <w:bookmarkStart w:id="64" w:name="_Toc535849612"/>
      <w:r w:rsidR="0000369C" w:rsidRPr="00F65F6F">
        <w:t>Диагностика и лечение почечной недостаточности в гематологии</w:t>
      </w:r>
      <w:bookmarkEnd w:id="62"/>
      <w:bookmarkEnd w:id="63"/>
    </w:p>
    <w:bookmarkEnd w:id="64"/>
    <w:p w14:paraId="1A395473" w14:textId="3645DC52" w:rsidR="0000369C" w:rsidRPr="00F65F6F" w:rsidRDefault="0000369C" w:rsidP="0000369C">
      <w:pPr>
        <w:ind w:firstLine="708"/>
        <w:rPr>
          <w:rFonts w:eastAsia="Times New Roman" w:cs="Times New Roman"/>
          <w:szCs w:val="24"/>
          <w:lang w:eastAsia="ru-RU"/>
        </w:rPr>
      </w:pPr>
      <w:r w:rsidRPr="00F65F6F">
        <w:rPr>
          <w:rFonts w:eastAsia="Times New Roman" w:cs="Times New Roman"/>
          <w:szCs w:val="24"/>
          <w:lang w:eastAsia="ru-RU"/>
        </w:rPr>
        <w:t>Поражения почек у гематологических пациентов имеют многофакторный характер, включающий течение основного заболевания, нефротоксичность проводимой терапии, а также развитие таких осложнений, как сепсис, нарушение водно-электролитного и кислотно-щелочного гомеостаза. Проявления нефрологической патологии</w:t>
      </w:r>
      <w:r>
        <w:rPr>
          <w:rFonts w:eastAsia="Times New Roman" w:cs="Times New Roman"/>
          <w:szCs w:val="24"/>
          <w:lang w:eastAsia="ru-RU"/>
        </w:rPr>
        <w:t xml:space="preserve"> </w:t>
      </w:r>
      <w:r w:rsidRPr="00F65F6F">
        <w:rPr>
          <w:rFonts w:eastAsia="Times New Roman" w:cs="Times New Roman"/>
          <w:szCs w:val="24"/>
          <w:lang w:eastAsia="ru-RU"/>
        </w:rPr>
        <w:t>разнообразны</w:t>
      </w:r>
      <w:r>
        <w:rPr>
          <w:rFonts w:eastAsia="Times New Roman" w:cs="Times New Roman"/>
          <w:szCs w:val="24"/>
          <w:lang w:eastAsia="ru-RU"/>
        </w:rPr>
        <w:t xml:space="preserve"> </w:t>
      </w:r>
      <w:r w:rsidRPr="00F65F6F">
        <w:rPr>
          <w:rFonts w:eastAsia="Times New Roman" w:cs="Times New Roman"/>
          <w:szCs w:val="24"/>
          <w:lang w:eastAsia="ru-RU"/>
        </w:rPr>
        <w:t>и могут манифестировать на любом этапе течения гематологического заболевания: во время диагностики, наблюдения, в период проведения противоопухолевого лечения или после его завершения. Патогенетические механизмы и формы повреждения почек при заболеваниях системы крови также разнообразны и включают поражения, вызванные инфильтрацией опухолевыми клетками паренхимы почек, паранеопластические гломерулонефриты, сдавление увеличенными лимфатическими узлами мочевыводящих структур, отложение в структурах нефрона  моноклонального иммуноглобулина, его фрагментов или  амилоида, поражение сосудов, метаболические нарушения и пр. (таб.1)</w:t>
      </w:r>
      <w:r>
        <w:rPr>
          <w:rFonts w:eastAsia="Times New Roman" w:cs="Times New Roman"/>
          <w:szCs w:val="24"/>
          <w:lang w:eastAsia="ru-RU"/>
        </w:rPr>
        <w:t xml:space="preserve"> </w:t>
      </w:r>
      <w:r>
        <w:rPr>
          <w:rFonts w:eastAsia="Times New Roman" w:cs="Times New Roman"/>
          <w:szCs w:val="24"/>
          <w:lang w:eastAsia="ru-RU"/>
        </w:rPr>
        <w:fldChar w:fldCharType="begin" w:fldLock="1"/>
      </w:r>
      <w:r>
        <w:rPr>
          <w:rFonts w:eastAsia="Times New Roman" w:cs="Times New Roman"/>
          <w:szCs w:val="24"/>
          <w:lang w:eastAsia="ru-RU"/>
        </w:rPr>
        <w:instrText>ADDIN CSL_CITATION {"citationItems":[{"id":"ITEM-1","itemData":{"author":[{"dropping-particle":"","family":"Джумабаева","given":"Б.Т.","non-dropping-particle":"","parse-names":false,"suffix":""},{"dropping-particle":"","family":"Бирюкова","given":"Л.С.","non-dropping-particle":"","parse-names":false,"suffix":""},{"dropping-particle":"","family":"Варшавский","given":"В.А.","non-dropping-particle":"","parse-names":false,"suffix":""},{"dropping-particle":"","family":"Марьина","given":"С.А.","non-dropping-particle":"","parse-names":false,"suffix":""},{"dropping-particle":"","family":"Рощина","given":"Л.С.","non-dropping-particle":"","parse-names":false,"suffix":""},{"dropping-particle":"","family":"Джулакян","given":"У.Л.","non-dropping-particle":"","parse-names":false,"suffix":""},{"dropping-particle":"","family":"Столяревич","given":"Е.C.","non-dropping-particle":"","parse-names":false,"suffix":""}],"container-title":"Онкогематология","id":"ITEM-1","issue":"1","issued":{"date-parts":[["2017"]]},"page":"44-54","title":"Клинико-лабораторные и морфологические особенности поражения почек при лимфопролиферативных заболеваниях","type":"article-journal","volume":"7"},"uris":["http://www.mendeley.com/documents/?uuid=50a28e00-c058-46cf-b75a-5bfd40395f93"]},{"id":"ITEM-2","itemData":{"author":[{"dropping-particle":"","family":"Рехтина","given":"И.Г.","non-dropping-particle":"","parse-names":false,"suffix":""},{"dropping-particle":"","family":"Голицина","given":"Е.П.","non-dropping-particle":"","parse-names":false,"suffix":""},{"dropping-particle":"","family":"Варламова","given":"Е.Ю.","non-dropping-particle":"","parse-names":false,"suffix":""},{"dropping-particle":"","family":"Варшавский","given":"В.А.","non-dropping-particle":"","parse-names":false,"suffix":""},{"dropping-particle":"","family":"Киреева","given":"А.А.","non-dropping-particle":"","parse-names":false,"suffix":""},{"dropping-particle":"","family":"Бирюкова","given":"Л.С.","non-dropping-particle":"","parse-names":false,"suffix":""},{"dropping-particle":"","family":"Савченко","given":"В.Г.","non-dropping-particle":"","parse-names":false,"suffix":""}],"container-title":"Терапевтический архив","id":"ITEM-2","issue":"3","issued":{"date-parts":[["2013"]]},"page":"80-85","title":"Морфологические и иммунохимические особенности нефропатий при множественной миеломе с тяжелой почечной недостаточностью","type":"article-journal","volume":"85"},"uris":["http://www.mendeley.com/documents/?uuid=b7e4aa0d-a654-44bd-b363-35e45db6262e"]},{"id":"ITEM-3","itemData":{"author":[{"dropping-particle":"","family":"Ворожейкина","given":"Е.Г.","non-dropping-particle":"","parse-names":false,"suffix":""},{"dropping-particle":"","family":"Бирюкова","given":"Л.С.","non-dropping-particle":"","parse-names":false,"suffix":""},{"dropping-particle":"","family":"Савченко","given":"В.Г.","non-dropping-particle":"","parse-names":false,"suffix":""}],"container-title":"Гематология и трансфузиология","id":"ITEM-3","issue":"3","issued":{"date-parts":[["2011"]]},"page":"24-27","title":"Клинико-лабораторные проявления нефропатий у больных острыми лейкозами","type":"article-journal","volume":"56"},"uris":["http://www.mendeley.com/documents/?uuid=137272d3-cc35-4bfd-b2f3-d7af020af652"]}],"mendeley":{"formattedCitation":"[102–104]","plainTextFormattedCitation":"[102–104]","previouslyFormattedCitation":"[102–104]"},"properties":{"noteIndex":0},"schema":"https://github.com/citation-style-language/schema/raw/master/csl-citation.json"}</w:instrText>
      </w:r>
      <w:r>
        <w:rPr>
          <w:rFonts w:eastAsia="Times New Roman" w:cs="Times New Roman"/>
          <w:szCs w:val="24"/>
          <w:lang w:eastAsia="ru-RU"/>
        </w:rPr>
        <w:fldChar w:fldCharType="separate"/>
      </w:r>
      <w:r w:rsidRPr="0000369C">
        <w:rPr>
          <w:rFonts w:eastAsia="Times New Roman" w:cs="Times New Roman"/>
          <w:noProof/>
          <w:szCs w:val="24"/>
          <w:lang w:eastAsia="ru-RU"/>
        </w:rPr>
        <w:t>[102–104]</w:t>
      </w:r>
      <w:r>
        <w:rPr>
          <w:rFonts w:eastAsia="Times New Roman" w:cs="Times New Roman"/>
          <w:szCs w:val="24"/>
          <w:lang w:eastAsia="ru-RU"/>
        </w:rPr>
        <w:fldChar w:fldCharType="end"/>
      </w:r>
      <w:r w:rsidRPr="00F65F6F">
        <w:rPr>
          <w:rFonts w:eastAsia="Times New Roman" w:cs="Times New Roman"/>
          <w:szCs w:val="24"/>
          <w:lang w:eastAsia="ru-RU"/>
        </w:rPr>
        <w:t xml:space="preserve">. Кроме того, у гематологического пациента может иметься хроническая болезнь почек (ХБП) не опухолевого генеза (ХБП отмечается примерно у 15% населения). </w:t>
      </w:r>
    </w:p>
    <w:p w14:paraId="246977E7" w14:textId="77777777" w:rsidR="0000369C" w:rsidRPr="00F65F6F" w:rsidRDefault="0000369C" w:rsidP="0000369C">
      <w:pPr>
        <w:rPr>
          <w:rFonts w:eastAsia="Times New Roman" w:cs="Times New Roman"/>
          <w:szCs w:val="24"/>
          <w:lang w:eastAsia="ru-RU"/>
        </w:rPr>
      </w:pPr>
    </w:p>
    <w:p w14:paraId="7D298E43" w14:textId="12BA7272" w:rsidR="0000369C" w:rsidRPr="00FB7761" w:rsidRDefault="0000369C" w:rsidP="0000369C">
      <w:pPr>
        <w:rPr>
          <w:rFonts w:eastAsia="Times New Roman" w:cs="Times New Roman"/>
          <w:szCs w:val="24"/>
          <w:lang w:eastAsia="ru-RU"/>
        </w:rPr>
      </w:pPr>
      <w:r w:rsidRPr="00F65F6F">
        <w:rPr>
          <w:rFonts w:eastAsia="Times New Roman" w:cs="Times New Roman"/>
          <w:szCs w:val="24"/>
          <w:lang w:eastAsia="ru-RU"/>
        </w:rPr>
        <w:t>Таблица 1. Этиопатогенетические механизмы поражения почек при гематологических заболеваниях и формы почечной патологии</w:t>
      </w:r>
      <w:r w:rsidRPr="00FB7761">
        <w:rPr>
          <w:rFonts w:eastAsia="Times New Roman" w:cs="Times New Roman"/>
          <w:szCs w:val="24"/>
          <w:lang w:eastAsia="ru-RU"/>
        </w:rPr>
        <w:t xml:space="preserve"> </w:t>
      </w:r>
      <w:r>
        <w:rPr>
          <w:rFonts w:eastAsia="Times New Roman" w:cs="Times New Roman"/>
          <w:szCs w:val="24"/>
          <w:lang w:eastAsia="ru-RU"/>
        </w:rPr>
        <w:fldChar w:fldCharType="begin" w:fldLock="1"/>
      </w:r>
      <w:r>
        <w:rPr>
          <w:rFonts w:eastAsia="Times New Roman" w:cs="Times New Roman"/>
          <w:szCs w:val="24"/>
          <w:lang w:eastAsia="ru-RU"/>
        </w:rPr>
        <w:instrText>ADDIN CSL_CITATION {"citationItems":[{"id":"ITEM-1","itemData":{"author":[{"dropping-particle":"","family":"Джумабаева","given":"Б.Т.","non-dropping-particle":"","parse-names":false,"suffix":""},{"dropping-particle":"","family":"Бирюкова","given":"Л.С.","non-dropping-particle":"","parse-names":false,"suffix":""},{"dropping-particle":"","family":"Варшавский","given":"В.А.","non-dropping-particle":"","parse-names":false,"suffix":""},{"dropping-particle":"","family":"Марьина","given":"С.А.","non-dropping-particle":"","parse-names":false,"suffix":""},{"dropping-particle":"","family":"Рощина","given":"Л.С.","non-dropping-particle":"","parse-names":false,"suffix":""},{"dropping-particle":"","family":"Джулакян","given":"У.Л.","non-dropping-particle":"","parse-names":false,"suffix":""},{"dropping-particle":"","family":"Столяревич","given":"Е.C.","non-dropping-particle":"","parse-names":false,"suffix":""}],"container-title":"Онкогематология","id":"ITEM-1","issue":"1","issued":{"date-parts":[["2017"]]},"page":"44-54","title":"Клинико-лабораторные и морфологические особенности поражения почек при лимфопролиферативных заболеваниях","type":"article-journal","volume":"7"},"uris":["http://www.mendeley.com/documents/?uuid=50a28e00-c058-46cf-b75a-5bfd40395f93"]},{"id":"ITEM-2","itemData":{"author":[{"dropping-particle":"","family":"Рехтина","given":"И.Г.","non-dropping-particle":"","parse-names":false,"suffix":""},{"dropping-particle":"","family":"Голицина","given":"Е.П.","non-dropping-particle":"","parse-names":false,"suffix":""},{"dropping-particle":"","family":"Варламова","given":"Е.Ю.","non-dropping-particle":"","parse-names":false,"suffix":""},{"dropping-particle":"","family":"Варшавский","given":"В.А.","non-dropping-particle":"","parse-names":false,"suffix":""},{"dropping-particle":"","family":"Киреева","given":"А.А.","non-dropping-particle":"","parse-names":false,"suffix":""},{"dropping-particle":"","family":"Бирюкова","given":"Л.С.","non-dropping-particle":"","parse-names":false,"suffix":""},{"dropping-particle":"","family":"Савченко","given":"В.Г.","non-dropping-particle":"","parse-names":false,"suffix":""}],"container-title":"Терапевтический архив","id":"ITEM-2","issue":"3","issued":{"date-parts":[["2013"]]},"page":"80-85","title":"Морфологические и иммунохимические особенности нефропатий при множественной миеломе с тяжелой почечной недостаточностью","type":"article-journal","volume":"85"},"uris":["http://www.mendeley.com/documents/?uuid=b7e4aa0d-a654-44bd-b363-35e45db6262e"]},{"id":"ITEM-3","itemData":{"author":[{"dropping-particle":"","family":"Ворожейкина","given":"Е.Г.","non-dropping-particle":"","parse-names":false,"suffix":""},{"dropping-particle":"","family":"Бирюкова","given":"Л.С.","non-dropping-particle":"","parse-names":false,"suffix":""},{"dropping-particle":"","family":"Савченко","given":"В.Г.","non-dropping-particle":"","parse-names":false,"suffix":""}],"container-title":"Гематология и трансфузиология","id":"ITEM-3","issue":"3","issued":{"date-parts":[["2011"]]},"page":"24-27","title":"Клинико-лабораторные проявления нефропатий у больных острыми лейкозами","type":"article-journal","volume":"56"},"uris":["http://www.mendeley.com/documents/?uuid=137272d3-cc35-4bfd-b2f3-d7af020af652"]}],"mendeley":{"formattedCitation":"[102–104]","plainTextFormattedCitation":"[102–104]","previouslyFormattedCitation":"[102–104]"},"properties":{"noteIndex":0},"schema":"https://github.com/citation-style-language/schema/raw/master/csl-citation.json"}</w:instrText>
      </w:r>
      <w:r>
        <w:rPr>
          <w:rFonts w:eastAsia="Times New Roman" w:cs="Times New Roman"/>
          <w:szCs w:val="24"/>
          <w:lang w:eastAsia="ru-RU"/>
        </w:rPr>
        <w:fldChar w:fldCharType="separate"/>
      </w:r>
      <w:r w:rsidRPr="0000369C">
        <w:rPr>
          <w:rFonts w:eastAsia="Times New Roman" w:cs="Times New Roman"/>
          <w:noProof/>
          <w:szCs w:val="24"/>
          <w:lang w:eastAsia="ru-RU"/>
        </w:rPr>
        <w:t>[102–104]</w:t>
      </w:r>
      <w:r>
        <w:rPr>
          <w:rFonts w:eastAsia="Times New Roman" w:cs="Times New Roman"/>
          <w:szCs w:val="24"/>
          <w:lang w:eastAsia="ru-RU"/>
        </w:rPr>
        <w:fldChar w:fldCharType="end"/>
      </w:r>
    </w:p>
    <w:tbl>
      <w:tblPr>
        <w:tblStyle w:val="aff9"/>
        <w:tblW w:w="0" w:type="auto"/>
        <w:tblInd w:w="675" w:type="dxa"/>
        <w:tblLook w:val="04A0" w:firstRow="1" w:lastRow="0" w:firstColumn="1" w:lastColumn="0" w:noHBand="0" w:noVBand="1"/>
      </w:tblPr>
      <w:tblGrid>
        <w:gridCol w:w="3969"/>
        <w:gridCol w:w="4393"/>
      </w:tblGrid>
      <w:tr w:rsidR="0000369C" w:rsidRPr="00F65F6F" w14:paraId="03619684" w14:textId="77777777" w:rsidTr="001C46FD">
        <w:trPr>
          <w:trHeight w:val="485"/>
        </w:trPr>
        <w:tc>
          <w:tcPr>
            <w:tcW w:w="3969" w:type="dxa"/>
          </w:tcPr>
          <w:p w14:paraId="3E43AD21" w14:textId="77777777" w:rsidR="0000369C" w:rsidRPr="00F65F6F" w:rsidRDefault="0000369C" w:rsidP="001C46FD">
            <w:pPr>
              <w:rPr>
                <w:rFonts w:eastAsia="Times New Roman" w:cs="Times New Roman"/>
                <w:szCs w:val="24"/>
                <w:lang w:eastAsia="ru-RU"/>
              </w:rPr>
            </w:pPr>
            <w:r w:rsidRPr="00F65F6F">
              <w:rPr>
                <w:rFonts w:eastAsia="Times New Roman" w:cs="Times New Roman"/>
                <w:szCs w:val="24"/>
                <w:lang w:eastAsia="ru-RU"/>
              </w:rPr>
              <w:t>Этиопатогенетические  механизмы</w:t>
            </w:r>
          </w:p>
        </w:tc>
        <w:tc>
          <w:tcPr>
            <w:tcW w:w="4393" w:type="dxa"/>
          </w:tcPr>
          <w:p w14:paraId="4555B084" w14:textId="77777777" w:rsidR="0000369C" w:rsidRPr="00F65F6F" w:rsidRDefault="0000369C" w:rsidP="001C46FD">
            <w:pPr>
              <w:jc w:val="center"/>
              <w:rPr>
                <w:rFonts w:eastAsia="Times New Roman" w:cs="Times New Roman"/>
                <w:szCs w:val="24"/>
                <w:lang w:eastAsia="ru-RU"/>
              </w:rPr>
            </w:pPr>
            <w:r w:rsidRPr="00F65F6F">
              <w:rPr>
                <w:rFonts w:eastAsia="Times New Roman" w:cs="Times New Roman"/>
                <w:szCs w:val="24"/>
                <w:lang w:eastAsia="ru-RU"/>
              </w:rPr>
              <w:t>Формы почечной патологии</w:t>
            </w:r>
          </w:p>
        </w:tc>
      </w:tr>
      <w:tr w:rsidR="0000369C" w:rsidRPr="00F65F6F" w14:paraId="1F146957" w14:textId="77777777" w:rsidTr="001C46FD">
        <w:trPr>
          <w:trHeight w:val="936"/>
        </w:trPr>
        <w:tc>
          <w:tcPr>
            <w:tcW w:w="3969" w:type="dxa"/>
          </w:tcPr>
          <w:p w14:paraId="51D80245" w14:textId="77777777" w:rsidR="0000369C" w:rsidRPr="00F65F6F" w:rsidRDefault="0000369C" w:rsidP="001C46FD">
            <w:pPr>
              <w:rPr>
                <w:rFonts w:eastAsia="Times New Roman" w:cs="Times New Roman"/>
                <w:szCs w:val="24"/>
                <w:lang w:eastAsia="ru-RU"/>
              </w:rPr>
            </w:pPr>
            <w:r w:rsidRPr="00F65F6F">
              <w:rPr>
                <w:rFonts w:eastAsia="Times New Roman" w:cs="Times New Roman"/>
                <w:szCs w:val="24"/>
                <w:lang w:eastAsia="ru-RU"/>
              </w:rPr>
              <w:t xml:space="preserve">Поражения, вызванные инфильтрацией паренхимы почек </w:t>
            </w:r>
          </w:p>
        </w:tc>
        <w:tc>
          <w:tcPr>
            <w:tcW w:w="4393" w:type="dxa"/>
          </w:tcPr>
          <w:p w14:paraId="66DBF35F" w14:textId="77777777" w:rsidR="0000369C" w:rsidRPr="00F65F6F" w:rsidRDefault="0000369C" w:rsidP="001C46FD">
            <w:pPr>
              <w:contextualSpacing/>
              <w:rPr>
                <w:rFonts w:eastAsia="Times New Roman" w:cs="Times New Roman"/>
                <w:szCs w:val="24"/>
                <w:lang w:eastAsia="ru-RU"/>
              </w:rPr>
            </w:pPr>
            <w:r w:rsidRPr="00F65F6F">
              <w:rPr>
                <w:rFonts w:eastAsia="Times New Roman" w:cs="Times New Roman"/>
                <w:szCs w:val="24"/>
                <w:lang w:eastAsia="ru-RU"/>
              </w:rPr>
              <w:t>Диффузная и очаговая  интерстициальная опухолевая инфильтрация</w:t>
            </w:r>
          </w:p>
        </w:tc>
      </w:tr>
      <w:tr w:rsidR="0000369C" w:rsidRPr="00F65F6F" w14:paraId="1320B440" w14:textId="77777777" w:rsidTr="001C46FD">
        <w:tc>
          <w:tcPr>
            <w:tcW w:w="3969" w:type="dxa"/>
          </w:tcPr>
          <w:p w14:paraId="6D1A02AC" w14:textId="77777777" w:rsidR="0000369C" w:rsidRPr="00F65F6F" w:rsidRDefault="0000369C" w:rsidP="001C46FD">
            <w:pPr>
              <w:rPr>
                <w:rFonts w:eastAsia="Times New Roman" w:cs="Times New Roman"/>
                <w:szCs w:val="24"/>
                <w:lang w:eastAsia="ru-RU"/>
              </w:rPr>
            </w:pPr>
            <w:r w:rsidRPr="00F65F6F">
              <w:rPr>
                <w:rFonts w:eastAsia="Times New Roman" w:cs="Times New Roman"/>
                <w:szCs w:val="24"/>
                <w:lang w:eastAsia="ru-RU"/>
              </w:rPr>
              <w:t>Поражения, вызванные механическим  воздействием опухоли</w:t>
            </w:r>
          </w:p>
        </w:tc>
        <w:tc>
          <w:tcPr>
            <w:tcW w:w="4393" w:type="dxa"/>
          </w:tcPr>
          <w:p w14:paraId="19E5790C" w14:textId="77777777" w:rsidR="0000369C" w:rsidRPr="00F65F6F" w:rsidRDefault="0000369C" w:rsidP="001C46FD">
            <w:pPr>
              <w:tabs>
                <w:tab w:val="left" w:pos="284"/>
                <w:tab w:val="left" w:pos="567"/>
              </w:tabs>
              <w:suppressAutoHyphens/>
              <w:contextualSpacing/>
              <w:rPr>
                <w:rFonts w:eastAsia="Arial" w:cs="Times New Roman"/>
                <w:kern w:val="1"/>
                <w:szCs w:val="24"/>
              </w:rPr>
            </w:pPr>
            <w:r w:rsidRPr="00F65F6F">
              <w:rPr>
                <w:rFonts w:eastAsia="Arial" w:cs="Times New Roman"/>
                <w:kern w:val="1"/>
                <w:szCs w:val="24"/>
              </w:rPr>
              <w:t>Сдавление увеличенными лимфатическими узлами мочевыводящих</w:t>
            </w:r>
            <w:r w:rsidRPr="00F65F6F">
              <w:rPr>
                <w:rFonts w:eastAsia="Arial" w:cs="Times New Roman"/>
                <w:color w:val="000000" w:themeColor="text1"/>
                <w:kern w:val="1"/>
                <w:szCs w:val="24"/>
              </w:rPr>
              <w:t xml:space="preserve"> структур</w:t>
            </w:r>
          </w:p>
          <w:p w14:paraId="13617EE1" w14:textId="77777777" w:rsidR="0000369C" w:rsidRPr="00F65F6F" w:rsidRDefault="0000369C" w:rsidP="001C46FD">
            <w:pPr>
              <w:tabs>
                <w:tab w:val="left" w:pos="284"/>
                <w:tab w:val="left" w:pos="567"/>
              </w:tabs>
              <w:suppressAutoHyphens/>
              <w:contextualSpacing/>
              <w:rPr>
                <w:rFonts w:eastAsia="Arial" w:cs="Times New Roman"/>
                <w:kern w:val="1"/>
                <w:szCs w:val="24"/>
              </w:rPr>
            </w:pPr>
            <w:r w:rsidRPr="00F65F6F">
              <w:rPr>
                <w:rFonts w:eastAsia="Arial" w:cs="Times New Roman"/>
                <w:kern w:val="1"/>
                <w:szCs w:val="24"/>
              </w:rPr>
              <w:t>Сдавление почечных сосудов</w:t>
            </w:r>
          </w:p>
          <w:p w14:paraId="1E4D3616" w14:textId="77777777" w:rsidR="0000369C" w:rsidRPr="00F65F6F" w:rsidRDefault="0000369C" w:rsidP="001C46FD">
            <w:pPr>
              <w:tabs>
                <w:tab w:val="left" w:pos="284"/>
                <w:tab w:val="left" w:pos="567"/>
              </w:tabs>
              <w:suppressAutoHyphens/>
              <w:ind w:left="720"/>
              <w:contextualSpacing/>
              <w:rPr>
                <w:rFonts w:eastAsia="Arial" w:cs="Times New Roman"/>
                <w:kern w:val="1"/>
                <w:szCs w:val="24"/>
              </w:rPr>
            </w:pPr>
          </w:p>
        </w:tc>
      </w:tr>
      <w:tr w:rsidR="0000369C" w:rsidRPr="00F65F6F" w14:paraId="12D278F3" w14:textId="77777777" w:rsidTr="001C46FD">
        <w:tc>
          <w:tcPr>
            <w:tcW w:w="3969" w:type="dxa"/>
          </w:tcPr>
          <w:p w14:paraId="68AFAEF3" w14:textId="77777777" w:rsidR="0000369C" w:rsidRPr="00F65F6F" w:rsidRDefault="0000369C" w:rsidP="001C46FD">
            <w:pPr>
              <w:rPr>
                <w:rFonts w:eastAsia="Times New Roman" w:cs="Times New Roman"/>
                <w:szCs w:val="24"/>
                <w:lang w:eastAsia="ru-RU"/>
              </w:rPr>
            </w:pPr>
            <w:r w:rsidRPr="00F65F6F">
              <w:rPr>
                <w:rFonts w:eastAsia="Times New Roman" w:cs="Times New Roman"/>
                <w:szCs w:val="24"/>
                <w:lang w:eastAsia="ru-RU"/>
              </w:rPr>
              <w:t>Опухолевая гломерулопатия</w:t>
            </w:r>
          </w:p>
        </w:tc>
        <w:tc>
          <w:tcPr>
            <w:tcW w:w="4393" w:type="dxa"/>
          </w:tcPr>
          <w:p w14:paraId="36D786DB" w14:textId="77777777" w:rsidR="0000369C" w:rsidRPr="00F65F6F" w:rsidRDefault="0000369C" w:rsidP="001C46FD">
            <w:pPr>
              <w:tabs>
                <w:tab w:val="left" w:pos="284"/>
                <w:tab w:val="left" w:pos="567"/>
              </w:tabs>
              <w:suppressAutoHyphens/>
              <w:contextualSpacing/>
              <w:rPr>
                <w:rFonts w:eastAsia="Arial" w:cs="Times New Roman"/>
                <w:kern w:val="1"/>
                <w:szCs w:val="24"/>
              </w:rPr>
            </w:pPr>
            <w:r w:rsidRPr="00F65F6F">
              <w:rPr>
                <w:rFonts w:eastAsia="Arial" w:cs="Times New Roman"/>
                <w:kern w:val="1"/>
                <w:szCs w:val="24"/>
              </w:rPr>
              <w:t xml:space="preserve">Мезангиопролиферативный ГН  </w:t>
            </w:r>
          </w:p>
          <w:p w14:paraId="055D4C97" w14:textId="77777777" w:rsidR="0000369C" w:rsidRPr="00F65F6F" w:rsidRDefault="0000369C" w:rsidP="001C46FD">
            <w:pPr>
              <w:tabs>
                <w:tab w:val="left" w:pos="284"/>
                <w:tab w:val="left" w:pos="567"/>
              </w:tabs>
              <w:suppressAutoHyphens/>
              <w:contextualSpacing/>
              <w:rPr>
                <w:rFonts w:eastAsia="Arial" w:cs="Times New Roman"/>
                <w:kern w:val="1"/>
                <w:szCs w:val="24"/>
              </w:rPr>
            </w:pPr>
            <w:r w:rsidRPr="00F65F6F">
              <w:rPr>
                <w:rFonts w:eastAsia="Arial" w:cs="Times New Roman"/>
                <w:kern w:val="1"/>
                <w:szCs w:val="24"/>
              </w:rPr>
              <w:t>Мезангиокапиллярный ГН</w:t>
            </w:r>
          </w:p>
          <w:p w14:paraId="674FE5D7" w14:textId="77777777" w:rsidR="0000369C" w:rsidRPr="00F65F6F" w:rsidRDefault="0000369C" w:rsidP="001C46FD">
            <w:pPr>
              <w:tabs>
                <w:tab w:val="left" w:pos="284"/>
                <w:tab w:val="left" w:pos="567"/>
              </w:tabs>
              <w:suppressAutoHyphens/>
              <w:contextualSpacing/>
              <w:rPr>
                <w:rFonts w:eastAsia="Arial" w:cs="Times New Roman"/>
                <w:kern w:val="1"/>
                <w:szCs w:val="24"/>
              </w:rPr>
            </w:pPr>
            <w:r w:rsidRPr="00F65F6F">
              <w:rPr>
                <w:rFonts w:eastAsia="Arial" w:cs="Times New Roman"/>
                <w:kern w:val="1"/>
                <w:szCs w:val="24"/>
              </w:rPr>
              <w:t>Фибриллярный ГН</w:t>
            </w:r>
          </w:p>
          <w:p w14:paraId="7F3150A7" w14:textId="77777777" w:rsidR="0000369C" w:rsidRPr="00F65F6F" w:rsidRDefault="0000369C" w:rsidP="001C46FD">
            <w:pPr>
              <w:tabs>
                <w:tab w:val="left" w:pos="284"/>
                <w:tab w:val="left" w:pos="567"/>
              </w:tabs>
              <w:suppressAutoHyphens/>
              <w:contextualSpacing/>
              <w:rPr>
                <w:rFonts w:eastAsia="Arial" w:cs="Times New Roman"/>
                <w:kern w:val="1"/>
                <w:szCs w:val="24"/>
              </w:rPr>
            </w:pPr>
            <w:r w:rsidRPr="00F65F6F">
              <w:rPr>
                <w:rFonts w:eastAsia="Arial" w:cs="Times New Roman"/>
                <w:kern w:val="1"/>
                <w:szCs w:val="24"/>
              </w:rPr>
              <w:t>Иммунотактоидный ГН</w:t>
            </w:r>
          </w:p>
          <w:p w14:paraId="21F017EC" w14:textId="77777777" w:rsidR="0000369C" w:rsidRPr="00F65F6F" w:rsidRDefault="0000369C" w:rsidP="001C46FD">
            <w:pPr>
              <w:tabs>
                <w:tab w:val="left" w:pos="284"/>
                <w:tab w:val="left" w:pos="567"/>
              </w:tabs>
              <w:suppressAutoHyphens/>
              <w:contextualSpacing/>
              <w:rPr>
                <w:rFonts w:eastAsia="Times New Roman" w:cs="Times New Roman"/>
                <w:szCs w:val="24"/>
                <w:lang w:eastAsia="ru-RU"/>
              </w:rPr>
            </w:pPr>
            <w:r w:rsidRPr="00F65F6F">
              <w:rPr>
                <w:rFonts w:eastAsia="Arial" w:cs="Times New Roman"/>
                <w:kern w:val="1"/>
                <w:szCs w:val="24"/>
              </w:rPr>
              <w:t>Гломерулопатии с минимальными изменениями</w:t>
            </w:r>
          </w:p>
        </w:tc>
      </w:tr>
      <w:tr w:rsidR="0000369C" w:rsidRPr="00F65F6F" w14:paraId="2843F8D6" w14:textId="77777777" w:rsidTr="001C46FD">
        <w:tc>
          <w:tcPr>
            <w:tcW w:w="3969" w:type="dxa"/>
          </w:tcPr>
          <w:p w14:paraId="2F76CF4E" w14:textId="77777777" w:rsidR="0000369C" w:rsidRPr="00F65F6F" w:rsidRDefault="0000369C" w:rsidP="001C46FD">
            <w:pPr>
              <w:rPr>
                <w:rFonts w:eastAsia="Times New Roman" w:cs="Times New Roman"/>
                <w:szCs w:val="24"/>
                <w:lang w:eastAsia="ru-RU"/>
              </w:rPr>
            </w:pPr>
            <w:r w:rsidRPr="00F65F6F">
              <w:rPr>
                <w:rFonts w:eastAsia="Times New Roman" w:cs="Times New Roman"/>
                <w:szCs w:val="24"/>
                <w:lang w:eastAsia="ru-RU"/>
              </w:rPr>
              <w:lastRenderedPageBreak/>
              <w:t>Отложение моноклонального иммуноглобулина или его фрагментов  в структурах нефрона</w:t>
            </w:r>
          </w:p>
        </w:tc>
        <w:tc>
          <w:tcPr>
            <w:tcW w:w="4393" w:type="dxa"/>
          </w:tcPr>
          <w:p w14:paraId="7BFBB2AF" w14:textId="77777777" w:rsidR="0000369C" w:rsidRPr="00F65F6F" w:rsidRDefault="0000369C" w:rsidP="001C46FD">
            <w:pPr>
              <w:contextualSpacing/>
              <w:rPr>
                <w:rFonts w:eastAsia="Times New Roman" w:cs="Times New Roman"/>
                <w:szCs w:val="24"/>
                <w:lang w:eastAsia="ru-RU"/>
              </w:rPr>
            </w:pPr>
            <w:r w:rsidRPr="00F65F6F">
              <w:rPr>
                <w:rFonts w:eastAsia="Times New Roman" w:cs="Times New Roman"/>
                <w:szCs w:val="24"/>
                <w:lang w:eastAsia="ru-RU"/>
              </w:rPr>
              <w:t>Сast- нефропатия</w:t>
            </w:r>
          </w:p>
          <w:p w14:paraId="0202CB21" w14:textId="77777777" w:rsidR="0000369C" w:rsidRPr="00F65F6F" w:rsidRDefault="0000369C" w:rsidP="001C46FD">
            <w:pPr>
              <w:contextualSpacing/>
              <w:rPr>
                <w:rFonts w:eastAsia="Times New Roman" w:cs="Times New Roman"/>
                <w:szCs w:val="24"/>
                <w:lang w:eastAsia="ru-RU"/>
              </w:rPr>
            </w:pPr>
            <w:r w:rsidRPr="00F65F6F">
              <w:rPr>
                <w:rFonts w:eastAsia="Times New Roman" w:cs="Times New Roman"/>
                <w:szCs w:val="24"/>
                <w:lang w:eastAsia="ru-RU"/>
              </w:rPr>
              <w:t>Амилоидоз</w:t>
            </w:r>
          </w:p>
          <w:p w14:paraId="403765AA" w14:textId="77777777" w:rsidR="0000369C" w:rsidRPr="00F65F6F" w:rsidRDefault="0000369C" w:rsidP="001C46FD">
            <w:pPr>
              <w:contextualSpacing/>
              <w:rPr>
                <w:rFonts w:eastAsia="Times New Roman" w:cs="Times New Roman"/>
                <w:szCs w:val="24"/>
                <w:lang w:eastAsia="ru-RU"/>
              </w:rPr>
            </w:pPr>
            <w:r w:rsidRPr="00F65F6F">
              <w:rPr>
                <w:rFonts w:eastAsia="Times New Roman" w:cs="Times New Roman"/>
                <w:szCs w:val="24"/>
                <w:lang w:eastAsia="ru-RU"/>
              </w:rPr>
              <w:t>Болезнь депозитов легких и тяжелых цепей</w:t>
            </w:r>
          </w:p>
        </w:tc>
      </w:tr>
      <w:tr w:rsidR="0000369C" w:rsidRPr="00F65F6F" w14:paraId="1C51AD57" w14:textId="77777777" w:rsidTr="001C46FD">
        <w:tc>
          <w:tcPr>
            <w:tcW w:w="3969" w:type="dxa"/>
          </w:tcPr>
          <w:p w14:paraId="52ADFE8F" w14:textId="77777777" w:rsidR="0000369C" w:rsidRPr="00F65F6F" w:rsidRDefault="0000369C" w:rsidP="001C46FD">
            <w:pPr>
              <w:contextualSpacing/>
              <w:rPr>
                <w:rFonts w:eastAsia="Times New Roman" w:cs="Times New Roman"/>
                <w:szCs w:val="24"/>
                <w:lang w:eastAsia="ru-RU"/>
              </w:rPr>
            </w:pPr>
            <w:r w:rsidRPr="00F65F6F">
              <w:rPr>
                <w:rFonts w:eastAsia="Times New Roman" w:cs="Times New Roman"/>
                <w:szCs w:val="24"/>
                <w:lang w:eastAsia="ru-RU"/>
              </w:rPr>
              <w:t>Поражение сосудов при различной гематологической патологии:</w:t>
            </w:r>
          </w:p>
          <w:p w14:paraId="780BA576" w14:textId="77777777" w:rsidR="0000369C" w:rsidRPr="00F65F6F" w:rsidRDefault="0000369C" w:rsidP="001C46FD">
            <w:pPr>
              <w:contextualSpacing/>
              <w:rPr>
                <w:rFonts w:eastAsia="Times New Roman" w:cs="Times New Roman"/>
                <w:szCs w:val="24"/>
                <w:lang w:eastAsia="ru-RU"/>
              </w:rPr>
            </w:pPr>
            <w:r w:rsidRPr="00F65F6F">
              <w:rPr>
                <w:rFonts w:eastAsia="Times New Roman" w:cs="Times New Roman"/>
                <w:szCs w:val="24"/>
                <w:lang w:eastAsia="ru-RU"/>
              </w:rPr>
              <w:t>Тромботическая микроангиопатия</w:t>
            </w:r>
          </w:p>
          <w:p w14:paraId="71D7A72F" w14:textId="77777777" w:rsidR="0000369C" w:rsidRPr="00F65F6F" w:rsidRDefault="0000369C" w:rsidP="001C46FD">
            <w:pPr>
              <w:contextualSpacing/>
              <w:rPr>
                <w:rFonts w:eastAsia="Times New Roman" w:cs="Times New Roman"/>
                <w:szCs w:val="24"/>
                <w:lang w:eastAsia="ru-RU"/>
              </w:rPr>
            </w:pPr>
            <w:r w:rsidRPr="00F65F6F">
              <w:rPr>
                <w:rFonts w:eastAsia="Times New Roman" w:cs="Times New Roman"/>
                <w:szCs w:val="24"/>
                <w:lang w:eastAsia="ru-RU"/>
              </w:rPr>
              <w:t>Антифосфолипидный синдром</w:t>
            </w:r>
          </w:p>
          <w:p w14:paraId="7935B812" w14:textId="77777777" w:rsidR="0000369C" w:rsidRPr="00F65F6F" w:rsidRDefault="0000369C" w:rsidP="001C46FD">
            <w:pPr>
              <w:contextualSpacing/>
              <w:rPr>
                <w:rFonts w:eastAsia="Times New Roman" w:cs="Times New Roman"/>
                <w:szCs w:val="24"/>
                <w:lang w:eastAsia="ru-RU"/>
              </w:rPr>
            </w:pPr>
            <w:r w:rsidRPr="00F65F6F">
              <w:rPr>
                <w:rFonts w:eastAsia="Times New Roman" w:cs="Times New Roman"/>
                <w:szCs w:val="24"/>
                <w:lang w:eastAsia="ru-RU"/>
              </w:rPr>
              <w:t xml:space="preserve">Тромботическая тромбоцитопеническая пурпура </w:t>
            </w:r>
          </w:p>
          <w:p w14:paraId="1CE39070" w14:textId="77777777" w:rsidR="0000369C" w:rsidRPr="00F65F6F" w:rsidRDefault="0000369C" w:rsidP="001C46FD">
            <w:pPr>
              <w:contextualSpacing/>
              <w:rPr>
                <w:rFonts w:cs="Times New Roman"/>
                <w:szCs w:val="24"/>
              </w:rPr>
            </w:pPr>
            <w:r w:rsidRPr="00F65F6F">
              <w:rPr>
                <w:rFonts w:cs="Times New Roman"/>
                <w:szCs w:val="24"/>
              </w:rPr>
              <w:t>Пурпура  Шенлейна-Геноха</w:t>
            </w:r>
          </w:p>
          <w:p w14:paraId="6128E2F1" w14:textId="77777777" w:rsidR="0000369C" w:rsidRPr="00F65F6F" w:rsidRDefault="0000369C" w:rsidP="001C46FD">
            <w:pPr>
              <w:contextualSpacing/>
              <w:rPr>
                <w:rFonts w:cs="Times New Roman"/>
                <w:szCs w:val="24"/>
              </w:rPr>
            </w:pPr>
            <w:r w:rsidRPr="00F65F6F">
              <w:rPr>
                <w:rFonts w:eastAsia="Times New Roman" w:cs="Times New Roman"/>
                <w:szCs w:val="24"/>
                <w:lang w:eastAsia="ru-RU"/>
              </w:rPr>
              <w:t>Тромбоз почечных сосудов</w:t>
            </w:r>
          </w:p>
          <w:p w14:paraId="7897119D" w14:textId="77777777" w:rsidR="0000369C" w:rsidRPr="00F65F6F" w:rsidRDefault="0000369C" w:rsidP="001C46FD">
            <w:pPr>
              <w:contextualSpacing/>
              <w:rPr>
                <w:rFonts w:cs="Times New Roman"/>
                <w:szCs w:val="24"/>
              </w:rPr>
            </w:pPr>
            <w:r w:rsidRPr="00F65F6F">
              <w:rPr>
                <w:rFonts w:eastAsia="Times New Roman" w:cs="Times New Roman"/>
                <w:szCs w:val="24"/>
                <w:lang w:eastAsia="ru-RU"/>
              </w:rPr>
              <w:t>ДВС-синдром</w:t>
            </w:r>
          </w:p>
          <w:p w14:paraId="568B9A9C" w14:textId="77777777" w:rsidR="0000369C" w:rsidRPr="00F65F6F" w:rsidRDefault="0000369C" w:rsidP="001C46FD">
            <w:pPr>
              <w:contextualSpacing/>
              <w:rPr>
                <w:rFonts w:cs="Times New Roman"/>
                <w:szCs w:val="24"/>
              </w:rPr>
            </w:pPr>
            <w:r w:rsidRPr="00F65F6F">
              <w:rPr>
                <w:rFonts w:cs="Times New Roman"/>
                <w:szCs w:val="24"/>
              </w:rPr>
              <w:t>Радиационная нефропатия</w:t>
            </w:r>
          </w:p>
          <w:p w14:paraId="44B74623" w14:textId="77777777" w:rsidR="0000369C" w:rsidRPr="00F65F6F" w:rsidRDefault="0000369C" w:rsidP="001C46FD">
            <w:pPr>
              <w:contextualSpacing/>
              <w:rPr>
                <w:rFonts w:eastAsia="Times New Roman" w:cs="Times New Roman"/>
                <w:szCs w:val="24"/>
                <w:lang w:eastAsia="ru-RU"/>
              </w:rPr>
            </w:pPr>
            <w:r w:rsidRPr="00F65F6F">
              <w:rPr>
                <w:rFonts w:cs="Times New Roman"/>
                <w:szCs w:val="24"/>
              </w:rPr>
              <w:t>Болезнь Фабри</w:t>
            </w:r>
          </w:p>
        </w:tc>
        <w:tc>
          <w:tcPr>
            <w:tcW w:w="4393" w:type="dxa"/>
          </w:tcPr>
          <w:p w14:paraId="460A8308" w14:textId="77777777" w:rsidR="0000369C" w:rsidRPr="00F65F6F" w:rsidRDefault="0000369C" w:rsidP="001C46FD">
            <w:pPr>
              <w:contextualSpacing/>
              <w:rPr>
                <w:rFonts w:cs="Times New Roman"/>
                <w:szCs w:val="24"/>
              </w:rPr>
            </w:pPr>
            <w:r w:rsidRPr="00F65F6F">
              <w:rPr>
                <w:rFonts w:cs="Times New Roman"/>
                <w:szCs w:val="24"/>
              </w:rPr>
              <w:t>Микроангиопатия, тромбоз сосудов почки</w:t>
            </w:r>
          </w:p>
        </w:tc>
      </w:tr>
      <w:tr w:rsidR="0000369C" w:rsidRPr="00F65F6F" w14:paraId="3C47C049" w14:textId="77777777" w:rsidTr="001C46FD">
        <w:tc>
          <w:tcPr>
            <w:tcW w:w="3969" w:type="dxa"/>
          </w:tcPr>
          <w:p w14:paraId="04739782" w14:textId="77777777" w:rsidR="0000369C" w:rsidRPr="00F65F6F" w:rsidRDefault="0000369C" w:rsidP="001C46FD">
            <w:pPr>
              <w:rPr>
                <w:rFonts w:eastAsia="Times New Roman" w:cs="Times New Roman"/>
                <w:szCs w:val="24"/>
                <w:lang w:eastAsia="ru-RU"/>
              </w:rPr>
            </w:pPr>
            <w:r w:rsidRPr="00F65F6F">
              <w:rPr>
                <w:rFonts w:eastAsia="Times New Roman" w:cs="Times New Roman"/>
                <w:szCs w:val="24"/>
                <w:lang w:eastAsia="ru-RU"/>
              </w:rPr>
              <w:t xml:space="preserve">Поражения, обусловленные метаболическими факторами при: </w:t>
            </w:r>
            <w:r w:rsidRPr="00F65F6F">
              <w:rPr>
                <w:rFonts w:cs="Times New Roman"/>
                <w:szCs w:val="24"/>
              </w:rPr>
              <w:t>Первичный и вторичный гемохроматоз                Нефрокальциноз, фосфорно-кальциевый литиаз                    Острый и хронический   цитолиз Гемолиз, миолиз         Гиперурикемия                  Сольтеряющая, гипокалиемическая почка</w:t>
            </w:r>
          </w:p>
        </w:tc>
        <w:tc>
          <w:tcPr>
            <w:tcW w:w="4393" w:type="dxa"/>
          </w:tcPr>
          <w:p w14:paraId="618812D8" w14:textId="77777777" w:rsidR="0000369C" w:rsidRPr="00642A7B" w:rsidRDefault="0000369C" w:rsidP="001C46FD">
            <w:pPr>
              <w:contextualSpacing/>
              <w:rPr>
                <w:rFonts w:cs="Times New Roman"/>
                <w:szCs w:val="24"/>
              </w:rPr>
            </w:pPr>
            <w:r w:rsidRPr="00F65F6F">
              <w:rPr>
                <w:rFonts w:cs="Times New Roman"/>
                <w:szCs w:val="24"/>
              </w:rPr>
              <w:t xml:space="preserve">Смешанные </w:t>
            </w:r>
          </w:p>
        </w:tc>
      </w:tr>
    </w:tbl>
    <w:p w14:paraId="27A885DD" w14:textId="77777777" w:rsidR="0000369C" w:rsidRDefault="0000369C" w:rsidP="0000369C">
      <w:pPr>
        <w:autoSpaceDE w:val="0"/>
        <w:contextualSpacing/>
        <w:rPr>
          <w:rFonts w:eastAsia="Times New Roman" w:cs="Times New Roman"/>
          <w:bCs/>
          <w:i/>
          <w:iCs/>
          <w:szCs w:val="24"/>
          <w:u w:val="single"/>
          <w:lang w:eastAsia="ru-RU"/>
        </w:rPr>
      </w:pPr>
    </w:p>
    <w:p w14:paraId="072444DB" w14:textId="08F07A3C" w:rsidR="0000369C" w:rsidRPr="00DB270B" w:rsidRDefault="0000369C" w:rsidP="0000369C">
      <w:pPr>
        <w:autoSpaceDE w:val="0"/>
        <w:ind w:firstLine="709"/>
        <w:contextualSpacing/>
        <w:rPr>
          <w:rFonts w:cs="Times New Roman"/>
          <w:bCs/>
          <w:i/>
          <w:iCs/>
          <w:szCs w:val="24"/>
          <w:u w:val="single"/>
        </w:rPr>
      </w:pPr>
      <w:r w:rsidRPr="00DB270B">
        <w:rPr>
          <w:rFonts w:eastAsia="Times New Roman" w:cs="Times New Roman"/>
          <w:bCs/>
          <w:i/>
          <w:iCs/>
          <w:szCs w:val="24"/>
          <w:u w:val="single"/>
          <w:lang w:eastAsia="ru-RU"/>
        </w:rPr>
        <w:t>Основные синдромы с поражением почек при гематологических заболеваниях</w:t>
      </w:r>
      <w:r>
        <w:rPr>
          <w:rFonts w:eastAsia="Times New Roman" w:cs="Times New Roman"/>
          <w:bCs/>
          <w:i/>
          <w:iCs/>
          <w:szCs w:val="24"/>
          <w:u w:val="single"/>
          <w:lang w:eastAsia="ru-RU"/>
        </w:rPr>
        <w:t xml:space="preserve"> </w:t>
      </w:r>
      <w:r>
        <w:rPr>
          <w:rFonts w:eastAsia="Times New Roman" w:cs="Times New Roman"/>
          <w:szCs w:val="24"/>
          <w:lang w:eastAsia="ru-RU"/>
        </w:rPr>
        <w:fldChar w:fldCharType="begin" w:fldLock="1"/>
      </w:r>
      <w:r>
        <w:rPr>
          <w:rFonts w:eastAsia="Times New Roman" w:cs="Times New Roman"/>
          <w:szCs w:val="24"/>
          <w:lang w:eastAsia="ru-RU"/>
        </w:rPr>
        <w:instrText>ADDIN CSL_CITATION {"citationItems":[{"id":"ITEM-1","itemData":{"author":[{"dropping-particle":"","family":"Джумабаева","given":"Б.Т.","non-dropping-particle":"","parse-names":false,"suffix":""},{"dropping-particle":"","family":"Бирюкова","given":"Л.С.","non-dropping-particle":"","parse-names":false,"suffix":""},{"dropping-particle":"","family":"Варшавский","given":"В.А.","non-dropping-particle":"","parse-names":false,"suffix":""},{"dropping-particle":"","family":"Марьина","given":"С.А.","non-dropping-particle":"","parse-names":false,"suffix":""},{"dropping-particle":"","family":"Рощина","given":"Л.С.","non-dropping-particle":"","parse-names":false,"suffix":""},{"dropping-particle":"","family":"Джулакян","given":"У.Л.","non-dropping-particle":"","parse-names":false,"suffix":""},{"dropping-particle":"","family":"Столяревич","given":"Е.C.","non-dropping-particle":"","parse-names":false,"suffix":""}],"container-title":"Онкогематология","id":"ITEM-1","issue":"1","issued":{"date-parts":[["2017"]]},"page":"44-54","title":"Клинико-лабораторные и морфологические особенности поражения почек при лимфопролиферативных заболеваниях","type":"article-journal","volume":"7"},"uris":["http://www.mendeley.com/documents/?uuid=50a28e00-c058-46cf-b75a-5bfd40395f93"]},{"id":"ITEM-2","itemData":{"author":[{"dropping-particle":"","family":"Рехтина","given":"И.Г.","non-dropping-particle":"","parse-names":false,"suffix":""},{"dropping-particle":"","family":"Голицина","given":"Е.П.","non-dropping-particle":"","parse-names":false,"suffix":""},{"dropping-particle":"","family":"Варламова","given":"Е.Ю.","non-dropping-particle":"","parse-names":false,"suffix":""},{"dropping-particle":"","family":"Варшавский","given":"В.А.","non-dropping-particle":"","parse-names":false,"suffix":""},{"dropping-particle":"","family":"Киреева","given":"А.А.","non-dropping-particle":"","parse-names":false,"suffix":""},{"dropping-particle":"","family":"Бирюкова","given":"Л.С.","non-dropping-particle":"","parse-names":false,"suffix":""},{"dropping-particle":"","family":"Савченко","given":"В.Г.","non-dropping-particle":"","parse-names":false,"suffix":""}],"container-title":"Терапевтический архив","id":"ITEM-2","issue":"3","issued":{"date-parts":[["2013"]]},"page":"80-85","title":"Морфологические и иммунохимические особенности нефропатий при множественной миеломе с тяжелой почечной недостаточностью","type":"article-journal","volume":"85"},"uris":["http://www.mendeley.com/documents/?uuid=b7e4aa0d-a654-44bd-b363-35e45db6262e"]},{"id":"ITEM-3","itemData":{"author":[{"dropping-particle":"","family":"Ворожейкина","given":"Е.Г.","non-dropping-particle":"","parse-names":false,"suffix":""},{"dropping-particle":"","family":"Бирюкова","given":"Л.С.","non-dropping-particle":"","parse-names":false,"suffix":""},{"dropping-particle":"","family":"Савченко","given":"В.Г.","non-dropping-particle":"","parse-names":false,"suffix":""}],"container-title":"Гематология и трансфузиология","id":"ITEM-3","issue":"3","issued":{"date-parts":[["2011"]]},"page":"24-27","title":"Клинико-лабораторные проявления нефропатий у больных острыми лейкозами","type":"article-journal","volume":"56"},"uris":["http://www.mendeley.com/documents/?uuid=137272d3-cc35-4bfd-b2f3-d7af020af652"]}],"mendeley":{"formattedCitation":"[102–104]","plainTextFormattedCitation":"[102–104]","previouslyFormattedCitation":"[102–104]"},"properties":{"noteIndex":0},"schema":"https://github.com/citation-style-language/schema/raw/master/csl-citation.json"}</w:instrText>
      </w:r>
      <w:r>
        <w:rPr>
          <w:rFonts w:eastAsia="Times New Roman" w:cs="Times New Roman"/>
          <w:szCs w:val="24"/>
          <w:lang w:eastAsia="ru-RU"/>
        </w:rPr>
        <w:fldChar w:fldCharType="separate"/>
      </w:r>
      <w:r w:rsidRPr="0000369C">
        <w:rPr>
          <w:rFonts w:eastAsia="Times New Roman" w:cs="Times New Roman"/>
          <w:noProof/>
          <w:szCs w:val="24"/>
          <w:lang w:eastAsia="ru-RU"/>
        </w:rPr>
        <w:t>[102–104]</w:t>
      </w:r>
      <w:r>
        <w:rPr>
          <w:rFonts w:eastAsia="Times New Roman" w:cs="Times New Roman"/>
          <w:szCs w:val="24"/>
          <w:lang w:eastAsia="ru-RU"/>
        </w:rPr>
        <w:fldChar w:fldCharType="end"/>
      </w:r>
      <w:r w:rsidRPr="00DB270B">
        <w:rPr>
          <w:rFonts w:eastAsia="Times New Roman" w:cs="Times New Roman"/>
          <w:bCs/>
          <w:i/>
          <w:iCs/>
          <w:szCs w:val="24"/>
          <w:u w:val="single"/>
          <w:lang w:eastAsia="ru-RU"/>
        </w:rPr>
        <w:t xml:space="preserve">. </w:t>
      </w:r>
    </w:p>
    <w:p w14:paraId="157249AC" w14:textId="77777777" w:rsidR="0000369C" w:rsidRPr="00F65F6F" w:rsidRDefault="0000369C" w:rsidP="0000369C">
      <w:pPr>
        <w:ind w:firstLine="709"/>
        <w:rPr>
          <w:rFonts w:eastAsia="Times New Roman" w:cs="Times New Roman"/>
          <w:szCs w:val="24"/>
          <w:lang w:eastAsia="ru-RU"/>
        </w:rPr>
      </w:pPr>
      <w:r w:rsidRPr="00DB270B">
        <w:rPr>
          <w:rFonts w:eastAsia="Times New Roman" w:cs="Times New Roman"/>
          <w:i/>
          <w:szCs w:val="24"/>
          <w:lang w:eastAsia="ru-RU"/>
        </w:rPr>
        <w:t>Синдром лизиса опухоли</w:t>
      </w:r>
      <w:r w:rsidRPr="00F65F6F">
        <w:rPr>
          <w:rFonts w:eastAsia="Times New Roman" w:cs="Times New Roman"/>
          <w:szCs w:val="24"/>
          <w:lang w:eastAsia="ru-RU"/>
        </w:rPr>
        <w:t xml:space="preserve"> сопровождается гиперфосфатемией, гиперкалиемией, гиперурикемией и/или гипокальциемией, что приводит к осаждению в почечных канальцах и паренхиме метаболитов нуклеиновых кислот, кристаллов мочевой кислоты и фосфата кальция с острой обструкцией мочевыводящих путей. Синдром лизиса опухоли развивается при спонтанной гибели опухолевых клеток или при их лизисе, индуцированном химиотерапией. Частота развития синдрома при неходжкинских лимфомах превышает 40%, а общая смертность при его развитии составляет от 0,9% до 17,5%.</w:t>
      </w:r>
    </w:p>
    <w:p w14:paraId="5C81033B" w14:textId="77777777" w:rsidR="0000369C" w:rsidRPr="00F65F6F" w:rsidRDefault="0000369C" w:rsidP="0000369C">
      <w:pPr>
        <w:ind w:firstLine="709"/>
        <w:rPr>
          <w:rFonts w:eastAsia="Times New Roman" w:cs="Times New Roman"/>
          <w:szCs w:val="24"/>
          <w:lang w:eastAsia="ru-RU"/>
        </w:rPr>
      </w:pPr>
      <w:r w:rsidRPr="00DB270B">
        <w:rPr>
          <w:rFonts w:eastAsia="Times New Roman" w:cs="Times New Roman"/>
          <w:i/>
          <w:szCs w:val="24"/>
          <w:lang w:eastAsia="ru-RU"/>
        </w:rPr>
        <w:lastRenderedPageBreak/>
        <w:t>Синдром Фанкони</w:t>
      </w:r>
      <w:r w:rsidRPr="00DB270B">
        <w:rPr>
          <w:rFonts w:eastAsia="Times New Roman" w:cs="Times New Roman"/>
          <w:szCs w:val="24"/>
          <w:lang w:eastAsia="ru-RU"/>
        </w:rPr>
        <w:t xml:space="preserve"> характеризуется нарушением функции проксимальных канальцев</w:t>
      </w:r>
      <w:r w:rsidRPr="00F65F6F">
        <w:rPr>
          <w:rFonts w:eastAsia="Times New Roman" w:cs="Times New Roman"/>
          <w:szCs w:val="24"/>
          <w:lang w:eastAsia="ru-RU"/>
        </w:rPr>
        <w:t xml:space="preserve"> и развитием тубулярного ацидоза, аминоацидурии, глюкозурии, фосфатурии, канальцевой протеинурии, гипокалиемии, гипоурикемии, полиурии с развитием дегидратации и почечной недостаточности разной степени выраженности. При морфологическом исследовании выявляются кристаллические (игольчатой формы) фибриллоподобные включения в эпителии проксимальных канальцев и тубулярная атрофия.</w:t>
      </w:r>
    </w:p>
    <w:p w14:paraId="5C65CDAB" w14:textId="798C63BE" w:rsidR="0000369C" w:rsidRPr="00F65F6F" w:rsidRDefault="0000369C" w:rsidP="0000369C">
      <w:pPr>
        <w:ind w:firstLine="709"/>
        <w:rPr>
          <w:rFonts w:eastAsia="Times New Roman" w:cs="Times New Roman"/>
          <w:szCs w:val="24"/>
          <w:lang w:eastAsia="ru-RU"/>
        </w:rPr>
      </w:pPr>
      <w:r w:rsidRPr="00DB270B">
        <w:rPr>
          <w:rFonts w:eastAsia="Times New Roman" w:cs="Times New Roman"/>
          <w:i/>
          <w:szCs w:val="24"/>
          <w:lang w:eastAsia="ru-RU"/>
        </w:rPr>
        <w:t>Гиперкальциемия</w:t>
      </w:r>
      <w:r w:rsidRPr="00DB270B">
        <w:rPr>
          <w:rFonts w:eastAsia="Times New Roman" w:cs="Times New Roman"/>
          <w:szCs w:val="24"/>
          <w:lang w:eastAsia="ru-RU"/>
        </w:rPr>
        <w:t xml:space="preserve"> развивается в результате остеолизиса и подавления функции</w:t>
      </w:r>
      <w:r w:rsidRPr="00F65F6F">
        <w:rPr>
          <w:rFonts w:eastAsia="Times New Roman" w:cs="Times New Roman"/>
          <w:szCs w:val="24"/>
          <w:lang w:eastAsia="ru-RU"/>
        </w:rPr>
        <w:t xml:space="preserve"> остеобластов под</w:t>
      </w:r>
      <w:r>
        <w:rPr>
          <w:rFonts w:eastAsia="Times New Roman" w:cs="Times New Roman"/>
          <w:szCs w:val="24"/>
          <w:lang w:eastAsia="ru-RU"/>
        </w:rPr>
        <w:t xml:space="preserve"> </w:t>
      </w:r>
      <w:r w:rsidRPr="00F65F6F">
        <w:rPr>
          <w:rFonts w:eastAsia="Times New Roman" w:cs="Times New Roman"/>
          <w:szCs w:val="24"/>
          <w:lang w:eastAsia="ru-RU"/>
        </w:rPr>
        <w:t xml:space="preserve">воздействием секретируемых опухолевыми клетками паратгормоноподобного белка (РТН-fP) или активной формы витамина D — 1, 25-дигитроокси-холекальциферола, которые стимулируют резорбцию костной ткани и/или реабсорбцию кальция в собирательных трубочках нефрона с развитием гиперкальцийурии. Поступление в сосудистое русло ионов кальция в количестве, значительно превышающем экскреторные возможности почек, приводит к снижению почечного плазмотока и развитию ОПП. </w:t>
      </w:r>
    </w:p>
    <w:p w14:paraId="488FEDCA" w14:textId="77777777" w:rsidR="0000369C" w:rsidRDefault="0000369C" w:rsidP="0000369C">
      <w:pPr>
        <w:ind w:firstLine="709"/>
        <w:rPr>
          <w:rFonts w:eastAsia="Times New Roman" w:cs="Times New Roman"/>
          <w:szCs w:val="24"/>
          <w:lang w:eastAsia="ru-RU"/>
        </w:rPr>
      </w:pPr>
      <w:r w:rsidRPr="00DB270B">
        <w:rPr>
          <w:rFonts w:eastAsia="Times New Roman" w:cs="Times New Roman"/>
          <w:i/>
          <w:szCs w:val="24"/>
          <w:lang w:eastAsia="ru-RU"/>
        </w:rPr>
        <w:t>Тромботическая микроангиопатия</w:t>
      </w:r>
      <w:r w:rsidRPr="00DB270B">
        <w:rPr>
          <w:rFonts w:eastAsia="Times New Roman" w:cs="Times New Roman"/>
          <w:szCs w:val="24"/>
          <w:lang w:eastAsia="ru-RU"/>
        </w:rPr>
        <w:t xml:space="preserve"> (ТМА) патогенетически объединяет</w:t>
      </w:r>
      <w:r w:rsidRPr="00F65F6F">
        <w:rPr>
          <w:rFonts w:eastAsia="Times New Roman" w:cs="Times New Roman"/>
          <w:szCs w:val="24"/>
          <w:lang w:eastAsia="ru-RU"/>
        </w:rPr>
        <w:t xml:space="preserve"> тромботическую тромбоцитопеническую пурпуру (ТТП), гемолитико-уремический синдром (ГУС), характеризуется сочетанием гемолитической анемии, тромбоцитопении и полиорганной патологией. Клинически наблюдается тяжелая артериальная гипертензия, протеинурия и гематурия различной степени выраженности, прогрессирующим ухудшением функции почек. </w:t>
      </w:r>
      <w:r w:rsidRPr="00F65F6F">
        <w:rPr>
          <w:rFonts w:eastAsia="Times New Roman" w:cs="Times New Roman"/>
          <w:color w:val="000000"/>
          <w:szCs w:val="24"/>
          <w:lang w:eastAsia="ru-RU"/>
        </w:rPr>
        <w:t xml:space="preserve">В патогенезе ГУС центральную роль играет первичное поражение эндотелия, активация эндотелина – 1 и цитокинов, что вызывает фокальную ишемию коркового слоя почек, стимуляцию   адгезии клеток и тромбообразование. </w:t>
      </w:r>
      <w:r w:rsidRPr="00F65F6F">
        <w:rPr>
          <w:rFonts w:eastAsia="Times New Roman" w:cs="Times New Roman"/>
          <w:szCs w:val="24"/>
          <w:lang w:eastAsia="ru-RU"/>
        </w:rPr>
        <w:t xml:space="preserve">В основе генеза гемолиза лежит механическое разрушение эритроцитов при прохождении их по измененной капиллярной сети, из–за их структурной неполноценности, обусловленной активацией перекисного окисления липидов клеточных мембран, приводящей к ухудшению деформируемости эритроцитов и снижению их устойчивости к механическому повреждению. Тромбоцитопения при ГУС обусловлена, как возросшим потреблением тромбоцитов, так и сокращением периода их жизни. ТТП обусловлена   дефицитом металлопротеазы </w:t>
      </w:r>
      <w:r w:rsidRPr="00F65F6F">
        <w:rPr>
          <w:rFonts w:eastAsia="Times New Roman" w:cs="Times New Roman"/>
          <w:szCs w:val="24"/>
          <w:lang w:val="en-US" w:eastAsia="ru-RU"/>
        </w:rPr>
        <w:t>ADAMTS</w:t>
      </w:r>
      <w:r w:rsidRPr="00F65F6F">
        <w:rPr>
          <w:rFonts w:eastAsia="Times New Roman" w:cs="Times New Roman"/>
          <w:szCs w:val="24"/>
          <w:lang w:eastAsia="ru-RU"/>
        </w:rPr>
        <w:t xml:space="preserve">-13, способной расщеплять крупные мультимеры фактора Виллебранда. Нерасщепленные мультимеры способствуют диссеминированной внутрисосудистой агрегации тромбоцитов. </w:t>
      </w:r>
    </w:p>
    <w:p w14:paraId="54A241F6" w14:textId="77777777" w:rsidR="0000369C" w:rsidRPr="00F65F6F" w:rsidRDefault="0000369C" w:rsidP="0000369C">
      <w:pPr>
        <w:ind w:firstLine="709"/>
        <w:rPr>
          <w:rFonts w:eastAsia="Times New Roman" w:cs="Times New Roman"/>
          <w:szCs w:val="24"/>
          <w:lang w:eastAsia="ru-RU"/>
        </w:rPr>
      </w:pPr>
    </w:p>
    <w:p w14:paraId="6FC96390" w14:textId="44D36CC1" w:rsidR="0000369C" w:rsidRPr="006B722A" w:rsidRDefault="0000369C" w:rsidP="0000369C">
      <w:pPr>
        <w:pStyle w:val="afe"/>
        <w:ind w:left="786"/>
        <w:rPr>
          <w:rFonts w:cs="Times New Roman"/>
          <w:bCs/>
          <w:i/>
          <w:iCs/>
          <w:szCs w:val="24"/>
          <w:u w:val="single"/>
        </w:rPr>
      </w:pPr>
      <w:r w:rsidRPr="006B722A">
        <w:rPr>
          <w:rFonts w:cs="Times New Roman"/>
          <w:bCs/>
          <w:i/>
          <w:iCs/>
          <w:szCs w:val="24"/>
          <w:u w:val="single"/>
        </w:rPr>
        <w:t>Диагностика острого повреждения почек и хронической болезни почек</w:t>
      </w:r>
      <w:r>
        <w:rPr>
          <w:rFonts w:cs="Times New Roman"/>
          <w:bCs/>
          <w:i/>
          <w:iCs/>
          <w:szCs w:val="24"/>
          <w:u w:val="single"/>
        </w:rPr>
        <w:t xml:space="preserve"> </w:t>
      </w:r>
      <w:r>
        <w:rPr>
          <w:rFonts w:eastAsia="Times New Roman" w:cs="Times New Roman"/>
          <w:szCs w:val="24"/>
          <w:lang w:eastAsia="ru-RU"/>
        </w:rPr>
        <w:fldChar w:fldCharType="begin" w:fldLock="1"/>
      </w:r>
      <w:r>
        <w:rPr>
          <w:rFonts w:eastAsia="Times New Roman" w:cs="Times New Roman"/>
          <w:szCs w:val="24"/>
          <w:lang w:eastAsia="ru-RU"/>
        </w:rPr>
        <w:instrText>ADDIN CSL_CITATION {"citationItems":[{"id":"ITEM-1","itemData":{"author":[{"dropping-particle":"","family":"Джумабаева","given":"Б.Т.","non-dropping-particle":"","parse-names":false,"suffix":""},{"dropping-particle":"","family":"Бирюкова","given":"Л.С.","non-dropping-particle":"","parse-names":false,"suffix":""},{"dropping-particle":"","family":"Варшавский","given":"В.А.","non-dropping-particle":"","parse-names":false,"suffix":""},{"dropping-particle":"","family":"Марьина","given":"С.А.","non-dropping-particle":"","parse-names":false,"suffix":""},{"dropping-particle":"","family":"Рощина","given":"Л.С.","non-dropping-particle":"","parse-names":false,"suffix":""},{"dropping-particle":"","family":"Джулакян","given":"У.Л.","non-dropping-particle":"","parse-names":false,"suffix":""},{"dropping-particle":"","family":"Столяревич","given":"Е.C.","non-dropping-particle":"","parse-names":false,"suffix":""}],"container-title":"Онкогематология","id":"ITEM-1","issue":"1","issued":{"date-parts":[["2017"]]},"page":"44-54","title":"Клинико-лабораторные и морфологические особенности поражения почек при лимфопролиферативных заболеваниях","type":"article-journal","volume":"7"},"uris":["http://www.mendeley.com/documents/?uuid=50a28e00-c058-46cf-b75a-5bfd40395f93"]},{"id":"ITEM-2","itemData":{"author":[{"dropping-particle":"","family":"Рехтина","given":"И.Г.","non-dropping-particle":"","parse-names":false,"suffix":""},{"dropping-particle":"","family":"Голицина","given":"Е.П.","non-dropping-particle":"","parse-names":false,"suffix":""},{"dropping-particle":"","family":"Варламова","given":"Е.Ю.","non-dropping-particle":"","parse-names":false,"suffix":""},{"dropping-particle":"","family":"Варшавский","given":"В.А.","non-dropping-particle":"","parse-names":false,"suffix":""},{"dropping-particle":"","family":"Киреева","given":"А.А.","non-dropping-particle":"","parse-names":false,"suffix":""},{"dropping-particle":"","family":"Бирюкова","given":"Л.С.","non-dropping-particle":"","parse-names":false,"suffix":""},{"dropping-particle":"","family":"Савченко","given":"В.Г.","non-dropping-particle":"","parse-names":false,"suffix":""}],"container-title":"Терапевтический архив","id":"ITEM-2","issue":"3","issued":{"date-parts":[["2013"]]},"page":"80-85","title":"Морфологические и иммунохимические особенности нефропатий при множественной миеломе с тяжелой почечной недостаточностью","type":"article-journal","volume":"85"},"uris":["http://www.mendeley.com/documents/?uuid=b7e4aa0d-a654-44bd-b363-35e45db6262e"]},{"id":"ITEM-3","itemData":{"author":[{"dropping-particle":"","family":"Ворожейкина","given":"Е.Г.","non-dropping-particle":"","parse-names":false,"suffix":""},{"dropping-particle":"","family":"Бирюкова","given":"Л.С.","non-dropping-particle":"","parse-names":false,"suffix":""},{"dropping-particle":"","family":"Савченко","given":"В.Г.","non-dropping-particle":"","parse-names":false,"suffix":""}],"container-title":"Гематология и трансфузиология","id":"ITEM-3","issue":"3","issued":{"date-parts":[["2011"]]},"page":"24-27","title":"Клинико-лабораторные проявления нефропатий у больных острыми лейкозами","type":"article-journal","volume":"56"},"uris":["http://www.mendeley.com/documents/?uuid=137272d3-cc35-4bfd-b2f3-d7af020af652"]}],"mendeley":{"formattedCitation":"[102–104]","plainTextFormattedCitation":"[102–104]","previouslyFormattedCitation":"[102–104]"},"properties":{"noteIndex":0},"schema":"https://github.com/citation-style-language/schema/raw/master/csl-citation.json"}</w:instrText>
      </w:r>
      <w:r>
        <w:rPr>
          <w:rFonts w:eastAsia="Times New Roman" w:cs="Times New Roman"/>
          <w:szCs w:val="24"/>
          <w:lang w:eastAsia="ru-RU"/>
        </w:rPr>
        <w:fldChar w:fldCharType="separate"/>
      </w:r>
      <w:r w:rsidRPr="0000369C">
        <w:rPr>
          <w:rFonts w:eastAsia="Times New Roman" w:cs="Times New Roman"/>
          <w:noProof/>
          <w:szCs w:val="24"/>
          <w:lang w:eastAsia="ru-RU"/>
        </w:rPr>
        <w:t>[102–104]</w:t>
      </w:r>
      <w:r>
        <w:rPr>
          <w:rFonts w:eastAsia="Times New Roman" w:cs="Times New Roman"/>
          <w:szCs w:val="24"/>
          <w:lang w:eastAsia="ru-RU"/>
        </w:rPr>
        <w:fldChar w:fldCharType="end"/>
      </w:r>
      <w:r w:rsidRPr="006B722A">
        <w:rPr>
          <w:rFonts w:cs="Times New Roman"/>
          <w:bCs/>
          <w:i/>
          <w:iCs/>
          <w:szCs w:val="24"/>
          <w:u w:val="single"/>
        </w:rPr>
        <w:t>.</w:t>
      </w:r>
    </w:p>
    <w:p w14:paraId="1BFD8C6B" w14:textId="77777777" w:rsidR="0000369C" w:rsidRPr="009332DB" w:rsidRDefault="0000369C" w:rsidP="0000369C">
      <w:pPr>
        <w:ind w:firstLine="709"/>
        <w:contextualSpacing/>
        <w:rPr>
          <w:rFonts w:cs="Times New Roman"/>
          <w:szCs w:val="24"/>
        </w:rPr>
      </w:pPr>
      <w:r w:rsidRPr="00F65F6F">
        <w:rPr>
          <w:rFonts w:cs="Times New Roman"/>
          <w:szCs w:val="24"/>
        </w:rPr>
        <w:lastRenderedPageBreak/>
        <w:t>Острое повреждение почек (ОПП)</w:t>
      </w:r>
      <w:r w:rsidRPr="00F65F6F">
        <w:rPr>
          <w:rFonts w:cs="Times New Roman"/>
          <w:i/>
          <w:szCs w:val="24"/>
        </w:rPr>
        <w:t xml:space="preserve"> – </w:t>
      </w:r>
      <w:r w:rsidRPr="00F65F6F">
        <w:rPr>
          <w:rFonts w:cs="Times New Roman"/>
          <w:szCs w:val="24"/>
        </w:rPr>
        <w:t xml:space="preserve">внезапное и устойчивое снижение гломерулярной фильтрации или объема мочи или того и другого вместе, </w:t>
      </w:r>
      <w:r w:rsidRPr="009332DB">
        <w:rPr>
          <w:rFonts w:cs="Times New Roman"/>
          <w:szCs w:val="24"/>
        </w:rPr>
        <w:t>сопровождающееся изменениями гомеостаза (таб.2).</w:t>
      </w:r>
    </w:p>
    <w:p w14:paraId="69009725" w14:textId="77777777" w:rsidR="0000369C" w:rsidRPr="009332DB" w:rsidRDefault="0000369C" w:rsidP="0000369C">
      <w:pPr>
        <w:ind w:firstLine="709"/>
        <w:contextualSpacing/>
        <w:rPr>
          <w:rFonts w:cs="Times New Roman"/>
          <w:szCs w:val="24"/>
        </w:rPr>
      </w:pPr>
      <w:r w:rsidRPr="009332DB">
        <w:rPr>
          <w:rFonts w:cs="Times New Roman"/>
          <w:szCs w:val="24"/>
        </w:rPr>
        <w:t>Для диагностики ОПП достаточно наличия одного из трех следующих критериев:</w:t>
      </w:r>
    </w:p>
    <w:p w14:paraId="56B36212" w14:textId="77777777" w:rsidR="0000369C" w:rsidRPr="009332DB" w:rsidRDefault="0000369C" w:rsidP="00C5490F">
      <w:pPr>
        <w:pStyle w:val="afe"/>
        <w:numPr>
          <w:ilvl w:val="0"/>
          <w:numId w:val="112"/>
        </w:numPr>
        <w:rPr>
          <w:rFonts w:cs="Times New Roman"/>
          <w:szCs w:val="24"/>
        </w:rPr>
      </w:pPr>
      <w:r w:rsidRPr="009332DB">
        <w:rPr>
          <w:rFonts w:cs="Times New Roman"/>
          <w:szCs w:val="24"/>
        </w:rPr>
        <w:t>повышение креатинина в сыворотке крови более чем на 26,5 мкмоль/л в течение 48 часов;</w:t>
      </w:r>
    </w:p>
    <w:p w14:paraId="3AC64181" w14:textId="77777777" w:rsidR="0000369C" w:rsidRPr="009332DB" w:rsidRDefault="0000369C" w:rsidP="00C5490F">
      <w:pPr>
        <w:pStyle w:val="afe"/>
        <w:numPr>
          <w:ilvl w:val="0"/>
          <w:numId w:val="112"/>
        </w:numPr>
        <w:rPr>
          <w:rFonts w:cs="Times New Roman"/>
          <w:szCs w:val="24"/>
        </w:rPr>
      </w:pPr>
      <w:r w:rsidRPr="009332DB">
        <w:rPr>
          <w:rFonts w:cs="Times New Roman"/>
          <w:szCs w:val="24"/>
        </w:rPr>
        <w:t>повышение креатинина крови не менее чем в 1,5 раза в течение 7 дней;</w:t>
      </w:r>
    </w:p>
    <w:p w14:paraId="62CBBA18" w14:textId="77777777" w:rsidR="0000369C" w:rsidRPr="009332DB" w:rsidRDefault="0000369C" w:rsidP="00C5490F">
      <w:pPr>
        <w:pStyle w:val="afe"/>
        <w:numPr>
          <w:ilvl w:val="0"/>
          <w:numId w:val="112"/>
        </w:numPr>
        <w:rPr>
          <w:rFonts w:cs="Times New Roman"/>
          <w:szCs w:val="24"/>
        </w:rPr>
      </w:pPr>
      <w:r w:rsidRPr="009332DB">
        <w:rPr>
          <w:rFonts w:cs="Times New Roman"/>
          <w:szCs w:val="24"/>
        </w:rPr>
        <w:t>диурез менее 0,5 мл/кг/час за 6 часов (при условии нормоволемии).</w:t>
      </w:r>
    </w:p>
    <w:p w14:paraId="3CAF0874" w14:textId="77777777" w:rsidR="0000369C" w:rsidRPr="009332DB" w:rsidRDefault="0000369C" w:rsidP="0000369C">
      <w:pPr>
        <w:ind w:left="360"/>
        <w:contextualSpacing/>
        <w:rPr>
          <w:rFonts w:cs="Times New Roman"/>
          <w:szCs w:val="24"/>
        </w:rPr>
      </w:pPr>
    </w:p>
    <w:p w14:paraId="21E42CE6" w14:textId="77777777" w:rsidR="0000369C" w:rsidRPr="00F65F6F" w:rsidRDefault="0000369C" w:rsidP="0000369C">
      <w:pPr>
        <w:ind w:firstLine="708"/>
        <w:contextualSpacing/>
        <w:rPr>
          <w:rFonts w:cs="Times New Roman"/>
          <w:szCs w:val="24"/>
        </w:rPr>
      </w:pPr>
      <w:r w:rsidRPr="009332DB">
        <w:rPr>
          <w:rFonts w:cs="Times New Roman"/>
          <w:szCs w:val="24"/>
        </w:rPr>
        <w:t>Таблица 2. Стадии острого повреждения почек (KDIGO, 2012)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5288"/>
        <w:gridCol w:w="2409"/>
      </w:tblGrid>
      <w:tr w:rsidR="0000369C" w:rsidRPr="00F65F6F" w14:paraId="628554EF" w14:textId="77777777" w:rsidTr="001C46FD">
        <w:tc>
          <w:tcPr>
            <w:tcW w:w="8646" w:type="dxa"/>
            <w:gridSpan w:val="3"/>
            <w:tcBorders>
              <w:top w:val="single" w:sz="4" w:space="0" w:color="auto"/>
              <w:left w:val="single" w:sz="4" w:space="0" w:color="auto"/>
              <w:bottom w:val="single" w:sz="4" w:space="0" w:color="auto"/>
              <w:right w:val="single" w:sz="4" w:space="0" w:color="auto"/>
            </w:tcBorders>
          </w:tcPr>
          <w:p w14:paraId="499B3677"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 xml:space="preserve">                                           Критерии диагностики и стадии ОПП</w:t>
            </w:r>
          </w:p>
        </w:tc>
      </w:tr>
      <w:tr w:rsidR="0000369C" w:rsidRPr="00F65F6F" w14:paraId="4462CE23" w14:textId="77777777" w:rsidTr="001C46FD">
        <w:tc>
          <w:tcPr>
            <w:tcW w:w="949" w:type="dxa"/>
            <w:tcBorders>
              <w:top w:val="single" w:sz="4" w:space="0" w:color="auto"/>
              <w:left w:val="single" w:sz="4" w:space="0" w:color="auto"/>
              <w:bottom w:val="single" w:sz="4" w:space="0" w:color="auto"/>
              <w:right w:val="single" w:sz="4" w:space="0" w:color="auto"/>
            </w:tcBorders>
            <w:hideMark/>
          </w:tcPr>
          <w:p w14:paraId="30184FA2" w14:textId="77777777" w:rsidR="0000369C" w:rsidRPr="00F65F6F" w:rsidRDefault="0000369C" w:rsidP="001C46FD">
            <w:pPr>
              <w:tabs>
                <w:tab w:val="left" w:pos="284"/>
                <w:tab w:val="left" w:pos="567"/>
              </w:tabs>
              <w:jc w:val="center"/>
              <w:rPr>
                <w:rFonts w:eastAsia="Calibri" w:cs="Times New Roman"/>
                <w:szCs w:val="24"/>
              </w:rPr>
            </w:pPr>
            <w:r w:rsidRPr="00F65F6F">
              <w:rPr>
                <w:rFonts w:eastAsia="Calibri" w:cs="Times New Roman"/>
                <w:szCs w:val="24"/>
              </w:rPr>
              <w:t>Стадия</w:t>
            </w:r>
          </w:p>
        </w:tc>
        <w:tc>
          <w:tcPr>
            <w:tcW w:w="5288" w:type="dxa"/>
            <w:tcBorders>
              <w:top w:val="single" w:sz="4" w:space="0" w:color="auto"/>
              <w:left w:val="single" w:sz="4" w:space="0" w:color="auto"/>
              <w:bottom w:val="single" w:sz="4" w:space="0" w:color="auto"/>
              <w:right w:val="single" w:sz="4" w:space="0" w:color="auto"/>
            </w:tcBorders>
            <w:hideMark/>
          </w:tcPr>
          <w:p w14:paraId="2FB3C887" w14:textId="77777777" w:rsidR="0000369C" w:rsidRPr="00F65F6F" w:rsidRDefault="0000369C" w:rsidP="001C46FD">
            <w:pPr>
              <w:tabs>
                <w:tab w:val="left" w:pos="284"/>
                <w:tab w:val="left" w:pos="567"/>
              </w:tabs>
              <w:jc w:val="center"/>
              <w:rPr>
                <w:rFonts w:eastAsia="Calibri" w:cs="Times New Roman"/>
                <w:szCs w:val="24"/>
              </w:rPr>
            </w:pPr>
            <w:r w:rsidRPr="00F65F6F">
              <w:rPr>
                <w:rFonts w:eastAsia="Calibri" w:cs="Times New Roman"/>
                <w:szCs w:val="24"/>
              </w:rPr>
              <w:t>Повышение уровня креатинина сыворотки крови</w:t>
            </w:r>
          </w:p>
        </w:tc>
        <w:tc>
          <w:tcPr>
            <w:tcW w:w="2409" w:type="dxa"/>
            <w:tcBorders>
              <w:top w:val="single" w:sz="4" w:space="0" w:color="auto"/>
              <w:left w:val="single" w:sz="4" w:space="0" w:color="auto"/>
              <w:bottom w:val="single" w:sz="4" w:space="0" w:color="auto"/>
              <w:right w:val="single" w:sz="4" w:space="0" w:color="auto"/>
            </w:tcBorders>
            <w:hideMark/>
          </w:tcPr>
          <w:p w14:paraId="1F20B23F" w14:textId="77777777" w:rsidR="0000369C" w:rsidRPr="00F65F6F" w:rsidRDefault="0000369C" w:rsidP="001C46FD">
            <w:pPr>
              <w:tabs>
                <w:tab w:val="left" w:pos="284"/>
                <w:tab w:val="left" w:pos="567"/>
              </w:tabs>
              <w:jc w:val="center"/>
              <w:rPr>
                <w:rFonts w:eastAsia="Calibri" w:cs="Times New Roman"/>
                <w:szCs w:val="24"/>
              </w:rPr>
            </w:pPr>
            <w:r w:rsidRPr="00F65F6F">
              <w:rPr>
                <w:rFonts w:eastAsia="Calibri" w:cs="Times New Roman"/>
                <w:szCs w:val="24"/>
              </w:rPr>
              <w:t>Диурез</w:t>
            </w:r>
          </w:p>
        </w:tc>
      </w:tr>
      <w:tr w:rsidR="0000369C" w:rsidRPr="00F65F6F" w14:paraId="707DE8C1" w14:textId="77777777" w:rsidTr="001C46FD">
        <w:tc>
          <w:tcPr>
            <w:tcW w:w="949" w:type="dxa"/>
            <w:tcBorders>
              <w:top w:val="single" w:sz="4" w:space="0" w:color="auto"/>
              <w:left w:val="single" w:sz="4" w:space="0" w:color="auto"/>
              <w:bottom w:val="single" w:sz="4" w:space="0" w:color="auto"/>
              <w:right w:val="single" w:sz="4" w:space="0" w:color="auto"/>
            </w:tcBorders>
            <w:hideMark/>
          </w:tcPr>
          <w:p w14:paraId="1D8AF7D9"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1</w:t>
            </w:r>
          </w:p>
        </w:tc>
        <w:tc>
          <w:tcPr>
            <w:tcW w:w="5288" w:type="dxa"/>
            <w:tcBorders>
              <w:top w:val="single" w:sz="4" w:space="0" w:color="auto"/>
              <w:left w:val="single" w:sz="4" w:space="0" w:color="auto"/>
              <w:bottom w:val="single" w:sz="4" w:space="0" w:color="auto"/>
              <w:right w:val="single" w:sz="4" w:space="0" w:color="auto"/>
            </w:tcBorders>
            <w:hideMark/>
          </w:tcPr>
          <w:p w14:paraId="7752FF38"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в 1,5-1,9 раза выше исходного в течение недели</w:t>
            </w:r>
          </w:p>
          <w:p w14:paraId="4615FACF"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или</w:t>
            </w:r>
          </w:p>
          <w:p w14:paraId="5443AD97"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более чем на 26,5 мкмоль/л в течение 2 дней (48 часов)</w:t>
            </w:r>
          </w:p>
        </w:tc>
        <w:tc>
          <w:tcPr>
            <w:tcW w:w="2409" w:type="dxa"/>
            <w:tcBorders>
              <w:top w:val="single" w:sz="4" w:space="0" w:color="auto"/>
              <w:left w:val="single" w:sz="4" w:space="0" w:color="auto"/>
              <w:bottom w:val="single" w:sz="4" w:space="0" w:color="auto"/>
              <w:right w:val="single" w:sz="4" w:space="0" w:color="auto"/>
            </w:tcBorders>
            <w:hideMark/>
          </w:tcPr>
          <w:p w14:paraId="43676441"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Менее 0,5 мл/кг/час в течение 6-12 часов</w:t>
            </w:r>
          </w:p>
        </w:tc>
      </w:tr>
      <w:tr w:rsidR="0000369C" w:rsidRPr="00F65F6F" w14:paraId="174BBEE7" w14:textId="77777777" w:rsidTr="001C46FD">
        <w:trPr>
          <w:trHeight w:val="557"/>
        </w:trPr>
        <w:tc>
          <w:tcPr>
            <w:tcW w:w="949" w:type="dxa"/>
            <w:tcBorders>
              <w:top w:val="single" w:sz="4" w:space="0" w:color="auto"/>
              <w:left w:val="single" w:sz="4" w:space="0" w:color="auto"/>
              <w:bottom w:val="single" w:sz="4" w:space="0" w:color="auto"/>
              <w:right w:val="single" w:sz="4" w:space="0" w:color="auto"/>
            </w:tcBorders>
            <w:hideMark/>
          </w:tcPr>
          <w:p w14:paraId="29571778"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2</w:t>
            </w:r>
          </w:p>
        </w:tc>
        <w:tc>
          <w:tcPr>
            <w:tcW w:w="5288" w:type="dxa"/>
            <w:tcBorders>
              <w:top w:val="single" w:sz="4" w:space="0" w:color="auto"/>
              <w:left w:val="single" w:sz="4" w:space="0" w:color="auto"/>
              <w:bottom w:val="single" w:sz="4" w:space="0" w:color="auto"/>
              <w:right w:val="single" w:sz="4" w:space="0" w:color="auto"/>
            </w:tcBorders>
            <w:hideMark/>
          </w:tcPr>
          <w:p w14:paraId="0D2C2B0B"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в 2,0-2,9 раза выше исходного в течение нескольких дней</w:t>
            </w:r>
          </w:p>
        </w:tc>
        <w:tc>
          <w:tcPr>
            <w:tcW w:w="2409" w:type="dxa"/>
            <w:tcBorders>
              <w:top w:val="single" w:sz="4" w:space="0" w:color="auto"/>
              <w:left w:val="single" w:sz="4" w:space="0" w:color="auto"/>
              <w:bottom w:val="single" w:sz="4" w:space="0" w:color="auto"/>
              <w:right w:val="single" w:sz="4" w:space="0" w:color="auto"/>
            </w:tcBorders>
            <w:hideMark/>
          </w:tcPr>
          <w:p w14:paraId="727BED4E"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Менее 0,5 мл/кг/час в течение более 12 часов</w:t>
            </w:r>
          </w:p>
        </w:tc>
      </w:tr>
      <w:tr w:rsidR="0000369C" w:rsidRPr="00F65F6F" w14:paraId="23D5ED97" w14:textId="77777777" w:rsidTr="001C46FD">
        <w:tc>
          <w:tcPr>
            <w:tcW w:w="949" w:type="dxa"/>
            <w:tcBorders>
              <w:top w:val="single" w:sz="4" w:space="0" w:color="auto"/>
              <w:left w:val="single" w:sz="4" w:space="0" w:color="auto"/>
              <w:bottom w:val="single" w:sz="4" w:space="0" w:color="auto"/>
              <w:right w:val="single" w:sz="4" w:space="0" w:color="auto"/>
            </w:tcBorders>
            <w:hideMark/>
          </w:tcPr>
          <w:p w14:paraId="4FE7573E"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3</w:t>
            </w:r>
          </w:p>
        </w:tc>
        <w:tc>
          <w:tcPr>
            <w:tcW w:w="5288" w:type="dxa"/>
            <w:tcBorders>
              <w:top w:val="single" w:sz="4" w:space="0" w:color="auto"/>
              <w:left w:val="single" w:sz="4" w:space="0" w:color="auto"/>
              <w:bottom w:val="single" w:sz="4" w:space="0" w:color="auto"/>
              <w:right w:val="single" w:sz="4" w:space="0" w:color="auto"/>
            </w:tcBorders>
            <w:hideMark/>
          </w:tcPr>
          <w:p w14:paraId="790ACF9E"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в 3,0 раза выше исходного в течение нескольких дней</w:t>
            </w:r>
          </w:p>
          <w:p w14:paraId="2ECBE865"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и более 354 мкмоль/л</w:t>
            </w:r>
          </w:p>
          <w:p w14:paraId="5F9F383E"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или</w:t>
            </w:r>
            <w:r w:rsidRPr="00F65F6F">
              <w:rPr>
                <w:rFonts w:eastAsia="Calibri" w:cs="Times New Roman"/>
                <w:szCs w:val="24"/>
                <w:vertAlign w:val="superscript"/>
              </w:rPr>
              <w:t xml:space="preserve"> </w:t>
            </w:r>
            <w:r w:rsidRPr="00F65F6F">
              <w:rPr>
                <w:rFonts w:eastAsia="Calibri" w:cs="Times New Roman"/>
                <w:szCs w:val="24"/>
              </w:rPr>
              <w:t>расчетная СКФ* стала менее 35 мл/мин//1,73 м</w:t>
            </w:r>
            <w:r w:rsidRPr="00F65F6F">
              <w:rPr>
                <w:rFonts w:eastAsia="Calibri" w:cs="Times New Roman"/>
                <w:szCs w:val="24"/>
                <w:vertAlign w:val="superscript"/>
              </w:rPr>
              <w:t>2</w:t>
            </w:r>
          </w:p>
        </w:tc>
        <w:tc>
          <w:tcPr>
            <w:tcW w:w="2409" w:type="dxa"/>
            <w:tcBorders>
              <w:top w:val="single" w:sz="4" w:space="0" w:color="auto"/>
              <w:left w:val="single" w:sz="4" w:space="0" w:color="auto"/>
              <w:bottom w:val="single" w:sz="4" w:space="0" w:color="auto"/>
              <w:right w:val="single" w:sz="4" w:space="0" w:color="auto"/>
            </w:tcBorders>
            <w:hideMark/>
          </w:tcPr>
          <w:p w14:paraId="7A3D7C49"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Менее 0,3 мл/кг/час в течение суток и дольше</w:t>
            </w:r>
          </w:p>
        </w:tc>
      </w:tr>
    </w:tbl>
    <w:p w14:paraId="61087113" w14:textId="77777777" w:rsidR="0000369C" w:rsidRPr="00F65F6F" w:rsidRDefault="0000369C" w:rsidP="0000369C">
      <w:pPr>
        <w:tabs>
          <w:tab w:val="left" w:pos="284"/>
          <w:tab w:val="left" w:pos="567"/>
        </w:tabs>
        <w:contextualSpacing/>
        <w:rPr>
          <w:rFonts w:eastAsia="Calibri" w:cs="Times New Roman"/>
          <w:szCs w:val="24"/>
        </w:rPr>
      </w:pPr>
      <w:r w:rsidRPr="00F65F6F">
        <w:rPr>
          <w:rFonts w:eastAsia="Calibri" w:cs="Times New Roman"/>
          <w:szCs w:val="24"/>
        </w:rPr>
        <w:tab/>
      </w:r>
      <w:r w:rsidRPr="00F65F6F">
        <w:rPr>
          <w:rFonts w:eastAsia="Calibri" w:cs="Times New Roman"/>
          <w:szCs w:val="24"/>
        </w:rPr>
        <w:tab/>
        <w:t>* СКФ – скорость клубочковой фильтрации</w:t>
      </w:r>
    </w:p>
    <w:p w14:paraId="1BE6E116" w14:textId="77777777" w:rsidR="0000369C" w:rsidRDefault="0000369C" w:rsidP="0000369C">
      <w:pPr>
        <w:tabs>
          <w:tab w:val="left" w:pos="284"/>
          <w:tab w:val="left" w:pos="567"/>
        </w:tabs>
        <w:contextualSpacing/>
        <w:rPr>
          <w:rFonts w:eastAsia="Calibri" w:cs="Times New Roman"/>
          <w:szCs w:val="24"/>
        </w:rPr>
      </w:pPr>
      <w:r w:rsidRPr="00F65F6F">
        <w:rPr>
          <w:rFonts w:eastAsia="Calibri" w:cs="Times New Roman"/>
          <w:szCs w:val="24"/>
        </w:rPr>
        <w:tab/>
      </w:r>
      <w:r w:rsidRPr="00F65F6F">
        <w:rPr>
          <w:rFonts w:eastAsia="Calibri" w:cs="Times New Roman"/>
          <w:szCs w:val="24"/>
        </w:rPr>
        <w:tab/>
      </w:r>
    </w:p>
    <w:p w14:paraId="0355D426" w14:textId="77777777" w:rsidR="0000369C" w:rsidRPr="00F65F6F" w:rsidRDefault="0000369C" w:rsidP="0000369C">
      <w:pPr>
        <w:tabs>
          <w:tab w:val="left" w:pos="284"/>
          <w:tab w:val="left" w:pos="567"/>
        </w:tabs>
        <w:ind w:firstLine="709"/>
        <w:contextualSpacing/>
        <w:rPr>
          <w:rFonts w:eastAsia="Calibri" w:cs="Times New Roman"/>
          <w:szCs w:val="24"/>
        </w:rPr>
      </w:pPr>
      <w:r w:rsidRPr="00F65F6F">
        <w:rPr>
          <w:rFonts w:eastAsia="Calibri" w:cs="Times New Roman"/>
          <w:szCs w:val="24"/>
        </w:rPr>
        <w:t xml:space="preserve">Хроническая болезнь почек (ХБП) – синдром, характеризующийся стойким уменьшением массы действующих нефронов или их повреждением и проявляющийся изменением состава мочи, альбуминурией и/или снижением скорости клубочковой фильтрации (СКФ, в норме составляет 100-120 мл/мин), которые сохраняются в течение 3 и более месяцев. Критерием диагноза ХБП является наличие любого из следующих маркеров повреждения почек: </w:t>
      </w:r>
    </w:p>
    <w:p w14:paraId="0EB87067" w14:textId="77777777" w:rsidR="0000369C" w:rsidRPr="009332DB" w:rsidRDefault="0000369C" w:rsidP="00C5490F">
      <w:pPr>
        <w:pStyle w:val="afe"/>
        <w:numPr>
          <w:ilvl w:val="0"/>
          <w:numId w:val="113"/>
        </w:numPr>
        <w:tabs>
          <w:tab w:val="left" w:pos="284"/>
          <w:tab w:val="left" w:pos="567"/>
        </w:tabs>
        <w:rPr>
          <w:rFonts w:eastAsia="Calibri" w:cs="Times New Roman"/>
          <w:szCs w:val="24"/>
        </w:rPr>
      </w:pPr>
      <w:r w:rsidRPr="009332DB">
        <w:rPr>
          <w:rFonts w:eastAsia="Calibri" w:cs="Times New Roman"/>
          <w:szCs w:val="24"/>
        </w:rPr>
        <w:t>необратимых структурных изменений, выявленных методами медицинской визуализации или при морфологическом исследовании почечного биоптата;</w:t>
      </w:r>
    </w:p>
    <w:p w14:paraId="54BCD48B" w14:textId="77777777" w:rsidR="0000369C" w:rsidRPr="009332DB" w:rsidRDefault="0000369C" w:rsidP="00C5490F">
      <w:pPr>
        <w:pStyle w:val="afe"/>
        <w:numPr>
          <w:ilvl w:val="0"/>
          <w:numId w:val="113"/>
        </w:numPr>
        <w:tabs>
          <w:tab w:val="left" w:pos="284"/>
          <w:tab w:val="left" w:pos="567"/>
        </w:tabs>
        <w:rPr>
          <w:rFonts w:eastAsia="Calibri" w:cs="Times New Roman"/>
          <w:szCs w:val="24"/>
        </w:rPr>
      </w:pPr>
      <w:r w:rsidRPr="009332DB">
        <w:rPr>
          <w:rFonts w:eastAsia="Calibri" w:cs="Times New Roman"/>
          <w:szCs w:val="24"/>
        </w:rPr>
        <w:lastRenderedPageBreak/>
        <w:t>выраженного изменения состава мочи или альбуминурии (более 30 мг/сут.), сохраняющихся при повторных исследованиях в течение не менее 3 мес.;</w:t>
      </w:r>
    </w:p>
    <w:p w14:paraId="6B32AA04" w14:textId="77777777" w:rsidR="0000369C" w:rsidRPr="009332DB" w:rsidRDefault="0000369C" w:rsidP="00C5490F">
      <w:pPr>
        <w:pStyle w:val="afe"/>
        <w:numPr>
          <w:ilvl w:val="0"/>
          <w:numId w:val="113"/>
        </w:numPr>
        <w:tabs>
          <w:tab w:val="left" w:pos="284"/>
          <w:tab w:val="left" w:pos="567"/>
        </w:tabs>
        <w:rPr>
          <w:rFonts w:eastAsia="Calibri" w:cs="Times New Roman"/>
          <w:szCs w:val="24"/>
        </w:rPr>
      </w:pPr>
      <w:r w:rsidRPr="009332DB">
        <w:rPr>
          <w:rFonts w:eastAsia="Calibri" w:cs="Times New Roman"/>
          <w:szCs w:val="24"/>
        </w:rPr>
        <w:t>стойкого снижения СКФ до уровня менее 60 мл/мин./1,73 м</w:t>
      </w:r>
      <w:r w:rsidRPr="009332DB">
        <w:rPr>
          <w:rFonts w:eastAsia="Calibri" w:cs="Times New Roman"/>
          <w:szCs w:val="24"/>
          <w:vertAlign w:val="superscript"/>
        </w:rPr>
        <w:t>2</w:t>
      </w:r>
      <w:r w:rsidRPr="009332DB">
        <w:rPr>
          <w:rFonts w:eastAsia="Calibri" w:cs="Times New Roman"/>
          <w:szCs w:val="24"/>
        </w:rPr>
        <w:t xml:space="preserve"> (таб.3).</w:t>
      </w:r>
    </w:p>
    <w:p w14:paraId="11B14D46" w14:textId="77777777" w:rsidR="0000369C" w:rsidRPr="009332DB" w:rsidRDefault="0000369C" w:rsidP="0000369C">
      <w:pPr>
        <w:tabs>
          <w:tab w:val="left" w:pos="284"/>
          <w:tab w:val="left" w:pos="567"/>
        </w:tabs>
        <w:rPr>
          <w:rFonts w:eastAsia="Calibri" w:cs="Times New Roman"/>
          <w:szCs w:val="24"/>
        </w:rPr>
      </w:pPr>
    </w:p>
    <w:p w14:paraId="59EE269B" w14:textId="77777777" w:rsidR="0000369C" w:rsidRPr="00F65F6F" w:rsidRDefault="0000369C" w:rsidP="0000369C">
      <w:pPr>
        <w:tabs>
          <w:tab w:val="left" w:pos="284"/>
          <w:tab w:val="left" w:pos="567"/>
        </w:tabs>
        <w:ind w:left="708"/>
        <w:rPr>
          <w:rFonts w:eastAsia="Calibri" w:cs="Times New Roman"/>
          <w:szCs w:val="24"/>
        </w:rPr>
      </w:pPr>
      <w:r w:rsidRPr="009332DB">
        <w:rPr>
          <w:rFonts w:eastAsia="Calibri" w:cs="Times New Roman"/>
          <w:szCs w:val="24"/>
        </w:rPr>
        <w:t>Таблица 3. Стадии хронической болезни почек в зависимости от величины скорости клубочковой фильтрации (СКФ).</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969"/>
        <w:gridCol w:w="1701"/>
      </w:tblGrid>
      <w:tr w:rsidR="0000369C" w:rsidRPr="00F65F6F" w14:paraId="2BFBD8DF" w14:textId="77777777" w:rsidTr="001C46FD">
        <w:tc>
          <w:tcPr>
            <w:tcW w:w="2552" w:type="dxa"/>
            <w:tcBorders>
              <w:top w:val="single" w:sz="4" w:space="0" w:color="auto"/>
              <w:left w:val="single" w:sz="4" w:space="0" w:color="auto"/>
              <w:bottom w:val="single" w:sz="4" w:space="0" w:color="auto"/>
              <w:right w:val="single" w:sz="4" w:space="0" w:color="auto"/>
            </w:tcBorders>
            <w:hideMark/>
          </w:tcPr>
          <w:p w14:paraId="204C00A5"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СКФ, мл/мин./1,73 м</w:t>
            </w:r>
            <w:r w:rsidRPr="00F65F6F">
              <w:rPr>
                <w:rFonts w:eastAsia="Calibri" w:cs="Times New Roman"/>
                <w:szCs w:val="24"/>
                <w:vertAlign w:val="superscript"/>
              </w:rPr>
              <w:t>2</w:t>
            </w:r>
          </w:p>
        </w:tc>
        <w:tc>
          <w:tcPr>
            <w:tcW w:w="3969" w:type="dxa"/>
            <w:tcBorders>
              <w:top w:val="single" w:sz="4" w:space="0" w:color="auto"/>
              <w:left w:val="single" w:sz="4" w:space="0" w:color="auto"/>
              <w:bottom w:val="single" w:sz="4" w:space="0" w:color="auto"/>
              <w:right w:val="single" w:sz="4" w:space="0" w:color="auto"/>
            </w:tcBorders>
            <w:hideMark/>
          </w:tcPr>
          <w:p w14:paraId="1EC188D8"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Мочевой синдром или изолированная альбуминурия</w:t>
            </w:r>
          </w:p>
        </w:tc>
        <w:tc>
          <w:tcPr>
            <w:tcW w:w="1701" w:type="dxa"/>
            <w:tcBorders>
              <w:top w:val="single" w:sz="4" w:space="0" w:color="auto"/>
              <w:left w:val="single" w:sz="4" w:space="0" w:color="auto"/>
              <w:bottom w:val="single" w:sz="4" w:space="0" w:color="auto"/>
              <w:right w:val="single" w:sz="4" w:space="0" w:color="auto"/>
            </w:tcBorders>
            <w:hideMark/>
          </w:tcPr>
          <w:p w14:paraId="01AB8437"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Стадия ХБП</w:t>
            </w:r>
          </w:p>
        </w:tc>
      </w:tr>
      <w:tr w:rsidR="0000369C" w:rsidRPr="00F65F6F" w14:paraId="28505CBD" w14:textId="77777777" w:rsidTr="001C46FD">
        <w:tc>
          <w:tcPr>
            <w:tcW w:w="2552" w:type="dxa"/>
            <w:tcBorders>
              <w:top w:val="single" w:sz="4" w:space="0" w:color="auto"/>
              <w:left w:val="single" w:sz="4" w:space="0" w:color="auto"/>
              <w:bottom w:val="single" w:sz="4" w:space="0" w:color="auto"/>
              <w:right w:val="single" w:sz="4" w:space="0" w:color="auto"/>
            </w:tcBorders>
            <w:hideMark/>
          </w:tcPr>
          <w:p w14:paraId="77BBA0E7"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Выше 90</w:t>
            </w:r>
          </w:p>
        </w:tc>
        <w:tc>
          <w:tcPr>
            <w:tcW w:w="3969" w:type="dxa"/>
            <w:tcBorders>
              <w:top w:val="single" w:sz="4" w:space="0" w:color="auto"/>
              <w:left w:val="single" w:sz="4" w:space="0" w:color="auto"/>
              <w:bottom w:val="single" w:sz="4" w:space="0" w:color="auto"/>
              <w:right w:val="single" w:sz="4" w:space="0" w:color="auto"/>
            </w:tcBorders>
            <w:hideMark/>
          </w:tcPr>
          <w:p w14:paraId="7418B01B"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Есть</w:t>
            </w:r>
          </w:p>
        </w:tc>
        <w:tc>
          <w:tcPr>
            <w:tcW w:w="1701" w:type="dxa"/>
            <w:tcBorders>
              <w:top w:val="single" w:sz="4" w:space="0" w:color="auto"/>
              <w:left w:val="single" w:sz="4" w:space="0" w:color="auto"/>
              <w:bottom w:val="single" w:sz="4" w:space="0" w:color="auto"/>
              <w:right w:val="single" w:sz="4" w:space="0" w:color="auto"/>
            </w:tcBorders>
            <w:hideMark/>
          </w:tcPr>
          <w:p w14:paraId="7228F51D"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1</w:t>
            </w:r>
          </w:p>
        </w:tc>
      </w:tr>
      <w:tr w:rsidR="0000369C" w:rsidRPr="00F65F6F" w14:paraId="389693F6" w14:textId="77777777" w:rsidTr="001C46FD">
        <w:tc>
          <w:tcPr>
            <w:tcW w:w="2552" w:type="dxa"/>
            <w:tcBorders>
              <w:top w:val="single" w:sz="4" w:space="0" w:color="auto"/>
              <w:left w:val="single" w:sz="4" w:space="0" w:color="auto"/>
              <w:bottom w:val="single" w:sz="4" w:space="0" w:color="auto"/>
              <w:right w:val="single" w:sz="4" w:space="0" w:color="auto"/>
            </w:tcBorders>
            <w:hideMark/>
          </w:tcPr>
          <w:p w14:paraId="2E02743C"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60-89</w:t>
            </w:r>
          </w:p>
        </w:tc>
        <w:tc>
          <w:tcPr>
            <w:tcW w:w="3969" w:type="dxa"/>
            <w:tcBorders>
              <w:top w:val="single" w:sz="4" w:space="0" w:color="auto"/>
              <w:left w:val="single" w:sz="4" w:space="0" w:color="auto"/>
              <w:bottom w:val="single" w:sz="4" w:space="0" w:color="auto"/>
              <w:right w:val="single" w:sz="4" w:space="0" w:color="auto"/>
            </w:tcBorders>
            <w:hideMark/>
          </w:tcPr>
          <w:p w14:paraId="2F31F6C4"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Есть</w:t>
            </w:r>
          </w:p>
        </w:tc>
        <w:tc>
          <w:tcPr>
            <w:tcW w:w="1701" w:type="dxa"/>
            <w:tcBorders>
              <w:top w:val="single" w:sz="4" w:space="0" w:color="auto"/>
              <w:left w:val="single" w:sz="4" w:space="0" w:color="auto"/>
              <w:bottom w:val="single" w:sz="4" w:space="0" w:color="auto"/>
              <w:right w:val="single" w:sz="4" w:space="0" w:color="auto"/>
            </w:tcBorders>
            <w:hideMark/>
          </w:tcPr>
          <w:p w14:paraId="2AD4964B"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2</w:t>
            </w:r>
          </w:p>
        </w:tc>
      </w:tr>
      <w:tr w:rsidR="0000369C" w:rsidRPr="00F65F6F" w14:paraId="43934120" w14:textId="77777777" w:rsidTr="001C46FD">
        <w:tc>
          <w:tcPr>
            <w:tcW w:w="2552" w:type="dxa"/>
            <w:tcBorders>
              <w:top w:val="single" w:sz="4" w:space="0" w:color="auto"/>
              <w:left w:val="single" w:sz="4" w:space="0" w:color="auto"/>
              <w:bottom w:val="single" w:sz="4" w:space="0" w:color="auto"/>
              <w:right w:val="single" w:sz="4" w:space="0" w:color="auto"/>
            </w:tcBorders>
            <w:hideMark/>
          </w:tcPr>
          <w:p w14:paraId="03B7209C"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45-59</w:t>
            </w:r>
          </w:p>
        </w:tc>
        <w:tc>
          <w:tcPr>
            <w:tcW w:w="3969" w:type="dxa"/>
            <w:tcBorders>
              <w:top w:val="single" w:sz="4" w:space="0" w:color="auto"/>
              <w:left w:val="single" w:sz="4" w:space="0" w:color="auto"/>
              <w:bottom w:val="single" w:sz="4" w:space="0" w:color="auto"/>
              <w:right w:val="single" w:sz="4" w:space="0" w:color="auto"/>
            </w:tcBorders>
            <w:hideMark/>
          </w:tcPr>
          <w:p w14:paraId="236AA4CA"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Не обязательно</w:t>
            </w:r>
          </w:p>
        </w:tc>
        <w:tc>
          <w:tcPr>
            <w:tcW w:w="1701" w:type="dxa"/>
            <w:tcBorders>
              <w:top w:val="single" w:sz="4" w:space="0" w:color="auto"/>
              <w:left w:val="single" w:sz="4" w:space="0" w:color="auto"/>
              <w:bottom w:val="single" w:sz="4" w:space="0" w:color="auto"/>
              <w:right w:val="single" w:sz="4" w:space="0" w:color="auto"/>
            </w:tcBorders>
            <w:hideMark/>
          </w:tcPr>
          <w:p w14:paraId="4D40A1FD"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3а</w:t>
            </w:r>
          </w:p>
        </w:tc>
      </w:tr>
      <w:tr w:rsidR="0000369C" w:rsidRPr="00F65F6F" w14:paraId="23BDB74C" w14:textId="77777777" w:rsidTr="001C46FD">
        <w:tc>
          <w:tcPr>
            <w:tcW w:w="2552" w:type="dxa"/>
            <w:tcBorders>
              <w:top w:val="single" w:sz="4" w:space="0" w:color="auto"/>
              <w:left w:val="single" w:sz="4" w:space="0" w:color="auto"/>
              <w:bottom w:val="single" w:sz="4" w:space="0" w:color="auto"/>
              <w:right w:val="single" w:sz="4" w:space="0" w:color="auto"/>
            </w:tcBorders>
            <w:hideMark/>
          </w:tcPr>
          <w:p w14:paraId="033636C7"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30-44</w:t>
            </w:r>
          </w:p>
        </w:tc>
        <w:tc>
          <w:tcPr>
            <w:tcW w:w="3969" w:type="dxa"/>
            <w:tcBorders>
              <w:top w:val="single" w:sz="4" w:space="0" w:color="auto"/>
              <w:left w:val="single" w:sz="4" w:space="0" w:color="auto"/>
              <w:bottom w:val="single" w:sz="4" w:space="0" w:color="auto"/>
              <w:right w:val="single" w:sz="4" w:space="0" w:color="auto"/>
            </w:tcBorders>
            <w:hideMark/>
          </w:tcPr>
          <w:p w14:paraId="51E03514"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Не обязательно</w:t>
            </w:r>
          </w:p>
        </w:tc>
        <w:tc>
          <w:tcPr>
            <w:tcW w:w="1701" w:type="dxa"/>
            <w:tcBorders>
              <w:top w:val="single" w:sz="4" w:space="0" w:color="auto"/>
              <w:left w:val="single" w:sz="4" w:space="0" w:color="auto"/>
              <w:bottom w:val="single" w:sz="4" w:space="0" w:color="auto"/>
              <w:right w:val="single" w:sz="4" w:space="0" w:color="auto"/>
            </w:tcBorders>
            <w:hideMark/>
          </w:tcPr>
          <w:p w14:paraId="2161105E"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3б</w:t>
            </w:r>
          </w:p>
        </w:tc>
      </w:tr>
      <w:tr w:rsidR="0000369C" w:rsidRPr="00F65F6F" w14:paraId="5BBB4072" w14:textId="77777777" w:rsidTr="001C46FD">
        <w:tc>
          <w:tcPr>
            <w:tcW w:w="2552" w:type="dxa"/>
            <w:tcBorders>
              <w:top w:val="single" w:sz="4" w:space="0" w:color="auto"/>
              <w:left w:val="single" w:sz="4" w:space="0" w:color="auto"/>
              <w:bottom w:val="single" w:sz="4" w:space="0" w:color="auto"/>
              <w:right w:val="single" w:sz="4" w:space="0" w:color="auto"/>
            </w:tcBorders>
            <w:hideMark/>
          </w:tcPr>
          <w:p w14:paraId="402DAD96"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15-29</w:t>
            </w:r>
          </w:p>
        </w:tc>
        <w:tc>
          <w:tcPr>
            <w:tcW w:w="3969" w:type="dxa"/>
            <w:tcBorders>
              <w:top w:val="single" w:sz="4" w:space="0" w:color="auto"/>
              <w:left w:val="single" w:sz="4" w:space="0" w:color="auto"/>
              <w:bottom w:val="single" w:sz="4" w:space="0" w:color="auto"/>
              <w:right w:val="single" w:sz="4" w:space="0" w:color="auto"/>
            </w:tcBorders>
            <w:hideMark/>
          </w:tcPr>
          <w:p w14:paraId="33691834"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Не обязательно</w:t>
            </w:r>
          </w:p>
        </w:tc>
        <w:tc>
          <w:tcPr>
            <w:tcW w:w="1701" w:type="dxa"/>
            <w:tcBorders>
              <w:top w:val="single" w:sz="4" w:space="0" w:color="auto"/>
              <w:left w:val="single" w:sz="4" w:space="0" w:color="auto"/>
              <w:bottom w:val="single" w:sz="4" w:space="0" w:color="auto"/>
              <w:right w:val="single" w:sz="4" w:space="0" w:color="auto"/>
            </w:tcBorders>
            <w:hideMark/>
          </w:tcPr>
          <w:p w14:paraId="61D24C05"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4</w:t>
            </w:r>
          </w:p>
        </w:tc>
      </w:tr>
      <w:tr w:rsidR="0000369C" w:rsidRPr="00F65F6F" w14:paraId="5A3AD9FD" w14:textId="77777777" w:rsidTr="001C46FD">
        <w:tc>
          <w:tcPr>
            <w:tcW w:w="2552" w:type="dxa"/>
            <w:tcBorders>
              <w:top w:val="single" w:sz="4" w:space="0" w:color="auto"/>
              <w:left w:val="single" w:sz="4" w:space="0" w:color="auto"/>
              <w:bottom w:val="single" w:sz="4" w:space="0" w:color="auto"/>
              <w:right w:val="single" w:sz="4" w:space="0" w:color="auto"/>
            </w:tcBorders>
            <w:hideMark/>
          </w:tcPr>
          <w:p w14:paraId="39A42D15"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Ниже 15</w:t>
            </w:r>
          </w:p>
        </w:tc>
        <w:tc>
          <w:tcPr>
            <w:tcW w:w="3969" w:type="dxa"/>
            <w:tcBorders>
              <w:top w:val="single" w:sz="4" w:space="0" w:color="auto"/>
              <w:left w:val="single" w:sz="4" w:space="0" w:color="auto"/>
              <w:bottom w:val="single" w:sz="4" w:space="0" w:color="auto"/>
              <w:right w:val="single" w:sz="4" w:space="0" w:color="auto"/>
            </w:tcBorders>
            <w:hideMark/>
          </w:tcPr>
          <w:p w14:paraId="6A624609"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Не обязательно</w:t>
            </w:r>
          </w:p>
        </w:tc>
        <w:tc>
          <w:tcPr>
            <w:tcW w:w="1701" w:type="dxa"/>
            <w:tcBorders>
              <w:top w:val="single" w:sz="4" w:space="0" w:color="auto"/>
              <w:left w:val="single" w:sz="4" w:space="0" w:color="auto"/>
              <w:bottom w:val="single" w:sz="4" w:space="0" w:color="auto"/>
              <w:right w:val="single" w:sz="4" w:space="0" w:color="auto"/>
            </w:tcBorders>
            <w:hideMark/>
          </w:tcPr>
          <w:p w14:paraId="5725A514"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5</w:t>
            </w:r>
          </w:p>
        </w:tc>
      </w:tr>
    </w:tbl>
    <w:p w14:paraId="1EC9A411" w14:textId="77777777" w:rsidR="0000369C" w:rsidRPr="00F65F6F" w:rsidRDefault="0000369C" w:rsidP="0000369C">
      <w:pPr>
        <w:ind w:left="360"/>
        <w:contextualSpacing/>
        <w:rPr>
          <w:rFonts w:cs="Times New Roman"/>
          <w:szCs w:val="24"/>
        </w:rPr>
      </w:pPr>
    </w:p>
    <w:p w14:paraId="38A7DBE5" w14:textId="11A9B015" w:rsidR="0000369C" w:rsidRPr="00FE0E8C" w:rsidRDefault="0000369C" w:rsidP="0000369C">
      <w:pPr>
        <w:autoSpaceDE w:val="0"/>
        <w:ind w:firstLine="709"/>
        <w:contextualSpacing/>
        <w:rPr>
          <w:rFonts w:eastAsia="Times New Roman" w:cs="Times New Roman"/>
          <w:bCs/>
          <w:i/>
          <w:iCs/>
          <w:szCs w:val="24"/>
          <w:u w:val="single"/>
          <w:lang w:eastAsia="ru-RU"/>
        </w:rPr>
      </w:pPr>
      <w:r w:rsidRPr="00FE0E8C">
        <w:rPr>
          <w:rFonts w:eastAsia="Times New Roman" w:cs="Times New Roman"/>
          <w:bCs/>
          <w:i/>
          <w:iCs/>
          <w:szCs w:val="24"/>
          <w:u w:val="single"/>
          <w:lang w:eastAsia="ru-RU"/>
        </w:rPr>
        <w:t>Лабораторная и инструментальная диагностика патологии функции почек</w:t>
      </w:r>
      <w:r>
        <w:rPr>
          <w:rFonts w:eastAsia="Times New Roman" w:cs="Times New Roman"/>
          <w:bCs/>
          <w:i/>
          <w:iCs/>
          <w:szCs w:val="24"/>
          <w:u w:val="single"/>
          <w:lang w:eastAsia="ru-RU"/>
        </w:rPr>
        <w:t xml:space="preserve"> </w:t>
      </w:r>
      <w:r>
        <w:rPr>
          <w:rFonts w:eastAsia="Times New Roman" w:cs="Times New Roman"/>
          <w:szCs w:val="24"/>
          <w:lang w:eastAsia="ru-RU"/>
        </w:rPr>
        <w:fldChar w:fldCharType="begin" w:fldLock="1"/>
      </w:r>
      <w:r>
        <w:rPr>
          <w:rFonts w:eastAsia="Times New Roman" w:cs="Times New Roman"/>
          <w:szCs w:val="24"/>
          <w:lang w:eastAsia="ru-RU"/>
        </w:rPr>
        <w:instrText>ADDIN CSL_CITATION {"citationItems":[{"id":"ITEM-1","itemData":{"author":[{"dropping-particle":"","family":"Джумабаева","given":"Б.Т.","non-dropping-particle":"","parse-names":false,"suffix":""},{"dropping-particle":"","family":"Бирюкова","given":"Л.С.","non-dropping-particle":"","parse-names":false,"suffix":""},{"dropping-particle":"","family":"Варшавский","given":"В.А.","non-dropping-particle":"","parse-names":false,"suffix":""},{"dropping-particle":"","family":"Марьина","given":"С.А.","non-dropping-particle":"","parse-names":false,"suffix":""},{"dropping-particle":"","family":"Рощина","given":"Л.С.","non-dropping-particle":"","parse-names":false,"suffix":""},{"dropping-particle":"","family":"Джулакян","given":"У.Л.","non-dropping-particle":"","parse-names":false,"suffix":""},{"dropping-particle":"","family":"Столяревич","given":"Е.C.","non-dropping-particle":"","parse-names":false,"suffix":""}],"container-title":"Онкогематология","id":"ITEM-1","issue":"1","issued":{"date-parts":[["2017"]]},"page":"44-54","title":"Клинико-лабораторные и морфологические особенности поражения почек при лимфопролиферативных заболеваниях","type":"article-journal","volume":"7"},"uris":["http://www.mendeley.com/documents/?uuid=50a28e00-c058-46cf-b75a-5bfd40395f93"]},{"id":"ITEM-2","itemData":{"author":[{"dropping-particle":"","family":"Рехтина","given":"И.Г.","non-dropping-particle":"","parse-names":false,"suffix":""},{"dropping-particle":"","family":"Голицина","given":"Е.П.","non-dropping-particle":"","parse-names":false,"suffix":""},{"dropping-particle":"","family":"Варламова","given":"Е.Ю.","non-dropping-particle":"","parse-names":false,"suffix":""},{"dropping-particle":"","family":"Варшавский","given":"В.А.","non-dropping-particle":"","parse-names":false,"suffix":""},{"dropping-particle":"","family":"Киреева","given":"А.А.","non-dropping-particle":"","parse-names":false,"suffix":""},{"dropping-particle":"","family":"Бирюкова","given":"Л.С.","non-dropping-particle":"","parse-names":false,"suffix":""},{"dropping-particle":"","family":"Савченко","given":"В.Г.","non-dropping-particle":"","parse-names":false,"suffix":""}],"container-title":"Терапевтический архив","id":"ITEM-2","issue":"3","issued":{"date-parts":[["2013"]]},"page":"80-85","title":"Морфологические и иммунохимические особенности нефропатий при множественной миеломе с тяжелой почечной недостаточностью","type":"article-journal","volume":"85"},"uris":["http://www.mendeley.com/documents/?uuid=b7e4aa0d-a654-44bd-b363-35e45db6262e"]},{"id":"ITEM-3","itemData":{"author":[{"dropping-particle":"","family":"Ворожейкина","given":"Е.Г.","non-dropping-particle":"","parse-names":false,"suffix":""},{"dropping-particle":"","family":"Бирюкова","given":"Л.С.","non-dropping-particle":"","parse-names":false,"suffix":""},{"dropping-particle":"","family":"Савченко","given":"В.Г.","non-dropping-particle":"","parse-names":false,"suffix":""}],"container-title":"Гематология и трансфузиология","id":"ITEM-3","issue":"3","issued":{"date-parts":[["2011"]]},"page":"24-27","title":"Клинико-лабораторные проявления нефропатий у больных острыми лейкозами","type":"article-journal","volume":"56"},"uris":["http://www.mendeley.com/documents/?uuid=137272d3-cc35-4bfd-b2f3-d7af020af652"]}],"mendeley":{"formattedCitation":"[102–104]","plainTextFormattedCitation":"[102–104]","previouslyFormattedCitation":"[102–104]"},"properties":{"noteIndex":0},"schema":"https://github.com/citation-style-language/schema/raw/master/csl-citation.json"}</w:instrText>
      </w:r>
      <w:r>
        <w:rPr>
          <w:rFonts w:eastAsia="Times New Roman" w:cs="Times New Roman"/>
          <w:szCs w:val="24"/>
          <w:lang w:eastAsia="ru-RU"/>
        </w:rPr>
        <w:fldChar w:fldCharType="separate"/>
      </w:r>
      <w:r w:rsidRPr="0000369C">
        <w:rPr>
          <w:rFonts w:eastAsia="Times New Roman" w:cs="Times New Roman"/>
          <w:noProof/>
          <w:szCs w:val="24"/>
          <w:lang w:eastAsia="ru-RU"/>
        </w:rPr>
        <w:t>[102–104]</w:t>
      </w:r>
      <w:r>
        <w:rPr>
          <w:rFonts w:eastAsia="Times New Roman" w:cs="Times New Roman"/>
          <w:szCs w:val="24"/>
          <w:lang w:eastAsia="ru-RU"/>
        </w:rPr>
        <w:fldChar w:fldCharType="end"/>
      </w:r>
      <w:r w:rsidRPr="00FE0E8C">
        <w:rPr>
          <w:rFonts w:eastAsia="Times New Roman" w:cs="Times New Roman"/>
          <w:bCs/>
          <w:i/>
          <w:iCs/>
          <w:szCs w:val="24"/>
          <w:u w:val="single"/>
          <w:lang w:eastAsia="ru-RU"/>
        </w:rPr>
        <w:t>.</w:t>
      </w:r>
    </w:p>
    <w:p w14:paraId="1AABB11E" w14:textId="77777777" w:rsidR="0000369C" w:rsidRPr="00F65F6F" w:rsidRDefault="0000369C" w:rsidP="0000369C">
      <w:pPr>
        <w:ind w:firstLine="709"/>
        <w:contextualSpacing/>
        <w:rPr>
          <w:rFonts w:cs="Times New Roman"/>
          <w:b/>
          <w:szCs w:val="24"/>
        </w:rPr>
      </w:pPr>
      <w:r w:rsidRPr="00F65F6F">
        <w:rPr>
          <w:rFonts w:cs="Times New Roman"/>
          <w:szCs w:val="24"/>
        </w:rPr>
        <w:t>Полноценное нефрологическое обследование пациента до начала специфического лечения является принципиально важным как для ранней диагностики уже имеющихся изменений функционального состояния почек, оценки вероятности и предупреждения нефротоксичности планируемого лечения так и для своевременного начала заместительной почечной терапии. Обследование до начала лечения должно проводиться независимо от наличия или отсутствия нефрологических жалоб и/или отягощенного нефрологического анамнеза, в т.</w:t>
      </w:r>
      <w:r w:rsidRPr="006B10E6">
        <w:rPr>
          <w:rFonts w:cs="Times New Roman"/>
          <w:szCs w:val="24"/>
        </w:rPr>
        <w:t xml:space="preserve"> </w:t>
      </w:r>
      <w:r w:rsidRPr="00F65F6F">
        <w:rPr>
          <w:rFonts w:cs="Times New Roman"/>
          <w:szCs w:val="24"/>
        </w:rPr>
        <w:t>ч.  наличие артериальной гипертензии и ее длительность, никтурии.</w:t>
      </w:r>
    </w:p>
    <w:p w14:paraId="47B685F8" w14:textId="77777777" w:rsidR="0000369C" w:rsidRPr="00F65F6F" w:rsidRDefault="0000369C" w:rsidP="0000369C">
      <w:pPr>
        <w:ind w:firstLine="709"/>
        <w:contextualSpacing/>
        <w:rPr>
          <w:rFonts w:cs="Times New Roman"/>
          <w:szCs w:val="24"/>
        </w:rPr>
      </w:pPr>
      <w:r w:rsidRPr="00F65F6F">
        <w:rPr>
          <w:rFonts w:cs="Times New Roman"/>
          <w:szCs w:val="24"/>
        </w:rPr>
        <w:t>Базовое обследование включает:</w:t>
      </w:r>
    </w:p>
    <w:p w14:paraId="403E4C2B" w14:textId="77777777" w:rsidR="0000369C" w:rsidRPr="00F65F6F" w:rsidRDefault="0000369C" w:rsidP="00C5490F">
      <w:pPr>
        <w:pStyle w:val="afe"/>
        <w:numPr>
          <w:ilvl w:val="0"/>
          <w:numId w:val="109"/>
        </w:numPr>
        <w:rPr>
          <w:rFonts w:cs="Times New Roman"/>
          <w:szCs w:val="24"/>
        </w:rPr>
      </w:pPr>
      <w:r w:rsidRPr="00F65F6F">
        <w:rPr>
          <w:rFonts w:cs="Times New Roman"/>
          <w:szCs w:val="24"/>
        </w:rPr>
        <w:t>Общий анализ мочи с микроскопией мочевого осадка</w:t>
      </w:r>
    </w:p>
    <w:p w14:paraId="30FCD5A1" w14:textId="77777777" w:rsidR="0000369C" w:rsidRPr="00F65F6F" w:rsidRDefault="0000369C" w:rsidP="00C5490F">
      <w:pPr>
        <w:pStyle w:val="afe"/>
        <w:numPr>
          <w:ilvl w:val="0"/>
          <w:numId w:val="109"/>
        </w:numPr>
        <w:rPr>
          <w:rFonts w:cs="Times New Roman"/>
          <w:szCs w:val="24"/>
        </w:rPr>
      </w:pPr>
      <w:r w:rsidRPr="00F65F6F">
        <w:rPr>
          <w:rFonts w:cs="Times New Roman"/>
          <w:szCs w:val="24"/>
        </w:rPr>
        <w:t>Определение уровня суточной альбуминурии</w:t>
      </w:r>
    </w:p>
    <w:p w14:paraId="6E9C4A51" w14:textId="77777777" w:rsidR="0000369C" w:rsidRPr="00F65F6F" w:rsidRDefault="0000369C" w:rsidP="00C5490F">
      <w:pPr>
        <w:pStyle w:val="afe"/>
        <w:numPr>
          <w:ilvl w:val="0"/>
          <w:numId w:val="109"/>
        </w:numPr>
        <w:rPr>
          <w:rFonts w:cs="Times New Roman"/>
          <w:szCs w:val="24"/>
        </w:rPr>
      </w:pPr>
      <w:r w:rsidRPr="00F65F6F">
        <w:rPr>
          <w:rFonts w:cs="Times New Roman"/>
          <w:szCs w:val="24"/>
        </w:rPr>
        <w:t>Бактериологическое исследование мочи</w:t>
      </w:r>
    </w:p>
    <w:p w14:paraId="7CDBF48B" w14:textId="77777777" w:rsidR="0000369C" w:rsidRPr="00F65F6F" w:rsidRDefault="0000369C" w:rsidP="00C5490F">
      <w:pPr>
        <w:pStyle w:val="afe"/>
        <w:numPr>
          <w:ilvl w:val="0"/>
          <w:numId w:val="109"/>
        </w:numPr>
        <w:rPr>
          <w:rFonts w:cs="Times New Roman"/>
          <w:szCs w:val="24"/>
        </w:rPr>
      </w:pPr>
      <w:r w:rsidRPr="00F65F6F">
        <w:rPr>
          <w:rFonts w:cs="Times New Roman"/>
          <w:szCs w:val="24"/>
        </w:rPr>
        <w:t>Определение концентрации креатинина и мочевины в сыворотке крови.</w:t>
      </w:r>
    </w:p>
    <w:p w14:paraId="1D4160B9" w14:textId="77777777" w:rsidR="0000369C" w:rsidRPr="00FD6133" w:rsidRDefault="0000369C" w:rsidP="00C5490F">
      <w:pPr>
        <w:pStyle w:val="afe"/>
        <w:numPr>
          <w:ilvl w:val="0"/>
          <w:numId w:val="109"/>
        </w:numPr>
        <w:rPr>
          <w:rFonts w:cs="Times New Roman"/>
          <w:szCs w:val="24"/>
        </w:rPr>
      </w:pPr>
      <w:r w:rsidRPr="00F65F6F">
        <w:rPr>
          <w:rFonts w:cs="Times New Roman"/>
          <w:szCs w:val="24"/>
        </w:rPr>
        <w:t>Определение расчетной скорости клубочковой фильтрации</w:t>
      </w:r>
      <w:r w:rsidRPr="00F65F6F">
        <w:rPr>
          <w:rFonts w:cs="Times New Roman"/>
          <w:color w:val="000000" w:themeColor="text1"/>
          <w:szCs w:val="24"/>
        </w:rPr>
        <w:t xml:space="preserve"> (рСКФ)</w:t>
      </w:r>
      <w:r w:rsidRPr="00F65F6F">
        <w:rPr>
          <w:rFonts w:cs="Times New Roman"/>
          <w:szCs w:val="24"/>
        </w:rPr>
        <w:t xml:space="preserve"> на основе </w:t>
      </w:r>
      <w:r w:rsidRPr="00FD6133">
        <w:rPr>
          <w:rFonts w:cs="Times New Roman"/>
          <w:szCs w:val="24"/>
        </w:rPr>
        <w:t xml:space="preserve">концентрации креатинина в сыворотке крови (таб.4). </w:t>
      </w:r>
    </w:p>
    <w:p w14:paraId="70286628" w14:textId="77777777" w:rsidR="0000369C" w:rsidRPr="00FD6133" w:rsidRDefault="0000369C" w:rsidP="0000369C">
      <w:pPr>
        <w:pStyle w:val="afe"/>
        <w:rPr>
          <w:rFonts w:cs="Times New Roman"/>
          <w:szCs w:val="24"/>
        </w:rPr>
      </w:pPr>
      <w:r w:rsidRPr="00FD6133">
        <w:rPr>
          <w:rFonts w:cs="Times New Roman"/>
          <w:szCs w:val="24"/>
        </w:rPr>
        <w:t xml:space="preserve">Желательно пользоваться формулой CKD-EPI, обеспечивающей лучшую, чем традиционно применяемая формула Cockcroft–Gault, точность в широком диапазоне значений СКФ и отклонения массы тела пациента от нормальной. В отличие от формулы Cockcroft–Gault, формулы CKD-EPI определяют значение СКФ в </w:t>
      </w:r>
      <w:r w:rsidRPr="00FD6133">
        <w:rPr>
          <w:rFonts w:cs="Times New Roman"/>
          <w:szCs w:val="24"/>
        </w:rPr>
        <w:lastRenderedPageBreak/>
        <w:t>размерности [мл/мин/1,73 м</w:t>
      </w:r>
      <w:r w:rsidRPr="00FD6133">
        <w:rPr>
          <w:rFonts w:cs="Times New Roman"/>
          <w:szCs w:val="24"/>
          <w:vertAlign w:val="superscript"/>
        </w:rPr>
        <w:t>2</w:t>
      </w:r>
      <w:r w:rsidRPr="00FD6133">
        <w:rPr>
          <w:rFonts w:cs="Times New Roman"/>
          <w:szCs w:val="24"/>
        </w:rPr>
        <w:t>], то есть уже приведенное к «нормальной» площади поверхности тела.</w:t>
      </w:r>
    </w:p>
    <w:p w14:paraId="58E3FB46" w14:textId="77777777" w:rsidR="0000369C" w:rsidRPr="00FD6133" w:rsidRDefault="0000369C" w:rsidP="00C5490F">
      <w:pPr>
        <w:pStyle w:val="afe"/>
        <w:numPr>
          <w:ilvl w:val="0"/>
          <w:numId w:val="109"/>
        </w:numPr>
        <w:rPr>
          <w:rFonts w:cs="Times New Roman"/>
          <w:szCs w:val="24"/>
        </w:rPr>
      </w:pPr>
      <w:r w:rsidRPr="00FD6133">
        <w:rPr>
          <w:rFonts w:cs="Times New Roman"/>
          <w:szCs w:val="24"/>
        </w:rPr>
        <w:t>Ультразвуковое исследование (УЗИ) почек.</w:t>
      </w:r>
    </w:p>
    <w:p w14:paraId="3D2B9841" w14:textId="77777777" w:rsidR="0000369C" w:rsidRPr="00FD6133" w:rsidRDefault="0000369C" w:rsidP="00C5490F">
      <w:pPr>
        <w:pStyle w:val="afe"/>
        <w:numPr>
          <w:ilvl w:val="0"/>
          <w:numId w:val="109"/>
        </w:numPr>
        <w:rPr>
          <w:rFonts w:cs="Times New Roman"/>
          <w:szCs w:val="24"/>
        </w:rPr>
      </w:pPr>
      <w:r w:rsidRPr="00FD6133">
        <w:rPr>
          <w:rFonts w:cs="Times New Roman"/>
          <w:szCs w:val="24"/>
        </w:rPr>
        <w:t>Иммунохимическое исследование сыворотки крови и мочи (для  выявления секреции моноклонального парапротеина  и криоглобулина, свободных легких цепей, определения уровня бета -2 микроглобулина).</w:t>
      </w:r>
    </w:p>
    <w:p w14:paraId="4C7CB7B3" w14:textId="77777777" w:rsidR="0000369C" w:rsidRPr="00FD6133" w:rsidRDefault="0000369C" w:rsidP="0000369C">
      <w:pPr>
        <w:pStyle w:val="afe"/>
        <w:ind w:left="1776"/>
        <w:rPr>
          <w:rFonts w:cs="Times New Roman"/>
          <w:szCs w:val="24"/>
        </w:rPr>
      </w:pPr>
    </w:p>
    <w:p w14:paraId="67A02FCF" w14:textId="77777777" w:rsidR="0000369C" w:rsidRPr="00F65F6F" w:rsidRDefault="0000369C" w:rsidP="0000369C">
      <w:pPr>
        <w:rPr>
          <w:rFonts w:cs="Times New Roman"/>
          <w:szCs w:val="24"/>
        </w:rPr>
      </w:pPr>
      <w:r w:rsidRPr="00FD6133">
        <w:rPr>
          <w:rFonts w:cs="Times New Roman"/>
          <w:szCs w:val="24"/>
        </w:rPr>
        <w:t>Таблица 4. Рекомендуемая формула расчета скорости клубочковой фильтрации CKD-EPI.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2213"/>
        <w:gridCol w:w="6039"/>
      </w:tblGrid>
      <w:tr w:rsidR="0000369C" w:rsidRPr="00F65F6F" w14:paraId="23785A0E" w14:textId="77777777" w:rsidTr="001C46FD">
        <w:tc>
          <w:tcPr>
            <w:tcW w:w="1387" w:type="dxa"/>
            <w:tcBorders>
              <w:top w:val="single" w:sz="4" w:space="0" w:color="auto"/>
              <w:left w:val="single" w:sz="4" w:space="0" w:color="auto"/>
              <w:bottom w:val="single" w:sz="4" w:space="0" w:color="auto"/>
              <w:right w:val="single" w:sz="4" w:space="0" w:color="auto"/>
            </w:tcBorders>
            <w:hideMark/>
          </w:tcPr>
          <w:p w14:paraId="0756F39E"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Пол</w:t>
            </w:r>
          </w:p>
        </w:tc>
        <w:tc>
          <w:tcPr>
            <w:tcW w:w="2213" w:type="dxa"/>
            <w:tcBorders>
              <w:top w:val="single" w:sz="4" w:space="0" w:color="auto"/>
              <w:left w:val="single" w:sz="4" w:space="0" w:color="auto"/>
              <w:bottom w:val="single" w:sz="4" w:space="0" w:color="auto"/>
              <w:right w:val="single" w:sz="4" w:space="0" w:color="auto"/>
            </w:tcBorders>
            <w:hideMark/>
          </w:tcPr>
          <w:p w14:paraId="2DCC9897"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Креатинин крови</w:t>
            </w:r>
          </w:p>
        </w:tc>
        <w:tc>
          <w:tcPr>
            <w:tcW w:w="6039" w:type="dxa"/>
            <w:tcBorders>
              <w:top w:val="single" w:sz="4" w:space="0" w:color="auto"/>
              <w:left w:val="single" w:sz="4" w:space="0" w:color="auto"/>
              <w:bottom w:val="single" w:sz="4" w:space="0" w:color="auto"/>
              <w:right w:val="single" w:sz="4" w:space="0" w:color="auto"/>
            </w:tcBorders>
            <w:hideMark/>
          </w:tcPr>
          <w:p w14:paraId="1D06A86F"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Расчетная СКФ (CKD-EPI, 2009-11) [мл/мин./1,73 м</w:t>
            </w:r>
            <w:r w:rsidRPr="00F65F6F">
              <w:rPr>
                <w:rFonts w:eastAsia="Calibri" w:cs="Times New Roman"/>
                <w:szCs w:val="24"/>
                <w:vertAlign w:val="superscript"/>
              </w:rPr>
              <w:t>2</w:t>
            </w:r>
            <w:r w:rsidRPr="00F65F6F">
              <w:rPr>
                <w:rFonts w:eastAsia="Calibri" w:cs="Times New Roman"/>
                <w:szCs w:val="24"/>
              </w:rPr>
              <w:t>]</w:t>
            </w:r>
          </w:p>
        </w:tc>
      </w:tr>
      <w:tr w:rsidR="0000369C" w:rsidRPr="00F65F6F" w14:paraId="7FC8DD4B" w14:textId="77777777" w:rsidTr="001C46FD">
        <w:tc>
          <w:tcPr>
            <w:tcW w:w="9639" w:type="dxa"/>
            <w:gridSpan w:val="3"/>
            <w:tcBorders>
              <w:top w:val="single" w:sz="4" w:space="0" w:color="auto"/>
              <w:left w:val="single" w:sz="4" w:space="0" w:color="auto"/>
              <w:bottom w:val="single" w:sz="4" w:space="0" w:color="auto"/>
              <w:right w:val="single" w:sz="4" w:space="0" w:color="auto"/>
            </w:tcBorders>
            <w:hideMark/>
          </w:tcPr>
          <w:p w14:paraId="5B23999C"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Европейцы</w:t>
            </w:r>
          </w:p>
        </w:tc>
      </w:tr>
      <w:tr w:rsidR="0000369C" w:rsidRPr="00F65F6F" w14:paraId="58CB0D53" w14:textId="77777777" w:rsidTr="001C46FD">
        <w:tc>
          <w:tcPr>
            <w:tcW w:w="1387" w:type="dxa"/>
            <w:vMerge w:val="restart"/>
            <w:tcBorders>
              <w:top w:val="single" w:sz="4" w:space="0" w:color="auto"/>
              <w:left w:val="single" w:sz="4" w:space="0" w:color="auto"/>
              <w:bottom w:val="single" w:sz="4" w:space="0" w:color="auto"/>
              <w:right w:val="single" w:sz="4" w:space="0" w:color="auto"/>
            </w:tcBorders>
            <w:hideMark/>
          </w:tcPr>
          <w:p w14:paraId="57DE8E77"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Женщины</w:t>
            </w:r>
          </w:p>
        </w:tc>
        <w:tc>
          <w:tcPr>
            <w:tcW w:w="2213" w:type="dxa"/>
            <w:tcBorders>
              <w:top w:val="single" w:sz="4" w:space="0" w:color="auto"/>
              <w:left w:val="single" w:sz="4" w:space="0" w:color="auto"/>
              <w:bottom w:val="single" w:sz="4" w:space="0" w:color="auto"/>
              <w:right w:val="single" w:sz="4" w:space="0" w:color="auto"/>
            </w:tcBorders>
            <w:hideMark/>
          </w:tcPr>
          <w:p w14:paraId="100C4DC4"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lang w:val="en-US"/>
              </w:rPr>
              <w:t>&lt;</w:t>
            </w:r>
            <w:r w:rsidRPr="00F65F6F">
              <w:rPr>
                <w:rFonts w:eastAsia="Calibri" w:cs="Times New Roman"/>
                <w:szCs w:val="24"/>
              </w:rPr>
              <w:t>62 мкмоль/л</w:t>
            </w:r>
          </w:p>
        </w:tc>
        <w:tc>
          <w:tcPr>
            <w:tcW w:w="6039" w:type="dxa"/>
            <w:tcBorders>
              <w:top w:val="single" w:sz="4" w:space="0" w:color="auto"/>
              <w:left w:val="single" w:sz="4" w:space="0" w:color="auto"/>
              <w:bottom w:val="single" w:sz="4" w:space="0" w:color="auto"/>
              <w:right w:val="single" w:sz="4" w:space="0" w:color="auto"/>
            </w:tcBorders>
            <w:hideMark/>
          </w:tcPr>
          <w:p w14:paraId="43100636"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144 × (0,993)</w:t>
            </w:r>
            <w:r w:rsidRPr="00F65F6F">
              <w:rPr>
                <w:rFonts w:eastAsia="Calibri" w:cs="Times New Roman"/>
                <w:szCs w:val="24"/>
                <w:vertAlign w:val="superscript"/>
              </w:rPr>
              <w:t xml:space="preserve"> Возраст</w:t>
            </w:r>
            <w:r w:rsidRPr="00F65F6F">
              <w:rPr>
                <w:rFonts w:eastAsia="Calibri" w:cs="Times New Roman"/>
                <w:szCs w:val="24"/>
              </w:rPr>
              <w:t xml:space="preserve"> × (креатинин крови/62)</w:t>
            </w:r>
            <w:r w:rsidRPr="00F65F6F">
              <w:rPr>
                <w:rFonts w:eastAsia="Calibri" w:cs="Times New Roman"/>
                <w:szCs w:val="24"/>
                <w:vertAlign w:val="superscript"/>
              </w:rPr>
              <w:t>−0,328</w:t>
            </w:r>
          </w:p>
        </w:tc>
      </w:tr>
      <w:tr w:rsidR="0000369C" w:rsidRPr="00F65F6F" w14:paraId="34E5846B" w14:textId="77777777" w:rsidTr="001C46FD">
        <w:tc>
          <w:tcPr>
            <w:tcW w:w="0" w:type="auto"/>
            <w:vMerge/>
            <w:tcBorders>
              <w:top w:val="single" w:sz="4" w:space="0" w:color="auto"/>
              <w:left w:val="single" w:sz="4" w:space="0" w:color="auto"/>
              <w:bottom w:val="single" w:sz="4" w:space="0" w:color="auto"/>
              <w:right w:val="single" w:sz="4" w:space="0" w:color="auto"/>
            </w:tcBorders>
            <w:vAlign w:val="center"/>
            <w:hideMark/>
          </w:tcPr>
          <w:p w14:paraId="00CAFC7A" w14:textId="77777777" w:rsidR="0000369C" w:rsidRPr="00F65F6F" w:rsidRDefault="0000369C" w:rsidP="001C46FD">
            <w:pPr>
              <w:rPr>
                <w:rFonts w:eastAsia="Calibri" w:cs="Times New Roman"/>
                <w:szCs w:val="24"/>
              </w:rPr>
            </w:pPr>
          </w:p>
        </w:tc>
        <w:tc>
          <w:tcPr>
            <w:tcW w:w="2213" w:type="dxa"/>
            <w:tcBorders>
              <w:top w:val="single" w:sz="4" w:space="0" w:color="auto"/>
              <w:left w:val="single" w:sz="4" w:space="0" w:color="auto"/>
              <w:bottom w:val="single" w:sz="4" w:space="0" w:color="auto"/>
              <w:right w:val="single" w:sz="4" w:space="0" w:color="auto"/>
            </w:tcBorders>
            <w:hideMark/>
          </w:tcPr>
          <w:p w14:paraId="06448733"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≥62 мкмоль/л</w:t>
            </w:r>
          </w:p>
        </w:tc>
        <w:tc>
          <w:tcPr>
            <w:tcW w:w="6039" w:type="dxa"/>
            <w:tcBorders>
              <w:top w:val="single" w:sz="4" w:space="0" w:color="auto"/>
              <w:left w:val="single" w:sz="4" w:space="0" w:color="auto"/>
              <w:bottom w:val="single" w:sz="4" w:space="0" w:color="auto"/>
              <w:right w:val="single" w:sz="4" w:space="0" w:color="auto"/>
            </w:tcBorders>
            <w:hideMark/>
          </w:tcPr>
          <w:p w14:paraId="0E036FD2"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144 × (0,993)</w:t>
            </w:r>
            <w:r w:rsidRPr="00F65F6F">
              <w:rPr>
                <w:rFonts w:eastAsia="Calibri" w:cs="Times New Roman"/>
                <w:szCs w:val="24"/>
                <w:vertAlign w:val="superscript"/>
              </w:rPr>
              <w:t xml:space="preserve"> Возраст</w:t>
            </w:r>
            <w:r w:rsidRPr="00F65F6F">
              <w:rPr>
                <w:rFonts w:eastAsia="Calibri" w:cs="Times New Roman"/>
                <w:szCs w:val="24"/>
              </w:rPr>
              <w:t xml:space="preserve"> × (креатинин крови/62)</w:t>
            </w:r>
            <w:r w:rsidRPr="00F65F6F">
              <w:rPr>
                <w:rFonts w:eastAsia="Calibri" w:cs="Times New Roman"/>
                <w:szCs w:val="24"/>
                <w:vertAlign w:val="superscript"/>
              </w:rPr>
              <w:t>−1,210</w:t>
            </w:r>
          </w:p>
        </w:tc>
      </w:tr>
      <w:tr w:rsidR="0000369C" w:rsidRPr="00F65F6F" w14:paraId="07FD7F1A" w14:textId="77777777" w:rsidTr="001C46FD">
        <w:tc>
          <w:tcPr>
            <w:tcW w:w="1387" w:type="dxa"/>
            <w:vMerge w:val="restart"/>
            <w:tcBorders>
              <w:top w:val="single" w:sz="4" w:space="0" w:color="auto"/>
              <w:left w:val="single" w:sz="4" w:space="0" w:color="auto"/>
              <w:bottom w:val="single" w:sz="4" w:space="0" w:color="auto"/>
              <w:right w:val="single" w:sz="4" w:space="0" w:color="auto"/>
            </w:tcBorders>
            <w:hideMark/>
          </w:tcPr>
          <w:p w14:paraId="6415CF1F"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Мужчины</w:t>
            </w:r>
          </w:p>
        </w:tc>
        <w:tc>
          <w:tcPr>
            <w:tcW w:w="2213" w:type="dxa"/>
            <w:tcBorders>
              <w:top w:val="single" w:sz="4" w:space="0" w:color="auto"/>
              <w:left w:val="single" w:sz="4" w:space="0" w:color="auto"/>
              <w:bottom w:val="single" w:sz="4" w:space="0" w:color="auto"/>
              <w:right w:val="single" w:sz="4" w:space="0" w:color="auto"/>
            </w:tcBorders>
            <w:hideMark/>
          </w:tcPr>
          <w:p w14:paraId="33B7CAE7"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lang w:val="en-US"/>
              </w:rPr>
              <w:t>&lt;</w:t>
            </w:r>
            <w:r w:rsidRPr="00F65F6F">
              <w:rPr>
                <w:rFonts w:eastAsia="Calibri" w:cs="Times New Roman"/>
                <w:szCs w:val="24"/>
              </w:rPr>
              <w:t>80 мкмоль/л</w:t>
            </w:r>
          </w:p>
        </w:tc>
        <w:tc>
          <w:tcPr>
            <w:tcW w:w="6039" w:type="dxa"/>
            <w:tcBorders>
              <w:top w:val="single" w:sz="4" w:space="0" w:color="auto"/>
              <w:left w:val="single" w:sz="4" w:space="0" w:color="auto"/>
              <w:bottom w:val="single" w:sz="4" w:space="0" w:color="auto"/>
              <w:right w:val="single" w:sz="4" w:space="0" w:color="auto"/>
            </w:tcBorders>
            <w:hideMark/>
          </w:tcPr>
          <w:p w14:paraId="2CEFD650"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141 × (0,993)</w:t>
            </w:r>
            <w:r w:rsidRPr="00F65F6F">
              <w:rPr>
                <w:rFonts w:eastAsia="Calibri" w:cs="Times New Roman"/>
                <w:szCs w:val="24"/>
                <w:vertAlign w:val="superscript"/>
              </w:rPr>
              <w:t xml:space="preserve"> Возраст</w:t>
            </w:r>
            <w:r w:rsidRPr="00F65F6F">
              <w:rPr>
                <w:rFonts w:eastAsia="Calibri" w:cs="Times New Roman"/>
                <w:szCs w:val="24"/>
              </w:rPr>
              <w:t xml:space="preserve"> × (креатинин крови/80)</w:t>
            </w:r>
            <w:r w:rsidRPr="00F65F6F">
              <w:rPr>
                <w:rFonts w:eastAsia="Calibri" w:cs="Times New Roman"/>
                <w:szCs w:val="24"/>
                <w:vertAlign w:val="superscript"/>
              </w:rPr>
              <w:t>−0,412</w:t>
            </w:r>
          </w:p>
        </w:tc>
      </w:tr>
      <w:tr w:rsidR="0000369C" w:rsidRPr="00F65F6F" w14:paraId="5CCEFFE9" w14:textId="77777777" w:rsidTr="001C46FD">
        <w:tc>
          <w:tcPr>
            <w:tcW w:w="0" w:type="auto"/>
            <w:vMerge/>
            <w:tcBorders>
              <w:top w:val="single" w:sz="4" w:space="0" w:color="auto"/>
              <w:left w:val="single" w:sz="4" w:space="0" w:color="auto"/>
              <w:bottom w:val="single" w:sz="4" w:space="0" w:color="auto"/>
              <w:right w:val="single" w:sz="4" w:space="0" w:color="auto"/>
            </w:tcBorders>
            <w:vAlign w:val="center"/>
            <w:hideMark/>
          </w:tcPr>
          <w:p w14:paraId="2301B93A" w14:textId="77777777" w:rsidR="0000369C" w:rsidRPr="00F65F6F" w:rsidRDefault="0000369C" w:rsidP="001C46FD">
            <w:pPr>
              <w:rPr>
                <w:rFonts w:eastAsia="Calibri" w:cs="Times New Roman"/>
                <w:szCs w:val="24"/>
              </w:rPr>
            </w:pPr>
          </w:p>
        </w:tc>
        <w:tc>
          <w:tcPr>
            <w:tcW w:w="2213" w:type="dxa"/>
            <w:tcBorders>
              <w:top w:val="single" w:sz="4" w:space="0" w:color="auto"/>
              <w:left w:val="single" w:sz="4" w:space="0" w:color="auto"/>
              <w:bottom w:val="single" w:sz="4" w:space="0" w:color="auto"/>
              <w:right w:val="single" w:sz="4" w:space="0" w:color="auto"/>
            </w:tcBorders>
            <w:hideMark/>
          </w:tcPr>
          <w:p w14:paraId="142BA311"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≥80 мкмоль/л</w:t>
            </w:r>
          </w:p>
        </w:tc>
        <w:tc>
          <w:tcPr>
            <w:tcW w:w="6039" w:type="dxa"/>
            <w:tcBorders>
              <w:top w:val="single" w:sz="4" w:space="0" w:color="auto"/>
              <w:left w:val="single" w:sz="4" w:space="0" w:color="auto"/>
              <w:bottom w:val="single" w:sz="4" w:space="0" w:color="auto"/>
              <w:right w:val="single" w:sz="4" w:space="0" w:color="auto"/>
            </w:tcBorders>
            <w:hideMark/>
          </w:tcPr>
          <w:p w14:paraId="691B711B"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141 × (0,993)</w:t>
            </w:r>
            <w:r w:rsidRPr="00F65F6F">
              <w:rPr>
                <w:rFonts w:eastAsia="Calibri" w:cs="Times New Roman"/>
                <w:szCs w:val="24"/>
                <w:vertAlign w:val="superscript"/>
              </w:rPr>
              <w:t xml:space="preserve"> Возраст</w:t>
            </w:r>
            <w:r w:rsidRPr="00F65F6F">
              <w:rPr>
                <w:rFonts w:eastAsia="Calibri" w:cs="Times New Roman"/>
                <w:szCs w:val="24"/>
              </w:rPr>
              <w:t xml:space="preserve"> × (креатинин крови/80)</w:t>
            </w:r>
            <w:r w:rsidRPr="00F65F6F">
              <w:rPr>
                <w:rFonts w:eastAsia="Calibri" w:cs="Times New Roman"/>
                <w:szCs w:val="24"/>
                <w:vertAlign w:val="superscript"/>
              </w:rPr>
              <w:t>−1,210</w:t>
            </w:r>
          </w:p>
        </w:tc>
      </w:tr>
      <w:tr w:rsidR="0000369C" w:rsidRPr="00F65F6F" w14:paraId="03FED5DC" w14:textId="77777777" w:rsidTr="001C46FD">
        <w:tc>
          <w:tcPr>
            <w:tcW w:w="9639" w:type="dxa"/>
            <w:gridSpan w:val="3"/>
            <w:tcBorders>
              <w:top w:val="single" w:sz="4" w:space="0" w:color="auto"/>
              <w:left w:val="single" w:sz="4" w:space="0" w:color="auto"/>
              <w:bottom w:val="single" w:sz="4" w:space="0" w:color="auto"/>
              <w:right w:val="single" w:sz="4" w:space="0" w:color="auto"/>
            </w:tcBorders>
            <w:hideMark/>
          </w:tcPr>
          <w:p w14:paraId="0C3C6517"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Азиаты</w:t>
            </w:r>
          </w:p>
        </w:tc>
      </w:tr>
      <w:tr w:rsidR="0000369C" w:rsidRPr="00F65F6F" w14:paraId="52C675DF" w14:textId="77777777" w:rsidTr="001C46FD">
        <w:tc>
          <w:tcPr>
            <w:tcW w:w="1387" w:type="dxa"/>
            <w:vMerge w:val="restart"/>
            <w:tcBorders>
              <w:top w:val="single" w:sz="4" w:space="0" w:color="auto"/>
              <w:left w:val="single" w:sz="4" w:space="0" w:color="auto"/>
              <w:bottom w:val="single" w:sz="4" w:space="0" w:color="auto"/>
              <w:right w:val="single" w:sz="4" w:space="0" w:color="auto"/>
            </w:tcBorders>
            <w:hideMark/>
          </w:tcPr>
          <w:p w14:paraId="625F1CBB"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Женщины</w:t>
            </w:r>
          </w:p>
        </w:tc>
        <w:tc>
          <w:tcPr>
            <w:tcW w:w="2213" w:type="dxa"/>
            <w:tcBorders>
              <w:top w:val="single" w:sz="4" w:space="0" w:color="auto"/>
              <w:left w:val="single" w:sz="4" w:space="0" w:color="auto"/>
              <w:bottom w:val="single" w:sz="4" w:space="0" w:color="auto"/>
              <w:right w:val="single" w:sz="4" w:space="0" w:color="auto"/>
            </w:tcBorders>
            <w:hideMark/>
          </w:tcPr>
          <w:p w14:paraId="75DE1A88"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lang w:val="en-US"/>
              </w:rPr>
              <w:t>&lt;</w:t>
            </w:r>
            <w:r w:rsidRPr="00F65F6F">
              <w:rPr>
                <w:rFonts w:eastAsia="Calibri" w:cs="Times New Roman"/>
                <w:szCs w:val="24"/>
              </w:rPr>
              <w:t>62 мкмоль/л</w:t>
            </w:r>
          </w:p>
        </w:tc>
        <w:tc>
          <w:tcPr>
            <w:tcW w:w="6039" w:type="dxa"/>
            <w:tcBorders>
              <w:top w:val="single" w:sz="4" w:space="0" w:color="auto"/>
              <w:left w:val="single" w:sz="4" w:space="0" w:color="auto"/>
              <w:bottom w:val="single" w:sz="4" w:space="0" w:color="auto"/>
              <w:right w:val="single" w:sz="4" w:space="0" w:color="auto"/>
            </w:tcBorders>
            <w:hideMark/>
          </w:tcPr>
          <w:p w14:paraId="64ACC31F"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151 × (0,993)</w:t>
            </w:r>
            <w:r w:rsidRPr="00F65F6F">
              <w:rPr>
                <w:rFonts w:eastAsia="Calibri" w:cs="Times New Roman"/>
                <w:szCs w:val="24"/>
                <w:vertAlign w:val="superscript"/>
              </w:rPr>
              <w:t xml:space="preserve"> Возраст</w:t>
            </w:r>
            <w:r w:rsidRPr="00F65F6F">
              <w:rPr>
                <w:rFonts w:eastAsia="Calibri" w:cs="Times New Roman"/>
                <w:szCs w:val="24"/>
              </w:rPr>
              <w:t xml:space="preserve"> × (креатинин крови/62)</w:t>
            </w:r>
            <w:r w:rsidRPr="00F65F6F">
              <w:rPr>
                <w:rFonts w:eastAsia="Calibri" w:cs="Times New Roman"/>
                <w:szCs w:val="24"/>
                <w:vertAlign w:val="superscript"/>
              </w:rPr>
              <w:t>−0,328</w:t>
            </w:r>
          </w:p>
        </w:tc>
      </w:tr>
      <w:tr w:rsidR="0000369C" w:rsidRPr="00F65F6F" w14:paraId="3B89C461" w14:textId="77777777" w:rsidTr="001C46FD">
        <w:tc>
          <w:tcPr>
            <w:tcW w:w="0" w:type="auto"/>
            <w:vMerge/>
            <w:tcBorders>
              <w:top w:val="single" w:sz="4" w:space="0" w:color="auto"/>
              <w:left w:val="single" w:sz="4" w:space="0" w:color="auto"/>
              <w:bottom w:val="single" w:sz="4" w:space="0" w:color="auto"/>
              <w:right w:val="single" w:sz="4" w:space="0" w:color="auto"/>
            </w:tcBorders>
            <w:vAlign w:val="center"/>
            <w:hideMark/>
          </w:tcPr>
          <w:p w14:paraId="22A4BE49" w14:textId="77777777" w:rsidR="0000369C" w:rsidRPr="00F65F6F" w:rsidRDefault="0000369C" w:rsidP="001C46FD">
            <w:pPr>
              <w:rPr>
                <w:rFonts w:eastAsia="Calibri" w:cs="Times New Roman"/>
                <w:szCs w:val="24"/>
              </w:rPr>
            </w:pPr>
          </w:p>
        </w:tc>
        <w:tc>
          <w:tcPr>
            <w:tcW w:w="2213" w:type="dxa"/>
            <w:tcBorders>
              <w:top w:val="single" w:sz="4" w:space="0" w:color="auto"/>
              <w:left w:val="single" w:sz="4" w:space="0" w:color="auto"/>
              <w:bottom w:val="single" w:sz="4" w:space="0" w:color="auto"/>
              <w:right w:val="single" w:sz="4" w:space="0" w:color="auto"/>
            </w:tcBorders>
            <w:hideMark/>
          </w:tcPr>
          <w:p w14:paraId="2524BAEE"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≥62 мкмоль/л</w:t>
            </w:r>
          </w:p>
        </w:tc>
        <w:tc>
          <w:tcPr>
            <w:tcW w:w="6039" w:type="dxa"/>
            <w:tcBorders>
              <w:top w:val="single" w:sz="4" w:space="0" w:color="auto"/>
              <w:left w:val="single" w:sz="4" w:space="0" w:color="auto"/>
              <w:bottom w:val="single" w:sz="4" w:space="0" w:color="auto"/>
              <w:right w:val="single" w:sz="4" w:space="0" w:color="auto"/>
            </w:tcBorders>
            <w:hideMark/>
          </w:tcPr>
          <w:p w14:paraId="0D241016"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151 × (0,993)</w:t>
            </w:r>
            <w:r w:rsidRPr="00F65F6F">
              <w:rPr>
                <w:rFonts w:eastAsia="Calibri" w:cs="Times New Roman"/>
                <w:szCs w:val="24"/>
                <w:vertAlign w:val="superscript"/>
              </w:rPr>
              <w:t xml:space="preserve"> Возраст</w:t>
            </w:r>
            <w:r w:rsidRPr="00F65F6F">
              <w:rPr>
                <w:rFonts w:eastAsia="Calibri" w:cs="Times New Roman"/>
                <w:szCs w:val="24"/>
              </w:rPr>
              <w:t xml:space="preserve"> × (креатинин крови/62)</w:t>
            </w:r>
            <w:r w:rsidRPr="00F65F6F">
              <w:rPr>
                <w:rFonts w:eastAsia="Calibri" w:cs="Times New Roman"/>
                <w:szCs w:val="24"/>
                <w:vertAlign w:val="superscript"/>
              </w:rPr>
              <w:t>−1,210</w:t>
            </w:r>
          </w:p>
        </w:tc>
      </w:tr>
      <w:tr w:rsidR="0000369C" w:rsidRPr="00F65F6F" w14:paraId="4453750E" w14:textId="77777777" w:rsidTr="001C46FD">
        <w:tc>
          <w:tcPr>
            <w:tcW w:w="1387" w:type="dxa"/>
            <w:vMerge w:val="restart"/>
            <w:tcBorders>
              <w:top w:val="single" w:sz="4" w:space="0" w:color="auto"/>
              <w:left w:val="single" w:sz="4" w:space="0" w:color="auto"/>
              <w:bottom w:val="single" w:sz="4" w:space="0" w:color="auto"/>
              <w:right w:val="single" w:sz="4" w:space="0" w:color="auto"/>
            </w:tcBorders>
            <w:hideMark/>
          </w:tcPr>
          <w:p w14:paraId="2F3F9368"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Мужчины</w:t>
            </w:r>
          </w:p>
        </w:tc>
        <w:tc>
          <w:tcPr>
            <w:tcW w:w="2213" w:type="dxa"/>
            <w:tcBorders>
              <w:top w:val="single" w:sz="4" w:space="0" w:color="auto"/>
              <w:left w:val="single" w:sz="4" w:space="0" w:color="auto"/>
              <w:bottom w:val="single" w:sz="4" w:space="0" w:color="auto"/>
              <w:right w:val="single" w:sz="4" w:space="0" w:color="auto"/>
            </w:tcBorders>
            <w:hideMark/>
          </w:tcPr>
          <w:p w14:paraId="3506D247"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lang w:val="en-US"/>
              </w:rPr>
              <w:t>&lt;</w:t>
            </w:r>
            <w:r w:rsidRPr="00F65F6F">
              <w:rPr>
                <w:rFonts w:eastAsia="Calibri" w:cs="Times New Roman"/>
                <w:szCs w:val="24"/>
              </w:rPr>
              <w:t>80 мкмоль/л</w:t>
            </w:r>
          </w:p>
        </w:tc>
        <w:tc>
          <w:tcPr>
            <w:tcW w:w="6039" w:type="dxa"/>
            <w:tcBorders>
              <w:top w:val="single" w:sz="4" w:space="0" w:color="auto"/>
              <w:left w:val="single" w:sz="4" w:space="0" w:color="auto"/>
              <w:bottom w:val="single" w:sz="4" w:space="0" w:color="auto"/>
              <w:right w:val="single" w:sz="4" w:space="0" w:color="auto"/>
            </w:tcBorders>
            <w:hideMark/>
          </w:tcPr>
          <w:p w14:paraId="61BDAAEF"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149 × (0,993)</w:t>
            </w:r>
            <w:r w:rsidRPr="00F65F6F">
              <w:rPr>
                <w:rFonts w:eastAsia="Calibri" w:cs="Times New Roman"/>
                <w:szCs w:val="24"/>
                <w:vertAlign w:val="superscript"/>
              </w:rPr>
              <w:t xml:space="preserve"> Возраст</w:t>
            </w:r>
            <w:r w:rsidRPr="00F65F6F">
              <w:rPr>
                <w:rFonts w:eastAsia="Calibri" w:cs="Times New Roman"/>
                <w:szCs w:val="24"/>
              </w:rPr>
              <w:t xml:space="preserve"> × (креатинин крови/80)</w:t>
            </w:r>
            <w:r w:rsidRPr="00F65F6F">
              <w:rPr>
                <w:rFonts w:eastAsia="Calibri" w:cs="Times New Roman"/>
                <w:szCs w:val="24"/>
                <w:vertAlign w:val="superscript"/>
              </w:rPr>
              <w:t>−0,412</w:t>
            </w:r>
          </w:p>
        </w:tc>
      </w:tr>
      <w:tr w:rsidR="0000369C" w:rsidRPr="00F65F6F" w14:paraId="39C6A4D1" w14:textId="77777777" w:rsidTr="001C46FD">
        <w:tc>
          <w:tcPr>
            <w:tcW w:w="0" w:type="auto"/>
            <w:vMerge/>
            <w:tcBorders>
              <w:top w:val="single" w:sz="4" w:space="0" w:color="auto"/>
              <w:left w:val="single" w:sz="4" w:space="0" w:color="auto"/>
              <w:bottom w:val="single" w:sz="4" w:space="0" w:color="auto"/>
              <w:right w:val="single" w:sz="4" w:space="0" w:color="auto"/>
            </w:tcBorders>
            <w:vAlign w:val="center"/>
            <w:hideMark/>
          </w:tcPr>
          <w:p w14:paraId="50BE78F2" w14:textId="77777777" w:rsidR="0000369C" w:rsidRPr="00F65F6F" w:rsidRDefault="0000369C" w:rsidP="001C46FD">
            <w:pPr>
              <w:rPr>
                <w:rFonts w:eastAsia="Calibri" w:cs="Times New Roman"/>
                <w:szCs w:val="24"/>
              </w:rPr>
            </w:pPr>
          </w:p>
        </w:tc>
        <w:tc>
          <w:tcPr>
            <w:tcW w:w="2213" w:type="dxa"/>
            <w:tcBorders>
              <w:top w:val="single" w:sz="4" w:space="0" w:color="auto"/>
              <w:left w:val="single" w:sz="4" w:space="0" w:color="auto"/>
              <w:bottom w:val="single" w:sz="4" w:space="0" w:color="auto"/>
              <w:right w:val="single" w:sz="4" w:space="0" w:color="auto"/>
            </w:tcBorders>
            <w:hideMark/>
          </w:tcPr>
          <w:p w14:paraId="3632B41B"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≥80 мкмоль/л</w:t>
            </w:r>
          </w:p>
        </w:tc>
        <w:tc>
          <w:tcPr>
            <w:tcW w:w="6039" w:type="dxa"/>
            <w:tcBorders>
              <w:top w:val="single" w:sz="4" w:space="0" w:color="auto"/>
              <w:left w:val="single" w:sz="4" w:space="0" w:color="auto"/>
              <w:bottom w:val="single" w:sz="4" w:space="0" w:color="auto"/>
              <w:right w:val="single" w:sz="4" w:space="0" w:color="auto"/>
            </w:tcBorders>
            <w:hideMark/>
          </w:tcPr>
          <w:p w14:paraId="523441A1" w14:textId="77777777" w:rsidR="0000369C" w:rsidRPr="00F65F6F" w:rsidRDefault="0000369C" w:rsidP="001C46FD">
            <w:pPr>
              <w:tabs>
                <w:tab w:val="left" w:pos="284"/>
                <w:tab w:val="left" w:pos="567"/>
              </w:tabs>
              <w:rPr>
                <w:rFonts w:eastAsia="Calibri" w:cs="Times New Roman"/>
                <w:szCs w:val="24"/>
              </w:rPr>
            </w:pPr>
            <w:r w:rsidRPr="00F65F6F">
              <w:rPr>
                <w:rFonts w:eastAsia="Calibri" w:cs="Times New Roman"/>
                <w:szCs w:val="24"/>
              </w:rPr>
              <w:t>149 × (0,993)</w:t>
            </w:r>
            <w:r w:rsidRPr="00F65F6F">
              <w:rPr>
                <w:rFonts w:eastAsia="Calibri" w:cs="Times New Roman"/>
                <w:szCs w:val="24"/>
                <w:vertAlign w:val="superscript"/>
              </w:rPr>
              <w:t xml:space="preserve"> Возраст</w:t>
            </w:r>
            <w:r w:rsidRPr="00F65F6F">
              <w:rPr>
                <w:rFonts w:eastAsia="Calibri" w:cs="Times New Roman"/>
                <w:szCs w:val="24"/>
              </w:rPr>
              <w:t xml:space="preserve"> × (креатинин крови/80)</w:t>
            </w:r>
            <w:r w:rsidRPr="00F65F6F">
              <w:rPr>
                <w:rFonts w:eastAsia="Calibri" w:cs="Times New Roman"/>
                <w:szCs w:val="24"/>
                <w:vertAlign w:val="superscript"/>
              </w:rPr>
              <w:t>−1,210</w:t>
            </w:r>
          </w:p>
        </w:tc>
      </w:tr>
    </w:tbl>
    <w:p w14:paraId="14ADABE9" w14:textId="77777777" w:rsidR="0000369C" w:rsidRPr="00F65F6F" w:rsidRDefault="0000369C" w:rsidP="0000369C">
      <w:pPr>
        <w:tabs>
          <w:tab w:val="left" w:pos="284"/>
          <w:tab w:val="left" w:pos="567"/>
        </w:tabs>
        <w:rPr>
          <w:rFonts w:cs="Times New Roman"/>
          <w:szCs w:val="24"/>
        </w:rPr>
      </w:pPr>
    </w:p>
    <w:p w14:paraId="65A8D625" w14:textId="77777777" w:rsidR="0000369C" w:rsidRPr="00F65F6F" w:rsidRDefault="0000369C" w:rsidP="0000369C">
      <w:pPr>
        <w:tabs>
          <w:tab w:val="left" w:pos="284"/>
          <w:tab w:val="left" w:pos="567"/>
        </w:tabs>
        <w:ind w:firstLine="709"/>
        <w:rPr>
          <w:rFonts w:cs="Times New Roman"/>
          <w:szCs w:val="24"/>
        </w:rPr>
      </w:pPr>
      <w:r w:rsidRPr="00F65F6F">
        <w:rPr>
          <w:rFonts w:cs="Times New Roman"/>
          <w:szCs w:val="24"/>
        </w:rPr>
        <w:t xml:space="preserve">Расчетные методы оценки СКФ не применимы в период развития и разрешения  ОПП, но могут оказаться полезными для оценки функции почек после ее стабилизации. Формулу </w:t>
      </w:r>
      <w:r w:rsidRPr="00F65F6F">
        <w:rPr>
          <w:rFonts w:cs="Times New Roman"/>
          <w:szCs w:val="24"/>
          <w:lang w:val="en-US"/>
        </w:rPr>
        <w:t>CRD</w:t>
      </w:r>
      <w:r w:rsidRPr="00F65F6F">
        <w:rPr>
          <w:rFonts w:cs="Times New Roman"/>
          <w:szCs w:val="24"/>
        </w:rPr>
        <w:t>-</w:t>
      </w:r>
      <w:r w:rsidRPr="00F65F6F">
        <w:rPr>
          <w:rFonts w:cs="Times New Roman"/>
          <w:szCs w:val="24"/>
          <w:lang w:val="en-US"/>
        </w:rPr>
        <w:t>EPI</w:t>
      </w:r>
      <w:r w:rsidRPr="00F65F6F">
        <w:rPr>
          <w:rFonts w:cs="Times New Roman"/>
          <w:szCs w:val="24"/>
        </w:rPr>
        <w:t xml:space="preserve">  не используют у детей до 18 лет, пациентов с нестандартными размерами тела (например, ампутация конечностей), выраженным истощением или ожирением (ИМТ&lt;15 и &gt; 40 кг/ м</w:t>
      </w:r>
      <w:r w:rsidRPr="00F65F6F">
        <w:rPr>
          <w:rFonts w:cs="Times New Roman"/>
          <w:szCs w:val="24"/>
          <w:vertAlign w:val="superscript"/>
        </w:rPr>
        <w:t>2</w:t>
      </w:r>
      <w:r w:rsidRPr="00F65F6F">
        <w:rPr>
          <w:rFonts w:cs="Times New Roman"/>
          <w:szCs w:val="24"/>
        </w:rPr>
        <w:t xml:space="preserve">), заболеваниями скелетной мускулатуры, параплегиями и квадраплегиями, вегетарианцев. Для оценки функционального состояния почек перед назначением нефротоксичных лекарственных средств и при решении вопроса о начале ЗПТ определение расчетной СКФ  необходимо дополнить данными о клиренсе эндогенного креатинина. Клиренс эндогенного креатинина определяется по формуле: </w:t>
      </w:r>
    </w:p>
    <w:p w14:paraId="192C34BE" w14:textId="77777777" w:rsidR="0000369C" w:rsidRPr="00F65F6F" w:rsidRDefault="0000369C" w:rsidP="0000369C">
      <w:pPr>
        <w:tabs>
          <w:tab w:val="left" w:pos="284"/>
          <w:tab w:val="left" w:pos="567"/>
        </w:tabs>
        <w:rPr>
          <w:rFonts w:cs="Times New Roman"/>
          <w:color w:val="202122"/>
          <w:szCs w:val="24"/>
          <w:shd w:val="clear" w:color="auto" w:fill="FFFFFF"/>
        </w:rPr>
      </w:pPr>
      <w:r w:rsidRPr="00F65F6F">
        <w:rPr>
          <w:rFonts w:cs="Times New Roman"/>
          <w:bCs/>
          <w:color w:val="202122"/>
          <w:szCs w:val="24"/>
          <w:shd w:val="clear" w:color="auto" w:fill="FFFFFF"/>
        </w:rPr>
        <w:t xml:space="preserve">СКФ = </w:t>
      </w:r>
      <w:r w:rsidRPr="00F65F6F">
        <w:rPr>
          <w:rFonts w:cs="Times New Roman"/>
          <w:bCs/>
          <w:color w:val="202122"/>
          <w:szCs w:val="24"/>
          <w:shd w:val="clear" w:color="auto" w:fill="FFFFFF"/>
          <w:lang w:val="en-US"/>
        </w:rPr>
        <w:t>Ucr</w:t>
      </w:r>
      <w:r w:rsidRPr="00F65F6F">
        <w:rPr>
          <w:rFonts w:cs="Times New Roman"/>
          <w:bCs/>
          <w:color w:val="202122"/>
          <w:szCs w:val="24"/>
          <w:shd w:val="clear" w:color="auto" w:fill="FFFFFF"/>
        </w:rPr>
        <w:t xml:space="preserve"> х V/ </w:t>
      </w:r>
      <w:r w:rsidRPr="00F65F6F">
        <w:rPr>
          <w:rFonts w:cs="Times New Roman"/>
          <w:bCs/>
          <w:color w:val="202122"/>
          <w:szCs w:val="24"/>
          <w:shd w:val="clear" w:color="auto" w:fill="FFFFFF"/>
          <w:lang w:val="en-US"/>
        </w:rPr>
        <w:t>Scr</w:t>
      </w:r>
    </w:p>
    <w:p w14:paraId="4FF014B2" w14:textId="77777777" w:rsidR="0000369C" w:rsidRPr="00F65F6F" w:rsidRDefault="0000369C" w:rsidP="0000369C">
      <w:pPr>
        <w:tabs>
          <w:tab w:val="left" w:pos="284"/>
          <w:tab w:val="left" w:pos="567"/>
        </w:tabs>
        <w:rPr>
          <w:rFonts w:cs="Times New Roman"/>
          <w:color w:val="202122"/>
          <w:szCs w:val="24"/>
          <w:shd w:val="clear" w:color="auto" w:fill="FFFFFF"/>
        </w:rPr>
      </w:pPr>
      <w:r w:rsidRPr="00F65F6F">
        <w:rPr>
          <w:rFonts w:cs="Times New Roman"/>
          <w:color w:val="202122"/>
          <w:szCs w:val="24"/>
          <w:shd w:val="clear" w:color="auto" w:fill="FFFFFF"/>
        </w:rPr>
        <w:t xml:space="preserve">где V — объём мочи за данное время, мл/мин;  Scr — концентрация креатинина в сыворотке; </w:t>
      </w:r>
      <w:r w:rsidRPr="00F65F6F">
        <w:rPr>
          <w:rFonts w:cs="Times New Roman"/>
          <w:bCs/>
          <w:color w:val="202122"/>
          <w:szCs w:val="24"/>
          <w:shd w:val="clear" w:color="auto" w:fill="FFFFFF"/>
          <w:lang w:val="en-US"/>
        </w:rPr>
        <w:t>Ucr</w:t>
      </w:r>
      <w:r w:rsidRPr="00F65F6F">
        <w:rPr>
          <w:rFonts w:cs="Times New Roman"/>
          <w:color w:val="202122"/>
          <w:szCs w:val="24"/>
          <w:shd w:val="clear" w:color="auto" w:fill="FFFFFF"/>
        </w:rPr>
        <w:t xml:space="preserve"> — концентрация креатинина в моче. </w:t>
      </w:r>
    </w:p>
    <w:p w14:paraId="4856C8EE" w14:textId="77777777" w:rsidR="0000369C" w:rsidRPr="00F65F6F" w:rsidRDefault="0000369C" w:rsidP="0000369C">
      <w:pPr>
        <w:tabs>
          <w:tab w:val="left" w:pos="284"/>
          <w:tab w:val="left" w:pos="567"/>
        </w:tabs>
        <w:ind w:firstLine="851"/>
        <w:rPr>
          <w:rFonts w:cs="Times New Roman"/>
          <w:szCs w:val="24"/>
        </w:rPr>
      </w:pPr>
      <w:r w:rsidRPr="00F65F6F">
        <w:rPr>
          <w:rFonts w:cs="Times New Roman"/>
          <w:color w:val="202122"/>
          <w:szCs w:val="24"/>
          <w:shd w:val="clear" w:color="auto" w:fill="FFFFFF"/>
        </w:rPr>
        <w:t>Помимо  классического интервала сбора мочи 24 часа, используют 4 или даже 2 часа.</w:t>
      </w:r>
    </w:p>
    <w:p w14:paraId="44672B40" w14:textId="77777777" w:rsidR="0000369C" w:rsidRPr="00F65F6F" w:rsidRDefault="0000369C" w:rsidP="0000369C">
      <w:pPr>
        <w:tabs>
          <w:tab w:val="left" w:pos="284"/>
          <w:tab w:val="left" w:pos="567"/>
        </w:tabs>
        <w:ind w:firstLine="709"/>
        <w:rPr>
          <w:rFonts w:cs="Times New Roman"/>
          <w:szCs w:val="24"/>
        </w:rPr>
      </w:pPr>
      <w:r w:rsidRPr="00F65F6F">
        <w:rPr>
          <w:rFonts w:cs="Times New Roman"/>
          <w:szCs w:val="24"/>
        </w:rPr>
        <w:lastRenderedPageBreak/>
        <w:t xml:space="preserve">Если базовое обследование выявило патологию мочевыводящей системы, проводят дополнительные исследования. Сроки и объем их выполнения во время поведения лечения зависят от степени тяжести выявленных до лечения или появившихся за время лечения изменений функционального состояния почек, связанных с прогрессированием ХБП, развитием ОПП, проявлением нефротоксичности. </w:t>
      </w:r>
    </w:p>
    <w:p w14:paraId="44F31975" w14:textId="77777777" w:rsidR="0000369C" w:rsidRPr="00F65F6F" w:rsidRDefault="0000369C" w:rsidP="0000369C">
      <w:pPr>
        <w:tabs>
          <w:tab w:val="left" w:pos="284"/>
          <w:tab w:val="left" w:pos="567"/>
        </w:tabs>
        <w:ind w:firstLine="709"/>
        <w:rPr>
          <w:rFonts w:cs="Times New Roman"/>
          <w:szCs w:val="24"/>
        </w:rPr>
      </w:pPr>
      <w:r w:rsidRPr="00F65F6F">
        <w:rPr>
          <w:rFonts w:cs="Times New Roman"/>
          <w:szCs w:val="24"/>
        </w:rPr>
        <w:t>Дополнительное обследование:</w:t>
      </w:r>
    </w:p>
    <w:p w14:paraId="3D2463DD" w14:textId="77777777" w:rsidR="0000369C" w:rsidRPr="002974AC" w:rsidRDefault="0000369C" w:rsidP="00C5490F">
      <w:pPr>
        <w:pStyle w:val="afe"/>
        <w:numPr>
          <w:ilvl w:val="0"/>
          <w:numId w:val="114"/>
        </w:numPr>
        <w:ind w:left="709" w:hanging="425"/>
        <w:rPr>
          <w:rFonts w:cs="Times New Roman"/>
          <w:szCs w:val="24"/>
        </w:rPr>
      </w:pPr>
      <w:r w:rsidRPr="002974AC">
        <w:rPr>
          <w:rFonts w:cs="Times New Roman"/>
          <w:szCs w:val="24"/>
        </w:rPr>
        <w:t>Определение показателей  КЩС  (для выявления метаболического ацидоза)</w:t>
      </w:r>
    </w:p>
    <w:p w14:paraId="3817DE44" w14:textId="77777777" w:rsidR="0000369C" w:rsidRPr="002974AC" w:rsidRDefault="0000369C" w:rsidP="00C5490F">
      <w:pPr>
        <w:pStyle w:val="afe"/>
        <w:numPr>
          <w:ilvl w:val="0"/>
          <w:numId w:val="114"/>
        </w:numPr>
        <w:ind w:left="709" w:hanging="425"/>
        <w:rPr>
          <w:rFonts w:cs="Times New Roman"/>
          <w:szCs w:val="24"/>
        </w:rPr>
      </w:pPr>
      <w:r w:rsidRPr="002974AC">
        <w:rPr>
          <w:rFonts w:cs="Times New Roman"/>
          <w:szCs w:val="24"/>
        </w:rPr>
        <w:t>Определение концентрации ионов калия, натрия и кальция в плазме (для решения вопроса об экстренности начала проведения ЗПТ)</w:t>
      </w:r>
    </w:p>
    <w:p w14:paraId="06B6AD66" w14:textId="77777777" w:rsidR="0000369C" w:rsidRPr="002974AC" w:rsidRDefault="0000369C" w:rsidP="00C5490F">
      <w:pPr>
        <w:pStyle w:val="afe"/>
        <w:numPr>
          <w:ilvl w:val="0"/>
          <w:numId w:val="114"/>
        </w:numPr>
        <w:ind w:left="709" w:hanging="425"/>
        <w:rPr>
          <w:rFonts w:cs="Times New Roman"/>
          <w:szCs w:val="24"/>
        </w:rPr>
      </w:pPr>
      <w:r w:rsidRPr="002974AC">
        <w:rPr>
          <w:rFonts w:cs="Times New Roman"/>
          <w:color w:val="000000" w:themeColor="text1"/>
          <w:szCs w:val="24"/>
        </w:rPr>
        <w:t xml:space="preserve">Магнитно-резонансная томография почек и мочевыводящих путей (позволяет определить </w:t>
      </w:r>
      <w:r w:rsidRPr="002974AC">
        <w:rPr>
          <w:rFonts w:cs="Times New Roman"/>
          <w:szCs w:val="24"/>
        </w:rPr>
        <w:t xml:space="preserve">структуру почечной ткани, наличия опухолевых образований и воспалительных процессов). </w:t>
      </w:r>
    </w:p>
    <w:p w14:paraId="2926DB9A" w14:textId="77777777" w:rsidR="0000369C" w:rsidRPr="002974AC" w:rsidRDefault="0000369C" w:rsidP="0000369C">
      <w:pPr>
        <w:pStyle w:val="afe"/>
        <w:ind w:left="709" w:hanging="1"/>
        <w:rPr>
          <w:rFonts w:cs="Times New Roman"/>
          <w:szCs w:val="24"/>
        </w:rPr>
      </w:pPr>
      <w:r w:rsidRPr="002974AC">
        <w:rPr>
          <w:rFonts w:cs="Times New Roman"/>
          <w:szCs w:val="24"/>
        </w:rPr>
        <w:t xml:space="preserve">Решение вопроса о контрастировании при крайней необходимости внутривенного введения рентгеноконтрастного препарата определяется консилиумом с участием гематолога, нефролога и рентгенолога. </w:t>
      </w:r>
    </w:p>
    <w:p w14:paraId="52C3699A" w14:textId="77777777" w:rsidR="0000369C" w:rsidRPr="002974AC" w:rsidRDefault="0000369C" w:rsidP="00C5490F">
      <w:pPr>
        <w:pStyle w:val="afe"/>
        <w:numPr>
          <w:ilvl w:val="0"/>
          <w:numId w:val="114"/>
        </w:numPr>
        <w:ind w:left="709" w:hanging="425"/>
        <w:rPr>
          <w:rFonts w:cs="Times New Roman"/>
          <w:szCs w:val="24"/>
        </w:rPr>
      </w:pPr>
      <w:r w:rsidRPr="002974AC">
        <w:rPr>
          <w:rFonts w:cs="Times New Roman"/>
          <w:szCs w:val="24"/>
        </w:rPr>
        <w:t>Радиоизотопная ренография (позволяет количественно определить скорость канальцевой секреции, время прохождения изотопа через почки и скорость его экскреции, что предоставит возможность оценить клиренсовую способность почек и состояние уродинамики верхних отделов мочевых путей).</w:t>
      </w:r>
    </w:p>
    <w:p w14:paraId="2DB71DCD" w14:textId="77777777" w:rsidR="0000369C" w:rsidRPr="002974AC" w:rsidRDefault="0000369C" w:rsidP="00C5490F">
      <w:pPr>
        <w:pStyle w:val="afe"/>
        <w:numPr>
          <w:ilvl w:val="0"/>
          <w:numId w:val="114"/>
        </w:numPr>
        <w:ind w:left="709" w:hanging="425"/>
        <w:rPr>
          <w:rFonts w:cs="Times New Roman"/>
          <w:szCs w:val="24"/>
        </w:rPr>
      </w:pPr>
      <w:r w:rsidRPr="002974AC">
        <w:rPr>
          <w:rFonts w:cs="Times New Roman"/>
          <w:szCs w:val="24"/>
        </w:rPr>
        <w:t xml:space="preserve">Биопсия почки (позволит выявить причину, характер почечных повреждений и их обратимость, что необходимо для решения вопроса о дальнейшем продолжении полихимиотерапии и ее интенсификации). </w:t>
      </w:r>
    </w:p>
    <w:p w14:paraId="64FF07AE" w14:textId="77777777" w:rsidR="0000369C" w:rsidRPr="002974AC" w:rsidRDefault="0000369C" w:rsidP="0000369C">
      <w:pPr>
        <w:pStyle w:val="afe"/>
        <w:ind w:left="709" w:hanging="1"/>
        <w:rPr>
          <w:rFonts w:cs="Times New Roman"/>
          <w:szCs w:val="24"/>
        </w:rPr>
      </w:pPr>
      <w:r w:rsidRPr="002974AC">
        <w:rPr>
          <w:rFonts w:cs="Times New Roman"/>
          <w:szCs w:val="24"/>
        </w:rPr>
        <w:t xml:space="preserve">Решение о выполнении биопсии почки принимается консилиумом с участием гематолога и нефролога. В каждом случае определяется целесообразность выполнения биопсии почки, чтобы диагностические цели не превышали риск возможных осложнений. </w:t>
      </w:r>
    </w:p>
    <w:p w14:paraId="26D67F9F" w14:textId="77777777" w:rsidR="0000369C" w:rsidRPr="00F65F6F" w:rsidRDefault="0000369C" w:rsidP="0000369C">
      <w:pPr>
        <w:shd w:val="clear" w:color="auto" w:fill="FFFFFF" w:themeFill="background1"/>
        <w:ind w:firstLine="709"/>
        <w:contextualSpacing/>
        <w:rPr>
          <w:rFonts w:cs="Times New Roman"/>
          <w:szCs w:val="24"/>
        </w:rPr>
      </w:pPr>
      <w:r w:rsidRPr="00F65F6F">
        <w:rPr>
          <w:rFonts w:cs="Times New Roman"/>
          <w:szCs w:val="24"/>
        </w:rPr>
        <w:t>Биопсия почки показана при:</w:t>
      </w:r>
    </w:p>
    <w:p w14:paraId="0DEAAF56" w14:textId="77777777" w:rsidR="0000369C" w:rsidRPr="00F65F6F" w:rsidRDefault="0000369C" w:rsidP="00C5490F">
      <w:pPr>
        <w:pStyle w:val="afe"/>
        <w:numPr>
          <w:ilvl w:val="0"/>
          <w:numId w:val="110"/>
        </w:numPr>
        <w:shd w:val="clear" w:color="auto" w:fill="FFFFFF" w:themeFill="background1"/>
        <w:rPr>
          <w:rFonts w:cs="Times New Roman"/>
          <w:szCs w:val="24"/>
        </w:rPr>
      </w:pPr>
      <w:r w:rsidRPr="00F65F6F">
        <w:rPr>
          <w:rFonts w:cs="Times New Roman"/>
          <w:szCs w:val="24"/>
        </w:rPr>
        <w:t>подозрении на опухолевое поражение почки;</w:t>
      </w:r>
    </w:p>
    <w:p w14:paraId="7F552F09" w14:textId="77777777" w:rsidR="0000369C" w:rsidRPr="00F65F6F" w:rsidRDefault="0000369C" w:rsidP="00C5490F">
      <w:pPr>
        <w:pStyle w:val="afe"/>
        <w:numPr>
          <w:ilvl w:val="0"/>
          <w:numId w:val="110"/>
        </w:numPr>
        <w:shd w:val="clear" w:color="auto" w:fill="FFFFFF" w:themeFill="background1"/>
        <w:rPr>
          <w:rFonts w:cs="Times New Roman"/>
          <w:szCs w:val="24"/>
        </w:rPr>
      </w:pPr>
      <w:r w:rsidRPr="00F65F6F">
        <w:rPr>
          <w:rFonts w:cs="Times New Roman"/>
          <w:szCs w:val="24"/>
        </w:rPr>
        <w:t>патологии почки неясной этиологии;</w:t>
      </w:r>
    </w:p>
    <w:p w14:paraId="01FA6056" w14:textId="77777777" w:rsidR="0000369C" w:rsidRPr="00F65F6F" w:rsidRDefault="0000369C" w:rsidP="00C5490F">
      <w:pPr>
        <w:pStyle w:val="afe"/>
        <w:numPr>
          <w:ilvl w:val="0"/>
          <w:numId w:val="110"/>
        </w:numPr>
        <w:shd w:val="clear" w:color="auto" w:fill="FFFFFF" w:themeFill="background1"/>
        <w:rPr>
          <w:rFonts w:cs="Times New Roman"/>
          <w:szCs w:val="24"/>
        </w:rPr>
      </w:pPr>
      <w:r w:rsidRPr="00F65F6F">
        <w:rPr>
          <w:rFonts w:cs="Times New Roman"/>
          <w:szCs w:val="24"/>
        </w:rPr>
        <w:t>нефротическом синдроме;</w:t>
      </w:r>
    </w:p>
    <w:p w14:paraId="7D4E84A7" w14:textId="77777777" w:rsidR="0000369C" w:rsidRPr="00F65F6F" w:rsidRDefault="0000369C" w:rsidP="00C5490F">
      <w:pPr>
        <w:pStyle w:val="afe"/>
        <w:numPr>
          <w:ilvl w:val="0"/>
          <w:numId w:val="110"/>
        </w:numPr>
        <w:shd w:val="clear" w:color="auto" w:fill="FFFFFF" w:themeFill="background1"/>
        <w:rPr>
          <w:rFonts w:cs="Times New Roman"/>
          <w:szCs w:val="24"/>
        </w:rPr>
      </w:pPr>
      <w:r w:rsidRPr="00F65F6F">
        <w:rPr>
          <w:rFonts w:cs="Times New Roman"/>
          <w:szCs w:val="24"/>
        </w:rPr>
        <w:t>длительной, неуточненной микрогематурии</w:t>
      </w:r>
    </w:p>
    <w:p w14:paraId="4843EA77" w14:textId="77777777" w:rsidR="0000369C" w:rsidRPr="00F65F6F" w:rsidRDefault="0000369C" w:rsidP="00C5490F">
      <w:pPr>
        <w:pStyle w:val="afe"/>
        <w:numPr>
          <w:ilvl w:val="0"/>
          <w:numId w:val="110"/>
        </w:numPr>
        <w:shd w:val="clear" w:color="auto" w:fill="FFFFFF" w:themeFill="background1"/>
        <w:rPr>
          <w:rFonts w:cs="Times New Roman"/>
          <w:szCs w:val="24"/>
        </w:rPr>
      </w:pPr>
      <w:r w:rsidRPr="00F65F6F">
        <w:rPr>
          <w:rFonts w:cs="Times New Roman"/>
          <w:szCs w:val="24"/>
        </w:rPr>
        <w:t>быстром снижении функции почек и развитии острого повреждения почек.</w:t>
      </w:r>
    </w:p>
    <w:p w14:paraId="7086A215" w14:textId="77777777" w:rsidR="0000369C" w:rsidRPr="00F65F6F" w:rsidRDefault="0000369C" w:rsidP="0000369C">
      <w:pPr>
        <w:shd w:val="clear" w:color="auto" w:fill="FFFFFF" w:themeFill="background1"/>
        <w:ind w:firstLine="709"/>
        <w:contextualSpacing/>
        <w:rPr>
          <w:rFonts w:cs="Times New Roman"/>
          <w:szCs w:val="24"/>
        </w:rPr>
      </w:pPr>
      <w:r w:rsidRPr="00F65F6F">
        <w:rPr>
          <w:rFonts w:cs="Times New Roman"/>
          <w:szCs w:val="24"/>
        </w:rPr>
        <w:t>Необходимые условия для выполнения биопсии:</w:t>
      </w:r>
    </w:p>
    <w:p w14:paraId="7804EB13" w14:textId="77777777" w:rsidR="0000369C" w:rsidRPr="00F65F6F" w:rsidRDefault="0000369C" w:rsidP="00C5490F">
      <w:pPr>
        <w:pStyle w:val="afe"/>
        <w:numPr>
          <w:ilvl w:val="0"/>
          <w:numId w:val="111"/>
        </w:numPr>
        <w:shd w:val="clear" w:color="auto" w:fill="FFFFFF" w:themeFill="background1"/>
        <w:rPr>
          <w:rFonts w:cs="Times New Roman"/>
          <w:szCs w:val="24"/>
        </w:rPr>
      </w:pPr>
      <w:r w:rsidRPr="00F65F6F">
        <w:rPr>
          <w:rFonts w:cs="Times New Roman"/>
          <w:szCs w:val="24"/>
        </w:rPr>
        <w:t>отсутствие аномалии развития почек (нефроптоз, неполное/полное удвоение почки и др.);</w:t>
      </w:r>
    </w:p>
    <w:p w14:paraId="6FBB2405" w14:textId="77777777" w:rsidR="0000369C" w:rsidRPr="00F65F6F" w:rsidRDefault="0000369C" w:rsidP="00C5490F">
      <w:pPr>
        <w:pStyle w:val="afe"/>
        <w:numPr>
          <w:ilvl w:val="0"/>
          <w:numId w:val="111"/>
        </w:numPr>
        <w:shd w:val="clear" w:color="auto" w:fill="FFFFFF" w:themeFill="background1"/>
        <w:rPr>
          <w:rFonts w:cs="Times New Roman"/>
          <w:szCs w:val="24"/>
        </w:rPr>
      </w:pPr>
      <w:r w:rsidRPr="00F65F6F">
        <w:rPr>
          <w:rFonts w:cs="Times New Roman"/>
          <w:szCs w:val="24"/>
        </w:rPr>
        <w:lastRenderedPageBreak/>
        <w:t>отсутствие лейкоцитурии, бактериурии;</w:t>
      </w:r>
    </w:p>
    <w:p w14:paraId="7961D836" w14:textId="77777777" w:rsidR="0000369C" w:rsidRPr="00F65F6F" w:rsidRDefault="0000369C" w:rsidP="00C5490F">
      <w:pPr>
        <w:pStyle w:val="afe"/>
        <w:numPr>
          <w:ilvl w:val="0"/>
          <w:numId w:val="111"/>
        </w:numPr>
        <w:shd w:val="clear" w:color="auto" w:fill="FFFFFF" w:themeFill="background1"/>
        <w:rPr>
          <w:rFonts w:cs="Times New Roman"/>
          <w:szCs w:val="24"/>
        </w:rPr>
      </w:pPr>
      <w:r w:rsidRPr="00F65F6F">
        <w:rPr>
          <w:rFonts w:cs="Times New Roman"/>
          <w:szCs w:val="24"/>
        </w:rPr>
        <w:t>количество тромбоцитов в периферической крови  ≥  70х10</w:t>
      </w:r>
      <w:r w:rsidRPr="00F65F6F">
        <w:rPr>
          <w:rFonts w:cs="Times New Roman"/>
          <w:szCs w:val="24"/>
          <w:vertAlign w:val="superscript"/>
        </w:rPr>
        <w:t>9</w:t>
      </w:r>
      <w:r w:rsidRPr="00F65F6F">
        <w:rPr>
          <w:rFonts w:cs="Times New Roman"/>
          <w:szCs w:val="24"/>
        </w:rPr>
        <w:t>/л;</w:t>
      </w:r>
    </w:p>
    <w:p w14:paraId="39B08E52" w14:textId="77777777" w:rsidR="0000369C" w:rsidRPr="00F65F6F" w:rsidRDefault="0000369C" w:rsidP="00C5490F">
      <w:pPr>
        <w:pStyle w:val="afe"/>
        <w:numPr>
          <w:ilvl w:val="0"/>
          <w:numId w:val="111"/>
        </w:numPr>
        <w:shd w:val="clear" w:color="auto" w:fill="FFFFFF" w:themeFill="background1"/>
        <w:rPr>
          <w:rFonts w:cs="Times New Roman"/>
          <w:szCs w:val="24"/>
        </w:rPr>
      </w:pPr>
      <w:r w:rsidRPr="00F65F6F">
        <w:rPr>
          <w:rFonts w:cs="Times New Roman"/>
          <w:szCs w:val="24"/>
        </w:rPr>
        <w:t>контроль показателей тромбоэластограммы;</w:t>
      </w:r>
    </w:p>
    <w:p w14:paraId="4550BF9F" w14:textId="77777777" w:rsidR="0000369C" w:rsidRPr="00F65F6F" w:rsidRDefault="0000369C" w:rsidP="00C5490F">
      <w:pPr>
        <w:pStyle w:val="afe"/>
        <w:numPr>
          <w:ilvl w:val="0"/>
          <w:numId w:val="111"/>
        </w:numPr>
        <w:shd w:val="clear" w:color="auto" w:fill="FFFFFF" w:themeFill="background1"/>
        <w:rPr>
          <w:rFonts w:cs="Times New Roman"/>
          <w:szCs w:val="24"/>
        </w:rPr>
      </w:pPr>
      <w:r w:rsidRPr="00F65F6F">
        <w:rPr>
          <w:rFonts w:cs="Times New Roman"/>
          <w:szCs w:val="24"/>
        </w:rPr>
        <w:t>предварительная коррекция выявленных  нарушений гемостаза.</w:t>
      </w:r>
    </w:p>
    <w:p w14:paraId="45D41CD0" w14:textId="77777777" w:rsidR="0000369C" w:rsidRDefault="0000369C" w:rsidP="0000369C">
      <w:pPr>
        <w:shd w:val="clear" w:color="auto" w:fill="FFFFFF" w:themeFill="background1"/>
        <w:ind w:firstLine="709"/>
        <w:rPr>
          <w:rFonts w:cs="Times New Roman"/>
          <w:szCs w:val="24"/>
        </w:rPr>
      </w:pPr>
      <w:r w:rsidRPr="00F65F6F">
        <w:rPr>
          <w:rFonts w:cs="Times New Roman"/>
          <w:szCs w:val="24"/>
        </w:rPr>
        <w:t xml:space="preserve">Гистологическое исследование нефробиоптата позволяет выявить  наличие опухолевой  инфильтрации в паренхиме почки, оценить обратимость повреждения нефрона. Необходимо выполнить иммуногистохимическое, иммунофлюоресцентное и электронно-микроскопическое исследование нефробиоптата.  </w:t>
      </w:r>
    </w:p>
    <w:p w14:paraId="75624089" w14:textId="77777777" w:rsidR="0000369C" w:rsidRPr="00F65F6F" w:rsidRDefault="0000369C" w:rsidP="0000369C">
      <w:pPr>
        <w:shd w:val="clear" w:color="auto" w:fill="FFFFFF" w:themeFill="background1"/>
        <w:ind w:firstLine="709"/>
        <w:rPr>
          <w:rFonts w:cs="Times New Roman"/>
          <w:szCs w:val="24"/>
        </w:rPr>
      </w:pPr>
    </w:p>
    <w:p w14:paraId="5552B3F7" w14:textId="37B000E4" w:rsidR="0000369C" w:rsidRPr="00FE0E8C" w:rsidRDefault="0000369C" w:rsidP="0000369C">
      <w:pPr>
        <w:autoSpaceDE w:val="0"/>
        <w:ind w:firstLine="709"/>
        <w:contextualSpacing/>
        <w:rPr>
          <w:rFonts w:eastAsia="Times New Roman" w:cs="Times New Roman"/>
          <w:bCs/>
          <w:i/>
          <w:iCs/>
          <w:szCs w:val="24"/>
          <w:u w:val="single"/>
          <w:lang w:eastAsia="ru-RU"/>
        </w:rPr>
      </w:pPr>
      <w:r w:rsidRPr="00FE0E8C">
        <w:rPr>
          <w:rFonts w:eastAsia="Times New Roman" w:cs="Times New Roman"/>
          <w:bCs/>
          <w:i/>
          <w:iCs/>
          <w:szCs w:val="24"/>
          <w:u w:val="single"/>
          <w:lang w:eastAsia="ru-RU"/>
        </w:rPr>
        <w:t>Рекомендации по лечению гематологических заболеваний, сопровождающихся поражением почек</w:t>
      </w:r>
      <w:r w:rsidRPr="00B90334">
        <w:rPr>
          <w:rFonts w:eastAsia="Times New Roman" w:cs="Times New Roman"/>
          <w:bCs/>
          <w:i/>
          <w:iCs/>
          <w:szCs w:val="24"/>
          <w:u w:val="single"/>
          <w:lang w:eastAsia="ru-RU"/>
        </w:rPr>
        <w:t xml:space="preserve"> </w:t>
      </w:r>
      <w:r>
        <w:rPr>
          <w:rFonts w:eastAsia="Times New Roman" w:cs="Times New Roman"/>
          <w:szCs w:val="24"/>
          <w:lang w:eastAsia="ru-RU"/>
        </w:rPr>
        <w:fldChar w:fldCharType="begin" w:fldLock="1"/>
      </w:r>
      <w:r>
        <w:rPr>
          <w:rFonts w:eastAsia="Times New Roman" w:cs="Times New Roman"/>
          <w:szCs w:val="24"/>
          <w:lang w:eastAsia="ru-RU"/>
        </w:rPr>
        <w:instrText>ADDIN CSL_CITATION {"citationItems":[{"id":"ITEM-1","itemData":{"author":[{"dropping-particle":"","family":"Джумабаева","given":"Б.Т.","non-dropping-particle":"","parse-names":false,"suffix":""},{"dropping-particle":"","family":"Бирюкова","given":"Л.С.","non-dropping-particle":"","parse-names":false,"suffix":""},{"dropping-particle":"","family":"Варшавский","given":"В.А.","non-dropping-particle":"","parse-names":false,"suffix":""},{"dropping-particle":"","family":"Марьина","given":"С.А.","non-dropping-particle":"","parse-names":false,"suffix":""},{"dropping-particle":"","family":"Рощина","given":"Л.С.","non-dropping-particle":"","parse-names":false,"suffix":""},{"dropping-particle":"","family":"Джулакян","given":"У.Л.","non-dropping-particle":"","parse-names":false,"suffix":""},{"dropping-particle":"","family":"Столяревич","given":"Е.C.","non-dropping-particle":"","parse-names":false,"suffix":""}],"container-title":"Онкогематология","id":"ITEM-1","issue":"1","issued":{"date-parts":[["2017"]]},"page":"44-54","title":"Клинико-лабораторные и морфологические особенности поражения почек при лимфопролиферативных заболеваниях","type":"article-journal","volume":"7"},"uris":["http://www.mendeley.com/documents/?uuid=50a28e00-c058-46cf-b75a-5bfd40395f93"]},{"id":"ITEM-2","itemData":{"author":[{"dropping-particle":"","family":"Рехтина","given":"И.Г.","non-dropping-particle":"","parse-names":false,"suffix":""},{"dropping-particle":"","family":"Голицина","given":"Е.П.","non-dropping-particle":"","parse-names":false,"suffix":""},{"dropping-particle":"","family":"Варламова","given":"Е.Ю.","non-dropping-particle":"","parse-names":false,"suffix":""},{"dropping-particle":"","family":"Варшавский","given":"В.А.","non-dropping-particle":"","parse-names":false,"suffix":""},{"dropping-particle":"","family":"Киреева","given":"А.А.","non-dropping-particle":"","parse-names":false,"suffix":""},{"dropping-particle":"","family":"Бирюкова","given":"Л.С.","non-dropping-particle":"","parse-names":false,"suffix":""},{"dropping-particle":"","family":"Савченко","given":"В.Г.","non-dropping-particle":"","parse-names":false,"suffix":""}],"container-title":"Терапевтический архив","id":"ITEM-2","issue":"3","issued":{"date-parts":[["2013"]]},"page":"80-85","title":"Морфологические и иммунохимические особенности нефропатий при множественной миеломе с тяжелой почечной недостаточностью","type":"article-journal","volume":"85"},"uris":["http://www.mendeley.com/documents/?uuid=b7e4aa0d-a654-44bd-b363-35e45db6262e"]},{"id":"ITEM-3","itemData":{"author":[{"dropping-particle":"","family":"Ворожейкина","given":"Е.Г.","non-dropping-particle":"","parse-names":false,"suffix":""},{"dropping-particle":"","family":"Бирюкова","given":"Л.С.","non-dropping-particle":"","parse-names":false,"suffix":""},{"dropping-particle":"","family":"Савченко","given":"В.Г.","non-dropping-particle":"","parse-names":false,"suffix":""}],"container-title":"Гематология и трансфузиология","id":"ITEM-3","issue":"3","issued":{"date-parts":[["2011"]]},"page":"24-27","title":"Клинико-лабораторные проявления нефропатий у больных острыми лейкозами","type":"article-journal","volume":"56"},"uris":["http://www.mendeley.com/documents/?uuid=137272d3-cc35-4bfd-b2f3-d7af020af652"]}],"mendeley":{"formattedCitation":"[102–104]","plainTextFormattedCitation":"[102–104]","previouslyFormattedCitation":"[102–104]"},"properties":{"noteIndex":0},"schema":"https://github.com/citation-style-language/schema/raw/master/csl-citation.json"}</w:instrText>
      </w:r>
      <w:r>
        <w:rPr>
          <w:rFonts w:eastAsia="Times New Roman" w:cs="Times New Roman"/>
          <w:szCs w:val="24"/>
          <w:lang w:eastAsia="ru-RU"/>
        </w:rPr>
        <w:fldChar w:fldCharType="separate"/>
      </w:r>
      <w:r w:rsidRPr="0000369C">
        <w:rPr>
          <w:rFonts w:eastAsia="Times New Roman" w:cs="Times New Roman"/>
          <w:noProof/>
          <w:szCs w:val="24"/>
          <w:lang w:eastAsia="ru-RU"/>
        </w:rPr>
        <w:t>[102–104]</w:t>
      </w:r>
      <w:r>
        <w:rPr>
          <w:rFonts w:eastAsia="Times New Roman" w:cs="Times New Roman"/>
          <w:szCs w:val="24"/>
          <w:lang w:eastAsia="ru-RU"/>
        </w:rPr>
        <w:fldChar w:fldCharType="end"/>
      </w:r>
      <w:r w:rsidRPr="00FE0E8C">
        <w:rPr>
          <w:rFonts w:eastAsia="Times New Roman" w:cs="Times New Roman"/>
          <w:bCs/>
          <w:i/>
          <w:iCs/>
          <w:szCs w:val="24"/>
          <w:u w:val="single"/>
          <w:lang w:eastAsia="ru-RU"/>
        </w:rPr>
        <w:t>.</w:t>
      </w:r>
    </w:p>
    <w:p w14:paraId="60CEEFA8" w14:textId="77777777" w:rsidR="0000369C" w:rsidRPr="00CC1841" w:rsidRDefault="0000369C" w:rsidP="0000369C">
      <w:pPr>
        <w:widowControl w:val="0"/>
        <w:suppressAutoHyphens/>
        <w:ind w:firstLine="709"/>
        <w:rPr>
          <w:rFonts w:eastAsia="Calibri" w:cs="Times New Roman"/>
          <w:szCs w:val="24"/>
          <w:lang w:eastAsia="ar-SA"/>
        </w:rPr>
      </w:pPr>
      <w:r w:rsidRPr="00F65F6F">
        <w:rPr>
          <w:rFonts w:eastAsia="Arial" w:cs="Times New Roman"/>
          <w:kern w:val="1"/>
          <w:szCs w:val="24"/>
        </w:rPr>
        <w:t xml:space="preserve">В последние десятилетия достигнуты значительные успехи в лечении гематологических </w:t>
      </w:r>
      <w:r w:rsidRPr="00F65F6F">
        <w:rPr>
          <w:rFonts w:eastAsia="Times New Roman" w:cs="Times New Roman"/>
          <w:szCs w:val="24"/>
          <w:lang w:eastAsia="ar-SA"/>
        </w:rPr>
        <w:t>заболеваний, в особенности лейкозов и лимфом</w:t>
      </w:r>
      <w:r w:rsidRPr="00F65F6F">
        <w:rPr>
          <w:rFonts w:eastAsia="Arial" w:cs="Times New Roman"/>
          <w:kern w:val="1"/>
          <w:szCs w:val="24"/>
        </w:rPr>
        <w:t xml:space="preserve">, что связано с интенсификацией режимов терапии, включением таргетных препаратов, проведением высокодозной химиотерапии с трансплантацией гемопоэтических стволовых клеток. </w:t>
      </w:r>
      <w:r w:rsidRPr="00F65F6F">
        <w:rPr>
          <w:rFonts w:eastAsia="Times New Roman" w:cs="Times New Roman"/>
          <w:szCs w:val="24"/>
          <w:lang w:eastAsia="ar-SA"/>
        </w:rPr>
        <w:t>От в</w:t>
      </w:r>
      <w:r w:rsidRPr="00F65F6F">
        <w:rPr>
          <w:rFonts w:eastAsia="Times New Roman" w:cs="Times New Roman"/>
          <w:szCs w:val="24"/>
          <w:lang w:eastAsia="ru-RU"/>
        </w:rPr>
        <w:t xml:space="preserve">ыбора препаратов и определения интенсивности лечения </w:t>
      </w:r>
      <w:r w:rsidRPr="00F65F6F">
        <w:rPr>
          <w:rFonts w:eastAsia="Times New Roman" w:cs="Times New Roman"/>
          <w:szCs w:val="24"/>
          <w:lang w:eastAsia="ar-SA"/>
        </w:rPr>
        <w:t>зависит не только прогноз заболевания в целом, но и тяжесть возможных осложнений.</w:t>
      </w:r>
      <w:r w:rsidRPr="00F65F6F">
        <w:rPr>
          <w:rFonts w:eastAsia="Calibri" w:cs="Times New Roman"/>
          <w:szCs w:val="24"/>
          <w:lang w:eastAsia="ar-SA"/>
        </w:rPr>
        <w:t xml:space="preserve"> В связи с этим возникает необходимость поиска баланса между токсичностью и эффективностью лекарственных препаратов, поскольку ряд химиопрепаратов вызывают токсическое поражение почек, проявляющееся развитием почечной недостаточности, ТМА, ГУС, ТТП, ДВС, синдрома Фанкони, почечного несахарного диабета, электролитных нарушений и синдрома лизиса опухоли. Исходно вовлеченные в паранеопластический процесс почки наиболее уязвимы для токсического воздействия лекарственных препаратов. При химиотерапии пациентов с </w:t>
      </w:r>
      <w:r w:rsidRPr="00F65F6F">
        <w:rPr>
          <w:rFonts w:eastAsia="Calibri" w:cs="Times New Roman"/>
          <w:color w:val="000000"/>
          <w:szCs w:val="24"/>
          <w:lang w:eastAsia="ar-SA"/>
        </w:rPr>
        <w:t xml:space="preserve">гематологическими </w:t>
      </w:r>
      <w:r w:rsidRPr="00F65F6F">
        <w:rPr>
          <w:rFonts w:eastAsia="Calibri" w:cs="Times New Roman"/>
          <w:szCs w:val="24"/>
          <w:lang w:eastAsia="ar-SA"/>
        </w:rPr>
        <w:t>заболеваниями, ассоциированными с почечной недостаточностью, необходима коррекция дозы препарата в зависимости от</w:t>
      </w:r>
      <w:r w:rsidRPr="00F65F6F">
        <w:rPr>
          <w:rFonts w:eastAsia="Calibri" w:cs="Times New Roman"/>
          <w:color w:val="FF0000"/>
          <w:szCs w:val="24"/>
          <w:lang w:eastAsia="ar-SA"/>
        </w:rPr>
        <w:t xml:space="preserve"> </w:t>
      </w:r>
      <w:r w:rsidRPr="00F65F6F">
        <w:rPr>
          <w:rFonts w:eastAsia="Calibri" w:cs="Times New Roman"/>
          <w:color w:val="000000"/>
          <w:szCs w:val="24"/>
          <w:lang w:eastAsia="ar-SA"/>
        </w:rPr>
        <w:t xml:space="preserve">концентрации </w:t>
      </w:r>
      <w:r w:rsidRPr="00F65F6F">
        <w:rPr>
          <w:rFonts w:eastAsia="Calibri" w:cs="Times New Roman"/>
          <w:szCs w:val="24"/>
          <w:lang w:eastAsia="ar-SA"/>
        </w:rPr>
        <w:t xml:space="preserve">креатинина </w:t>
      </w:r>
      <w:r w:rsidRPr="00F65F6F">
        <w:rPr>
          <w:rFonts w:eastAsia="Calibri" w:cs="Times New Roman"/>
          <w:color w:val="000000"/>
          <w:szCs w:val="24"/>
          <w:lang w:eastAsia="ar-SA"/>
        </w:rPr>
        <w:t xml:space="preserve">в </w:t>
      </w:r>
      <w:r w:rsidRPr="00CC1841">
        <w:rPr>
          <w:rFonts w:eastAsia="Calibri" w:cs="Times New Roman"/>
          <w:color w:val="000000"/>
          <w:szCs w:val="24"/>
          <w:lang w:eastAsia="ar-SA"/>
        </w:rPr>
        <w:t xml:space="preserve">сыворотке </w:t>
      </w:r>
      <w:r w:rsidRPr="00CC1841">
        <w:rPr>
          <w:rFonts w:eastAsia="Calibri" w:cs="Times New Roman"/>
          <w:szCs w:val="24"/>
          <w:lang w:eastAsia="ar-SA"/>
        </w:rPr>
        <w:t xml:space="preserve">крови (таб. 5). </w:t>
      </w:r>
    </w:p>
    <w:p w14:paraId="7DCCF391" w14:textId="77777777" w:rsidR="0000369C" w:rsidRPr="00CC1841" w:rsidRDefault="0000369C" w:rsidP="0000369C">
      <w:pPr>
        <w:tabs>
          <w:tab w:val="left" w:pos="284"/>
          <w:tab w:val="left" w:pos="567"/>
        </w:tabs>
        <w:suppressAutoHyphens/>
        <w:rPr>
          <w:rFonts w:eastAsia="Calibri" w:cs="Times New Roman"/>
          <w:szCs w:val="24"/>
          <w:lang w:eastAsia="ar-SA"/>
        </w:rPr>
      </w:pPr>
    </w:p>
    <w:p w14:paraId="3AA90553" w14:textId="13CBDCF3" w:rsidR="0000369C" w:rsidRPr="00EE2ABD" w:rsidRDefault="0000369C" w:rsidP="0000369C">
      <w:pPr>
        <w:tabs>
          <w:tab w:val="left" w:pos="284"/>
          <w:tab w:val="left" w:pos="567"/>
        </w:tabs>
        <w:suppressAutoHyphens/>
        <w:rPr>
          <w:rFonts w:eastAsia="Calibri" w:cs="Times New Roman"/>
          <w:bCs/>
          <w:szCs w:val="24"/>
          <w:lang w:eastAsia="ar-SA"/>
        </w:rPr>
      </w:pPr>
      <w:r w:rsidRPr="00CC1841">
        <w:rPr>
          <w:rFonts w:eastAsia="Calibri" w:cs="Times New Roman"/>
          <w:bCs/>
          <w:szCs w:val="24"/>
          <w:lang w:eastAsia="ar-SA"/>
        </w:rPr>
        <w:t>Таблица 5. Коррекция дозы препаратов в зависимости от скорости клубочковой фильтрации</w:t>
      </w:r>
      <w:r w:rsidRPr="00EE2ABD">
        <w:rPr>
          <w:rFonts w:eastAsia="Calibri" w:cs="Times New Roman"/>
          <w:bCs/>
          <w:szCs w:val="24"/>
          <w:lang w:eastAsia="ar-SA"/>
        </w:rPr>
        <w:t xml:space="preserve"> </w:t>
      </w:r>
      <w:r>
        <w:rPr>
          <w:rFonts w:eastAsia="Times New Roman" w:cs="Times New Roman"/>
          <w:szCs w:val="24"/>
          <w:lang w:eastAsia="ru-RU"/>
        </w:rPr>
        <w:fldChar w:fldCharType="begin" w:fldLock="1"/>
      </w:r>
      <w:r>
        <w:rPr>
          <w:rFonts w:eastAsia="Times New Roman" w:cs="Times New Roman"/>
          <w:szCs w:val="24"/>
          <w:lang w:eastAsia="ru-RU"/>
        </w:rPr>
        <w:instrText>ADDIN CSL_CITATION {"citationItems":[{"id":"ITEM-1","itemData":{"author":[{"dropping-particle":"","family":"Джумабаева","given":"Б.Т.","non-dropping-particle":"","parse-names":false,"suffix":""},{"dropping-particle":"","family":"Бирюкова","given":"Л.С.","non-dropping-particle":"","parse-names":false,"suffix":""},{"dropping-particle":"","family":"Варшавский","given":"В.А.","non-dropping-particle":"","parse-names":false,"suffix":""},{"dropping-particle":"","family":"Марьина","given":"С.А.","non-dropping-particle":"","parse-names":false,"suffix":""},{"dropping-particle":"","family":"Рощина","given":"Л.С.","non-dropping-particle":"","parse-names":false,"suffix":""},{"dropping-particle":"","family":"Джулакян","given":"У.Л.","non-dropping-particle":"","parse-names":false,"suffix":""},{"dropping-particle":"","family":"Столяревич","given":"Е.C.","non-dropping-particle":"","parse-names":false,"suffix":""}],"container-title":"Онкогематология","id":"ITEM-1","issue":"1","issued":{"date-parts":[["2017"]]},"page":"44-54","title":"Клинико-лабораторные и морфологические особенности поражения почек при лимфопролиферативных заболеваниях","type":"article-journal","volume":"7"},"uris":["http://www.mendeley.com/documents/?uuid=50a28e00-c058-46cf-b75a-5bfd40395f93"]},{"id":"ITEM-2","itemData":{"author":[{"dropping-particle":"","family":"Рехтина","given":"И.Г.","non-dropping-particle":"","parse-names":false,"suffix":""},{"dropping-particle":"","family":"Голицина","given":"Е.П.","non-dropping-particle":"","parse-names":false,"suffix":""},{"dropping-particle":"","family":"Варламова","given":"Е.Ю.","non-dropping-particle":"","parse-names":false,"suffix":""},{"dropping-particle":"","family":"Варшавский","given":"В.А.","non-dropping-particle":"","parse-names":false,"suffix":""},{"dropping-particle":"","family":"Киреева","given":"А.А.","non-dropping-particle":"","parse-names":false,"suffix":""},{"dropping-particle":"","family":"Бирюкова","given":"Л.С.","non-dropping-particle":"","parse-names":false,"suffix":""},{"dropping-particle":"","family":"Савченко","given":"В.Г.","non-dropping-particle":"","parse-names":false,"suffix":""}],"container-title":"Терапевтический архив","id":"ITEM-2","issue":"3","issued":{"date-parts":[["2013"]]},"page":"80-85","title":"Морфологические и иммунохимические особенности нефропатий при множественной миеломе с тяжелой почечной недостаточностью","type":"article-journal","volume":"85"},"uris":["http://www.mendeley.com/documents/?uuid=b7e4aa0d-a654-44bd-b363-35e45db6262e"]},{"id":"ITEM-3","itemData":{"author":[{"dropping-particle":"","family":"Ворожейкина","given":"Е.Г.","non-dropping-particle":"","parse-names":false,"suffix":""},{"dropping-particle":"","family":"Бирюкова","given":"Л.С.","non-dropping-particle":"","parse-names":false,"suffix":""},{"dropping-particle":"","family":"Савченко","given":"В.Г.","non-dropping-particle":"","parse-names":false,"suffix":""}],"container-title":"Гематология и трансфузиология","id":"ITEM-3","issue":"3","issued":{"date-parts":[["2011"]]},"page":"24-27","title":"Клинико-лабораторные проявления нефропатий у больных острыми лейкозами","type":"article-journal","volume":"56"},"uris":["http://www.mendeley.com/documents/?uuid=137272d3-cc35-4bfd-b2f3-d7af020af652"]}],"mendeley":{"formattedCitation":"[102–104]","plainTextFormattedCitation":"[102–104]","previouslyFormattedCitation":"[102–104]"},"properties":{"noteIndex":0},"schema":"https://github.com/citation-style-language/schema/raw/master/csl-citation.json"}</w:instrText>
      </w:r>
      <w:r>
        <w:rPr>
          <w:rFonts w:eastAsia="Times New Roman" w:cs="Times New Roman"/>
          <w:szCs w:val="24"/>
          <w:lang w:eastAsia="ru-RU"/>
        </w:rPr>
        <w:fldChar w:fldCharType="separate"/>
      </w:r>
      <w:r w:rsidRPr="0000369C">
        <w:rPr>
          <w:rFonts w:eastAsia="Times New Roman" w:cs="Times New Roman"/>
          <w:noProof/>
          <w:szCs w:val="24"/>
          <w:lang w:eastAsia="ru-RU"/>
        </w:rPr>
        <w:t>[102–104]</w:t>
      </w:r>
      <w:r>
        <w:rPr>
          <w:rFonts w:eastAsia="Times New Roman" w:cs="Times New Roman"/>
          <w:szCs w:val="24"/>
          <w:lang w:eastAsia="ru-RU"/>
        </w:rPr>
        <w:fldChar w:fldCharType="end"/>
      </w:r>
    </w:p>
    <w:tbl>
      <w:tblPr>
        <w:tblStyle w:val="51"/>
        <w:tblW w:w="0" w:type="auto"/>
        <w:tblLook w:val="04A0" w:firstRow="1" w:lastRow="0" w:firstColumn="1" w:lastColumn="0" w:noHBand="0" w:noVBand="1"/>
      </w:tblPr>
      <w:tblGrid>
        <w:gridCol w:w="2899"/>
        <w:gridCol w:w="2261"/>
        <w:gridCol w:w="1851"/>
        <w:gridCol w:w="276"/>
        <w:gridCol w:w="2059"/>
      </w:tblGrid>
      <w:tr w:rsidR="0000369C" w:rsidRPr="00F65F6F" w14:paraId="2361E037" w14:textId="77777777" w:rsidTr="001C46FD">
        <w:tc>
          <w:tcPr>
            <w:tcW w:w="2943" w:type="dxa"/>
            <w:vMerge w:val="restart"/>
            <w:hideMark/>
          </w:tcPr>
          <w:p w14:paraId="013E208A" w14:textId="77777777" w:rsidR="0000369C" w:rsidRPr="00F65F6F" w:rsidRDefault="0000369C" w:rsidP="001C46FD">
            <w:pPr>
              <w:tabs>
                <w:tab w:val="left" w:pos="284"/>
                <w:tab w:val="left" w:pos="567"/>
              </w:tabs>
              <w:suppressAutoHyphens/>
              <w:snapToGrid w:val="0"/>
              <w:rPr>
                <w:lang w:eastAsia="ar-SA"/>
              </w:rPr>
            </w:pPr>
            <w:r w:rsidRPr="00F65F6F">
              <w:rPr>
                <w:lang w:eastAsia="ar-SA"/>
              </w:rPr>
              <w:t>Лекарственный препарат</w:t>
            </w:r>
          </w:p>
        </w:tc>
        <w:tc>
          <w:tcPr>
            <w:tcW w:w="6633" w:type="dxa"/>
            <w:gridSpan w:val="4"/>
            <w:hideMark/>
          </w:tcPr>
          <w:p w14:paraId="47730A60" w14:textId="77777777" w:rsidR="0000369C" w:rsidRPr="00F65F6F" w:rsidRDefault="0000369C" w:rsidP="001C46FD">
            <w:pPr>
              <w:tabs>
                <w:tab w:val="left" w:pos="284"/>
                <w:tab w:val="left" w:pos="567"/>
              </w:tabs>
              <w:suppressAutoHyphens/>
              <w:snapToGrid w:val="0"/>
              <w:rPr>
                <w:lang w:eastAsia="ar-SA"/>
              </w:rPr>
            </w:pPr>
            <w:r w:rsidRPr="00F65F6F">
              <w:rPr>
                <w:color w:val="000000"/>
                <w:lang w:eastAsia="ar-SA"/>
              </w:rPr>
              <w:t>Уменьшение дозы лекарственных препаратов на указанный % от расчетной дозы, при скорости клубочковой фильтрации,</w:t>
            </w:r>
            <w:r w:rsidRPr="00F65F6F">
              <w:rPr>
                <w:lang w:eastAsia="ar-SA"/>
              </w:rPr>
              <w:t xml:space="preserve"> мл/мин</w:t>
            </w:r>
          </w:p>
        </w:tc>
      </w:tr>
      <w:tr w:rsidR="0000369C" w:rsidRPr="00F65F6F" w14:paraId="50924DCA" w14:textId="77777777" w:rsidTr="001C46FD">
        <w:tc>
          <w:tcPr>
            <w:tcW w:w="0" w:type="auto"/>
            <w:vMerge/>
            <w:hideMark/>
          </w:tcPr>
          <w:p w14:paraId="7CE36D07" w14:textId="77777777" w:rsidR="0000369C" w:rsidRPr="00F65F6F" w:rsidRDefault="0000369C" w:rsidP="001C46FD">
            <w:pPr>
              <w:rPr>
                <w:lang w:eastAsia="ar-SA"/>
              </w:rPr>
            </w:pPr>
          </w:p>
        </w:tc>
        <w:tc>
          <w:tcPr>
            <w:tcW w:w="2315" w:type="dxa"/>
            <w:hideMark/>
          </w:tcPr>
          <w:p w14:paraId="3BDA9796" w14:textId="77777777" w:rsidR="0000369C" w:rsidRPr="00F65F6F" w:rsidRDefault="0000369C" w:rsidP="001C46FD">
            <w:pPr>
              <w:tabs>
                <w:tab w:val="left" w:pos="284"/>
                <w:tab w:val="left" w:pos="567"/>
              </w:tabs>
              <w:suppressAutoHyphens/>
              <w:snapToGrid w:val="0"/>
              <w:rPr>
                <w:lang w:eastAsia="ar-SA"/>
              </w:rPr>
            </w:pPr>
            <w:r w:rsidRPr="00F65F6F">
              <w:rPr>
                <w:lang w:eastAsia="ar-SA"/>
              </w:rPr>
              <w:t>СКФ 60-30 мл/мин</w:t>
            </w:r>
          </w:p>
        </w:tc>
        <w:tc>
          <w:tcPr>
            <w:tcW w:w="2195" w:type="dxa"/>
            <w:gridSpan w:val="2"/>
            <w:hideMark/>
          </w:tcPr>
          <w:p w14:paraId="4BF61AA7" w14:textId="77777777" w:rsidR="0000369C" w:rsidRPr="00F65F6F" w:rsidRDefault="0000369C" w:rsidP="001C46FD">
            <w:pPr>
              <w:tabs>
                <w:tab w:val="left" w:pos="284"/>
                <w:tab w:val="left" w:pos="567"/>
              </w:tabs>
              <w:suppressAutoHyphens/>
              <w:snapToGrid w:val="0"/>
              <w:rPr>
                <w:lang w:eastAsia="ar-SA"/>
              </w:rPr>
            </w:pPr>
            <w:r w:rsidRPr="00F65F6F">
              <w:rPr>
                <w:lang w:eastAsia="ar-SA"/>
              </w:rPr>
              <w:t xml:space="preserve">СКФ 29-10 мл/мин </w:t>
            </w:r>
          </w:p>
        </w:tc>
        <w:tc>
          <w:tcPr>
            <w:tcW w:w="2123" w:type="dxa"/>
            <w:hideMark/>
          </w:tcPr>
          <w:p w14:paraId="3B69453F" w14:textId="77777777" w:rsidR="0000369C" w:rsidRPr="00F65F6F" w:rsidRDefault="0000369C" w:rsidP="001C46FD">
            <w:pPr>
              <w:tabs>
                <w:tab w:val="left" w:pos="284"/>
                <w:tab w:val="left" w:pos="567"/>
              </w:tabs>
              <w:suppressAutoHyphens/>
              <w:snapToGrid w:val="0"/>
              <w:rPr>
                <w:lang w:eastAsia="ar-SA"/>
              </w:rPr>
            </w:pPr>
            <w:r w:rsidRPr="00F65F6F">
              <w:rPr>
                <w:lang w:eastAsia="ar-SA"/>
              </w:rPr>
              <w:t>СКФ &lt;10 мл/мин</w:t>
            </w:r>
          </w:p>
        </w:tc>
      </w:tr>
      <w:tr w:rsidR="0000369C" w:rsidRPr="00F65F6F" w14:paraId="6856DB9A" w14:textId="77777777" w:rsidTr="001C46FD">
        <w:tc>
          <w:tcPr>
            <w:tcW w:w="2943" w:type="dxa"/>
            <w:hideMark/>
          </w:tcPr>
          <w:p w14:paraId="17BF184D" w14:textId="77777777" w:rsidR="0000369C" w:rsidRPr="00F65F6F" w:rsidRDefault="0000369C" w:rsidP="001C46FD">
            <w:pPr>
              <w:tabs>
                <w:tab w:val="left" w:pos="284"/>
                <w:tab w:val="left" w:pos="567"/>
              </w:tabs>
              <w:suppressAutoHyphens/>
              <w:snapToGrid w:val="0"/>
              <w:rPr>
                <w:lang w:eastAsia="ar-SA"/>
              </w:rPr>
            </w:pPr>
            <w:r w:rsidRPr="00F65F6F">
              <w:rPr>
                <w:lang w:eastAsia="ar-SA"/>
              </w:rPr>
              <w:t>Блеомицин</w:t>
            </w:r>
          </w:p>
        </w:tc>
        <w:tc>
          <w:tcPr>
            <w:tcW w:w="2315" w:type="dxa"/>
            <w:hideMark/>
          </w:tcPr>
          <w:p w14:paraId="1913F441" w14:textId="77777777" w:rsidR="0000369C" w:rsidRPr="00F65F6F" w:rsidRDefault="0000369C" w:rsidP="001C46FD">
            <w:pPr>
              <w:tabs>
                <w:tab w:val="left" w:pos="284"/>
                <w:tab w:val="left" w:pos="567"/>
              </w:tabs>
              <w:suppressAutoHyphens/>
              <w:snapToGrid w:val="0"/>
              <w:rPr>
                <w:b/>
                <w:bCs/>
                <w:color w:val="FF0000"/>
                <w:lang w:eastAsia="ar-SA"/>
              </w:rPr>
            </w:pPr>
            <w:r w:rsidRPr="00F65F6F">
              <w:rPr>
                <w:lang w:eastAsia="ar-SA"/>
              </w:rPr>
              <w:t>50%</w:t>
            </w:r>
          </w:p>
        </w:tc>
        <w:tc>
          <w:tcPr>
            <w:tcW w:w="2195" w:type="dxa"/>
            <w:gridSpan w:val="2"/>
            <w:hideMark/>
          </w:tcPr>
          <w:p w14:paraId="2D8E1085" w14:textId="77777777" w:rsidR="0000369C" w:rsidRPr="00F65F6F" w:rsidRDefault="0000369C" w:rsidP="001C46FD">
            <w:pPr>
              <w:tabs>
                <w:tab w:val="left" w:pos="284"/>
                <w:tab w:val="left" w:pos="567"/>
              </w:tabs>
              <w:suppressAutoHyphens/>
              <w:snapToGrid w:val="0"/>
              <w:rPr>
                <w:lang w:eastAsia="ar-SA"/>
              </w:rPr>
            </w:pPr>
            <w:r w:rsidRPr="00F65F6F">
              <w:rPr>
                <w:lang w:eastAsia="ar-SA"/>
              </w:rPr>
              <w:t>Отмена</w:t>
            </w:r>
          </w:p>
        </w:tc>
        <w:tc>
          <w:tcPr>
            <w:tcW w:w="2123" w:type="dxa"/>
            <w:hideMark/>
          </w:tcPr>
          <w:p w14:paraId="3E1C8CEB" w14:textId="77777777" w:rsidR="0000369C" w:rsidRPr="00F65F6F" w:rsidRDefault="0000369C" w:rsidP="001C46FD">
            <w:pPr>
              <w:tabs>
                <w:tab w:val="left" w:pos="284"/>
                <w:tab w:val="left" w:pos="567"/>
              </w:tabs>
              <w:suppressAutoHyphens/>
              <w:snapToGrid w:val="0"/>
              <w:rPr>
                <w:lang w:eastAsia="ar-SA"/>
              </w:rPr>
            </w:pPr>
            <w:r w:rsidRPr="00F65F6F">
              <w:rPr>
                <w:lang w:eastAsia="ar-SA"/>
              </w:rPr>
              <w:t>Отмена</w:t>
            </w:r>
          </w:p>
        </w:tc>
      </w:tr>
      <w:tr w:rsidR="0000369C" w:rsidRPr="00F65F6F" w14:paraId="4DA66E01" w14:textId="77777777" w:rsidTr="001C46FD">
        <w:tc>
          <w:tcPr>
            <w:tcW w:w="2943" w:type="dxa"/>
            <w:hideMark/>
          </w:tcPr>
          <w:p w14:paraId="673380AE" w14:textId="77777777" w:rsidR="0000369C" w:rsidRPr="00F65F6F" w:rsidRDefault="0000369C" w:rsidP="001C46FD">
            <w:pPr>
              <w:tabs>
                <w:tab w:val="left" w:pos="284"/>
                <w:tab w:val="left" w:pos="567"/>
              </w:tabs>
              <w:suppressAutoHyphens/>
              <w:snapToGrid w:val="0"/>
              <w:rPr>
                <w:lang w:eastAsia="ar-SA"/>
              </w:rPr>
            </w:pPr>
            <w:r w:rsidRPr="00F65F6F">
              <w:rPr>
                <w:lang w:eastAsia="ar-SA"/>
              </w:rPr>
              <w:lastRenderedPageBreak/>
              <w:t>Карбоплатин</w:t>
            </w:r>
          </w:p>
        </w:tc>
        <w:tc>
          <w:tcPr>
            <w:tcW w:w="6633" w:type="dxa"/>
            <w:gridSpan w:val="4"/>
            <w:hideMark/>
          </w:tcPr>
          <w:p w14:paraId="3DDC75F8" w14:textId="77777777" w:rsidR="0000369C" w:rsidRPr="00F65F6F" w:rsidRDefault="0000369C" w:rsidP="001C46FD">
            <w:pPr>
              <w:tabs>
                <w:tab w:val="left" w:pos="284"/>
                <w:tab w:val="left" w:pos="567"/>
              </w:tabs>
              <w:suppressAutoHyphens/>
              <w:snapToGrid w:val="0"/>
              <w:jc w:val="center"/>
              <w:rPr>
                <w:lang w:eastAsia="ar-SA"/>
              </w:rPr>
            </w:pPr>
            <w:r w:rsidRPr="00F65F6F">
              <w:rPr>
                <w:lang w:eastAsia="ar-SA"/>
              </w:rPr>
              <w:t>Расчет дозы препарата по формуле Калверта*</w:t>
            </w:r>
          </w:p>
        </w:tc>
      </w:tr>
      <w:tr w:rsidR="0000369C" w:rsidRPr="00F65F6F" w14:paraId="095A90E6" w14:textId="77777777" w:rsidTr="001C46FD">
        <w:tc>
          <w:tcPr>
            <w:tcW w:w="2943" w:type="dxa"/>
            <w:hideMark/>
          </w:tcPr>
          <w:p w14:paraId="04D6FE13" w14:textId="77777777" w:rsidR="0000369C" w:rsidRPr="00F65F6F" w:rsidRDefault="0000369C" w:rsidP="001C46FD">
            <w:pPr>
              <w:tabs>
                <w:tab w:val="left" w:pos="284"/>
                <w:tab w:val="left" w:pos="567"/>
              </w:tabs>
              <w:suppressAutoHyphens/>
              <w:snapToGrid w:val="0"/>
              <w:rPr>
                <w:lang w:eastAsia="ar-SA"/>
              </w:rPr>
            </w:pPr>
            <w:r w:rsidRPr="00F65F6F">
              <w:rPr>
                <w:lang w:eastAsia="ar-SA"/>
              </w:rPr>
              <w:t>Цисплатин</w:t>
            </w:r>
          </w:p>
        </w:tc>
        <w:tc>
          <w:tcPr>
            <w:tcW w:w="2315" w:type="dxa"/>
            <w:hideMark/>
          </w:tcPr>
          <w:p w14:paraId="46DDCCFC" w14:textId="77777777" w:rsidR="0000369C" w:rsidRPr="00F65F6F" w:rsidRDefault="0000369C" w:rsidP="001C46FD">
            <w:pPr>
              <w:tabs>
                <w:tab w:val="left" w:pos="284"/>
                <w:tab w:val="left" w:pos="567"/>
              </w:tabs>
              <w:suppressAutoHyphens/>
              <w:snapToGrid w:val="0"/>
              <w:rPr>
                <w:lang w:eastAsia="ar-SA"/>
              </w:rPr>
            </w:pPr>
            <w:r w:rsidRPr="00F65F6F">
              <w:rPr>
                <w:lang w:eastAsia="ar-SA"/>
              </w:rPr>
              <w:t>50%</w:t>
            </w:r>
          </w:p>
        </w:tc>
        <w:tc>
          <w:tcPr>
            <w:tcW w:w="1903" w:type="dxa"/>
            <w:hideMark/>
          </w:tcPr>
          <w:p w14:paraId="460DAE39" w14:textId="77777777" w:rsidR="0000369C" w:rsidRPr="00F65F6F" w:rsidRDefault="0000369C" w:rsidP="001C46FD">
            <w:pPr>
              <w:tabs>
                <w:tab w:val="left" w:pos="284"/>
                <w:tab w:val="left" w:pos="567"/>
              </w:tabs>
              <w:suppressAutoHyphens/>
              <w:snapToGrid w:val="0"/>
              <w:rPr>
                <w:lang w:eastAsia="ar-SA"/>
              </w:rPr>
            </w:pPr>
            <w:r w:rsidRPr="00F65F6F">
              <w:rPr>
                <w:lang w:eastAsia="ar-SA"/>
              </w:rPr>
              <w:t>Отмена</w:t>
            </w:r>
          </w:p>
        </w:tc>
        <w:tc>
          <w:tcPr>
            <w:tcW w:w="2415" w:type="dxa"/>
            <w:gridSpan w:val="2"/>
            <w:hideMark/>
          </w:tcPr>
          <w:p w14:paraId="15E18FE9" w14:textId="77777777" w:rsidR="0000369C" w:rsidRPr="00F65F6F" w:rsidRDefault="0000369C" w:rsidP="001C46FD">
            <w:pPr>
              <w:tabs>
                <w:tab w:val="left" w:pos="284"/>
                <w:tab w:val="left" w:pos="567"/>
              </w:tabs>
              <w:suppressAutoHyphens/>
              <w:snapToGrid w:val="0"/>
              <w:rPr>
                <w:lang w:eastAsia="ar-SA"/>
              </w:rPr>
            </w:pPr>
            <w:r w:rsidRPr="00F65F6F">
              <w:rPr>
                <w:lang w:eastAsia="ar-SA"/>
              </w:rPr>
              <w:t>Отмена</w:t>
            </w:r>
          </w:p>
        </w:tc>
      </w:tr>
      <w:tr w:rsidR="0000369C" w:rsidRPr="00F65F6F" w14:paraId="0E331DC5" w14:textId="77777777" w:rsidTr="001C46FD">
        <w:tc>
          <w:tcPr>
            <w:tcW w:w="2943" w:type="dxa"/>
            <w:hideMark/>
          </w:tcPr>
          <w:p w14:paraId="72758452" w14:textId="77777777" w:rsidR="0000369C" w:rsidRPr="00F65F6F" w:rsidRDefault="0000369C" w:rsidP="001C46FD">
            <w:pPr>
              <w:tabs>
                <w:tab w:val="left" w:pos="284"/>
                <w:tab w:val="left" w:pos="567"/>
              </w:tabs>
              <w:suppressAutoHyphens/>
              <w:snapToGrid w:val="0"/>
              <w:rPr>
                <w:lang w:eastAsia="ar-SA"/>
              </w:rPr>
            </w:pPr>
            <w:r w:rsidRPr="00F65F6F">
              <w:rPr>
                <w:lang w:eastAsia="ar-SA"/>
              </w:rPr>
              <w:t>Циклофосфамид</w:t>
            </w:r>
          </w:p>
        </w:tc>
        <w:tc>
          <w:tcPr>
            <w:tcW w:w="4218" w:type="dxa"/>
            <w:gridSpan w:val="2"/>
          </w:tcPr>
          <w:p w14:paraId="2162238B" w14:textId="77777777" w:rsidR="0000369C" w:rsidRPr="00F65F6F" w:rsidRDefault="0000369C" w:rsidP="001C46FD">
            <w:pPr>
              <w:tabs>
                <w:tab w:val="left" w:pos="284"/>
                <w:tab w:val="left" w:pos="567"/>
              </w:tabs>
              <w:suppressAutoHyphens/>
              <w:snapToGrid w:val="0"/>
              <w:jc w:val="center"/>
              <w:rPr>
                <w:lang w:eastAsia="ar-SA"/>
              </w:rPr>
            </w:pPr>
            <w:r w:rsidRPr="00F65F6F">
              <w:rPr>
                <w:lang w:eastAsia="ar-SA"/>
              </w:rPr>
              <w:t>не требуется</w:t>
            </w:r>
          </w:p>
          <w:p w14:paraId="4CFA58BF" w14:textId="77777777" w:rsidR="0000369C" w:rsidRPr="00F65F6F" w:rsidRDefault="0000369C" w:rsidP="001C46FD">
            <w:pPr>
              <w:tabs>
                <w:tab w:val="left" w:pos="284"/>
                <w:tab w:val="left" w:pos="567"/>
              </w:tabs>
              <w:suppressAutoHyphens/>
              <w:snapToGrid w:val="0"/>
              <w:rPr>
                <w:lang w:eastAsia="ar-SA"/>
              </w:rPr>
            </w:pPr>
          </w:p>
        </w:tc>
        <w:tc>
          <w:tcPr>
            <w:tcW w:w="2415" w:type="dxa"/>
            <w:gridSpan w:val="2"/>
            <w:hideMark/>
          </w:tcPr>
          <w:p w14:paraId="3B2B7BA4" w14:textId="77777777" w:rsidR="0000369C" w:rsidRPr="00F65F6F" w:rsidRDefault="0000369C" w:rsidP="001C46FD">
            <w:pPr>
              <w:tabs>
                <w:tab w:val="left" w:pos="284"/>
                <w:tab w:val="left" w:pos="567"/>
              </w:tabs>
              <w:suppressAutoHyphens/>
              <w:snapToGrid w:val="0"/>
              <w:rPr>
                <w:lang w:eastAsia="ar-SA"/>
              </w:rPr>
            </w:pPr>
            <w:r w:rsidRPr="00F65F6F">
              <w:rPr>
                <w:lang w:eastAsia="ar-SA"/>
              </w:rPr>
              <w:t>50%</w:t>
            </w:r>
          </w:p>
        </w:tc>
      </w:tr>
      <w:tr w:rsidR="0000369C" w:rsidRPr="00F65F6F" w14:paraId="1E768C62" w14:textId="77777777" w:rsidTr="001C46FD">
        <w:tc>
          <w:tcPr>
            <w:tcW w:w="2943" w:type="dxa"/>
            <w:hideMark/>
          </w:tcPr>
          <w:p w14:paraId="5A09C437" w14:textId="77777777" w:rsidR="0000369C" w:rsidRPr="00F65F6F" w:rsidRDefault="0000369C" w:rsidP="001C46FD">
            <w:pPr>
              <w:tabs>
                <w:tab w:val="left" w:pos="284"/>
                <w:tab w:val="left" w:pos="567"/>
              </w:tabs>
              <w:suppressAutoHyphens/>
              <w:snapToGrid w:val="0"/>
              <w:rPr>
                <w:lang w:eastAsia="ar-SA"/>
              </w:rPr>
            </w:pPr>
            <w:r w:rsidRPr="00F65F6F">
              <w:rPr>
                <w:lang w:eastAsia="ar-SA"/>
              </w:rPr>
              <w:t>Цитозин-арабинозид</w:t>
            </w:r>
          </w:p>
        </w:tc>
        <w:tc>
          <w:tcPr>
            <w:tcW w:w="2315" w:type="dxa"/>
            <w:hideMark/>
          </w:tcPr>
          <w:p w14:paraId="43B94DEB" w14:textId="77777777" w:rsidR="0000369C" w:rsidRPr="00F65F6F" w:rsidRDefault="0000369C" w:rsidP="001C46FD">
            <w:pPr>
              <w:tabs>
                <w:tab w:val="left" w:pos="284"/>
                <w:tab w:val="left" w:pos="567"/>
              </w:tabs>
              <w:suppressAutoHyphens/>
              <w:snapToGrid w:val="0"/>
              <w:rPr>
                <w:lang w:eastAsia="ar-SA"/>
              </w:rPr>
            </w:pPr>
            <w:r w:rsidRPr="00F65F6F">
              <w:rPr>
                <w:lang w:eastAsia="ar-SA"/>
              </w:rPr>
              <w:t>50%</w:t>
            </w:r>
          </w:p>
        </w:tc>
        <w:tc>
          <w:tcPr>
            <w:tcW w:w="1903" w:type="dxa"/>
            <w:hideMark/>
          </w:tcPr>
          <w:p w14:paraId="36EF0557" w14:textId="77777777" w:rsidR="0000369C" w:rsidRPr="00EE2ABD" w:rsidRDefault="0000369C" w:rsidP="001C46FD">
            <w:pPr>
              <w:tabs>
                <w:tab w:val="left" w:pos="284"/>
                <w:tab w:val="left" w:pos="567"/>
              </w:tabs>
              <w:suppressAutoHyphens/>
              <w:snapToGrid w:val="0"/>
              <w:rPr>
                <w:bCs/>
                <w:color w:val="FF0000"/>
                <w:lang w:eastAsia="ar-SA"/>
              </w:rPr>
            </w:pPr>
            <w:r w:rsidRPr="00F65F6F">
              <w:rPr>
                <w:bCs/>
                <w:lang w:eastAsia="ar-SA"/>
              </w:rPr>
              <w:t xml:space="preserve">Отмена </w:t>
            </w:r>
          </w:p>
        </w:tc>
        <w:tc>
          <w:tcPr>
            <w:tcW w:w="2415" w:type="dxa"/>
            <w:gridSpan w:val="2"/>
            <w:hideMark/>
          </w:tcPr>
          <w:p w14:paraId="0AACB3B3" w14:textId="77777777" w:rsidR="0000369C" w:rsidRPr="00F65F6F" w:rsidRDefault="0000369C" w:rsidP="001C46FD">
            <w:pPr>
              <w:tabs>
                <w:tab w:val="left" w:pos="284"/>
                <w:tab w:val="left" w:pos="567"/>
              </w:tabs>
              <w:suppressAutoHyphens/>
              <w:snapToGrid w:val="0"/>
              <w:rPr>
                <w:lang w:eastAsia="ar-SA"/>
              </w:rPr>
            </w:pPr>
            <w:r w:rsidRPr="00F65F6F">
              <w:rPr>
                <w:lang w:eastAsia="ar-SA"/>
              </w:rPr>
              <w:t>Отмена</w:t>
            </w:r>
          </w:p>
        </w:tc>
      </w:tr>
      <w:tr w:rsidR="0000369C" w:rsidRPr="00F65F6F" w14:paraId="51B7C5D5" w14:textId="77777777" w:rsidTr="001C46FD">
        <w:tc>
          <w:tcPr>
            <w:tcW w:w="2943" w:type="dxa"/>
            <w:hideMark/>
          </w:tcPr>
          <w:p w14:paraId="44F4417A" w14:textId="77777777" w:rsidR="0000369C" w:rsidRPr="00F65F6F" w:rsidRDefault="0000369C" w:rsidP="001C46FD">
            <w:pPr>
              <w:tabs>
                <w:tab w:val="left" w:pos="284"/>
                <w:tab w:val="left" w:pos="567"/>
              </w:tabs>
              <w:suppressAutoHyphens/>
              <w:snapToGrid w:val="0"/>
              <w:rPr>
                <w:lang w:eastAsia="ar-SA"/>
              </w:rPr>
            </w:pPr>
            <w:r w:rsidRPr="00F65F6F">
              <w:rPr>
                <w:lang w:eastAsia="ar-SA"/>
              </w:rPr>
              <w:t>Дакарбазин</w:t>
            </w:r>
          </w:p>
        </w:tc>
        <w:tc>
          <w:tcPr>
            <w:tcW w:w="2315" w:type="dxa"/>
            <w:hideMark/>
          </w:tcPr>
          <w:p w14:paraId="6980AFCC" w14:textId="77777777" w:rsidR="0000369C" w:rsidRPr="00F65F6F" w:rsidRDefault="0000369C" w:rsidP="001C46FD">
            <w:pPr>
              <w:tabs>
                <w:tab w:val="left" w:pos="284"/>
                <w:tab w:val="left" w:pos="567"/>
              </w:tabs>
              <w:suppressAutoHyphens/>
              <w:snapToGrid w:val="0"/>
              <w:rPr>
                <w:lang w:eastAsia="ar-SA"/>
              </w:rPr>
            </w:pPr>
            <w:r w:rsidRPr="00F65F6F">
              <w:rPr>
                <w:lang w:eastAsia="ar-SA"/>
              </w:rPr>
              <w:t>25%</w:t>
            </w:r>
          </w:p>
        </w:tc>
        <w:tc>
          <w:tcPr>
            <w:tcW w:w="1903" w:type="dxa"/>
            <w:hideMark/>
          </w:tcPr>
          <w:p w14:paraId="08E51415" w14:textId="77777777" w:rsidR="0000369C" w:rsidRPr="00F65F6F" w:rsidRDefault="0000369C" w:rsidP="001C46FD">
            <w:pPr>
              <w:tabs>
                <w:tab w:val="left" w:pos="284"/>
                <w:tab w:val="left" w:pos="567"/>
              </w:tabs>
              <w:suppressAutoHyphens/>
              <w:snapToGrid w:val="0"/>
              <w:rPr>
                <w:lang w:eastAsia="ar-SA"/>
              </w:rPr>
            </w:pPr>
            <w:r w:rsidRPr="00F65F6F">
              <w:rPr>
                <w:lang w:eastAsia="ar-SA"/>
              </w:rPr>
              <w:t>50%</w:t>
            </w:r>
          </w:p>
        </w:tc>
        <w:tc>
          <w:tcPr>
            <w:tcW w:w="2415" w:type="dxa"/>
            <w:gridSpan w:val="2"/>
            <w:hideMark/>
          </w:tcPr>
          <w:p w14:paraId="57401D7A" w14:textId="77777777" w:rsidR="0000369C" w:rsidRPr="00F65F6F" w:rsidRDefault="0000369C" w:rsidP="001C46FD">
            <w:pPr>
              <w:tabs>
                <w:tab w:val="left" w:pos="284"/>
                <w:tab w:val="left" w:pos="567"/>
              </w:tabs>
              <w:suppressAutoHyphens/>
              <w:snapToGrid w:val="0"/>
              <w:rPr>
                <w:lang w:eastAsia="ar-SA"/>
              </w:rPr>
            </w:pPr>
            <w:r w:rsidRPr="00F65F6F">
              <w:rPr>
                <w:lang w:eastAsia="ar-SA"/>
              </w:rPr>
              <w:t>Отмена</w:t>
            </w:r>
          </w:p>
        </w:tc>
      </w:tr>
      <w:tr w:rsidR="0000369C" w:rsidRPr="00F65F6F" w14:paraId="532A90A8" w14:textId="77777777" w:rsidTr="001C46FD">
        <w:tc>
          <w:tcPr>
            <w:tcW w:w="2943" w:type="dxa"/>
            <w:hideMark/>
          </w:tcPr>
          <w:p w14:paraId="122D6788" w14:textId="77777777" w:rsidR="0000369C" w:rsidRPr="00F65F6F" w:rsidRDefault="0000369C" w:rsidP="001C46FD">
            <w:pPr>
              <w:tabs>
                <w:tab w:val="left" w:pos="284"/>
                <w:tab w:val="left" w:pos="567"/>
              </w:tabs>
              <w:suppressAutoHyphens/>
              <w:snapToGrid w:val="0"/>
              <w:rPr>
                <w:lang w:eastAsia="ar-SA"/>
              </w:rPr>
            </w:pPr>
            <w:r w:rsidRPr="00F65F6F">
              <w:rPr>
                <w:lang w:eastAsia="ar-SA"/>
              </w:rPr>
              <w:t>Этопозид</w:t>
            </w:r>
          </w:p>
        </w:tc>
        <w:tc>
          <w:tcPr>
            <w:tcW w:w="4218" w:type="dxa"/>
            <w:gridSpan w:val="2"/>
          </w:tcPr>
          <w:p w14:paraId="72E97623" w14:textId="77777777" w:rsidR="0000369C" w:rsidRPr="00F65F6F" w:rsidRDefault="0000369C" w:rsidP="001C46FD">
            <w:pPr>
              <w:tabs>
                <w:tab w:val="left" w:pos="284"/>
                <w:tab w:val="left" w:pos="567"/>
              </w:tabs>
              <w:suppressAutoHyphens/>
              <w:snapToGrid w:val="0"/>
              <w:jc w:val="center"/>
              <w:rPr>
                <w:lang w:eastAsia="ar-SA"/>
              </w:rPr>
            </w:pPr>
            <w:r w:rsidRPr="00F65F6F">
              <w:rPr>
                <w:lang w:eastAsia="ar-SA"/>
              </w:rPr>
              <w:t>не требуется</w:t>
            </w:r>
          </w:p>
          <w:p w14:paraId="01662397" w14:textId="77777777" w:rsidR="0000369C" w:rsidRPr="00F65F6F" w:rsidRDefault="0000369C" w:rsidP="001C46FD">
            <w:pPr>
              <w:tabs>
                <w:tab w:val="left" w:pos="284"/>
                <w:tab w:val="left" w:pos="567"/>
              </w:tabs>
              <w:suppressAutoHyphens/>
              <w:snapToGrid w:val="0"/>
              <w:rPr>
                <w:lang w:eastAsia="ar-SA"/>
              </w:rPr>
            </w:pPr>
          </w:p>
        </w:tc>
        <w:tc>
          <w:tcPr>
            <w:tcW w:w="2415" w:type="dxa"/>
            <w:gridSpan w:val="2"/>
            <w:hideMark/>
          </w:tcPr>
          <w:p w14:paraId="46700988" w14:textId="77777777" w:rsidR="0000369C" w:rsidRPr="00F65F6F" w:rsidRDefault="0000369C" w:rsidP="001C46FD">
            <w:pPr>
              <w:tabs>
                <w:tab w:val="left" w:pos="284"/>
                <w:tab w:val="left" w:pos="567"/>
              </w:tabs>
              <w:suppressAutoHyphens/>
              <w:snapToGrid w:val="0"/>
              <w:rPr>
                <w:lang w:eastAsia="ar-SA"/>
              </w:rPr>
            </w:pPr>
            <w:r w:rsidRPr="00F65F6F">
              <w:rPr>
                <w:lang w:eastAsia="ar-SA"/>
              </w:rPr>
              <w:t>50%</w:t>
            </w:r>
          </w:p>
        </w:tc>
      </w:tr>
      <w:tr w:rsidR="0000369C" w:rsidRPr="00F65F6F" w14:paraId="533487F7" w14:textId="77777777" w:rsidTr="001C46FD">
        <w:tc>
          <w:tcPr>
            <w:tcW w:w="2943" w:type="dxa"/>
            <w:hideMark/>
          </w:tcPr>
          <w:p w14:paraId="22FC51B4" w14:textId="77777777" w:rsidR="0000369C" w:rsidRPr="00F65F6F" w:rsidRDefault="0000369C" w:rsidP="001C46FD">
            <w:pPr>
              <w:tabs>
                <w:tab w:val="left" w:pos="284"/>
                <w:tab w:val="left" w:pos="567"/>
              </w:tabs>
              <w:suppressAutoHyphens/>
              <w:snapToGrid w:val="0"/>
              <w:rPr>
                <w:lang w:eastAsia="ar-SA"/>
              </w:rPr>
            </w:pPr>
            <w:r w:rsidRPr="00F65F6F">
              <w:rPr>
                <w:lang w:eastAsia="ar-SA"/>
              </w:rPr>
              <w:t>Гемцитабин</w:t>
            </w:r>
          </w:p>
        </w:tc>
        <w:tc>
          <w:tcPr>
            <w:tcW w:w="4218" w:type="dxa"/>
            <w:gridSpan w:val="2"/>
            <w:hideMark/>
          </w:tcPr>
          <w:p w14:paraId="44D7239B" w14:textId="77777777" w:rsidR="0000369C" w:rsidRPr="00F65F6F" w:rsidRDefault="0000369C" w:rsidP="001C46FD">
            <w:pPr>
              <w:tabs>
                <w:tab w:val="left" w:pos="284"/>
                <w:tab w:val="left" w:pos="567"/>
              </w:tabs>
              <w:suppressAutoHyphens/>
              <w:snapToGrid w:val="0"/>
              <w:jc w:val="center"/>
              <w:rPr>
                <w:lang w:eastAsia="ar-SA"/>
              </w:rPr>
            </w:pPr>
            <w:r w:rsidRPr="00F65F6F">
              <w:rPr>
                <w:lang w:eastAsia="ar-SA"/>
              </w:rPr>
              <w:t>неизвестно</w:t>
            </w:r>
          </w:p>
        </w:tc>
        <w:tc>
          <w:tcPr>
            <w:tcW w:w="2415" w:type="dxa"/>
            <w:gridSpan w:val="2"/>
            <w:hideMark/>
          </w:tcPr>
          <w:p w14:paraId="0C7DDA83" w14:textId="77777777" w:rsidR="0000369C" w:rsidRPr="00F65F6F" w:rsidRDefault="0000369C" w:rsidP="001C46FD">
            <w:pPr>
              <w:tabs>
                <w:tab w:val="left" w:pos="284"/>
                <w:tab w:val="left" w:pos="567"/>
              </w:tabs>
              <w:suppressAutoHyphens/>
              <w:snapToGrid w:val="0"/>
              <w:rPr>
                <w:lang w:eastAsia="ar-SA"/>
              </w:rPr>
            </w:pPr>
            <w:r w:rsidRPr="00F65F6F">
              <w:rPr>
                <w:lang w:eastAsia="ar-SA"/>
              </w:rPr>
              <w:t>отмена</w:t>
            </w:r>
          </w:p>
        </w:tc>
      </w:tr>
      <w:tr w:rsidR="0000369C" w:rsidRPr="00F65F6F" w14:paraId="02B88302" w14:textId="77777777" w:rsidTr="001C46FD">
        <w:tc>
          <w:tcPr>
            <w:tcW w:w="2943" w:type="dxa"/>
            <w:hideMark/>
          </w:tcPr>
          <w:p w14:paraId="2150E74C" w14:textId="77777777" w:rsidR="0000369C" w:rsidRPr="00F65F6F" w:rsidRDefault="0000369C" w:rsidP="001C46FD">
            <w:pPr>
              <w:tabs>
                <w:tab w:val="left" w:pos="284"/>
                <w:tab w:val="left" w:pos="567"/>
              </w:tabs>
              <w:suppressAutoHyphens/>
              <w:snapToGrid w:val="0"/>
              <w:rPr>
                <w:lang w:eastAsia="ar-SA"/>
              </w:rPr>
            </w:pPr>
            <w:r w:rsidRPr="00F65F6F">
              <w:rPr>
                <w:lang w:eastAsia="ar-SA"/>
              </w:rPr>
              <w:t>Доксорубицин</w:t>
            </w:r>
          </w:p>
        </w:tc>
        <w:tc>
          <w:tcPr>
            <w:tcW w:w="2315" w:type="dxa"/>
            <w:hideMark/>
          </w:tcPr>
          <w:p w14:paraId="37C61CE9" w14:textId="77777777" w:rsidR="0000369C" w:rsidRPr="00F65F6F" w:rsidRDefault="0000369C" w:rsidP="001C46FD">
            <w:pPr>
              <w:tabs>
                <w:tab w:val="left" w:pos="284"/>
                <w:tab w:val="left" w:pos="567"/>
              </w:tabs>
              <w:suppressAutoHyphens/>
              <w:snapToGrid w:val="0"/>
              <w:rPr>
                <w:lang w:eastAsia="ar-SA"/>
              </w:rPr>
            </w:pPr>
            <w:r w:rsidRPr="00F65F6F">
              <w:rPr>
                <w:lang w:eastAsia="ar-SA"/>
              </w:rPr>
              <w:t>неизвестно</w:t>
            </w:r>
          </w:p>
        </w:tc>
        <w:tc>
          <w:tcPr>
            <w:tcW w:w="4318" w:type="dxa"/>
            <w:gridSpan w:val="3"/>
            <w:hideMark/>
          </w:tcPr>
          <w:p w14:paraId="464FE95E" w14:textId="77777777" w:rsidR="0000369C" w:rsidRPr="00F65F6F" w:rsidRDefault="0000369C" w:rsidP="001C46FD">
            <w:pPr>
              <w:tabs>
                <w:tab w:val="left" w:pos="284"/>
                <w:tab w:val="left" w:pos="567"/>
              </w:tabs>
              <w:suppressAutoHyphens/>
              <w:snapToGrid w:val="0"/>
              <w:jc w:val="center"/>
              <w:rPr>
                <w:lang w:eastAsia="ar-SA"/>
              </w:rPr>
            </w:pPr>
            <w:r w:rsidRPr="00F65F6F">
              <w:rPr>
                <w:lang w:eastAsia="ar-SA"/>
              </w:rPr>
              <w:t>отмена</w:t>
            </w:r>
          </w:p>
        </w:tc>
      </w:tr>
      <w:tr w:rsidR="0000369C" w:rsidRPr="00F65F6F" w14:paraId="4F32D1FC" w14:textId="77777777" w:rsidTr="001C46FD">
        <w:tc>
          <w:tcPr>
            <w:tcW w:w="2943" w:type="dxa"/>
            <w:hideMark/>
          </w:tcPr>
          <w:p w14:paraId="7B869E9E" w14:textId="77777777" w:rsidR="0000369C" w:rsidRPr="00F65F6F" w:rsidRDefault="0000369C" w:rsidP="001C46FD">
            <w:pPr>
              <w:tabs>
                <w:tab w:val="left" w:pos="284"/>
                <w:tab w:val="left" w:pos="567"/>
              </w:tabs>
              <w:suppressAutoHyphens/>
              <w:snapToGrid w:val="0"/>
              <w:rPr>
                <w:lang w:eastAsia="ar-SA"/>
              </w:rPr>
            </w:pPr>
            <w:r w:rsidRPr="00F65F6F">
              <w:rPr>
                <w:lang w:eastAsia="ar-SA"/>
              </w:rPr>
              <w:t>Митомицин C</w:t>
            </w:r>
          </w:p>
        </w:tc>
        <w:tc>
          <w:tcPr>
            <w:tcW w:w="2315" w:type="dxa"/>
            <w:hideMark/>
          </w:tcPr>
          <w:p w14:paraId="76800AC2" w14:textId="77777777" w:rsidR="0000369C" w:rsidRPr="00F65F6F" w:rsidRDefault="0000369C" w:rsidP="001C46FD">
            <w:pPr>
              <w:tabs>
                <w:tab w:val="left" w:pos="284"/>
                <w:tab w:val="left" w:pos="567"/>
              </w:tabs>
              <w:suppressAutoHyphens/>
              <w:snapToGrid w:val="0"/>
              <w:rPr>
                <w:lang w:eastAsia="ar-SA"/>
              </w:rPr>
            </w:pPr>
            <w:r w:rsidRPr="00F65F6F">
              <w:rPr>
                <w:lang w:eastAsia="ar-SA"/>
              </w:rPr>
              <w:t>25%</w:t>
            </w:r>
          </w:p>
        </w:tc>
        <w:tc>
          <w:tcPr>
            <w:tcW w:w="1903" w:type="dxa"/>
            <w:hideMark/>
          </w:tcPr>
          <w:p w14:paraId="2929B2E2" w14:textId="77777777" w:rsidR="0000369C" w:rsidRPr="00F65F6F" w:rsidRDefault="0000369C" w:rsidP="001C46FD">
            <w:pPr>
              <w:tabs>
                <w:tab w:val="left" w:pos="284"/>
                <w:tab w:val="left" w:pos="567"/>
              </w:tabs>
              <w:suppressAutoHyphens/>
              <w:snapToGrid w:val="0"/>
              <w:rPr>
                <w:lang w:eastAsia="ar-SA"/>
              </w:rPr>
            </w:pPr>
            <w:r w:rsidRPr="00F65F6F">
              <w:rPr>
                <w:lang w:eastAsia="ar-SA"/>
              </w:rPr>
              <w:t>50%</w:t>
            </w:r>
          </w:p>
        </w:tc>
        <w:tc>
          <w:tcPr>
            <w:tcW w:w="2415" w:type="dxa"/>
            <w:gridSpan w:val="2"/>
            <w:hideMark/>
          </w:tcPr>
          <w:p w14:paraId="3FC04C10" w14:textId="77777777" w:rsidR="0000369C" w:rsidRPr="00F65F6F" w:rsidRDefault="0000369C" w:rsidP="001C46FD">
            <w:pPr>
              <w:tabs>
                <w:tab w:val="left" w:pos="284"/>
                <w:tab w:val="left" w:pos="567"/>
              </w:tabs>
              <w:suppressAutoHyphens/>
              <w:snapToGrid w:val="0"/>
              <w:rPr>
                <w:lang w:eastAsia="ar-SA"/>
              </w:rPr>
            </w:pPr>
            <w:r w:rsidRPr="00F65F6F">
              <w:rPr>
                <w:lang w:eastAsia="ar-SA"/>
              </w:rPr>
              <w:t>Отмена</w:t>
            </w:r>
          </w:p>
        </w:tc>
      </w:tr>
      <w:tr w:rsidR="0000369C" w:rsidRPr="00F65F6F" w14:paraId="3FBA3BAE" w14:textId="77777777" w:rsidTr="001C46FD">
        <w:tc>
          <w:tcPr>
            <w:tcW w:w="2943" w:type="dxa"/>
            <w:hideMark/>
          </w:tcPr>
          <w:p w14:paraId="6BAE9805" w14:textId="77777777" w:rsidR="0000369C" w:rsidRPr="00F65F6F" w:rsidRDefault="0000369C" w:rsidP="001C46FD">
            <w:pPr>
              <w:tabs>
                <w:tab w:val="left" w:pos="284"/>
                <w:tab w:val="left" w:pos="567"/>
              </w:tabs>
              <w:suppressAutoHyphens/>
              <w:snapToGrid w:val="0"/>
              <w:rPr>
                <w:lang w:eastAsia="ar-SA"/>
              </w:rPr>
            </w:pPr>
            <w:r w:rsidRPr="00F65F6F">
              <w:rPr>
                <w:lang w:eastAsia="ar-SA"/>
              </w:rPr>
              <w:t>Флударабин</w:t>
            </w:r>
          </w:p>
        </w:tc>
        <w:tc>
          <w:tcPr>
            <w:tcW w:w="2315" w:type="dxa"/>
            <w:hideMark/>
          </w:tcPr>
          <w:p w14:paraId="240AF21A" w14:textId="77777777" w:rsidR="0000369C" w:rsidRPr="00F65F6F" w:rsidRDefault="0000369C" w:rsidP="001C46FD">
            <w:pPr>
              <w:tabs>
                <w:tab w:val="left" w:pos="284"/>
                <w:tab w:val="left" w:pos="567"/>
              </w:tabs>
              <w:suppressAutoHyphens/>
              <w:snapToGrid w:val="0"/>
              <w:rPr>
                <w:lang w:eastAsia="ar-SA"/>
              </w:rPr>
            </w:pPr>
            <w:r w:rsidRPr="00F65F6F">
              <w:rPr>
                <w:lang w:eastAsia="ar-SA"/>
              </w:rPr>
              <w:t>25%</w:t>
            </w:r>
          </w:p>
        </w:tc>
        <w:tc>
          <w:tcPr>
            <w:tcW w:w="1903" w:type="dxa"/>
            <w:hideMark/>
          </w:tcPr>
          <w:p w14:paraId="52F693B4" w14:textId="77777777" w:rsidR="0000369C" w:rsidRPr="00F65F6F" w:rsidRDefault="0000369C" w:rsidP="001C46FD">
            <w:pPr>
              <w:tabs>
                <w:tab w:val="left" w:pos="284"/>
                <w:tab w:val="left" w:pos="567"/>
              </w:tabs>
              <w:suppressAutoHyphens/>
              <w:snapToGrid w:val="0"/>
              <w:rPr>
                <w:lang w:eastAsia="ar-SA"/>
              </w:rPr>
            </w:pPr>
            <w:r w:rsidRPr="00F65F6F">
              <w:rPr>
                <w:lang w:eastAsia="ar-SA"/>
              </w:rPr>
              <w:t>50%</w:t>
            </w:r>
          </w:p>
        </w:tc>
        <w:tc>
          <w:tcPr>
            <w:tcW w:w="2415" w:type="dxa"/>
            <w:gridSpan w:val="2"/>
            <w:hideMark/>
          </w:tcPr>
          <w:p w14:paraId="588D4C70" w14:textId="77777777" w:rsidR="0000369C" w:rsidRPr="00F65F6F" w:rsidRDefault="0000369C" w:rsidP="001C46FD">
            <w:pPr>
              <w:tabs>
                <w:tab w:val="left" w:pos="284"/>
                <w:tab w:val="left" w:pos="567"/>
              </w:tabs>
              <w:suppressAutoHyphens/>
              <w:snapToGrid w:val="0"/>
              <w:rPr>
                <w:lang w:eastAsia="ar-SA"/>
              </w:rPr>
            </w:pPr>
            <w:r w:rsidRPr="00F65F6F">
              <w:rPr>
                <w:lang w:eastAsia="ar-SA"/>
              </w:rPr>
              <w:t>Отмена</w:t>
            </w:r>
          </w:p>
        </w:tc>
      </w:tr>
      <w:tr w:rsidR="0000369C" w:rsidRPr="00F65F6F" w14:paraId="2A470D9E" w14:textId="77777777" w:rsidTr="001C46FD">
        <w:tc>
          <w:tcPr>
            <w:tcW w:w="2943" w:type="dxa"/>
            <w:hideMark/>
          </w:tcPr>
          <w:p w14:paraId="669057A1" w14:textId="77777777" w:rsidR="0000369C" w:rsidRPr="00F65F6F" w:rsidRDefault="0000369C" w:rsidP="001C46FD">
            <w:pPr>
              <w:tabs>
                <w:tab w:val="left" w:pos="284"/>
                <w:tab w:val="left" w:pos="567"/>
              </w:tabs>
              <w:suppressAutoHyphens/>
              <w:snapToGrid w:val="0"/>
              <w:rPr>
                <w:lang w:eastAsia="ar-SA"/>
              </w:rPr>
            </w:pPr>
            <w:r w:rsidRPr="00F65F6F">
              <w:rPr>
                <w:lang w:eastAsia="ar-SA"/>
              </w:rPr>
              <w:t>Гидроксимочевина</w:t>
            </w:r>
          </w:p>
        </w:tc>
        <w:tc>
          <w:tcPr>
            <w:tcW w:w="2315" w:type="dxa"/>
            <w:hideMark/>
          </w:tcPr>
          <w:p w14:paraId="4A7E9806" w14:textId="77777777" w:rsidR="0000369C" w:rsidRPr="00F65F6F" w:rsidRDefault="0000369C" w:rsidP="001C46FD">
            <w:pPr>
              <w:tabs>
                <w:tab w:val="left" w:pos="284"/>
                <w:tab w:val="left" w:pos="567"/>
              </w:tabs>
              <w:suppressAutoHyphens/>
              <w:snapToGrid w:val="0"/>
              <w:rPr>
                <w:lang w:eastAsia="ar-SA"/>
              </w:rPr>
            </w:pPr>
            <w:r w:rsidRPr="00F65F6F">
              <w:rPr>
                <w:lang w:eastAsia="ar-SA"/>
              </w:rPr>
              <w:t>25%</w:t>
            </w:r>
          </w:p>
        </w:tc>
        <w:tc>
          <w:tcPr>
            <w:tcW w:w="1903" w:type="dxa"/>
            <w:hideMark/>
          </w:tcPr>
          <w:p w14:paraId="759B0487" w14:textId="77777777" w:rsidR="0000369C" w:rsidRPr="00F65F6F" w:rsidRDefault="0000369C" w:rsidP="001C46FD">
            <w:pPr>
              <w:tabs>
                <w:tab w:val="left" w:pos="284"/>
                <w:tab w:val="left" w:pos="567"/>
              </w:tabs>
              <w:suppressAutoHyphens/>
              <w:snapToGrid w:val="0"/>
              <w:rPr>
                <w:lang w:eastAsia="ar-SA"/>
              </w:rPr>
            </w:pPr>
            <w:r w:rsidRPr="00F65F6F">
              <w:rPr>
                <w:lang w:eastAsia="ar-SA"/>
              </w:rPr>
              <w:t>75%</w:t>
            </w:r>
          </w:p>
        </w:tc>
        <w:tc>
          <w:tcPr>
            <w:tcW w:w="2415" w:type="dxa"/>
            <w:gridSpan w:val="2"/>
            <w:hideMark/>
          </w:tcPr>
          <w:p w14:paraId="5709B3E4" w14:textId="77777777" w:rsidR="0000369C" w:rsidRPr="00F65F6F" w:rsidRDefault="0000369C" w:rsidP="001C46FD">
            <w:pPr>
              <w:tabs>
                <w:tab w:val="left" w:pos="284"/>
                <w:tab w:val="left" w:pos="567"/>
              </w:tabs>
              <w:suppressAutoHyphens/>
              <w:snapToGrid w:val="0"/>
              <w:rPr>
                <w:lang w:eastAsia="ar-SA"/>
              </w:rPr>
            </w:pPr>
            <w:r w:rsidRPr="00F65F6F">
              <w:rPr>
                <w:lang w:eastAsia="ar-SA"/>
              </w:rPr>
              <w:t>50%</w:t>
            </w:r>
          </w:p>
        </w:tc>
      </w:tr>
      <w:tr w:rsidR="0000369C" w:rsidRPr="00F65F6F" w14:paraId="64C29A2D" w14:textId="77777777" w:rsidTr="001C46FD">
        <w:tc>
          <w:tcPr>
            <w:tcW w:w="2943" w:type="dxa"/>
            <w:hideMark/>
          </w:tcPr>
          <w:p w14:paraId="02E22D6F" w14:textId="77777777" w:rsidR="0000369C" w:rsidRPr="00F65F6F" w:rsidRDefault="0000369C" w:rsidP="001C46FD">
            <w:pPr>
              <w:tabs>
                <w:tab w:val="left" w:pos="284"/>
                <w:tab w:val="left" w:pos="567"/>
              </w:tabs>
              <w:suppressAutoHyphens/>
              <w:snapToGrid w:val="0"/>
              <w:rPr>
                <w:lang w:eastAsia="ar-SA"/>
              </w:rPr>
            </w:pPr>
            <w:r w:rsidRPr="00F65F6F">
              <w:rPr>
                <w:lang w:eastAsia="ar-SA"/>
              </w:rPr>
              <w:t>Ифосфамид</w:t>
            </w:r>
          </w:p>
        </w:tc>
        <w:tc>
          <w:tcPr>
            <w:tcW w:w="2315" w:type="dxa"/>
            <w:hideMark/>
          </w:tcPr>
          <w:p w14:paraId="39F5B64B" w14:textId="77777777" w:rsidR="0000369C" w:rsidRPr="00F65F6F" w:rsidRDefault="0000369C" w:rsidP="001C46FD">
            <w:pPr>
              <w:tabs>
                <w:tab w:val="left" w:pos="284"/>
                <w:tab w:val="left" w:pos="567"/>
              </w:tabs>
              <w:suppressAutoHyphens/>
              <w:snapToGrid w:val="0"/>
              <w:rPr>
                <w:lang w:eastAsia="ar-SA"/>
              </w:rPr>
            </w:pPr>
            <w:r w:rsidRPr="00F65F6F">
              <w:rPr>
                <w:lang w:eastAsia="ar-SA"/>
              </w:rPr>
              <w:t>25%</w:t>
            </w:r>
          </w:p>
        </w:tc>
        <w:tc>
          <w:tcPr>
            <w:tcW w:w="1903" w:type="dxa"/>
            <w:hideMark/>
          </w:tcPr>
          <w:p w14:paraId="225F3337" w14:textId="77777777" w:rsidR="0000369C" w:rsidRPr="00F65F6F" w:rsidRDefault="0000369C" w:rsidP="001C46FD">
            <w:pPr>
              <w:tabs>
                <w:tab w:val="left" w:pos="284"/>
                <w:tab w:val="left" w:pos="567"/>
              </w:tabs>
              <w:suppressAutoHyphens/>
              <w:snapToGrid w:val="0"/>
              <w:rPr>
                <w:lang w:eastAsia="ar-SA"/>
              </w:rPr>
            </w:pPr>
            <w:r w:rsidRPr="00F65F6F">
              <w:rPr>
                <w:lang w:eastAsia="ar-SA"/>
              </w:rPr>
              <w:t>50%</w:t>
            </w:r>
          </w:p>
        </w:tc>
        <w:tc>
          <w:tcPr>
            <w:tcW w:w="2415" w:type="dxa"/>
            <w:gridSpan w:val="2"/>
            <w:hideMark/>
          </w:tcPr>
          <w:p w14:paraId="393C98E7" w14:textId="77777777" w:rsidR="0000369C" w:rsidRPr="00F65F6F" w:rsidRDefault="0000369C" w:rsidP="001C46FD">
            <w:pPr>
              <w:tabs>
                <w:tab w:val="left" w:pos="284"/>
                <w:tab w:val="left" w:pos="567"/>
              </w:tabs>
              <w:suppressAutoHyphens/>
              <w:snapToGrid w:val="0"/>
              <w:rPr>
                <w:lang w:eastAsia="ar-SA"/>
              </w:rPr>
            </w:pPr>
            <w:r w:rsidRPr="00F65F6F">
              <w:rPr>
                <w:lang w:eastAsia="ar-SA"/>
              </w:rPr>
              <w:t>Отмена</w:t>
            </w:r>
          </w:p>
        </w:tc>
      </w:tr>
      <w:tr w:rsidR="0000369C" w:rsidRPr="00F65F6F" w14:paraId="637BDE8D" w14:textId="77777777" w:rsidTr="001C46FD">
        <w:tc>
          <w:tcPr>
            <w:tcW w:w="2943" w:type="dxa"/>
            <w:hideMark/>
          </w:tcPr>
          <w:p w14:paraId="18A19C66" w14:textId="77777777" w:rsidR="0000369C" w:rsidRPr="00F65F6F" w:rsidRDefault="0000369C" w:rsidP="001C46FD">
            <w:pPr>
              <w:tabs>
                <w:tab w:val="left" w:pos="284"/>
                <w:tab w:val="left" w:pos="567"/>
              </w:tabs>
              <w:suppressAutoHyphens/>
              <w:snapToGrid w:val="0"/>
              <w:rPr>
                <w:lang w:eastAsia="ar-SA"/>
              </w:rPr>
            </w:pPr>
            <w:r w:rsidRPr="00F65F6F">
              <w:rPr>
                <w:lang w:eastAsia="ar-SA"/>
              </w:rPr>
              <w:t>Мелфалан</w:t>
            </w:r>
          </w:p>
        </w:tc>
        <w:tc>
          <w:tcPr>
            <w:tcW w:w="2315" w:type="dxa"/>
            <w:hideMark/>
          </w:tcPr>
          <w:p w14:paraId="0AF9A5B0" w14:textId="77777777" w:rsidR="0000369C" w:rsidRPr="00F65F6F" w:rsidRDefault="0000369C" w:rsidP="001C46FD">
            <w:pPr>
              <w:tabs>
                <w:tab w:val="left" w:pos="284"/>
                <w:tab w:val="left" w:pos="567"/>
              </w:tabs>
              <w:suppressAutoHyphens/>
              <w:snapToGrid w:val="0"/>
              <w:rPr>
                <w:lang w:eastAsia="ar-SA"/>
              </w:rPr>
            </w:pPr>
            <w:r w:rsidRPr="00F65F6F">
              <w:rPr>
                <w:lang w:eastAsia="ar-SA"/>
              </w:rPr>
              <w:t>25%</w:t>
            </w:r>
          </w:p>
        </w:tc>
        <w:tc>
          <w:tcPr>
            <w:tcW w:w="1903" w:type="dxa"/>
            <w:hideMark/>
          </w:tcPr>
          <w:p w14:paraId="2655FFFF" w14:textId="77777777" w:rsidR="0000369C" w:rsidRPr="00F65F6F" w:rsidRDefault="0000369C" w:rsidP="001C46FD">
            <w:pPr>
              <w:tabs>
                <w:tab w:val="left" w:pos="284"/>
                <w:tab w:val="left" w:pos="567"/>
              </w:tabs>
              <w:suppressAutoHyphens/>
              <w:snapToGrid w:val="0"/>
              <w:rPr>
                <w:lang w:eastAsia="ar-SA"/>
              </w:rPr>
            </w:pPr>
            <w:r w:rsidRPr="00F65F6F">
              <w:rPr>
                <w:lang w:eastAsia="ar-SA"/>
              </w:rPr>
              <w:t>75%</w:t>
            </w:r>
          </w:p>
        </w:tc>
        <w:tc>
          <w:tcPr>
            <w:tcW w:w="2415" w:type="dxa"/>
            <w:gridSpan w:val="2"/>
            <w:hideMark/>
          </w:tcPr>
          <w:p w14:paraId="4C4A8FCF" w14:textId="77777777" w:rsidR="0000369C" w:rsidRPr="00F65F6F" w:rsidRDefault="0000369C" w:rsidP="001C46FD">
            <w:pPr>
              <w:tabs>
                <w:tab w:val="left" w:pos="284"/>
                <w:tab w:val="left" w:pos="567"/>
              </w:tabs>
              <w:suppressAutoHyphens/>
              <w:snapToGrid w:val="0"/>
              <w:rPr>
                <w:lang w:eastAsia="ar-SA"/>
              </w:rPr>
            </w:pPr>
            <w:r w:rsidRPr="00F65F6F">
              <w:rPr>
                <w:lang w:eastAsia="ar-SA"/>
              </w:rPr>
              <w:t>50%</w:t>
            </w:r>
          </w:p>
        </w:tc>
      </w:tr>
      <w:tr w:rsidR="0000369C" w:rsidRPr="00F65F6F" w14:paraId="6CBE65A3" w14:textId="77777777" w:rsidTr="001C46FD">
        <w:tc>
          <w:tcPr>
            <w:tcW w:w="2943" w:type="dxa"/>
            <w:hideMark/>
          </w:tcPr>
          <w:p w14:paraId="2215A5B6" w14:textId="77777777" w:rsidR="0000369C" w:rsidRPr="00F65F6F" w:rsidRDefault="0000369C" w:rsidP="001C46FD">
            <w:pPr>
              <w:tabs>
                <w:tab w:val="left" w:pos="284"/>
                <w:tab w:val="left" w:pos="567"/>
              </w:tabs>
              <w:suppressAutoHyphens/>
              <w:snapToGrid w:val="0"/>
              <w:rPr>
                <w:lang w:eastAsia="ar-SA"/>
              </w:rPr>
            </w:pPr>
            <w:r w:rsidRPr="00F65F6F">
              <w:rPr>
                <w:lang w:eastAsia="ar-SA"/>
              </w:rPr>
              <w:t>Метотрексат</w:t>
            </w:r>
          </w:p>
        </w:tc>
        <w:tc>
          <w:tcPr>
            <w:tcW w:w="2315" w:type="dxa"/>
            <w:hideMark/>
          </w:tcPr>
          <w:p w14:paraId="3382EC78" w14:textId="77777777" w:rsidR="0000369C" w:rsidRPr="00F65F6F" w:rsidRDefault="0000369C" w:rsidP="001C46FD">
            <w:pPr>
              <w:tabs>
                <w:tab w:val="left" w:pos="284"/>
                <w:tab w:val="left" w:pos="567"/>
              </w:tabs>
              <w:suppressAutoHyphens/>
              <w:snapToGrid w:val="0"/>
              <w:rPr>
                <w:lang w:eastAsia="ar-SA"/>
              </w:rPr>
            </w:pPr>
            <w:r w:rsidRPr="00F65F6F">
              <w:rPr>
                <w:lang w:eastAsia="ar-SA"/>
              </w:rPr>
              <w:t>50%</w:t>
            </w:r>
          </w:p>
        </w:tc>
        <w:tc>
          <w:tcPr>
            <w:tcW w:w="1903" w:type="dxa"/>
            <w:hideMark/>
          </w:tcPr>
          <w:p w14:paraId="40B677A8" w14:textId="77777777" w:rsidR="0000369C" w:rsidRPr="00F65F6F" w:rsidRDefault="0000369C" w:rsidP="001C46FD">
            <w:pPr>
              <w:tabs>
                <w:tab w:val="left" w:pos="284"/>
                <w:tab w:val="left" w:pos="567"/>
              </w:tabs>
              <w:suppressAutoHyphens/>
              <w:snapToGrid w:val="0"/>
              <w:rPr>
                <w:lang w:eastAsia="ar-SA"/>
              </w:rPr>
            </w:pPr>
            <w:r w:rsidRPr="00F65F6F">
              <w:rPr>
                <w:lang w:eastAsia="ar-SA"/>
              </w:rPr>
              <w:t>Отмена</w:t>
            </w:r>
          </w:p>
        </w:tc>
        <w:tc>
          <w:tcPr>
            <w:tcW w:w="2415" w:type="dxa"/>
            <w:gridSpan w:val="2"/>
            <w:hideMark/>
          </w:tcPr>
          <w:p w14:paraId="33194D7C" w14:textId="77777777" w:rsidR="0000369C" w:rsidRPr="00F65F6F" w:rsidRDefault="0000369C" w:rsidP="001C46FD">
            <w:pPr>
              <w:tabs>
                <w:tab w:val="left" w:pos="284"/>
                <w:tab w:val="left" w:pos="567"/>
              </w:tabs>
              <w:suppressAutoHyphens/>
              <w:snapToGrid w:val="0"/>
              <w:rPr>
                <w:lang w:eastAsia="ar-SA"/>
              </w:rPr>
            </w:pPr>
            <w:r w:rsidRPr="00F65F6F">
              <w:rPr>
                <w:lang w:eastAsia="ar-SA"/>
              </w:rPr>
              <w:t>Отмена</w:t>
            </w:r>
          </w:p>
        </w:tc>
      </w:tr>
    </w:tbl>
    <w:p w14:paraId="5F4E0504" w14:textId="77777777" w:rsidR="0000369C" w:rsidRPr="00F65F6F" w:rsidRDefault="0000369C" w:rsidP="0000369C">
      <w:pPr>
        <w:suppressAutoHyphens/>
        <w:rPr>
          <w:rFonts w:eastAsia="Calibri" w:cs="Times New Roman"/>
          <w:szCs w:val="24"/>
          <w:lang w:eastAsia="ar-SA"/>
        </w:rPr>
      </w:pPr>
      <w:r w:rsidRPr="00F65F6F">
        <w:rPr>
          <w:rFonts w:eastAsia="Calibri" w:cs="Times New Roman"/>
          <w:szCs w:val="24"/>
          <w:lang w:eastAsia="ar-SA"/>
        </w:rPr>
        <w:t xml:space="preserve">Формула Калверта*: </w:t>
      </w:r>
      <w:r w:rsidRPr="00F65F6F">
        <w:rPr>
          <w:rFonts w:eastAsia="Calibri" w:cs="Times New Roman"/>
          <w:bCs/>
          <w:szCs w:val="24"/>
          <w:lang w:eastAsia="ar-SA"/>
        </w:rPr>
        <w:t>Доза препарата</w:t>
      </w:r>
      <w:r w:rsidRPr="00F65F6F">
        <w:rPr>
          <w:rFonts w:eastAsia="Calibri" w:cs="Times New Roman"/>
          <w:b/>
          <w:bCs/>
          <w:szCs w:val="24"/>
          <w:lang w:eastAsia="ar-SA"/>
        </w:rPr>
        <w:t xml:space="preserve"> </w:t>
      </w:r>
      <w:r w:rsidRPr="00F65F6F">
        <w:rPr>
          <w:rFonts w:eastAsia="Calibri" w:cs="Times New Roman"/>
          <w:szCs w:val="24"/>
          <w:lang w:eastAsia="ar-SA"/>
        </w:rPr>
        <w:t>(мг)</w:t>
      </w:r>
      <w:r w:rsidRPr="00F65F6F">
        <w:rPr>
          <w:rFonts w:eastAsia="Calibri" w:cs="Times New Roman"/>
          <w:b/>
          <w:bCs/>
          <w:szCs w:val="24"/>
          <w:lang w:eastAsia="ar-SA"/>
        </w:rPr>
        <w:t xml:space="preserve"> = </w:t>
      </w:r>
      <w:r w:rsidRPr="00F65F6F">
        <w:rPr>
          <w:rFonts w:eastAsia="Calibri" w:cs="Times New Roman"/>
          <w:szCs w:val="24"/>
          <w:lang w:eastAsia="ar-SA"/>
        </w:rPr>
        <w:t>[</w:t>
      </w:r>
      <w:r w:rsidRPr="00F65F6F">
        <w:rPr>
          <w:rFonts w:eastAsia="Calibri" w:cs="Times New Roman"/>
          <w:szCs w:val="24"/>
          <w:lang w:val="en-US" w:eastAsia="ar-SA"/>
        </w:rPr>
        <w:t>AUC</w:t>
      </w:r>
      <w:r w:rsidRPr="00F65F6F">
        <w:rPr>
          <w:rFonts w:eastAsia="Calibri" w:cs="Times New Roman"/>
          <w:szCs w:val="24"/>
          <w:lang w:eastAsia="ar-SA"/>
        </w:rPr>
        <w:t xml:space="preserve">(мг/мл </w:t>
      </w:r>
      <w:r w:rsidRPr="00F65F6F">
        <w:rPr>
          <w:rFonts w:eastAsia="Calibri" w:cs="Times New Roman"/>
          <w:szCs w:val="24"/>
          <w:lang w:val="en-US" w:eastAsia="ar-SA"/>
        </w:rPr>
        <w:t>x</w:t>
      </w:r>
      <w:r w:rsidRPr="00F65F6F">
        <w:rPr>
          <w:rFonts w:eastAsia="Calibri" w:cs="Times New Roman"/>
          <w:szCs w:val="24"/>
          <w:lang w:eastAsia="ar-SA"/>
        </w:rPr>
        <w:t xml:space="preserve"> мин)] </w:t>
      </w:r>
      <w:r w:rsidRPr="00F65F6F">
        <w:rPr>
          <w:rFonts w:eastAsia="Calibri" w:cs="Times New Roman"/>
          <w:szCs w:val="24"/>
          <w:lang w:val="en-US" w:eastAsia="ar-SA"/>
        </w:rPr>
        <w:t>x</w:t>
      </w:r>
      <w:r w:rsidRPr="00F65F6F">
        <w:rPr>
          <w:rFonts w:eastAsia="Calibri" w:cs="Times New Roman"/>
          <w:szCs w:val="24"/>
          <w:lang w:eastAsia="ar-SA"/>
        </w:rPr>
        <w:t xml:space="preserve"> [СКФ (мл/мин) +25], </w:t>
      </w:r>
    </w:p>
    <w:p w14:paraId="4F234C62" w14:textId="77777777" w:rsidR="0000369C" w:rsidRPr="00F65F6F" w:rsidRDefault="0000369C" w:rsidP="0000369C">
      <w:pPr>
        <w:suppressAutoHyphens/>
        <w:rPr>
          <w:rFonts w:eastAsia="Calibri" w:cs="Times New Roman"/>
          <w:szCs w:val="24"/>
          <w:lang w:eastAsia="ar-SA"/>
        </w:rPr>
      </w:pPr>
      <w:r w:rsidRPr="00F65F6F">
        <w:rPr>
          <w:rFonts w:eastAsia="Calibri" w:cs="Times New Roman"/>
          <w:szCs w:val="24"/>
          <w:lang w:eastAsia="ar-SA"/>
        </w:rPr>
        <w:t>где AUC – эта концентрация препарата в крови в течение конкретного отрезка времени; СКФ – скорость клубочковой фильтрации.</w:t>
      </w:r>
    </w:p>
    <w:p w14:paraId="183634F4" w14:textId="77777777" w:rsidR="0000369C" w:rsidRPr="00F65F6F" w:rsidRDefault="0000369C" w:rsidP="0000369C">
      <w:pPr>
        <w:suppressAutoHyphens/>
        <w:rPr>
          <w:rFonts w:eastAsia="Calibri" w:cs="Times New Roman"/>
          <w:szCs w:val="24"/>
          <w:lang w:eastAsia="ar-SA"/>
        </w:rPr>
      </w:pPr>
    </w:p>
    <w:p w14:paraId="729A36F3" w14:textId="77777777" w:rsidR="0000369C" w:rsidRPr="00ED50D9" w:rsidRDefault="0000369C" w:rsidP="0000369C">
      <w:pPr>
        <w:widowControl w:val="0"/>
        <w:suppressAutoHyphens/>
        <w:ind w:firstLine="709"/>
        <w:rPr>
          <w:rFonts w:eastAsia="Calibri" w:cs="Times New Roman"/>
          <w:szCs w:val="24"/>
          <w:lang w:eastAsia="ar-SA"/>
        </w:rPr>
      </w:pPr>
      <w:r w:rsidRPr="00ED50D9">
        <w:rPr>
          <w:rFonts w:eastAsia="Calibri" w:cs="Times New Roman"/>
          <w:szCs w:val="24"/>
          <w:lang w:eastAsia="ar-SA"/>
        </w:rPr>
        <w:t xml:space="preserve">Если больному проводится гемодиализ, то коррекцию дозы химиопрепаратов проводят в зависимости от фармакокинетики и от процента выведения препарата через мембрану диализатора (таб. 6). </w:t>
      </w:r>
    </w:p>
    <w:p w14:paraId="213AFEF7" w14:textId="77777777" w:rsidR="0000369C" w:rsidRPr="00ED50D9" w:rsidRDefault="0000369C" w:rsidP="0000369C">
      <w:pPr>
        <w:suppressAutoHyphens/>
        <w:ind w:left="708"/>
        <w:rPr>
          <w:rFonts w:eastAsia="Calibri" w:cs="Times New Roman"/>
          <w:bCs/>
          <w:szCs w:val="24"/>
          <w:lang w:eastAsia="ar-SA"/>
        </w:rPr>
      </w:pPr>
    </w:p>
    <w:p w14:paraId="6F5418C7" w14:textId="634E1B29" w:rsidR="0000369C" w:rsidRPr="00EE2ABD" w:rsidRDefault="0000369C" w:rsidP="0000369C">
      <w:pPr>
        <w:suppressAutoHyphens/>
        <w:rPr>
          <w:rFonts w:eastAsia="Calibri" w:cs="Times New Roman"/>
          <w:bCs/>
          <w:szCs w:val="24"/>
          <w:lang w:eastAsia="ar-SA"/>
        </w:rPr>
      </w:pPr>
      <w:r w:rsidRPr="00ED50D9">
        <w:rPr>
          <w:rFonts w:eastAsia="Calibri" w:cs="Times New Roman"/>
          <w:bCs/>
          <w:szCs w:val="24"/>
          <w:lang w:eastAsia="ar-SA"/>
        </w:rPr>
        <w:t>Таблица 6. Рекомендации по коррекции дозы противоопухолевых препаратов у пациентов с почечной недостаточностью, находящихся на гемодиализе</w:t>
      </w:r>
      <w:r w:rsidRPr="00EE2ABD">
        <w:rPr>
          <w:rFonts w:eastAsia="Calibri" w:cs="Times New Roman"/>
          <w:bCs/>
          <w:szCs w:val="24"/>
          <w:lang w:eastAsia="ar-SA"/>
        </w:rPr>
        <w:t xml:space="preserve"> </w:t>
      </w:r>
      <w:r>
        <w:rPr>
          <w:rFonts w:eastAsia="Times New Roman" w:cs="Times New Roman"/>
          <w:szCs w:val="24"/>
          <w:lang w:eastAsia="ru-RU"/>
        </w:rPr>
        <w:fldChar w:fldCharType="begin" w:fldLock="1"/>
      </w:r>
      <w:r>
        <w:rPr>
          <w:rFonts w:eastAsia="Times New Roman" w:cs="Times New Roman"/>
          <w:szCs w:val="24"/>
          <w:lang w:eastAsia="ru-RU"/>
        </w:rPr>
        <w:instrText>ADDIN CSL_CITATION {"citationItems":[{"id":"ITEM-1","itemData":{"author":[{"dropping-particle":"","family":"Джумабаева","given":"Б.Т.","non-dropping-particle":"","parse-names":false,"suffix":""},{"dropping-particle":"","family":"Бирюкова","given":"Л.С.","non-dropping-particle":"","parse-names":false,"suffix":""},{"dropping-particle":"","family":"Варшавский","given":"В.А.","non-dropping-particle":"","parse-names":false,"suffix":""},{"dropping-particle":"","family":"Марьина","given":"С.А.","non-dropping-particle":"","parse-names":false,"suffix":""},{"dropping-particle":"","family":"Рощина","given":"Л.С.","non-dropping-particle":"","parse-names":false,"suffix":""},{"dropping-particle":"","family":"Джулакян","given":"У.Л.","non-dropping-particle":"","parse-names":false,"suffix":""},{"dropping-particle":"","family":"Столяревич","given":"Е.C.","non-dropping-particle":"","parse-names":false,"suffix":""}],"container-title":"Онкогематология","id":"ITEM-1","issue":"1","issued":{"date-parts":[["2017"]]},"page":"44-54","title":"Клинико-лабораторные и морфологические особенности поражения почек при лимфопролиферативных заболеваниях","type":"article-journal","volume":"7"},"uris":["http://www.mendeley.com/documents/?uuid=50a28e00-c058-46cf-b75a-5bfd40395f93"]},{"id":"ITEM-2","itemData":{"author":[{"dropping-particle":"","family":"Рехтина","given":"И.Г.","non-dropping-particle":"","parse-names":false,"suffix":""},{"dropping-particle":"","family":"Голицина","given":"Е.П.","non-dropping-particle":"","parse-names":false,"suffix":""},{"dropping-particle":"","family":"Варламова","given":"Е.Ю.","non-dropping-particle":"","parse-names":false,"suffix":""},{"dropping-particle":"","family":"Варшавский","given":"В.А.","non-dropping-particle":"","parse-names":false,"suffix":""},{"dropping-particle":"","family":"Киреева","given":"А.А.","non-dropping-particle":"","parse-names":false,"suffix":""},{"dropping-particle":"","family":"Бирюкова","given":"Л.С.","non-dropping-particle":"","parse-names":false,"suffix":""},{"dropping-particle":"","family":"Савченко","given":"В.Г.","non-dropping-particle":"","parse-names":false,"suffix":""}],"container-title":"Терапевтический архив","id":"ITEM-2","issue":"3","issued":{"date-parts":[["2013"]]},"page":"80-85","title":"Морфологические и иммунохимические особенности нефропатий при множественной миеломе с тяжелой почечной недостаточностью","type":"article-journal","volume":"85"},"uris":["http://www.mendeley.com/documents/?uuid=b7e4aa0d-a654-44bd-b363-35e45db6262e"]},{"id":"ITEM-3","itemData":{"author":[{"dropping-particle":"","family":"Ворожейкина","given":"Е.Г.","non-dropping-particle":"","parse-names":false,"suffix":""},{"dropping-particle":"","family":"Бирюкова","given":"Л.С.","non-dropping-particle":"","parse-names":false,"suffix":""},{"dropping-particle":"","family":"Савченко","given":"В.Г.","non-dropping-particle":"","parse-names":false,"suffix":""}],"container-title":"Гематология и трансфузиология","id":"ITEM-3","issue":"3","issued":{"date-parts":[["2011"]]},"page":"24-27","title":"Клинико-лабораторные проявления нефропатий у больных острыми лейкозами","type":"article-journal","volume":"56"},"uris":["http://www.mendeley.com/documents/?uuid=137272d3-cc35-4bfd-b2f3-d7af020af652"]}],"mendeley":{"formattedCitation":"[102–104]","plainTextFormattedCitation":"[102–104]","previouslyFormattedCitation":"[102–104]"},"properties":{"noteIndex":0},"schema":"https://github.com/citation-style-language/schema/raw/master/csl-citation.json"}</w:instrText>
      </w:r>
      <w:r>
        <w:rPr>
          <w:rFonts w:eastAsia="Times New Roman" w:cs="Times New Roman"/>
          <w:szCs w:val="24"/>
          <w:lang w:eastAsia="ru-RU"/>
        </w:rPr>
        <w:fldChar w:fldCharType="separate"/>
      </w:r>
      <w:r w:rsidRPr="0000369C">
        <w:rPr>
          <w:rFonts w:eastAsia="Times New Roman" w:cs="Times New Roman"/>
          <w:noProof/>
          <w:szCs w:val="24"/>
          <w:lang w:eastAsia="ru-RU"/>
        </w:rPr>
        <w:t>[102–104]</w:t>
      </w:r>
      <w:r>
        <w:rPr>
          <w:rFonts w:eastAsia="Times New Roman" w:cs="Times New Roman"/>
          <w:szCs w:val="24"/>
          <w:lang w:eastAsia="ru-RU"/>
        </w:rPr>
        <w:fldChar w:fldCharType="end"/>
      </w:r>
    </w:p>
    <w:tbl>
      <w:tblPr>
        <w:tblStyle w:val="51"/>
        <w:tblW w:w="0" w:type="auto"/>
        <w:tblLook w:val="04A0" w:firstRow="1" w:lastRow="0" w:firstColumn="1" w:lastColumn="0" w:noHBand="0" w:noVBand="1"/>
      </w:tblPr>
      <w:tblGrid>
        <w:gridCol w:w="2977"/>
        <w:gridCol w:w="6369"/>
      </w:tblGrid>
      <w:tr w:rsidR="0000369C" w:rsidRPr="00F65F6F" w14:paraId="0D0AA000" w14:textId="77777777" w:rsidTr="001C46FD">
        <w:tc>
          <w:tcPr>
            <w:tcW w:w="3061" w:type="dxa"/>
            <w:hideMark/>
          </w:tcPr>
          <w:p w14:paraId="08477C56" w14:textId="77777777" w:rsidR="0000369C" w:rsidRPr="00F65F6F" w:rsidRDefault="0000369C" w:rsidP="001C46FD">
            <w:pPr>
              <w:tabs>
                <w:tab w:val="left" w:pos="284"/>
                <w:tab w:val="left" w:pos="567"/>
              </w:tabs>
              <w:suppressAutoHyphens/>
              <w:snapToGrid w:val="0"/>
              <w:jc w:val="center"/>
              <w:rPr>
                <w:lang w:eastAsia="ar-SA"/>
              </w:rPr>
            </w:pPr>
            <w:r w:rsidRPr="00F65F6F">
              <w:rPr>
                <w:lang w:eastAsia="ar-SA"/>
              </w:rPr>
              <w:t>Лекарственный препарат</w:t>
            </w:r>
          </w:p>
        </w:tc>
        <w:tc>
          <w:tcPr>
            <w:tcW w:w="6941" w:type="dxa"/>
            <w:hideMark/>
          </w:tcPr>
          <w:p w14:paraId="3979B467" w14:textId="77777777" w:rsidR="0000369C" w:rsidRPr="00F65F6F" w:rsidRDefault="0000369C" w:rsidP="001C46FD">
            <w:pPr>
              <w:tabs>
                <w:tab w:val="left" w:pos="284"/>
                <w:tab w:val="left" w:pos="567"/>
              </w:tabs>
              <w:suppressAutoHyphens/>
              <w:snapToGrid w:val="0"/>
              <w:jc w:val="center"/>
              <w:rPr>
                <w:lang w:eastAsia="ar-SA"/>
              </w:rPr>
            </w:pPr>
            <w:r w:rsidRPr="00F65F6F">
              <w:rPr>
                <w:lang w:eastAsia="ar-SA"/>
              </w:rPr>
              <w:t>Рекомендации и комментарии</w:t>
            </w:r>
          </w:p>
        </w:tc>
      </w:tr>
      <w:tr w:rsidR="0000369C" w:rsidRPr="00F65F6F" w14:paraId="0C60BA01" w14:textId="77777777" w:rsidTr="001C46FD">
        <w:tc>
          <w:tcPr>
            <w:tcW w:w="3061" w:type="dxa"/>
            <w:hideMark/>
          </w:tcPr>
          <w:p w14:paraId="6BA8C589" w14:textId="77777777" w:rsidR="0000369C" w:rsidRPr="00F65F6F" w:rsidRDefault="0000369C" w:rsidP="001C46FD">
            <w:pPr>
              <w:tabs>
                <w:tab w:val="left" w:pos="284"/>
                <w:tab w:val="left" w:pos="567"/>
              </w:tabs>
              <w:suppressAutoHyphens/>
              <w:snapToGrid w:val="0"/>
              <w:rPr>
                <w:lang w:eastAsia="ar-SA"/>
              </w:rPr>
            </w:pPr>
            <w:r w:rsidRPr="00F65F6F">
              <w:rPr>
                <w:lang w:eastAsia="ar-SA"/>
              </w:rPr>
              <w:t>Цисплатин</w:t>
            </w:r>
          </w:p>
        </w:tc>
        <w:tc>
          <w:tcPr>
            <w:tcW w:w="6941" w:type="dxa"/>
            <w:hideMark/>
          </w:tcPr>
          <w:p w14:paraId="44AF190C" w14:textId="77777777" w:rsidR="0000369C" w:rsidRPr="00F65F6F" w:rsidRDefault="0000369C" w:rsidP="001C46FD">
            <w:pPr>
              <w:tabs>
                <w:tab w:val="left" w:pos="284"/>
                <w:tab w:val="left" w:pos="567"/>
              </w:tabs>
              <w:suppressAutoHyphens/>
              <w:snapToGrid w:val="0"/>
              <w:rPr>
                <w:lang w:eastAsia="ar-SA"/>
              </w:rPr>
            </w:pPr>
            <w:r w:rsidRPr="00F65F6F">
              <w:rPr>
                <w:lang w:eastAsia="ar-SA"/>
              </w:rPr>
              <w:t>Дозу снижать на 50%. Выводится при гемодиализе</w:t>
            </w:r>
          </w:p>
        </w:tc>
      </w:tr>
      <w:tr w:rsidR="0000369C" w:rsidRPr="00F65F6F" w14:paraId="2094B86E" w14:textId="77777777" w:rsidTr="001C46FD">
        <w:tc>
          <w:tcPr>
            <w:tcW w:w="3061" w:type="dxa"/>
            <w:hideMark/>
          </w:tcPr>
          <w:p w14:paraId="75CC6744" w14:textId="77777777" w:rsidR="0000369C" w:rsidRPr="00F65F6F" w:rsidRDefault="0000369C" w:rsidP="001C46FD">
            <w:pPr>
              <w:tabs>
                <w:tab w:val="left" w:pos="284"/>
                <w:tab w:val="left" w:pos="567"/>
              </w:tabs>
              <w:suppressAutoHyphens/>
              <w:snapToGrid w:val="0"/>
              <w:rPr>
                <w:lang w:eastAsia="ar-SA"/>
              </w:rPr>
            </w:pPr>
            <w:r w:rsidRPr="00F65F6F">
              <w:rPr>
                <w:lang w:eastAsia="ar-SA"/>
              </w:rPr>
              <w:t>Карбоплатин</w:t>
            </w:r>
          </w:p>
        </w:tc>
        <w:tc>
          <w:tcPr>
            <w:tcW w:w="6941" w:type="dxa"/>
            <w:hideMark/>
          </w:tcPr>
          <w:p w14:paraId="3DA290AB" w14:textId="77777777" w:rsidR="0000369C" w:rsidRPr="00F65F6F" w:rsidRDefault="0000369C" w:rsidP="001C46FD">
            <w:pPr>
              <w:tabs>
                <w:tab w:val="left" w:pos="284"/>
                <w:tab w:val="left" w:pos="567"/>
              </w:tabs>
              <w:suppressAutoHyphens/>
              <w:snapToGrid w:val="0"/>
              <w:rPr>
                <w:lang w:eastAsia="ar-SA"/>
              </w:rPr>
            </w:pPr>
            <w:r w:rsidRPr="00F65F6F">
              <w:rPr>
                <w:lang w:eastAsia="ar-SA"/>
              </w:rPr>
              <w:t>Период между введением препарата и гемодиализом не должен превышать 16 ч. Дозу рассчитывают по формуле Калверта с учетом СКФ</w:t>
            </w:r>
          </w:p>
        </w:tc>
      </w:tr>
      <w:tr w:rsidR="0000369C" w:rsidRPr="00F65F6F" w14:paraId="30DE0DF5" w14:textId="77777777" w:rsidTr="001C46FD">
        <w:tc>
          <w:tcPr>
            <w:tcW w:w="3061" w:type="dxa"/>
            <w:hideMark/>
          </w:tcPr>
          <w:p w14:paraId="0474124E" w14:textId="77777777" w:rsidR="0000369C" w:rsidRPr="00F65F6F" w:rsidRDefault="0000369C" w:rsidP="001C46FD">
            <w:pPr>
              <w:tabs>
                <w:tab w:val="left" w:pos="284"/>
                <w:tab w:val="left" w:pos="567"/>
              </w:tabs>
              <w:suppressAutoHyphens/>
              <w:snapToGrid w:val="0"/>
              <w:rPr>
                <w:lang w:eastAsia="ar-SA"/>
              </w:rPr>
            </w:pPr>
            <w:r w:rsidRPr="00F65F6F">
              <w:rPr>
                <w:lang w:eastAsia="ar-SA"/>
              </w:rPr>
              <w:t>Этопозид</w:t>
            </w:r>
          </w:p>
        </w:tc>
        <w:tc>
          <w:tcPr>
            <w:tcW w:w="6941" w:type="dxa"/>
            <w:hideMark/>
          </w:tcPr>
          <w:p w14:paraId="73EEF29B" w14:textId="77777777" w:rsidR="0000369C" w:rsidRPr="00F65F6F" w:rsidRDefault="0000369C" w:rsidP="001C46FD">
            <w:pPr>
              <w:tabs>
                <w:tab w:val="left" w:pos="284"/>
                <w:tab w:val="left" w:pos="567"/>
              </w:tabs>
              <w:suppressAutoHyphens/>
              <w:rPr>
                <w:lang w:eastAsia="ar-SA"/>
              </w:rPr>
            </w:pPr>
            <w:r w:rsidRPr="00F65F6F">
              <w:rPr>
                <w:lang w:eastAsia="ar-SA"/>
              </w:rPr>
              <w:t>Около 40% препарата выводится почками. Дозу назначаемого препарата снижают на 60%. Плохо выводится при гемодиализе</w:t>
            </w:r>
          </w:p>
        </w:tc>
      </w:tr>
      <w:tr w:rsidR="0000369C" w:rsidRPr="00F65F6F" w14:paraId="0ED5D0E9" w14:textId="77777777" w:rsidTr="001C46FD">
        <w:tc>
          <w:tcPr>
            <w:tcW w:w="3061" w:type="dxa"/>
            <w:hideMark/>
          </w:tcPr>
          <w:p w14:paraId="51CA4E56" w14:textId="77777777" w:rsidR="0000369C" w:rsidRPr="00F65F6F" w:rsidRDefault="0000369C" w:rsidP="001C46FD">
            <w:pPr>
              <w:tabs>
                <w:tab w:val="left" w:pos="284"/>
                <w:tab w:val="left" w:pos="567"/>
              </w:tabs>
              <w:suppressAutoHyphens/>
              <w:snapToGrid w:val="0"/>
              <w:rPr>
                <w:lang w:eastAsia="ar-SA"/>
              </w:rPr>
            </w:pPr>
            <w:r w:rsidRPr="00F65F6F">
              <w:rPr>
                <w:lang w:eastAsia="ar-SA"/>
              </w:rPr>
              <w:lastRenderedPageBreak/>
              <w:t>Метотрексат</w:t>
            </w:r>
          </w:p>
        </w:tc>
        <w:tc>
          <w:tcPr>
            <w:tcW w:w="6941" w:type="dxa"/>
            <w:hideMark/>
          </w:tcPr>
          <w:p w14:paraId="592C2D61" w14:textId="77777777" w:rsidR="0000369C" w:rsidRPr="00F65F6F" w:rsidRDefault="0000369C" w:rsidP="001C46FD">
            <w:pPr>
              <w:tabs>
                <w:tab w:val="left" w:pos="284"/>
                <w:tab w:val="left" w:pos="567"/>
              </w:tabs>
              <w:suppressAutoHyphens/>
              <w:snapToGrid w:val="0"/>
              <w:rPr>
                <w:lang w:eastAsia="ar-SA"/>
              </w:rPr>
            </w:pPr>
            <w:r w:rsidRPr="00F65F6F">
              <w:rPr>
                <w:lang w:eastAsia="ar-SA"/>
              </w:rPr>
              <w:t>Степень элиминации препарата увеличивается при удлинении диализа, но высокие дозы препарата сохраняются несколько дней. Назначается  лейковорин (фолиновая кислота) по 15 мг (10мг/м</w:t>
            </w:r>
            <w:r w:rsidRPr="00F65F6F">
              <w:rPr>
                <w:vertAlign w:val="superscript"/>
                <w:lang w:eastAsia="ar-SA"/>
              </w:rPr>
              <w:t>2</w:t>
            </w:r>
            <w:r w:rsidRPr="00F65F6F">
              <w:rPr>
                <w:lang w:eastAsia="ar-SA"/>
              </w:rPr>
              <w:t xml:space="preserve">) внутрь через каждые 6 часов пока концентрация метотрексата в плазме  не станет ниже 0,05 мкмоль. </w:t>
            </w:r>
          </w:p>
        </w:tc>
      </w:tr>
      <w:tr w:rsidR="0000369C" w:rsidRPr="00F65F6F" w14:paraId="24A4A05D" w14:textId="77777777" w:rsidTr="001C46FD">
        <w:tc>
          <w:tcPr>
            <w:tcW w:w="3061" w:type="dxa"/>
            <w:hideMark/>
          </w:tcPr>
          <w:p w14:paraId="3BBC38FC" w14:textId="77777777" w:rsidR="0000369C" w:rsidRPr="00F65F6F" w:rsidRDefault="0000369C" w:rsidP="001C46FD">
            <w:pPr>
              <w:tabs>
                <w:tab w:val="left" w:pos="284"/>
                <w:tab w:val="left" w:pos="567"/>
              </w:tabs>
              <w:suppressAutoHyphens/>
              <w:snapToGrid w:val="0"/>
              <w:rPr>
                <w:lang w:eastAsia="ar-SA"/>
              </w:rPr>
            </w:pPr>
            <w:r w:rsidRPr="00F65F6F">
              <w:rPr>
                <w:lang w:eastAsia="ar-SA"/>
              </w:rPr>
              <w:t>Ифосфамид Циклофосфамид,</w:t>
            </w:r>
          </w:p>
        </w:tc>
        <w:tc>
          <w:tcPr>
            <w:tcW w:w="6941" w:type="dxa"/>
            <w:hideMark/>
          </w:tcPr>
          <w:p w14:paraId="3EE2FA2F" w14:textId="77777777" w:rsidR="0000369C" w:rsidRPr="00F65F6F" w:rsidRDefault="0000369C" w:rsidP="001C46FD">
            <w:pPr>
              <w:tabs>
                <w:tab w:val="left" w:pos="284"/>
                <w:tab w:val="left" w:pos="567"/>
              </w:tabs>
              <w:suppressAutoHyphens/>
              <w:snapToGrid w:val="0"/>
              <w:rPr>
                <w:b/>
                <w:bCs/>
                <w:color w:val="FF0000"/>
                <w:lang w:eastAsia="ar-SA"/>
              </w:rPr>
            </w:pPr>
            <w:r w:rsidRPr="00F65F6F">
              <w:rPr>
                <w:lang w:eastAsia="ar-SA"/>
              </w:rPr>
              <w:t xml:space="preserve">Гемодиализ следует проводить через 12 ч после введения препарата с целью предотвратить его выведение в ранней фазе распределения </w:t>
            </w:r>
          </w:p>
        </w:tc>
      </w:tr>
      <w:tr w:rsidR="0000369C" w:rsidRPr="00F65F6F" w14:paraId="166F5124" w14:textId="77777777" w:rsidTr="001C46FD">
        <w:tc>
          <w:tcPr>
            <w:tcW w:w="3061" w:type="dxa"/>
            <w:hideMark/>
          </w:tcPr>
          <w:p w14:paraId="5AA8C79B" w14:textId="77777777" w:rsidR="0000369C" w:rsidRPr="00F65F6F" w:rsidRDefault="0000369C" w:rsidP="001C46FD">
            <w:pPr>
              <w:widowControl w:val="0"/>
              <w:tabs>
                <w:tab w:val="left" w:pos="284"/>
                <w:tab w:val="left" w:pos="567"/>
              </w:tabs>
              <w:suppressAutoHyphens/>
              <w:rPr>
                <w:lang w:eastAsia="ar-SA"/>
              </w:rPr>
            </w:pPr>
            <w:r w:rsidRPr="00F65F6F">
              <w:rPr>
                <w:rFonts w:eastAsia="Times New Roman"/>
                <w:lang w:eastAsia="ar-SA"/>
              </w:rPr>
              <w:t xml:space="preserve">Противоопухолевые антибиотики </w:t>
            </w:r>
            <w:r w:rsidRPr="00F65F6F">
              <w:rPr>
                <w:lang w:eastAsia="ar-SA"/>
              </w:rPr>
              <w:t>(митомицин С, дактиномицин)</w:t>
            </w:r>
          </w:p>
        </w:tc>
        <w:tc>
          <w:tcPr>
            <w:tcW w:w="6941" w:type="dxa"/>
            <w:hideMark/>
          </w:tcPr>
          <w:p w14:paraId="17FE6B83" w14:textId="77777777" w:rsidR="0000369C" w:rsidRPr="00F65F6F" w:rsidRDefault="0000369C" w:rsidP="001C46FD">
            <w:pPr>
              <w:tabs>
                <w:tab w:val="left" w:pos="284"/>
                <w:tab w:val="left" w:pos="567"/>
              </w:tabs>
              <w:suppressAutoHyphens/>
              <w:snapToGrid w:val="0"/>
              <w:rPr>
                <w:lang w:eastAsia="ar-SA"/>
              </w:rPr>
            </w:pPr>
            <w:r w:rsidRPr="00F65F6F">
              <w:rPr>
                <w:lang w:eastAsia="ar-SA"/>
              </w:rPr>
              <w:t>Препараты распределяются в тканях и очень медленно выводятся с мочой; период полувыведения длительный. Не рекомендуется назначать в высоких дозах</w:t>
            </w:r>
          </w:p>
        </w:tc>
      </w:tr>
      <w:tr w:rsidR="0000369C" w:rsidRPr="00F65F6F" w14:paraId="5CB3169B" w14:textId="77777777" w:rsidTr="001C46FD">
        <w:tc>
          <w:tcPr>
            <w:tcW w:w="3061" w:type="dxa"/>
            <w:hideMark/>
          </w:tcPr>
          <w:p w14:paraId="47888FAB" w14:textId="77777777" w:rsidR="0000369C" w:rsidRPr="00F65F6F" w:rsidRDefault="0000369C" w:rsidP="001C46FD">
            <w:pPr>
              <w:tabs>
                <w:tab w:val="left" w:pos="284"/>
                <w:tab w:val="left" w:pos="567"/>
              </w:tabs>
              <w:suppressAutoHyphens/>
              <w:snapToGrid w:val="0"/>
              <w:rPr>
                <w:lang w:eastAsia="ar-SA"/>
              </w:rPr>
            </w:pPr>
            <w:r w:rsidRPr="00F65F6F">
              <w:rPr>
                <w:lang w:eastAsia="ar-SA"/>
              </w:rPr>
              <w:t>Антрациклины (доксорубицин, эпирубицин, даунорубицин)</w:t>
            </w:r>
          </w:p>
        </w:tc>
        <w:tc>
          <w:tcPr>
            <w:tcW w:w="6941" w:type="dxa"/>
            <w:hideMark/>
          </w:tcPr>
          <w:p w14:paraId="5CFC78CC" w14:textId="77777777" w:rsidR="0000369C" w:rsidRPr="00F65F6F" w:rsidRDefault="0000369C" w:rsidP="001C46FD">
            <w:pPr>
              <w:tabs>
                <w:tab w:val="left" w:pos="284"/>
                <w:tab w:val="left" w:pos="567"/>
              </w:tabs>
              <w:suppressAutoHyphens/>
              <w:snapToGrid w:val="0"/>
              <w:rPr>
                <w:b/>
                <w:bCs/>
                <w:color w:val="FF0000"/>
                <w:lang w:eastAsia="ar-SA"/>
              </w:rPr>
            </w:pPr>
            <w:r w:rsidRPr="00F65F6F">
              <w:rPr>
                <w:lang w:eastAsia="ar-SA"/>
              </w:rPr>
              <w:t xml:space="preserve">Не выводятся при гемодиализе. После введения препарата распределяется в тканях. Период полувыведения препарата длительный. Нет данных по редукции дозы препаратов. </w:t>
            </w:r>
            <w:r w:rsidRPr="00EE2ABD">
              <w:rPr>
                <w:lang w:eastAsia="ar-SA"/>
              </w:rPr>
              <w:t xml:space="preserve">Можно назначать липосомальные формы препаратов. </w:t>
            </w:r>
          </w:p>
        </w:tc>
      </w:tr>
      <w:tr w:rsidR="0000369C" w:rsidRPr="00F65F6F" w14:paraId="5B4529D5" w14:textId="77777777" w:rsidTr="001C46FD">
        <w:tc>
          <w:tcPr>
            <w:tcW w:w="3061" w:type="dxa"/>
            <w:hideMark/>
          </w:tcPr>
          <w:p w14:paraId="5D7712BF" w14:textId="77777777" w:rsidR="0000369C" w:rsidRPr="00F65F6F" w:rsidRDefault="0000369C" w:rsidP="001C46FD">
            <w:pPr>
              <w:tabs>
                <w:tab w:val="left" w:pos="284"/>
                <w:tab w:val="left" w:pos="567"/>
              </w:tabs>
              <w:suppressAutoHyphens/>
              <w:snapToGrid w:val="0"/>
              <w:rPr>
                <w:lang w:eastAsia="ar-SA"/>
              </w:rPr>
            </w:pPr>
            <w:r w:rsidRPr="00F65F6F">
              <w:rPr>
                <w:lang w:eastAsia="ar-SA"/>
              </w:rPr>
              <w:t>Винкаалкалоиды (винкристин, винбластин, виндезин)</w:t>
            </w:r>
          </w:p>
        </w:tc>
        <w:tc>
          <w:tcPr>
            <w:tcW w:w="6941" w:type="dxa"/>
            <w:hideMark/>
          </w:tcPr>
          <w:p w14:paraId="3C170C71" w14:textId="77777777" w:rsidR="0000369C" w:rsidRPr="00F65F6F" w:rsidRDefault="0000369C" w:rsidP="001C46FD">
            <w:pPr>
              <w:tabs>
                <w:tab w:val="left" w:pos="284"/>
                <w:tab w:val="left" w:pos="567"/>
              </w:tabs>
              <w:suppressAutoHyphens/>
              <w:snapToGrid w:val="0"/>
              <w:rPr>
                <w:b/>
                <w:bCs/>
                <w:color w:val="FF0000"/>
                <w:lang w:eastAsia="ar-SA"/>
              </w:rPr>
            </w:pPr>
            <w:r w:rsidRPr="00F65F6F">
              <w:rPr>
                <w:lang w:eastAsia="ar-SA"/>
              </w:rPr>
              <w:t xml:space="preserve">Не диализируются из-за большого объема распределения в тканях и длительного периода полувыведения.  Необходимо следить за содержанием мочевой кислоты в плазме и обеспечить адекватный диурез для профилактики развития уратной нефропатиии. Нет данных по редукции дозы препарата. </w:t>
            </w:r>
          </w:p>
        </w:tc>
      </w:tr>
      <w:tr w:rsidR="0000369C" w:rsidRPr="00F65F6F" w14:paraId="14F1C170" w14:textId="77777777" w:rsidTr="001C46FD">
        <w:tc>
          <w:tcPr>
            <w:tcW w:w="3061" w:type="dxa"/>
            <w:hideMark/>
          </w:tcPr>
          <w:p w14:paraId="0762C7F8" w14:textId="77777777" w:rsidR="0000369C" w:rsidRPr="00F65F6F" w:rsidRDefault="0000369C" w:rsidP="001C46FD">
            <w:pPr>
              <w:tabs>
                <w:tab w:val="left" w:pos="284"/>
                <w:tab w:val="left" w:pos="567"/>
              </w:tabs>
              <w:suppressAutoHyphens/>
              <w:snapToGrid w:val="0"/>
              <w:rPr>
                <w:lang w:eastAsia="ar-SA"/>
              </w:rPr>
            </w:pPr>
            <w:r w:rsidRPr="00F65F6F">
              <w:rPr>
                <w:lang w:eastAsia="ar-SA"/>
              </w:rPr>
              <w:t>Бифосфонаты</w:t>
            </w:r>
          </w:p>
        </w:tc>
        <w:tc>
          <w:tcPr>
            <w:tcW w:w="6941" w:type="dxa"/>
            <w:hideMark/>
          </w:tcPr>
          <w:p w14:paraId="739E24AC" w14:textId="77777777" w:rsidR="0000369C" w:rsidRPr="00F65F6F" w:rsidRDefault="0000369C" w:rsidP="001C46FD">
            <w:pPr>
              <w:tabs>
                <w:tab w:val="left" w:pos="284"/>
                <w:tab w:val="left" w:pos="567"/>
              </w:tabs>
              <w:suppressAutoHyphens/>
              <w:snapToGrid w:val="0"/>
              <w:rPr>
                <w:lang w:eastAsia="ar-SA"/>
              </w:rPr>
            </w:pPr>
            <w:r w:rsidRPr="00F65F6F">
              <w:rPr>
                <w:lang w:eastAsia="ar-SA"/>
              </w:rPr>
              <w:t>С осторожностью применять у пациентов со СКФ менее 30 мл/мин</w:t>
            </w:r>
          </w:p>
        </w:tc>
      </w:tr>
    </w:tbl>
    <w:p w14:paraId="1996AF58" w14:textId="77777777" w:rsidR="0000369C" w:rsidRPr="00F65F6F" w:rsidRDefault="0000369C" w:rsidP="0000369C">
      <w:pPr>
        <w:rPr>
          <w:rFonts w:eastAsia="Calibri" w:cs="Times New Roman"/>
          <w:b/>
          <w:szCs w:val="24"/>
        </w:rPr>
      </w:pPr>
    </w:p>
    <w:p w14:paraId="11B4D302" w14:textId="3A942A2D" w:rsidR="0000369C" w:rsidRPr="0000369C" w:rsidRDefault="0000369C" w:rsidP="0000369C">
      <w:pPr>
        <w:pStyle w:val="2"/>
      </w:pPr>
      <w:bookmarkStart w:id="65" w:name="_Toc67522252"/>
      <w:r w:rsidRPr="00A7029B">
        <w:t>7.</w:t>
      </w:r>
      <w:r>
        <w:t xml:space="preserve">14 </w:t>
      </w:r>
      <w:r w:rsidRPr="00FB583E">
        <w:t>Диагностика и лечение неврологических проявлений при гематологических заболеваниях</w:t>
      </w:r>
      <w:bookmarkEnd w:id="65"/>
    </w:p>
    <w:p w14:paraId="3362A6F9" w14:textId="77777777" w:rsidR="0000369C" w:rsidRDefault="0000369C" w:rsidP="0000369C">
      <w:pPr>
        <w:ind w:firstLine="709"/>
        <w:rPr>
          <w:rFonts w:cs="Times New Roman"/>
          <w:szCs w:val="24"/>
        </w:rPr>
      </w:pPr>
      <w:r w:rsidRPr="00FB583E">
        <w:rPr>
          <w:rFonts w:cs="Times New Roman"/>
          <w:szCs w:val="24"/>
        </w:rPr>
        <w:t xml:space="preserve">Вовлечение центральной нервной системы (ЦНС) и периферической нервной системы может выявляться при различных гематологических заболеваниях. Неврологические проявления могут быть как проявлением специфического поражения нервной системы (опухолевое поражение ЦНС), так и проявлением осложнений гематологического заболевания и его лечения (геморрагические, тромботические, токсические поражения нервной системы). Для диагностики и лечения неврологических проявлений и осложнений гематологических заболеваний применяется комплекс </w:t>
      </w:r>
      <w:r w:rsidRPr="00FB583E">
        <w:rPr>
          <w:rFonts w:cs="Times New Roman"/>
          <w:szCs w:val="24"/>
        </w:rPr>
        <w:lastRenderedPageBreak/>
        <w:t xml:space="preserve">неврологических исследований и терапия сообразно виду нарушения, с учетом характера основного гематологического заболевания. </w:t>
      </w:r>
    </w:p>
    <w:p w14:paraId="6AAC7526" w14:textId="77777777" w:rsidR="0000369C" w:rsidRPr="00FB583E" w:rsidRDefault="0000369C" w:rsidP="0000369C">
      <w:pPr>
        <w:ind w:firstLine="709"/>
        <w:rPr>
          <w:rFonts w:cs="Times New Roman"/>
          <w:szCs w:val="24"/>
        </w:rPr>
      </w:pPr>
    </w:p>
    <w:p w14:paraId="751712B6" w14:textId="77777777" w:rsidR="0000369C" w:rsidRPr="00FB583E" w:rsidRDefault="0000369C" w:rsidP="0000369C">
      <w:pPr>
        <w:rPr>
          <w:rFonts w:cs="Times New Roman"/>
          <w:i/>
          <w:szCs w:val="24"/>
          <w:u w:val="single"/>
        </w:rPr>
      </w:pPr>
      <w:r w:rsidRPr="00FB583E">
        <w:rPr>
          <w:rFonts w:cs="Times New Roman"/>
          <w:i/>
          <w:szCs w:val="24"/>
          <w:u w:val="single"/>
        </w:rPr>
        <w:t xml:space="preserve">Специфическое поражение ЦНС при гематологических заболеваниях. </w:t>
      </w:r>
    </w:p>
    <w:p w14:paraId="1135BD24" w14:textId="77777777" w:rsidR="0000369C" w:rsidRPr="00FB583E" w:rsidRDefault="0000369C" w:rsidP="0000369C">
      <w:pPr>
        <w:ind w:firstLine="708"/>
        <w:rPr>
          <w:rFonts w:cs="Times New Roman"/>
          <w:szCs w:val="24"/>
        </w:rPr>
      </w:pPr>
      <w:r w:rsidRPr="00FB583E">
        <w:rPr>
          <w:rFonts w:cs="Times New Roman"/>
          <w:szCs w:val="24"/>
        </w:rPr>
        <w:t>Специфическое опухолевое поражение ЦНС с вовлечением головного мозга, спинного мозга и оболочек может быть проявлением гематологического заболевания (лейкозы, лимфомы, парапротеинемические гемобластозы и др.). Так, на первичную лимфому ЦНС приходится около 5 - 7% от всех первичных опухолей головного мозга, 2 - 3% от всех неходжкинских лимфом, 4 - 6% от всех экстранодальных лимфом и 1% от опухолевых поражений спинного мозга.  Чаще всего опухолевое поражение ЦНС при гематологических заболеваниях локализуется в лобной доле – 50%, реже отмечается в мозолистом теле и глубинных структурах мозга (40%) мультифокальное поражение (35%), лептоменингеальное поражение (16%), изолированное поражение спинного мозга (1%). Кроме того, специфическое поражение ЦНС может развиваться по типу лейкемической инфильтрации оболочек мозга и поражения спиномозговой жидкости (нейролейкемия).</w:t>
      </w:r>
    </w:p>
    <w:p w14:paraId="55A5CCA4" w14:textId="77777777" w:rsidR="0000369C" w:rsidRPr="00FB583E" w:rsidRDefault="0000369C" w:rsidP="0000369C">
      <w:pPr>
        <w:ind w:firstLine="708"/>
        <w:rPr>
          <w:rFonts w:cs="Times New Roman"/>
          <w:b/>
          <w:szCs w:val="24"/>
        </w:rPr>
      </w:pPr>
      <w:r w:rsidRPr="00FB583E">
        <w:rPr>
          <w:rFonts w:cs="Times New Roman"/>
          <w:b/>
          <w:szCs w:val="24"/>
        </w:rPr>
        <w:t>Диагностика поражения ЦНС при гематологических заболеваниях.</w:t>
      </w:r>
    </w:p>
    <w:p w14:paraId="54A8A31E" w14:textId="77777777" w:rsidR="0000369C" w:rsidRPr="00FB583E" w:rsidRDefault="0000369C" w:rsidP="0000369C">
      <w:pPr>
        <w:ind w:firstLine="708"/>
        <w:rPr>
          <w:rFonts w:cs="Times New Roman"/>
          <w:szCs w:val="24"/>
        </w:rPr>
      </w:pPr>
      <w:r w:rsidRPr="00FB583E">
        <w:rPr>
          <w:rFonts w:cs="Times New Roman"/>
          <w:szCs w:val="24"/>
        </w:rPr>
        <w:t>Клиническая картина</w:t>
      </w:r>
      <w:r w:rsidRPr="00FB583E">
        <w:rPr>
          <w:rFonts w:cs="Times New Roman"/>
          <w:b/>
          <w:szCs w:val="24"/>
        </w:rPr>
        <w:t xml:space="preserve"> </w:t>
      </w:r>
      <w:r w:rsidRPr="00FB583E">
        <w:rPr>
          <w:rFonts w:cs="Times New Roman"/>
          <w:szCs w:val="24"/>
        </w:rPr>
        <w:t xml:space="preserve">зависит от локализации и объема поражения, степени выраженности гипертензионно-гидроцефального синдрома. В 70% опухолевое поражение при гематологических заболеваниях  манифестирует с очаговой неврологической симптоматики, в 43%  – с изменения психики, в 33% – с признаков повышения внутричерепного давления, в 14% – с эпилептических приступов. </w:t>
      </w:r>
    </w:p>
    <w:p w14:paraId="6486932F" w14:textId="77777777" w:rsidR="0000369C" w:rsidRPr="00FB583E" w:rsidRDefault="0000369C" w:rsidP="0000369C">
      <w:pPr>
        <w:ind w:firstLine="708"/>
        <w:rPr>
          <w:rFonts w:cs="Times New Roman"/>
          <w:szCs w:val="24"/>
        </w:rPr>
      </w:pPr>
      <w:r w:rsidRPr="00FB583E">
        <w:rPr>
          <w:rFonts w:cs="Times New Roman"/>
          <w:szCs w:val="24"/>
        </w:rPr>
        <w:t>Для первичной диагностики неврологического поражения ЦНС оценивается:</w:t>
      </w:r>
    </w:p>
    <w:p w14:paraId="19C95163"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жалобы; </w:t>
      </w:r>
    </w:p>
    <w:p w14:paraId="5B43F83D"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анамнез; </w:t>
      </w:r>
    </w:p>
    <w:p w14:paraId="59971B9E"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оценка функционального статуса по шкале Карновского; </w:t>
      </w:r>
    </w:p>
    <w:p w14:paraId="150B65FA"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неврологический статус с оценкой общемозговой и очаговой симптоматики и интеллектуально-мнестических нарушений; </w:t>
      </w:r>
    </w:p>
    <w:p w14:paraId="7153D8AC"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оценка  психического состояния; </w:t>
      </w:r>
    </w:p>
    <w:p w14:paraId="38AC28CF" w14:textId="77777777" w:rsidR="0000369C" w:rsidRPr="00FB583E" w:rsidRDefault="0000369C" w:rsidP="0000369C">
      <w:pPr>
        <w:ind w:left="12" w:firstLine="708"/>
        <w:rPr>
          <w:rFonts w:cs="Times New Roman"/>
          <w:b/>
          <w:szCs w:val="24"/>
        </w:rPr>
      </w:pPr>
      <w:r w:rsidRPr="00FB583E">
        <w:rPr>
          <w:rFonts w:cs="Times New Roman"/>
          <w:b/>
          <w:szCs w:val="24"/>
        </w:rPr>
        <w:t>Лабораторная диагностика:</w:t>
      </w:r>
      <w:r w:rsidRPr="00FB583E">
        <w:rPr>
          <w:rFonts w:cs="Times New Roman"/>
          <w:b/>
          <w:szCs w:val="24"/>
        </w:rPr>
        <w:tab/>
        <w:t xml:space="preserve"> </w:t>
      </w:r>
    </w:p>
    <w:p w14:paraId="3FA65D73" w14:textId="77777777" w:rsidR="0000369C" w:rsidRPr="00FB583E" w:rsidRDefault="0000369C" w:rsidP="00C5490F">
      <w:pPr>
        <w:pStyle w:val="afe"/>
        <w:numPr>
          <w:ilvl w:val="0"/>
          <w:numId w:val="84"/>
        </w:numPr>
        <w:rPr>
          <w:rFonts w:cs="Times New Roman"/>
          <w:szCs w:val="24"/>
        </w:rPr>
      </w:pPr>
      <w:r w:rsidRPr="00FB583E">
        <w:rPr>
          <w:rFonts w:cs="Times New Roman"/>
          <w:szCs w:val="24"/>
        </w:rPr>
        <w:t>Клинический анализ крови, морфологическое исследование мазка крови</w:t>
      </w:r>
    </w:p>
    <w:p w14:paraId="6C5BCCDB" w14:textId="77777777" w:rsidR="0000369C" w:rsidRPr="00FB583E" w:rsidRDefault="0000369C" w:rsidP="00C5490F">
      <w:pPr>
        <w:pStyle w:val="afe"/>
        <w:numPr>
          <w:ilvl w:val="0"/>
          <w:numId w:val="84"/>
        </w:numPr>
        <w:rPr>
          <w:rFonts w:cs="Times New Roman"/>
          <w:szCs w:val="24"/>
        </w:rPr>
      </w:pPr>
      <w:r w:rsidRPr="00FB583E">
        <w:rPr>
          <w:rFonts w:cs="Times New Roman"/>
          <w:szCs w:val="24"/>
        </w:rPr>
        <w:t>Общий анализ мочи</w:t>
      </w:r>
    </w:p>
    <w:p w14:paraId="18CEE3B9" w14:textId="77777777" w:rsidR="0000369C" w:rsidRPr="00FB583E" w:rsidRDefault="0000369C" w:rsidP="00C5490F">
      <w:pPr>
        <w:pStyle w:val="afe"/>
        <w:numPr>
          <w:ilvl w:val="0"/>
          <w:numId w:val="84"/>
        </w:numPr>
        <w:rPr>
          <w:rFonts w:cs="Times New Roman"/>
          <w:szCs w:val="24"/>
        </w:rPr>
      </w:pPr>
      <w:r w:rsidRPr="00FB583E">
        <w:rPr>
          <w:rFonts w:cs="Times New Roman"/>
          <w:szCs w:val="24"/>
        </w:rPr>
        <w:t>Биохимический анализ крови – общий белок, фракции белка, креатинин, мочевина, мочевая кислота, билирубин, фракции билирубина, глюкоза, электролиты, аланиаминотрансфераза, аспартатаминотрансфераза, лактатдегидрогеназа, щелочная фосфатаза, амилаза</w:t>
      </w:r>
    </w:p>
    <w:p w14:paraId="5402F4EA" w14:textId="77777777" w:rsidR="0000369C" w:rsidRPr="00FB583E" w:rsidRDefault="0000369C" w:rsidP="00C5490F">
      <w:pPr>
        <w:pStyle w:val="afe"/>
        <w:numPr>
          <w:ilvl w:val="0"/>
          <w:numId w:val="84"/>
        </w:numPr>
        <w:rPr>
          <w:rFonts w:cs="Times New Roman"/>
          <w:szCs w:val="24"/>
        </w:rPr>
      </w:pPr>
      <w:r w:rsidRPr="00FB583E">
        <w:rPr>
          <w:rFonts w:cs="Times New Roman"/>
          <w:szCs w:val="24"/>
        </w:rPr>
        <w:lastRenderedPageBreak/>
        <w:t>Оценка кислотно-щелочного равновесия (по показаниям)</w:t>
      </w:r>
    </w:p>
    <w:p w14:paraId="107AA481" w14:textId="77777777" w:rsidR="0000369C" w:rsidRPr="00FB583E" w:rsidRDefault="0000369C" w:rsidP="00C5490F">
      <w:pPr>
        <w:pStyle w:val="afe"/>
        <w:numPr>
          <w:ilvl w:val="0"/>
          <w:numId w:val="84"/>
        </w:numPr>
        <w:rPr>
          <w:rFonts w:cs="Times New Roman"/>
          <w:szCs w:val="24"/>
        </w:rPr>
      </w:pPr>
      <w:r w:rsidRPr="00FB583E">
        <w:rPr>
          <w:rFonts w:cs="Times New Roman"/>
          <w:szCs w:val="24"/>
        </w:rPr>
        <w:t>Коагулограмма – активированное частичное тромбопластиновое время (АЧТВ), тромбиновое время (ТВ), протромбин по Квику (международное нормализованное отношение - МНО), плазменная концентрация фибриногена, а также по показаниям: плазменная концентрация антитромбина III (АТ III), XIIa-зависимый фибринолиз, агрегация тромбоцитов, индуцированная АДФ, адреналином, ристомицином, коллагеном, арахидоновой кислотой, D-димер, протеин С, протеин S.</w:t>
      </w:r>
    </w:p>
    <w:p w14:paraId="4C05A721" w14:textId="77777777" w:rsidR="0000369C" w:rsidRPr="00FB583E" w:rsidRDefault="0000369C" w:rsidP="00C5490F">
      <w:pPr>
        <w:pStyle w:val="afe"/>
        <w:numPr>
          <w:ilvl w:val="0"/>
          <w:numId w:val="84"/>
        </w:numPr>
        <w:rPr>
          <w:rFonts w:cs="Times New Roman"/>
          <w:szCs w:val="24"/>
        </w:rPr>
      </w:pPr>
      <w:r w:rsidRPr="00FB583E">
        <w:rPr>
          <w:rFonts w:cs="Times New Roman"/>
          <w:szCs w:val="24"/>
        </w:rPr>
        <w:t>Определение маркеров тромбофилии (по показаниям)</w:t>
      </w:r>
    </w:p>
    <w:p w14:paraId="0FE974A8" w14:textId="77777777" w:rsidR="0000369C" w:rsidRPr="00FB583E" w:rsidRDefault="0000369C" w:rsidP="00C5490F">
      <w:pPr>
        <w:pStyle w:val="afe"/>
        <w:numPr>
          <w:ilvl w:val="0"/>
          <w:numId w:val="84"/>
        </w:numPr>
        <w:rPr>
          <w:rFonts w:cs="Times New Roman"/>
          <w:szCs w:val="24"/>
        </w:rPr>
      </w:pPr>
      <w:r w:rsidRPr="00FB583E">
        <w:rPr>
          <w:rFonts w:cs="Times New Roman"/>
          <w:szCs w:val="24"/>
        </w:rPr>
        <w:t>Иммунохимическое исследование крови и мочи, включая количество нормальных иммуноглобулинов, наличие моноклональной секреции, С-реактивный белок, бета-2-микроглобулин</w:t>
      </w:r>
    </w:p>
    <w:p w14:paraId="0A2D1871" w14:textId="77777777" w:rsidR="0000369C" w:rsidRPr="00FB583E" w:rsidRDefault="0000369C" w:rsidP="00C5490F">
      <w:pPr>
        <w:pStyle w:val="afe"/>
        <w:numPr>
          <w:ilvl w:val="0"/>
          <w:numId w:val="84"/>
        </w:numPr>
        <w:rPr>
          <w:rFonts w:cs="Times New Roman"/>
          <w:szCs w:val="24"/>
        </w:rPr>
      </w:pPr>
      <w:r w:rsidRPr="00FB583E">
        <w:rPr>
          <w:rFonts w:cs="Times New Roman"/>
          <w:szCs w:val="24"/>
        </w:rPr>
        <w:t>Определение группы крови и резус - фактора</w:t>
      </w:r>
    </w:p>
    <w:p w14:paraId="7F0F5E7F" w14:textId="77777777" w:rsidR="0000369C" w:rsidRPr="00FB583E" w:rsidRDefault="0000369C" w:rsidP="00C5490F">
      <w:pPr>
        <w:pStyle w:val="afe"/>
        <w:numPr>
          <w:ilvl w:val="0"/>
          <w:numId w:val="84"/>
        </w:numPr>
        <w:rPr>
          <w:rFonts w:cs="Times New Roman"/>
          <w:szCs w:val="24"/>
        </w:rPr>
      </w:pPr>
      <w:r w:rsidRPr="00FB583E">
        <w:rPr>
          <w:rFonts w:cs="Times New Roman"/>
          <w:szCs w:val="24"/>
        </w:rPr>
        <w:t>Исследование крови на вирусы гепатитов B и C, ВИЧ, сифилис</w:t>
      </w:r>
    </w:p>
    <w:p w14:paraId="0BA917DD" w14:textId="77777777" w:rsidR="0000369C" w:rsidRPr="00FB583E" w:rsidRDefault="0000369C" w:rsidP="00C5490F">
      <w:pPr>
        <w:pStyle w:val="afe"/>
        <w:numPr>
          <w:ilvl w:val="0"/>
          <w:numId w:val="84"/>
        </w:numPr>
        <w:rPr>
          <w:rFonts w:cs="Times New Roman"/>
          <w:szCs w:val="24"/>
        </w:rPr>
      </w:pPr>
      <w:r w:rsidRPr="00FB583E">
        <w:rPr>
          <w:rFonts w:cs="Times New Roman"/>
          <w:szCs w:val="24"/>
        </w:rPr>
        <w:t>Определение В-клеточной клональности в крови (по  показаниям)</w:t>
      </w:r>
    </w:p>
    <w:p w14:paraId="71053826" w14:textId="77777777" w:rsidR="0000369C" w:rsidRPr="00FB583E" w:rsidRDefault="0000369C" w:rsidP="00C5490F">
      <w:pPr>
        <w:pStyle w:val="afe"/>
        <w:numPr>
          <w:ilvl w:val="0"/>
          <w:numId w:val="84"/>
        </w:numPr>
        <w:rPr>
          <w:rFonts w:cs="Times New Roman"/>
          <w:szCs w:val="24"/>
        </w:rPr>
      </w:pPr>
      <w:r w:rsidRPr="00FB583E">
        <w:rPr>
          <w:rFonts w:cs="Times New Roman"/>
          <w:szCs w:val="24"/>
        </w:rPr>
        <w:t>Определение клиренса креатинина по формуле Кокрофта- Голта</w:t>
      </w:r>
    </w:p>
    <w:p w14:paraId="7047F2DA" w14:textId="77777777" w:rsidR="0000369C" w:rsidRPr="00FB583E" w:rsidRDefault="0000369C" w:rsidP="00C5490F">
      <w:pPr>
        <w:pStyle w:val="afe"/>
        <w:numPr>
          <w:ilvl w:val="0"/>
          <w:numId w:val="84"/>
        </w:numPr>
        <w:rPr>
          <w:rFonts w:cs="Times New Roman"/>
          <w:szCs w:val="24"/>
        </w:rPr>
      </w:pPr>
      <w:r w:rsidRPr="00FB583E">
        <w:rPr>
          <w:rFonts w:cs="Times New Roman"/>
          <w:szCs w:val="24"/>
        </w:rPr>
        <w:t>Исследование ликвора – цитологическое, белок, глюкоза, вирусологическое, микробиологическое, иммуноцитохимическое, иммунофенотипическое. Исследование ликвора проводится по показаниям на различных этапах диагностики, лечения и наблюдения (до, в период и после курсов полихимиотерапии) в соответствии с соответствующим протоколом диагностики и лечения.</w:t>
      </w:r>
    </w:p>
    <w:p w14:paraId="133C8883" w14:textId="77777777" w:rsidR="0000369C" w:rsidRPr="00FB583E" w:rsidRDefault="0000369C" w:rsidP="00C5490F">
      <w:pPr>
        <w:pStyle w:val="afe"/>
        <w:numPr>
          <w:ilvl w:val="0"/>
          <w:numId w:val="84"/>
        </w:numPr>
        <w:rPr>
          <w:rFonts w:cs="Times New Roman"/>
          <w:szCs w:val="24"/>
        </w:rPr>
      </w:pPr>
      <w:r w:rsidRPr="00FB583E">
        <w:rPr>
          <w:rFonts w:cs="Times New Roman"/>
          <w:szCs w:val="24"/>
        </w:rPr>
        <w:t>Исследование материала биоптата опухоли ЦНС – цитологическое, гистологическое, иммуногистохимическое с необходимым набором иммуногистохимических маркеров (в том числе, CD20, CD45, CD79, MuM1, BCL2, BCL6, CD10, Ki-67), цитогенетическое исследование (стандартное и FISH, в том числе с маркерами BCL2, BCL6, c-MYC, TP53); молекулярно-биологическое исследование, в том числе, на мутации генов TP53, MYD88</w:t>
      </w:r>
    </w:p>
    <w:p w14:paraId="144DD20C"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Исследования костного мозга цитологическое, гистологическое и молекулярно-биологическое (В-клеточная клональность, другие маркеры по показаниям) </w:t>
      </w:r>
    </w:p>
    <w:p w14:paraId="087FE2A4" w14:textId="77777777" w:rsidR="0000369C" w:rsidRPr="00FB583E" w:rsidRDefault="0000369C" w:rsidP="0000369C">
      <w:pPr>
        <w:ind w:firstLine="708"/>
        <w:rPr>
          <w:rFonts w:cs="Times New Roman"/>
          <w:b/>
          <w:szCs w:val="24"/>
        </w:rPr>
      </w:pPr>
      <w:r w:rsidRPr="00FB583E">
        <w:rPr>
          <w:rFonts w:cs="Times New Roman"/>
          <w:b/>
          <w:szCs w:val="24"/>
        </w:rPr>
        <w:t>Инструментальная диагностика:</w:t>
      </w:r>
    </w:p>
    <w:p w14:paraId="2D265D9C" w14:textId="77777777" w:rsidR="0000369C" w:rsidRPr="00FB583E" w:rsidRDefault="0000369C" w:rsidP="00C5490F">
      <w:pPr>
        <w:pStyle w:val="afe"/>
        <w:numPr>
          <w:ilvl w:val="0"/>
          <w:numId w:val="84"/>
        </w:numPr>
        <w:rPr>
          <w:rFonts w:cs="Times New Roman"/>
          <w:szCs w:val="24"/>
        </w:rPr>
      </w:pPr>
      <w:r w:rsidRPr="00FB583E">
        <w:rPr>
          <w:rFonts w:cs="Times New Roman"/>
          <w:szCs w:val="24"/>
        </w:rPr>
        <w:t>КТ с внутривенным контрастированием или МРТ головного мозга с внутривенным контрастированием</w:t>
      </w:r>
    </w:p>
    <w:p w14:paraId="33E1EDB5" w14:textId="77777777" w:rsidR="0000369C" w:rsidRPr="00FB583E" w:rsidRDefault="0000369C" w:rsidP="00C5490F">
      <w:pPr>
        <w:pStyle w:val="afe"/>
        <w:numPr>
          <w:ilvl w:val="0"/>
          <w:numId w:val="84"/>
        </w:numPr>
        <w:rPr>
          <w:rFonts w:cs="Times New Roman"/>
          <w:szCs w:val="24"/>
        </w:rPr>
      </w:pPr>
      <w:r w:rsidRPr="00FB583E">
        <w:rPr>
          <w:rFonts w:cs="Times New Roman"/>
          <w:szCs w:val="24"/>
        </w:rPr>
        <w:lastRenderedPageBreak/>
        <w:t>КТ/МРТ – ангиография (по показаниям)</w:t>
      </w:r>
    </w:p>
    <w:p w14:paraId="7D690FE4" w14:textId="77777777" w:rsidR="0000369C" w:rsidRPr="00FB583E" w:rsidRDefault="0000369C" w:rsidP="00C5490F">
      <w:pPr>
        <w:pStyle w:val="afe"/>
        <w:numPr>
          <w:ilvl w:val="0"/>
          <w:numId w:val="84"/>
        </w:numPr>
        <w:rPr>
          <w:rFonts w:cs="Times New Roman"/>
          <w:szCs w:val="24"/>
        </w:rPr>
      </w:pPr>
      <w:r w:rsidRPr="00FB583E">
        <w:rPr>
          <w:rFonts w:cs="Times New Roman"/>
          <w:szCs w:val="24"/>
        </w:rPr>
        <w:t>КТ брюшной полости, грудной клетки, малого таза</w:t>
      </w:r>
    </w:p>
    <w:p w14:paraId="4293A78C" w14:textId="77777777" w:rsidR="0000369C" w:rsidRPr="00FB583E" w:rsidRDefault="0000369C" w:rsidP="00C5490F">
      <w:pPr>
        <w:pStyle w:val="afe"/>
        <w:numPr>
          <w:ilvl w:val="0"/>
          <w:numId w:val="84"/>
        </w:numPr>
        <w:rPr>
          <w:rFonts w:cs="Times New Roman"/>
          <w:szCs w:val="24"/>
        </w:rPr>
      </w:pPr>
      <w:r w:rsidRPr="00FB583E">
        <w:rPr>
          <w:rFonts w:cs="Times New Roman"/>
          <w:szCs w:val="24"/>
        </w:rPr>
        <w:t>УЗИ брюшной полости (по показаниям)</w:t>
      </w:r>
    </w:p>
    <w:p w14:paraId="358F7A4E" w14:textId="77777777" w:rsidR="0000369C" w:rsidRPr="00FB583E" w:rsidRDefault="0000369C" w:rsidP="00C5490F">
      <w:pPr>
        <w:pStyle w:val="afe"/>
        <w:numPr>
          <w:ilvl w:val="0"/>
          <w:numId w:val="84"/>
        </w:numPr>
        <w:rPr>
          <w:rFonts w:cs="Times New Roman"/>
          <w:szCs w:val="24"/>
        </w:rPr>
      </w:pPr>
      <w:r w:rsidRPr="00FB583E">
        <w:rPr>
          <w:rFonts w:cs="Times New Roman"/>
          <w:szCs w:val="24"/>
        </w:rPr>
        <w:t>Электроэнцефалография (ЭЭГ) с функциональными пробами для определения функционального состояния головного мозга и исключения эпиактивности</w:t>
      </w:r>
    </w:p>
    <w:p w14:paraId="5C53D102"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ВП – вызванные потенциалы различной модальности (по показаниям): </w:t>
      </w:r>
    </w:p>
    <w:p w14:paraId="16862F4B" w14:textId="77777777" w:rsidR="0000369C" w:rsidRPr="00FB583E" w:rsidRDefault="0000369C" w:rsidP="00C5490F">
      <w:pPr>
        <w:pStyle w:val="afe"/>
        <w:numPr>
          <w:ilvl w:val="1"/>
          <w:numId w:val="84"/>
        </w:numPr>
        <w:rPr>
          <w:rFonts w:cs="Times New Roman"/>
          <w:szCs w:val="24"/>
        </w:rPr>
      </w:pPr>
      <w:r w:rsidRPr="00FB583E">
        <w:rPr>
          <w:rFonts w:cs="Times New Roman"/>
          <w:szCs w:val="24"/>
        </w:rPr>
        <w:t>ЗВП – зрительные вызванные потенциалы,</w:t>
      </w:r>
    </w:p>
    <w:p w14:paraId="34D10380" w14:textId="77777777" w:rsidR="0000369C" w:rsidRPr="00FB583E" w:rsidRDefault="0000369C" w:rsidP="00C5490F">
      <w:pPr>
        <w:pStyle w:val="afe"/>
        <w:numPr>
          <w:ilvl w:val="1"/>
          <w:numId w:val="84"/>
        </w:numPr>
        <w:rPr>
          <w:rFonts w:cs="Times New Roman"/>
          <w:szCs w:val="24"/>
        </w:rPr>
      </w:pPr>
      <w:r w:rsidRPr="00FB583E">
        <w:rPr>
          <w:rFonts w:cs="Times New Roman"/>
          <w:szCs w:val="24"/>
        </w:rPr>
        <w:t>КВП – когнитивные вызванные потенциалы,</w:t>
      </w:r>
    </w:p>
    <w:p w14:paraId="51800244" w14:textId="77777777" w:rsidR="0000369C" w:rsidRPr="00FB583E" w:rsidRDefault="0000369C" w:rsidP="00C5490F">
      <w:pPr>
        <w:pStyle w:val="afe"/>
        <w:numPr>
          <w:ilvl w:val="1"/>
          <w:numId w:val="84"/>
        </w:numPr>
        <w:rPr>
          <w:rFonts w:cs="Times New Roman"/>
          <w:szCs w:val="24"/>
        </w:rPr>
      </w:pPr>
      <w:r w:rsidRPr="00FB583E">
        <w:rPr>
          <w:rFonts w:cs="Times New Roman"/>
          <w:szCs w:val="24"/>
        </w:rPr>
        <w:t>КАСВП – коротколатентные акустические стволовые вызванные потенциалы</w:t>
      </w:r>
    </w:p>
    <w:p w14:paraId="36E3D075" w14:textId="77777777" w:rsidR="0000369C" w:rsidRPr="00FB583E" w:rsidRDefault="0000369C" w:rsidP="00C5490F">
      <w:pPr>
        <w:pStyle w:val="afe"/>
        <w:numPr>
          <w:ilvl w:val="1"/>
          <w:numId w:val="84"/>
        </w:numPr>
        <w:rPr>
          <w:rFonts w:cs="Times New Roman"/>
          <w:szCs w:val="24"/>
        </w:rPr>
      </w:pPr>
      <w:r w:rsidRPr="00FB583E">
        <w:rPr>
          <w:rFonts w:cs="Times New Roman"/>
          <w:szCs w:val="24"/>
        </w:rPr>
        <w:t>ССВП – соматосенсорные вызванные потенциалы</w:t>
      </w:r>
    </w:p>
    <w:p w14:paraId="5CC0E59B" w14:textId="77777777" w:rsidR="0000369C" w:rsidRPr="00FB583E" w:rsidRDefault="0000369C" w:rsidP="00C5490F">
      <w:pPr>
        <w:pStyle w:val="afe"/>
        <w:numPr>
          <w:ilvl w:val="0"/>
          <w:numId w:val="84"/>
        </w:numPr>
        <w:rPr>
          <w:rFonts w:cs="Times New Roman"/>
          <w:szCs w:val="24"/>
        </w:rPr>
      </w:pPr>
      <w:r w:rsidRPr="00FB583E">
        <w:rPr>
          <w:rFonts w:cs="Times New Roman"/>
          <w:szCs w:val="24"/>
        </w:rPr>
        <w:t>Транскраниальная магнитная стимуляция (ТКМС) (по показаниям)</w:t>
      </w:r>
    </w:p>
    <w:p w14:paraId="6F3541A0" w14:textId="77777777" w:rsidR="0000369C" w:rsidRPr="00FB583E" w:rsidRDefault="0000369C" w:rsidP="00C5490F">
      <w:pPr>
        <w:pStyle w:val="afe"/>
        <w:numPr>
          <w:ilvl w:val="0"/>
          <w:numId w:val="84"/>
        </w:numPr>
        <w:rPr>
          <w:rFonts w:cs="Times New Roman"/>
          <w:szCs w:val="24"/>
        </w:rPr>
      </w:pPr>
      <w:r w:rsidRPr="00FB583E">
        <w:rPr>
          <w:rFonts w:cs="Times New Roman"/>
          <w:szCs w:val="24"/>
        </w:rPr>
        <w:t>ПЭТ-КТ (по показаниям)</w:t>
      </w:r>
    </w:p>
    <w:p w14:paraId="69237A8D" w14:textId="77777777" w:rsidR="0000369C" w:rsidRPr="00FB583E" w:rsidRDefault="0000369C" w:rsidP="00C5490F">
      <w:pPr>
        <w:pStyle w:val="afe"/>
        <w:numPr>
          <w:ilvl w:val="0"/>
          <w:numId w:val="84"/>
        </w:numPr>
        <w:rPr>
          <w:rFonts w:cs="Times New Roman"/>
          <w:szCs w:val="24"/>
        </w:rPr>
      </w:pPr>
      <w:r w:rsidRPr="00FB583E">
        <w:rPr>
          <w:rFonts w:cs="Times New Roman"/>
          <w:szCs w:val="24"/>
        </w:rPr>
        <w:t>Ультразвуковая допплерография (УЗДГ) - брахиоцефальных артерий и вен (по показаниям)</w:t>
      </w:r>
    </w:p>
    <w:p w14:paraId="112174ED" w14:textId="77777777" w:rsidR="0000369C" w:rsidRPr="00FB583E" w:rsidRDefault="0000369C" w:rsidP="00C5490F">
      <w:pPr>
        <w:pStyle w:val="afe"/>
        <w:numPr>
          <w:ilvl w:val="0"/>
          <w:numId w:val="84"/>
        </w:numPr>
        <w:rPr>
          <w:rFonts w:cs="Times New Roman"/>
          <w:szCs w:val="24"/>
        </w:rPr>
      </w:pPr>
      <w:r w:rsidRPr="00FB583E">
        <w:rPr>
          <w:rFonts w:cs="Times New Roman"/>
          <w:szCs w:val="24"/>
        </w:rPr>
        <w:t>ФГДС, ФКС (биопсия по показаниям)</w:t>
      </w:r>
    </w:p>
    <w:p w14:paraId="4B8F6BAF" w14:textId="77777777" w:rsidR="0000369C" w:rsidRPr="00FB583E" w:rsidRDefault="0000369C" w:rsidP="00C5490F">
      <w:pPr>
        <w:pStyle w:val="afe"/>
        <w:numPr>
          <w:ilvl w:val="0"/>
          <w:numId w:val="84"/>
        </w:numPr>
        <w:rPr>
          <w:rFonts w:cs="Times New Roman"/>
          <w:szCs w:val="24"/>
        </w:rPr>
      </w:pPr>
      <w:r w:rsidRPr="00FB583E">
        <w:rPr>
          <w:rFonts w:cs="Times New Roman"/>
          <w:szCs w:val="24"/>
        </w:rPr>
        <w:t>ЭКГ</w:t>
      </w:r>
    </w:p>
    <w:p w14:paraId="5822EC45" w14:textId="77777777" w:rsidR="0000369C" w:rsidRPr="00FB583E" w:rsidRDefault="0000369C" w:rsidP="00C5490F">
      <w:pPr>
        <w:pStyle w:val="afe"/>
        <w:numPr>
          <w:ilvl w:val="0"/>
          <w:numId w:val="84"/>
        </w:numPr>
        <w:rPr>
          <w:rFonts w:cs="Times New Roman"/>
          <w:szCs w:val="24"/>
        </w:rPr>
      </w:pPr>
      <w:r w:rsidRPr="00FB583E">
        <w:rPr>
          <w:rFonts w:cs="Times New Roman"/>
          <w:szCs w:val="24"/>
        </w:rPr>
        <w:t>Эхо-КГ</w:t>
      </w:r>
    </w:p>
    <w:p w14:paraId="4ECEE8C9" w14:textId="77777777" w:rsidR="0000369C" w:rsidRPr="00FB583E" w:rsidRDefault="0000369C" w:rsidP="0000369C">
      <w:pPr>
        <w:ind w:firstLine="708"/>
        <w:rPr>
          <w:rFonts w:cs="Times New Roman"/>
          <w:b/>
          <w:szCs w:val="24"/>
        </w:rPr>
      </w:pPr>
      <w:r w:rsidRPr="00FB583E">
        <w:rPr>
          <w:rFonts w:cs="Times New Roman"/>
          <w:b/>
          <w:szCs w:val="24"/>
        </w:rPr>
        <w:t>Консультация специалистов:</w:t>
      </w:r>
    </w:p>
    <w:p w14:paraId="72C53910" w14:textId="77777777" w:rsidR="0000369C" w:rsidRPr="00FB583E" w:rsidRDefault="0000369C" w:rsidP="00C5490F">
      <w:pPr>
        <w:pStyle w:val="afe"/>
        <w:numPr>
          <w:ilvl w:val="0"/>
          <w:numId w:val="84"/>
        </w:numPr>
        <w:rPr>
          <w:rFonts w:cs="Times New Roman"/>
          <w:szCs w:val="24"/>
        </w:rPr>
      </w:pPr>
      <w:r w:rsidRPr="00FB583E">
        <w:rPr>
          <w:rFonts w:cs="Times New Roman"/>
          <w:szCs w:val="24"/>
        </w:rPr>
        <w:t>Невролог – для оценки неврологического статуса</w:t>
      </w:r>
    </w:p>
    <w:p w14:paraId="132B170C" w14:textId="77777777" w:rsidR="0000369C" w:rsidRPr="00FB583E" w:rsidRDefault="0000369C" w:rsidP="00C5490F">
      <w:pPr>
        <w:pStyle w:val="afe"/>
        <w:numPr>
          <w:ilvl w:val="0"/>
          <w:numId w:val="84"/>
        </w:numPr>
        <w:rPr>
          <w:rFonts w:cs="Times New Roman"/>
          <w:szCs w:val="24"/>
        </w:rPr>
      </w:pPr>
      <w:r w:rsidRPr="00FB583E">
        <w:rPr>
          <w:rFonts w:cs="Times New Roman"/>
          <w:szCs w:val="24"/>
        </w:rPr>
        <w:t>Нейрохирург – для стереотаксической биопсии (СТБ) опухоли головного мозга или биопсия образования спинного мозга для верификации диагноза.</w:t>
      </w:r>
    </w:p>
    <w:p w14:paraId="771FE120" w14:textId="77777777" w:rsidR="0000369C" w:rsidRPr="00FB583E" w:rsidRDefault="0000369C" w:rsidP="00C5490F">
      <w:pPr>
        <w:pStyle w:val="afe"/>
        <w:numPr>
          <w:ilvl w:val="0"/>
          <w:numId w:val="84"/>
        </w:numPr>
        <w:rPr>
          <w:rFonts w:cs="Times New Roman"/>
          <w:szCs w:val="24"/>
        </w:rPr>
      </w:pPr>
      <w:r w:rsidRPr="00FB583E">
        <w:rPr>
          <w:rFonts w:cs="Times New Roman"/>
          <w:szCs w:val="24"/>
        </w:rPr>
        <w:t>Офтальмолог – для оценки состояния глазного дна, определения степени внутричерепной гипертензии</w:t>
      </w:r>
    </w:p>
    <w:p w14:paraId="1D0C8A8E" w14:textId="77777777" w:rsidR="0000369C" w:rsidRPr="00FB583E" w:rsidRDefault="0000369C" w:rsidP="00C5490F">
      <w:pPr>
        <w:pStyle w:val="afe"/>
        <w:numPr>
          <w:ilvl w:val="0"/>
          <w:numId w:val="84"/>
        </w:numPr>
        <w:rPr>
          <w:rFonts w:cs="Times New Roman"/>
          <w:szCs w:val="24"/>
        </w:rPr>
      </w:pPr>
      <w:r w:rsidRPr="00FB583E">
        <w:rPr>
          <w:rFonts w:cs="Times New Roman"/>
          <w:szCs w:val="24"/>
        </w:rPr>
        <w:t>По показаниям привлекаются другие специалисты:</w:t>
      </w:r>
    </w:p>
    <w:p w14:paraId="052C1BDE" w14:textId="77777777" w:rsidR="0000369C" w:rsidRPr="00FB583E" w:rsidRDefault="0000369C" w:rsidP="00C5490F">
      <w:pPr>
        <w:pStyle w:val="afe"/>
        <w:numPr>
          <w:ilvl w:val="0"/>
          <w:numId w:val="84"/>
        </w:numPr>
        <w:rPr>
          <w:rFonts w:cs="Times New Roman"/>
          <w:szCs w:val="24"/>
        </w:rPr>
      </w:pPr>
      <w:r w:rsidRPr="00FB583E">
        <w:rPr>
          <w:rFonts w:cs="Times New Roman"/>
          <w:szCs w:val="24"/>
        </w:rPr>
        <w:t>радиолог</w:t>
      </w:r>
    </w:p>
    <w:p w14:paraId="0835C28F" w14:textId="77777777" w:rsidR="0000369C" w:rsidRPr="00FB583E" w:rsidRDefault="0000369C" w:rsidP="00C5490F">
      <w:pPr>
        <w:pStyle w:val="afe"/>
        <w:numPr>
          <w:ilvl w:val="0"/>
          <w:numId w:val="84"/>
        </w:numPr>
        <w:rPr>
          <w:rFonts w:cs="Times New Roman"/>
          <w:szCs w:val="24"/>
        </w:rPr>
      </w:pPr>
      <w:r w:rsidRPr="00FB583E">
        <w:rPr>
          <w:rFonts w:cs="Times New Roman"/>
          <w:szCs w:val="24"/>
        </w:rPr>
        <w:t>психиатр</w:t>
      </w:r>
    </w:p>
    <w:p w14:paraId="11759030" w14:textId="77777777" w:rsidR="0000369C" w:rsidRPr="00FB583E" w:rsidRDefault="0000369C" w:rsidP="00C5490F">
      <w:pPr>
        <w:pStyle w:val="afe"/>
        <w:numPr>
          <w:ilvl w:val="0"/>
          <w:numId w:val="84"/>
        </w:numPr>
        <w:rPr>
          <w:rFonts w:cs="Times New Roman"/>
          <w:szCs w:val="24"/>
        </w:rPr>
      </w:pPr>
      <w:r w:rsidRPr="00FB583E">
        <w:rPr>
          <w:rFonts w:cs="Times New Roman"/>
          <w:szCs w:val="24"/>
        </w:rPr>
        <w:t>психолог</w:t>
      </w:r>
    </w:p>
    <w:p w14:paraId="662949AB" w14:textId="77777777" w:rsidR="0000369C" w:rsidRPr="00FB583E" w:rsidRDefault="0000369C" w:rsidP="00C5490F">
      <w:pPr>
        <w:pStyle w:val="afe"/>
        <w:numPr>
          <w:ilvl w:val="0"/>
          <w:numId w:val="84"/>
        </w:numPr>
        <w:rPr>
          <w:rFonts w:cs="Times New Roman"/>
          <w:szCs w:val="24"/>
        </w:rPr>
      </w:pPr>
      <w:r w:rsidRPr="00FB583E">
        <w:rPr>
          <w:rFonts w:cs="Times New Roman"/>
          <w:szCs w:val="24"/>
        </w:rPr>
        <w:t>кинезиотерапевт</w:t>
      </w:r>
    </w:p>
    <w:p w14:paraId="58FC02DB" w14:textId="77777777" w:rsidR="0000369C" w:rsidRPr="00FB583E" w:rsidRDefault="0000369C" w:rsidP="0000369C">
      <w:pPr>
        <w:ind w:firstLine="708"/>
        <w:rPr>
          <w:rFonts w:cs="Times New Roman"/>
          <w:b/>
          <w:szCs w:val="24"/>
        </w:rPr>
      </w:pPr>
      <w:r w:rsidRPr="00FB583E">
        <w:rPr>
          <w:rFonts w:cs="Times New Roman"/>
          <w:b/>
          <w:szCs w:val="24"/>
        </w:rPr>
        <w:t>Лекарственная терапия неврологических осложнений специфического поражения ЦНС при гематологических заболеваниях.</w:t>
      </w:r>
    </w:p>
    <w:p w14:paraId="57066E50" w14:textId="77777777" w:rsidR="0000369C" w:rsidRPr="00FB583E" w:rsidRDefault="0000369C" w:rsidP="0000369C">
      <w:pPr>
        <w:ind w:firstLine="708"/>
        <w:rPr>
          <w:rFonts w:cs="Times New Roman"/>
          <w:szCs w:val="24"/>
        </w:rPr>
      </w:pPr>
      <w:r w:rsidRPr="00FB583E">
        <w:rPr>
          <w:rFonts w:cs="Times New Roman"/>
          <w:szCs w:val="24"/>
        </w:rPr>
        <w:lastRenderedPageBreak/>
        <w:t>Основным методом лечения вовлечения ЦНС при онкогематологических заболеваниях (лейкозы, лимфомы) является химиотерапия. Дополнительно могут применяться хирургические и радиологические (лучевая терапия) методы лечения.</w:t>
      </w:r>
    </w:p>
    <w:p w14:paraId="2CC2DC57" w14:textId="77777777" w:rsidR="0000369C" w:rsidRPr="00FB583E" w:rsidRDefault="0000369C" w:rsidP="0000369C">
      <w:pPr>
        <w:ind w:firstLine="708"/>
        <w:rPr>
          <w:rFonts w:cs="Times New Roman"/>
          <w:szCs w:val="24"/>
        </w:rPr>
      </w:pPr>
      <w:r w:rsidRPr="00FB583E">
        <w:rPr>
          <w:rFonts w:cs="Times New Roman"/>
          <w:szCs w:val="24"/>
        </w:rPr>
        <w:t>Очаговое специфическое поражение головного мозга при онкогематологических заболеваниях сопровождается перифокальным отеком или повышением внутричерепного давления и часто вызывает эпилептические приступы.  В связи с этим могут применяться следующие основные группы лекарственных препаратов:</w:t>
      </w:r>
    </w:p>
    <w:p w14:paraId="4A8BB0F3"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Противоотечные препараты – маннитол в/в, лазикс в/в, ацетазоламид (диакарб) в таб. </w:t>
      </w:r>
    </w:p>
    <w:p w14:paraId="6C102EB8" w14:textId="77777777" w:rsidR="0000369C" w:rsidRPr="00FB583E" w:rsidRDefault="0000369C" w:rsidP="00C5490F">
      <w:pPr>
        <w:pStyle w:val="afe"/>
        <w:numPr>
          <w:ilvl w:val="0"/>
          <w:numId w:val="84"/>
        </w:numPr>
        <w:rPr>
          <w:rFonts w:cs="Times New Roman"/>
          <w:szCs w:val="24"/>
        </w:rPr>
      </w:pPr>
      <w:r w:rsidRPr="00FB583E">
        <w:rPr>
          <w:rFonts w:cs="Times New Roman"/>
          <w:szCs w:val="24"/>
        </w:rPr>
        <w:t>Противорвотная терапия – ондансетрон в/в</w:t>
      </w:r>
    </w:p>
    <w:p w14:paraId="43DD3DE2" w14:textId="77777777" w:rsidR="0000369C" w:rsidRPr="00FB583E" w:rsidRDefault="0000369C" w:rsidP="00C5490F">
      <w:pPr>
        <w:pStyle w:val="afe"/>
        <w:numPr>
          <w:ilvl w:val="0"/>
          <w:numId w:val="84"/>
        </w:numPr>
        <w:rPr>
          <w:rFonts w:cs="Times New Roman"/>
          <w:szCs w:val="24"/>
        </w:rPr>
      </w:pPr>
      <w:r w:rsidRPr="00FB583E">
        <w:rPr>
          <w:rFonts w:cs="Times New Roman"/>
          <w:szCs w:val="24"/>
        </w:rPr>
        <w:t>Противоэпилептические, противосудорожные препараты – леветирацетамв/в, табл; бензобарбитал табл; конвулекс в/в, таб; прегабалин капс; габапентин таб, клоназепам таб; фенобарбитал таб, окскарбазепин таб, ламотриджил таб, диазепам в/в, таб; карбамазепин таб; фенитоин таб;</w:t>
      </w:r>
    </w:p>
    <w:p w14:paraId="199BD674" w14:textId="77777777" w:rsidR="0000369C" w:rsidRPr="00FB583E" w:rsidRDefault="0000369C" w:rsidP="00C5490F">
      <w:pPr>
        <w:pStyle w:val="afe"/>
        <w:numPr>
          <w:ilvl w:val="0"/>
          <w:numId w:val="84"/>
        </w:numPr>
        <w:rPr>
          <w:rFonts w:cs="Times New Roman"/>
          <w:szCs w:val="24"/>
        </w:rPr>
      </w:pPr>
      <w:r w:rsidRPr="00FB583E">
        <w:rPr>
          <w:rFonts w:cs="Times New Roman"/>
          <w:szCs w:val="24"/>
        </w:rPr>
        <w:t>Нейропротекторная терапия аминофенилмаслянная кислота – фенибут таб</w:t>
      </w:r>
    </w:p>
    <w:p w14:paraId="0A7EE155" w14:textId="77777777" w:rsidR="0000369C" w:rsidRPr="00FB583E" w:rsidRDefault="0000369C" w:rsidP="00C5490F">
      <w:pPr>
        <w:pStyle w:val="afe"/>
        <w:numPr>
          <w:ilvl w:val="0"/>
          <w:numId w:val="84"/>
        </w:numPr>
        <w:rPr>
          <w:rFonts w:cs="Times New Roman"/>
          <w:szCs w:val="24"/>
        </w:rPr>
      </w:pPr>
      <w:r w:rsidRPr="00FB583E">
        <w:rPr>
          <w:rFonts w:cs="Times New Roman"/>
          <w:szCs w:val="24"/>
        </w:rPr>
        <w:t>Дофаминэргические препараты: ПК-мерц в/в, таб; наком таб; мирапекс таб; акинетон таб.</w:t>
      </w:r>
    </w:p>
    <w:p w14:paraId="40972E67" w14:textId="77777777" w:rsidR="0000369C" w:rsidRPr="00FB583E" w:rsidRDefault="0000369C" w:rsidP="00C5490F">
      <w:pPr>
        <w:pStyle w:val="afe"/>
        <w:numPr>
          <w:ilvl w:val="0"/>
          <w:numId w:val="84"/>
        </w:numPr>
        <w:rPr>
          <w:rFonts w:cs="Times New Roman"/>
          <w:szCs w:val="24"/>
        </w:rPr>
      </w:pPr>
      <w:r w:rsidRPr="00FB583E">
        <w:rPr>
          <w:rFonts w:cs="Times New Roman"/>
          <w:szCs w:val="24"/>
        </w:rPr>
        <w:t>Витаминотерапия</w:t>
      </w:r>
      <w:r>
        <w:rPr>
          <w:rFonts w:cs="Times New Roman"/>
          <w:szCs w:val="24"/>
        </w:rPr>
        <w:t xml:space="preserve"> –</w:t>
      </w:r>
      <w:r w:rsidRPr="00FB583E">
        <w:rPr>
          <w:rFonts w:cs="Times New Roman"/>
          <w:szCs w:val="24"/>
        </w:rPr>
        <w:t xml:space="preserve"> церневит в/в, витамины группы В таб.</w:t>
      </w:r>
    </w:p>
    <w:p w14:paraId="02DC0BED" w14:textId="77777777" w:rsidR="0000369C" w:rsidRPr="00FB583E" w:rsidRDefault="0000369C" w:rsidP="00C5490F">
      <w:pPr>
        <w:pStyle w:val="afe"/>
        <w:numPr>
          <w:ilvl w:val="0"/>
          <w:numId w:val="84"/>
        </w:numPr>
        <w:rPr>
          <w:rFonts w:cs="Times New Roman"/>
          <w:szCs w:val="24"/>
        </w:rPr>
      </w:pPr>
      <w:r w:rsidRPr="00FB583E">
        <w:rPr>
          <w:rFonts w:cs="Times New Roman"/>
          <w:szCs w:val="24"/>
        </w:rPr>
        <w:t>Антиоксиданты –</w:t>
      </w:r>
      <w:r>
        <w:rPr>
          <w:rFonts w:cs="Times New Roman"/>
          <w:szCs w:val="24"/>
        </w:rPr>
        <w:t xml:space="preserve"> </w:t>
      </w:r>
      <w:r w:rsidRPr="00FB583E">
        <w:rPr>
          <w:rFonts w:cs="Times New Roman"/>
          <w:szCs w:val="24"/>
        </w:rPr>
        <w:t xml:space="preserve">альфа-липоевая кислота в/в, капс. </w:t>
      </w:r>
    </w:p>
    <w:p w14:paraId="4EC222CB"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Антидепрессанты </w:t>
      </w:r>
      <w:r>
        <w:rPr>
          <w:rFonts w:cs="Times New Roman"/>
          <w:szCs w:val="24"/>
        </w:rPr>
        <w:t>–</w:t>
      </w:r>
      <w:r w:rsidRPr="00FB583E">
        <w:rPr>
          <w:rFonts w:cs="Times New Roman"/>
          <w:szCs w:val="24"/>
        </w:rPr>
        <w:t xml:space="preserve"> по назначению психиатра</w:t>
      </w:r>
    </w:p>
    <w:p w14:paraId="08BD9939" w14:textId="77777777" w:rsidR="0000369C" w:rsidRPr="00FB583E" w:rsidRDefault="0000369C" w:rsidP="0000369C">
      <w:pPr>
        <w:ind w:firstLine="360"/>
        <w:rPr>
          <w:rFonts w:cs="Times New Roman"/>
          <w:szCs w:val="24"/>
        </w:rPr>
      </w:pPr>
    </w:p>
    <w:p w14:paraId="6CABD128" w14:textId="77777777" w:rsidR="0000369C" w:rsidRPr="00FB583E" w:rsidRDefault="0000369C" w:rsidP="0000369C">
      <w:pPr>
        <w:pStyle w:val="afd"/>
        <w:spacing w:beforeAutospacing="0" w:afterAutospacing="0" w:line="360" w:lineRule="auto"/>
        <w:rPr>
          <w:i/>
          <w:u w:val="single"/>
        </w:rPr>
      </w:pPr>
      <w:r w:rsidRPr="00FB583E">
        <w:rPr>
          <w:i/>
          <w:u w:val="single"/>
        </w:rPr>
        <w:t>Острые нарушения мозгового кровообращения по ишемическому типу при гематологических заболеваниях.</w:t>
      </w:r>
    </w:p>
    <w:p w14:paraId="1683E73E" w14:textId="77777777" w:rsidR="0000369C" w:rsidRPr="00FB583E" w:rsidRDefault="0000369C" w:rsidP="0000369C">
      <w:pPr>
        <w:pStyle w:val="afd"/>
        <w:spacing w:beforeAutospacing="0" w:afterAutospacing="0" w:line="360" w:lineRule="auto"/>
        <w:ind w:firstLine="709"/>
        <w:rPr>
          <w:color w:val="000000"/>
        </w:rPr>
      </w:pPr>
      <w:r w:rsidRPr="00FB583E">
        <w:rPr>
          <w:color w:val="000000"/>
        </w:rPr>
        <w:t>Примерно в 10% случаев при гематологических заболеваниях отмечается нарушение мозгового кровообращения (ОНМК) по ишемическому типу. К заболеваниям, при которых наиболее часто возникают тромбозы, относятся миелопролиферативные заболевания, миеломная болезнь, лимфопролиферативные заболевания, тромботическая микроангиопатия, в том числе атипичный гемолитико-уремический синдром, тромботическая тромбоцитопеническая пурпура. Причинами тромбозов мозговых сосудов у пациентов с гематологическими заболеваниями могут быть:</w:t>
      </w:r>
    </w:p>
    <w:p w14:paraId="5D4AE4CD" w14:textId="77777777" w:rsidR="0000369C" w:rsidRPr="00FB583E" w:rsidRDefault="0000369C" w:rsidP="00C5490F">
      <w:pPr>
        <w:pStyle w:val="afe"/>
        <w:numPr>
          <w:ilvl w:val="0"/>
          <w:numId w:val="84"/>
        </w:numPr>
        <w:rPr>
          <w:rFonts w:cs="Times New Roman"/>
          <w:szCs w:val="24"/>
        </w:rPr>
      </w:pPr>
      <w:r w:rsidRPr="00FB583E">
        <w:rPr>
          <w:rFonts w:cs="Times New Roman"/>
          <w:szCs w:val="24"/>
        </w:rPr>
        <w:t>механические факторы (сдавление опухолью кровеносного сосуда, наличие центрального или периферического венозных катетеров, нарушение целостности эндотелия некоторыми химиопрепаратами и др.)</w:t>
      </w:r>
    </w:p>
    <w:p w14:paraId="1D387DEB" w14:textId="77777777" w:rsidR="0000369C" w:rsidRPr="00FB583E" w:rsidRDefault="0000369C" w:rsidP="00C5490F">
      <w:pPr>
        <w:pStyle w:val="afe"/>
        <w:numPr>
          <w:ilvl w:val="0"/>
          <w:numId w:val="84"/>
        </w:numPr>
        <w:rPr>
          <w:rFonts w:cs="Times New Roman"/>
          <w:szCs w:val="24"/>
        </w:rPr>
      </w:pPr>
      <w:r w:rsidRPr="00FB583E">
        <w:rPr>
          <w:rFonts w:cs="Times New Roman"/>
          <w:szCs w:val="24"/>
        </w:rPr>
        <w:lastRenderedPageBreak/>
        <w:t>коагулогические (повышение или снижение активности факторов свертывания крови, повышение агрегационных свойств тромбоцитов и гипертромбоцитоз) вследствие опухолевого процесса и/или его лечения</w:t>
      </w:r>
    </w:p>
    <w:p w14:paraId="1B435400" w14:textId="77777777" w:rsidR="0000369C" w:rsidRPr="00FB583E" w:rsidRDefault="0000369C" w:rsidP="00C5490F">
      <w:pPr>
        <w:pStyle w:val="afe"/>
        <w:numPr>
          <w:ilvl w:val="0"/>
          <w:numId w:val="84"/>
        </w:numPr>
        <w:rPr>
          <w:rFonts w:cs="Times New Roman"/>
          <w:szCs w:val="24"/>
        </w:rPr>
      </w:pPr>
      <w:r w:rsidRPr="00FB583E">
        <w:rPr>
          <w:rFonts w:cs="Times New Roman"/>
          <w:szCs w:val="24"/>
        </w:rPr>
        <w:t>реологические (в том числе за счет гиперлейкоцитоза, эритроцитоза гипертромбоцитоза)</w:t>
      </w:r>
    </w:p>
    <w:p w14:paraId="00FA3D40" w14:textId="77777777" w:rsidR="0000369C" w:rsidRPr="00FB583E" w:rsidRDefault="0000369C" w:rsidP="00C5490F">
      <w:pPr>
        <w:pStyle w:val="afe"/>
        <w:numPr>
          <w:ilvl w:val="0"/>
          <w:numId w:val="84"/>
        </w:numPr>
        <w:rPr>
          <w:rFonts w:cs="Times New Roman"/>
          <w:szCs w:val="24"/>
        </w:rPr>
      </w:pPr>
      <w:r w:rsidRPr="00FB583E">
        <w:rPr>
          <w:rFonts w:cs="Times New Roman"/>
          <w:szCs w:val="24"/>
        </w:rPr>
        <w:t>полихимиотерапия</w:t>
      </w:r>
    </w:p>
    <w:p w14:paraId="1B0C6B09"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лучевая терапия </w:t>
      </w:r>
    </w:p>
    <w:p w14:paraId="4673073F" w14:textId="77777777" w:rsidR="0000369C" w:rsidRPr="00FB583E" w:rsidRDefault="0000369C" w:rsidP="00C5490F">
      <w:pPr>
        <w:pStyle w:val="afe"/>
        <w:numPr>
          <w:ilvl w:val="0"/>
          <w:numId w:val="84"/>
        </w:numPr>
        <w:rPr>
          <w:rFonts w:cs="Times New Roman"/>
          <w:szCs w:val="24"/>
        </w:rPr>
      </w:pPr>
      <w:r w:rsidRPr="00FB583E">
        <w:rPr>
          <w:rFonts w:cs="Times New Roman"/>
          <w:szCs w:val="24"/>
        </w:rPr>
        <w:t>наличие сопутствующих заболеваний – кардиологических (фибрилляция предсердий, эндокардит), эндокринологических (сахарный диабет), гипертоническая болезнь, атеросклероз</w:t>
      </w:r>
    </w:p>
    <w:p w14:paraId="45E9CC19" w14:textId="77777777" w:rsidR="0000369C" w:rsidRPr="00FB583E" w:rsidRDefault="0000369C" w:rsidP="00C5490F">
      <w:pPr>
        <w:pStyle w:val="afe"/>
        <w:numPr>
          <w:ilvl w:val="0"/>
          <w:numId w:val="84"/>
        </w:numPr>
        <w:rPr>
          <w:rFonts w:cs="Times New Roman"/>
          <w:szCs w:val="24"/>
        </w:rPr>
      </w:pPr>
      <w:r w:rsidRPr="00FB583E">
        <w:rPr>
          <w:rFonts w:cs="Times New Roman"/>
          <w:szCs w:val="24"/>
        </w:rPr>
        <w:t>сочетание вышеперечисленных факторов</w:t>
      </w:r>
    </w:p>
    <w:p w14:paraId="3547B2E6" w14:textId="77777777" w:rsidR="0000369C" w:rsidRPr="00FB583E" w:rsidRDefault="0000369C" w:rsidP="0000369C">
      <w:pPr>
        <w:pStyle w:val="afd"/>
        <w:spacing w:beforeAutospacing="0" w:afterAutospacing="0" w:line="360" w:lineRule="auto"/>
        <w:ind w:firstLine="709"/>
        <w:rPr>
          <w:b/>
          <w:color w:val="000000"/>
        </w:rPr>
      </w:pPr>
      <w:r w:rsidRPr="00FB583E">
        <w:rPr>
          <w:b/>
          <w:color w:val="000000"/>
        </w:rPr>
        <w:t>Клинические проявления ОНМК по ишемическому типу:</w:t>
      </w:r>
    </w:p>
    <w:p w14:paraId="1AA6F6E7" w14:textId="77777777" w:rsidR="0000369C" w:rsidRPr="00FB583E" w:rsidRDefault="0000369C" w:rsidP="0000369C">
      <w:pPr>
        <w:pStyle w:val="afd"/>
        <w:spacing w:beforeAutospacing="0" w:afterAutospacing="0" w:line="360" w:lineRule="auto"/>
        <w:ind w:firstLine="709"/>
        <w:rPr>
          <w:color w:val="000000"/>
        </w:rPr>
      </w:pPr>
      <w:r w:rsidRPr="00FB583E">
        <w:rPr>
          <w:color w:val="000000"/>
        </w:rPr>
        <w:t xml:space="preserve">Клиническая картина при ОНМК по ишемическому типу проявляется в виде общемозговой симптоматики с нарушением сознания и осознанности, нарушением речи; очаговой симптоматикой, двигательными и чувствительными нарушениями и зависит от бассейна кровоснабжения артерии, размеров зоны ишемии и перифокального отека. </w:t>
      </w:r>
    </w:p>
    <w:p w14:paraId="125AAB20" w14:textId="77777777" w:rsidR="0000369C" w:rsidRPr="00FB583E" w:rsidRDefault="0000369C" w:rsidP="0000369C">
      <w:pPr>
        <w:pStyle w:val="afd"/>
        <w:spacing w:beforeAutospacing="0" w:afterAutospacing="0" w:line="360" w:lineRule="auto"/>
        <w:ind w:firstLine="709"/>
        <w:rPr>
          <w:color w:val="000000"/>
        </w:rPr>
      </w:pPr>
      <w:r w:rsidRPr="00FB583E">
        <w:rPr>
          <w:color w:val="000000"/>
        </w:rPr>
        <w:t xml:space="preserve">Отмечаются тромбозы венозных синусов, которые характеризуются преимущественно общемозговой симптоматикой в выраженной головной болью и эпилептическими приступами. </w:t>
      </w:r>
    </w:p>
    <w:p w14:paraId="3B63AEBC" w14:textId="77777777" w:rsidR="0000369C" w:rsidRPr="00FB583E" w:rsidRDefault="0000369C" w:rsidP="0000369C">
      <w:pPr>
        <w:ind w:firstLine="709"/>
        <w:rPr>
          <w:rFonts w:cs="Times New Roman"/>
          <w:szCs w:val="24"/>
        </w:rPr>
      </w:pPr>
      <w:r w:rsidRPr="00FB583E">
        <w:rPr>
          <w:rFonts w:cs="Times New Roman"/>
          <w:szCs w:val="24"/>
        </w:rPr>
        <w:t>Первичная диагностика включает в себя оценку жалоб, анамнеза; оценку функционального статуса по шкале Карновского, оценку неврологического статуса с характеристикой общемозговой и очаговой симптоматики, интеллектуально-мнестических нарушений, оценку психического состояния.</w:t>
      </w:r>
    </w:p>
    <w:p w14:paraId="7A334067" w14:textId="77777777" w:rsidR="0000369C" w:rsidRPr="00FB583E" w:rsidRDefault="0000369C" w:rsidP="0000369C">
      <w:pPr>
        <w:pStyle w:val="afd"/>
        <w:spacing w:beforeAutospacing="0" w:afterAutospacing="0" w:line="360" w:lineRule="auto"/>
        <w:ind w:firstLine="708"/>
        <w:rPr>
          <w:color w:val="000000"/>
        </w:rPr>
      </w:pPr>
      <w:r w:rsidRPr="00FB583E">
        <w:rPr>
          <w:b/>
        </w:rPr>
        <w:t>Лабораторная диагностика</w:t>
      </w:r>
      <w:r w:rsidRPr="00FB583E">
        <w:t>: см</w:t>
      </w:r>
      <w:r w:rsidRPr="00FB583E">
        <w:rPr>
          <w:color w:val="000000"/>
        </w:rPr>
        <w:t>. главу «Профилактика, диагностика и лечение тромботических осложнений при гематологических заболеваниях» в настоящем методическом руководстве.</w:t>
      </w:r>
    </w:p>
    <w:p w14:paraId="1B3AB505" w14:textId="77777777" w:rsidR="0000369C" w:rsidRPr="00FB583E" w:rsidRDefault="0000369C" w:rsidP="0000369C">
      <w:pPr>
        <w:ind w:firstLine="708"/>
        <w:rPr>
          <w:rFonts w:cs="Times New Roman"/>
          <w:b/>
          <w:szCs w:val="24"/>
        </w:rPr>
      </w:pPr>
      <w:r w:rsidRPr="00FB583E">
        <w:rPr>
          <w:rFonts w:cs="Times New Roman"/>
          <w:b/>
          <w:szCs w:val="24"/>
        </w:rPr>
        <w:t>Инструментальная диагностика:</w:t>
      </w:r>
    </w:p>
    <w:p w14:paraId="363F2F33" w14:textId="77777777" w:rsidR="0000369C" w:rsidRPr="00FB583E" w:rsidRDefault="0000369C" w:rsidP="00C5490F">
      <w:pPr>
        <w:pStyle w:val="afe"/>
        <w:numPr>
          <w:ilvl w:val="0"/>
          <w:numId w:val="84"/>
        </w:numPr>
        <w:rPr>
          <w:rFonts w:cs="Times New Roman"/>
          <w:szCs w:val="24"/>
        </w:rPr>
      </w:pPr>
      <w:r w:rsidRPr="00FB583E">
        <w:rPr>
          <w:rFonts w:cs="Times New Roman"/>
          <w:szCs w:val="24"/>
        </w:rPr>
        <w:t>КТ/МРТ -  головного/спинного мозга с контрастным усилением</w:t>
      </w:r>
    </w:p>
    <w:p w14:paraId="31027BB7" w14:textId="77777777" w:rsidR="0000369C" w:rsidRPr="00FB583E" w:rsidRDefault="0000369C" w:rsidP="00C5490F">
      <w:pPr>
        <w:pStyle w:val="afe"/>
        <w:numPr>
          <w:ilvl w:val="0"/>
          <w:numId w:val="84"/>
        </w:numPr>
        <w:rPr>
          <w:rFonts w:cs="Times New Roman"/>
          <w:szCs w:val="24"/>
        </w:rPr>
      </w:pPr>
      <w:r w:rsidRPr="00FB583E">
        <w:rPr>
          <w:rFonts w:cs="Times New Roman"/>
          <w:szCs w:val="24"/>
        </w:rPr>
        <w:t>КТ/МРТ-ангиография (с проведением тромболизиса по показаниям)</w:t>
      </w:r>
    </w:p>
    <w:p w14:paraId="4750DA32" w14:textId="77777777" w:rsidR="0000369C" w:rsidRPr="00FB583E" w:rsidRDefault="0000369C" w:rsidP="00C5490F">
      <w:pPr>
        <w:pStyle w:val="afe"/>
        <w:numPr>
          <w:ilvl w:val="0"/>
          <w:numId w:val="84"/>
        </w:numPr>
        <w:rPr>
          <w:rFonts w:cs="Times New Roman"/>
          <w:szCs w:val="24"/>
        </w:rPr>
      </w:pPr>
      <w:r w:rsidRPr="00FB583E">
        <w:rPr>
          <w:rFonts w:cs="Times New Roman"/>
          <w:szCs w:val="24"/>
        </w:rPr>
        <w:t>ЭКГ</w:t>
      </w:r>
    </w:p>
    <w:p w14:paraId="03CF8B48" w14:textId="77777777" w:rsidR="0000369C" w:rsidRPr="00FB583E" w:rsidRDefault="0000369C" w:rsidP="00C5490F">
      <w:pPr>
        <w:pStyle w:val="afe"/>
        <w:numPr>
          <w:ilvl w:val="0"/>
          <w:numId w:val="84"/>
        </w:numPr>
        <w:rPr>
          <w:rFonts w:cs="Times New Roman"/>
          <w:szCs w:val="24"/>
        </w:rPr>
      </w:pPr>
      <w:r w:rsidRPr="00FB583E">
        <w:rPr>
          <w:rFonts w:cs="Times New Roman"/>
          <w:szCs w:val="24"/>
        </w:rPr>
        <w:t>Эхо-КГ</w:t>
      </w:r>
    </w:p>
    <w:p w14:paraId="4C1EF7D6"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 УЗДГ брахиоцефальных артерий и вен </w:t>
      </w:r>
    </w:p>
    <w:p w14:paraId="5B16ACCD" w14:textId="77777777" w:rsidR="0000369C" w:rsidRPr="00FB583E" w:rsidRDefault="0000369C" w:rsidP="00C5490F">
      <w:pPr>
        <w:pStyle w:val="afe"/>
        <w:numPr>
          <w:ilvl w:val="0"/>
          <w:numId w:val="84"/>
        </w:numPr>
        <w:rPr>
          <w:rFonts w:cs="Times New Roman"/>
          <w:szCs w:val="24"/>
        </w:rPr>
      </w:pPr>
      <w:r w:rsidRPr="00FB583E">
        <w:rPr>
          <w:rFonts w:cs="Times New Roman"/>
          <w:szCs w:val="24"/>
        </w:rPr>
        <w:t>КТ грудной клетки</w:t>
      </w:r>
    </w:p>
    <w:p w14:paraId="0FF00912" w14:textId="77777777" w:rsidR="0000369C" w:rsidRPr="00FB583E" w:rsidRDefault="0000369C" w:rsidP="00C5490F">
      <w:pPr>
        <w:pStyle w:val="afe"/>
        <w:numPr>
          <w:ilvl w:val="0"/>
          <w:numId w:val="84"/>
        </w:numPr>
        <w:rPr>
          <w:rFonts w:cs="Times New Roman"/>
          <w:szCs w:val="24"/>
        </w:rPr>
      </w:pPr>
      <w:r w:rsidRPr="00FB583E">
        <w:rPr>
          <w:rFonts w:cs="Times New Roman"/>
          <w:szCs w:val="24"/>
        </w:rPr>
        <w:lastRenderedPageBreak/>
        <w:t>ЭЭГ с функциональными пробами для определения функционального состояния головного мозга и исключения эпиактивности</w:t>
      </w:r>
    </w:p>
    <w:p w14:paraId="0698ADCA" w14:textId="77777777" w:rsidR="0000369C" w:rsidRPr="00FB583E" w:rsidRDefault="0000369C" w:rsidP="00C5490F">
      <w:pPr>
        <w:pStyle w:val="afe"/>
        <w:numPr>
          <w:ilvl w:val="0"/>
          <w:numId w:val="84"/>
        </w:numPr>
        <w:rPr>
          <w:rFonts w:cs="Times New Roman"/>
          <w:szCs w:val="24"/>
        </w:rPr>
      </w:pPr>
      <w:r w:rsidRPr="00FB583E">
        <w:rPr>
          <w:rFonts w:cs="Times New Roman"/>
          <w:szCs w:val="24"/>
        </w:rPr>
        <w:t>ВП различной модальности: ЗВП, КВП, КАСВП, ССВП (по показаниям)</w:t>
      </w:r>
    </w:p>
    <w:p w14:paraId="2A4FE557" w14:textId="77777777" w:rsidR="0000369C" w:rsidRPr="00FB583E" w:rsidRDefault="0000369C" w:rsidP="00C5490F">
      <w:pPr>
        <w:pStyle w:val="afe"/>
        <w:numPr>
          <w:ilvl w:val="0"/>
          <w:numId w:val="84"/>
        </w:numPr>
        <w:rPr>
          <w:rFonts w:cs="Times New Roman"/>
          <w:szCs w:val="24"/>
        </w:rPr>
      </w:pPr>
      <w:r w:rsidRPr="00FB583E">
        <w:rPr>
          <w:rFonts w:cs="Times New Roman"/>
          <w:szCs w:val="24"/>
        </w:rPr>
        <w:t>ТКМС (по показаниям)</w:t>
      </w:r>
    </w:p>
    <w:p w14:paraId="561E14F8" w14:textId="77777777" w:rsidR="0000369C" w:rsidRPr="00FB583E" w:rsidRDefault="0000369C" w:rsidP="0000369C">
      <w:pPr>
        <w:ind w:firstLine="708"/>
        <w:rPr>
          <w:rFonts w:cs="Times New Roman"/>
          <w:b/>
          <w:szCs w:val="24"/>
        </w:rPr>
      </w:pPr>
      <w:r w:rsidRPr="00FB583E">
        <w:rPr>
          <w:rFonts w:cs="Times New Roman"/>
          <w:b/>
          <w:color w:val="000000"/>
          <w:szCs w:val="24"/>
        </w:rPr>
        <w:t>Консультации с</w:t>
      </w:r>
      <w:r w:rsidRPr="00FB583E">
        <w:rPr>
          <w:rFonts w:cs="Times New Roman"/>
          <w:b/>
          <w:szCs w:val="24"/>
        </w:rPr>
        <w:t>пециалистов:</w:t>
      </w:r>
    </w:p>
    <w:p w14:paraId="5B174A2E" w14:textId="77777777" w:rsidR="0000369C" w:rsidRPr="00FB583E" w:rsidRDefault="0000369C" w:rsidP="00C5490F">
      <w:pPr>
        <w:pStyle w:val="afe"/>
        <w:numPr>
          <w:ilvl w:val="0"/>
          <w:numId w:val="84"/>
        </w:numPr>
        <w:rPr>
          <w:rFonts w:cs="Times New Roman"/>
          <w:szCs w:val="24"/>
        </w:rPr>
      </w:pPr>
      <w:r w:rsidRPr="00FB583E">
        <w:rPr>
          <w:rFonts w:cs="Times New Roman"/>
          <w:szCs w:val="24"/>
        </w:rPr>
        <w:t>невролог</w:t>
      </w:r>
    </w:p>
    <w:p w14:paraId="2785A99E" w14:textId="77777777" w:rsidR="0000369C" w:rsidRPr="00FB583E" w:rsidRDefault="0000369C" w:rsidP="00C5490F">
      <w:pPr>
        <w:pStyle w:val="afe"/>
        <w:numPr>
          <w:ilvl w:val="0"/>
          <w:numId w:val="84"/>
        </w:numPr>
        <w:rPr>
          <w:rFonts w:cs="Times New Roman"/>
          <w:szCs w:val="24"/>
        </w:rPr>
      </w:pPr>
      <w:r w:rsidRPr="00FB583E">
        <w:rPr>
          <w:rFonts w:cs="Times New Roman"/>
          <w:szCs w:val="24"/>
        </w:rPr>
        <w:t>ангиохирург</w:t>
      </w:r>
    </w:p>
    <w:p w14:paraId="4DC8E33F" w14:textId="77777777" w:rsidR="0000369C" w:rsidRPr="00FB583E" w:rsidRDefault="0000369C" w:rsidP="00C5490F">
      <w:pPr>
        <w:pStyle w:val="afe"/>
        <w:numPr>
          <w:ilvl w:val="0"/>
          <w:numId w:val="84"/>
        </w:numPr>
        <w:rPr>
          <w:rFonts w:cs="Times New Roman"/>
          <w:szCs w:val="24"/>
        </w:rPr>
      </w:pPr>
      <w:r w:rsidRPr="00FB583E">
        <w:rPr>
          <w:rFonts w:cs="Times New Roman"/>
          <w:szCs w:val="24"/>
        </w:rPr>
        <w:t>офтальмолог</w:t>
      </w:r>
    </w:p>
    <w:p w14:paraId="2EC2C15A" w14:textId="77777777" w:rsidR="0000369C" w:rsidRPr="00FB583E" w:rsidRDefault="0000369C" w:rsidP="00C5490F">
      <w:pPr>
        <w:pStyle w:val="afe"/>
        <w:numPr>
          <w:ilvl w:val="0"/>
          <w:numId w:val="84"/>
        </w:numPr>
        <w:rPr>
          <w:rFonts w:cs="Times New Roman"/>
          <w:szCs w:val="24"/>
        </w:rPr>
      </w:pPr>
      <w:r w:rsidRPr="00FB583E">
        <w:rPr>
          <w:rFonts w:cs="Times New Roman"/>
          <w:szCs w:val="24"/>
        </w:rPr>
        <w:t>кардиолог по показаниям</w:t>
      </w:r>
    </w:p>
    <w:p w14:paraId="00806EE5" w14:textId="77777777" w:rsidR="0000369C" w:rsidRPr="00FB583E" w:rsidRDefault="0000369C" w:rsidP="00C5490F">
      <w:pPr>
        <w:pStyle w:val="afe"/>
        <w:numPr>
          <w:ilvl w:val="0"/>
          <w:numId w:val="84"/>
        </w:numPr>
        <w:rPr>
          <w:rFonts w:cs="Times New Roman"/>
          <w:szCs w:val="24"/>
        </w:rPr>
      </w:pPr>
      <w:r w:rsidRPr="00FB583E">
        <w:rPr>
          <w:rFonts w:cs="Times New Roman"/>
          <w:szCs w:val="24"/>
        </w:rPr>
        <w:t>психиатр по показаниям</w:t>
      </w:r>
    </w:p>
    <w:p w14:paraId="5A2AE875" w14:textId="77777777" w:rsidR="0000369C" w:rsidRPr="00FB583E" w:rsidRDefault="0000369C" w:rsidP="00C5490F">
      <w:pPr>
        <w:pStyle w:val="afe"/>
        <w:numPr>
          <w:ilvl w:val="0"/>
          <w:numId w:val="84"/>
        </w:numPr>
        <w:rPr>
          <w:rFonts w:cs="Times New Roman"/>
          <w:szCs w:val="24"/>
        </w:rPr>
      </w:pPr>
      <w:r w:rsidRPr="00FB583E">
        <w:rPr>
          <w:rFonts w:cs="Times New Roman"/>
          <w:szCs w:val="24"/>
        </w:rPr>
        <w:t>психолог по показаниям</w:t>
      </w:r>
    </w:p>
    <w:p w14:paraId="3B24C339" w14:textId="77777777" w:rsidR="0000369C" w:rsidRPr="00FB583E" w:rsidRDefault="0000369C" w:rsidP="00C5490F">
      <w:pPr>
        <w:pStyle w:val="afe"/>
        <w:numPr>
          <w:ilvl w:val="0"/>
          <w:numId w:val="84"/>
        </w:numPr>
        <w:rPr>
          <w:rFonts w:cs="Times New Roman"/>
          <w:szCs w:val="24"/>
        </w:rPr>
      </w:pPr>
      <w:r w:rsidRPr="00FB583E">
        <w:rPr>
          <w:rFonts w:cs="Times New Roman"/>
          <w:szCs w:val="24"/>
        </w:rPr>
        <w:t>кинезиотерапевт</w:t>
      </w:r>
    </w:p>
    <w:p w14:paraId="0C62242C" w14:textId="77777777" w:rsidR="0000369C" w:rsidRPr="00FB583E" w:rsidRDefault="0000369C" w:rsidP="0000369C">
      <w:pPr>
        <w:ind w:firstLine="708"/>
        <w:rPr>
          <w:rFonts w:cs="Times New Roman"/>
          <w:b/>
          <w:szCs w:val="24"/>
        </w:rPr>
      </w:pPr>
      <w:r w:rsidRPr="00FB583E">
        <w:rPr>
          <w:rFonts w:cs="Times New Roman"/>
          <w:b/>
          <w:szCs w:val="24"/>
        </w:rPr>
        <w:t xml:space="preserve">Основные группы лекарственных препаратов, применяемых в лечении ОНМК </w:t>
      </w:r>
      <w:r w:rsidRPr="00FB583E">
        <w:rPr>
          <w:rFonts w:cs="Times New Roman"/>
          <w:b/>
          <w:color w:val="000000"/>
          <w:szCs w:val="24"/>
        </w:rPr>
        <w:t>по ишемическому типу</w:t>
      </w:r>
      <w:r w:rsidRPr="00FB583E">
        <w:rPr>
          <w:rFonts w:cs="Times New Roman"/>
          <w:b/>
          <w:szCs w:val="24"/>
        </w:rPr>
        <w:t>:</w:t>
      </w:r>
    </w:p>
    <w:p w14:paraId="2C1263E2"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Противоотечные препараты – маннитол в/в, лазикс в/в, ацетазоламид (диакарб) в таб. </w:t>
      </w:r>
    </w:p>
    <w:p w14:paraId="588E9BE8" w14:textId="77777777" w:rsidR="0000369C" w:rsidRPr="00FB583E" w:rsidRDefault="0000369C" w:rsidP="00C5490F">
      <w:pPr>
        <w:pStyle w:val="afe"/>
        <w:numPr>
          <w:ilvl w:val="0"/>
          <w:numId w:val="84"/>
        </w:numPr>
        <w:rPr>
          <w:rFonts w:cs="Times New Roman"/>
          <w:szCs w:val="24"/>
        </w:rPr>
      </w:pPr>
      <w:r w:rsidRPr="00FB583E">
        <w:rPr>
          <w:rFonts w:cs="Times New Roman"/>
          <w:szCs w:val="24"/>
        </w:rPr>
        <w:t>Противорвотная терапия – ондансетрон в/в</w:t>
      </w:r>
    </w:p>
    <w:p w14:paraId="72000612" w14:textId="77777777" w:rsidR="0000369C" w:rsidRPr="00FB583E" w:rsidRDefault="0000369C" w:rsidP="00C5490F">
      <w:pPr>
        <w:pStyle w:val="afe"/>
        <w:numPr>
          <w:ilvl w:val="0"/>
          <w:numId w:val="84"/>
        </w:numPr>
        <w:rPr>
          <w:rFonts w:cs="Times New Roman"/>
          <w:szCs w:val="24"/>
        </w:rPr>
      </w:pPr>
      <w:r w:rsidRPr="00FB583E">
        <w:rPr>
          <w:rFonts w:cs="Times New Roman"/>
          <w:szCs w:val="24"/>
        </w:rPr>
        <w:t>Противоэпилептические – леветирацетамв/в, табл; конвулекс в/в, таб; прегабалин капс; габапентин таб, клоназепам таб; фенобарбитал таб, окскарбазепин таб, ламотриджил таб, диазепам в/в, таб.</w:t>
      </w:r>
    </w:p>
    <w:p w14:paraId="05F5C4DF" w14:textId="77777777" w:rsidR="0000369C" w:rsidRPr="00FB583E" w:rsidRDefault="0000369C" w:rsidP="00C5490F">
      <w:pPr>
        <w:pStyle w:val="afe"/>
        <w:numPr>
          <w:ilvl w:val="0"/>
          <w:numId w:val="84"/>
        </w:numPr>
        <w:rPr>
          <w:rFonts w:cs="Times New Roman"/>
          <w:szCs w:val="24"/>
        </w:rPr>
      </w:pPr>
      <w:r w:rsidRPr="00FB583E">
        <w:rPr>
          <w:rFonts w:cs="Times New Roman"/>
          <w:szCs w:val="24"/>
        </w:rPr>
        <w:t>Нейропротекторная терапия аминофенилмаслянная кислота – фенибут таб</w:t>
      </w:r>
    </w:p>
    <w:p w14:paraId="408E5AE1" w14:textId="77777777" w:rsidR="0000369C" w:rsidRPr="00FB583E" w:rsidRDefault="0000369C" w:rsidP="00C5490F">
      <w:pPr>
        <w:pStyle w:val="afe"/>
        <w:numPr>
          <w:ilvl w:val="0"/>
          <w:numId w:val="84"/>
        </w:numPr>
        <w:rPr>
          <w:rFonts w:cs="Times New Roman"/>
          <w:szCs w:val="24"/>
        </w:rPr>
      </w:pPr>
      <w:r w:rsidRPr="00FB583E">
        <w:rPr>
          <w:rFonts w:cs="Times New Roman"/>
          <w:szCs w:val="24"/>
        </w:rPr>
        <w:t>Дофаминэргические препараты: ПК-мерц в/в, таб; наком таб; мирапекс таб; акинетон таб.</w:t>
      </w:r>
    </w:p>
    <w:p w14:paraId="30414899" w14:textId="77777777" w:rsidR="0000369C" w:rsidRPr="00FB583E" w:rsidRDefault="0000369C" w:rsidP="00C5490F">
      <w:pPr>
        <w:pStyle w:val="afe"/>
        <w:numPr>
          <w:ilvl w:val="0"/>
          <w:numId w:val="84"/>
        </w:numPr>
        <w:rPr>
          <w:rFonts w:cs="Times New Roman"/>
          <w:szCs w:val="24"/>
        </w:rPr>
      </w:pPr>
      <w:r w:rsidRPr="00FB583E">
        <w:rPr>
          <w:rFonts w:cs="Times New Roman"/>
          <w:szCs w:val="24"/>
        </w:rPr>
        <w:t>Витаминотерапия – церневит в/в, витамины группы В таб.</w:t>
      </w:r>
    </w:p>
    <w:p w14:paraId="538AEDC6"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Антиоксиданты – альфа-липоевая кислота в/в, капс. </w:t>
      </w:r>
    </w:p>
    <w:p w14:paraId="13D096C1" w14:textId="77777777" w:rsidR="0000369C" w:rsidRPr="00FB583E" w:rsidRDefault="0000369C" w:rsidP="00C5490F">
      <w:pPr>
        <w:pStyle w:val="afe"/>
        <w:numPr>
          <w:ilvl w:val="0"/>
          <w:numId w:val="84"/>
        </w:numPr>
        <w:rPr>
          <w:rFonts w:cs="Times New Roman"/>
          <w:szCs w:val="24"/>
        </w:rPr>
      </w:pPr>
      <w:r w:rsidRPr="00FB583E">
        <w:rPr>
          <w:rFonts w:cs="Times New Roman"/>
          <w:szCs w:val="24"/>
        </w:rPr>
        <w:t>Антидепрессанты – по назначению психиатра</w:t>
      </w:r>
    </w:p>
    <w:p w14:paraId="44342B14" w14:textId="77777777" w:rsidR="0000369C" w:rsidRPr="00FB583E" w:rsidRDefault="0000369C" w:rsidP="0000369C">
      <w:pPr>
        <w:ind w:firstLine="709"/>
        <w:rPr>
          <w:rFonts w:cs="Times New Roman"/>
          <w:color w:val="000000"/>
          <w:szCs w:val="24"/>
        </w:rPr>
      </w:pPr>
      <w:r w:rsidRPr="00FB583E">
        <w:rPr>
          <w:rFonts w:cs="Times New Roman"/>
          <w:b/>
          <w:color w:val="000000"/>
          <w:szCs w:val="24"/>
        </w:rPr>
        <w:t xml:space="preserve">Общие принципы профилактики ОНМК по ишемическому типу у гематологических больных - </w:t>
      </w:r>
      <w:r w:rsidRPr="00FB583E">
        <w:rPr>
          <w:rFonts w:cs="Times New Roman"/>
          <w:szCs w:val="24"/>
        </w:rPr>
        <w:t>см</w:t>
      </w:r>
      <w:r w:rsidRPr="00FB583E">
        <w:rPr>
          <w:rFonts w:cs="Times New Roman"/>
          <w:color w:val="000000"/>
          <w:szCs w:val="24"/>
        </w:rPr>
        <w:t>. главу «Профилактика, диагностика и лечение тромботических осложнений при гематологических заболеваниях» в настоящем методическом руководстве.</w:t>
      </w:r>
    </w:p>
    <w:p w14:paraId="20656440" w14:textId="77777777" w:rsidR="0000369C" w:rsidRPr="00FB583E" w:rsidRDefault="0000369C" w:rsidP="0000369C">
      <w:pPr>
        <w:ind w:left="360" w:firstLine="348"/>
        <w:rPr>
          <w:rFonts w:cs="Times New Roman"/>
          <w:szCs w:val="24"/>
        </w:rPr>
      </w:pPr>
    </w:p>
    <w:p w14:paraId="6CC3B7C0" w14:textId="77777777" w:rsidR="0000369C" w:rsidRPr="00FB583E" w:rsidRDefault="0000369C" w:rsidP="0000369C">
      <w:pPr>
        <w:rPr>
          <w:rFonts w:cs="Times New Roman"/>
          <w:i/>
          <w:szCs w:val="24"/>
          <w:u w:val="single"/>
        </w:rPr>
      </w:pPr>
      <w:r w:rsidRPr="00FB583E">
        <w:rPr>
          <w:rFonts w:cs="Times New Roman"/>
          <w:i/>
          <w:szCs w:val="24"/>
          <w:u w:val="single"/>
        </w:rPr>
        <w:t xml:space="preserve">Острое нарушение мозгового кровообращения по геморрагическому типу при гематологических заболеваниях. </w:t>
      </w:r>
    </w:p>
    <w:p w14:paraId="2B6D2C0D" w14:textId="77777777" w:rsidR="0000369C" w:rsidRPr="00FB583E" w:rsidRDefault="0000369C" w:rsidP="0000369C">
      <w:pPr>
        <w:pStyle w:val="afd"/>
        <w:spacing w:beforeAutospacing="0" w:afterAutospacing="0" w:line="360" w:lineRule="auto"/>
        <w:ind w:firstLine="708"/>
        <w:rPr>
          <w:color w:val="000000"/>
        </w:rPr>
      </w:pPr>
      <w:r w:rsidRPr="00FB583E">
        <w:rPr>
          <w:color w:val="000000"/>
        </w:rPr>
        <w:lastRenderedPageBreak/>
        <w:t xml:space="preserve">ОНМК по геморрагическому типу могут возникнуть у пациентов с любым гематологическим заболеванием, особенно у пациентов с тромбоцитопенией в процессе химиотерапии любых типов лейкозов, лимфом, а также при наличии коагулопатии.   </w:t>
      </w:r>
    </w:p>
    <w:p w14:paraId="163FA666" w14:textId="77777777" w:rsidR="0000369C" w:rsidRPr="00FB583E" w:rsidRDefault="0000369C" w:rsidP="0000369C">
      <w:pPr>
        <w:pStyle w:val="afd"/>
        <w:spacing w:beforeAutospacing="0" w:afterAutospacing="0" w:line="360" w:lineRule="auto"/>
        <w:ind w:firstLine="708"/>
        <w:rPr>
          <w:color w:val="000000"/>
        </w:rPr>
      </w:pPr>
      <w:r w:rsidRPr="00FB583E">
        <w:rPr>
          <w:color w:val="000000"/>
        </w:rPr>
        <w:t xml:space="preserve">Клиническая картина при ОНМК по геморрагическому типу проявляется в виде общемозговой с нарушением сознания и/или осознанности, выраженной головной боли, с менингеальной и очаговой симптоматикой, двигательными и чувствительными нарушениями, эпилептическими припадками. </w:t>
      </w:r>
    </w:p>
    <w:p w14:paraId="22DF48F6" w14:textId="77777777" w:rsidR="0000369C" w:rsidRPr="00FB583E" w:rsidRDefault="0000369C" w:rsidP="0000369C">
      <w:pPr>
        <w:ind w:firstLine="708"/>
        <w:rPr>
          <w:rFonts w:cs="Times New Roman"/>
          <w:color w:val="000000"/>
          <w:szCs w:val="24"/>
        </w:rPr>
      </w:pPr>
      <w:r w:rsidRPr="00FB583E">
        <w:rPr>
          <w:rFonts w:cs="Times New Roman"/>
          <w:szCs w:val="24"/>
        </w:rPr>
        <w:t xml:space="preserve">Первичная диагностика включает в себя оценку жалоб, анамнеза; оценку функционального статуса по шкале Карновского, оценку неврологического статуса с характеристикой общемозговой и очаговой симптоматики, интеллектуально-мнестических нарушений.  </w:t>
      </w:r>
    </w:p>
    <w:p w14:paraId="6AFEB7CB" w14:textId="77777777" w:rsidR="0000369C" w:rsidRPr="00FB583E" w:rsidRDefault="0000369C" w:rsidP="0000369C">
      <w:pPr>
        <w:ind w:firstLine="708"/>
        <w:rPr>
          <w:rFonts w:cs="Times New Roman"/>
          <w:b/>
          <w:szCs w:val="24"/>
        </w:rPr>
      </w:pPr>
      <w:r w:rsidRPr="00FB583E">
        <w:rPr>
          <w:rFonts w:cs="Times New Roman"/>
          <w:b/>
          <w:szCs w:val="24"/>
        </w:rPr>
        <w:t>Инструментальная диагностика:</w:t>
      </w:r>
    </w:p>
    <w:p w14:paraId="48DDC9F3" w14:textId="77777777" w:rsidR="0000369C" w:rsidRPr="00FB583E" w:rsidRDefault="0000369C" w:rsidP="00C5490F">
      <w:pPr>
        <w:pStyle w:val="afe"/>
        <w:numPr>
          <w:ilvl w:val="0"/>
          <w:numId w:val="84"/>
        </w:numPr>
        <w:rPr>
          <w:rFonts w:cs="Times New Roman"/>
          <w:szCs w:val="24"/>
        </w:rPr>
      </w:pPr>
      <w:r w:rsidRPr="00FB583E">
        <w:rPr>
          <w:rFonts w:cs="Times New Roman"/>
          <w:szCs w:val="24"/>
        </w:rPr>
        <w:t>КТ или МРТ головного мозга (с в/в  контрастированием по показаниям)</w:t>
      </w:r>
    </w:p>
    <w:p w14:paraId="7F995BFF"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КТ-ангиография для исключения мальформации и аневризмы </w:t>
      </w:r>
    </w:p>
    <w:p w14:paraId="396B34FB" w14:textId="77777777" w:rsidR="0000369C" w:rsidRPr="00FB583E" w:rsidRDefault="0000369C" w:rsidP="00C5490F">
      <w:pPr>
        <w:pStyle w:val="afe"/>
        <w:numPr>
          <w:ilvl w:val="0"/>
          <w:numId w:val="84"/>
        </w:numPr>
        <w:rPr>
          <w:rFonts w:cs="Times New Roman"/>
          <w:szCs w:val="24"/>
        </w:rPr>
      </w:pPr>
      <w:r w:rsidRPr="00FB583E">
        <w:rPr>
          <w:rFonts w:cs="Times New Roman"/>
          <w:szCs w:val="24"/>
        </w:rPr>
        <w:t>ЭКГ</w:t>
      </w:r>
    </w:p>
    <w:p w14:paraId="60DC5806" w14:textId="77777777" w:rsidR="0000369C" w:rsidRPr="00FB583E" w:rsidRDefault="0000369C" w:rsidP="00C5490F">
      <w:pPr>
        <w:pStyle w:val="afe"/>
        <w:numPr>
          <w:ilvl w:val="0"/>
          <w:numId w:val="84"/>
        </w:numPr>
        <w:rPr>
          <w:rFonts w:cs="Times New Roman"/>
          <w:szCs w:val="24"/>
        </w:rPr>
      </w:pPr>
      <w:r w:rsidRPr="00FB583E">
        <w:rPr>
          <w:rFonts w:cs="Times New Roman"/>
          <w:szCs w:val="24"/>
        </w:rPr>
        <w:t>Эхо-КГ</w:t>
      </w:r>
    </w:p>
    <w:p w14:paraId="0029CC07"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УЗДГ брахиоцефальных артерий и вен </w:t>
      </w:r>
    </w:p>
    <w:p w14:paraId="5E84E6F5" w14:textId="77777777" w:rsidR="0000369C" w:rsidRPr="00FB583E" w:rsidRDefault="0000369C" w:rsidP="00C5490F">
      <w:pPr>
        <w:pStyle w:val="afe"/>
        <w:numPr>
          <w:ilvl w:val="0"/>
          <w:numId w:val="84"/>
        </w:numPr>
        <w:rPr>
          <w:rFonts w:cs="Times New Roman"/>
          <w:szCs w:val="24"/>
        </w:rPr>
      </w:pPr>
      <w:r w:rsidRPr="00FB583E">
        <w:rPr>
          <w:rFonts w:cs="Times New Roman"/>
          <w:szCs w:val="24"/>
        </w:rPr>
        <w:t>КТ грудной клетки</w:t>
      </w:r>
    </w:p>
    <w:p w14:paraId="2B9D2A9C" w14:textId="77777777" w:rsidR="0000369C" w:rsidRPr="00FB583E" w:rsidRDefault="0000369C" w:rsidP="00C5490F">
      <w:pPr>
        <w:pStyle w:val="afe"/>
        <w:numPr>
          <w:ilvl w:val="0"/>
          <w:numId w:val="84"/>
        </w:numPr>
        <w:rPr>
          <w:rFonts w:cs="Times New Roman"/>
          <w:szCs w:val="24"/>
        </w:rPr>
      </w:pPr>
      <w:r w:rsidRPr="00FB583E">
        <w:rPr>
          <w:rFonts w:cs="Times New Roman"/>
          <w:szCs w:val="24"/>
        </w:rPr>
        <w:t>ЭЭГ с функциональными пробами для определения функционального состояния головного мозга и исключения эпиактивности</w:t>
      </w:r>
    </w:p>
    <w:p w14:paraId="47787039" w14:textId="77777777" w:rsidR="0000369C" w:rsidRPr="00FB583E" w:rsidRDefault="0000369C" w:rsidP="00C5490F">
      <w:pPr>
        <w:pStyle w:val="afe"/>
        <w:numPr>
          <w:ilvl w:val="0"/>
          <w:numId w:val="84"/>
        </w:numPr>
        <w:rPr>
          <w:rFonts w:cs="Times New Roman"/>
          <w:szCs w:val="24"/>
        </w:rPr>
      </w:pPr>
      <w:r w:rsidRPr="00FB583E">
        <w:rPr>
          <w:rFonts w:cs="Times New Roman"/>
          <w:szCs w:val="24"/>
        </w:rPr>
        <w:t>ВП различной модальности: ЗВП, КВП, КАСВП, ССВП (по показаниям)</w:t>
      </w:r>
    </w:p>
    <w:p w14:paraId="72761478" w14:textId="77777777" w:rsidR="0000369C" w:rsidRPr="00FB583E" w:rsidRDefault="0000369C" w:rsidP="00C5490F">
      <w:pPr>
        <w:pStyle w:val="afe"/>
        <w:numPr>
          <w:ilvl w:val="0"/>
          <w:numId w:val="84"/>
        </w:numPr>
        <w:rPr>
          <w:rFonts w:cs="Times New Roman"/>
          <w:szCs w:val="24"/>
        </w:rPr>
      </w:pPr>
      <w:r w:rsidRPr="00FB583E">
        <w:rPr>
          <w:rFonts w:cs="Times New Roman"/>
          <w:szCs w:val="24"/>
        </w:rPr>
        <w:t>ТКМС (по показаниям)</w:t>
      </w:r>
    </w:p>
    <w:p w14:paraId="36FC30A9" w14:textId="77777777" w:rsidR="0000369C" w:rsidRPr="00FB583E" w:rsidRDefault="0000369C" w:rsidP="0000369C">
      <w:pPr>
        <w:ind w:firstLine="708"/>
        <w:rPr>
          <w:rFonts w:cs="Times New Roman"/>
          <w:b/>
          <w:szCs w:val="24"/>
        </w:rPr>
      </w:pPr>
      <w:r w:rsidRPr="00FB583E">
        <w:rPr>
          <w:rFonts w:cs="Times New Roman"/>
          <w:b/>
          <w:szCs w:val="24"/>
        </w:rPr>
        <w:t>Консультации специалистов:</w:t>
      </w:r>
    </w:p>
    <w:p w14:paraId="03E3A0FC" w14:textId="77777777" w:rsidR="0000369C" w:rsidRPr="00FB583E" w:rsidRDefault="0000369C" w:rsidP="00C5490F">
      <w:pPr>
        <w:pStyle w:val="afe"/>
        <w:numPr>
          <w:ilvl w:val="0"/>
          <w:numId w:val="84"/>
        </w:numPr>
        <w:rPr>
          <w:rFonts w:cs="Times New Roman"/>
          <w:szCs w:val="24"/>
        </w:rPr>
      </w:pPr>
      <w:r w:rsidRPr="00FB583E">
        <w:rPr>
          <w:rFonts w:cs="Times New Roman"/>
          <w:szCs w:val="24"/>
        </w:rPr>
        <w:t>нейрохирург</w:t>
      </w:r>
    </w:p>
    <w:p w14:paraId="4EA39200" w14:textId="77777777" w:rsidR="0000369C" w:rsidRPr="00FB583E" w:rsidRDefault="0000369C" w:rsidP="00C5490F">
      <w:pPr>
        <w:pStyle w:val="afe"/>
        <w:numPr>
          <w:ilvl w:val="0"/>
          <w:numId w:val="84"/>
        </w:numPr>
        <w:rPr>
          <w:rFonts w:cs="Times New Roman"/>
          <w:szCs w:val="24"/>
        </w:rPr>
      </w:pPr>
      <w:r w:rsidRPr="00FB583E">
        <w:rPr>
          <w:rFonts w:cs="Times New Roman"/>
          <w:szCs w:val="24"/>
        </w:rPr>
        <w:t>невролог</w:t>
      </w:r>
    </w:p>
    <w:p w14:paraId="7424FB83" w14:textId="77777777" w:rsidR="0000369C" w:rsidRPr="00FB583E" w:rsidRDefault="0000369C" w:rsidP="00C5490F">
      <w:pPr>
        <w:pStyle w:val="afe"/>
        <w:numPr>
          <w:ilvl w:val="0"/>
          <w:numId w:val="84"/>
        </w:numPr>
        <w:rPr>
          <w:rFonts w:cs="Times New Roman"/>
          <w:szCs w:val="24"/>
        </w:rPr>
      </w:pPr>
      <w:r w:rsidRPr="00FB583E">
        <w:rPr>
          <w:rFonts w:cs="Times New Roman"/>
          <w:szCs w:val="24"/>
        </w:rPr>
        <w:t>ангиохирург</w:t>
      </w:r>
    </w:p>
    <w:p w14:paraId="49D1D7E9" w14:textId="77777777" w:rsidR="0000369C" w:rsidRPr="00FB583E" w:rsidRDefault="0000369C" w:rsidP="00C5490F">
      <w:pPr>
        <w:pStyle w:val="afe"/>
        <w:numPr>
          <w:ilvl w:val="0"/>
          <w:numId w:val="84"/>
        </w:numPr>
        <w:rPr>
          <w:rFonts w:cs="Times New Roman"/>
          <w:szCs w:val="24"/>
        </w:rPr>
      </w:pPr>
      <w:r w:rsidRPr="00FB583E">
        <w:rPr>
          <w:rFonts w:cs="Times New Roman"/>
          <w:szCs w:val="24"/>
        </w:rPr>
        <w:t>офтальмолог</w:t>
      </w:r>
    </w:p>
    <w:p w14:paraId="1254E149" w14:textId="77777777" w:rsidR="0000369C" w:rsidRPr="00FB583E" w:rsidRDefault="0000369C" w:rsidP="00C5490F">
      <w:pPr>
        <w:pStyle w:val="afe"/>
        <w:numPr>
          <w:ilvl w:val="0"/>
          <w:numId w:val="84"/>
        </w:numPr>
        <w:rPr>
          <w:rFonts w:cs="Times New Roman"/>
          <w:szCs w:val="24"/>
        </w:rPr>
      </w:pPr>
      <w:r w:rsidRPr="00FB583E">
        <w:rPr>
          <w:rFonts w:cs="Times New Roman"/>
          <w:szCs w:val="24"/>
        </w:rPr>
        <w:t>кардиолог по показаниям</w:t>
      </w:r>
    </w:p>
    <w:p w14:paraId="5D53669D" w14:textId="77777777" w:rsidR="0000369C" w:rsidRPr="00FB583E" w:rsidRDefault="0000369C" w:rsidP="00C5490F">
      <w:pPr>
        <w:pStyle w:val="afe"/>
        <w:numPr>
          <w:ilvl w:val="0"/>
          <w:numId w:val="84"/>
        </w:numPr>
        <w:rPr>
          <w:rFonts w:cs="Times New Roman"/>
          <w:szCs w:val="24"/>
        </w:rPr>
      </w:pPr>
      <w:r w:rsidRPr="00FB583E">
        <w:rPr>
          <w:rFonts w:cs="Times New Roman"/>
          <w:szCs w:val="24"/>
        </w:rPr>
        <w:t>психиатр по показаниям</w:t>
      </w:r>
    </w:p>
    <w:p w14:paraId="63947E9B"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 психолог по показаниям</w:t>
      </w:r>
    </w:p>
    <w:p w14:paraId="52C9FDE3" w14:textId="77777777" w:rsidR="0000369C" w:rsidRPr="00FB583E" w:rsidRDefault="0000369C" w:rsidP="00C5490F">
      <w:pPr>
        <w:pStyle w:val="afe"/>
        <w:numPr>
          <w:ilvl w:val="0"/>
          <w:numId w:val="84"/>
        </w:numPr>
        <w:rPr>
          <w:rFonts w:cs="Times New Roman"/>
          <w:szCs w:val="24"/>
        </w:rPr>
      </w:pPr>
      <w:r w:rsidRPr="00FB583E">
        <w:rPr>
          <w:rFonts w:cs="Times New Roman"/>
          <w:szCs w:val="24"/>
        </w:rPr>
        <w:t>кинезиотерапевт по показаниям</w:t>
      </w:r>
    </w:p>
    <w:p w14:paraId="2A1DD7CA" w14:textId="77777777" w:rsidR="0000369C" w:rsidRPr="00FB583E" w:rsidRDefault="0000369C" w:rsidP="0000369C">
      <w:pPr>
        <w:ind w:firstLine="708"/>
        <w:rPr>
          <w:rFonts w:cs="Times New Roman"/>
          <w:b/>
          <w:szCs w:val="24"/>
        </w:rPr>
      </w:pPr>
      <w:r w:rsidRPr="00FB583E">
        <w:rPr>
          <w:rFonts w:cs="Times New Roman"/>
          <w:b/>
          <w:szCs w:val="24"/>
        </w:rPr>
        <w:t xml:space="preserve">Лечение ОНМК по геморрагическому типу </w:t>
      </w:r>
    </w:p>
    <w:p w14:paraId="55EC308E" w14:textId="69CAE747" w:rsidR="0000369C" w:rsidRPr="00FB583E" w:rsidRDefault="0000369C" w:rsidP="00C5490F">
      <w:pPr>
        <w:pStyle w:val="afe"/>
        <w:numPr>
          <w:ilvl w:val="0"/>
          <w:numId w:val="84"/>
        </w:numPr>
        <w:rPr>
          <w:rFonts w:cs="Times New Roman"/>
          <w:szCs w:val="24"/>
        </w:rPr>
      </w:pPr>
      <w:r w:rsidRPr="00FB583E">
        <w:rPr>
          <w:rFonts w:cs="Times New Roman"/>
          <w:szCs w:val="24"/>
        </w:rPr>
        <w:t xml:space="preserve">Оперативное лечение по показаниям (тактика нейрохирургического лечения внутричерепных геморрагических осложнений – см. </w:t>
      </w:r>
      <w:r>
        <w:rPr>
          <w:rFonts w:cs="Times New Roman"/>
          <w:szCs w:val="24"/>
        </w:rPr>
        <w:t>раздел 7.4)</w:t>
      </w:r>
      <w:r w:rsidRPr="00FB583E">
        <w:rPr>
          <w:rFonts w:cs="Times New Roman"/>
          <w:szCs w:val="24"/>
        </w:rPr>
        <w:t>.</w:t>
      </w:r>
    </w:p>
    <w:p w14:paraId="610F9F0F" w14:textId="77777777" w:rsidR="0000369C" w:rsidRPr="00FB583E" w:rsidRDefault="0000369C" w:rsidP="00C5490F">
      <w:pPr>
        <w:pStyle w:val="afe"/>
        <w:numPr>
          <w:ilvl w:val="0"/>
          <w:numId w:val="84"/>
        </w:numPr>
        <w:rPr>
          <w:rFonts w:cs="Times New Roman"/>
          <w:szCs w:val="24"/>
        </w:rPr>
      </w:pPr>
      <w:r w:rsidRPr="00FB583E">
        <w:rPr>
          <w:rFonts w:cs="Times New Roman"/>
          <w:szCs w:val="24"/>
        </w:rPr>
        <w:lastRenderedPageBreak/>
        <w:t>Наблюдение в условиях реанимационного отделения по показаниям</w:t>
      </w:r>
    </w:p>
    <w:p w14:paraId="2F55FCBC"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Противоотечная терапия – маннитол в/в, фуросемид в/в </w:t>
      </w:r>
    </w:p>
    <w:p w14:paraId="10CD7C8F" w14:textId="77777777" w:rsidR="0000369C" w:rsidRPr="00FB583E" w:rsidRDefault="0000369C" w:rsidP="00C5490F">
      <w:pPr>
        <w:pStyle w:val="afe"/>
        <w:numPr>
          <w:ilvl w:val="0"/>
          <w:numId w:val="84"/>
        </w:numPr>
        <w:rPr>
          <w:rFonts w:cs="Times New Roman"/>
          <w:szCs w:val="24"/>
        </w:rPr>
      </w:pPr>
      <w:r w:rsidRPr="00FB583E">
        <w:rPr>
          <w:rFonts w:cs="Times New Roman"/>
          <w:szCs w:val="24"/>
        </w:rPr>
        <w:t>Гемотрансфузионная терапия по показаниям - трансфузии тромбоконцентрата, свежезамороженной плазмы, криопреципитата, эритроцитсодержащих компонентов крови.</w:t>
      </w:r>
    </w:p>
    <w:p w14:paraId="36303FA2" w14:textId="77777777" w:rsidR="0000369C" w:rsidRPr="00FB583E" w:rsidRDefault="0000369C" w:rsidP="00C5490F">
      <w:pPr>
        <w:pStyle w:val="afe"/>
        <w:numPr>
          <w:ilvl w:val="0"/>
          <w:numId w:val="84"/>
        </w:numPr>
        <w:rPr>
          <w:rFonts w:cs="Times New Roman"/>
          <w:szCs w:val="24"/>
        </w:rPr>
      </w:pPr>
      <w:r w:rsidRPr="00FB583E">
        <w:rPr>
          <w:rFonts w:cs="Times New Roman"/>
          <w:szCs w:val="24"/>
        </w:rPr>
        <w:t>Противоэпилептические по показаниям – леветирацетамв/в, табл; конвулекс в/в, таб; прегабалин капс; габапентин таб, клоназепам таб; фенобарбитал таб, окскарбазепин таб, ламотриджил таб, диазепам в/в, таб.</w:t>
      </w:r>
    </w:p>
    <w:p w14:paraId="740600D7" w14:textId="77777777" w:rsidR="0000369C" w:rsidRPr="00FB583E" w:rsidRDefault="0000369C" w:rsidP="00C5490F">
      <w:pPr>
        <w:pStyle w:val="afe"/>
        <w:numPr>
          <w:ilvl w:val="0"/>
          <w:numId w:val="84"/>
        </w:numPr>
        <w:rPr>
          <w:rFonts w:cs="Times New Roman"/>
          <w:szCs w:val="24"/>
        </w:rPr>
      </w:pPr>
      <w:r w:rsidRPr="00FB583E">
        <w:rPr>
          <w:rFonts w:cs="Times New Roman"/>
          <w:szCs w:val="24"/>
        </w:rPr>
        <w:t>Антидепрессанты – по назначению психиатра по показаниям</w:t>
      </w:r>
    </w:p>
    <w:p w14:paraId="255B33E4" w14:textId="77777777" w:rsidR="0000369C" w:rsidRPr="00FB583E" w:rsidRDefault="0000369C" w:rsidP="0000369C">
      <w:pPr>
        <w:pStyle w:val="afe"/>
        <w:rPr>
          <w:rFonts w:cs="Times New Roman"/>
          <w:b/>
          <w:szCs w:val="24"/>
        </w:rPr>
      </w:pPr>
    </w:p>
    <w:p w14:paraId="36E26801" w14:textId="77777777" w:rsidR="0000369C" w:rsidRPr="00FB583E" w:rsidRDefault="0000369C" w:rsidP="0000369C">
      <w:pPr>
        <w:rPr>
          <w:rFonts w:cs="Times New Roman"/>
          <w:i/>
          <w:szCs w:val="24"/>
          <w:u w:val="single"/>
        </w:rPr>
      </w:pPr>
      <w:r w:rsidRPr="00FB583E">
        <w:rPr>
          <w:rFonts w:cs="Times New Roman"/>
          <w:i/>
          <w:szCs w:val="24"/>
          <w:u w:val="single"/>
        </w:rPr>
        <w:t>Полиневропатии при гематологических заболеваниях.</w:t>
      </w:r>
    </w:p>
    <w:p w14:paraId="26BCAE5B" w14:textId="77777777" w:rsidR="0000369C" w:rsidRPr="00FB583E" w:rsidRDefault="0000369C" w:rsidP="0000369C">
      <w:pPr>
        <w:pStyle w:val="Default"/>
        <w:spacing w:line="360" w:lineRule="auto"/>
        <w:ind w:firstLine="709"/>
        <w:jc w:val="both"/>
      </w:pPr>
      <w:r w:rsidRPr="00FB583E">
        <w:t xml:space="preserve">Полиневропатии выявляются в 50-70% случаев у гематологических пациентов и характеризуются системным поражением моторных, сенсорных и вегетативных периферических нервов. По патогенетическому признаку полиневропатии разделяют на демиелинизирующие, аксональные и сочетанные. У гематологических пациентов по этиологическому фактору преобладают аутоиммунные, метаболические, инфекционные, токсические и сочетанные: </w:t>
      </w:r>
    </w:p>
    <w:p w14:paraId="2F79912E" w14:textId="77777777" w:rsidR="0000369C" w:rsidRPr="00FB583E" w:rsidRDefault="0000369C" w:rsidP="00C5490F">
      <w:pPr>
        <w:pStyle w:val="afe"/>
        <w:numPr>
          <w:ilvl w:val="0"/>
          <w:numId w:val="84"/>
        </w:numPr>
        <w:rPr>
          <w:rFonts w:cs="Times New Roman"/>
          <w:szCs w:val="24"/>
        </w:rPr>
      </w:pPr>
      <w:r w:rsidRPr="00FB583E">
        <w:rPr>
          <w:rFonts w:cs="Times New Roman"/>
          <w:szCs w:val="24"/>
        </w:rPr>
        <w:t>парапротеинемические полиневропатии</w:t>
      </w:r>
    </w:p>
    <w:p w14:paraId="65C36D6C"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полиневропатии при нейролейкемии </w:t>
      </w:r>
    </w:p>
    <w:p w14:paraId="1549AEAA" w14:textId="77777777" w:rsidR="0000369C" w:rsidRPr="00FB583E" w:rsidRDefault="0000369C" w:rsidP="00C5490F">
      <w:pPr>
        <w:pStyle w:val="afe"/>
        <w:numPr>
          <w:ilvl w:val="0"/>
          <w:numId w:val="84"/>
        </w:numPr>
        <w:rPr>
          <w:rFonts w:cs="Times New Roman"/>
          <w:szCs w:val="24"/>
        </w:rPr>
      </w:pPr>
      <w:r w:rsidRPr="00FB583E">
        <w:rPr>
          <w:rFonts w:cs="Times New Roman"/>
          <w:szCs w:val="24"/>
        </w:rPr>
        <w:t>паранеопластические полиневропатии</w:t>
      </w:r>
    </w:p>
    <w:p w14:paraId="46BE6ED9"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 метаболические полиневропатии</w:t>
      </w:r>
    </w:p>
    <w:p w14:paraId="12AF526D"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диабетическая полиневропатия на фоне гормональной терапии </w:t>
      </w:r>
    </w:p>
    <w:p w14:paraId="6AF9E009" w14:textId="77777777" w:rsidR="0000369C" w:rsidRPr="00FB583E" w:rsidRDefault="0000369C" w:rsidP="00C5490F">
      <w:pPr>
        <w:pStyle w:val="afe"/>
        <w:numPr>
          <w:ilvl w:val="0"/>
          <w:numId w:val="84"/>
        </w:numPr>
        <w:rPr>
          <w:rFonts w:cs="Times New Roman"/>
          <w:szCs w:val="24"/>
        </w:rPr>
      </w:pPr>
      <w:r w:rsidRPr="00FB583E">
        <w:rPr>
          <w:rFonts w:cs="Times New Roman"/>
          <w:szCs w:val="24"/>
        </w:rPr>
        <w:t>полиневропатия при других эндокринных заболеваниях</w:t>
      </w:r>
    </w:p>
    <w:p w14:paraId="0F149B34" w14:textId="77777777" w:rsidR="0000369C" w:rsidRPr="00FB583E" w:rsidRDefault="0000369C" w:rsidP="00C5490F">
      <w:pPr>
        <w:pStyle w:val="afe"/>
        <w:numPr>
          <w:ilvl w:val="0"/>
          <w:numId w:val="84"/>
        </w:numPr>
        <w:rPr>
          <w:rFonts w:cs="Times New Roman"/>
          <w:szCs w:val="24"/>
        </w:rPr>
      </w:pPr>
      <w:r w:rsidRPr="00FB583E">
        <w:rPr>
          <w:rFonts w:cs="Times New Roman"/>
          <w:szCs w:val="24"/>
        </w:rPr>
        <w:t>уремическая полиневропатия</w:t>
      </w:r>
    </w:p>
    <w:p w14:paraId="2492DCF4" w14:textId="77777777" w:rsidR="0000369C" w:rsidRPr="00FB583E" w:rsidRDefault="0000369C" w:rsidP="00C5490F">
      <w:pPr>
        <w:pStyle w:val="afe"/>
        <w:numPr>
          <w:ilvl w:val="0"/>
          <w:numId w:val="84"/>
        </w:numPr>
        <w:rPr>
          <w:rFonts w:cs="Times New Roman"/>
          <w:szCs w:val="24"/>
        </w:rPr>
      </w:pPr>
      <w:r w:rsidRPr="00FB583E">
        <w:rPr>
          <w:rFonts w:cs="Times New Roman"/>
          <w:szCs w:val="24"/>
        </w:rPr>
        <w:t>печеночная полиневропатия</w:t>
      </w:r>
    </w:p>
    <w:p w14:paraId="313345EC" w14:textId="77777777" w:rsidR="0000369C" w:rsidRPr="00FB583E" w:rsidRDefault="0000369C" w:rsidP="00C5490F">
      <w:pPr>
        <w:pStyle w:val="afe"/>
        <w:numPr>
          <w:ilvl w:val="0"/>
          <w:numId w:val="84"/>
        </w:numPr>
        <w:rPr>
          <w:rFonts w:cs="Times New Roman"/>
          <w:szCs w:val="24"/>
        </w:rPr>
      </w:pPr>
      <w:r w:rsidRPr="00FB583E">
        <w:rPr>
          <w:rFonts w:cs="Times New Roman"/>
          <w:szCs w:val="24"/>
        </w:rPr>
        <w:t>полиневропатия при первичном системном амилоидозе</w:t>
      </w:r>
    </w:p>
    <w:p w14:paraId="170E3AF0" w14:textId="77777777" w:rsidR="0000369C" w:rsidRPr="00FB583E" w:rsidRDefault="0000369C" w:rsidP="00C5490F">
      <w:pPr>
        <w:pStyle w:val="afe"/>
        <w:numPr>
          <w:ilvl w:val="0"/>
          <w:numId w:val="84"/>
        </w:numPr>
        <w:rPr>
          <w:rFonts w:cs="Times New Roman"/>
          <w:szCs w:val="24"/>
        </w:rPr>
      </w:pPr>
      <w:r w:rsidRPr="00FB583E">
        <w:rPr>
          <w:rFonts w:cs="Times New Roman"/>
          <w:szCs w:val="24"/>
        </w:rPr>
        <w:t>полиневропатии, связанные с дефицитом витаминов группы В</w:t>
      </w:r>
    </w:p>
    <w:p w14:paraId="17F7D89D" w14:textId="77777777" w:rsidR="0000369C" w:rsidRPr="00FB583E" w:rsidRDefault="0000369C" w:rsidP="00C5490F">
      <w:pPr>
        <w:pStyle w:val="afe"/>
        <w:numPr>
          <w:ilvl w:val="0"/>
          <w:numId w:val="84"/>
        </w:numPr>
        <w:rPr>
          <w:rFonts w:cs="Times New Roman"/>
          <w:szCs w:val="24"/>
        </w:rPr>
      </w:pPr>
      <w:r w:rsidRPr="00FB583E">
        <w:rPr>
          <w:rFonts w:cs="Times New Roman"/>
          <w:szCs w:val="24"/>
        </w:rPr>
        <w:t>токсические полиневропатии</w:t>
      </w:r>
    </w:p>
    <w:p w14:paraId="1A3DC732" w14:textId="77777777" w:rsidR="0000369C" w:rsidRPr="00FB583E" w:rsidRDefault="0000369C" w:rsidP="00C5490F">
      <w:pPr>
        <w:pStyle w:val="afe"/>
        <w:numPr>
          <w:ilvl w:val="0"/>
          <w:numId w:val="84"/>
        </w:numPr>
        <w:rPr>
          <w:rFonts w:cs="Times New Roman"/>
          <w:szCs w:val="24"/>
        </w:rPr>
      </w:pPr>
      <w:r w:rsidRPr="00FB583E">
        <w:rPr>
          <w:rFonts w:cs="Times New Roman"/>
          <w:szCs w:val="24"/>
        </w:rPr>
        <w:t>лекарственные полиневропатии</w:t>
      </w:r>
    </w:p>
    <w:p w14:paraId="4F0F7991"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полиневропатии критических состояний </w:t>
      </w:r>
    </w:p>
    <w:p w14:paraId="1FB7968E"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полиневропатии при системных заболеваниях </w:t>
      </w:r>
    </w:p>
    <w:p w14:paraId="6117881F" w14:textId="77777777" w:rsidR="0000369C" w:rsidRPr="00FB583E" w:rsidRDefault="0000369C" w:rsidP="00C5490F">
      <w:pPr>
        <w:pStyle w:val="afe"/>
        <w:numPr>
          <w:ilvl w:val="0"/>
          <w:numId w:val="84"/>
        </w:numPr>
        <w:rPr>
          <w:rFonts w:cs="Times New Roman"/>
          <w:szCs w:val="24"/>
        </w:rPr>
      </w:pPr>
      <w:r w:rsidRPr="00FB583E">
        <w:rPr>
          <w:rFonts w:cs="Times New Roman"/>
          <w:szCs w:val="24"/>
        </w:rPr>
        <w:t>инфекционно-токсические полиневропатии</w:t>
      </w:r>
    </w:p>
    <w:p w14:paraId="5ECDF27D" w14:textId="77777777" w:rsidR="0000369C" w:rsidRPr="00FB583E" w:rsidRDefault="0000369C" w:rsidP="0000369C">
      <w:pPr>
        <w:ind w:firstLine="708"/>
        <w:rPr>
          <w:rFonts w:cs="Times New Roman"/>
          <w:szCs w:val="24"/>
        </w:rPr>
      </w:pPr>
      <w:r w:rsidRPr="00FB583E">
        <w:rPr>
          <w:rFonts w:cs="Times New Roman"/>
          <w:b/>
          <w:szCs w:val="24"/>
        </w:rPr>
        <w:t>Клиническая картина полиневропатии</w:t>
      </w:r>
      <w:r w:rsidRPr="00FB583E">
        <w:rPr>
          <w:rFonts w:cs="Times New Roman"/>
          <w:szCs w:val="24"/>
        </w:rPr>
        <w:t xml:space="preserve"> зависит от этиологического фактора, патогенеза и степени поражения различных волокон. В неврологическом статусе могут </w:t>
      </w:r>
      <w:r w:rsidRPr="00FB583E">
        <w:rPr>
          <w:rFonts w:cs="Times New Roman"/>
          <w:szCs w:val="24"/>
        </w:rPr>
        <w:lastRenderedPageBreak/>
        <w:t xml:space="preserve">выявляться моторные, сенсорные и вегетативные симптомы и их сочетания. </w:t>
      </w:r>
      <w:r w:rsidRPr="00FB583E">
        <w:rPr>
          <w:rFonts w:cs="Times New Roman"/>
          <w:color w:val="000000"/>
          <w:szCs w:val="24"/>
        </w:rPr>
        <w:t>Поражение моторных волокон приводит к развитию вялых парезов с последующим развитием мышечной атрофии.</w:t>
      </w:r>
      <w:r w:rsidRPr="00FB583E">
        <w:rPr>
          <w:rFonts w:cs="Times New Roman"/>
          <w:szCs w:val="24"/>
        </w:rPr>
        <w:t xml:space="preserve"> Сенсорные поражения характеризуются нарушением всех видов чувствительности и болевой симптоматикой. Нарушение вегетативных функций проявляется сухостью кожных покровов или гипергидрозом, нарушением регуляции сосудистого тонуса; поражением висцеральных вегетативных волокон. Отмечается также поражение черепных нервов. </w:t>
      </w:r>
    </w:p>
    <w:p w14:paraId="1DDC8E76" w14:textId="77777777" w:rsidR="0000369C" w:rsidRPr="00FB583E" w:rsidRDefault="0000369C" w:rsidP="0000369C">
      <w:pPr>
        <w:ind w:firstLine="708"/>
        <w:rPr>
          <w:rFonts w:cs="Times New Roman"/>
          <w:szCs w:val="24"/>
        </w:rPr>
      </w:pPr>
      <w:r w:rsidRPr="00FB583E">
        <w:rPr>
          <w:rFonts w:cs="Times New Roman"/>
          <w:b/>
          <w:szCs w:val="24"/>
        </w:rPr>
        <w:t>Первичная диагностика</w:t>
      </w:r>
      <w:r w:rsidRPr="00FB583E">
        <w:rPr>
          <w:rFonts w:cs="Times New Roman"/>
          <w:szCs w:val="24"/>
        </w:rPr>
        <w:t xml:space="preserve"> включает в себя оценку жалоб, анамнеза, оценку функционального статуса по шкале Карновского, оценку неврологического статуса с характеристикой общемозговой и очаговой симптоматики, оценку степени тяжести моторных, сенсорных и вегетативных нарушений. </w:t>
      </w:r>
    </w:p>
    <w:p w14:paraId="315211AB" w14:textId="77777777" w:rsidR="0000369C" w:rsidRPr="00FB583E" w:rsidRDefault="0000369C" w:rsidP="0000369C">
      <w:pPr>
        <w:pStyle w:val="afe"/>
        <w:ind w:left="0" w:firstLine="709"/>
        <w:rPr>
          <w:rFonts w:cs="Times New Roman"/>
          <w:szCs w:val="24"/>
        </w:rPr>
      </w:pPr>
      <w:r w:rsidRPr="00FB583E">
        <w:rPr>
          <w:rFonts w:cs="Times New Roman"/>
          <w:b/>
          <w:szCs w:val="24"/>
        </w:rPr>
        <w:t>Лабораторные исследования:</w:t>
      </w:r>
      <w:r w:rsidRPr="00FB583E">
        <w:rPr>
          <w:rFonts w:cs="Times New Roman"/>
          <w:szCs w:val="24"/>
        </w:rPr>
        <w:t xml:space="preserve"> </w:t>
      </w:r>
    </w:p>
    <w:p w14:paraId="347CADEE" w14:textId="77777777" w:rsidR="0000369C" w:rsidRPr="00FB583E" w:rsidRDefault="0000369C" w:rsidP="00C5490F">
      <w:pPr>
        <w:pStyle w:val="afe"/>
        <w:numPr>
          <w:ilvl w:val="0"/>
          <w:numId w:val="84"/>
        </w:numPr>
        <w:rPr>
          <w:rFonts w:cs="Times New Roman"/>
          <w:szCs w:val="24"/>
        </w:rPr>
      </w:pPr>
      <w:r w:rsidRPr="00FB583E">
        <w:rPr>
          <w:rFonts w:cs="Times New Roman"/>
          <w:szCs w:val="24"/>
        </w:rPr>
        <w:t>Клинический анализ крови, морфологическое исследование мазка крови</w:t>
      </w:r>
    </w:p>
    <w:p w14:paraId="2E295103" w14:textId="77777777" w:rsidR="0000369C" w:rsidRPr="00FB583E" w:rsidRDefault="0000369C" w:rsidP="00C5490F">
      <w:pPr>
        <w:pStyle w:val="afe"/>
        <w:numPr>
          <w:ilvl w:val="0"/>
          <w:numId w:val="84"/>
        </w:numPr>
        <w:rPr>
          <w:rFonts w:cs="Times New Roman"/>
          <w:szCs w:val="24"/>
        </w:rPr>
      </w:pPr>
      <w:r w:rsidRPr="00FB583E">
        <w:rPr>
          <w:rFonts w:cs="Times New Roman"/>
          <w:szCs w:val="24"/>
        </w:rPr>
        <w:t>Общий анализ мочи</w:t>
      </w:r>
    </w:p>
    <w:p w14:paraId="0215B9DC" w14:textId="77777777" w:rsidR="0000369C" w:rsidRPr="00FB583E" w:rsidRDefault="0000369C" w:rsidP="00C5490F">
      <w:pPr>
        <w:pStyle w:val="afe"/>
        <w:numPr>
          <w:ilvl w:val="0"/>
          <w:numId w:val="84"/>
        </w:numPr>
        <w:rPr>
          <w:rFonts w:cs="Times New Roman"/>
          <w:szCs w:val="24"/>
        </w:rPr>
      </w:pPr>
      <w:r w:rsidRPr="00FB583E">
        <w:rPr>
          <w:rFonts w:cs="Times New Roman"/>
          <w:szCs w:val="24"/>
        </w:rPr>
        <w:t>Биохимический анализ крови – общий белок, фракции белка, креатинин, мочевина, мочевая кислота, билирубин, фракции билирубина, глюкоза, электролиты, АЛТ, АСТ, ЛДГ, ЩФ, амилаза, В12</w:t>
      </w:r>
    </w:p>
    <w:p w14:paraId="1687D144" w14:textId="77777777" w:rsidR="0000369C" w:rsidRPr="00FB583E" w:rsidRDefault="0000369C" w:rsidP="00C5490F">
      <w:pPr>
        <w:pStyle w:val="afe"/>
        <w:numPr>
          <w:ilvl w:val="0"/>
          <w:numId w:val="84"/>
        </w:numPr>
        <w:rPr>
          <w:rFonts w:cs="Times New Roman"/>
          <w:szCs w:val="24"/>
        </w:rPr>
      </w:pPr>
      <w:r w:rsidRPr="00FB583E">
        <w:rPr>
          <w:rFonts w:cs="Times New Roman"/>
          <w:szCs w:val="24"/>
        </w:rPr>
        <w:t>Оценка кислотно-щелочного равновесия (по показаниям)</w:t>
      </w:r>
    </w:p>
    <w:p w14:paraId="7373D4DA" w14:textId="77777777" w:rsidR="0000369C" w:rsidRPr="00FB583E" w:rsidRDefault="0000369C" w:rsidP="00C5490F">
      <w:pPr>
        <w:pStyle w:val="afe"/>
        <w:numPr>
          <w:ilvl w:val="0"/>
          <w:numId w:val="84"/>
        </w:numPr>
        <w:rPr>
          <w:rFonts w:cs="Times New Roman"/>
          <w:szCs w:val="24"/>
        </w:rPr>
      </w:pPr>
      <w:r w:rsidRPr="00FB583E">
        <w:rPr>
          <w:rFonts w:cs="Times New Roman"/>
          <w:szCs w:val="24"/>
        </w:rPr>
        <w:t>Определение группы крови и резус - фактора</w:t>
      </w:r>
    </w:p>
    <w:p w14:paraId="3DB9940D" w14:textId="77777777" w:rsidR="0000369C" w:rsidRPr="00FB583E" w:rsidRDefault="0000369C" w:rsidP="00C5490F">
      <w:pPr>
        <w:pStyle w:val="afe"/>
        <w:numPr>
          <w:ilvl w:val="0"/>
          <w:numId w:val="84"/>
        </w:numPr>
        <w:rPr>
          <w:rFonts w:cs="Times New Roman"/>
          <w:szCs w:val="24"/>
        </w:rPr>
      </w:pPr>
      <w:r w:rsidRPr="00FB583E">
        <w:rPr>
          <w:rFonts w:cs="Times New Roman"/>
          <w:szCs w:val="24"/>
        </w:rPr>
        <w:t>Исследование крови на вирусы гепатитов B и C, ВИЧ, сифилис</w:t>
      </w:r>
    </w:p>
    <w:p w14:paraId="13717D15"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Иммунохимическое исследование сыворотки крови и мочи (выявление белка Бен-Джонса) </w:t>
      </w:r>
    </w:p>
    <w:p w14:paraId="03D8579D" w14:textId="77777777" w:rsidR="0000369C" w:rsidRPr="00FB583E" w:rsidRDefault="0000369C" w:rsidP="00C5490F">
      <w:pPr>
        <w:pStyle w:val="afe"/>
        <w:numPr>
          <w:ilvl w:val="0"/>
          <w:numId w:val="84"/>
        </w:numPr>
        <w:rPr>
          <w:rFonts w:cs="Times New Roman"/>
          <w:szCs w:val="24"/>
        </w:rPr>
      </w:pPr>
      <w:r w:rsidRPr="00FB583E">
        <w:rPr>
          <w:rFonts w:cs="Times New Roman"/>
          <w:szCs w:val="24"/>
        </w:rPr>
        <w:t>Исследование ликвора (белок, цитоз, цитология и т.д.)</w:t>
      </w:r>
    </w:p>
    <w:p w14:paraId="1DA5D25E" w14:textId="77777777" w:rsidR="0000369C" w:rsidRPr="00FB583E" w:rsidRDefault="0000369C" w:rsidP="00C5490F">
      <w:pPr>
        <w:pStyle w:val="afe"/>
        <w:numPr>
          <w:ilvl w:val="0"/>
          <w:numId w:val="84"/>
        </w:numPr>
        <w:rPr>
          <w:rFonts w:cs="Times New Roman"/>
          <w:szCs w:val="24"/>
        </w:rPr>
      </w:pPr>
      <w:r w:rsidRPr="00FB583E">
        <w:rPr>
          <w:rFonts w:cs="Times New Roman"/>
          <w:szCs w:val="24"/>
        </w:rPr>
        <w:t>Исследование крови и ликвора для исключения вирусного поражения (в том числе с применением полимеразной цепной реакции)</w:t>
      </w:r>
    </w:p>
    <w:p w14:paraId="7D8419B1" w14:textId="77777777" w:rsidR="0000369C" w:rsidRPr="00FB583E" w:rsidRDefault="0000369C" w:rsidP="00C5490F">
      <w:pPr>
        <w:pStyle w:val="afe"/>
        <w:numPr>
          <w:ilvl w:val="0"/>
          <w:numId w:val="84"/>
        </w:numPr>
        <w:rPr>
          <w:rFonts w:cs="Times New Roman"/>
          <w:szCs w:val="24"/>
        </w:rPr>
      </w:pPr>
      <w:r w:rsidRPr="00FB583E">
        <w:rPr>
          <w:rFonts w:cs="Times New Roman"/>
          <w:szCs w:val="24"/>
        </w:rPr>
        <w:t>Иммунохимическое исследование ликвора (концентрация белка и обнаружение моноклонального IgM) по показаниям</w:t>
      </w:r>
    </w:p>
    <w:p w14:paraId="4FDA8852" w14:textId="77777777" w:rsidR="0000369C" w:rsidRPr="00FB583E" w:rsidRDefault="0000369C" w:rsidP="00C5490F">
      <w:pPr>
        <w:pStyle w:val="afe"/>
        <w:numPr>
          <w:ilvl w:val="0"/>
          <w:numId w:val="84"/>
        </w:numPr>
        <w:rPr>
          <w:rFonts w:cs="Times New Roman"/>
          <w:szCs w:val="24"/>
        </w:rPr>
      </w:pPr>
      <w:r w:rsidRPr="00FB583E">
        <w:rPr>
          <w:rFonts w:cs="Times New Roman"/>
          <w:szCs w:val="24"/>
        </w:rPr>
        <w:t>Исследование ликвора на антитела к ганглиозидам GV1, GV2 по показаниям</w:t>
      </w:r>
    </w:p>
    <w:p w14:paraId="0DAC96B9" w14:textId="77777777" w:rsidR="0000369C" w:rsidRPr="00FB583E" w:rsidRDefault="0000369C" w:rsidP="00C5490F">
      <w:pPr>
        <w:pStyle w:val="afe"/>
        <w:numPr>
          <w:ilvl w:val="0"/>
          <w:numId w:val="84"/>
        </w:numPr>
        <w:rPr>
          <w:rFonts w:cs="Times New Roman"/>
          <w:szCs w:val="24"/>
        </w:rPr>
      </w:pPr>
      <w:r w:rsidRPr="00FB583E">
        <w:rPr>
          <w:rFonts w:cs="Times New Roman"/>
          <w:szCs w:val="24"/>
        </w:rPr>
        <w:t>Цитологическое и гистологическое исследования костного мозга (миелограмма и трепанобиопсия)</w:t>
      </w:r>
    </w:p>
    <w:p w14:paraId="311EDE05" w14:textId="77777777" w:rsidR="0000369C" w:rsidRPr="00FB583E" w:rsidRDefault="0000369C" w:rsidP="00C5490F">
      <w:pPr>
        <w:pStyle w:val="afe"/>
        <w:numPr>
          <w:ilvl w:val="0"/>
          <w:numId w:val="84"/>
        </w:numPr>
        <w:rPr>
          <w:rFonts w:cs="Times New Roman"/>
          <w:szCs w:val="24"/>
        </w:rPr>
      </w:pPr>
      <w:r w:rsidRPr="00FB583E">
        <w:rPr>
          <w:rFonts w:cs="Times New Roman"/>
          <w:szCs w:val="24"/>
        </w:rPr>
        <w:t>Анализ крови на исследование антител к GM1-ганглиозидам (по показаниям)</w:t>
      </w:r>
    </w:p>
    <w:p w14:paraId="0838431B" w14:textId="77777777" w:rsidR="0000369C" w:rsidRPr="00FB583E" w:rsidRDefault="0000369C" w:rsidP="00C5490F">
      <w:pPr>
        <w:pStyle w:val="afe"/>
        <w:numPr>
          <w:ilvl w:val="0"/>
          <w:numId w:val="84"/>
        </w:numPr>
        <w:rPr>
          <w:rFonts w:cs="Times New Roman"/>
          <w:szCs w:val="24"/>
        </w:rPr>
      </w:pPr>
      <w:r w:rsidRPr="00FB583E">
        <w:rPr>
          <w:rFonts w:cs="Times New Roman"/>
          <w:szCs w:val="24"/>
        </w:rPr>
        <w:t>Анализ крови на антитела к ассоциированному с миелином гликопротеину (анти-MAG антитела) по показаниям</w:t>
      </w:r>
    </w:p>
    <w:p w14:paraId="71731BC0" w14:textId="77777777" w:rsidR="0000369C" w:rsidRPr="00FB583E" w:rsidRDefault="0000369C" w:rsidP="00C5490F">
      <w:pPr>
        <w:pStyle w:val="afe"/>
        <w:numPr>
          <w:ilvl w:val="0"/>
          <w:numId w:val="84"/>
        </w:numPr>
        <w:rPr>
          <w:rFonts w:cs="Times New Roman"/>
          <w:szCs w:val="24"/>
        </w:rPr>
      </w:pPr>
      <w:r w:rsidRPr="00FB583E">
        <w:rPr>
          <w:rFonts w:cs="Times New Roman"/>
          <w:szCs w:val="24"/>
        </w:rPr>
        <w:lastRenderedPageBreak/>
        <w:t>Анализ крови на исследование уровня фактора роста эндотелия сосудов, интерлeйкина-6, фактора некроза опухоли α и интерлeйкина-1β (по показаниям)</w:t>
      </w:r>
    </w:p>
    <w:p w14:paraId="67FC96C0" w14:textId="77777777" w:rsidR="0000369C" w:rsidRPr="00FB583E" w:rsidRDefault="0000369C" w:rsidP="0000369C">
      <w:pPr>
        <w:ind w:firstLine="708"/>
        <w:rPr>
          <w:rFonts w:cs="Times New Roman"/>
          <w:b/>
          <w:szCs w:val="24"/>
        </w:rPr>
      </w:pPr>
      <w:r w:rsidRPr="00FB583E">
        <w:rPr>
          <w:rFonts w:cs="Times New Roman"/>
          <w:b/>
          <w:szCs w:val="24"/>
        </w:rPr>
        <w:t>Манипуляции:</w:t>
      </w:r>
    </w:p>
    <w:p w14:paraId="60302348" w14:textId="77777777" w:rsidR="0000369C" w:rsidRPr="00FB583E" w:rsidRDefault="0000369C" w:rsidP="00C5490F">
      <w:pPr>
        <w:pStyle w:val="afe"/>
        <w:numPr>
          <w:ilvl w:val="0"/>
          <w:numId w:val="84"/>
        </w:numPr>
        <w:rPr>
          <w:rFonts w:cs="Times New Roman"/>
          <w:szCs w:val="24"/>
        </w:rPr>
      </w:pPr>
      <w:r w:rsidRPr="00FB583E">
        <w:rPr>
          <w:rFonts w:cs="Times New Roman"/>
          <w:szCs w:val="24"/>
        </w:rPr>
        <w:t>Люмбальная пункция (ЛП)</w:t>
      </w:r>
    </w:p>
    <w:p w14:paraId="31C671B3" w14:textId="77777777" w:rsidR="0000369C" w:rsidRPr="00FB583E" w:rsidRDefault="0000369C" w:rsidP="00C5490F">
      <w:pPr>
        <w:pStyle w:val="afe"/>
        <w:numPr>
          <w:ilvl w:val="0"/>
          <w:numId w:val="84"/>
        </w:numPr>
        <w:rPr>
          <w:rFonts w:cs="Times New Roman"/>
          <w:szCs w:val="24"/>
        </w:rPr>
      </w:pPr>
      <w:r w:rsidRPr="00FB583E">
        <w:rPr>
          <w:rFonts w:cs="Times New Roman"/>
          <w:szCs w:val="24"/>
        </w:rPr>
        <w:t>Стереотаксическия биопсия (СТБ)</w:t>
      </w:r>
    </w:p>
    <w:p w14:paraId="2504B320" w14:textId="77777777" w:rsidR="0000369C" w:rsidRPr="00FB583E" w:rsidRDefault="0000369C" w:rsidP="00C5490F">
      <w:pPr>
        <w:pStyle w:val="afe"/>
        <w:numPr>
          <w:ilvl w:val="0"/>
          <w:numId w:val="84"/>
        </w:numPr>
        <w:rPr>
          <w:rFonts w:cs="Times New Roman"/>
          <w:szCs w:val="24"/>
        </w:rPr>
      </w:pPr>
      <w:r w:rsidRPr="00FB583E">
        <w:rPr>
          <w:rFonts w:cs="Times New Roman"/>
          <w:szCs w:val="24"/>
        </w:rPr>
        <w:t>Трепанобиопсия (ТБ)</w:t>
      </w:r>
    </w:p>
    <w:p w14:paraId="405896F6" w14:textId="77777777" w:rsidR="0000369C" w:rsidRPr="00FB583E" w:rsidRDefault="0000369C" w:rsidP="0000369C">
      <w:pPr>
        <w:pStyle w:val="afe"/>
        <w:shd w:val="clear" w:color="auto" w:fill="FFFFFF"/>
        <w:rPr>
          <w:rFonts w:cs="Times New Roman"/>
          <w:b/>
          <w:szCs w:val="24"/>
        </w:rPr>
      </w:pPr>
      <w:r w:rsidRPr="00FB583E">
        <w:rPr>
          <w:rFonts w:cs="Times New Roman"/>
          <w:b/>
          <w:szCs w:val="24"/>
        </w:rPr>
        <w:t>Инструментальные исследования:</w:t>
      </w:r>
    </w:p>
    <w:p w14:paraId="21A42805" w14:textId="77777777" w:rsidR="0000369C" w:rsidRPr="00FB583E" w:rsidRDefault="0000369C" w:rsidP="00C5490F">
      <w:pPr>
        <w:pStyle w:val="afe"/>
        <w:numPr>
          <w:ilvl w:val="0"/>
          <w:numId w:val="84"/>
        </w:numPr>
        <w:rPr>
          <w:rFonts w:cs="Times New Roman"/>
          <w:szCs w:val="24"/>
        </w:rPr>
      </w:pPr>
      <w:r w:rsidRPr="00FB583E">
        <w:rPr>
          <w:rFonts w:cs="Times New Roman"/>
          <w:szCs w:val="24"/>
        </w:rPr>
        <w:t>ЭКГ</w:t>
      </w:r>
    </w:p>
    <w:p w14:paraId="31A01AB0" w14:textId="77777777" w:rsidR="0000369C" w:rsidRPr="00FB583E" w:rsidRDefault="0000369C" w:rsidP="00C5490F">
      <w:pPr>
        <w:pStyle w:val="afe"/>
        <w:numPr>
          <w:ilvl w:val="0"/>
          <w:numId w:val="84"/>
        </w:numPr>
        <w:rPr>
          <w:rFonts w:cs="Times New Roman"/>
          <w:szCs w:val="24"/>
        </w:rPr>
      </w:pPr>
      <w:r w:rsidRPr="00FB583E">
        <w:rPr>
          <w:rFonts w:cs="Times New Roman"/>
          <w:szCs w:val="24"/>
        </w:rPr>
        <w:t>Холтеровское мониторирование  (по показаниям)</w:t>
      </w:r>
    </w:p>
    <w:p w14:paraId="662CA7BA" w14:textId="77777777" w:rsidR="0000369C" w:rsidRPr="00FB583E" w:rsidRDefault="0000369C" w:rsidP="00C5490F">
      <w:pPr>
        <w:pStyle w:val="afe"/>
        <w:numPr>
          <w:ilvl w:val="0"/>
          <w:numId w:val="84"/>
        </w:numPr>
        <w:rPr>
          <w:rFonts w:cs="Times New Roman"/>
          <w:szCs w:val="24"/>
        </w:rPr>
      </w:pPr>
      <w:r w:rsidRPr="00FB583E">
        <w:rPr>
          <w:rFonts w:cs="Times New Roman"/>
          <w:szCs w:val="24"/>
        </w:rPr>
        <w:t>Функция внешнего дыхания</w:t>
      </w:r>
    </w:p>
    <w:p w14:paraId="5A2B89F2" w14:textId="77777777" w:rsidR="0000369C" w:rsidRPr="00FB583E" w:rsidRDefault="0000369C" w:rsidP="00C5490F">
      <w:pPr>
        <w:pStyle w:val="afe"/>
        <w:numPr>
          <w:ilvl w:val="0"/>
          <w:numId w:val="84"/>
        </w:numPr>
        <w:rPr>
          <w:rFonts w:cs="Times New Roman"/>
          <w:szCs w:val="24"/>
        </w:rPr>
      </w:pPr>
      <w:r w:rsidRPr="00FB583E">
        <w:rPr>
          <w:rFonts w:cs="Times New Roman"/>
          <w:szCs w:val="24"/>
        </w:rPr>
        <w:t>ЭНМГ с исследованием двигательных и чувствительных нервов (по показаниям)</w:t>
      </w:r>
    </w:p>
    <w:p w14:paraId="53580106" w14:textId="77777777" w:rsidR="0000369C" w:rsidRPr="00FB583E" w:rsidRDefault="0000369C" w:rsidP="00C5490F">
      <w:pPr>
        <w:pStyle w:val="afe"/>
        <w:numPr>
          <w:ilvl w:val="0"/>
          <w:numId w:val="84"/>
        </w:numPr>
        <w:rPr>
          <w:rFonts w:cs="Times New Roman"/>
          <w:szCs w:val="24"/>
        </w:rPr>
      </w:pPr>
      <w:r w:rsidRPr="00FB583E">
        <w:rPr>
          <w:rFonts w:cs="Times New Roman"/>
          <w:szCs w:val="24"/>
        </w:rPr>
        <w:t>Игольчатая электромиография (по показаниям)</w:t>
      </w:r>
    </w:p>
    <w:p w14:paraId="722C2389" w14:textId="77777777" w:rsidR="0000369C" w:rsidRPr="00FB583E" w:rsidRDefault="0000369C" w:rsidP="00C5490F">
      <w:pPr>
        <w:pStyle w:val="afe"/>
        <w:numPr>
          <w:ilvl w:val="0"/>
          <w:numId w:val="84"/>
        </w:numPr>
        <w:rPr>
          <w:rFonts w:cs="Times New Roman"/>
          <w:szCs w:val="24"/>
        </w:rPr>
      </w:pPr>
      <w:r w:rsidRPr="00FB583E">
        <w:rPr>
          <w:rFonts w:cs="Times New Roman"/>
          <w:szCs w:val="24"/>
        </w:rPr>
        <w:t>ВП различной модальности ЗВП, КВП, КАСВП, ССВП (по показаниям)</w:t>
      </w:r>
    </w:p>
    <w:p w14:paraId="225C2F3D" w14:textId="77777777" w:rsidR="0000369C" w:rsidRPr="00FB583E" w:rsidRDefault="0000369C" w:rsidP="00C5490F">
      <w:pPr>
        <w:pStyle w:val="afe"/>
        <w:numPr>
          <w:ilvl w:val="0"/>
          <w:numId w:val="84"/>
        </w:numPr>
        <w:rPr>
          <w:rFonts w:cs="Times New Roman"/>
          <w:szCs w:val="24"/>
        </w:rPr>
      </w:pPr>
      <w:r w:rsidRPr="00FB583E">
        <w:rPr>
          <w:rFonts w:cs="Times New Roman"/>
          <w:szCs w:val="24"/>
        </w:rPr>
        <w:t>УЗИ нервов (по показаниям)</w:t>
      </w:r>
    </w:p>
    <w:p w14:paraId="458D035D" w14:textId="77777777" w:rsidR="0000369C" w:rsidRPr="00FB583E" w:rsidRDefault="0000369C" w:rsidP="0000369C">
      <w:pPr>
        <w:ind w:firstLine="708"/>
        <w:rPr>
          <w:rFonts w:cs="Times New Roman"/>
          <w:b/>
          <w:szCs w:val="24"/>
        </w:rPr>
      </w:pPr>
      <w:r w:rsidRPr="00FB583E">
        <w:rPr>
          <w:rFonts w:cs="Times New Roman"/>
          <w:b/>
          <w:szCs w:val="24"/>
        </w:rPr>
        <w:t>Консультации специалистов:</w:t>
      </w:r>
    </w:p>
    <w:p w14:paraId="4DC6D635"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невролог </w:t>
      </w:r>
    </w:p>
    <w:p w14:paraId="60149DC6" w14:textId="77777777" w:rsidR="0000369C" w:rsidRPr="00FB583E" w:rsidRDefault="0000369C" w:rsidP="00C5490F">
      <w:pPr>
        <w:pStyle w:val="afe"/>
        <w:numPr>
          <w:ilvl w:val="0"/>
          <w:numId w:val="84"/>
        </w:numPr>
        <w:rPr>
          <w:rFonts w:cs="Times New Roman"/>
          <w:szCs w:val="24"/>
        </w:rPr>
      </w:pPr>
      <w:r w:rsidRPr="00FB583E">
        <w:rPr>
          <w:rFonts w:cs="Times New Roman"/>
          <w:szCs w:val="24"/>
        </w:rPr>
        <w:t>ортопед</w:t>
      </w:r>
    </w:p>
    <w:p w14:paraId="11F58BB3" w14:textId="77777777" w:rsidR="0000369C" w:rsidRPr="00FB583E" w:rsidRDefault="0000369C" w:rsidP="00C5490F">
      <w:pPr>
        <w:pStyle w:val="afe"/>
        <w:numPr>
          <w:ilvl w:val="0"/>
          <w:numId w:val="84"/>
        </w:numPr>
        <w:rPr>
          <w:rFonts w:cs="Times New Roman"/>
          <w:szCs w:val="24"/>
        </w:rPr>
      </w:pPr>
      <w:r w:rsidRPr="00FB583E">
        <w:rPr>
          <w:rFonts w:cs="Times New Roman"/>
          <w:szCs w:val="24"/>
        </w:rPr>
        <w:t>офтальмолог (оценка функции зрительных нервов)</w:t>
      </w:r>
    </w:p>
    <w:p w14:paraId="13FD128B" w14:textId="77777777" w:rsidR="0000369C" w:rsidRPr="00FB583E" w:rsidRDefault="0000369C" w:rsidP="00C5490F">
      <w:pPr>
        <w:pStyle w:val="afe"/>
        <w:numPr>
          <w:ilvl w:val="0"/>
          <w:numId w:val="84"/>
        </w:numPr>
        <w:rPr>
          <w:rFonts w:cs="Times New Roman"/>
          <w:szCs w:val="24"/>
        </w:rPr>
      </w:pPr>
      <w:r w:rsidRPr="00FB583E">
        <w:rPr>
          <w:rFonts w:cs="Times New Roman"/>
          <w:szCs w:val="24"/>
        </w:rPr>
        <w:t>оториноларинголог (выявление бульбарных нарушений, пареза голосовых связок)</w:t>
      </w:r>
    </w:p>
    <w:p w14:paraId="6EBD2108" w14:textId="77777777" w:rsidR="0000369C" w:rsidRPr="00FB583E" w:rsidRDefault="0000369C" w:rsidP="00C5490F">
      <w:pPr>
        <w:pStyle w:val="afe"/>
        <w:numPr>
          <w:ilvl w:val="0"/>
          <w:numId w:val="84"/>
        </w:numPr>
        <w:rPr>
          <w:rFonts w:cs="Times New Roman"/>
          <w:szCs w:val="24"/>
        </w:rPr>
      </w:pPr>
      <w:r w:rsidRPr="00FB583E">
        <w:rPr>
          <w:rFonts w:cs="Times New Roman"/>
          <w:szCs w:val="24"/>
        </w:rPr>
        <w:t>кинезиотерапевт по показаниям</w:t>
      </w:r>
    </w:p>
    <w:p w14:paraId="68A91522" w14:textId="77777777" w:rsidR="0000369C" w:rsidRPr="00FB583E" w:rsidRDefault="0000369C" w:rsidP="0000369C">
      <w:pPr>
        <w:ind w:firstLine="708"/>
        <w:rPr>
          <w:rFonts w:cs="Times New Roman"/>
          <w:b/>
          <w:szCs w:val="24"/>
        </w:rPr>
      </w:pPr>
      <w:r w:rsidRPr="00FB583E">
        <w:rPr>
          <w:rFonts w:cs="Times New Roman"/>
          <w:b/>
          <w:szCs w:val="24"/>
        </w:rPr>
        <w:t xml:space="preserve">Лечение: </w:t>
      </w:r>
    </w:p>
    <w:p w14:paraId="399CA27A" w14:textId="77777777" w:rsidR="0000369C" w:rsidRPr="00FB583E" w:rsidRDefault="0000369C" w:rsidP="00C5490F">
      <w:pPr>
        <w:pStyle w:val="afe"/>
        <w:numPr>
          <w:ilvl w:val="0"/>
          <w:numId w:val="84"/>
        </w:numPr>
        <w:rPr>
          <w:rFonts w:cs="Times New Roman"/>
          <w:szCs w:val="24"/>
        </w:rPr>
      </w:pPr>
      <w:r w:rsidRPr="00FB583E">
        <w:rPr>
          <w:rFonts w:cs="Times New Roman"/>
          <w:szCs w:val="24"/>
        </w:rPr>
        <w:t>Плазмаферез (по показаниям)</w:t>
      </w:r>
    </w:p>
    <w:p w14:paraId="4911F617" w14:textId="77777777" w:rsidR="0000369C" w:rsidRPr="00FB583E" w:rsidRDefault="0000369C" w:rsidP="00C5490F">
      <w:pPr>
        <w:pStyle w:val="afe"/>
        <w:numPr>
          <w:ilvl w:val="0"/>
          <w:numId w:val="84"/>
        </w:numPr>
        <w:rPr>
          <w:rFonts w:cs="Times New Roman"/>
          <w:szCs w:val="24"/>
        </w:rPr>
      </w:pPr>
      <w:r w:rsidRPr="00FB583E">
        <w:rPr>
          <w:rFonts w:cs="Times New Roman"/>
          <w:szCs w:val="24"/>
        </w:rPr>
        <w:t>Лечение невропатической боли – антидепрессанты, антиконсульсанты, опиодные анальгетики (см. Приложение «Диагностика и лечение болевого синдрома в гематологии")</w:t>
      </w:r>
    </w:p>
    <w:p w14:paraId="511AAD0B" w14:textId="77777777" w:rsidR="0000369C" w:rsidRPr="00FB583E" w:rsidRDefault="0000369C" w:rsidP="00C5490F">
      <w:pPr>
        <w:pStyle w:val="afe"/>
        <w:numPr>
          <w:ilvl w:val="0"/>
          <w:numId w:val="84"/>
        </w:numPr>
        <w:rPr>
          <w:rFonts w:cs="Times New Roman"/>
          <w:szCs w:val="24"/>
        </w:rPr>
      </w:pPr>
      <w:r w:rsidRPr="00FB583E">
        <w:rPr>
          <w:rFonts w:cs="Times New Roman"/>
          <w:szCs w:val="24"/>
        </w:rPr>
        <w:t>Магнитная стимуляция (низкочастотная магнитотерапия) периферических нервов (по показаниям)</w:t>
      </w:r>
    </w:p>
    <w:p w14:paraId="076D4CED" w14:textId="77777777" w:rsidR="0000369C" w:rsidRPr="00FB583E" w:rsidRDefault="0000369C" w:rsidP="00C5490F">
      <w:pPr>
        <w:pStyle w:val="afe"/>
        <w:numPr>
          <w:ilvl w:val="0"/>
          <w:numId w:val="84"/>
        </w:numPr>
        <w:rPr>
          <w:rFonts w:cs="Times New Roman"/>
          <w:szCs w:val="24"/>
        </w:rPr>
      </w:pPr>
      <w:r w:rsidRPr="00FB583E">
        <w:rPr>
          <w:rFonts w:cs="Times New Roman"/>
          <w:szCs w:val="24"/>
        </w:rPr>
        <w:t>Низкоинтенсивная лазеротерапия (по показаниям)</w:t>
      </w:r>
    </w:p>
    <w:p w14:paraId="072CCFFB" w14:textId="77777777" w:rsidR="0000369C" w:rsidRPr="00FB583E" w:rsidRDefault="0000369C" w:rsidP="00C5490F">
      <w:pPr>
        <w:pStyle w:val="afe"/>
        <w:numPr>
          <w:ilvl w:val="0"/>
          <w:numId w:val="84"/>
        </w:numPr>
        <w:rPr>
          <w:rFonts w:cs="Times New Roman"/>
          <w:szCs w:val="24"/>
        </w:rPr>
      </w:pPr>
      <w:r w:rsidRPr="00FB583E">
        <w:rPr>
          <w:rFonts w:cs="Times New Roman"/>
          <w:szCs w:val="24"/>
        </w:rPr>
        <w:t>Чрезкожная элктростимуляция (по показаниям)</w:t>
      </w:r>
    </w:p>
    <w:p w14:paraId="5D338648"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Улучшение метаболизма нервной ткани – берлитион, витамины группы В </w:t>
      </w:r>
    </w:p>
    <w:p w14:paraId="1CB3578B" w14:textId="77777777" w:rsidR="0000369C" w:rsidRPr="00FB583E" w:rsidRDefault="0000369C" w:rsidP="00C5490F">
      <w:pPr>
        <w:pStyle w:val="afe"/>
        <w:numPr>
          <w:ilvl w:val="0"/>
          <w:numId w:val="84"/>
        </w:numPr>
        <w:rPr>
          <w:rFonts w:cs="Times New Roman"/>
          <w:szCs w:val="24"/>
        </w:rPr>
      </w:pPr>
      <w:r w:rsidRPr="00FB583E">
        <w:rPr>
          <w:rFonts w:cs="Times New Roman"/>
          <w:szCs w:val="24"/>
        </w:rPr>
        <w:t>Улучшение нейромышечной передачи – ингибитор холинэстеразы ипидакрин</w:t>
      </w:r>
    </w:p>
    <w:p w14:paraId="27322BBE" w14:textId="77777777" w:rsidR="0000369C" w:rsidRPr="00FB583E" w:rsidRDefault="0000369C" w:rsidP="00C5490F">
      <w:pPr>
        <w:pStyle w:val="afe"/>
        <w:numPr>
          <w:ilvl w:val="0"/>
          <w:numId w:val="84"/>
        </w:numPr>
        <w:rPr>
          <w:rFonts w:cs="Times New Roman"/>
          <w:szCs w:val="24"/>
        </w:rPr>
      </w:pPr>
      <w:r w:rsidRPr="00FB583E">
        <w:rPr>
          <w:rFonts w:cs="Times New Roman"/>
          <w:szCs w:val="24"/>
        </w:rPr>
        <w:lastRenderedPageBreak/>
        <w:t xml:space="preserve">Нейропротекторы –  холина альфосцерат–глиатилин, цитиколин  цераксон </w:t>
      </w:r>
    </w:p>
    <w:p w14:paraId="4AC4CCFF" w14:textId="77777777" w:rsidR="0000369C" w:rsidRPr="00FB583E" w:rsidRDefault="0000369C" w:rsidP="0000369C">
      <w:pPr>
        <w:pStyle w:val="afe"/>
        <w:rPr>
          <w:rFonts w:cs="Times New Roman"/>
          <w:b/>
          <w:i/>
          <w:color w:val="FF0000"/>
          <w:szCs w:val="24"/>
        </w:rPr>
      </w:pPr>
    </w:p>
    <w:p w14:paraId="7AF93C95" w14:textId="77777777" w:rsidR="0000369C" w:rsidRPr="00FB583E" w:rsidRDefault="0000369C" w:rsidP="0000369C">
      <w:pPr>
        <w:rPr>
          <w:rFonts w:cs="Times New Roman"/>
          <w:i/>
          <w:szCs w:val="24"/>
          <w:u w:val="single"/>
        </w:rPr>
      </w:pPr>
      <w:r w:rsidRPr="00FB583E">
        <w:rPr>
          <w:rFonts w:cs="Times New Roman"/>
          <w:i/>
          <w:szCs w:val="24"/>
          <w:u w:val="single"/>
        </w:rPr>
        <w:t>Нейроинфекции при гематологических заболеваниях</w:t>
      </w:r>
    </w:p>
    <w:p w14:paraId="46961A30" w14:textId="77777777" w:rsidR="0000369C" w:rsidRPr="00FB583E" w:rsidRDefault="0000369C" w:rsidP="0000369C">
      <w:pPr>
        <w:pStyle w:val="Default"/>
        <w:spacing w:line="360" w:lineRule="auto"/>
        <w:ind w:firstLine="709"/>
        <w:jc w:val="both"/>
      </w:pPr>
      <w:r w:rsidRPr="00FB583E">
        <w:t xml:space="preserve">Нейроинфекционные осложнения – менингиты, энцефалиты, менингоэнцефалиты, миелиты – наблюдаются примерно у 10% гематологических больных на фоне иммуносупрессии, нейтропении, сепсиса, пневмонии и других инфекционных осложнениях при цитостатической терапии. В структуре нейроинфекционных поражений у гематологических пациентов менингиты составляют 40%, энцефалиты – 40%, грибковое поражение ЦНС (инвазивный аспергиллез, инвазивный кандидоз) –15%, токсоплазмоз –5%. </w:t>
      </w:r>
    </w:p>
    <w:p w14:paraId="0777793C" w14:textId="77777777" w:rsidR="0000369C" w:rsidRPr="00FB583E" w:rsidRDefault="0000369C" w:rsidP="0000369C">
      <w:pPr>
        <w:pStyle w:val="Default"/>
        <w:spacing w:line="360" w:lineRule="auto"/>
        <w:ind w:firstLine="709"/>
        <w:jc w:val="both"/>
        <w:rPr>
          <w:b/>
        </w:rPr>
      </w:pPr>
      <w:r w:rsidRPr="00FB583E">
        <w:rPr>
          <w:b/>
        </w:rPr>
        <w:t>Клиническая картина:</w:t>
      </w:r>
    </w:p>
    <w:p w14:paraId="0D72A574" w14:textId="77777777" w:rsidR="0000369C" w:rsidRPr="00FB583E" w:rsidRDefault="0000369C" w:rsidP="0000369C">
      <w:pPr>
        <w:pStyle w:val="Default"/>
        <w:spacing w:line="360" w:lineRule="auto"/>
        <w:ind w:firstLine="709"/>
        <w:jc w:val="both"/>
      </w:pPr>
      <w:r w:rsidRPr="00FB583E">
        <w:t>Менингеальная симптоматика доминирует при бактериальных, серозных менингитах и инвазивном кандидозе ЦНС, в то время, как общемозговая симптоматика – при вирусных энцефалитах. Клиническая картина при грибковом поражении и токсоплазмозе соответствует клинической картине объемного образования. При нейроинфекции клинические симптомы варьируют в широких пределах – от головной боли до развития тяжелых общемозговых симптомов с угнетением сознания, эпилептических припадков, выраженных очаговых и менингеальных симптомов.</w:t>
      </w:r>
    </w:p>
    <w:p w14:paraId="0241FE87" w14:textId="77777777" w:rsidR="0000369C" w:rsidRPr="00FB583E" w:rsidRDefault="0000369C" w:rsidP="0000369C">
      <w:pPr>
        <w:ind w:firstLine="709"/>
        <w:rPr>
          <w:rFonts w:cs="Times New Roman"/>
          <w:b/>
          <w:szCs w:val="24"/>
        </w:rPr>
      </w:pPr>
      <w:r w:rsidRPr="00FB583E">
        <w:rPr>
          <w:rFonts w:cs="Times New Roman"/>
          <w:b/>
          <w:szCs w:val="24"/>
        </w:rPr>
        <w:t>Для первичной диагностики оценивается:</w:t>
      </w:r>
    </w:p>
    <w:p w14:paraId="38CE3B0A"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жалобы; </w:t>
      </w:r>
    </w:p>
    <w:p w14:paraId="5ABBB8BD"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анамнез; </w:t>
      </w:r>
    </w:p>
    <w:p w14:paraId="6EAB0DCA"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оценка функционального статуса по шкале Карновского; </w:t>
      </w:r>
    </w:p>
    <w:p w14:paraId="333CE423" w14:textId="77777777" w:rsidR="0000369C" w:rsidRPr="00FB583E" w:rsidRDefault="0000369C" w:rsidP="00C5490F">
      <w:pPr>
        <w:pStyle w:val="afe"/>
        <w:numPr>
          <w:ilvl w:val="0"/>
          <w:numId w:val="84"/>
        </w:numPr>
        <w:rPr>
          <w:rFonts w:cs="Times New Roman"/>
          <w:szCs w:val="24"/>
        </w:rPr>
      </w:pPr>
      <w:r w:rsidRPr="00FB583E">
        <w:rPr>
          <w:rFonts w:cs="Times New Roman"/>
          <w:szCs w:val="24"/>
        </w:rPr>
        <w:t>оценка по шкале SOFA;</w:t>
      </w:r>
    </w:p>
    <w:p w14:paraId="4208DFF7"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неврологический статус с оценкой общемозговой, очаговой, менингеальной симптоматики и интеллектуально-мнестических нарушений; </w:t>
      </w:r>
    </w:p>
    <w:p w14:paraId="6984EAFB"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оценка психического состояния; </w:t>
      </w:r>
    </w:p>
    <w:p w14:paraId="2B37A0BC" w14:textId="77777777" w:rsidR="0000369C" w:rsidRPr="00FB583E" w:rsidRDefault="0000369C" w:rsidP="0000369C">
      <w:pPr>
        <w:ind w:left="12" w:firstLine="708"/>
        <w:rPr>
          <w:rFonts w:cs="Times New Roman"/>
          <w:b/>
          <w:szCs w:val="24"/>
        </w:rPr>
      </w:pPr>
      <w:r w:rsidRPr="00FB583E">
        <w:rPr>
          <w:rFonts w:cs="Times New Roman"/>
          <w:b/>
          <w:szCs w:val="24"/>
        </w:rPr>
        <w:t>Лабораторная диагностика:</w:t>
      </w:r>
      <w:r w:rsidRPr="00FB583E">
        <w:rPr>
          <w:rFonts w:cs="Times New Roman"/>
          <w:b/>
          <w:szCs w:val="24"/>
        </w:rPr>
        <w:tab/>
        <w:t xml:space="preserve"> </w:t>
      </w:r>
    </w:p>
    <w:p w14:paraId="101E2850" w14:textId="77777777" w:rsidR="0000369C" w:rsidRPr="00FB583E" w:rsidRDefault="0000369C" w:rsidP="00C5490F">
      <w:pPr>
        <w:pStyle w:val="afe"/>
        <w:numPr>
          <w:ilvl w:val="0"/>
          <w:numId w:val="84"/>
        </w:numPr>
        <w:rPr>
          <w:rFonts w:cs="Times New Roman"/>
          <w:szCs w:val="24"/>
        </w:rPr>
      </w:pPr>
      <w:r w:rsidRPr="00FB583E">
        <w:rPr>
          <w:rFonts w:cs="Times New Roman"/>
          <w:szCs w:val="24"/>
        </w:rPr>
        <w:t>Клинический анализ крови, морфологическое исследование мазка крови</w:t>
      </w:r>
    </w:p>
    <w:p w14:paraId="6FFD3AA2" w14:textId="77777777" w:rsidR="0000369C" w:rsidRPr="00FB583E" w:rsidRDefault="0000369C" w:rsidP="00C5490F">
      <w:pPr>
        <w:pStyle w:val="afe"/>
        <w:numPr>
          <w:ilvl w:val="0"/>
          <w:numId w:val="84"/>
        </w:numPr>
        <w:rPr>
          <w:rFonts w:cs="Times New Roman"/>
          <w:szCs w:val="24"/>
        </w:rPr>
      </w:pPr>
      <w:r w:rsidRPr="00FB583E">
        <w:rPr>
          <w:rFonts w:cs="Times New Roman"/>
          <w:szCs w:val="24"/>
        </w:rPr>
        <w:t>Общий анализ мочи</w:t>
      </w:r>
    </w:p>
    <w:p w14:paraId="60BF542F" w14:textId="77777777" w:rsidR="0000369C" w:rsidRPr="00FB583E" w:rsidRDefault="0000369C" w:rsidP="00C5490F">
      <w:pPr>
        <w:pStyle w:val="afe"/>
        <w:numPr>
          <w:ilvl w:val="0"/>
          <w:numId w:val="84"/>
        </w:numPr>
        <w:rPr>
          <w:rFonts w:cs="Times New Roman"/>
          <w:szCs w:val="24"/>
        </w:rPr>
      </w:pPr>
      <w:r w:rsidRPr="00FB583E">
        <w:rPr>
          <w:rFonts w:cs="Times New Roman"/>
          <w:szCs w:val="24"/>
        </w:rPr>
        <w:t>Биохимический анализ крови – общий белок, фракции белка, креатинин, мочевина, мочевая кислота, билирубин, фракции билирубина, глюкоза, электролиты, аланиаминотрансфераза, аспартатаминотрансфераза, лактатдегидрогеназа, щелочная фосфатаза, амилаза</w:t>
      </w:r>
    </w:p>
    <w:p w14:paraId="270D6851" w14:textId="77777777" w:rsidR="0000369C" w:rsidRPr="00FB583E" w:rsidRDefault="0000369C" w:rsidP="00C5490F">
      <w:pPr>
        <w:pStyle w:val="afe"/>
        <w:numPr>
          <w:ilvl w:val="0"/>
          <w:numId w:val="84"/>
        </w:numPr>
        <w:rPr>
          <w:rFonts w:cs="Times New Roman"/>
          <w:szCs w:val="24"/>
        </w:rPr>
      </w:pPr>
      <w:r w:rsidRPr="00FB583E">
        <w:rPr>
          <w:rFonts w:cs="Times New Roman"/>
          <w:szCs w:val="24"/>
        </w:rPr>
        <w:t>Оценка кислотно-щелочного равновесия (по показаниям)</w:t>
      </w:r>
    </w:p>
    <w:p w14:paraId="4867ABB7"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Исследование ликвора в динамике – цитологическое, белок, глюкоза. На бактерии – микроскопия, посев, определение антигенов. Микобактерии – </w:t>
      </w:r>
      <w:r w:rsidRPr="00FB583E">
        <w:rPr>
          <w:rFonts w:cs="Times New Roman"/>
          <w:szCs w:val="24"/>
        </w:rPr>
        <w:lastRenderedPageBreak/>
        <w:t xml:space="preserve">микроскопия, определение ДНК. Вирусы – определение ДНК. Грибы- микроскопия, посев, антигены. Токсоплазмоз- определение ДНК. </w:t>
      </w:r>
    </w:p>
    <w:p w14:paraId="4C335F7A"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(См. рекомендации бактериологической лаборатории). </w:t>
      </w:r>
    </w:p>
    <w:p w14:paraId="69E2968C" w14:textId="77777777" w:rsidR="0000369C" w:rsidRPr="00FB583E" w:rsidRDefault="0000369C" w:rsidP="00C5490F">
      <w:pPr>
        <w:pStyle w:val="afe"/>
        <w:numPr>
          <w:ilvl w:val="0"/>
          <w:numId w:val="84"/>
        </w:numPr>
        <w:rPr>
          <w:rFonts w:cs="Times New Roman"/>
          <w:szCs w:val="24"/>
        </w:rPr>
      </w:pPr>
      <w:r w:rsidRPr="00FB583E">
        <w:rPr>
          <w:rFonts w:cs="Times New Roman"/>
          <w:szCs w:val="24"/>
        </w:rPr>
        <w:t>Иммунохимическое исследование крови и мочи, включая количество нормальных иммуноглобулинов, наличие моноклональной секреции, С-реактивный белок, бета-2-микроглобулин</w:t>
      </w:r>
    </w:p>
    <w:p w14:paraId="34B660C9" w14:textId="77777777" w:rsidR="0000369C" w:rsidRPr="00FB583E" w:rsidRDefault="0000369C" w:rsidP="00C5490F">
      <w:pPr>
        <w:pStyle w:val="afe"/>
        <w:numPr>
          <w:ilvl w:val="0"/>
          <w:numId w:val="84"/>
        </w:numPr>
        <w:rPr>
          <w:rFonts w:cs="Times New Roman"/>
          <w:szCs w:val="24"/>
        </w:rPr>
      </w:pPr>
      <w:r w:rsidRPr="00FB583E">
        <w:rPr>
          <w:rFonts w:cs="Times New Roman"/>
          <w:szCs w:val="24"/>
        </w:rPr>
        <w:t>Определение группы крови и резус - фактора</w:t>
      </w:r>
    </w:p>
    <w:p w14:paraId="53ABD663" w14:textId="77777777" w:rsidR="0000369C" w:rsidRPr="00FB583E" w:rsidRDefault="0000369C" w:rsidP="00C5490F">
      <w:pPr>
        <w:pStyle w:val="afe"/>
        <w:numPr>
          <w:ilvl w:val="0"/>
          <w:numId w:val="84"/>
        </w:numPr>
        <w:rPr>
          <w:rFonts w:cs="Times New Roman"/>
          <w:szCs w:val="24"/>
        </w:rPr>
      </w:pPr>
      <w:r w:rsidRPr="00FB583E">
        <w:rPr>
          <w:rFonts w:cs="Times New Roman"/>
          <w:szCs w:val="24"/>
        </w:rPr>
        <w:t>Исследование крови на вирусы гепатитов B и C, ВИЧ, сифилис</w:t>
      </w:r>
    </w:p>
    <w:p w14:paraId="024C65DE" w14:textId="77777777" w:rsidR="0000369C" w:rsidRPr="00FB583E" w:rsidRDefault="0000369C" w:rsidP="00C5490F">
      <w:pPr>
        <w:pStyle w:val="afe"/>
        <w:numPr>
          <w:ilvl w:val="0"/>
          <w:numId w:val="84"/>
        </w:numPr>
        <w:rPr>
          <w:rFonts w:cs="Times New Roman"/>
          <w:szCs w:val="24"/>
        </w:rPr>
      </w:pPr>
      <w:r w:rsidRPr="00FB583E">
        <w:rPr>
          <w:rFonts w:cs="Times New Roman"/>
          <w:szCs w:val="24"/>
        </w:rPr>
        <w:t>Стереотаксическая биопсия при наличии очагов в головном мозге по данным КТ/МРТ.</w:t>
      </w:r>
    </w:p>
    <w:p w14:paraId="47EC9737" w14:textId="77777777" w:rsidR="0000369C" w:rsidRPr="00FB583E" w:rsidRDefault="0000369C" w:rsidP="0000369C">
      <w:pPr>
        <w:ind w:firstLine="708"/>
        <w:rPr>
          <w:rFonts w:cs="Times New Roman"/>
          <w:b/>
          <w:szCs w:val="24"/>
        </w:rPr>
      </w:pPr>
      <w:r w:rsidRPr="00FB583E">
        <w:rPr>
          <w:rFonts w:cs="Times New Roman"/>
          <w:b/>
          <w:szCs w:val="24"/>
        </w:rPr>
        <w:t>Инструментальная диагностика:</w:t>
      </w:r>
    </w:p>
    <w:p w14:paraId="5A720135" w14:textId="77777777" w:rsidR="0000369C" w:rsidRPr="00FB583E" w:rsidRDefault="0000369C" w:rsidP="00C5490F">
      <w:pPr>
        <w:pStyle w:val="afe"/>
        <w:numPr>
          <w:ilvl w:val="0"/>
          <w:numId w:val="84"/>
        </w:numPr>
        <w:rPr>
          <w:rFonts w:cs="Times New Roman"/>
          <w:szCs w:val="24"/>
        </w:rPr>
      </w:pPr>
      <w:r w:rsidRPr="00FB583E">
        <w:rPr>
          <w:rFonts w:cs="Times New Roman"/>
          <w:szCs w:val="24"/>
        </w:rPr>
        <w:t>КТ или МРТ головного мозга (с внутривенным контрастированием – по показаниям)</w:t>
      </w:r>
    </w:p>
    <w:p w14:paraId="62A53222" w14:textId="77777777" w:rsidR="0000369C" w:rsidRPr="00FB583E" w:rsidRDefault="0000369C" w:rsidP="00C5490F">
      <w:pPr>
        <w:pStyle w:val="afe"/>
        <w:numPr>
          <w:ilvl w:val="0"/>
          <w:numId w:val="84"/>
        </w:numPr>
        <w:rPr>
          <w:rFonts w:cs="Times New Roman"/>
          <w:szCs w:val="24"/>
        </w:rPr>
      </w:pPr>
      <w:r w:rsidRPr="00FB583E">
        <w:rPr>
          <w:rFonts w:cs="Times New Roman"/>
          <w:szCs w:val="24"/>
        </w:rPr>
        <w:t>КТ брюшной полости, грудной клетки, малого таза</w:t>
      </w:r>
    </w:p>
    <w:p w14:paraId="7681210F" w14:textId="77777777" w:rsidR="0000369C" w:rsidRPr="00FB583E" w:rsidRDefault="0000369C" w:rsidP="00C5490F">
      <w:pPr>
        <w:pStyle w:val="afe"/>
        <w:numPr>
          <w:ilvl w:val="0"/>
          <w:numId w:val="84"/>
        </w:numPr>
        <w:rPr>
          <w:rFonts w:cs="Times New Roman"/>
          <w:szCs w:val="24"/>
        </w:rPr>
      </w:pPr>
      <w:r w:rsidRPr="00FB583E">
        <w:rPr>
          <w:rFonts w:cs="Times New Roman"/>
          <w:szCs w:val="24"/>
        </w:rPr>
        <w:t>Электроэнцефалография (ЭЭГ) с функциональными пробами для определения функционального состояния головного мозга и исключения эпиактивности</w:t>
      </w:r>
    </w:p>
    <w:p w14:paraId="52DE2D11"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ВП – вызванные потенциалы различной модальности (по показаниям): ЗВП, КВП, КАСВП, ССВП. </w:t>
      </w:r>
    </w:p>
    <w:p w14:paraId="3073BF51" w14:textId="77777777" w:rsidR="0000369C" w:rsidRPr="00FB583E" w:rsidRDefault="0000369C" w:rsidP="00C5490F">
      <w:pPr>
        <w:pStyle w:val="afe"/>
        <w:numPr>
          <w:ilvl w:val="0"/>
          <w:numId w:val="84"/>
        </w:numPr>
        <w:rPr>
          <w:rFonts w:cs="Times New Roman"/>
          <w:szCs w:val="24"/>
        </w:rPr>
      </w:pPr>
      <w:r w:rsidRPr="00FB583E">
        <w:rPr>
          <w:rFonts w:cs="Times New Roman"/>
          <w:szCs w:val="24"/>
        </w:rPr>
        <w:t>ТКМС (по показаниям)</w:t>
      </w:r>
    </w:p>
    <w:p w14:paraId="637F4D9B" w14:textId="77777777" w:rsidR="0000369C" w:rsidRPr="00FB583E" w:rsidRDefault="0000369C" w:rsidP="00C5490F">
      <w:pPr>
        <w:pStyle w:val="afe"/>
        <w:numPr>
          <w:ilvl w:val="0"/>
          <w:numId w:val="84"/>
        </w:numPr>
        <w:rPr>
          <w:rFonts w:cs="Times New Roman"/>
          <w:szCs w:val="24"/>
        </w:rPr>
      </w:pPr>
      <w:r w:rsidRPr="00FB583E">
        <w:rPr>
          <w:rFonts w:cs="Times New Roman"/>
          <w:szCs w:val="24"/>
        </w:rPr>
        <w:t>ПЭТ-КТ (по показаниям)</w:t>
      </w:r>
    </w:p>
    <w:p w14:paraId="25D12294" w14:textId="77777777" w:rsidR="0000369C" w:rsidRPr="00FB583E" w:rsidRDefault="0000369C" w:rsidP="00C5490F">
      <w:pPr>
        <w:pStyle w:val="afe"/>
        <w:numPr>
          <w:ilvl w:val="0"/>
          <w:numId w:val="84"/>
        </w:numPr>
        <w:rPr>
          <w:rFonts w:cs="Times New Roman"/>
          <w:szCs w:val="24"/>
        </w:rPr>
      </w:pPr>
      <w:r w:rsidRPr="00FB583E">
        <w:rPr>
          <w:rFonts w:cs="Times New Roman"/>
          <w:szCs w:val="24"/>
        </w:rPr>
        <w:t>УЗДГ брахиоцефальных артерий и вен (по показаниям)</w:t>
      </w:r>
    </w:p>
    <w:p w14:paraId="6328577D" w14:textId="77777777" w:rsidR="0000369C" w:rsidRPr="00FB583E" w:rsidRDefault="0000369C" w:rsidP="00C5490F">
      <w:pPr>
        <w:pStyle w:val="afe"/>
        <w:numPr>
          <w:ilvl w:val="0"/>
          <w:numId w:val="84"/>
        </w:numPr>
        <w:rPr>
          <w:rFonts w:cs="Times New Roman"/>
          <w:szCs w:val="24"/>
        </w:rPr>
      </w:pPr>
      <w:r w:rsidRPr="00FB583E">
        <w:rPr>
          <w:rFonts w:cs="Times New Roman"/>
          <w:szCs w:val="24"/>
        </w:rPr>
        <w:t>ФГДС  (биопсия по показаниям)</w:t>
      </w:r>
    </w:p>
    <w:p w14:paraId="1DB13A71" w14:textId="77777777" w:rsidR="0000369C" w:rsidRPr="00FB583E" w:rsidRDefault="0000369C" w:rsidP="00C5490F">
      <w:pPr>
        <w:pStyle w:val="afe"/>
        <w:numPr>
          <w:ilvl w:val="0"/>
          <w:numId w:val="84"/>
        </w:numPr>
        <w:rPr>
          <w:rFonts w:cs="Times New Roman"/>
          <w:szCs w:val="24"/>
        </w:rPr>
      </w:pPr>
      <w:r w:rsidRPr="00FB583E">
        <w:rPr>
          <w:rFonts w:cs="Times New Roman"/>
          <w:szCs w:val="24"/>
        </w:rPr>
        <w:t>ЭКГ</w:t>
      </w:r>
    </w:p>
    <w:p w14:paraId="331BC756" w14:textId="77777777" w:rsidR="0000369C" w:rsidRPr="00FB583E" w:rsidRDefault="0000369C" w:rsidP="00C5490F">
      <w:pPr>
        <w:pStyle w:val="afe"/>
        <w:numPr>
          <w:ilvl w:val="0"/>
          <w:numId w:val="84"/>
        </w:numPr>
        <w:rPr>
          <w:rFonts w:cs="Times New Roman"/>
          <w:szCs w:val="24"/>
        </w:rPr>
      </w:pPr>
      <w:r w:rsidRPr="00FB583E">
        <w:rPr>
          <w:rFonts w:cs="Times New Roman"/>
          <w:szCs w:val="24"/>
        </w:rPr>
        <w:t>Эхо-КГ</w:t>
      </w:r>
    </w:p>
    <w:p w14:paraId="4BBAF041" w14:textId="77777777" w:rsidR="0000369C" w:rsidRPr="00FB583E" w:rsidRDefault="0000369C" w:rsidP="0000369C">
      <w:pPr>
        <w:ind w:firstLine="708"/>
        <w:rPr>
          <w:rFonts w:cs="Times New Roman"/>
          <w:b/>
          <w:szCs w:val="24"/>
        </w:rPr>
      </w:pPr>
      <w:r w:rsidRPr="00FB583E">
        <w:rPr>
          <w:rFonts w:cs="Times New Roman"/>
          <w:b/>
          <w:szCs w:val="24"/>
        </w:rPr>
        <w:t>Консультация специалистов:</w:t>
      </w:r>
    </w:p>
    <w:p w14:paraId="5D9FC86D" w14:textId="77777777" w:rsidR="0000369C" w:rsidRPr="00FB583E" w:rsidRDefault="0000369C" w:rsidP="00C5490F">
      <w:pPr>
        <w:pStyle w:val="afe"/>
        <w:numPr>
          <w:ilvl w:val="0"/>
          <w:numId w:val="84"/>
        </w:numPr>
        <w:rPr>
          <w:rFonts w:cs="Times New Roman"/>
          <w:szCs w:val="24"/>
        </w:rPr>
      </w:pPr>
      <w:r w:rsidRPr="00FB583E">
        <w:rPr>
          <w:rFonts w:cs="Times New Roman"/>
          <w:szCs w:val="24"/>
        </w:rPr>
        <w:t>Невролог – для оценки неврологического статуса</w:t>
      </w:r>
    </w:p>
    <w:p w14:paraId="55D8DD21" w14:textId="77777777" w:rsidR="0000369C" w:rsidRPr="00FB583E" w:rsidRDefault="0000369C" w:rsidP="00C5490F">
      <w:pPr>
        <w:pStyle w:val="afe"/>
        <w:numPr>
          <w:ilvl w:val="0"/>
          <w:numId w:val="84"/>
        </w:numPr>
        <w:rPr>
          <w:rFonts w:cs="Times New Roman"/>
          <w:szCs w:val="24"/>
        </w:rPr>
      </w:pPr>
      <w:r w:rsidRPr="00FB583E">
        <w:rPr>
          <w:rFonts w:cs="Times New Roman"/>
          <w:szCs w:val="24"/>
        </w:rPr>
        <w:t>Нейрохирург – для  СТБ при очаговом поражении головного мозга для верификации диагноза.</w:t>
      </w:r>
    </w:p>
    <w:p w14:paraId="7BA82B87" w14:textId="77777777" w:rsidR="0000369C" w:rsidRPr="00FB583E" w:rsidRDefault="0000369C" w:rsidP="00C5490F">
      <w:pPr>
        <w:pStyle w:val="afe"/>
        <w:numPr>
          <w:ilvl w:val="0"/>
          <w:numId w:val="84"/>
        </w:numPr>
        <w:rPr>
          <w:rFonts w:cs="Times New Roman"/>
          <w:szCs w:val="24"/>
        </w:rPr>
      </w:pPr>
      <w:r w:rsidRPr="00FB583E">
        <w:rPr>
          <w:rFonts w:cs="Times New Roman"/>
          <w:szCs w:val="24"/>
        </w:rPr>
        <w:t>Офтальмолог – для оценки состояния глазного дна.</w:t>
      </w:r>
    </w:p>
    <w:p w14:paraId="7D9AD380" w14:textId="77777777" w:rsidR="0000369C" w:rsidRPr="00FB583E" w:rsidRDefault="0000369C" w:rsidP="00C5490F">
      <w:pPr>
        <w:pStyle w:val="afe"/>
        <w:numPr>
          <w:ilvl w:val="0"/>
          <w:numId w:val="84"/>
        </w:numPr>
        <w:rPr>
          <w:rFonts w:cs="Times New Roman"/>
          <w:szCs w:val="24"/>
        </w:rPr>
      </w:pPr>
      <w:r w:rsidRPr="00FB583E">
        <w:rPr>
          <w:rFonts w:cs="Times New Roman"/>
          <w:szCs w:val="24"/>
        </w:rPr>
        <w:t>По показаниям привлекаются другие специалисты:</w:t>
      </w:r>
    </w:p>
    <w:p w14:paraId="37B0C046" w14:textId="77777777" w:rsidR="0000369C" w:rsidRPr="00FB583E" w:rsidRDefault="0000369C" w:rsidP="00C5490F">
      <w:pPr>
        <w:pStyle w:val="afe"/>
        <w:numPr>
          <w:ilvl w:val="1"/>
          <w:numId w:val="84"/>
        </w:numPr>
        <w:rPr>
          <w:rFonts w:cs="Times New Roman"/>
          <w:szCs w:val="24"/>
        </w:rPr>
      </w:pPr>
      <w:r w:rsidRPr="00FB583E">
        <w:rPr>
          <w:rFonts w:cs="Times New Roman"/>
          <w:szCs w:val="24"/>
        </w:rPr>
        <w:t>рентгенолог</w:t>
      </w:r>
    </w:p>
    <w:p w14:paraId="12CD1121" w14:textId="77777777" w:rsidR="0000369C" w:rsidRPr="00FB583E" w:rsidRDefault="0000369C" w:rsidP="00C5490F">
      <w:pPr>
        <w:pStyle w:val="afe"/>
        <w:numPr>
          <w:ilvl w:val="1"/>
          <w:numId w:val="84"/>
        </w:numPr>
        <w:rPr>
          <w:rFonts w:cs="Times New Roman"/>
          <w:szCs w:val="24"/>
        </w:rPr>
      </w:pPr>
      <w:r w:rsidRPr="00FB583E">
        <w:rPr>
          <w:rFonts w:cs="Times New Roman"/>
          <w:szCs w:val="24"/>
        </w:rPr>
        <w:t>психиатр</w:t>
      </w:r>
    </w:p>
    <w:p w14:paraId="6016CE57" w14:textId="77777777" w:rsidR="0000369C" w:rsidRPr="00FB583E" w:rsidRDefault="0000369C" w:rsidP="00C5490F">
      <w:pPr>
        <w:pStyle w:val="afe"/>
        <w:numPr>
          <w:ilvl w:val="1"/>
          <w:numId w:val="84"/>
        </w:numPr>
        <w:rPr>
          <w:rFonts w:cs="Times New Roman"/>
          <w:szCs w:val="24"/>
        </w:rPr>
      </w:pPr>
      <w:r w:rsidRPr="00FB583E">
        <w:rPr>
          <w:rFonts w:cs="Times New Roman"/>
          <w:szCs w:val="24"/>
        </w:rPr>
        <w:t>психолог</w:t>
      </w:r>
    </w:p>
    <w:p w14:paraId="65F6D803" w14:textId="77777777" w:rsidR="0000369C" w:rsidRPr="00FB583E" w:rsidRDefault="0000369C" w:rsidP="00C5490F">
      <w:pPr>
        <w:pStyle w:val="afe"/>
        <w:numPr>
          <w:ilvl w:val="1"/>
          <w:numId w:val="84"/>
        </w:numPr>
        <w:rPr>
          <w:rFonts w:cs="Times New Roman"/>
          <w:szCs w:val="24"/>
        </w:rPr>
      </w:pPr>
      <w:r w:rsidRPr="00FB583E">
        <w:rPr>
          <w:rFonts w:cs="Times New Roman"/>
          <w:szCs w:val="24"/>
        </w:rPr>
        <w:lastRenderedPageBreak/>
        <w:t>кинезиотерапевт</w:t>
      </w:r>
    </w:p>
    <w:p w14:paraId="49C9E752" w14:textId="77777777" w:rsidR="0000369C" w:rsidRPr="00FB583E" w:rsidRDefault="0000369C" w:rsidP="0000369C">
      <w:pPr>
        <w:ind w:firstLine="708"/>
        <w:rPr>
          <w:rFonts w:cs="Times New Roman"/>
          <w:b/>
          <w:szCs w:val="24"/>
        </w:rPr>
      </w:pPr>
      <w:r w:rsidRPr="00FB583E">
        <w:rPr>
          <w:rFonts w:cs="Times New Roman"/>
          <w:b/>
          <w:szCs w:val="24"/>
        </w:rPr>
        <w:t xml:space="preserve">Лекарственная терапия </w:t>
      </w:r>
    </w:p>
    <w:p w14:paraId="61BC14C5" w14:textId="77777777" w:rsidR="0000369C" w:rsidRPr="00FB583E" w:rsidRDefault="0000369C" w:rsidP="00C5490F">
      <w:pPr>
        <w:pStyle w:val="afe"/>
        <w:numPr>
          <w:ilvl w:val="0"/>
          <w:numId w:val="84"/>
        </w:numPr>
        <w:rPr>
          <w:rFonts w:cs="Times New Roman"/>
          <w:szCs w:val="24"/>
        </w:rPr>
      </w:pPr>
      <w:r w:rsidRPr="00FB583E">
        <w:rPr>
          <w:rFonts w:cs="Times New Roman"/>
          <w:szCs w:val="24"/>
        </w:rPr>
        <w:t>Антибактериальная, противовирусная, противогрибковая терапия согласно выявленной инфекции</w:t>
      </w:r>
    </w:p>
    <w:p w14:paraId="0775BD8F" w14:textId="77777777" w:rsidR="0000369C" w:rsidRPr="00FB583E" w:rsidRDefault="0000369C" w:rsidP="00C5490F">
      <w:pPr>
        <w:pStyle w:val="afe"/>
        <w:numPr>
          <w:ilvl w:val="0"/>
          <w:numId w:val="84"/>
        </w:numPr>
        <w:rPr>
          <w:rFonts w:cs="Times New Roman"/>
          <w:szCs w:val="24"/>
        </w:rPr>
      </w:pPr>
      <w:r w:rsidRPr="00FB583E">
        <w:rPr>
          <w:rFonts w:cs="Times New Roman"/>
          <w:szCs w:val="24"/>
        </w:rPr>
        <w:t>Противоэпилептическая терапия, в том числе: леветирацетам в/в, табл; конвулекс в/в, таб; прегабалин капс; габапентин таб, клоназепам таб; фенобарбитал таб, окскарбазепин таб, ламотриджил таб, диазепам в/в, таб.</w:t>
      </w:r>
    </w:p>
    <w:p w14:paraId="4AF5D151"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Противоотечные препараты – маннитол в/в, лазикс в/в, ацетазоламид (диакарб) в таб. </w:t>
      </w:r>
    </w:p>
    <w:p w14:paraId="536BFD5F" w14:textId="77777777" w:rsidR="0000369C" w:rsidRPr="00FB583E" w:rsidRDefault="0000369C" w:rsidP="00C5490F">
      <w:pPr>
        <w:pStyle w:val="afe"/>
        <w:numPr>
          <w:ilvl w:val="0"/>
          <w:numId w:val="84"/>
        </w:numPr>
        <w:rPr>
          <w:rFonts w:cs="Times New Roman"/>
          <w:szCs w:val="24"/>
        </w:rPr>
      </w:pPr>
      <w:r w:rsidRPr="00FB583E">
        <w:rPr>
          <w:rFonts w:cs="Times New Roman"/>
          <w:szCs w:val="24"/>
        </w:rPr>
        <w:t>Противорвотная терапия – ондансетрон в/в</w:t>
      </w:r>
    </w:p>
    <w:p w14:paraId="70E40365" w14:textId="77777777" w:rsidR="0000369C" w:rsidRPr="00FB583E" w:rsidRDefault="0000369C" w:rsidP="00C5490F">
      <w:pPr>
        <w:pStyle w:val="afe"/>
        <w:numPr>
          <w:ilvl w:val="0"/>
          <w:numId w:val="84"/>
        </w:numPr>
        <w:rPr>
          <w:rFonts w:cs="Times New Roman"/>
          <w:szCs w:val="24"/>
        </w:rPr>
      </w:pPr>
      <w:r w:rsidRPr="00FB583E">
        <w:rPr>
          <w:rFonts w:cs="Times New Roman"/>
          <w:szCs w:val="24"/>
        </w:rPr>
        <w:t>Нейропротекторная терапия – аминофенилмаслянная кислота таб.</w:t>
      </w:r>
    </w:p>
    <w:p w14:paraId="76632A61" w14:textId="77777777" w:rsidR="0000369C" w:rsidRPr="00FB583E" w:rsidRDefault="0000369C" w:rsidP="00C5490F">
      <w:pPr>
        <w:pStyle w:val="afe"/>
        <w:numPr>
          <w:ilvl w:val="0"/>
          <w:numId w:val="84"/>
        </w:numPr>
        <w:rPr>
          <w:rFonts w:cs="Times New Roman"/>
          <w:szCs w:val="24"/>
        </w:rPr>
      </w:pPr>
      <w:r w:rsidRPr="00FB583E">
        <w:rPr>
          <w:rFonts w:cs="Times New Roman"/>
          <w:szCs w:val="24"/>
        </w:rPr>
        <w:t>Антидепрессанты –  по назначению психиатра</w:t>
      </w:r>
    </w:p>
    <w:p w14:paraId="555DD2A2"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Витаминотерапия </w:t>
      </w:r>
    </w:p>
    <w:p w14:paraId="0B667363" w14:textId="77777777" w:rsidR="0000369C" w:rsidRPr="00FB583E" w:rsidRDefault="0000369C" w:rsidP="0000369C">
      <w:pPr>
        <w:rPr>
          <w:rFonts w:cs="Times New Roman"/>
          <w:szCs w:val="24"/>
        </w:rPr>
      </w:pPr>
    </w:p>
    <w:p w14:paraId="74654AF8" w14:textId="77777777" w:rsidR="0000369C" w:rsidRPr="00FB583E" w:rsidRDefault="0000369C" w:rsidP="0000369C">
      <w:pPr>
        <w:rPr>
          <w:rFonts w:cs="Times New Roman"/>
          <w:i/>
          <w:szCs w:val="24"/>
          <w:u w:val="single"/>
        </w:rPr>
      </w:pPr>
      <w:r w:rsidRPr="00FB583E">
        <w:rPr>
          <w:rFonts w:cs="Times New Roman"/>
          <w:i/>
          <w:szCs w:val="24"/>
          <w:u w:val="single"/>
        </w:rPr>
        <w:t>Когнитивные нарушения у гематологических пациентов.</w:t>
      </w:r>
    </w:p>
    <w:p w14:paraId="6CF9FA29" w14:textId="77777777" w:rsidR="0000369C" w:rsidRPr="00FB583E" w:rsidRDefault="0000369C" w:rsidP="0000369C">
      <w:pPr>
        <w:ind w:firstLine="708"/>
        <w:rPr>
          <w:rFonts w:cs="Times New Roman"/>
          <w:szCs w:val="24"/>
        </w:rPr>
      </w:pPr>
      <w:r w:rsidRPr="00FB583E">
        <w:rPr>
          <w:rFonts w:cs="Times New Roman"/>
          <w:szCs w:val="24"/>
        </w:rPr>
        <w:t>Гематологические заболевания и их терапия</w:t>
      </w:r>
      <w:r w:rsidRPr="00FB583E">
        <w:rPr>
          <w:rFonts w:eastAsia="+mj-ea" w:cs="Times New Roman"/>
          <w:bCs/>
          <w:color w:val="000000"/>
          <w:kern w:val="24"/>
          <w:szCs w:val="24"/>
        </w:rPr>
        <w:t xml:space="preserve"> иммунодепрессантами и цитотоксическими препаратами, а также высокоинтенсивная специфическая терапия, в том числе, трансплантация гемопоэтических стволовых клеток</w:t>
      </w:r>
      <w:r w:rsidRPr="00FB583E">
        <w:rPr>
          <w:rFonts w:cs="Times New Roman"/>
          <w:szCs w:val="24"/>
        </w:rPr>
        <w:t xml:space="preserve"> могут приводить к формированию у пациентов когнитивных расстройств различной степени тяжести, которые сопровождаются изменениями нейрофизиологических показателей (ЭЭГ, ВП) и данных нейровизуализации (КТ, МРТ). Нарушение когнитивных функций усугубляет у пациента симптомы депрессии и тревоги.</w:t>
      </w:r>
    </w:p>
    <w:p w14:paraId="4CFEF0A7" w14:textId="77777777" w:rsidR="0000369C" w:rsidRPr="00FB583E" w:rsidRDefault="0000369C" w:rsidP="0000369C">
      <w:pPr>
        <w:ind w:firstLine="708"/>
        <w:rPr>
          <w:rFonts w:cs="Times New Roman"/>
          <w:color w:val="333333"/>
          <w:szCs w:val="24"/>
          <w:shd w:val="clear" w:color="auto" w:fill="FFFFFF"/>
        </w:rPr>
      </w:pPr>
      <w:r w:rsidRPr="00FB583E">
        <w:rPr>
          <w:rFonts w:cs="Times New Roman"/>
          <w:b/>
          <w:szCs w:val="24"/>
        </w:rPr>
        <w:t>Клинические проявления:</w:t>
      </w:r>
      <w:r>
        <w:rPr>
          <w:rFonts w:cs="Times New Roman"/>
          <w:b/>
          <w:szCs w:val="24"/>
        </w:rPr>
        <w:t xml:space="preserve"> </w:t>
      </w:r>
      <w:r w:rsidRPr="00FB583E">
        <w:rPr>
          <w:rFonts w:cs="Times New Roman"/>
          <w:szCs w:val="24"/>
        </w:rPr>
        <w:t>в</w:t>
      </w:r>
      <w:r w:rsidRPr="00FB583E">
        <w:rPr>
          <w:rFonts w:cs="Times New Roman"/>
          <w:color w:val="333333"/>
          <w:szCs w:val="24"/>
          <w:shd w:val="clear" w:color="auto" w:fill="FFFFFF"/>
        </w:rPr>
        <w:t xml:space="preserve"> соответствии с критериями </w:t>
      </w:r>
      <w:r w:rsidRPr="00FB583E">
        <w:rPr>
          <w:rFonts w:cs="Times New Roman"/>
          <w:color w:val="333333"/>
          <w:szCs w:val="24"/>
        </w:rPr>
        <w:t>Clinical Dementia Rating,</w:t>
      </w:r>
      <w:r w:rsidRPr="00FB583E">
        <w:rPr>
          <w:rFonts w:cs="Times New Roman"/>
          <w:color w:val="333333"/>
          <w:szCs w:val="24"/>
          <w:shd w:val="clear" w:color="auto" w:fill="FFFFFF"/>
        </w:rPr>
        <w:t xml:space="preserve"> для распознавания синдрома мягкой деменции необходимо выявление следующих признаков: постоянное умеренное снижение памяти, частичная дезориентировка во времени; нарушение абстрактного мышления; нарушение повседневной деятельности и проч. </w:t>
      </w:r>
    </w:p>
    <w:p w14:paraId="6B6316F3" w14:textId="77777777" w:rsidR="0000369C" w:rsidRPr="00FB583E" w:rsidRDefault="0000369C" w:rsidP="0000369C">
      <w:pPr>
        <w:ind w:firstLine="708"/>
        <w:rPr>
          <w:rFonts w:cs="Times New Roman"/>
          <w:b/>
          <w:szCs w:val="24"/>
        </w:rPr>
      </w:pPr>
      <w:r w:rsidRPr="00FB583E">
        <w:rPr>
          <w:rFonts w:cs="Times New Roman"/>
          <w:b/>
          <w:szCs w:val="24"/>
        </w:rPr>
        <w:t>Для первичной диагностики оценивается:</w:t>
      </w:r>
    </w:p>
    <w:p w14:paraId="537451C7"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жалобы; </w:t>
      </w:r>
    </w:p>
    <w:p w14:paraId="30720F8B"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анамнез; </w:t>
      </w:r>
    </w:p>
    <w:p w14:paraId="22CB0F94"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оценка функционального статуса по шкале Карновского; </w:t>
      </w:r>
    </w:p>
    <w:p w14:paraId="63217090"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неврологический статус с оценкой общемозговой, очаговой и менингеальной симптоматики; </w:t>
      </w:r>
    </w:p>
    <w:p w14:paraId="14E82F50"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оценка психологического статуса с использованием психометрических и нейропсихологических инструментов: Монреальская шкала оценки </w:t>
      </w:r>
      <w:r w:rsidRPr="00FB583E">
        <w:rPr>
          <w:rFonts w:cs="Times New Roman"/>
          <w:szCs w:val="24"/>
        </w:rPr>
        <w:lastRenderedPageBreak/>
        <w:t>когнитивных функций MoCA, Госпитальная шкала тревоги и депрессии HADS, «запоминание 10 слов», «запоминание 2 пары по 3 слова» , проба «кулак-ребро-ладонь», проба на реципрокную координацию, праксис позы пальцев, пробы Хеда, графомоторная проба, вербальная беглость (фонетическая и семантическая), таблицы Шульте, решение математических задач, счет по Крепелину, методика «от 100 по 7», пересказ рассказа;</w:t>
      </w:r>
    </w:p>
    <w:p w14:paraId="2A6BD23A"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оценка психического состояния; </w:t>
      </w:r>
    </w:p>
    <w:p w14:paraId="056CBD76" w14:textId="77777777" w:rsidR="0000369C" w:rsidRPr="00FB583E" w:rsidRDefault="0000369C" w:rsidP="00C5490F">
      <w:pPr>
        <w:pStyle w:val="afe"/>
        <w:numPr>
          <w:ilvl w:val="0"/>
          <w:numId w:val="84"/>
        </w:numPr>
        <w:rPr>
          <w:rFonts w:cs="Times New Roman"/>
          <w:szCs w:val="24"/>
        </w:rPr>
      </w:pPr>
      <w:r w:rsidRPr="00FB583E">
        <w:rPr>
          <w:rFonts w:cs="Times New Roman"/>
          <w:szCs w:val="24"/>
        </w:rPr>
        <w:t>нейрофизиологические исследования - ЭЭГ, КВП;</w:t>
      </w:r>
    </w:p>
    <w:p w14:paraId="37AD08CC" w14:textId="77777777" w:rsidR="0000369C" w:rsidRPr="00FB583E" w:rsidRDefault="0000369C" w:rsidP="00C5490F">
      <w:pPr>
        <w:pStyle w:val="afe"/>
        <w:numPr>
          <w:ilvl w:val="0"/>
          <w:numId w:val="84"/>
        </w:numPr>
        <w:rPr>
          <w:rFonts w:cs="Times New Roman"/>
          <w:szCs w:val="24"/>
        </w:rPr>
      </w:pPr>
      <w:r w:rsidRPr="00FB583E">
        <w:rPr>
          <w:rFonts w:cs="Times New Roman"/>
          <w:szCs w:val="24"/>
        </w:rPr>
        <w:t>нейровизуализационные исследования -  МРТ / КТ головного мозга.</w:t>
      </w:r>
    </w:p>
    <w:p w14:paraId="0437450B" w14:textId="77777777" w:rsidR="0000369C" w:rsidRPr="00FB583E" w:rsidRDefault="0000369C" w:rsidP="0000369C">
      <w:pPr>
        <w:ind w:left="12" w:firstLine="708"/>
        <w:rPr>
          <w:rFonts w:cs="Times New Roman"/>
          <w:b/>
          <w:szCs w:val="24"/>
        </w:rPr>
      </w:pPr>
      <w:r w:rsidRPr="00FB583E">
        <w:rPr>
          <w:rFonts w:cs="Times New Roman"/>
          <w:b/>
          <w:szCs w:val="24"/>
        </w:rPr>
        <w:t>Лабораторная диагностика:</w:t>
      </w:r>
      <w:r>
        <w:rPr>
          <w:rFonts w:cs="Times New Roman"/>
          <w:b/>
          <w:szCs w:val="24"/>
        </w:rPr>
        <w:t xml:space="preserve"> </w:t>
      </w:r>
      <w:r w:rsidRPr="00FB583E">
        <w:rPr>
          <w:rFonts w:cs="Times New Roman"/>
          <w:szCs w:val="24"/>
        </w:rPr>
        <w:t xml:space="preserve">по назначению гематолога. </w:t>
      </w:r>
      <w:r w:rsidRPr="00FB583E">
        <w:rPr>
          <w:rFonts w:cs="Times New Roman"/>
          <w:b/>
          <w:szCs w:val="24"/>
        </w:rPr>
        <w:t xml:space="preserve"> </w:t>
      </w:r>
    </w:p>
    <w:p w14:paraId="57605CAF" w14:textId="77777777" w:rsidR="0000369C" w:rsidRPr="00FB583E" w:rsidRDefault="0000369C" w:rsidP="0000369C">
      <w:pPr>
        <w:ind w:firstLine="708"/>
        <w:rPr>
          <w:rFonts w:cs="Times New Roman"/>
          <w:b/>
          <w:szCs w:val="24"/>
        </w:rPr>
      </w:pPr>
      <w:r w:rsidRPr="00FB583E">
        <w:rPr>
          <w:rFonts w:cs="Times New Roman"/>
          <w:b/>
          <w:szCs w:val="24"/>
        </w:rPr>
        <w:t>Инструментальная диагностика:</w:t>
      </w:r>
    </w:p>
    <w:p w14:paraId="26D08D6D"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КТ с внутривенным контрастированием или МРТ головного мозга </w:t>
      </w:r>
    </w:p>
    <w:p w14:paraId="29CE5EFF" w14:textId="77777777" w:rsidR="0000369C" w:rsidRPr="00FB583E" w:rsidRDefault="0000369C" w:rsidP="00C5490F">
      <w:pPr>
        <w:pStyle w:val="afe"/>
        <w:numPr>
          <w:ilvl w:val="0"/>
          <w:numId w:val="84"/>
        </w:numPr>
        <w:rPr>
          <w:rFonts w:cs="Times New Roman"/>
          <w:szCs w:val="24"/>
        </w:rPr>
      </w:pPr>
      <w:r w:rsidRPr="00FB583E">
        <w:rPr>
          <w:rFonts w:cs="Times New Roman"/>
          <w:szCs w:val="24"/>
        </w:rPr>
        <w:t>ЭЭГ с функциональными пробами для определения функционального состояния головного мозга и исключения эпиактивности</w:t>
      </w:r>
    </w:p>
    <w:p w14:paraId="6D1F32A7" w14:textId="77777777" w:rsidR="0000369C" w:rsidRPr="00FB583E" w:rsidRDefault="0000369C" w:rsidP="00C5490F">
      <w:pPr>
        <w:pStyle w:val="afe"/>
        <w:numPr>
          <w:ilvl w:val="0"/>
          <w:numId w:val="84"/>
        </w:numPr>
        <w:rPr>
          <w:rFonts w:cs="Times New Roman"/>
          <w:szCs w:val="24"/>
        </w:rPr>
      </w:pPr>
      <w:r w:rsidRPr="00FB583E">
        <w:rPr>
          <w:rFonts w:cs="Times New Roman"/>
          <w:szCs w:val="24"/>
        </w:rPr>
        <w:t>КВП</w:t>
      </w:r>
    </w:p>
    <w:p w14:paraId="60E71E96" w14:textId="77777777" w:rsidR="0000369C" w:rsidRPr="00FB583E" w:rsidRDefault="0000369C" w:rsidP="00C5490F">
      <w:pPr>
        <w:pStyle w:val="afe"/>
        <w:numPr>
          <w:ilvl w:val="0"/>
          <w:numId w:val="84"/>
        </w:numPr>
        <w:rPr>
          <w:rFonts w:cs="Times New Roman"/>
          <w:szCs w:val="24"/>
        </w:rPr>
      </w:pPr>
      <w:r w:rsidRPr="00FB583E">
        <w:rPr>
          <w:rFonts w:cs="Times New Roman"/>
          <w:szCs w:val="24"/>
        </w:rPr>
        <w:t xml:space="preserve">ВП различной модальности (по показаниям): ЗВП, КАСВП, ССВП </w:t>
      </w:r>
    </w:p>
    <w:p w14:paraId="1D8D4C51" w14:textId="77777777" w:rsidR="0000369C" w:rsidRPr="00FB583E" w:rsidRDefault="0000369C" w:rsidP="00C5490F">
      <w:pPr>
        <w:pStyle w:val="afe"/>
        <w:numPr>
          <w:ilvl w:val="0"/>
          <w:numId w:val="84"/>
        </w:numPr>
        <w:rPr>
          <w:rFonts w:cs="Times New Roman"/>
          <w:szCs w:val="24"/>
        </w:rPr>
      </w:pPr>
      <w:r w:rsidRPr="00FB583E">
        <w:rPr>
          <w:rFonts w:cs="Times New Roman"/>
          <w:szCs w:val="24"/>
        </w:rPr>
        <w:t>ТКМС (по показаниям)</w:t>
      </w:r>
    </w:p>
    <w:p w14:paraId="50B58183" w14:textId="77777777" w:rsidR="0000369C" w:rsidRPr="00FB583E" w:rsidRDefault="0000369C" w:rsidP="00C5490F">
      <w:pPr>
        <w:pStyle w:val="afe"/>
        <w:numPr>
          <w:ilvl w:val="0"/>
          <w:numId w:val="84"/>
        </w:numPr>
        <w:rPr>
          <w:rFonts w:cs="Times New Roman"/>
          <w:szCs w:val="24"/>
        </w:rPr>
      </w:pPr>
      <w:r w:rsidRPr="00FB583E">
        <w:rPr>
          <w:rFonts w:cs="Times New Roman"/>
          <w:szCs w:val="24"/>
        </w:rPr>
        <w:t>УЗДГ брахиоцефальных артерий и вен (по показаниям)</w:t>
      </w:r>
    </w:p>
    <w:p w14:paraId="5E36605F" w14:textId="77777777" w:rsidR="0000369C" w:rsidRPr="00FB583E" w:rsidRDefault="0000369C" w:rsidP="00C5490F">
      <w:pPr>
        <w:pStyle w:val="afe"/>
        <w:numPr>
          <w:ilvl w:val="0"/>
          <w:numId w:val="84"/>
        </w:numPr>
        <w:rPr>
          <w:rFonts w:cs="Times New Roman"/>
          <w:szCs w:val="24"/>
        </w:rPr>
      </w:pPr>
      <w:r w:rsidRPr="00FB583E">
        <w:rPr>
          <w:rFonts w:cs="Times New Roman"/>
          <w:szCs w:val="24"/>
        </w:rPr>
        <w:t>Консультация специалистов:</w:t>
      </w:r>
    </w:p>
    <w:p w14:paraId="671BF7EC" w14:textId="77777777" w:rsidR="0000369C" w:rsidRPr="00FB583E" w:rsidRDefault="0000369C" w:rsidP="00C5490F">
      <w:pPr>
        <w:pStyle w:val="afe"/>
        <w:numPr>
          <w:ilvl w:val="0"/>
          <w:numId w:val="84"/>
        </w:numPr>
        <w:rPr>
          <w:rFonts w:cs="Times New Roman"/>
          <w:szCs w:val="24"/>
        </w:rPr>
      </w:pPr>
      <w:r w:rsidRPr="00FB583E">
        <w:rPr>
          <w:rFonts w:cs="Times New Roman"/>
          <w:szCs w:val="24"/>
        </w:rPr>
        <w:t>Невролог – для оценки неврологического статуса</w:t>
      </w:r>
    </w:p>
    <w:p w14:paraId="370309A7" w14:textId="77777777" w:rsidR="0000369C" w:rsidRPr="00FB583E" w:rsidRDefault="0000369C" w:rsidP="00C5490F">
      <w:pPr>
        <w:pStyle w:val="afe"/>
        <w:numPr>
          <w:ilvl w:val="0"/>
          <w:numId w:val="84"/>
        </w:numPr>
        <w:rPr>
          <w:rFonts w:cs="Times New Roman"/>
          <w:szCs w:val="24"/>
        </w:rPr>
      </w:pPr>
      <w:r w:rsidRPr="00FB583E">
        <w:rPr>
          <w:rFonts w:cs="Times New Roman"/>
          <w:szCs w:val="24"/>
        </w:rPr>
        <w:t>Офтальмолог – для оценки состояния глазного дна</w:t>
      </w:r>
    </w:p>
    <w:p w14:paraId="0A961B3F" w14:textId="77777777" w:rsidR="0000369C" w:rsidRPr="00FB583E" w:rsidRDefault="0000369C" w:rsidP="00C5490F">
      <w:pPr>
        <w:pStyle w:val="afe"/>
        <w:numPr>
          <w:ilvl w:val="0"/>
          <w:numId w:val="84"/>
        </w:numPr>
        <w:rPr>
          <w:rFonts w:cs="Times New Roman"/>
          <w:szCs w:val="24"/>
        </w:rPr>
      </w:pPr>
      <w:r w:rsidRPr="00FB583E">
        <w:rPr>
          <w:rFonts w:cs="Times New Roman"/>
          <w:szCs w:val="24"/>
        </w:rPr>
        <w:t>Психиатр</w:t>
      </w:r>
    </w:p>
    <w:p w14:paraId="3B9FEF9E" w14:textId="77777777" w:rsidR="0000369C" w:rsidRPr="00FB583E" w:rsidRDefault="0000369C" w:rsidP="00C5490F">
      <w:pPr>
        <w:pStyle w:val="afe"/>
        <w:numPr>
          <w:ilvl w:val="0"/>
          <w:numId w:val="84"/>
        </w:numPr>
        <w:rPr>
          <w:rFonts w:cs="Times New Roman"/>
          <w:szCs w:val="24"/>
        </w:rPr>
      </w:pPr>
      <w:r w:rsidRPr="00FB583E">
        <w:rPr>
          <w:rFonts w:cs="Times New Roman"/>
          <w:szCs w:val="24"/>
        </w:rPr>
        <w:t>Психолог</w:t>
      </w:r>
    </w:p>
    <w:p w14:paraId="01B84EED" w14:textId="77777777" w:rsidR="0000369C" w:rsidRPr="00FB583E" w:rsidRDefault="0000369C" w:rsidP="00C5490F">
      <w:pPr>
        <w:pStyle w:val="afe"/>
        <w:numPr>
          <w:ilvl w:val="0"/>
          <w:numId w:val="84"/>
        </w:numPr>
        <w:rPr>
          <w:rFonts w:cs="Times New Roman"/>
          <w:szCs w:val="24"/>
        </w:rPr>
      </w:pPr>
      <w:r w:rsidRPr="00FB583E">
        <w:rPr>
          <w:rFonts w:cs="Times New Roman"/>
          <w:szCs w:val="24"/>
        </w:rPr>
        <w:t>радиолог (по показаниям)</w:t>
      </w:r>
    </w:p>
    <w:p w14:paraId="16B89B5D" w14:textId="77777777" w:rsidR="0000369C" w:rsidRPr="00FB583E" w:rsidRDefault="0000369C" w:rsidP="0000369C">
      <w:pPr>
        <w:ind w:firstLine="708"/>
        <w:rPr>
          <w:rFonts w:cs="Times New Roman"/>
          <w:b/>
          <w:szCs w:val="24"/>
        </w:rPr>
      </w:pPr>
      <w:r w:rsidRPr="00FB583E">
        <w:rPr>
          <w:rFonts w:cs="Times New Roman"/>
          <w:b/>
          <w:szCs w:val="24"/>
        </w:rPr>
        <w:t xml:space="preserve">Лекарственная терапия: </w:t>
      </w:r>
      <w:r w:rsidRPr="00FB583E">
        <w:rPr>
          <w:rFonts w:eastAsia="Times New Roman" w:cs="Times New Roman"/>
          <w:bCs/>
          <w:color w:val="000000"/>
          <w:szCs w:val="24"/>
          <w:lang w:eastAsia="ar-SA"/>
        </w:rPr>
        <w:t xml:space="preserve">нейропротективные препараты </w:t>
      </w:r>
      <w:r w:rsidRPr="00FB583E">
        <w:rPr>
          <w:rFonts w:cs="Times New Roman"/>
          <w:szCs w:val="24"/>
        </w:rPr>
        <w:t>назначаются пациентам, у которых выявляются когнитивные нарушения при отсутствии явных психопатологических расстройств (кроме астенических нарушений):</w:t>
      </w:r>
    </w:p>
    <w:p w14:paraId="432CFA48" w14:textId="77777777" w:rsidR="0000369C" w:rsidRPr="00FB583E" w:rsidRDefault="0000369C" w:rsidP="00C5490F">
      <w:pPr>
        <w:pStyle w:val="afe"/>
        <w:numPr>
          <w:ilvl w:val="0"/>
          <w:numId w:val="84"/>
        </w:numPr>
        <w:rPr>
          <w:rFonts w:cs="Times New Roman"/>
          <w:szCs w:val="24"/>
        </w:rPr>
      </w:pPr>
      <w:r w:rsidRPr="00FB583E">
        <w:rPr>
          <w:rFonts w:cs="Times New Roman"/>
          <w:szCs w:val="24"/>
        </w:rPr>
        <w:t>Цитиколин в/в -  4 недели.</w:t>
      </w:r>
    </w:p>
    <w:p w14:paraId="2F8A6F2E" w14:textId="77777777" w:rsidR="0000369C" w:rsidRPr="00FB583E" w:rsidRDefault="0000369C" w:rsidP="00C5490F">
      <w:pPr>
        <w:pStyle w:val="afe"/>
        <w:numPr>
          <w:ilvl w:val="0"/>
          <w:numId w:val="84"/>
        </w:numPr>
        <w:rPr>
          <w:rFonts w:cs="Times New Roman"/>
          <w:szCs w:val="24"/>
        </w:rPr>
      </w:pPr>
      <w:r w:rsidRPr="00FB583E">
        <w:rPr>
          <w:rFonts w:cs="Times New Roman"/>
          <w:szCs w:val="24"/>
        </w:rPr>
        <w:t>Холина альфоцерат в/в - 4 недели.</w:t>
      </w:r>
    </w:p>
    <w:p w14:paraId="6CD7F513" w14:textId="77777777" w:rsidR="0000369C" w:rsidRDefault="0000369C" w:rsidP="00C5490F">
      <w:pPr>
        <w:pStyle w:val="afe"/>
        <w:numPr>
          <w:ilvl w:val="0"/>
          <w:numId w:val="84"/>
        </w:numPr>
        <w:rPr>
          <w:rFonts w:cs="Times New Roman"/>
          <w:szCs w:val="24"/>
        </w:rPr>
      </w:pPr>
      <w:r w:rsidRPr="00FB583E">
        <w:rPr>
          <w:rFonts w:cs="Times New Roman"/>
          <w:szCs w:val="24"/>
        </w:rPr>
        <w:t>Ипидакрин (не применятся у больных с эпилепсией) в таблетках - 4 недели (дозы препаратов в соответствии с рекомендуемым для пациентов общесоматической сети и не зависящие от тяжести соматического состояния)</w:t>
      </w:r>
    </w:p>
    <w:p w14:paraId="33E1D10A" w14:textId="77777777" w:rsidR="0000369C" w:rsidRDefault="0000369C" w:rsidP="00C5490F">
      <w:pPr>
        <w:pStyle w:val="afe"/>
        <w:numPr>
          <w:ilvl w:val="0"/>
          <w:numId w:val="84"/>
        </w:numPr>
        <w:rPr>
          <w:rFonts w:cs="Times New Roman"/>
          <w:szCs w:val="24"/>
        </w:rPr>
      </w:pPr>
      <w:r w:rsidRPr="00FB583E">
        <w:rPr>
          <w:rFonts w:cs="Times New Roman"/>
          <w:szCs w:val="24"/>
        </w:rPr>
        <w:lastRenderedPageBreak/>
        <w:t>При психических нарушениях по рекомендации психиатра назначаются транквилизаторы, антидепрессанты, нейролептики (см. рекомендации психиатра)</w:t>
      </w:r>
    </w:p>
    <w:p w14:paraId="791D3F47" w14:textId="77777777" w:rsidR="0000369C" w:rsidRPr="00FB583E" w:rsidRDefault="0000369C" w:rsidP="00C5490F">
      <w:pPr>
        <w:pStyle w:val="afe"/>
        <w:numPr>
          <w:ilvl w:val="0"/>
          <w:numId w:val="84"/>
        </w:numPr>
        <w:rPr>
          <w:rFonts w:cs="Times New Roman"/>
          <w:szCs w:val="24"/>
        </w:rPr>
      </w:pPr>
      <w:r w:rsidRPr="00FB583E">
        <w:rPr>
          <w:rFonts w:eastAsia="Times New Roman" w:cs="Times New Roman"/>
          <w:bCs/>
          <w:color w:val="000000"/>
          <w:szCs w:val="24"/>
          <w:lang w:eastAsia="ar-SA"/>
        </w:rPr>
        <w:t>Когнитивно-поведенческая психотерапия с элементами психообразования по рекомендации психолога</w:t>
      </w:r>
    </w:p>
    <w:p w14:paraId="72116E0B" w14:textId="28177094" w:rsidR="0000369C" w:rsidRDefault="0000369C" w:rsidP="0000369C">
      <w:pPr>
        <w:pStyle w:val="afe"/>
        <w:autoSpaceDE w:val="0"/>
        <w:autoSpaceDN w:val="0"/>
        <w:adjustRightInd w:val="0"/>
        <w:rPr>
          <w:rFonts w:cs="Times New Roman"/>
          <w:szCs w:val="24"/>
        </w:rPr>
      </w:pPr>
    </w:p>
    <w:p w14:paraId="75428400" w14:textId="0202DBE9" w:rsidR="0000369C" w:rsidRPr="0000369C" w:rsidRDefault="0000369C" w:rsidP="0000369C">
      <w:pPr>
        <w:pStyle w:val="2"/>
      </w:pPr>
      <w:bookmarkStart w:id="66" w:name="_Toc67522253"/>
      <w:r w:rsidRPr="00A7029B">
        <w:t>7.</w:t>
      </w:r>
      <w:r>
        <w:t xml:space="preserve">15 </w:t>
      </w:r>
      <w:r w:rsidRPr="00DE09DF">
        <w:t>Диагностика и лечение психических расстройств у пациентов с гематологическими</w:t>
      </w:r>
      <w:r>
        <w:t xml:space="preserve"> </w:t>
      </w:r>
      <w:r w:rsidRPr="00DE09DF">
        <w:t>заболеваниями</w:t>
      </w:r>
      <w:bookmarkEnd w:id="66"/>
    </w:p>
    <w:p w14:paraId="020028BC" w14:textId="69CEDDC7" w:rsidR="0000369C" w:rsidRDefault="0000369C" w:rsidP="0000369C">
      <w:pPr>
        <w:pStyle w:val="1ff3"/>
        <w:spacing w:line="360" w:lineRule="auto"/>
        <w:ind w:firstLine="709"/>
        <w:jc w:val="both"/>
        <w:rPr>
          <w:sz w:val="24"/>
          <w:szCs w:val="24"/>
        </w:rPr>
      </w:pPr>
      <w:r w:rsidRPr="00512369">
        <w:rPr>
          <w:sz w:val="24"/>
          <w:szCs w:val="24"/>
        </w:rPr>
        <w:t xml:space="preserve">Эффективное лечение заболеваний системы крови может быть достигнуто только за счет реализации в полном объеме принципов, основанных на соблюдении дозы и интенсивности химиотерапевтического воздействия, что предполагает выполнение протокола лечения в максимально полном объеме. Нарушение этого принципа неизбежно приведет к нарушению принципа лечения. Затруднять реализацию протокола могут такие факторы, как токсические, инфекционные осложнения, и в </w:t>
      </w:r>
      <w:r>
        <w:rPr>
          <w:sz w:val="24"/>
          <w:szCs w:val="24"/>
        </w:rPr>
        <w:t>том числе</w:t>
      </w:r>
      <w:r w:rsidRPr="00512369">
        <w:rPr>
          <w:sz w:val="24"/>
          <w:szCs w:val="24"/>
        </w:rPr>
        <w:t xml:space="preserve"> психические нарушения. Кроме того, последние существенно нарушают качество жизни пациентов. Следовательно, их купирование является важным не только само по себе, но и способствует реализации химиотерапевтического протокола в полном объеме, т.е. влияет на результаты лечения. Психические расстройства при заболевани</w:t>
      </w:r>
      <w:r>
        <w:rPr>
          <w:sz w:val="24"/>
          <w:szCs w:val="24"/>
        </w:rPr>
        <w:t>ях</w:t>
      </w:r>
      <w:r w:rsidRPr="00512369">
        <w:rPr>
          <w:sz w:val="24"/>
          <w:szCs w:val="24"/>
        </w:rPr>
        <w:t xml:space="preserve"> системы крови характеризуются достаточно высокой частотой встречаемости, </w:t>
      </w:r>
      <w:r>
        <w:rPr>
          <w:sz w:val="24"/>
          <w:szCs w:val="24"/>
        </w:rPr>
        <w:t>п</w:t>
      </w:r>
      <w:r w:rsidRPr="00512369">
        <w:rPr>
          <w:sz w:val="24"/>
          <w:szCs w:val="24"/>
        </w:rPr>
        <w:t>о данным различных авторов составляющей</w:t>
      </w:r>
      <w:r>
        <w:rPr>
          <w:sz w:val="24"/>
          <w:szCs w:val="24"/>
        </w:rPr>
        <w:t xml:space="preserve"> </w:t>
      </w:r>
      <w:r w:rsidRPr="00512369">
        <w:rPr>
          <w:sz w:val="24"/>
          <w:szCs w:val="24"/>
        </w:rPr>
        <w:t xml:space="preserve"> 9,6-71,3%, в зависимости от используемых критериев и методов оценки психических расстройств</w:t>
      </w:r>
      <w:r w:rsidRPr="00070BE4">
        <w:rPr>
          <w:sz w:val="24"/>
          <w:szCs w:val="24"/>
        </w:rPr>
        <w:t xml:space="preserve"> </w:t>
      </w:r>
      <w:r>
        <w:rPr>
          <w:sz w:val="24"/>
          <w:szCs w:val="24"/>
        </w:rPr>
        <w:fldChar w:fldCharType="begin" w:fldLock="1"/>
      </w:r>
      <w:r>
        <w:rPr>
          <w:sz w:val="24"/>
          <w:szCs w:val="24"/>
        </w:rPr>
        <w:instrText>ADDIN CSL_CITATION {"citationItems":[{"id":"ITEM-1","itemData":{"DOI":"10.1200/JCO.2002.07.101","ISSN":"0732183X","PMID":"11919251","abstract":"Purpose: To determine the prevalence of psychiatric disorders during hospitalization for hematopoietic stem-cell transplantation (SCT) and to estimate their impact on hospital length of stay (LOS). Patients and Methods: In a prospective inpatient study conducted from July 1994 to August 1997, 220 patients aged 16 to 65 years received SCT for hematologic cancer at a single institution. Patients received a psychiatric assessment at hospital admission and weekly during hospitalization until discharge or death, yielding a total of 1,062 psychiatric interviews performed. Psychiatric disorders were determined on the basis of the Diagnostic and Statistical Manual of Mental Disorders, Fourth Edition. Univariate and multivariate linear regression analyses were used to identify variables associated with LOS. Results: Overall psychiatric disorder prevalence was 44.1%; an adjustment disorder was diagnosed in 22.7% of patients, a mood disorder in 14.1%, an anxiety disorder in 8.2%, and delirium in 7.3%. After adjusting for admission and in-hospital risk factors, diagnosis of any mood, anxiety, or adjustment disorder (P = .022), chronic myelogenous leukemia (P = .003), Karnofsky performance score less than 90 at hospital admission (P = .025), and higher regimen-related toxicity (P &lt; .001) were associated with a longer LOS. Acute lymphoblastic leukemia (P = .009), non Hodgkin's lymphoma (P = .04), use of peripheral-blood stem cells (P &lt; .001), second year of study (P &lt; .001), and third year of study (P &lt; .001) were associated with a shorter LOS. Conclusion: Our data indicate high psychiatric morbidity and an association with longer LOS, underscoring the need for early recognition and effective treatment. © 2002 by American Society of Clinical Oncology.","author":[{"dropping-particle":"","family":"Prieto","given":"Jesús M.","non-dropping-particle":"","parse-names":false,"suffix":""},{"dropping-particle":"","family":"Blanch","given":"Jordi","non-dropping-particle":"","parse-names":false,"suffix":""},{"dropping-particle":"","family":"Atala","given":"Jorge","non-dropping-particle":"","parse-names":false,"suffix":""},{"dropping-particle":"","family":"Carreras","given":"Enric","non-dropping-particle":"","parse-names":false,"suffix":""},{"dropping-particle":"","family":"Rovira","given":"Montserrat","non-dropping-particle":"","parse-names":false,"suffix":""},{"dropping-particle":"","family":"Cirera","given":"Esteve","non-dropping-particle":"","parse-names":false,"suffix":""},{"dropping-particle":"","family":"Gastó","given":"Cristóbal","non-dropping-particle":"","parse-names":false,"suffix":""}],"container-title":"Journal of Clinical Oncology","id":"ITEM-1","issue":"7","issued":{"date-parts":[["2002","4","1"]]},"page":"1907-1917","publisher":"J Clin Oncol","title":"Psychiatric morbidity and impact on hospital length of stay among hematologic cancer patients receiving stem-cell transplantation","type":"article-journal","volume":"20"},"uris":["http://www.mendeley.com/documents/?uuid=b68ecace-88cd-3b2e-8319-91582dc057b0"]},{"id":"ITEM-2","itemData":{"DOI":"10.1016/S1470-2045(11)70002-X","ISSN":"14702045","PMID":"21251875","abstract":"Background: Substantial uncertainty exists about prevalence of mood disorders in patients with cancer, including those in oncological, haematological, and palliative-care settings. We aimed to quantitatively summarise the prevalence of depression, anxiety, and adjustments disorders in these settings. Methods: We searched Medline, PsycINFO, Embase, and Web of Knowledge for studies that examined well-defined depression, anxiety, and adjustment disorder in adults with cancer in oncological, haematological, and palliative-care settings. We restricted studies to those using psychiatric interviews. Studies were reviewed in accordance with PRISMA guidelines and a proportion meta-analysis was done. Findings: We identified 24 studies with 4007 individuals across seven countries in palliative-care settings. Meta-analytical pooled prevalence of depression defined by the Diagnostic and Statistical Manual of Mental Disorders (DSM) or International Classification of Diseases (ICD) criteria was 16·5% (95% CI 13·1-20·3), 14·3% (11·1-17·9) for DSM-defined major depression, and 9·6% (3·6-18·1) for DSM-defined minor depression. Prevalence of adjustment disorder alone was 15·4% (10·1-21·6) and of anxiety disorders 9·8% (6·8-13·2). Prevalence of all types of depression combined was of 24·6% (17·5-32·4), depression or adjustment disorder 24·7% (20·8-28·8), and all types of mood disorder 29·0% (10·1-52·9). We identified 70 studies with 10 071 individuals across 14 countries in oncological and haematological settings. Prevalence of depression by DSM or ICD criteria was 16·3% (13·4-19·5); for DSM-defined major depression it was 14·9% (12·2-17·7) and for DSM-defined minor depression 19·2% (9·1-31·9). Prevalence of adjustment disorder was 19·4% (14·5-24·8), anxiety 10·3% (5·1-17·0), and dysthymia 2·7% (1·7-4·0). Combination diagnoses were common; all types of depression occurred in 20·7% (12·9-29·8) of patients, depression or adjustment disorder in 31·6% (25·0-38·7), and any mood disorder in 38·2% (28·4-48·6). There were few consistent correlates of depression: there was no effect of age, sex, or clinical setting and inadequate data to examine cancer type and illness duration. Interpretation: Interview-defined depression and anxiety is less common in patients with cancer than previously thought, although some combination of mood disorders occurs in 30-40% of patients in hospital settings without a significant difference between palliative-care and non-palliative-care settings. Cl…","author":[{"dropping-particle":"","family":"Mitchell","given":"Alex J.","non-dropping-particle":"","parse-names":false,"suffix":""},{"dropping-particle":"","family":"Chan","given":"Melissa","non-dropping-particle":"","parse-names":false,"suffix":""},{"dropping-particle":"","family":"Bhatti","given":"Henna","non-dropping-particle":"","parse-names":false,"suffix":""},{"dropping-particle":"","family":"Halton","given":"Marie","non-dropping-particle":"","parse-names":false,"suffix":""},{"dropping-particle":"","family":"Grassi","given":"Luigi","non-dropping-particle":"","parse-names":false,"suffix":""},{"dropping-particle":"","family":"Johansen","given":"Christoffer","non-dropping-particle":"","parse-names":false,"suffix":""},{"dropping-particle":"","family":"Meader","given":"Nicholas","non-dropping-particle":"","parse-names":false,"suffix":""}],"container-title":"The Lancet Oncology","id":"ITEM-2","issue":"2","issued":{"date-parts":[["2011","2"]]},"page":"160-174","publisher":"Lancet Oncol","title":"Prevalence of depression, anxiety, and adjustment disorder in oncological, haematological, and palliative-care settings: A meta-analysis of 94 interview-based studies","type":"article-journal","volume":"12"},"uris":["http://www.mendeley.com/documents/?uuid=0f9b5be6-7f93-39b0-b12e-e53970fd252f"]}],"mendeley":{"formattedCitation":"[105,106]","plainTextFormattedCitation":"[105,106]","previouslyFormattedCitation":"[105,106]"},"properties":{"noteIndex":0},"schema":"https://github.com/citation-style-language/schema/raw/master/csl-citation.json"}</w:instrText>
      </w:r>
      <w:r>
        <w:rPr>
          <w:sz w:val="24"/>
          <w:szCs w:val="24"/>
        </w:rPr>
        <w:fldChar w:fldCharType="separate"/>
      </w:r>
      <w:r w:rsidRPr="0000369C">
        <w:rPr>
          <w:noProof/>
          <w:sz w:val="24"/>
          <w:szCs w:val="24"/>
        </w:rPr>
        <w:t>[105,106]</w:t>
      </w:r>
      <w:r>
        <w:rPr>
          <w:sz w:val="24"/>
          <w:szCs w:val="24"/>
        </w:rPr>
        <w:fldChar w:fldCharType="end"/>
      </w:r>
      <w:r w:rsidRPr="00512369">
        <w:rPr>
          <w:sz w:val="24"/>
          <w:szCs w:val="24"/>
        </w:rPr>
        <w:t>.</w:t>
      </w:r>
    </w:p>
    <w:p w14:paraId="5B275377" w14:textId="77777777" w:rsidR="0000369C" w:rsidRPr="00512369" w:rsidRDefault="0000369C" w:rsidP="0000369C">
      <w:pPr>
        <w:pStyle w:val="1ff3"/>
        <w:spacing w:line="360" w:lineRule="auto"/>
        <w:ind w:firstLine="709"/>
        <w:jc w:val="both"/>
        <w:rPr>
          <w:sz w:val="24"/>
          <w:szCs w:val="24"/>
        </w:rPr>
      </w:pPr>
    </w:p>
    <w:p w14:paraId="0EB9EBA8" w14:textId="77777777" w:rsidR="0000369C" w:rsidRPr="00070BE4" w:rsidRDefault="0000369C" w:rsidP="0000369C">
      <w:pPr>
        <w:rPr>
          <w:rFonts w:cs="Times New Roman"/>
          <w:i/>
          <w:szCs w:val="24"/>
          <w:u w:val="single"/>
        </w:rPr>
      </w:pPr>
      <w:r w:rsidRPr="00070BE4">
        <w:rPr>
          <w:rFonts w:cs="Times New Roman"/>
          <w:i/>
          <w:szCs w:val="24"/>
          <w:u w:val="single"/>
        </w:rPr>
        <w:t>Клинические проявления</w:t>
      </w:r>
    </w:p>
    <w:p w14:paraId="0D9233F9" w14:textId="5DC3C85B" w:rsidR="0000369C" w:rsidRDefault="0000369C" w:rsidP="0000369C">
      <w:pPr>
        <w:pStyle w:val="1ff3"/>
        <w:spacing w:line="360" w:lineRule="auto"/>
        <w:ind w:firstLine="709"/>
        <w:jc w:val="both"/>
        <w:rPr>
          <w:sz w:val="24"/>
          <w:szCs w:val="24"/>
        </w:rPr>
      </w:pPr>
      <w:r w:rsidRPr="00512369">
        <w:rPr>
          <w:sz w:val="24"/>
          <w:szCs w:val="24"/>
        </w:rPr>
        <w:t xml:space="preserve">Среди психических расстройств у больных </w:t>
      </w:r>
      <w:r>
        <w:rPr>
          <w:sz w:val="24"/>
          <w:szCs w:val="24"/>
        </w:rPr>
        <w:t xml:space="preserve">с </w:t>
      </w:r>
      <w:r w:rsidRPr="003319F9">
        <w:rPr>
          <w:sz w:val="24"/>
          <w:szCs w:val="24"/>
        </w:rPr>
        <w:t>гематологическими</w:t>
      </w:r>
      <w:r>
        <w:rPr>
          <w:sz w:val="24"/>
          <w:szCs w:val="24"/>
        </w:rPr>
        <w:t xml:space="preserve"> </w:t>
      </w:r>
      <w:r w:rsidRPr="003319F9">
        <w:rPr>
          <w:sz w:val="24"/>
          <w:szCs w:val="24"/>
        </w:rPr>
        <w:t>заболеваниями</w:t>
      </w:r>
      <w:r w:rsidRPr="00512369">
        <w:rPr>
          <w:sz w:val="24"/>
          <w:szCs w:val="24"/>
        </w:rPr>
        <w:t xml:space="preserve"> традиционно рассматриваются </w:t>
      </w:r>
      <w:r>
        <w:rPr>
          <w:sz w:val="24"/>
          <w:szCs w:val="24"/>
        </w:rPr>
        <w:t>две</w:t>
      </w:r>
      <w:r w:rsidRPr="00512369">
        <w:rPr>
          <w:sz w:val="24"/>
          <w:szCs w:val="24"/>
        </w:rPr>
        <w:t xml:space="preserve"> категории нарушений</w:t>
      </w:r>
      <w:r>
        <w:rPr>
          <w:sz w:val="24"/>
          <w:szCs w:val="24"/>
        </w:rPr>
        <w:t>:</w:t>
      </w:r>
    </w:p>
    <w:p w14:paraId="3CE083D1" w14:textId="77777777" w:rsidR="0000369C" w:rsidRDefault="0000369C" w:rsidP="00C5490F">
      <w:pPr>
        <w:pStyle w:val="1ff3"/>
        <w:numPr>
          <w:ilvl w:val="0"/>
          <w:numId w:val="115"/>
        </w:numPr>
        <w:overflowPunct/>
        <w:autoSpaceDE/>
        <w:autoSpaceDN/>
        <w:adjustRightInd/>
        <w:spacing w:line="360" w:lineRule="auto"/>
        <w:jc w:val="both"/>
        <w:textAlignment w:val="auto"/>
        <w:rPr>
          <w:sz w:val="24"/>
          <w:szCs w:val="24"/>
        </w:rPr>
      </w:pPr>
      <w:r w:rsidRPr="00512369">
        <w:rPr>
          <w:sz w:val="24"/>
          <w:szCs w:val="24"/>
        </w:rPr>
        <w:t>соматогенные психозы</w:t>
      </w:r>
      <w:r>
        <w:rPr>
          <w:sz w:val="24"/>
          <w:szCs w:val="24"/>
        </w:rPr>
        <w:t>, включающие:</w:t>
      </w:r>
    </w:p>
    <w:p w14:paraId="0C2DB0C9" w14:textId="77777777" w:rsidR="0000369C" w:rsidRDefault="0000369C" w:rsidP="00C5490F">
      <w:pPr>
        <w:pStyle w:val="1ff3"/>
        <w:numPr>
          <w:ilvl w:val="1"/>
          <w:numId w:val="115"/>
        </w:numPr>
        <w:overflowPunct/>
        <w:autoSpaceDE/>
        <w:autoSpaceDN/>
        <w:adjustRightInd/>
        <w:spacing w:line="360" w:lineRule="auto"/>
        <w:jc w:val="both"/>
        <w:textAlignment w:val="auto"/>
        <w:rPr>
          <w:sz w:val="24"/>
          <w:szCs w:val="24"/>
        </w:rPr>
      </w:pPr>
      <w:r w:rsidRPr="00512369">
        <w:rPr>
          <w:sz w:val="24"/>
          <w:szCs w:val="24"/>
        </w:rPr>
        <w:t>делирий (F05.0 Делирий не на фоне демен</w:t>
      </w:r>
      <w:r>
        <w:rPr>
          <w:sz w:val="24"/>
          <w:szCs w:val="24"/>
        </w:rPr>
        <w:t xml:space="preserve">ции, так описанный); </w:t>
      </w:r>
    </w:p>
    <w:p w14:paraId="4FE3C9EA" w14:textId="77777777" w:rsidR="0000369C" w:rsidRDefault="0000369C" w:rsidP="00C5490F">
      <w:pPr>
        <w:pStyle w:val="1ff3"/>
        <w:numPr>
          <w:ilvl w:val="1"/>
          <w:numId w:val="115"/>
        </w:numPr>
        <w:overflowPunct/>
        <w:autoSpaceDE/>
        <w:autoSpaceDN/>
        <w:adjustRightInd/>
        <w:spacing w:line="360" w:lineRule="auto"/>
        <w:jc w:val="both"/>
        <w:textAlignment w:val="auto"/>
        <w:rPr>
          <w:sz w:val="24"/>
          <w:szCs w:val="24"/>
        </w:rPr>
      </w:pPr>
      <w:r w:rsidRPr="00512369">
        <w:rPr>
          <w:sz w:val="24"/>
          <w:szCs w:val="24"/>
        </w:rPr>
        <w:t>эндогеноморфные психозы (</w:t>
      </w:r>
      <w:r w:rsidRPr="00512369">
        <w:rPr>
          <w:bCs/>
          <w:sz w:val="24"/>
          <w:szCs w:val="24"/>
        </w:rPr>
        <w:t>F06.2 Органическое бредовое (</w:t>
      </w:r>
      <w:r>
        <w:rPr>
          <w:bCs/>
          <w:sz w:val="24"/>
          <w:szCs w:val="24"/>
        </w:rPr>
        <w:t>шизофреноподобное) расстройство</w:t>
      </w:r>
      <w:r w:rsidRPr="00512369">
        <w:rPr>
          <w:bCs/>
          <w:sz w:val="24"/>
          <w:szCs w:val="24"/>
        </w:rPr>
        <w:t xml:space="preserve">) </w:t>
      </w:r>
      <w:r>
        <w:rPr>
          <w:sz w:val="24"/>
          <w:szCs w:val="24"/>
        </w:rPr>
        <w:t xml:space="preserve">– </w:t>
      </w:r>
      <w:r w:rsidRPr="00512369">
        <w:rPr>
          <w:sz w:val="24"/>
          <w:szCs w:val="24"/>
        </w:rPr>
        <w:t xml:space="preserve">галлюцинаторно-бредовые, депрессивно-бредовые, </w:t>
      </w:r>
      <w:r>
        <w:rPr>
          <w:sz w:val="24"/>
          <w:szCs w:val="24"/>
        </w:rPr>
        <w:t>онейроидные симптомокомплексы;</w:t>
      </w:r>
    </w:p>
    <w:p w14:paraId="70C5E701" w14:textId="77777777" w:rsidR="0000369C" w:rsidRDefault="0000369C" w:rsidP="00C5490F">
      <w:pPr>
        <w:pStyle w:val="1ff3"/>
        <w:numPr>
          <w:ilvl w:val="1"/>
          <w:numId w:val="115"/>
        </w:numPr>
        <w:overflowPunct/>
        <w:autoSpaceDE/>
        <w:autoSpaceDN/>
        <w:adjustRightInd/>
        <w:spacing w:line="360" w:lineRule="auto"/>
        <w:jc w:val="both"/>
        <w:textAlignment w:val="auto"/>
        <w:rPr>
          <w:sz w:val="24"/>
          <w:szCs w:val="24"/>
        </w:rPr>
      </w:pPr>
      <w:r w:rsidRPr="00512369">
        <w:rPr>
          <w:sz w:val="24"/>
          <w:szCs w:val="24"/>
        </w:rPr>
        <w:t>соматогенно провоцированные обострения шизофрении (F20.0 Параноидная шизоф</w:t>
      </w:r>
      <w:r>
        <w:rPr>
          <w:sz w:val="24"/>
          <w:szCs w:val="24"/>
        </w:rPr>
        <w:t>рения);</w:t>
      </w:r>
    </w:p>
    <w:p w14:paraId="733BF8C3" w14:textId="77777777" w:rsidR="0000369C" w:rsidRDefault="0000369C" w:rsidP="00C5490F">
      <w:pPr>
        <w:pStyle w:val="1ff3"/>
        <w:numPr>
          <w:ilvl w:val="0"/>
          <w:numId w:val="115"/>
        </w:numPr>
        <w:overflowPunct/>
        <w:autoSpaceDE/>
        <w:autoSpaceDN/>
        <w:adjustRightInd/>
        <w:spacing w:line="360" w:lineRule="auto"/>
        <w:jc w:val="both"/>
        <w:textAlignment w:val="auto"/>
        <w:rPr>
          <w:sz w:val="24"/>
          <w:szCs w:val="24"/>
        </w:rPr>
      </w:pPr>
      <w:r>
        <w:rPr>
          <w:sz w:val="24"/>
          <w:szCs w:val="24"/>
        </w:rPr>
        <w:t xml:space="preserve">нозогенные реакции, включающие </w:t>
      </w:r>
      <w:r w:rsidRPr="00512369">
        <w:rPr>
          <w:sz w:val="24"/>
          <w:szCs w:val="24"/>
        </w:rPr>
        <w:t>психогении, сопряженные с соматическим заболеванием</w:t>
      </w:r>
      <w:r>
        <w:rPr>
          <w:sz w:val="24"/>
          <w:szCs w:val="24"/>
        </w:rPr>
        <w:t xml:space="preserve"> (</w:t>
      </w:r>
      <w:r w:rsidRPr="00512369">
        <w:rPr>
          <w:sz w:val="24"/>
          <w:szCs w:val="24"/>
          <w:lang w:val="en-US"/>
        </w:rPr>
        <w:t>F</w:t>
      </w:r>
      <w:r w:rsidRPr="00512369">
        <w:rPr>
          <w:sz w:val="24"/>
          <w:szCs w:val="24"/>
        </w:rPr>
        <w:t xml:space="preserve">43.2 </w:t>
      </w:r>
      <w:r>
        <w:rPr>
          <w:sz w:val="24"/>
          <w:szCs w:val="24"/>
        </w:rPr>
        <w:t>Р</w:t>
      </w:r>
      <w:r w:rsidRPr="00512369">
        <w:rPr>
          <w:sz w:val="24"/>
          <w:szCs w:val="24"/>
        </w:rPr>
        <w:t>асстрой</w:t>
      </w:r>
      <w:r>
        <w:rPr>
          <w:sz w:val="24"/>
          <w:szCs w:val="24"/>
        </w:rPr>
        <w:t>ство приспособительных реакций</w:t>
      </w:r>
      <w:r w:rsidRPr="00512369">
        <w:rPr>
          <w:sz w:val="24"/>
          <w:szCs w:val="24"/>
        </w:rPr>
        <w:t>).</w:t>
      </w:r>
    </w:p>
    <w:p w14:paraId="5EC34427" w14:textId="77777777" w:rsidR="0000369C" w:rsidRDefault="0000369C" w:rsidP="0000369C">
      <w:pPr>
        <w:rPr>
          <w:rFonts w:cs="Times New Roman"/>
          <w:b/>
          <w:szCs w:val="24"/>
        </w:rPr>
      </w:pPr>
    </w:p>
    <w:p w14:paraId="041A7AFE" w14:textId="77777777" w:rsidR="0000369C" w:rsidRPr="00E931A1" w:rsidRDefault="0000369C" w:rsidP="0000369C">
      <w:pPr>
        <w:rPr>
          <w:rFonts w:cs="Times New Roman"/>
          <w:i/>
          <w:szCs w:val="24"/>
          <w:u w:val="single"/>
        </w:rPr>
      </w:pPr>
      <w:r w:rsidRPr="00E931A1">
        <w:rPr>
          <w:rFonts w:cs="Times New Roman"/>
          <w:i/>
          <w:szCs w:val="24"/>
          <w:u w:val="single"/>
        </w:rPr>
        <w:t>Лекарственные терапия</w:t>
      </w:r>
    </w:p>
    <w:p w14:paraId="06ED0831" w14:textId="77777777" w:rsidR="0000369C" w:rsidRPr="00512369" w:rsidRDefault="0000369C" w:rsidP="0000369C">
      <w:pPr>
        <w:pStyle w:val="1ff3"/>
        <w:spacing w:line="360" w:lineRule="auto"/>
        <w:ind w:firstLine="709"/>
        <w:jc w:val="both"/>
        <w:rPr>
          <w:sz w:val="24"/>
          <w:szCs w:val="24"/>
        </w:rPr>
      </w:pPr>
      <w:r w:rsidRPr="00512369">
        <w:rPr>
          <w:sz w:val="24"/>
          <w:szCs w:val="24"/>
        </w:rPr>
        <w:t xml:space="preserve">Терапия соматогенных психозов у </w:t>
      </w:r>
      <w:r>
        <w:rPr>
          <w:sz w:val="24"/>
          <w:szCs w:val="24"/>
        </w:rPr>
        <w:t>гематологических</w:t>
      </w:r>
      <w:r w:rsidRPr="00512369">
        <w:rPr>
          <w:sz w:val="24"/>
          <w:szCs w:val="24"/>
        </w:rPr>
        <w:t xml:space="preserve"> </w:t>
      </w:r>
      <w:r>
        <w:rPr>
          <w:sz w:val="24"/>
          <w:szCs w:val="24"/>
        </w:rPr>
        <w:t>пациентов</w:t>
      </w:r>
      <w:r w:rsidRPr="00512369">
        <w:rPr>
          <w:sz w:val="24"/>
          <w:szCs w:val="24"/>
        </w:rPr>
        <w:t xml:space="preserve"> носит поэтапный характер. Целью первого этапа явля</w:t>
      </w:r>
      <w:r>
        <w:rPr>
          <w:sz w:val="24"/>
          <w:szCs w:val="24"/>
        </w:rPr>
        <w:t>ется</w:t>
      </w:r>
      <w:r w:rsidRPr="00512369">
        <w:rPr>
          <w:sz w:val="24"/>
          <w:szCs w:val="24"/>
        </w:rPr>
        <w:t xml:space="preserve"> купирование психоза, второго – поддерживающее лечение, направленное на профилактику рецидива психотического расстройства.</w:t>
      </w:r>
    </w:p>
    <w:p w14:paraId="4E5FEFD4" w14:textId="77777777" w:rsidR="0000369C" w:rsidRPr="00512369" w:rsidRDefault="0000369C" w:rsidP="0000369C">
      <w:pPr>
        <w:pStyle w:val="1ff3"/>
        <w:spacing w:line="360" w:lineRule="auto"/>
        <w:ind w:firstLine="709"/>
        <w:jc w:val="both"/>
        <w:rPr>
          <w:sz w:val="24"/>
          <w:szCs w:val="24"/>
        </w:rPr>
      </w:pPr>
      <w:r w:rsidRPr="00512369">
        <w:rPr>
          <w:sz w:val="24"/>
          <w:szCs w:val="24"/>
        </w:rPr>
        <w:t xml:space="preserve">Предпочтение отдается внутривенному введению психотропных средств (в большинстве случаев - через венозный катетер), что соответствует рекомендациям по ведению </w:t>
      </w:r>
      <w:r>
        <w:rPr>
          <w:sz w:val="24"/>
          <w:szCs w:val="24"/>
        </w:rPr>
        <w:t>пациентов</w:t>
      </w:r>
      <w:r w:rsidRPr="00512369">
        <w:rPr>
          <w:sz w:val="24"/>
          <w:szCs w:val="24"/>
        </w:rPr>
        <w:t xml:space="preserve"> с заболеваниями системы крови [</w:t>
      </w:r>
      <w:r>
        <w:rPr>
          <w:sz w:val="24"/>
          <w:szCs w:val="24"/>
        </w:rPr>
        <w:t>Воробьев</w:t>
      </w:r>
      <w:r w:rsidRPr="006E6553">
        <w:rPr>
          <w:sz w:val="24"/>
          <w:szCs w:val="24"/>
        </w:rPr>
        <w:t xml:space="preserve"> </w:t>
      </w:r>
      <w:r w:rsidRPr="00512369">
        <w:rPr>
          <w:sz w:val="24"/>
          <w:szCs w:val="24"/>
        </w:rPr>
        <w:t>А.И.,</w:t>
      </w:r>
      <w:r>
        <w:rPr>
          <w:sz w:val="24"/>
          <w:szCs w:val="24"/>
        </w:rPr>
        <w:t xml:space="preserve"> </w:t>
      </w:r>
      <w:r w:rsidRPr="00512369">
        <w:rPr>
          <w:sz w:val="24"/>
          <w:szCs w:val="24"/>
        </w:rPr>
        <w:t>2005].</w:t>
      </w:r>
    </w:p>
    <w:p w14:paraId="5180826A" w14:textId="77777777" w:rsidR="0000369C" w:rsidRPr="00512369" w:rsidRDefault="0000369C" w:rsidP="0000369C">
      <w:pPr>
        <w:pStyle w:val="1ff3"/>
        <w:spacing w:line="360" w:lineRule="auto"/>
        <w:ind w:firstLine="709"/>
        <w:jc w:val="both"/>
        <w:rPr>
          <w:sz w:val="24"/>
          <w:szCs w:val="24"/>
        </w:rPr>
      </w:pPr>
      <w:r w:rsidRPr="00512369">
        <w:rPr>
          <w:sz w:val="24"/>
          <w:szCs w:val="24"/>
        </w:rPr>
        <w:t>При делириозных расстройствах сознания основной объем терапевтического вмешательства концентрируется на первом этапе; лечение непродолжительно и включает применение антипсихотиков бутирофенонового ряда (галоперидол до 15 мг/сут). При необходимости быстрой седации или купирования тревожных/инсомнических расстройств в терапевтическую схему вводится диазепам (до 20 мг/сут).</w:t>
      </w:r>
    </w:p>
    <w:p w14:paraId="4A17F3A6" w14:textId="77777777" w:rsidR="0000369C" w:rsidRPr="00512369" w:rsidRDefault="0000369C" w:rsidP="0000369C">
      <w:pPr>
        <w:pStyle w:val="1ff3"/>
        <w:spacing w:line="360" w:lineRule="auto"/>
        <w:ind w:firstLine="709"/>
        <w:jc w:val="both"/>
        <w:rPr>
          <w:sz w:val="24"/>
          <w:szCs w:val="24"/>
        </w:rPr>
      </w:pPr>
      <w:r w:rsidRPr="00512369">
        <w:rPr>
          <w:sz w:val="24"/>
          <w:szCs w:val="24"/>
        </w:rPr>
        <w:t>Терапия эндогеноморфных психозов требует более интенсивных воздействий (суточные дозы антипсихотиков повышаются: галоперидол до 20-30 мг) и большей длительности (до 2 недель). При умеренном и слабо выраженном психомоторном возбуждении у некоторых больных используется трифлуоперазин (до 10 мг/сут). На втором этапе лечения эндогеноморфных психозов дозировки применяемых психотропных средств снижаются (галоперидол до 5 мг/сут, трифлуоперазин до 5 мг/сут).</w:t>
      </w:r>
    </w:p>
    <w:p w14:paraId="13EB0AAA" w14:textId="77777777" w:rsidR="0000369C" w:rsidRDefault="0000369C" w:rsidP="0000369C">
      <w:pPr>
        <w:pStyle w:val="1ff3"/>
        <w:spacing w:line="360" w:lineRule="auto"/>
        <w:ind w:firstLine="709"/>
        <w:jc w:val="both"/>
        <w:rPr>
          <w:sz w:val="24"/>
          <w:szCs w:val="24"/>
        </w:rPr>
      </w:pPr>
      <w:r w:rsidRPr="00512369">
        <w:rPr>
          <w:sz w:val="24"/>
          <w:szCs w:val="24"/>
        </w:rPr>
        <w:t>Наиболее продолжительного (до 1,5-2 мес</w:t>
      </w:r>
      <w:r>
        <w:rPr>
          <w:sz w:val="24"/>
          <w:szCs w:val="24"/>
        </w:rPr>
        <w:t>.</w:t>
      </w:r>
      <w:r w:rsidRPr="00512369">
        <w:rPr>
          <w:sz w:val="24"/>
          <w:szCs w:val="24"/>
        </w:rPr>
        <w:t>) лечения с испо</w:t>
      </w:r>
      <w:r>
        <w:rPr>
          <w:sz w:val="24"/>
          <w:szCs w:val="24"/>
        </w:rPr>
        <w:t xml:space="preserve">льзованием указанных в </w:t>
      </w:r>
      <w:r w:rsidRPr="00E931A1">
        <w:rPr>
          <w:sz w:val="24"/>
          <w:szCs w:val="24"/>
        </w:rPr>
        <w:t>таблице 1 максимальных дозировок препаратов требуют соматогенно провоцированные приступы шизофрении. При этом назначения корректируются в соответствии с динамикой</w:t>
      </w:r>
      <w:r w:rsidRPr="00512369">
        <w:rPr>
          <w:sz w:val="24"/>
          <w:szCs w:val="24"/>
        </w:rPr>
        <w:t xml:space="preserve"> соматической патологии (снижаются при утяжелении соматического состояния).</w:t>
      </w:r>
    </w:p>
    <w:p w14:paraId="3B04C9B1" w14:textId="77777777" w:rsidR="0000369C" w:rsidRDefault="0000369C" w:rsidP="0000369C">
      <w:pPr>
        <w:pStyle w:val="1ff3"/>
        <w:spacing w:line="360" w:lineRule="auto"/>
        <w:jc w:val="both"/>
        <w:rPr>
          <w:b/>
          <w:sz w:val="24"/>
          <w:szCs w:val="24"/>
        </w:rPr>
      </w:pPr>
    </w:p>
    <w:p w14:paraId="41BA4C0A" w14:textId="77777777" w:rsidR="0000369C" w:rsidRPr="00E931A1" w:rsidRDefault="0000369C" w:rsidP="0000369C">
      <w:pPr>
        <w:pStyle w:val="1ff3"/>
        <w:spacing w:line="360" w:lineRule="auto"/>
        <w:jc w:val="both"/>
        <w:rPr>
          <w:sz w:val="24"/>
          <w:szCs w:val="24"/>
        </w:rPr>
      </w:pPr>
      <w:r w:rsidRPr="00E931A1">
        <w:rPr>
          <w:sz w:val="24"/>
          <w:szCs w:val="24"/>
        </w:rPr>
        <w:t>Таблица 1. Психотропные средства, использующиеся в терапии соматогенных психозов у больных с заболеваниями системы крови</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992"/>
        <w:gridCol w:w="850"/>
        <w:gridCol w:w="993"/>
        <w:gridCol w:w="1134"/>
        <w:gridCol w:w="1134"/>
        <w:gridCol w:w="850"/>
        <w:gridCol w:w="1134"/>
        <w:gridCol w:w="851"/>
        <w:gridCol w:w="992"/>
        <w:gridCol w:w="567"/>
      </w:tblGrid>
      <w:tr w:rsidR="0000369C" w:rsidRPr="00512369" w14:paraId="5FED4C1E" w14:textId="77777777" w:rsidTr="001C46FD">
        <w:trPr>
          <w:trHeight w:val="180"/>
        </w:trPr>
        <w:tc>
          <w:tcPr>
            <w:tcW w:w="1277" w:type="dxa"/>
            <w:vMerge w:val="restart"/>
          </w:tcPr>
          <w:p w14:paraId="2303F314" w14:textId="77777777" w:rsidR="0000369C" w:rsidRPr="00512369" w:rsidRDefault="0000369C" w:rsidP="001C46FD">
            <w:pPr>
              <w:rPr>
                <w:rFonts w:cs="Times New Roman"/>
                <w:b/>
                <w:szCs w:val="24"/>
              </w:rPr>
            </w:pPr>
            <w:r w:rsidRPr="00512369">
              <w:rPr>
                <w:rFonts w:cs="Times New Roman"/>
                <w:b/>
                <w:szCs w:val="24"/>
              </w:rPr>
              <w:t>Тип СП</w:t>
            </w:r>
          </w:p>
        </w:tc>
        <w:tc>
          <w:tcPr>
            <w:tcW w:w="1842" w:type="dxa"/>
            <w:gridSpan w:val="2"/>
          </w:tcPr>
          <w:p w14:paraId="6990F8C4" w14:textId="77777777" w:rsidR="0000369C" w:rsidRPr="00512369" w:rsidRDefault="0000369C" w:rsidP="001C46FD">
            <w:pPr>
              <w:rPr>
                <w:rFonts w:cs="Times New Roman"/>
                <w:szCs w:val="24"/>
              </w:rPr>
            </w:pPr>
            <w:r w:rsidRPr="00512369">
              <w:rPr>
                <w:rFonts w:cs="Times New Roman"/>
                <w:b/>
                <w:szCs w:val="24"/>
              </w:rPr>
              <w:t>Галоперидол</w:t>
            </w:r>
          </w:p>
        </w:tc>
        <w:tc>
          <w:tcPr>
            <w:tcW w:w="2127" w:type="dxa"/>
            <w:gridSpan w:val="2"/>
          </w:tcPr>
          <w:p w14:paraId="79A46160" w14:textId="77777777" w:rsidR="0000369C" w:rsidRPr="00512369" w:rsidRDefault="0000369C" w:rsidP="001C46FD">
            <w:pPr>
              <w:rPr>
                <w:rFonts w:cs="Times New Roman"/>
                <w:b/>
                <w:szCs w:val="24"/>
              </w:rPr>
            </w:pPr>
            <w:r w:rsidRPr="00512369">
              <w:rPr>
                <w:rFonts w:cs="Times New Roman"/>
                <w:b/>
                <w:szCs w:val="24"/>
              </w:rPr>
              <w:t>Трифлуоперазин</w:t>
            </w:r>
          </w:p>
        </w:tc>
        <w:tc>
          <w:tcPr>
            <w:tcW w:w="1984" w:type="dxa"/>
            <w:gridSpan w:val="2"/>
          </w:tcPr>
          <w:p w14:paraId="3238887A" w14:textId="77777777" w:rsidR="0000369C" w:rsidRPr="00512369" w:rsidRDefault="0000369C" w:rsidP="001C46FD">
            <w:pPr>
              <w:rPr>
                <w:rFonts w:cs="Times New Roman"/>
                <w:b/>
                <w:szCs w:val="24"/>
              </w:rPr>
            </w:pPr>
            <w:r w:rsidRPr="00512369">
              <w:rPr>
                <w:rFonts w:cs="Times New Roman"/>
                <w:b/>
                <w:szCs w:val="24"/>
              </w:rPr>
              <w:t>Рисперидон</w:t>
            </w:r>
          </w:p>
        </w:tc>
        <w:tc>
          <w:tcPr>
            <w:tcW w:w="1985" w:type="dxa"/>
            <w:gridSpan w:val="2"/>
          </w:tcPr>
          <w:p w14:paraId="3DD879AD" w14:textId="77777777" w:rsidR="0000369C" w:rsidRPr="00512369" w:rsidRDefault="0000369C" w:rsidP="001C46FD">
            <w:pPr>
              <w:rPr>
                <w:rFonts w:cs="Times New Roman"/>
                <w:b/>
                <w:szCs w:val="24"/>
              </w:rPr>
            </w:pPr>
            <w:r w:rsidRPr="00512369">
              <w:rPr>
                <w:rFonts w:cs="Times New Roman"/>
                <w:b/>
                <w:szCs w:val="24"/>
              </w:rPr>
              <w:t>Кветиапин</w:t>
            </w:r>
          </w:p>
        </w:tc>
        <w:tc>
          <w:tcPr>
            <w:tcW w:w="1559" w:type="dxa"/>
            <w:gridSpan w:val="2"/>
          </w:tcPr>
          <w:p w14:paraId="34C0B505" w14:textId="77777777" w:rsidR="0000369C" w:rsidRPr="00512369" w:rsidRDefault="0000369C" w:rsidP="001C46FD">
            <w:pPr>
              <w:rPr>
                <w:rFonts w:cs="Times New Roman"/>
                <w:b/>
                <w:szCs w:val="24"/>
              </w:rPr>
            </w:pPr>
            <w:r w:rsidRPr="00512369">
              <w:rPr>
                <w:rFonts w:cs="Times New Roman"/>
                <w:b/>
                <w:szCs w:val="24"/>
              </w:rPr>
              <w:t>Диазепам</w:t>
            </w:r>
          </w:p>
        </w:tc>
      </w:tr>
      <w:tr w:rsidR="0000369C" w:rsidRPr="00512369" w14:paraId="277BEBD2" w14:textId="77777777" w:rsidTr="001C46FD">
        <w:trPr>
          <w:cantSplit/>
          <w:trHeight w:val="266"/>
        </w:trPr>
        <w:tc>
          <w:tcPr>
            <w:tcW w:w="1277" w:type="dxa"/>
            <w:vMerge/>
          </w:tcPr>
          <w:p w14:paraId="2D8E09CB" w14:textId="77777777" w:rsidR="0000369C" w:rsidRPr="00512369" w:rsidRDefault="0000369C" w:rsidP="001C46FD">
            <w:pPr>
              <w:rPr>
                <w:rFonts w:cs="Times New Roman"/>
                <w:b/>
                <w:szCs w:val="24"/>
              </w:rPr>
            </w:pPr>
          </w:p>
        </w:tc>
        <w:tc>
          <w:tcPr>
            <w:tcW w:w="992" w:type="dxa"/>
          </w:tcPr>
          <w:p w14:paraId="3D1A83FE" w14:textId="77777777" w:rsidR="0000369C" w:rsidRPr="00512369" w:rsidRDefault="0000369C" w:rsidP="001C46FD">
            <w:pPr>
              <w:rPr>
                <w:rFonts w:cs="Times New Roman"/>
                <w:szCs w:val="24"/>
              </w:rPr>
            </w:pPr>
            <w:r w:rsidRPr="00512369">
              <w:rPr>
                <w:rFonts w:cs="Times New Roman"/>
                <w:szCs w:val="24"/>
              </w:rPr>
              <w:t>мг/сут</w:t>
            </w:r>
          </w:p>
        </w:tc>
        <w:tc>
          <w:tcPr>
            <w:tcW w:w="850" w:type="dxa"/>
          </w:tcPr>
          <w:p w14:paraId="3D46798C" w14:textId="77777777" w:rsidR="0000369C" w:rsidRPr="00512369" w:rsidRDefault="0000369C" w:rsidP="001C46FD">
            <w:pPr>
              <w:rPr>
                <w:rFonts w:cs="Times New Roman"/>
                <w:szCs w:val="24"/>
              </w:rPr>
            </w:pPr>
            <w:r w:rsidRPr="00512369">
              <w:rPr>
                <w:rFonts w:cs="Times New Roman"/>
                <w:szCs w:val="24"/>
              </w:rPr>
              <w:t>сут</w:t>
            </w:r>
          </w:p>
        </w:tc>
        <w:tc>
          <w:tcPr>
            <w:tcW w:w="993" w:type="dxa"/>
          </w:tcPr>
          <w:p w14:paraId="53B1B445" w14:textId="77777777" w:rsidR="0000369C" w:rsidRPr="00512369" w:rsidRDefault="0000369C" w:rsidP="001C46FD">
            <w:pPr>
              <w:rPr>
                <w:rFonts w:cs="Times New Roman"/>
                <w:szCs w:val="24"/>
              </w:rPr>
            </w:pPr>
            <w:r w:rsidRPr="00512369">
              <w:rPr>
                <w:rFonts w:cs="Times New Roman"/>
                <w:szCs w:val="24"/>
              </w:rPr>
              <w:t>мг/сут</w:t>
            </w:r>
          </w:p>
        </w:tc>
        <w:tc>
          <w:tcPr>
            <w:tcW w:w="1134" w:type="dxa"/>
          </w:tcPr>
          <w:p w14:paraId="635D8EAF" w14:textId="77777777" w:rsidR="0000369C" w:rsidRPr="00512369" w:rsidRDefault="0000369C" w:rsidP="001C46FD">
            <w:pPr>
              <w:rPr>
                <w:rFonts w:cs="Times New Roman"/>
                <w:szCs w:val="24"/>
              </w:rPr>
            </w:pPr>
            <w:r w:rsidRPr="00512369">
              <w:rPr>
                <w:rFonts w:cs="Times New Roman"/>
                <w:szCs w:val="24"/>
              </w:rPr>
              <w:t>сут</w:t>
            </w:r>
          </w:p>
        </w:tc>
        <w:tc>
          <w:tcPr>
            <w:tcW w:w="1134" w:type="dxa"/>
          </w:tcPr>
          <w:p w14:paraId="1737C4B1" w14:textId="77777777" w:rsidR="0000369C" w:rsidRPr="00512369" w:rsidRDefault="0000369C" w:rsidP="001C46FD">
            <w:pPr>
              <w:rPr>
                <w:rFonts w:cs="Times New Roman"/>
                <w:szCs w:val="24"/>
              </w:rPr>
            </w:pPr>
            <w:r w:rsidRPr="00512369">
              <w:rPr>
                <w:rFonts w:cs="Times New Roman"/>
                <w:szCs w:val="24"/>
              </w:rPr>
              <w:t>мг/сут</w:t>
            </w:r>
          </w:p>
        </w:tc>
        <w:tc>
          <w:tcPr>
            <w:tcW w:w="850" w:type="dxa"/>
          </w:tcPr>
          <w:p w14:paraId="51816A1B" w14:textId="77777777" w:rsidR="0000369C" w:rsidRPr="00512369" w:rsidRDefault="0000369C" w:rsidP="001C46FD">
            <w:pPr>
              <w:rPr>
                <w:rFonts w:cs="Times New Roman"/>
                <w:szCs w:val="24"/>
              </w:rPr>
            </w:pPr>
            <w:r w:rsidRPr="00512369">
              <w:rPr>
                <w:rFonts w:cs="Times New Roman"/>
                <w:szCs w:val="24"/>
              </w:rPr>
              <w:t>сут</w:t>
            </w:r>
          </w:p>
        </w:tc>
        <w:tc>
          <w:tcPr>
            <w:tcW w:w="1134" w:type="dxa"/>
          </w:tcPr>
          <w:p w14:paraId="6CD0634D" w14:textId="77777777" w:rsidR="0000369C" w:rsidRPr="00512369" w:rsidRDefault="0000369C" w:rsidP="001C46FD">
            <w:pPr>
              <w:rPr>
                <w:rFonts w:cs="Times New Roman"/>
                <w:szCs w:val="24"/>
              </w:rPr>
            </w:pPr>
            <w:r w:rsidRPr="00512369">
              <w:rPr>
                <w:rFonts w:cs="Times New Roman"/>
                <w:szCs w:val="24"/>
              </w:rPr>
              <w:t>мг/сут</w:t>
            </w:r>
          </w:p>
        </w:tc>
        <w:tc>
          <w:tcPr>
            <w:tcW w:w="851" w:type="dxa"/>
          </w:tcPr>
          <w:p w14:paraId="117E647B" w14:textId="77777777" w:rsidR="0000369C" w:rsidRPr="00512369" w:rsidRDefault="0000369C" w:rsidP="001C46FD">
            <w:pPr>
              <w:rPr>
                <w:rFonts w:cs="Times New Roman"/>
                <w:szCs w:val="24"/>
              </w:rPr>
            </w:pPr>
            <w:r w:rsidRPr="00512369">
              <w:rPr>
                <w:rFonts w:cs="Times New Roman"/>
                <w:szCs w:val="24"/>
              </w:rPr>
              <w:t>сут</w:t>
            </w:r>
          </w:p>
        </w:tc>
        <w:tc>
          <w:tcPr>
            <w:tcW w:w="992" w:type="dxa"/>
          </w:tcPr>
          <w:p w14:paraId="38E17E8D" w14:textId="77777777" w:rsidR="0000369C" w:rsidRPr="00512369" w:rsidRDefault="0000369C" w:rsidP="001C46FD">
            <w:pPr>
              <w:rPr>
                <w:rFonts w:cs="Times New Roman"/>
                <w:szCs w:val="24"/>
              </w:rPr>
            </w:pPr>
            <w:r w:rsidRPr="00512369">
              <w:rPr>
                <w:rFonts w:cs="Times New Roman"/>
                <w:szCs w:val="24"/>
              </w:rPr>
              <w:t>мг/сут</w:t>
            </w:r>
          </w:p>
        </w:tc>
        <w:tc>
          <w:tcPr>
            <w:tcW w:w="567" w:type="dxa"/>
          </w:tcPr>
          <w:p w14:paraId="3DC0C615" w14:textId="77777777" w:rsidR="0000369C" w:rsidRPr="00512369" w:rsidRDefault="0000369C" w:rsidP="001C46FD">
            <w:pPr>
              <w:rPr>
                <w:rFonts w:cs="Times New Roman"/>
                <w:szCs w:val="24"/>
              </w:rPr>
            </w:pPr>
            <w:r w:rsidRPr="00512369">
              <w:rPr>
                <w:rFonts w:cs="Times New Roman"/>
                <w:szCs w:val="24"/>
              </w:rPr>
              <w:t>сут</w:t>
            </w:r>
          </w:p>
        </w:tc>
      </w:tr>
      <w:tr w:rsidR="0000369C" w:rsidRPr="00512369" w14:paraId="3BA7D719" w14:textId="77777777" w:rsidTr="001C46FD">
        <w:trPr>
          <w:trHeight w:val="303"/>
        </w:trPr>
        <w:tc>
          <w:tcPr>
            <w:tcW w:w="1277" w:type="dxa"/>
          </w:tcPr>
          <w:p w14:paraId="5812A91C" w14:textId="77777777" w:rsidR="0000369C" w:rsidRPr="00512369" w:rsidRDefault="0000369C" w:rsidP="001C46FD">
            <w:pPr>
              <w:rPr>
                <w:rFonts w:cs="Times New Roman"/>
                <w:b/>
                <w:szCs w:val="24"/>
              </w:rPr>
            </w:pPr>
            <w:r w:rsidRPr="00512369">
              <w:rPr>
                <w:rFonts w:cs="Times New Roman"/>
                <w:b/>
                <w:szCs w:val="24"/>
              </w:rPr>
              <w:t>Делирий</w:t>
            </w:r>
          </w:p>
        </w:tc>
        <w:tc>
          <w:tcPr>
            <w:tcW w:w="992" w:type="dxa"/>
          </w:tcPr>
          <w:p w14:paraId="5EEE7E7F" w14:textId="77777777" w:rsidR="0000369C" w:rsidRPr="00512369" w:rsidRDefault="0000369C" w:rsidP="001C46FD">
            <w:pPr>
              <w:rPr>
                <w:rFonts w:cs="Times New Roman"/>
                <w:szCs w:val="24"/>
              </w:rPr>
            </w:pPr>
            <w:r w:rsidRPr="00512369">
              <w:rPr>
                <w:rFonts w:cs="Times New Roman"/>
                <w:szCs w:val="24"/>
              </w:rPr>
              <w:t>10-15</w:t>
            </w:r>
          </w:p>
        </w:tc>
        <w:tc>
          <w:tcPr>
            <w:tcW w:w="850" w:type="dxa"/>
          </w:tcPr>
          <w:p w14:paraId="7E77BA7B" w14:textId="77777777" w:rsidR="0000369C" w:rsidRPr="00512369" w:rsidRDefault="0000369C" w:rsidP="001C46FD">
            <w:pPr>
              <w:rPr>
                <w:rFonts w:cs="Times New Roman"/>
                <w:szCs w:val="24"/>
              </w:rPr>
            </w:pPr>
            <w:r w:rsidRPr="00512369">
              <w:rPr>
                <w:rFonts w:cs="Times New Roman"/>
                <w:szCs w:val="24"/>
              </w:rPr>
              <w:t>1-4</w:t>
            </w:r>
          </w:p>
        </w:tc>
        <w:tc>
          <w:tcPr>
            <w:tcW w:w="993" w:type="dxa"/>
          </w:tcPr>
          <w:p w14:paraId="5239F38C" w14:textId="77777777" w:rsidR="0000369C" w:rsidRPr="00512369" w:rsidRDefault="0000369C" w:rsidP="001C46FD">
            <w:pPr>
              <w:rPr>
                <w:rFonts w:cs="Times New Roman"/>
                <w:szCs w:val="24"/>
              </w:rPr>
            </w:pPr>
            <w:r w:rsidRPr="00512369">
              <w:rPr>
                <w:rFonts w:cs="Times New Roman"/>
                <w:szCs w:val="24"/>
              </w:rPr>
              <w:t>5-10</w:t>
            </w:r>
          </w:p>
        </w:tc>
        <w:tc>
          <w:tcPr>
            <w:tcW w:w="1134" w:type="dxa"/>
          </w:tcPr>
          <w:p w14:paraId="14412D3C" w14:textId="77777777" w:rsidR="0000369C" w:rsidRPr="00512369" w:rsidRDefault="0000369C" w:rsidP="001C46FD">
            <w:pPr>
              <w:rPr>
                <w:rFonts w:cs="Times New Roman"/>
                <w:szCs w:val="24"/>
              </w:rPr>
            </w:pPr>
            <w:r w:rsidRPr="00512369">
              <w:rPr>
                <w:rFonts w:cs="Times New Roman"/>
                <w:szCs w:val="24"/>
              </w:rPr>
              <w:t>1-2</w:t>
            </w:r>
          </w:p>
        </w:tc>
        <w:tc>
          <w:tcPr>
            <w:tcW w:w="1134" w:type="dxa"/>
          </w:tcPr>
          <w:p w14:paraId="23711570" w14:textId="77777777" w:rsidR="0000369C" w:rsidRPr="00512369" w:rsidRDefault="0000369C" w:rsidP="001C46FD">
            <w:pPr>
              <w:rPr>
                <w:rFonts w:cs="Times New Roman"/>
                <w:szCs w:val="24"/>
              </w:rPr>
            </w:pPr>
            <w:r w:rsidRPr="00512369">
              <w:rPr>
                <w:rFonts w:cs="Times New Roman"/>
                <w:szCs w:val="24"/>
              </w:rPr>
              <w:t>0,25–4,0</w:t>
            </w:r>
          </w:p>
        </w:tc>
        <w:tc>
          <w:tcPr>
            <w:tcW w:w="850" w:type="dxa"/>
          </w:tcPr>
          <w:p w14:paraId="44503DD5" w14:textId="77777777" w:rsidR="0000369C" w:rsidRPr="00512369" w:rsidRDefault="0000369C" w:rsidP="001C46FD">
            <w:pPr>
              <w:rPr>
                <w:rFonts w:cs="Times New Roman"/>
                <w:szCs w:val="24"/>
              </w:rPr>
            </w:pPr>
            <w:r w:rsidRPr="00512369">
              <w:rPr>
                <w:rFonts w:cs="Times New Roman"/>
                <w:szCs w:val="24"/>
              </w:rPr>
              <w:t>1-4</w:t>
            </w:r>
          </w:p>
        </w:tc>
        <w:tc>
          <w:tcPr>
            <w:tcW w:w="1134" w:type="dxa"/>
          </w:tcPr>
          <w:p w14:paraId="5560ED8B" w14:textId="77777777" w:rsidR="0000369C" w:rsidRPr="00512369" w:rsidRDefault="0000369C" w:rsidP="001C46FD">
            <w:pPr>
              <w:rPr>
                <w:rFonts w:cs="Times New Roman"/>
                <w:szCs w:val="24"/>
              </w:rPr>
            </w:pPr>
            <w:r w:rsidRPr="00512369">
              <w:rPr>
                <w:rFonts w:cs="Times New Roman"/>
                <w:szCs w:val="24"/>
              </w:rPr>
              <w:t>25-50</w:t>
            </w:r>
          </w:p>
        </w:tc>
        <w:tc>
          <w:tcPr>
            <w:tcW w:w="851" w:type="dxa"/>
          </w:tcPr>
          <w:p w14:paraId="0285CD2F" w14:textId="77777777" w:rsidR="0000369C" w:rsidRPr="00512369" w:rsidRDefault="0000369C" w:rsidP="001C46FD">
            <w:pPr>
              <w:rPr>
                <w:rFonts w:cs="Times New Roman"/>
                <w:szCs w:val="24"/>
              </w:rPr>
            </w:pPr>
            <w:r w:rsidRPr="00512369">
              <w:rPr>
                <w:rFonts w:cs="Times New Roman"/>
                <w:szCs w:val="24"/>
              </w:rPr>
              <w:t>1-4</w:t>
            </w:r>
          </w:p>
        </w:tc>
        <w:tc>
          <w:tcPr>
            <w:tcW w:w="992" w:type="dxa"/>
          </w:tcPr>
          <w:p w14:paraId="621D35D3" w14:textId="77777777" w:rsidR="0000369C" w:rsidRPr="00512369" w:rsidRDefault="0000369C" w:rsidP="001C46FD">
            <w:pPr>
              <w:rPr>
                <w:rFonts w:cs="Times New Roman"/>
                <w:szCs w:val="24"/>
              </w:rPr>
            </w:pPr>
            <w:r w:rsidRPr="00512369">
              <w:rPr>
                <w:rFonts w:cs="Times New Roman"/>
                <w:szCs w:val="24"/>
              </w:rPr>
              <w:t>10-20</w:t>
            </w:r>
          </w:p>
        </w:tc>
        <w:tc>
          <w:tcPr>
            <w:tcW w:w="567" w:type="dxa"/>
            <w:vMerge w:val="restart"/>
            <w:textDirection w:val="btLr"/>
          </w:tcPr>
          <w:p w14:paraId="15A6D0E0" w14:textId="77777777" w:rsidR="0000369C" w:rsidRPr="00325059" w:rsidRDefault="0000369C" w:rsidP="001C46FD">
            <w:pPr>
              <w:rPr>
                <w:rFonts w:cs="Times New Roman"/>
                <w:sz w:val="18"/>
                <w:szCs w:val="24"/>
              </w:rPr>
            </w:pPr>
            <w:r w:rsidRPr="00325059">
              <w:rPr>
                <w:rFonts w:cs="Times New Roman"/>
                <w:sz w:val="18"/>
                <w:szCs w:val="24"/>
              </w:rPr>
              <w:t>При необх</w:t>
            </w:r>
            <w:r>
              <w:rPr>
                <w:rFonts w:cs="Times New Roman"/>
                <w:sz w:val="18"/>
                <w:szCs w:val="24"/>
              </w:rPr>
              <w:t>одим</w:t>
            </w:r>
          </w:p>
        </w:tc>
      </w:tr>
      <w:tr w:rsidR="0000369C" w:rsidRPr="00512369" w14:paraId="74A427CB" w14:textId="77777777" w:rsidTr="001C46FD">
        <w:tc>
          <w:tcPr>
            <w:tcW w:w="1277" w:type="dxa"/>
          </w:tcPr>
          <w:p w14:paraId="30F3BCFD" w14:textId="77777777" w:rsidR="0000369C" w:rsidRPr="00512369" w:rsidRDefault="0000369C" w:rsidP="001C46FD">
            <w:pPr>
              <w:rPr>
                <w:rFonts w:cs="Times New Roman"/>
                <w:b/>
                <w:szCs w:val="24"/>
              </w:rPr>
            </w:pPr>
            <w:r w:rsidRPr="00512369">
              <w:rPr>
                <w:rFonts w:cs="Times New Roman"/>
                <w:b/>
                <w:szCs w:val="24"/>
              </w:rPr>
              <w:t>ЭМП</w:t>
            </w:r>
          </w:p>
        </w:tc>
        <w:tc>
          <w:tcPr>
            <w:tcW w:w="992" w:type="dxa"/>
          </w:tcPr>
          <w:p w14:paraId="11A606C3" w14:textId="77777777" w:rsidR="0000369C" w:rsidRPr="00512369" w:rsidRDefault="0000369C" w:rsidP="001C46FD">
            <w:pPr>
              <w:rPr>
                <w:rFonts w:cs="Times New Roman"/>
                <w:szCs w:val="24"/>
              </w:rPr>
            </w:pPr>
            <w:r w:rsidRPr="00512369">
              <w:rPr>
                <w:rFonts w:cs="Times New Roman"/>
                <w:szCs w:val="24"/>
              </w:rPr>
              <w:t>10-30</w:t>
            </w:r>
          </w:p>
        </w:tc>
        <w:tc>
          <w:tcPr>
            <w:tcW w:w="850" w:type="dxa"/>
          </w:tcPr>
          <w:p w14:paraId="295E19F1" w14:textId="77777777" w:rsidR="0000369C" w:rsidRPr="00512369" w:rsidRDefault="0000369C" w:rsidP="001C46FD">
            <w:pPr>
              <w:rPr>
                <w:rFonts w:cs="Times New Roman"/>
                <w:szCs w:val="24"/>
              </w:rPr>
            </w:pPr>
            <w:r w:rsidRPr="00512369">
              <w:rPr>
                <w:rFonts w:cs="Times New Roman"/>
                <w:szCs w:val="24"/>
              </w:rPr>
              <w:t>5-11</w:t>
            </w:r>
          </w:p>
        </w:tc>
        <w:tc>
          <w:tcPr>
            <w:tcW w:w="993" w:type="dxa"/>
          </w:tcPr>
          <w:p w14:paraId="1A1607BF" w14:textId="77777777" w:rsidR="0000369C" w:rsidRPr="00512369" w:rsidRDefault="0000369C" w:rsidP="001C46FD">
            <w:pPr>
              <w:rPr>
                <w:rFonts w:cs="Times New Roman"/>
                <w:szCs w:val="24"/>
              </w:rPr>
            </w:pPr>
            <w:r w:rsidRPr="00512369">
              <w:rPr>
                <w:rFonts w:cs="Times New Roman"/>
                <w:szCs w:val="24"/>
              </w:rPr>
              <w:t>5-10</w:t>
            </w:r>
          </w:p>
        </w:tc>
        <w:tc>
          <w:tcPr>
            <w:tcW w:w="1134" w:type="dxa"/>
          </w:tcPr>
          <w:p w14:paraId="5A33F204" w14:textId="77777777" w:rsidR="0000369C" w:rsidRPr="00512369" w:rsidRDefault="0000369C" w:rsidP="001C46FD">
            <w:pPr>
              <w:rPr>
                <w:rFonts w:cs="Times New Roman"/>
                <w:szCs w:val="24"/>
              </w:rPr>
            </w:pPr>
            <w:r w:rsidRPr="00512369">
              <w:rPr>
                <w:rFonts w:cs="Times New Roman"/>
                <w:szCs w:val="24"/>
              </w:rPr>
              <w:t>4-8</w:t>
            </w:r>
          </w:p>
        </w:tc>
        <w:tc>
          <w:tcPr>
            <w:tcW w:w="1134" w:type="dxa"/>
          </w:tcPr>
          <w:p w14:paraId="15D8762C" w14:textId="77777777" w:rsidR="0000369C" w:rsidRPr="00512369" w:rsidRDefault="0000369C" w:rsidP="001C46FD">
            <w:pPr>
              <w:rPr>
                <w:rFonts w:cs="Times New Roman"/>
                <w:szCs w:val="24"/>
              </w:rPr>
            </w:pPr>
            <w:r w:rsidRPr="00512369">
              <w:rPr>
                <w:rFonts w:cs="Times New Roman"/>
                <w:szCs w:val="24"/>
              </w:rPr>
              <w:t>0,25-6,0</w:t>
            </w:r>
          </w:p>
        </w:tc>
        <w:tc>
          <w:tcPr>
            <w:tcW w:w="850" w:type="dxa"/>
          </w:tcPr>
          <w:p w14:paraId="2C3A2CFC" w14:textId="77777777" w:rsidR="0000369C" w:rsidRPr="00512369" w:rsidRDefault="0000369C" w:rsidP="001C46FD">
            <w:pPr>
              <w:rPr>
                <w:rFonts w:cs="Times New Roman"/>
                <w:szCs w:val="24"/>
              </w:rPr>
            </w:pPr>
            <w:r w:rsidRPr="00512369">
              <w:rPr>
                <w:rFonts w:cs="Times New Roman"/>
                <w:szCs w:val="24"/>
              </w:rPr>
              <w:t>5-14</w:t>
            </w:r>
          </w:p>
        </w:tc>
        <w:tc>
          <w:tcPr>
            <w:tcW w:w="1134" w:type="dxa"/>
          </w:tcPr>
          <w:p w14:paraId="4EDC7F76" w14:textId="77777777" w:rsidR="0000369C" w:rsidRPr="00512369" w:rsidRDefault="0000369C" w:rsidP="001C46FD">
            <w:pPr>
              <w:rPr>
                <w:rFonts w:cs="Times New Roman"/>
                <w:szCs w:val="24"/>
              </w:rPr>
            </w:pPr>
            <w:r w:rsidRPr="00512369">
              <w:rPr>
                <w:rFonts w:cs="Times New Roman"/>
                <w:szCs w:val="24"/>
              </w:rPr>
              <w:t>12,5-100</w:t>
            </w:r>
          </w:p>
        </w:tc>
        <w:tc>
          <w:tcPr>
            <w:tcW w:w="851" w:type="dxa"/>
          </w:tcPr>
          <w:p w14:paraId="7C12A961" w14:textId="77777777" w:rsidR="0000369C" w:rsidRPr="00512369" w:rsidRDefault="0000369C" w:rsidP="001C46FD">
            <w:pPr>
              <w:rPr>
                <w:rFonts w:cs="Times New Roman"/>
                <w:szCs w:val="24"/>
              </w:rPr>
            </w:pPr>
            <w:r w:rsidRPr="00512369">
              <w:rPr>
                <w:rFonts w:cs="Times New Roman"/>
                <w:szCs w:val="24"/>
              </w:rPr>
              <w:t>5-14</w:t>
            </w:r>
          </w:p>
        </w:tc>
        <w:tc>
          <w:tcPr>
            <w:tcW w:w="992" w:type="dxa"/>
          </w:tcPr>
          <w:p w14:paraId="72F8F46F" w14:textId="77777777" w:rsidR="0000369C" w:rsidRPr="00512369" w:rsidRDefault="0000369C" w:rsidP="001C46FD">
            <w:pPr>
              <w:rPr>
                <w:rFonts w:cs="Times New Roman"/>
                <w:szCs w:val="24"/>
              </w:rPr>
            </w:pPr>
            <w:r w:rsidRPr="00512369">
              <w:rPr>
                <w:rFonts w:cs="Times New Roman"/>
                <w:szCs w:val="24"/>
              </w:rPr>
              <w:t>10-20</w:t>
            </w:r>
          </w:p>
        </w:tc>
        <w:tc>
          <w:tcPr>
            <w:tcW w:w="567" w:type="dxa"/>
            <w:vMerge/>
          </w:tcPr>
          <w:p w14:paraId="53C62C73" w14:textId="77777777" w:rsidR="0000369C" w:rsidRPr="00512369" w:rsidRDefault="0000369C" w:rsidP="001C46FD">
            <w:pPr>
              <w:rPr>
                <w:rFonts w:cs="Times New Roman"/>
                <w:szCs w:val="24"/>
              </w:rPr>
            </w:pPr>
          </w:p>
        </w:tc>
      </w:tr>
      <w:tr w:rsidR="0000369C" w:rsidRPr="00512369" w14:paraId="175231D5" w14:textId="77777777" w:rsidTr="001C46FD">
        <w:tc>
          <w:tcPr>
            <w:tcW w:w="1277" w:type="dxa"/>
          </w:tcPr>
          <w:p w14:paraId="589785CA" w14:textId="77777777" w:rsidR="0000369C" w:rsidRPr="00512369" w:rsidRDefault="0000369C" w:rsidP="001C46FD">
            <w:pPr>
              <w:rPr>
                <w:rFonts w:cs="Times New Roman"/>
                <w:b/>
                <w:szCs w:val="24"/>
              </w:rPr>
            </w:pPr>
            <w:r w:rsidRPr="00512369">
              <w:rPr>
                <w:rFonts w:cs="Times New Roman"/>
                <w:b/>
                <w:szCs w:val="24"/>
              </w:rPr>
              <w:t>ПШ</w:t>
            </w:r>
          </w:p>
        </w:tc>
        <w:tc>
          <w:tcPr>
            <w:tcW w:w="992" w:type="dxa"/>
          </w:tcPr>
          <w:p w14:paraId="47F477B7" w14:textId="77777777" w:rsidR="0000369C" w:rsidRPr="00512369" w:rsidRDefault="0000369C" w:rsidP="001C46FD">
            <w:pPr>
              <w:rPr>
                <w:rFonts w:cs="Times New Roman"/>
                <w:szCs w:val="24"/>
              </w:rPr>
            </w:pPr>
            <w:r w:rsidRPr="00512369">
              <w:rPr>
                <w:rFonts w:cs="Times New Roman"/>
                <w:szCs w:val="24"/>
              </w:rPr>
              <w:t>10-40</w:t>
            </w:r>
          </w:p>
        </w:tc>
        <w:tc>
          <w:tcPr>
            <w:tcW w:w="850" w:type="dxa"/>
          </w:tcPr>
          <w:p w14:paraId="08A17F73" w14:textId="77777777" w:rsidR="0000369C" w:rsidRPr="00512369" w:rsidRDefault="0000369C" w:rsidP="001C46FD">
            <w:pPr>
              <w:rPr>
                <w:rFonts w:cs="Times New Roman"/>
                <w:szCs w:val="24"/>
              </w:rPr>
            </w:pPr>
            <w:r w:rsidRPr="00512369">
              <w:rPr>
                <w:rFonts w:cs="Times New Roman"/>
                <w:szCs w:val="24"/>
              </w:rPr>
              <w:t>30-41</w:t>
            </w:r>
          </w:p>
        </w:tc>
        <w:tc>
          <w:tcPr>
            <w:tcW w:w="993" w:type="dxa"/>
          </w:tcPr>
          <w:p w14:paraId="36A31BB2" w14:textId="77777777" w:rsidR="0000369C" w:rsidRPr="00512369" w:rsidRDefault="0000369C" w:rsidP="001C46FD">
            <w:pPr>
              <w:rPr>
                <w:rFonts w:cs="Times New Roman"/>
                <w:szCs w:val="24"/>
              </w:rPr>
            </w:pPr>
            <w:r w:rsidRPr="00512369">
              <w:rPr>
                <w:rFonts w:cs="Times New Roman"/>
                <w:szCs w:val="24"/>
              </w:rPr>
              <w:t>10-15</w:t>
            </w:r>
          </w:p>
        </w:tc>
        <w:tc>
          <w:tcPr>
            <w:tcW w:w="1134" w:type="dxa"/>
          </w:tcPr>
          <w:p w14:paraId="2A6A48FE" w14:textId="77777777" w:rsidR="0000369C" w:rsidRPr="00512369" w:rsidRDefault="0000369C" w:rsidP="001C46FD">
            <w:pPr>
              <w:rPr>
                <w:rFonts w:cs="Times New Roman"/>
                <w:szCs w:val="24"/>
              </w:rPr>
            </w:pPr>
            <w:r w:rsidRPr="00512369">
              <w:rPr>
                <w:rFonts w:cs="Times New Roman"/>
                <w:szCs w:val="24"/>
              </w:rPr>
              <w:t>25-36</w:t>
            </w:r>
          </w:p>
        </w:tc>
        <w:tc>
          <w:tcPr>
            <w:tcW w:w="1134" w:type="dxa"/>
          </w:tcPr>
          <w:p w14:paraId="4A7EFD22" w14:textId="77777777" w:rsidR="0000369C" w:rsidRPr="00512369" w:rsidRDefault="0000369C" w:rsidP="001C46FD">
            <w:pPr>
              <w:rPr>
                <w:rFonts w:cs="Times New Roman"/>
                <w:szCs w:val="24"/>
              </w:rPr>
            </w:pPr>
            <w:r w:rsidRPr="00512369">
              <w:rPr>
                <w:rFonts w:cs="Times New Roman"/>
                <w:szCs w:val="24"/>
              </w:rPr>
              <w:t>0,5-6,0</w:t>
            </w:r>
          </w:p>
        </w:tc>
        <w:tc>
          <w:tcPr>
            <w:tcW w:w="850" w:type="dxa"/>
          </w:tcPr>
          <w:p w14:paraId="04C1D86C" w14:textId="77777777" w:rsidR="0000369C" w:rsidRPr="00512369" w:rsidRDefault="0000369C" w:rsidP="001C46FD">
            <w:pPr>
              <w:rPr>
                <w:rFonts w:cs="Times New Roman"/>
                <w:szCs w:val="24"/>
              </w:rPr>
            </w:pPr>
            <w:r w:rsidRPr="00512369">
              <w:rPr>
                <w:rFonts w:cs="Times New Roman"/>
                <w:szCs w:val="24"/>
              </w:rPr>
              <w:t>30-60</w:t>
            </w:r>
          </w:p>
        </w:tc>
        <w:tc>
          <w:tcPr>
            <w:tcW w:w="1134" w:type="dxa"/>
          </w:tcPr>
          <w:p w14:paraId="1B985D43" w14:textId="77777777" w:rsidR="0000369C" w:rsidRPr="00512369" w:rsidRDefault="0000369C" w:rsidP="001C46FD">
            <w:pPr>
              <w:rPr>
                <w:rFonts w:cs="Times New Roman"/>
                <w:szCs w:val="24"/>
              </w:rPr>
            </w:pPr>
            <w:r w:rsidRPr="00512369">
              <w:rPr>
                <w:rFonts w:cs="Times New Roman"/>
                <w:szCs w:val="24"/>
              </w:rPr>
              <w:t>12,5-100</w:t>
            </w:r>
          </w:p>
        </w:tc>
        <w:tc>
          <w:tcPr>
            <w:tcW w:w="851" w:type="dxa"/>
          </w:tcPr>
          <w:p w14:paraId="3F3E8564" w14:textId="77777777" w:rsidR="0000369C" w:rsidRPr="00512369" w:rsidRDefault="0000369C" w:rsidP="001C46FD">
            <w:pPr>
              <w:rPr>
                <w:rFonts w:cs="Times New Roman"/>
                <w:szCs w:val="24"/>
              </w:rPr>
            </w:pPr>
            <w:r w:rsidRPr="00512369">
              <w:rPr>
                <w:rFonts w:cs="Times New Roman"/>
                <w:szCs w:val="24"/>
              </w:rPr>
              <w:t>30-60</w:t>
            </w:r>
          </w:p>
        </w:tc>
        <w:tc>
          <w:tcPr>
            <w:tcW w:w="992" w:type="dxa"/>
          </w:tcPr>
          <w:p w14:paraId="5C90340E" w14:textId="77777777" w:rsidR="0000369C" w:rsidRPr="00512369" w:rsidRDefault="0000369C" w:rsidP="001C46FD">
            <w:pPr>
              <w:rPr>
                <w:rFonts w:cs="Times New Roman"/>
                <w:szCs w:val="24"/>
              </w:rPr>
            </w:pPr>
            <w:r w:rsidRPr="00512369">
              <w:rPr>
                <w:rFonts w:cs="Times New Roman"/>
                <w:szCs w:val="24"/>
              </w:rPr>
              <w:t>20-40</w:t>
            </w:r>
          </w:p>
        </w:tc>
        <w:tc>
          <w:tcPr>
            <w:tcW w:w="567" w:type="dxa"/>
            <w:vMerge/>
          </w:tcPr>
          <w:p w14:paraId="2329D80D" w14:textId="77777777" w:rsidR="0000369C" w:rsidRPr="00512369" w:rsidRDefault="0000369C" w:rsidP="001C46FD">
            <w:pPr>
              <w:rPr>
                <w:rFonts w:cs="Times New Roman"/>
                <w:szCs w:val="24"/>
              </w:rPr>
            </w:pPr>
          </w:p>
        </w:tc>
      </w:tr>
    </w:tbl>
    <w:p w14:paraId="474E7A51" w14:textId="77777777" w:rsidR="0000369C" w:rsidRPr="00512369" w:rsidRDefault="0000369C" w:rsidP="0000369C">
      <w:pPr>
        <w:rPr>
          <w:rFonts w:cs="Times New Roman"/>
          <w:szCs w:val="24"/>
        </w:rPr>
      </w:pPr>
      <w:r w:rsidRPr="00512369">
        <w:rPr>
          <w:rFonts w:cs="Times New Roman"/>
          <w:szCs w:val="24"/>
        </w:rPr>
        <w:t>ЭМП – эндогеноморфные психозы; ПШ – приступ шизофрении</w:t>
      </w:r>
    </w:p>
    <w:p w14:paraId="28B74946" w14:textId="77777777" w:rsidR="0000369C" w:rsidRDefault="0000369C" w:rsidP="0000369C">
      <w:pPr>
        <w:ind w:firstLine="708"/>
        <w:rPr>
          <w:rFonts w:cs="Times New Roman"/>
          <w:szCs w:val="24"/>
        </w:rPr>
      </w:pPr>
    </w:p>
    <w:p w14:paraId="1A82BFB9" w14:textId="77777777" w:rsidR="0000369C" w:rsidRPr="00E931A1" w:rsidRDefault="0000369C" w:rsidP="0000369C">
      <w:pPr>
        <w:ind w:firstLine="708"/>
        <w:rPr>
          <w:rFonts w:cs="Times New Roman"/>
          <w:szCs w:val="24"/>
        </w:rPr>
      </w:pPr>
      <w:r w:rsidRPr="00512369">
        <w:rPr>
          <w:rFonts w:cs="Times New Roman"/>
          <w:szCs w:val="24"/>
        </w:rPr>
        <w:t xml:space="preserve">Дозы транквилизаторов, антидепрессантов и нейролептиков при лечении нозогенных расстройств соответствуют стандартным рекомендованным средним суточным </w:t>
      </w:r>
      <w:r w:rsidRPr="00512369">
        <w:rPr>
          <w:rFonts w:cs="Times New Roman"/>
          <w:szCs w:val="24"/>
        </w:rPr>
        <w:lastRenderedPageBreak/>
        <w:t>дозам. Лечение пациентов осуществляется как на стационарном, так и на амбулаторном этапах. Общая продолжительность лечения составляет в среднем 8 недель. Выбор психотропных средств, назначающихся как в виде мо</w:t>
      </w:r>
      <w:r>
        <w:rPr>
          <w:rFonts w:cs="Times New Roman"/>
          <w:szCs w:val="24"/>
        </w:rPr>
        <w:t>н</w:t>
      </w:r>
      <w:r w:rsidRPr="00512369">
        <w:rPr>
          <w:rFonts w:cs="Times New Roman"/>
          <w:szCs w:val="24"/>
        </w:rPr>
        <w:t xml:space="preserve">отерапии, так и комбинированной терапии, во многом определяется структурой психопатологических проявлений. Транквилизаторы (анксиолитики) назначаются при нозогенных реакциях, протекающих с преобладанием невротических расстройств (тревожно-фобические) и нарушениями сна. Антидепрессанты (тимолептики) используются при нозогенных тревожно-депрессивных реакциях. Нейролептики показаны в первую очередь при лечении шизофренических нозогенных реакций. При выраженных нарушениях сна в структуре нозогенной реакции применяется комбинированная терапия антидепрессант - </w:t>
      </w:r>
      <w:r w:rsidRPr="00E931A1">
        <w:rPr>
          <w:rFonts w:cs="Times New Roman"/>
          <w:szCs w:val="24"/>
        </w:rPr>
        <w:t>транквилизатор (снотворное), нейролептик - транквилизатор (снотворное) в указанных дозах (см. Таблицу 2).</w:t>
      </w:r>
    </w:p>
    <w:p w14:paraId="2501E603" w14:textId="77777777" w:rsidR="0000369C" w:rsidRDefault="0000369C" w:rsidP="0000369C">
      <w:pPr>
        <w:ind w:firstLine="708"/>
        <w:rPr>
          <w:rFonts w:cs="Times New Roman"/>
          <w:szCs w:val="24"/>
        </w:rPr>
      </w:pPr>
      <w:r w:rsidRPr="00E931A1">
        <w:rPr>
          <w:rFonts w:cs="Times New Roman"/>
          <w:szCs w:val="24"/>
        </w:rPr>
        <w:t>Выбор лекарственного препарата для лечения психиатрического растройства</w:t>
      </w:r>
      <w:r w:rsidRPr="003319F9">
        <w:rPr>
          <w:rFonts w:cs="Times New Roman"/>
          <w:szCs w:val="24"/>
        </w:rPr>
        <w:t xml:space="preserve"> у пациентов с порфирией осуществляется с учетом особенностей нозологии (в соответствии со списком разрешенных препаратов при порфирии).</w:t>
      </w:r>
    </w:p>
    <w:p w14:paraId="54E1D7B5" w14:textId="77777777" w:rsidR="0000369C" w:rsidRPr="007D5352" w:rsidRDefault="0000369C" w:rsidP="0000369C">
      <w:pPr>
        <w:ind w:firstLine="708"/>
        <w:rPr>
          <w:rFonts w:cs="Times New Roman"/>
          <w:szCs w:val="24"/>
        </w:rPr>
      </w:pPr>
    </w:p>
    <w:p w14:paraId="771D13B1" w14:textId="77777777" w:rsidR="0000369C" w:rsidRPr="00E931A1" w:rsidRDefault="0000369C" w:rsidP="0000369C">
      <w:pPr>
        <w:rPr>
          <w:rFonts w:cs="Times New Roman"/>
          <w:bCs/>
          <w:szCs w:val="24"/>
        </w:rPr>
      </w:pPr>
      <w:r w:rsidRPr="00E931A1">
        <w:rPr>
          <w:rFonts w:cs="Times New Roman"/>
          <w:bCs/>
          <w:szCs w:val="24"/>
        </w:rPr>
        <w:t>Таблица 2. Дозы (максимальные, минимальные, средние) психотропных средств, использующиеся в фармакотерапии нозогенных реакций у больных гематологического стационара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3"/>
        <w:gridCol w:w="1929"/>
        <w:gridCol w:w="1895"/>
        <w:gridCol w:w="1630"/>
      </w:tblGrid>
      <w:tr w:rsidR="0000369C" w:rsidRPr="00512369" w14:paraId="3E5E024C" w14:textId="77777777" w:rsidTr="001C46FD">
        <w:trPr>
          <w:trHeight w:val="228"/>
        </w:trPr>
        <w:tc>
          <w:tcPr>
            <w:tcW w:w="3783" w:type="dxa"/>
            <w:vMerge w:val="restart"/>
          </w:tcPr>
          <w:p w14:paraId="31895E72" w14:textId="77777777" w:rsidR="0000369C" w:rsidRDefault="0000369C" w:rsidP="001C46FD">
            <w:pPr>
              <w:autoSpaceDE w:val="0"/>
              <w:autoSpaceDN w:val="0"/>
              <w:adjustRightInd w:val="0"/>
              <w:jc w:val="center"/>
              <w:rPr>
                <w:rFonts w:cs="Times New Roman"/>
                <w:b/>
                <w:szCs w:val="24"/>
              </w:rPr>
            </w:pPr>
          </w:p>
          <w:p w14:paraId="7DF8F9AD" w14:textId="77777777" w:rsidR="0000369C" w:rsidRPr="00512369" w:rsidRDefault="0000369C" w:rsidP="001C46FD">
            <w:pPr>
              <w:autoSpaceDE w:val="0"/>
              <w:autoSpaceDN w:val="0"/>
              <w:adjustRightInd w:val="0"/>
              <w:jc w:val="center"/>
              <w:rPr>
                <w:rFonts w:cs="Times New Roman"/>
                <w:b/>
                <w:szCs w:val="24"/>
              </w:rPr>
            </w:pPr>
            <w:r w:rsidRPr="00512369">
              <w:rPr>
                <w:rFonts w:cs="Times New Roman"/>
                <w:b/>
                <w:szCs w:val="24"/>
              </w:rPr>
              <w:t>Название препарата</w:t>
            </w:r>
          </w:p>
        </w:tc>
        <w:tc>
          <w:tcPr>
            <w:tcW w:w="5454" w:type="dxa"/>
            <w:gridSpan w:val="3"/>
          </w:tcPr>
          <w:p w14:paraId="538F5FE0" w14:textId="77777777" w:rsidR="0000369C" w:rsidRPr="00512369" w:rsidRDefault="0000369C" w:rsidP="001C46FD">
            <w:pPr>
              <w:autoSpaceDE w:val="0"/>
              <w:autoSpaceDN w:val="0"/>
              <w:adjustRightInd w:val="0"/>
              <w:jc w:val="center"/>
              <w:rPr>
                <w:rFonts w:cs="Times New Roman"/>
                <w:b/>
                <w:szCs w:val="24"/>
              </w:rPr>
            </w:pPr>
            <w:r w:rsidRPr="00512369">
              <w:rPr>
                <w:rFonts w:cs="Times New Roman"/>
                <w:b/>
                <w:szCs w:val="24"/>
              </w:rPr>
              <w:t>Дозировка</w:t>
            </w:r>
          </w:p>
        </w:tc>
      </w:tr>
      <w:tr w:rsidR="0000369C" w:rsidRPr="00512369" w14:paraId="40B1ECD9" w14:textId="77777777" w:rsidTr="001C46FD">
        <w:trPr>
          <w:trHeight w:val="326"/>
        </w:trPr>
        <w:tc>
          <w:tcPr>
            <w:tcW w:w="3783" w:type="dxa"/>
            <w:vMerge/>
          </w:tcPr>
          <w:p w14:paraId="378AE2FE" w14:textId="77777777" w:rsidR="0000369C" w:rsidRPr="00512369" w:rsidRDefault="0000369C" w:rsidP="001C46FD">
            <w:pPr>
              <w:autoSpaceDE w:val="0"/>
              <w:autoSpaceDN w:val="0"/>
              <w:adjustRightInd w:val="0"/>
              <w:rPr>
                <w:rFonts w:cs="Times New Roman"/>
                <w:b/>
                <w:szCs w:val="24"/>
              </w:rPr>
            </w:pPr>
          </w:p>
        </w:tc>
        <w:tc>
          <w:tcPr>
            <w:tcW w:w="1929" w:type="dxa"/>
          </w:tcPr>
          <w:p w14:paraId="66330BC1" w14:textId="77777777" w:rsidR="0000369C" w:rsidRPr="00512369" w:rsidRDefault="0000369C" w:rsidP="001C46FD">
            <w:pPr>
              <w:autoSpaceDE w:val="0"/>
              <w:autoSpaceDN w:val="0"/>
              <w:adjustRightInd w:val="0"/>
              <w:jc w:val="center"/>
              <w:rPr>
                <w:rFonts w:cs="Times New Roman"/>
                <w:b/>
                <w:szCs w:val="24"/>
              </w:rPr>
            </w:pPr>
            <w:r>
              <w:rPr>
                <w:rFonts w:cs="Times New Roman"/>
                <w:b/>
                <w:szCs w:val="24"/>
              </w:rPr>
              <w:t>минимальная</w:t>
            </w:r>
            <w:r w:rsidRPr="00512369">
              <w:rPr>
                <w:rFonts w:cs="Times New Roman"/>
                <w:b/>
                <w:szCs w:val="24"/>
              </w:rPr>
              <w:t xml:space="preserve"> (мг)</w:t>
            </w:r>
          </w:p>
        </w:tc>
        <w:tc>
          <w:tcPr>
            <w:tcW w:w="1895" w:type="dxa"/>
          </w:tcPr>
          <w:p w14:paraId="4F56D104" w14:textId="77777777" w:rsidR="0000369C" w:rsidRPr="00512369" w:rsidRDefault="0000369C" w:rsidP="001C46FD">
            <w:pPr>
              <w:autoSpaceDE w:val="0"/>
              <w:autoSpaceDN w:val="0"/>
              <w:adjustRightInd w:val="0"/>
              <w:jc w:val="center"/>
              <w:rPr>
                <w:rFonts w:cs="Times New Roman"/>
                <w:b/>
                <w:szCs w:val="24"/>
              </w:rPr>
            </w:pPr>
            <w:r>
              <w:rPr>
                <w:rFonts w:cs="Times New Roman"/>
                <w:b/>
                <w:szCs w:val="24"/>
              </w:rPr>
              <w:t>максимальная</w:t>
            </w:r>
            <w:r w:rsidRPr="00512369">
              <w:rPr>
                <w:rFonts w:cs="Times New Roman"/>
                <w:b/>
                <w:szCs w:val="24"/>
              </w:rPr>
              <w:t xml:space="preserve"> (мг)</w:t>
            </w:r>
          </w:p>
        </w:tc>
        <w:tc>
          <w:tcPr>
            <w:tcW w:w="1630" w:type="dxa"/>
          </w:tcPr>
          <w:p w14:paraId="509D617E" w14:textId="77777777" w:rsidR="0000369C" w:rsidRPr="00512369" w:rsidRDefault="0000369C" w:rsidP="001C46FD">
            <w:pPr>
              <w:autoSpaceDE w:val="0"/>
              <w:autoSpaceDN w:val="0"/>
              <w:adjustRightInd w:val="0"/>
              <w:jc w:val="center"/>
              <w:rPr>
                <w:rFonts w:cs="Times New Roman"/>
                <w:b/>
                <w:szCs w:val="24"/>
              </w:rPr>
            </w:pPr>
            <w:r>
              <w:rPr>
                <w:rFonts w:cs="Times New Roman"/>
                <w:b/>
                <w:szCs w:val="24"/>
              </w:rPr>
              <w:t>средняя</w:t>
            </w:r>
            <w:r w:rsidRPr="00512369">
              <w:rPr>
                <w:rFonts w:cs="Times New Roman"/>
                <w:b/>
                <w:szCs w:val="24"/>
              </w:rPr>
              <w:t xml:space="preserve"> (мг)</w:t>
            </w:r>
          </w:p>
        </w:tc>
      </w:tr>
      <w:tr w:rsidR="0000369C" w:rsidRPr="00512369" w14:paraId="65B441E9" w14:textId="77777777" w:rsidTr="001C46FD">
        <w:trPr>
          <w:trHeight w:val="182"/>
        </w:trPr>
        <w:tc>
          <w:tcPr>
            <w:tcW w:w="3783" w:type="dxa"/>
          </w:tcPr>
          <w:p w14:paraId="04D82504" w14:textId="77777777" w:rsidR="0000369C" w:rsidRPr="00512369" w:rsidRDefault="0000369C" w:rsidP="001C46FD">
            <w:pPr>
              <w:autoSpaceDE w:val="0"/>
              <w:autoSpaceDN w:val="0"/>
              <w:adjustRightInd w:val="0"/>
              <w:rPr>
                <w:rFonts w:cs="Times New Roman"/>
                <w:szCs w:val="24"/>
              </w:rPr>
            </w:pPr>
            <w:r w:rsidRPr="00512369">
              <w:rPr>
                <w:rFonts w:cs="Times New Roman"/>
                <w:szCs w:val="24"/>
              </w:rPr>
              <w:t>кветиапин</w:t>
            </w:r>
          </w:p>
        </w:tc>
        <w:tc>
          <w:tcPr>
            <w:tcW w:w="1929" w:type="dxa"/>
          </w:tcPr>
          <w:p w14:paraId="7310B84E"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25</w:t>
            </w:r>
          </w:p>
        </w:tc>
        <w:tc>
          <w:tcPr>
            <w:tcW w:w="1895" w:type="dxa"/>
          </w:tcPr>
          <w:p w14:paraId="637B8ED5"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600</w:t>
            </w:r>
          </w:p>
        </w:tc>
        <w:tc>
          <w:tcPr>
            <w:tcW w:w="1630" w:type="dxa"/>
          </w:tcPr>
          <w:p w14:paraId="16235D05"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300</w:t>
            </w:r>
          </w:p>
        </w:tc>
      </w:tr>
      <w:tr w:rsidR="0000369C" w:rsidRPr="00512369" w14:paraId="1D6E8B6D" w14:textId="77777777" w:rsidTr="001C46FD">
        <w:trPr>
          <w:trHeight w:val="185"/>
        </w:trPr>
        <w:tc>
          <w:tcPr>
            <w:tcW w:w="3783" w:type="dxa"/>
          </w:tcPr>
          <w:p w14:paraId="4F517138" w14:textId="77777777" w:rsidR="0000369C" w:rsidRPr="00512369" w:rsidRDefault="0000369C" w:rsidP="001C46FD">
            <w:pPr>
              <w:autoSpaceDE w:val="0"/>
              <w:autoSpaceDN w:val="0"/>
              <w:adjustRightInd w:val="0"/>
              <w:rPr>
                <w:rFonts w:cs="Times New Roman"/>
                <w:szCs w:val="24"/>
              </w:rPr>
            </w:pPr>
            <w:r w:rsidRPr="00512369">
              <w:rPr>
                <w:rFonts w:cs="Times New Roman"/>
                <w:szCs w:val="24"/>
              </w:rPr>
              <w:t>сульпирид</w:t>
            </w:r>
          </w:p>
        </w:tc>
        <w:tc>
          <w:tcPr>
            <w:tcW w:w="1929" w:type="dxa"/>
          </w:tcPr>
          <w:p w14:paraId="02714890"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50</w:t>
            </w:r>
          </w:p>
        </w:tc>
        <w:tc>
          <w:tcPr>
            <w:tcW w:w="1895" w:type="dxa"/>
          </w:tcPr>
          <w:p w14:paraId="4EF98046"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400</w:t>
            </w:r>
          </w:p>
        </w:tc>
        <w:tc>
          <w:tcPr>
            <w:tcW w:w="1630" w:type="dxa"/>
          </w:tcPr>
          <w:p w14:paraId="54BACD9B"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200</w:t>
            </w:r>
          </w:p>
        </w:tc>
      </w:tr>
      <w:tr w:rsidR="0000369C" w:rsidRPr="00512369" w14:paraId="61008656" w14:textId="77777777" w:rsidTr="001C46FD">
        <w:trPr>
          <w:trHeight w:val="190"/>
        </w:trPr>
        <w:tc>
          <w:tcPr>
            <w:tcW w:w="3783" w:type="dxa"/>
          </w:tcPr>
          <w:p w14:paraId="34E79F74" w14:textId="77777777" w:rsidR="0000369C" w:rsidRPr="00512369" w:rsidRDefault="0000369C" w:rsidP="001C46FD">
            <w:pPr>
              <w:autoSpaceDE w:val="0"/>
              <w:autoSpaceDN w:val="0"/>
              <w:adjustRightInd w:val="0"/>
              <w:rPr>
                <w:rFonts w:cs="Times New Roman"/>
                <w:szCs w:val="24"/>
              </w:rPr>
            </w:pPr>
            <w:r w:rsidRPr="00512369">
              <w:rPr>
                <w:rFonts w:cs="Times New Roman"/>
                <w:szCs w:val="24"/>
              </w:rPr>
              <w:t>галоперидол</w:t>
            </w:r>
          </w:p>
        </w:tc>
        <w:tc>
          <w:tcPr>
            <w:tcW w:w="1929" w:type="dxa"/>
          </w:tcPr>
          <w:p w14:paraId="34DCEA3A"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0,5</w:t>
            </w:r>
          </w:p>
        </w:tc>
        <w:tc>
          <w:tcPr>
            <w:tcW w:w="1895" w:type="dxa"/>
          </w:tcPr>
          <w:p w14:paraId="1A1278AE"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10</w:t>
            </w:r>
          </w:p>
        </w:tc>
        <w:tc>
          <w:tcPr>
            <w:tcW w:w="1630" w:type="dxa"/>
          </w:tcPr>
          <w:p w14:paraId="51AC7B3C"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2,5</w:t>
            </w:r>
          </w:p>
        </w:tc>
      </w:tr>
      <w:tr w:rsidR="0000369C" w:rsidRPr="00512369" w14:paraId="402FAC2C" w14:textId="77777777" w:rsidTr="001C46FD">
        <w:trPr>
          <w:trHeight w:val="179"/>
        </w:trPr>
        <w:tc>
          <w:tcPr>
            <w:tcW w:w="3783" w:type="dxa"/>
          </w:tcPr>
          <w:p w14:paraId="6C2E6D67" w14:textId="77777777" w:rsidR="0000369C" w:rsidRPr="00512369" w:rsidRDefault="0000369C" w:rsidP="001C46FD">
            <w:pPr>
              <w:autoSpaceDE w:val="0"/>
              <w:autoSpaceDN w:val="0"/>
              <w:adjustRightInd w:val="0"/>
              <w:rPr>
                <w:rFonts w:cs="Times New Roman"/>
                <w:szCs w:val="24"/>
              </w:rPr>
            </w:pPr>
            <w:r w:rsidRPr="00512369">
              <w:rPr>
                <w:rFonts w:cs="Times New Roman"/>
                <w:szCs w:val="24"/>
              </w:rPr>
              <w:t>рисперидон</w:t>
            </w:r>
          </w:p>
        </w:tc>
        <w:tc>
          <w:tcPr>
            <w:tcW w:w="1929" w:type="dxa"/>
          </w:tcPr>
          <w:p w14:paraId="4C27F24B"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2</w:t>
            </w:r>
          </w:p>
        </w:tc>
        <w:tc>
          <w:tcPr>
            <w:tcW w:w="1895" w:type="dxa"/>
          </w:tcPr>
          <w:p w14:paraId="3386F40C"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4</w:t>
            </w:r>
          </w:p>
        </w:tc>
        <w:tc>
          <w:tcPr>
            <w:tcW w:w="1630" w:type="dxa"/>
          </w:tcPr>
          <w:p w14:paraId="5B4D512A"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3</w:t>
            </w:r>
          </w:p>
        </w:tc>
      </w:tr>
      <w:tr w:rsidR="0000369C" w:rsidRPr="00512369" w14:paraId="37F7EF7B" w14:textId="77777777" w:rsidTr="001C46FD">
        <w:trPr>
          <w:trHeight w:val="170"/>
        </w:trPr>
        <w:tc>
          <w:tcPr>
            <w:tcW w:w="3783" w:type="dxa"/>
          </w:tcPr>
          <w:p w14:paraId="7FECEDBF" w14:textId="77777777" w:rsidR="0000369C" w:rsidRPr="00512369" w:rsidRDefault="0000369C" w:rsidP="001C46FD">
            <w:pPr>
              <w:autoSpaceDE w:val="0"/>
              <w:autoSpaceDN w:val="0"/>
              <w:adjustRightInd w:val="0"/>
              <w:rPr>
                <w:rFonts w:cs="Times New Roman"/>
                <w:szCs w:val="24"/>
              </w:rPr>
            </w:pPr>
            <w:r w:rsidRPr="00512369">
              <w:rPr>
                <w:rFonts w:cs="Times New Roman"/>
                <w:szCs w:val="24"/>
              </w:rPr>
              <w:t>оланзапин</w:t>
            </w:r>
          </w:p>
        </w:tc>
        <w:tc>
          <w:tcPr>
            <w:tcW w:w="1929" w:type="dxa"/>
          </w:tcPr>
          <w:p w14:paraId="3F69A974"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5</w:t>
            </w:r>
          </w:p>
        </w:tc>
        <w:tc>
          <w:tcPr>
            <w:tcW w:w="1895" w:type="dxa"/>
          </w:tcPr>
          <w:p w14:paraId="5396A4BA"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15</w:t>
            </w:r>
          </w:p>
        </w:tc>
        <w:tc>
          <w:tcPr>
            <w:tcW w:w="1630" w:type="dxa"/>
          </w:tcPr>
          <w:p w14:paraId="553A4863"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7,5</w:t>
            </w:r>
          </w:p>
        </w:tc>
      </w:tr>
      <w:tr w:rsidR="0000369C" w:rsidRPr="00512369" w14:paraId="0A889D28" w14:textId="77777777" w:rsidTr="001C46FD">
        <w:trPr>
          <w:trHeight w:val="173"/>
        </w:trPr>
        <w:tc>
          <w:tcPr>
            <w:tcW w:w="3783" w:type="dxa"/>
          </w:tcPr>
          <w:p w14:paraId="3DAB22A4" w14:textId="77777777" w:rsidR="0000369C" w:rsidRPr="00512369" w:rsidRDefault="0000369C" w:rsidP="001C46FD">
            <w:pPr>
              <w:autoSpaceDE w:val="0"/>
              <w:autoSpaceDN w:val="0"/>
              <w:adjustRightInd w:val="0"/>
              <w:rPr>
                <w:rFonts w:cs="Times New Roman"/>
                <w:szCs w:val="24"/>
              </w:rPr>
            </w:pPr>
            <w:r w:rsidRPr="00512369">
              <w:rPr>
                <w:rFonts w:cs="Times New Roman"/>
                <w:szCs w:val="24"/>
              </w:rPr>
              <w:t>лоразепам</w:t>
            </w:r>
          </w:p>
        </w:tc>
        <w:tc>
          <w:tcPr>
            <w:tcW w:w="1929" w:type="dxa"/>
          </w:tcPr>
          <w:p w14:paraId="695CC910"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0,5</w:t>
            </w:r>
          </w:p>
        </w:tc>
        <w:tc>
          <w:tcPr>
            <w:tcW w:w="1895" w:type="dxa"/>
          </w:tcPr>
          <w:p w14:paraId="279A62B3"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2,5</w:t>
            </w:r>
          </w:p>
        </w:tc>
        <w:tc>
          <w:tcPr>
            <w:tcW w:w="1630" w:type="dxa"/>
          </w:tcPr>
          <w:p w14:paraId="68C9387A"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1</w:t>
            </w:r>
          </w:p>
        </w:tc>
      </w:tr>
      <w:tr w:rsidR="0000369C" w:rsidRPr="00512369" w14:paraId="5AD81624" w14:textId="77777777" w:rsidTr="001C46FD">
        <w:trPr>
          <w:trHeight w:val="164"/>
        </w:trPr>
        <w:tc>
          <w:tcPr>
            <w:tcW w:w="3783" w:type="dxa"/>
          </w:tcPr>
          <w:p w14:paraId="3601AC2C" w14:textId="77777777" w:rsidR="0000369C" w:rsidRPr="00512369" w:rsidRDefault="0000369C" w:rsidP="001C46FD">
            <w:pPr>
              <w:autoSpaceDE w:val="0"/>
              <w:autoSpaceDN w:val="0"/>
              <w:adjustRightInd w:val="0"/>
              <w:rPr>
                <w:rFonts w:cs="Times New Roman"/>
                <w:szCs w:val="24"/>
              </w:rPr>
            </w:pPr>
            <w:r w:rsidRPr="00512369">
              <w:rPr>
                <w:rFonts w:cs="Times New Roman"/>
                <w:szCs w:val="24"/>
              </w:rPr>
              <w:t>феназепам</w:t>
            </w:r>
          </w:p>
        </w:tc>
        <w:tc>
          <w:tcPr>
            <w:tcW w:w="1929" w:type="dxa"/>
          </w:tcPr>
          <w:p w14:paraId="7936E700"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0,5</w:t>
            </w:r>
          </w:p>
        </w:tc>
        <w:tc>
          <w:tcPr>
            <w:tcW w:w="1895" w:type="dxa"/>
          </w:tcPr>
          <w:p w14:paraId="4A48F518"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2</w:t>
            </w:r>
          </w:p>
        </w:tc>
        <w:tc>
          <w:tcPr>
            <w:tcW w:w="1630" w:type="dxa"/>
          </w:tcPr>
          <w:p w14:paraId="6BEF6A90"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1,5</w:t>
            </w:r>
          </w:p>
        </w:tc>
      </w:tr>
      <w:tr w:rsidR="0000369C" w:rsidRPr="00512369" w14:paraId="1CEEFD5D" w14:textId="77777777" w:rsidTr="001C46FD">
        <w:trPr>
          <w:trHeight w:val="167"/>
        </w:trPr>
        <w:tc>
          <w:tcPr>
            <w:tcW w:w="3783" w:type="dxa"/>
          </w:tcPr>
          <w:p w14:paraId="2ED6386C" w14:textId="77777777" w:rsidR="0000369C" w:rsidRPr="00512369" w:rsidRDefault="0000369C" w:rsidP="001C46FD">
            <w:pPr>
              <w:autoSpaceDE w:val="0"/>
              <w:autoSpaceDN w:val="0"/>
              <w:adjustRightInd w:val="0"/>
              <w:rPr>
                <w:rFonts w:cs="Times New Roman"/>
                <w:szCs w:val="24"/>
              </w:rPr>
            </w:pPr>
            <w:r w:rsidRPr="00512369">
              <w:rPr>
                <w:rFonts w:cs="Times New Roman"/>
                <w:szCs w:val="24"/>
              </w:rPr>
              <w:t>сертралин</w:t>
            </w:r>
          </w:p>
        </w:tc>
        <w:tc>
          <w:tcPr>
            <w:tcW w:w="1929" w:type="dxa"/>
          </w:tcPr>
          <w:p w14:paraId="6B3F5CCD"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25</w:t>
            </w:r>
          </w:p>
        </w:tc>
        <w:tc>
          <w:tcPr>
            <w:tcW w:w="1895" w:type="dxa"/>
          </w:tcPr>
          <w:p w14:paraId="78D80EF1"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150</w:t>
            </w:r>
          </w:p>
        </w:tc>
        <w:tc>
          <w:tcPr>
            <w:tcW w:w="1630" w:type="dxa"/>
          </w:tcPr>
          <w:p w14:paraId="13C2381A"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50</w:t>
            </w:r>
          </w:p>
        </w:tc>
      </w:tr>
      <w:tr w:rsidR="0000369C" w:rsidRPr="00512369" w14:paraId="3E35B1F5" w14:textId="77777777" w:rsidTr="001C46FD">
        <w:trPr>
          <w:trHeight w:val="266"/>
        </w:trPr>
        <w:tc>
          <w:tcPr>
            <w:tcW w:w="3783" w:type="dxa"/>
          </w:tcPr>
          <w:p w14:paraId="177A89F1" w14:textId="77777777" w:rsidR="0000369C" w:rsidRPr="00512369" w:rsidRDefault="0000369C" w:rsidP="001C46FD">
            <w:pPr>
              <w:autoSpaceDE w:val="0"/>
              <w:autoSpaceDN w:val="0"/>
              <w:adjustRightInd w:val="0"/>
              <w:rPr>
                <w:rFonts w:cs="Times New Roman"/>
                <w:szCs w:val="24"/>
              </w:rPr>
            </w:pPr>
            <w:r w:rsidRPr="00512369">
              <w:rPr>
                <w:rFonts w:cs="Times New Roman"/>
                <w:szCs w:val="24"/>
              </w:rPr>
              <w:t>пароксетин</w:t>
            </w:r>
          </w:p>
        </w:tc>
        <w:tc>
          <w:tcPr>
            <w:tcW w:w="1929" w:type="dxa"/>
          </w:tcPr>
          <w:p w14:paraId="530A9C05"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20</w:t>
            </w:r>
          </w:p>
        </w:tc>
        <w:tc>
          <w:tcPr>
            <w:tcW w:w="1895" w:type="dxa"/>
          </w:tcPr>
          <w:p w14:paraId="591051DE"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40</w:t>
            </w:r>
          </w:p>
        </w:tc>
        <w:tc>
          <w:tcPr>
            <w:tcW w:w="1630" w:type="dxa"/>
          </w:tcPr>
          <w:p w14:paraId="62219A9F"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30</w:t>
            </w:r>
          </w:p>
        </w:tc>
      </w:tr>
      <w:tr w:rsidR="0000369C" w:rsidRPr="00512369" w14:paraId="34BFD6A7" w14:textId="77777777" w:rsidTr="001C46FD">
        <w:trPr>
          <w:trHeight w:val="269"/>
        </w:trPr>
        <w:tc>
          <w:tcPr>
            <w:tcW w:w="3783" w:type="dxa"/>
          </w:tcPr>
          <w:p w14:paraId="2CF8E8EF" w14:textId="77777777" w:rsidR="0000369C" w:rsidRPr="00512369" w:rsidRDefault="0000369C" w:rsidP="001C46FD">
            <w:pPr>
              <w:autoSpaceDE w:val="0"/>
              <w:autoSpaceDN w:val="0"/>
              <w:adjustRightInd w:val="0"/>
              <w:rPr>
                <w:rFonts w:cs="Times New Roman"/>
                <w:szCs w:val="24"/>
              </w:rPr>
            </w:pPr>
            <w:r w:rsidRPr="00512369">
              <w:rPr>
                <w:rFonts w:cs="Times New Roman"/>
                <w:szCs w:val="24"/>
              </w:rPr>
              <w:t>ципралекс</w:t>
            </w:r>
          </w:p>
        </w:tc>
        <w:tc>
          <w:tcPr>
            <w:tcW w:w="1929" w:type="dxa"/>
          </w:tcPr>
          <w:p w14:paraId="640CE600"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10</w:t>
            </w:r>
          </w:p>
        </w:tc>
        <w:tc>
          <w:tcPr>
            <w:tcW w:w="1895" w:type="dxa"/>
          </w:tcPr>
          <w:p w14:paraId="5DE06B49"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20</w:t>
            </w:r>
          </w:p>
        </w:tc>
        <w:tc>
          <w:tcPr>
            <w:tcW w:w="1630" w:type="dxa"/>
          </w:tcPr>
          <w:p w14:paraId="0580AED5"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15</w:t>
            </w:r>
          </w:p>
        </w:tc>
      </w:tr>
      <w:tr w:rsidR="0000369C" w:rsidRPr="00512369" w14:paraId="24B51D82" w14:textId="77777777" w:rsidTr="001C46FD">
        <w:trPr>
          <w:trHeight w:val="274"/>
        </w:trPr>
        <w:tc>
          <w:tcPr>
            <w:tcW w:w="3783" w:type="dxa"/>
          </w:tcPr>
          <w:p w14:paraId="3E9AA421" w14:textId="77777777" w:rsidR="0000369C" w:rsidRPr="00512369" w:rsidRDefault="0000369C" w:rsidP="001C46FD">
            <w:pPr>
              <w:autoSpaceDE w:val="0"/>
              <w:autoSpaceDN w:val="0"/>
              <w:adjustRightInd w:val="0"/>
              <w:rPr>
                <w:rFonts w:cs="Times New Roman"/>
                <w:szCs w:val="24"/>
              </w:rPr>
            </w:pPr>
            <w:r w:rsidRPr="00512369">
              <w:rPr>
                <w:rFonts w:cs="Times New Roman"/>
                <w:szCs w:val="24"/>
              </w:rPr>
              <w:t>зопиклон</w:t>
            </w:r>
          </w:p>
        </w:tc>
        <w:tc>
          <w:tcPr>
            <w:tcW w:w="1929" w:type="dxa"/>
          </w:tcPr>
          <w:p w14:paraId="4D974933"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3,75</w:t>
            </w:r>
          </w:p>
        </w:tc>
        <w:tc>
          <w:tcPr>
            <w:tcW w:w="1895" w:type="dxa"/>
          </w:tcPr>
          <w:p w14:paraId="3FE000BF"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15</w:t>
            </w:r>
          </w:p>
        </w:tc>
        <w:tc>
          <w:tcPr>
            <w:tcW w:w="1630" w:type="dxa"/>
          </w:tcPr>
          <w:p w14:paraId="0F89635A" w14:textId="77777777" w:rsidR="0000369C" w:rsidRPr="00512369" w:rsidRDefault="0000369C" w:rsidP="001C46FD">
            <w:pPr>
              <w:autoSpaceDE w:val="0"/>
              <w:autoSpaceDN w:val="0"/>
              <w:adjustRightInd w:val="0"/>
              <w:jc w:val="center"/>
              <w:rPr>
                <w:rFonts w:cs="Times New Roman"/>
                <w:szCs w:val="24"/>
              </w:rPr>
            </w:pPr>
            <w:r w:rsidRPr="00512369">
              <w:rPr>
                <w:rFonts w:cs="Times New Roman"/>
                <w:szCs w:val="24"/>
              </w:rPr>
              <w:t>7,5</w:t>
            </w:r>
          </w:p>
        </w:tc>
      </w:tr>
    </w:tbl>
    <w:p w14:paraId="5339C557" w14:textId="77777777" w:rsidR="0000369C" w:rsidRPr="00512369" w:rsidRDefault="0000369C" w:rsidP="0000369C">
      <w:pPr>
        <w:pStyle w:val="afe"/>
        <w:ind w:left="643"/>
        <w:rPr>
          <w:rFonts w:cs="Times New Roman"/>
          <w:szCs w:val="24"/>
        </w:rPr>
      </w:pPr>
    </w:p>
    <w:p w14:paraId="6A546E86" w14:textId="77777777" w:rsidR="0000369C" w:rsidRPr="00E931A1" w:rsidRDefault="0000369C" w:rsidP="0000369C">
      <w:pPr>
        <w:rPr>
          <w:rFonts w:cs="Times New Roman"/>
          <w:i/>
          <w:szCs w:val="24"/>
          <w:u w:val="single"/>
        </w:rPr>
      </w:pPr>
      <w:r w:rsidRPr="00E931A1">
        <w:rPr>
          <w:rFonts w:cs="Times New Roman"/>
          <w:i/>
          <w:szCs w:val="24"/>
          <w:u w:val="single"/>
        </w:rPr>
        <w:t>Алгоритм действий врача:</w:t>
      </w:r>
    </w:p>
    <w:p w14:paraId="4420F54D" w14:textId="77777777" w:rsidR="0000369C" w:rsidRPr="00FB780E" w:rsidRDefault="0000369C" w:rsidP="0000369C">
      <w:pPr>
        <w:shd w:val="clear" w:color="auto" w:fill="FFFFFF"/>
        <w:ind w:firstLine="709"/>
        <w:textAlignment w:val="baseline"/>
        <w:rPr>
          <w:rFonts w:eastAsia="Times New Roman" w:cs="Times New Roman"/>
          <w:color w:val="333333"/>
          <w:szCs w:val="24"/>
          <w:lang w:eastAsia="ru-RU"/>
        </w:rPr>
      </w:pPr>
      <w:r w:rsidRPr="00FB780E">
        <w:rPr>
          <w:rFonts w:eastAsia="Times New Roman" w:cs="Times New Roman"/>
          <w:color w:val="333333"/>
          <w:szCs w:val="24"/>
          <w:lang w:eastAsia="ru-RU"/>
        </w:rPr>
        <w:lastRenderedPageBreak/>
        <w:t>Неотложные терапевтические мероприятия показаны пациентам, состояние которых представляет угрозу для себя и других лиц, в первую очередь при наличии возбуждения и агрессивности, суицидальном поведении больного, состоянии измененного сознания, при отказе пациента от приема пищи и жидкости, его неспособности к самообслуживанию.</w:t>
      </w:r>
    </w:p>
    <w:p w14:paraId="3F6F7705" w14:textId="77777777" w:rsidR="0000369C" w:rsidRPr="00FB780E" w:rsidRDefault="0000369C" w:rsidP="0000369C">
      <w:pPr>
        <w:shd w:val="clear" w:color="auto" w:fill="FFFFFF"/>
        <w:ind w:firstLine="709"/>
        <w:textAlignment w:val="baseline"/>
        <w:rPr>
          <w:rFonts w:eastAsia="Times New Roman" w:cs="Times New Roman"/>
          <w:color w:val="333333"/>
          <w:szCs w:val="24"/>
          <w:lang w:eastAsia="ru-RU"/>
        </w:rPr>
      </w:pPr>
      <w:r w:rsidRPr="00FB780E">
        <w:rPr>
          <w:rFonts w:eastAsia="Times New Roman" w:cs="Times New Roman"/>
          <w:color w:val="333333"/>
          <w:szCs w:val="24"/>
          <w:lang w:eastAsia="ru-RU"/>
        </w:rPr>
        <w:t xml:space="preserve">Острые расстройства психики выявляют прежде всего во время беседы с пациентом, в ходе которой определяют тактику ведения </w:t>
      </w:r>
      <w:r>
        <w:rPr>
          <w:rFonts w:eastAsia="Times New Roman" w:cs="Times New Roman"/>
          <w:color w:val="333333"/>
          <w:szCs w:val="24"/>
          <w:lang w:eastAsia="ru-RU"/>
        </w:rPr>
        <w:t>пациента</w:t>
      </w:r>
      <w:r w:rsidRPr="00FB780E">
        <w:rPr>
          <w:rFonts w:eastAsia="Times New Roman" w:cs="Times New Roman"/>
          <w:color w:val="333333"/>
          <w:szCs w:val="24"/>
          <w:lang w:eastAsia="ru-RU"/>
        </w:rPr>
        <w:t>. Основные задачи такой беседы определяют правила общения с пациентами с острыми расстройствами психики:</w:t>
      </w:r>
    </w:p>
    <w:p w14:paraId="3235D1CF" w14:textId="77777777" w:rsidR="0000369C" w:rsidRPr="00FB780E" w:rsidRDefault="0000369C" w:rsidP="00C5490F">
      <w:pPr>
        <w:numPr>
          <w:ilvl w:val="0"/>
          <w:numId w:val="116"/>
        </w:numPr>
        <w:shd w:val="clear" w:color="auto" w:fill="FFFFFF"/>
        <w:textAlignment w:val="baseline"/>
        <w:rPr>
          <w:rFonts w:eastAsia="Times New Roman" w:cs="Times New Roman"/>
          <w:color w:val="231F20"/>
          <w:szCs w:val="24"/>
          <w:lang w:eastAsia="ru-RU"/>
        </w:rPr>
      </w:pPr>
      <w:r w:rsidRPr="00FB780E">
        <w:rPr>
          <w:rFonts w:eastAsia="Times New Roman" w:cs="Times New Roman"/>
          <w:color w:val="231F20"/>
          <w:szCs w:val="24"/>
          <w:lang w:eastAsia="ru-RU"/>
        </w:rPr>
        <w:t>установление первоначального контакта;</w:t>
      </w:r>
    </w:p>
    <w:p w14:paraId="55BEC79E" w14:textId="77777777" w:rsidR="0000369C" w:rsidRPr="00FB780E" w:rsidRDefault="0000369C" w:rsidP="00C5490F">
      <w:pPr>
        <w:numPr>
          <w:ilvl w:val="0"/>
          <w:numId w:val="116"/>
        </w:numPr>
        <w:shd w:val="clear" w:color="auto" w:fill="FFFFFF"/>
        <w:textAlignment w:val="baseline"/>
        <w:rPr>
          <w:rFonts w:eastAsia="Times New Roman" w:cs="Times New Roman"/>
          <w:color w:val="231F20"/>
          <w:szCs w:val="24"/>
          <w:lang w:eastAsia="ru-RU"/>
        </w:rPr>
      </w:pPr>
      <w:r w:rsidRPr="00FB780E">
        <w:rPr>
          <w:rFonts w:eastAsia="Times New Roman" w:cs="Times New Roman"/>
          <w:color w:val="231F20"/>
          <w:szCs w:val="24"/>
          <w:lang w:eastAsia="ru-RU"/>
        </w:rPr>
        <w:t>налаживание доверительных отношений между врачом и пациентом;</w:t>
      </w:r>
    </w:p>
    <w:p w14:paraId="12FCD4F0" w14:textId="77777777" w:rsidR="0000369C" w:rsidRPr="00FB780E" w:rsidRDefault="0000369C" w:rsidP="00C5490F">
      <w:pPr>
        <w:numPr>
          <w:ilvl w:val="0"/>
          <w:numId w:val="116"/>
        </w:numPr>
        <w:shd w:val="clear" w:color="auto" w:fill="FFFFFF"/>
        <w:textAlignment w:val="baseline"/>
        <w:rPr>
          <w:rFonts w:eastAsia="Times New Roman" w:cs="Times New Roman"/>
          <w:color w:val="231F20"/>
          <w:szCs w:val="24"/>
          <w:lang w:eastAsia="ru-RU"/>
        </w:rPr>
      </w:pPr>
      <w:r w:rsidRPr="00FB780E">
        <w:rPr>
          <w:rFonts w:eastAsia="Times New Roman" w:cs="Times New Roman"/>
          <w:color w:val="231F20"/>
          <w:szCs w:val="24"/>
          <w:lang w:eastAsia="ru-RU"/>
        </w:rPr>
        <w:t>определение диагноза на синдромальном уровне;</w:t>
      </w:r>
    </w:p>
    <w:p w14:paraId="0881BB2E" w14:textId="77777777" w:rsidR="0000369C" w:rsidRDefault="0000369C" w:rsidP="00C5490F">
      <w:pPr>
        <w:numPr>
          <w:ilvl w:val="0"/>
          <w:numId w:val="116"/>
        </w:numPr>
        <w:shd w:val="clear" w:color="auto" w:fill="FFFFFF"/>
        <w:textAlignment w:val="baseline"/>
        <w:rPr>
          <w:rFonts w:eastAsia="Times New Roman" w:cs="Times New Roman"/>
          <w:color w:val="231F20"/>
          <w:szCs w:val="24"/>
          <w:lang w:eastAsia="ru-RU"/>
        </w:rPr>
      </w:pPr>
      <w:r w:rsidRPr="00FB780E">
        <w:rPr>
          <w:rFonts w:eastAsia="Times New Roman" w:cs="Times New Roman"/>
          <w:color w:val="231F20"/>
          <w:szCs w:val="24"/>
          <w:lang w:eastAsia="ru-RU"/>
        </w:rPr>
        <w:t>разработка плана оказания медицинской помощи и дальнейшей тактики</w:t>
      </w:r>
      <w:r>
        <w:rPr>
          <w:rFonts w:eastAsia="Times New Roman" w:cs="Times New Roman"/>
          <w:color w:val="231F20"/>
          <w:szCs w:val="24"/>
          <w:lang w:eastAsia="ru-RU"/>
        </w:rPr>
        <w:t>, заключающейся, в общем плане, в изоляции пациента, при необходимости – фиксации в пределах постели и проведение терапевтических мероприятий при участии психиатра.</w:t>
      </w:r>
    </w:p>
    <w:p w14:paraId="73F68BD4" w14:textId="77777777" w:rsidR="0000369C" w:rsidRPr="00070BE4" w:rsidRDefault="0000369C" w:rsidP="0000369C">
      <w:pPr>
        <w:shd w:val="clear" w:color="auto" w:fill="FFFFFF"/>
        <w:ind w:firstLine="709"/>
        <w:textAlignment w:val="baseline"/>
        <w:rPr>
          <w:rFonts w:eastAsia="Times New Roman" w:cs="Times New Roman"/>
          <w:color w:val="231F20"/>
          <w:szCs w:val="24"/>
          <w:lang w:eastAsia="ru-RU"/>
        </w:rPr>
      </w:pPr>
      <w:r>
        <w:rPr>
          <w:rFonts w:eastAsia="Times New Roman" w:cs="Times New Roman"/>
          <w:color w:val="231F20"/>
          <w:szCs w:val="24"/>
          <w:lang w:eastAsia="ru-RU"/>
        </w:rPr>
        <w:t>При выявлении нозогенных реакций терапия проводится консультирующим психиатром.</w:t>
      </w:r>
    </w:p>
    <w:p w14:paraId="264692D1" w14:textId="77777777" w:rsidR="0000369C" w:rsidRPr="00FB583E" w:rsidRDefault="0000369C" w:rsidP="0000369C">
      <w:pPr>
        <w:pStyle w:val="afe"/>
        <w:autoSpaceDE w:val="0"/>
        <w:autoSpaceDN w:val="0"/>
        <w:adjustRightInd w:val="0"/>
        <w:rPr>
          <w:rFonts w:cs="Times New Roman"/>
          <w:szCs w:val="24"/>
        </w:rPr>
      </w:pPr>
    </w:p>
    <w:p w14:paraId="5B8A568E" w14:textId="435DA108" w:rsidR="0000369C" w:rsidRPr="0000369C" w:rsidRDefault="0000369C" w:rsidP="0000369C">
      <w:pPr>
        <w:pStyle w:val="2"/>
      </w:pPr>
      <w:bookmarkStart w:id="67" w:name="_Toc67522254"/>
      <w:r w:rsidRPr="00A7029B">
        <w:t>7.</w:t>
      </w:r>
      <w:r>
        <w:t xml:space="preserve">16 </w:t>
      </w:r>
      <w:r w:rsidRPr="00DC46B0">
        <w:t>Кардиологическое обследование и лечение пациентов с гематологическими заболеваниями</w:t>
      </w:r>
      <w:bookmarkEnd w:id="67"/>
    </w:p>
    <w:p w14:paraId="321A4F0E" w14:textId="77777777" w:rsidR="0000369C" w:rsidRPr="00DC46B0" w:rsidRDefault="0000369C" w:rsidP="0000369C">
      <w:pPr>
        <w:ind w:firstLine="709"/>
        <w:rPr>
          <w:szCs w:val="24"/>
        </w:rPr>
      </w:pPr>
      <w:r w:rsidRPr="00DC46B0">
        <w:rPr>
          <w:szCs w:val="24"/>
        </w:rPr>
        <w:t xml:space="preserve">Накопленный опыт длительного наблюдения и лечения пациентов с онкогематологическими заболеваниями показывает, что кардиологические проблемы не только влияют на выбор гематологической терапии и возможность ее продолжения, но и существенно влияют на качество и продолжительность жизни, поэтому вопросы сопроводительного кардиологического ведения в гематологической практике крайне актуальны и важны. </w:t>
      </w:r>
    </w:p>
    <w:p w14:paraId="3657A481" w14:textId="43D6BE24" w:rsidR="0000369C" w:rsidRPr="00DC46B0" w:rsidRDefault="0000369C" w:rsidP="0000369C">
      <w:pPr>
        <w:ind w:firstLine="709"/>
        <w:rPr>
          <w:szCs w:val="24"/>
        </w:rPr>
      </w:pPr>
      <w:r w:rsidRPr="00DC46B0">
        <w:rPr>
          <w:szCs w:val="24"/>
        </w:rPr>
        <w:t>Поражения сердечно-сосудистой системы, выявляемые у гематологических больных, можно разделить на несколько категорий</w:t>
      </w:r>
      <w:r>
        <w:rPr>
          <w:szCs w:val="24"/>
        </w:rPr>
        <w:t xml:space="preserve"> </w:t>
      </w:r>
      <w:r>
        <w:rPr>
          <w:szCs w:val="24"/>
        </w:rPr>
        <w:fldChar w:fldCharType="begin" w:fldLock="1"/>
      </w:r>
      <w:r>
        <w:rPr>
          <w:szCs w:val="24"/>
        </w:rPr>
        <w:instrText>ADDIN CSL_CITATION {"citationItems":[{"id":"ITEM-1","itemData":{"author":[{"dropping-particle":"","family":"Гендлин","given":"Г.Е.","non-dropping-particle":"","parse-names":false,"suffix":""},{"dropping-particle":"","family":"Емелина","given":"Е.И.","non-dropping-particle":"","parse-names":false,"suffix":""},{"dropping-particle":"","family":"Никитин","given":"И.Г.","non-dropping-particle":"","parse-names":false,"suffix":""},{"dropping-particle":"","family":"Васюк","given":"Ю.А.","non-dropping-particle":"","parse-names":false,"suffix":""}],"container-title":"Российский кардиологический журнал","id":"ITEM-1","issue":"3","issued":{"date-parts":[["2017"]]},"page":"145-154","title":"Современный взгляд на кардиотоксичность химиотерапии онкологических заболеваний, включающей антрациклиновые антибиотики.","type":"article-journal","volume":"143"},"uris":["http://www.mendeley.com/documents/?uuid=722a7982-2dac-48df-a33c-90ea8f628939"]}],"mendeley":{"formattedCitation":"[107]","plainTextFormattedCitation":"[107]","previouslyFormattedCitation":"[107]"},"properties":{"noteIndex":0},"schema":"https://github.com/citation-style-language/schema/raw/master/csl-citation.json"}</w:instrText>
      </w:r>
      <w:r>
        <w:rPr>
          <w:szCs w:val="24"/>
        </w:rPr>
        <w:fldChar w:fldCharType="separate"/>
      </w:r>
      <w:r w:rsidRPr="0000369C">
        <w:rPr>
          <w:noProof/>
          <w:szCs w:val="24"/>
        </w:rPr>
        <w:t>[107]</w:t>
      </w:r>
      <w:r>
        <w:rPr>
          <w:szCs w:val="24"/>
        </w:rPr>
        <w:fldChar w:fldCharType="end"/>
      </w:r>
      <w:r w:rsidRPr="00DC46B0">
        <w:rPr>
          <w:szCs w:val="24"/>
        </w:rPr>
        <w:t>:</w:t>
      </w:r>
    </w:p>
    <w:p w14:paraId="5B4EA93A" w14:textId="77777777" w:rsidR="0000369C" w:rsidRPr="00DC46B0" w:rsidRDefault="0000369C" w:rsidP="00C5490F">
      <w:pPr>
        <w:pStyle w:val="afe"/>
        <w:numPr>
          <w:ilvl w:val="0"/>
          <w:numId w:val="118"/>
        </w:numPr>
        <w:rPr>
          <w:szCs w:val="24"/>
        </w:rPr>
      </w:pPr>
      <w:r w:rsidRPr="00DC46B0">
        <w:rPr>
          <w:szCs w:val="24"/>
        </w:rPr>
        <w:t>Возникающие вследствие гематологической патологии, например:</w:t>
      </w:r>
    </w:p>
    <w:p w14:paraId="73BEF108" w14:textId="77777777" w:rsidR="0000369C" w:rsidRPr="00DC46B0" w:rsidRDefault="0000369C" w:rsidP="00C5490F">
      <w:pPr>
        <w:pStyle w:val="afe"/>
        <w:numPr>
          <w:ilvl w:val="1"/>
          <w:numId w:val="118"/>
        </w:numPr>
        <w:rPr>
          <w:szCs w:val="24"/>
        </w:rPr>
      </w:pPr>
      <w:r w:rsidRPr="00DC46B0">
        <w:rPr>
          <w:szCs w:val="24"/>
        </w:rPr>
        <w:t xml:space="preserve">гипертрофия миокарда (чаще при длительно существующей анемии); </w:t>
      </w:r>
    </w:p>
    <w:p w14:paraId="7F31AD5F" w14:textId="77777777" w:rsidR="0000369C" w:rsidRPr="00DC46B0" w:rsidRDefault="0000369C" w:rsidP="00C5490F">
      <w:pPr>
        <w:pStyle w:val="afe"/>
        <w:numPr>
          <w:ilvl w:val="1"/>
          <w:numId w:val="118"/>
        </w:numPr>
        <w:rPr>
          <w:szCs w:val="24"/>
        </w:rPr>
      </w:pPr>
      <w:r w:rsidRPr="00DC46B0">
        <w:rPr>
          <w:szCs w:val="24"/>
        </w:rPr>
        <w:t xml:space="preserve">кардиопатический AL-амилоидоз (чаще при множественной миеломе, реже при других лимфопролиферативных заболеваниях); </w:t>
      </w:r>
    </w:p>
    <w:p w14:paraId="2FD52440" w14:textId="77777777" w:rsidR="0000369C" w:rsidRPr="00DC46B0" w:rsidRDefault="0000369C" w:rsidP="00C5490F">
      <w:pPr>
        <w:pStyle w:val="afe"/>
        <w:numPr>
          <w:ilvl w:val="1"/>
          <w:numId w:val="118"/>
        </w:numPr>
        <w:rPr>
          <w:szCs w:val="24"/>
        </w:rPr>
      </w:pPr>
      <w:r w:rsidRPr="00DC46B0">
        <w:rPr>
          <w:szCs w:val="24"/>
        </w:rPr>
        <w:t>сдавление сердца опухолевым образованием средостения, часто с образованием выпота в перикард;</w:t>
      </w:r>
    </w:p>
    <w:p w14:paraId="1EDC8624" w14:textId="77777777" w:rsidR="0000369C" w:rsidRPr="00DC46B0" w:rsidRDefault="0000369C" w:rsidP="00C5490F">
      <w:pPr>
        <w:pStyle w:val="afe"/>
        <w:numPr>
          <w:ilvl w:val="1"/>
          <w:numId w:val="118"/>
        </w:numPr>
        <w:rPr>
          <w:szCs w:val="24"/>
        </w:rPr>
      </w:pPr>
      <w:r w:rsidRPr="00DC46B0">
        <w:rPr>
          <w:szCs w:val="24"/>
        </w:rPr>
        <w:lastRenderedPageBreak/>
        <w:t>непосредственное опухолевое поражение миокарда и оболочек сердца (например, при лимфоме, множественной миеломе и др.).</w:t>
      </w:r>
    </w:p>
    <w:p w14:paraId="0D12D338" w14:textId="77777777" w:rsidR="0000369C" w:rsidRPr="00DC46B0" w:rsidRDefault="0000369C" w:rsidP="00C5490F">
      <w:pPr>
        <w:pStyle w:val="afe"/>
        <w:numPr>
          <w:ilvl w:val="0"/>
          <w:numId w:val="118"/>
        </w:numPr>
        <w:rPr>
          <w:szCs w:val="24"/>
        </w:rPr>
      </w:pPr>
      <w:r w:rsidRPr="00DC46B0">
        <w:rPr>
          <w:szCs w:val="24"/>
        </w:rPr>
        <w:t xml:space="preserve">Кардиотоксическое поражение сердца и сосудов в результате воздействия лекарственных препаратов (развивающиеся как в период гематологического лечения, так и после его завершения). </w:t>
      </w:r>
    </w:p>
    <w:p w14:paraId="263DD167" w14:textId="77777777" w:rsidR="0000369C" w:rsidRPr="00DC46B0" w:rsidRDefault="0000369C" w:rsidP="00C5490F">
      <w:pPr>
        <w:pStyle w:val="afe"/>
        <w:numPr>
          <w:ilvl w:val="0"/>
          <w:numId w:val="118"/>
        </w:numPr>
        <w:rPr>
          <w:szCs w:val="24"/>
        </w:rPr>
      </w:pPr>
      <w:r w:rsidRPr="00DC46B0">
        <w:rPr>
          <w:szCs w:val="24"/>
        </w:rPr>
        <w:t>Кардиотоксическое поражение сердца и сосудов в период или после проведения лучевой терапии (выпотной перикардит, острый коронарный синдром, поражения клапанов сердца, аорты, коронарных сосудов).</w:t>
      </w:r>
    </w:p>
    <w:p w14:paraId="2C972FE4" w14:textId="77777777" w:rsidR="0000369C" w:rsidRPr="00DC46B0" w:rsidRDefault="0000369C" w:rsidP="00C5490F">
      <w:pPr>
        <w:pStyle w:val="afe"/>
        <w:numPr>
          <w:ilvl w:val="0"/>
          <w:numId w:val="118"/>
        </w:numPr>
        <w:rPr>
          <w:szCs w:val="24"/>
        </w:rPr>
      </w:pPr>
      <w:r w:rsidRPr="00DC46B0">
        <w:rPr>
          <w:szCs w:val="24"/>
        </w:rPr>
        <w:t>Сопутствующая самостоятельная кардиологическая патология, не связанная с гематологическим заболеванием (артериальная гипертония, ишемическая болезнь сердца, аритмии, и др.)</w:t>
      </w:r>
    </w:p>
    <w:p w14:paraId="3F14FEA4" w14:textId="77777777" w:rsidR="0000369C" w:rsidRDefault="0000369C" w:rsidP="0000369C">
      <w:pPr>
        <w:rPr>
          <w:b/>
          <w:szCs w:val="24"/>
        </w:rPr>
      </w:pPr>
    </w:p>
    <w:p w14:paraId="2379B7FD" w14:textId="77777777" w:rsidR="0000369C" w:rsidRPr="00DC46B0" w:rsidRDefault="0000369C" w:rsidP="0000369C">
      <w:pPr>
        <w:rPr>
          <w:i/>
          <w:szCs w:val="24"/>
          <w:u w:val="single"/>
        </w:rPr>
      </w:pPr>
      <w:r w:rsidRPr="00DC46B0">
        <w:rPr>
          <w:i/>
          <w:szCs w:val="24"/>
          <w:u w:val="single"/>
        </w:rPr>
        <w:t>Диагностика кардиальной патологии у гематологических пациентов</w:t>
      </w:r>
    </w:p>
    <w:p w14:paraId="0F9439A8" w14:textId="2E3333D2" w:rsidR="0000369C" w:rsidRPr="00DC46B0" w:rsidRDefault="0000369C" w:rsidP="0000369C">
      <w:pPr>
        <w:ind w:firstLine="708"/>
        <w:rPr>
          <w:szCs w:val="24"/>
        </w:rPr>
      </w:pPr>
      <w:r w:rsidRPr="00DC46B0">
        <w:rPr>
          <w:szCs w:val="24"/>
        </w:rPr>
        <w:t>На этапе диагностики гематологического заболевания одновременно рекомендовано обследование для уточнения/исключения возможной кардиологической патологии</w:t>
      </w:r>
      <w:r w:rsidRPr="00F11B54">
        <w:rPr>
          <w:szCs w:val="24"/>
        </w:rPr>
        <w:t xml:space="preserve"> </w:t>
      </w:r>
      <w:r>
        <w:rPr>
          <w:szCs w:val="24"/>
        </w:rPr>
        <w:fldChar w:fldCharType="begin" w:fldLock="1"/>
      </w:r>
      <w:r>
        <w:rPr>
          <w:szCs w:val="24"/>
        </w:rPr>
        <w:instrText>ADDIN CSL_CITATION {"citationItems":[{"id":"ITEM-1","itemData":{"author":[{"dropping-particle":"","family":"Гендлин","given":"Г.Е.","non-dropping-particle":"","parse-names":false,"suffix":""},{"dropping-particle":"","family":"Емелина","given":"Е.И.","non-dropping-particle":"","parse-names":false,"suffix":""},{"dropping-particle":"","family":"Никитин","given":"И.Г.","non-dropping-particle":"","parse-names":false,"suffix":""},{"dropping-particle":"","family":"Васюк","given":"Ю.А.","non-dropping-particle":"","parse-names":false,"suffix":""}],"container-title":"Российский кардиологический журнал","id":"ITEM-1","issue":"3","issued":{"date-parts":[["2017"]]},"page":"145-154","title":"Современный взгляд на кардиотоксичность химиотерапии онкологических заболеваний, включающей антрациклиновые антибиотики.","type":"article-journal","volume":"143"},"uris":["http://www.mendeley.com/documents/?uuid=722a7982-2dac-48df-a33c-90ea8f628939"]}],"mendeley":{"formattedCitation":"[107]","plainTextFormattedCitation":"[107]","previouslyFormattedCitation":"[107]"},"properties":{"noteIndex":0},"schema":"https://github.com/citation-style-language/schema/raw/master/csl-citation.json"}</w:instrText>
      </w:r>
      <w:r>
        <w:rPr>
          <w:szCs w:val="24"/>
        </w:rPr>
        <w:fldChar w:fldCharType="separate"/>
      </w:r>
      <w:r w:rsidRPr="0000369C">
        <w:rPr>
          <w:noProof/>
          <w:szCs w:val="24"/>
        </w:rPr>
        <w:t>[107]</w:t>
      </w:r>
      <w:r>
        <w:rPr>
          <w:szCs w:val="24"/>
        </w:rPr>
        <w:fldChar w:fldCharType="end"/>
      </w:r>
      <w:r w:rsidRPr="00DC46B0">
        <w:rPr>
          <w:szCs w:val="24"/>
        </w:rPr>
        <w:t>.</w:t>
      </w:r>
    </w:p>
    <w:p w14:paraId="4474A637" w14:textId="77777777" w:rsidR="0000369C" w:rsidRPr="00DC46B0" w:rsidRDefault="0000369C" w:rsidP="00C5490F">
      <w:pPr>
        <w:pStyle w:val="afe"/>
        <w:numPr>
          <w:ilvl w:val="0"/>
          <w:numId w:val="119"/>
        </w:numPr>
        <w:rPr>
          <w:szCs w:val="24"/>
        </w:rPr>
      </w:pPr>
      <w:r w:rsidRPr="00DC46B0">
        <w:rPr>
          <w:szCs w:val="24"/>
        </w:rPr>
        <w:t xml:space="preserve">Осмотр (консультация) врача-гематолога с выявлением симптомов, которые могут быть обусловлены кардиальной патологией (одышка, утомляемость, плохая переносимость нагрузки, отеки нижних конечностей, и т.д.); оценкой анамнеза: наличие ишемической болезни сердца (ИБС), артериальной гипертензии (АГ), аритмии, факторов риска, семейного анамнеза;  физикальное обследование с измерением артериального давления (АД). </w:t>
      </w:r>
    </w:p>
    <w:p w14:paraId="4A19710F" w14:textId="77777777" w:rsidR="0000369C" w:rsidRPr="00DC46B0" w:rsidRDefault="0000369C" w:rsidP="00C5490F">
      <w:pPr>
        <w:pStyle w:val="afe"/>
        <w:numPr>
          <w:ilvl w:val="0"/>
          <w:numId w:val="119"/>
        </w:numPr>
        <w:rPr>
          <w:szCs w:val="24"/>
        </w:rPr>
      </w:pPr>
      <w:r w:rsidRPr="00DC46B0">
        <w:rPr>
          <w:szCs w:val="24"/>
        </w:rPr>
        <w:t>Осмотр (консультация) врача-кардиолога (по показаниям)</w:t>
      </w:r>
    </w:p>
    <w:p w14:paraId="4D132790" w14:textId="77777777" w:rsidR="0000369C" w:rsidRDefault="0000369C" w:rsidP="00C5490F">
      <w:pPr>
        <w:pStyle w:val="afe"/>
        <w:numPr>
          <w:ilvl w:val="0"/>
          <w:numId w:val="119"/>
        </w:numPr>
        <w:rPr>
          <w:szCs w:val="24"/>
        </w:rPr>
      </w:pPr>
      <w:r w:rsidRPr="00DC46B0">
        <w:rPr>
          <w:szCs w:val="24"/>
        </w:rPr>
        <w:t xml:space="preserve">Инструментальные исследования: </w:t>
      </w:r>
    </w:p>
    <w:p w14:paraId="72E1945A" w14:textId="77777777" w:rsidR="0000369C" w:rsidRDefault="0000369C" w:rsidP="00C5490F">
      <w:pPr>
        <w:pStyle w:val="afe"/>
        <w:numPr>
          <w:ilvl w:val="1"/>
          <w:numId w:val="119"/>
        </w:numPr>
        <w:rPr>
          <w:szCs w:val="24"/>
        </w:rPr>
      </w:pPr>
      <w:r w:rsidRPr="00DC46B0">
        <w:rPr>
          <w:szCs w:val="24"/>
        </w:rPr>
        <w:t>Электрокардиография (ЭКГ) в 12 отведениях. На всех этапах диагностики первичного гематологического заболевания и рецидива, перед проведением гематологического лечения, в процессе проведения лечения, при оценке эффективности лечения и в процессе динамического наблюдения, при рефрактерном течении, п</w:t>
      </w:r>
      <w:r w:rsidRPr="00DC46B0">
        <w:rPr>
          <w:rFonts w:eastAsia="Times New Roman"/>
          <w:szCs w:val="24"/>
          <w:lang w:eastAsia="ru-RU"/>
        </w:rPr>
        <w:t>ри развитии осложнений –  т.е. на любом этапе диагностики, лечения и наблюдения</w:t>
      </w:r>
      <w:r w:rsidRPr="00DC46B0">
        <w:rPr>
          <w:szCs w:val="24"/>
        </w:rPr>
        <w:t xml:space="preserve"> всем пациентам необходимо проведение ЭКГ.</w:t>
      </w:r>
    </w:p>
    <w:p w14:paraId="5305471E" w14:textId="14446FDE" w:rsidR="0000369C" w:rsidRDefault="0000369C" w:rsidP="00C5490F">
      <w:pPr>
        <w:pStyle w:val="afe"/>
        <w:numPr>
          <w:ilvl w:val="1"/>
          <w:numId w:val="119"/>
        </w:numPr>
        <w:rPr>
          <w:szCs w:val="24"/>
        </w:rPr>
      </w:pPr>
      <w:r w:rsidRPr="00DC46B0">
        <w:rPr>
          <w:szCs w:val="24"/>
        </w:rPr>
        <w:t>Эхокардиография (ЭХО-КГ)</w:t>
      </w:r>
      <w:r>
        <w:rPr>
          <w:szCs w:val="24"/>
        </w:rPr>
        <w:t xml:space="preserve"> </w:t>
      </w:r>
      <w:r>
        <w:rPr>
          <w:szCs w:val="24"/>
        </w:rPr>
        <w:fldChar w:fldCharType="begin" w:fldLock="1"/>
      </w:r>
      <w:r>
        <w:rPr>
          <w:szCs w:val="24"/>
        </w:rPr>
        <w:instrText>ADDIN CSL_CITATION {"citationItems":[{"id":"ITEM-1","itemData":{"author":[{"dropping-particle":"","family":"Васюк","given":"Ю.А.","non-dropping-particle":"","parse-names":false,"suffix":""},{"dropping-particle":"","family":"Несветов","given":"В.В.","non-dropping-particle":"","parse-names":false,"suffix":""},{"dropping-particle":"","family":"Школьник","given":"Е.Л.","non-dropping-particle":"","parse-names":false,"suffix":""},{"dropping-particle":"","family":"Фурсов","given":"С.А.","non-dropping-particle":"","parse-names":false,"suffix":""},{"dropping-particle":"","family":"Школьник","given":"Л.Д.","non-dropping-particle":"","parse-names":false,"suffix":""},{"dropping-particle":"","family":"Гендлин","given":"Г.Е.","non-dropping-particle":"","parse-names":false,"suffix":""},{"dropping-particle":"","family":"Емелина","given":"Е.И.","non-dropping-particle":"","parse-names":false,"suffix":""}],"container-title":"Кардиология","id":"ITEM-1","issue":"S4","issued":{"date-parts":[["2017"]]},"page":"31-17","title":"Возможности современных эхокардиографических технологий в ранней диагностике кардиотоксического действия химиотерапевтических препаратов антрациклинового ряда у онкологических больных.","type":"article-journal","volume":"57"},"uris":["http://www.mendeley.com/documents/?uuid=3fa599d7-1e0f-4994-84cd-b2b3148e9aa3"]}],"mendeley":{"formattedCitation":"[108]","plainTextFormattedCitation":"[108]","previouslyFormattedCitation":"[108]"},"properties":{"noteIndex":0},"schema":"https://github.com/citation-style-language/schema/raw/master/csl-citation.json"}</w:instrText>
      </w:r>
      <w:r>
        <w:rPr>
          <w:szCs w:val="24"/>
        </w:rPr>
        <w:fldChar w:fldCharType="separate"/>
      </w:r>
      <w:r w:rsidRPr="0000369C">
        <w:rPr>
          <w:noProof/>
          <w:szCs w:val="24"/>
        </w:rPr>
        <w:t>[108]</w:t>
      </w:r>
      <w:r>
        <w:rPr>
          <w:szCs w:val="24"/>
        </w:rPr>
        <w:fldChar w:fldCharType="end"/>
      </w:r>
      <w:r w:rsidRPr="00DC46B0">
        <w:rPr>
          <w:szCs w:val="24"/>
        </w:rPr>
        <w:t xml:space="preserve">. При наличии клинических показаний или при проведении лечения с возможными кардиотоксическими проявлениями, на любом вышеуказанном этапе рекомендуется дополнительно проведение ЭХО-КГ.  </w:t>
      </w:r>
    </w:p>
    <w:p w14:paraId="0C861EA5" w14:textId="77777777" w:rsidR="0000369C" w:rsidRDefault="0000369C" w:rsidP="00C5490F">
      <w:pPr>
        <w:pStyle w:val="afe"/>
        <w:numPr>
          <w:ilvl w:val="0"/>
          <w:numId w:val="119"/>
        </w:numPr>
        <w:rPr>
          <w:szCs w:val="24"/>
        </w:rPr>
      </w:pPr>
      <w:r w:rsidRPr="00DC46B0">
        <w:rPr>
          <w:szCs w:val="24"/>
        </w:rPr>
        <w:t>Лабораторные исследования:</w:t>
      </w:r>
    </w:p>
    <w:p w14:paraId="10526421" w14:textId="77777777" w:rsidR="0000369C" w:rsidRDefault="0000369C" w:rsidP="00C5490F">
      <w:pPr>
        <w:pStyle w:val="afe"/>
        <w:numPr>
          <w:ilvl w:val="1"/>
          <w:numId w:val="119"/>
        </w:numPr>
        <w:rPr>
          <w:szCs w:val="24"/>
        </w:rPr>
      </w:pPr>
      <w:r w:rsidRPr="00DC46B0">
        <w:rPr>
          <w:szCs w:val="24"/>
        </w:rPr>
        <w:lastRenderedPageBreak/>
        <w:t>Клинический анализ крови с определением гемоглобина, тромбоцитов, лейкоцитов, лейкоцитарной формулы, СОЭ;</w:t>
      </w:r>
    </w:p>
    <w:p w14:paraId="43D804B4" w14:textId="77777777" w:rsidR="0000369C" w:rsidRPr="00DC46B0" w:rsidRDefault="0000369C" w:rsidP="00C5490F">
      <w:pPr>
        <w:pStyle w:val="afe"/>
        <w:numPr>
          <w:ilvl w:val="1"/>
          <w:numId w:val="119"/>
        </w:numPr>
        <w:rPr>
          <w:szCs w:val="24"/>
        </w:rPr>
      </w:pPr>
      <w:r w:rsidRPr="00DC46B0">
        <w:rPr>
          <w:szCs w:val="24"/>
        </w:rPr>
        <w:t>Биохимический анализ крови с определением липидного спектра, глюкозы, креатинина, мочевины, мочевой кислоты, калия, натрия, аспартатаминотрансферазы (АСТ), аланинаминотрансферазы (АЛТ).</w:t>
      </w:r>
    </w:p>
    <w:p w14:paraId="51394881" w14:textId="77777777" w:rsidR="0000369C" w:rsidRPr="00DC46B0" w:rsidRDefault="0000369C" w:rsidP="0000369C">
      <w:pPr>
        <w:ind w:firstLine="709"/>
        <w:rPr>
          <w:szCs w:val="24"/>
        </w:rPr>
      </w:pPr>
      <w:r w:rsidRPr="00DC46B0">
        <w:rPr>
          <w:szCs w:val="24"/>
        </w:rPr>
        <w:t>При выявлении (и/или для исключения) признаков кардиальной патологии, выявлении отклонений при первичном кардиологическом обследовании рекомендуется консультация кардиолога и проведение дополнительных исследований.</w:t>
      </w:r>
    </w:p>
    <w:p w14:paraId="1D9F51E9" w14:textId="77777777" w:rsidR="0000369C" w:rsidRDefault="0000369C" w:rsidP="0000369C">
      <w:pPr>
        <w:rPr>
          <w:b/>
          <w:szCs w:val="24"/>
        </w:rPr>
      </w:pPr>
    </w:p>
    <w:p w14:paraId="04161158" w14:textId="0D06AF8E" w:rsidR="0000369C" w:rsidRPr="00DC46B0" w:rsidRDefault="0000369C" w:rsidP="0000369C">
      <w:pPr>
        <w:rPr>
          <w:i/>
          <w:szCs w:val="24"/>
          <w:u w:val="single"/>
        </w:rPr>
      </w:pPr>
      <w:r w:rsidRPr="00DC46B0">
        <w:rPr>
          <w:i/>
          <w:szCs w:val="24"/>
          <w:u w:val="single"/>
        </w:rPr>
        <w:t>Дополнительное кардиологическое обследование</w:t>
      </w:r>
      <w:r>
        <w:rPr>
          <w:i/>
          <w:szCs w:val="24"/>
          <w:u w:val="single"/>
        </w:rPr>
        <w:t xml:space="preserve"> </w:t>
      </w:r>
      <w:r>
        <w:rPr>
          <w:szCs w:val="24"/>
        </w:rPr>
        <w:fldChar w:fldCharType="begin" w:fldLock="1"/>
      </w:r>
      <w:r>
        <w:rPr>
          <w:szCs w:val="24"/>
        </w:rPr>
        <w:instrText>ADDIN CSL_CITATION {"citationItems":[{"id":"ITEM-1","itemData":{"author":[{"dropping-particle":"","family":"Гендлин","given":"Г.Е.","non-dropping-particle":"","parse-names":false,"suffix":""},{"dropping-particle":"","family":"Емелина","given":"Е.И.","non-dropping-particle":"","parse-names":false,"suffix":""},{"dropping-particle":"","family":"Никитин","given":"И.Г.","non-dropping-particle":"","parse-names":false,"suffix":""},{"dropping-particle":"","family":"Васюк","given":"Ю.А.","non-dropping-particle":"","parse-names":false,"suffix":""}],"container-title":"Российский кардиологический журнал","id":"ITEM-1","issue":"3","issued":{"date-parts":[["2017"]]},"page":"145-154","title":"Современный взгляд на кардиотоксичность химиотерапии онкологических заболеваний, включающей антрациклиновые антибиотики.","type":"article-journal","volume":"143"},"uris":["http://www.mendeley.com/documents/?uuid=722a7982-2dac-48df-a33c-90ea8f628939"]}],"mendeley":{"formattedCitation":"[107]","plainTextFormattedCitation":"[107]","previouslyFormattedCitation":"[107]"},"properties":{"noteIndex":0},"schema":"https://github.com/citation-style-language/schema/raw/master/csl-citation.json"}</w:instrText>
      </w:r>
      <w:r>
        <w:rPr>
          <w:szCs w:val="24"/>
        </w:rPr>
        <w:fldChar w:fldCharType="separate"/>
      </w:r>
      <w:r w:rsidRPr="0000369C">
        <w:rPr>
          <w:noProof/>
          <w:szCs w:val="24"/>
        </w:rPr>
        <w:t>[107]</w:t>
      </w:r>
      <w:r>
        <w:rPr>
          <w:szCs w:val="24"/>
        </w:rPr>
        <w:fldChar w:fldCharType="end"/>
      </w:r>
    </w:p>
    <w:p w14:paraId="5DA40B33" w14:textId="77777777" w:rsidR="0000369C" w:rsidRPr="00DC46B0" w:rsidRDefault="0000369C" w:rsidP="0000369C">
      <w:pPr>
        <w:rPr>
          <w:szCs w:val="24"/>
          <w:u w:val="single"/>
        </w:rPr>
      </w:pPr>
      <w:r w:rsidRPr="00DC46B0">
        <w:rPr>
          <w:szCs w:val="24"/>
          <w:u w:val="single"/>
        </w:rPr>
        <w:t>Манипуляции:</w:t>
      </w:r>
    </w:p>
    <w:p w14:paraId="794E8023" w14:textId="77777777" w:rsidR="0000369C" w:rsidRPr="00DC46B0" w:rsidRDefault="0000369C" w:rsidP="00C5490F">
      <w:pPr>
        <w:pStyle w:val="afe"/>
        <w:numPr>
          <w:ilvl w:val="0"/>
          <w:numId w:val="120"/>
        </w:numPr>
        <w:rPr>
          <w:b/>
          <w:szCs w:val="24"/>
        </w:rPr>
      </w:pPr>
      <w:r w:rsidRPr="00DC46B0">
        <w:rPr>
          <w:i/>
          <w:szCs w:val="24"/>
        </w:rPr>
        <w:t>Суточное мониторирование ЭКГ по Холтеру</w:t>
      </w:r>
      <w:r w:rsidRPr="00DC46B0">
        <w:rPr>
          <w:szCs w:val="24"/>
        </w:rPr>
        <w:t xml:space="preserve"> –</w:t>
      </w:r>
      <w:r w:rsidRPr="00DC46B0">
        <w:rPr>
          <w:b/>
          <w:szCs w:val="24"/>
        </w:rPr>
        <w:t xml:space="preserve"> </w:t>
      </w:r>
      <w:r w:rsidRPr="00DC46B0">
        <w:rPr>
          <w:szCs w:val="24"/>
        </w:rPr>
        <w:t xml:space="preserve">рекомендуется пациентам при выявлении удлинения интервала </w:t>
      </w:r>
      <w:r w:rsidRPr="00DC46B0">
        <w:rPr>
          <w:szCs w:val="24"/>
          <w:lang w:val="en-US"/>
        </w:rPr>
        <w:t>QT</w:t>
      </w:r>
      <w:r w:rsidRPr="00DC46B0">
        <w:rPr>
          <w:szCs w:val="24"/>
        </w:rPr>
        <w:t xml:space="preserve">, ишемии миокарда, нарушений ритма и проводимости; диспозицией сегмента </w:t>
      </w:r>
      <w:r w:rsidRPr="00DC46B0">
        <w:rPr>
          <w:szCs w:val="24"/>
          <w:lang w:val="en-US"/>
        </w:rPr>
        <w:t>ST</w:t>
      </w:r>
      <w:r w:rsidRPr="00DC46B0">
        <w:rPr>
          <w:szCs w:val="24"/>
        </w:rPr>
        <w:t xml:space="preserve"> на ЭКГ; синусовой бради/тахикардией, при наличии жалоб на аритмию, эпизоды внезапной слабости, головокружений. Также проведение исследования рекомендуется при проведении лечения препаратами, способными вызывать кардиотоксические эффекты. Исследование проводится на любых этапах – в период диагностики гематологического заболевания, перед проведением гематологического лечения, в процессе проведения лечения, при оценке эффективности лечения и в процессе динамического наблюдения, при рефрактерном течении, п</w:t>
      </w:r>
      <w:r w:rsidRPr="00DC46B0">
        <w:rPr>
          <w:rFonts w:eastAsia="Times New Roman"/>
          <w:szCs w:val="24"/>
          <w:lang w:eastAsia="ru-RU"/>
        </w:rPr>
        <w:t>ри развитии осложнений (по показаниям</w:t>
      </w:r>
      <w:r w:rsidRPr="00DC46B0">
        <w:rPr>
          <w:szCs w:val="24"/>
        </w:rPr>
        <w:t>).</w:t>
      </w:r>
    </w:p>
    <w:p w14:paraId="5396AC09" w14:textId="77777777" w:rsidR="0000369C" w:rsidRPr="00DC46B0" w:rsidRDefault="0000369C" w:rsidP="00C5490F">
      <w:pPr>
        <w:pStyle w:val="afe"/>
        <w:numPr>
          <w:ilvl w:val="0"/>
          <w:numId w:val="120"/>
        </w:numPr>
        <w:rPr>
          <w:szCs w:val="24"/>
        </w:rPr>
      </w:pPr>
      <w:r w:rsidRPr="00DC46B0">
        <w:rPr>
          <w:i/>
          <w:szCs w:val="24"/>
        </w:rPr>
        <w:t>Суточное мониторирование АД</w:t>
      </w:r>
      <w:r w:rsidRPr="00DC46B0">
        <w:rPr>
          <w:b/>
          <w:szCs w:val="24"/>
        </w:rPr>
        <w:t xml:space="preserve"> </w:t>
      </w:r>
      <w:r w:rsidRPr="00DC46B0">
        <w:rPr>
          <w:szCs w:val="24"/>
        </w:rPr>
        <w:t xml:space="preserve">– рекомендуется пациентам с артериальной гипертензией (АГ), и при назначении лекарственных препаратов, способных вызывать АГ. Исследование проводится </w:t>
      </w:r>
      <w:r w:rsidRPr="00DC46B0">
        <w:rPr>
          <w:rFonts w:eastAsia="Times New Roman"/>
          <w:szCs w:val="24"/>
          <w:lang w:eastAsia="ru-RU"/>
        </w:rPr>
        <w:t>на любом этапе диагностики, лечения и наблюдения</w:t>
      </w:r>
      <w:r w:rsidRPr="00DC46B0">
        <w:rPr>
          <w:szCs w:val="24"/>
        </w:rPr>
        <w:t xml:space="preserve"> (по показаниям).</w:t>
      </w:r>
    </w:p>
    <w:p w14:paraId="5652AFB5" w14:textId="77777777" w:rsidR="0000369C" w:rsidRPr="00DC46B0" w:rsidRDefault="0000369C" w:rsidP="00C5490F">
      <w:pPr>
        <w:pStyle w:val="afe"/>
        <w:numPr>
          <w:ilvl w:val="0"/>
          <w:numId w:val="120"/>
        </w:numPr>
        <w:rPr>
          <w:szCs w:val="24"/>
        </w:rPr>
      </w:pPr>
      <w:r w:rsidRPr="00DC46B0">
        <w:rPr>
          <w:i/>
          <w:szCs w:val="24"/>
        </w:rPr>
        <w:t>Тредмил-тест</w:t>
      </w:r>
      <w:r w:rsidRPr="00DC46B0">
        <w:rPr>
          <w:szCs w:val="24"/>
        </w:rPr>
        <w:t xml:space="preserve"> – рекомендуется для диагностики ишемической болезни сердца (ИБС) при атипичном болевом синдроме, а также при назначении препаратов, способных вызвать ишемию миокарда. Исследование проводится </w:t>
      </w:r>
      <w:r w:rsidRPr="00DC46B0">
        <w:rPr>
          <w:rFonts w:eastAsia="Times New Roman"/>
          <w:szCs w:val="24"/>
          <w:lang w:eastAsia="ru-RU"/>
        </w:rPr>
        <w:t>на любом этапе диагностики, лечения и наблюдения</w:t>
      </w:r>
      <w:r w:rsidRPr="00DC46B0">
        <w:rPr>
          <w:szCs w:val="24"/>
        </w:rPr>
        <w:t xml:space="preserve"> (по показаниям).</w:t>
      </w:r>
    </w:p>
    <w:p w14:paraId="3D2B95CF" w14:textId="77777777" w:rsidR="0000369C" w:rsidRPr="00DC46B0" w:rsidRDefault="0000369C" w:rsidP="00C5490F">
      <w:pPr>
        <w:pStyle w:val="afe"/>
        <w:numPr>
          <w:ilvl w:val="0"/>
          <w:numId w:val="120"/>
        </w:numPr>
        <w:rPr>
          <w:szCs w:val="24"/>
        </w:rPr>
      </w:pPr>
      <w:r w:rsidRPr="00DC46B0">
        <w:rPr>
          <w:i/>
          <w:szCs w:val="24"/>
        </w:rPr>
        <w:t>МРТ сердца и сосудов (с контрастированием по показаниям)</w:t>
      </w:r>
      <w:r w:rsidRPr="00DC46B0">
        <w:rPr>
          <w:b/>
          <w:szCs w:val="24"/>
        </w:rPr>
        <w:t xml:space="preserve"> – </w:t>
      </w:r>
      <w:r w:rsidRPr="00DC46B0">
        <w:rPr>
          <w:szCs w:val="24"/>
        </w:rPr>
        <w:t xml:space="preserve">рекомендуется для диагностики патологии аорты, миокарда и оболочек сердца, выявления образований в полостях и на клапанах сердца, атеросклеротического поражения коронарных артерий. Исследование проводится </w:t>
      </w:r>
      <w:r w:rsidRPr="00DC46B0">
        <w:rPr>
          <w:rFonts w:eastAsia="Times New Roman"/>
          <w:szCs w:val="24"/>
          <w:lang w:eastAsia="ru-RU"/>
        </w:rPr>
        <w:t>на любом этапе диагностики, лечения и наблюдения</w:t>
      </w:r>
      <w:r w:rsidRPr="00DC46B0">
        <w:rPr>
          <w:szCs w:val="24"/>
        </w:rPr>
        <w:t xml:space="preserve"> (по показаниям).</w:t>
      </w:r>
    </w:p>
    <w:p w14:paraId="4C1F04FC" w14:textId="77777777" w:rsidR="0000369C" w:rsidRPr="00DC46B0" w:rsidRDefault="0000369C" w:rsidP="00C5490F">
      <w:pPr>
        <w:pStyle w:val="afe"/>
        <w:numPr>
          <w:ilvl w:val="0"/>
          <w:numId w:val="120"/>
        </w:numPr>
        <w:rPr>
          <w:szCs w:val="24"/>
        </w:rPr>
      </w:pPr>
      <w:r w:rsidRPr="00DC46B0">
        <w:rPr>
          <w:szCs w:val="24"/>
        </w:rPr>
        <w:lastRenderedPageBreak/>
        <w:t xml:space="preserve">КТ сердца и сосудов </w:t>
      </w:r>
      <w:r w:rsidRPr="00DC46B0">
        <w:rPr>
          <w:b/>
          <w:szCs w:val="24"/>
        </w:rPr>
        <w:t xml:space="preserve">– </w:t>
      </w:r>
      <w:r w:rsidRPr="00DC46B0">
        <w:rPr>
          <w:szCs w:val="24"/>
        </w:rPr>
        <w:t xml:space="preserve">рекомендуется пациентам с притивопоказаниями к проведению МРТ (наличие водителя ритма, механических протезов, при подозрении на сдавливающий перикардит, и др). Исследование проводится </w:t>
      </w:r>
      <w:r w:rsidRPr="00DC46B0">
        <w:rPr>
          <w:rFonts w:eastAsia="Times New Roman"/>
          <w:szCs w:val="24"/>
          <w:lang w:eastAsia="ru-RU"/>
        </w:rPr>
        <w:t>на любом этапе диагностики, лечения и наблюдения</w:t>
      </w:r>
      <w:r w:rsidRPr="00DC46B0">
        <w:rPr>
          <w:szCs w:val="24"/>
        </w:rPr>
        <w:t xml:space="preserve"> (по показаниям).</w:t>
      </w:r>
    </w:p>
    <w:p w14:paraId="5D0F08C5" w14:textId="77777777" w:rsidR="0000369C" w:rsidRPr="00DC46B0" w:rsidRDefault="0000369C" w:rsidP="00C5490F">
      <w:pPr>
        <w:pStyle w:val="afe"/>
        <w:numPr>
          <w:ilvl w:val="0"/>
          <w:numId w:val="120"/>
        </w:numPr>
        <w:rPr>
          <w:szCs w:val="24"/>
        </w:rPr>
      </w:pPr>
      <w:r w:rsidRPr="00DC46B0">
        <w:rPr>
          <w:i/>
          <w:szCs w:val="24"/>
        </w:rPr>
        <w:t>Чреспищеводная эхокардиография (ЧПЭХО-КГ)</w:t>
      </w:r>
      <w:r w:rsidRPr="00DC46B0">
        <w:rPr>
          <w:b/>
          <w:szCs w:val="24"/>
        </w:rPr>
        <w:t xml:space="preserve"> – </w:t>
      </w:r>
      <w:r w:rsidRPr="00DC46B0">
        <w:rPr>
          <w:szCs w:val="24"/>
        </w:rPr>
        <w:t xml:space="preserve">рекомендуется для исключения тромбоза ушка левого предсердия; при врожденных пороках сердца; при выявлении образований на клапанах и в полостях сердца, при протезированных клапанах. Исследование проводится </w:t>
      </w:r>
      <w:r w:rsidRPr="00DC46B0">
        <w:rPr>
          <w:rFonts w:eastAsia="Times New Roman"/>
          <w:szCs w:val="24"/>
          <w:lang w:eastAsia="ru-RU"/>
        </w:rPr>
        <w:t>на любом этапе диагностики, лечения и наблюдения</w:t>
      </w:r>
      <w:r w:rsidRPr="00DC46B0">
        <w:rPr>
          <w:szCs w:val="24"/>
        </w:rPr>
        <w:t xml:space="preserve"> (по показаниям).</w:t>
      </w:r>
    </w:p>
    <w:p w14:paraId="24D04383" w14:textId="77777777" w:rsidR="0000369C" w:rsidRPr="00DC46B0" w:rsidRDefault="0000369C" w:rsidP="00C5490F">
      <w:pPr>
        <w:pStyle w:val="afe"/>
        <w:numPr>
          <w:ilvl w:val="0"/>
          <w:numId w:val="120"/>
        </w:numPr>
        <w:rPr>
          <w:szCs w:val="24"/>
        </w:rPr>
      </w:pPr>
      <w:r w:rsidRPr="00DC46B0">
        <w:rPr>
          <w:i/>
          <w:szCs w:val="24"/>
        </w:rPr>
        <w:t>Коронароангиография (КАГ)</w:t>
      </w:r>
      <w:r w:rsidRPr="00DC46B0">
        <w:rPr>
          <w:b/>
          <w:szCs w:val="24"/>
        </w:rPr>
        <w:t xml:space="preserve"> – </w:t>
      </w:r>
      <w:r w:rsidRPr="00DC46B0">
        <w:rPr>
          <w:szCs w:val="24"/>
        </w:rPr>
        <w:t xml:space="preserve">рекомендуется при назначении гематологического лечения препаратами, способными вызвать ишемию, при наличии факторов риска ИБС; при стенокардии, не поддающейся лекарственной коррекции, или с эпизодами безболевой ишемии на фоне антиангинальной терапии. Исследование проводится </w:t>
      </w:r>
      <w:r w:rsidRPr="00DC46B0">
        <w:rPr>
          <w:rFonts w:eastAsia="Times New Roman"/>
          <w:szCs w:val="24"/>
          <w:lang w:eastAsia="ru-RU"/>
        </w:rPr>
        <w:t>на любом этапе диагностики, лечения и наблюдения</w:t>
      </w:r>
      <w:r w:rsidRPr="00DC46B0">
        <w:rPr>
          <w:szCs w:val="24"/>
        </w:rPr>
        <w:t xml:space="preserve"> (по показаниям).</w:t>
      </w:r>
    </w:p>
    <w:p w14:paraId="64BAB92D" w14:textId="77777777" w:rsidR="0000369C" w:rsidRDefault="0000369C" w:rsidP="0000369C">
      <w:pPr>
        <w:rPr>
          <w:b/>
          <w:szCs w:val="24"/>
        </w:rPr>
      </w:pPr>
    </w:p>
    <w:p w14:paraId="6A5EE337" w14:textId="77777777" w:rsidR="0000369C" w:rsidRPr="00DC46B0" w:rsidRDefault="0000369C" w:rsidP="0000369C">
      <w:pPr>
        <w:rPr>
          <w:szCs w:val="24"/>
          <w:u w:val="single"/>
        </w:rPr>
      </w:pPr>
      <w:r w:rsidRPr="00DC46B0">
        <w:rPr>
          <w:szCs w:val="24"/>
          <w:u w:val="single"/>
        </w:rPr>
        <w:t xml:space="preserve">Лабораторные исследования: </w:t>
      </w:r>
    </w:p>
    <w:p w14:paraId="553F9616" w14:textId="77777777" w:rsidR="0000369C" w:rsidRPr="00DC46B0" w:rsidRDefault="0000369C" w:rsidP="00C5490F">
      <w:pPr>
        <w:numPr>
          <w:ilvl w:val="0"/>
          <w:numId w:val="121"/>
        </w:numPr>
        <w:rPr>
          <w:szCs w:val="24"/>
        </w:rPr>
      </w:pPr>
      <w:r w:rsidRPr="00DC46B0">
        <w:rPr>
          <w:szCs w:val="24"/>
        </w:rPr>
        <w:t xml:space="preserve">Кардиологические маркеры: тропонин </w:t>
      </w:r>
      <w:r w:rsidRPr="00DC46B0">
        <w:rPr>
          <w:szCs w:val="24"/>
          <w:lang w:val="en-US"/>
        </w:rPr>
        <w:t>I</w:t>
      </w:r>
      <w:r w:rsidRPr="00DC46B0">
        <w:rPr>
          <w:szCs w:val="24"/>
        </w:rPr>
        <w:t xml:space="preserve">, высокочувствительный тропонин, </w:t>
      </w:r>
      <w:r w:rsidRPr="00DC46B0">
        <w:rPr>
          <w:szCs w:val="24"/>
          <w:lang w:val="en-US"/>
        </w:rPr>
        <w:t>NTproBNP</w:t>
      </w:r>
      <w:r w:rsidRPr="00DC46B0">
        <w:rPr>
          <w:szCs w:val="24"/>
        </w:rPr>
        <w:t>.</w:t>
      </w:r>
    </w:p>
    <w:p w14:paraId="036DB36C" w14:textId="77777777" w:rsidR="0000369C" w:rsidRPr="00DC46B0" w:rsidRDefault="0000369C" w:rsidP="00C5490F">
      <w:pPr>
        <w:numPr>
          <w:ilvl w:val="0"/>
          <w:numId w:val="121"/>
        </w:numPr>
        <w:rPr>
          <w:szCs w:val="24"/>
        </w:rPr>
      </w:pPr>
      <w:r w:rsidRPr="00DC46B0">
        <w:rPr>
          <w:szCs w:val="24"/>
        </w:rPr>
        <w:t>Коагулограмма: активированное частичное тромбопластиновое время (АЧТВ), протромбин, фибриноген, тромбиновое время, XII-а зависимый фибринолиз, протеины С и S, гомоцистеин, агрегация тромбоцитов, Д-димер, волчаночный антикоагулянт, антитела к бета2 гликопротеину 1, антитела к кардиолипину, мутации генов V фактор Лейден, метилентетрагидрофолат редуктазы, протромбина (по показаниям).</w:t>
      </w:r>
    </w:p>
    <w:p w14:paraId="2288D927" w14:textId="77777777" w:rsidR="0000369C" w:rsidRPr="00DC46B0" w:rsidRDefault="0000369C" w:rsidP="00C5490F">
      <w:pPr>
        <w:numPr>
          <w:ilvl w:val="0"/>
          <w:numId w:val="121"/>
        </w:numPr>
        <w:rPr>
          <w:szCs w:val="24"/>
        </w:rPr>
      </w:pPr>
      <w:r w:rsidRPr="00DC46B0">
        <w:rPr>
          <w:szCs w:val="24"/>
        </w:rPr>
        <w:t>Определение уровня калия и магния.</w:t>
      </w:r>
    </w:p>
    <w:p w14:paraId="76FF795E" w14:textId="77777777" w:rsidR="0000369C" w:rsidRPr="00DC46B0" w:rsidRDefault="0000369C" w:rsidP="00C5490F">
      <w:pPr>
        <w:numPr>
          <w:ilvl w:val="0"/>
          <w:numId w:val="121"/>
        </w:numPr>
        <w:rPr>
          <w:szCs w:val="24"/>
        </w:rPr>
      </w:pPr>
      <w:r w:rsidRPr="00DC46B0">
        <w:rPr>
          <w:szCs w:val="24"/>
        </w:rPr>
        <w:t>Показатели липидного обмена: общий холестерин и фракции (липиды высокой, низкой, очень низкой плотности), триглицериды, индекс атерогенности).</w:t>
      </w:r>
    </w:p>
    <w:p w14:paraId="41E000F0" w14:textId="77777777" w:rsidR="0000369C" w:rsidRPr="00DC46B0" w:rsidRDefault="0000369C" w:rsidP="0000369C">
      <w:pPr>
        <w:ind w:firstLine="709"/>
        <w:rPr>
          <w:szCs w:val="24"/>
        </w:rPr>
      </w:pPr>
      <w:r w:rsidRPr="00DC46B0">
        <w:rPr>
          <w:szCs w:val="24"/>
        </w:rPr>
        <w:t>При амбулаторном лечении пациенту необходимо самостоятельно вести дневник мониторирования АД, ЧСС, ряда симптомов, которые могут быть признаками в том числе кардиологической патологии (одышка, отеки, и др.) для своевременного дополнительного кардиологического обследования.</w:t>
      </w:r>
    </w:p>
    <w:p w14:paraId="4990BF58" w14:textId="77777777" w:rsidR="0000369C" w:rsidRDefault="0000369C" w:rsidP="0000369C">
      <w:pPr>
        <w:ind w:firstLine="709"/>
        <w:rPr>
          <w:szCs w:val="24"/>
        </w:rPr>
      </w:pPr>
      <w:r w:rsidRPr="00DC46B0">
        <w:rPr>
          <w:szCs w:val="24"/>
        </w:rPr>
        <w:t>Сроки и объем планового кардиологического обследования</w:t>
      </w:r>
      <w:r w:rsidRPr="00DC46B0">
        <w:rPr>
          <w:b/>
          <w:szCs w:val="24"/>
        </w:rPr>
        <w:t xml:space="preserve"> </w:t>
      </w:r>
      <w:r w:rsidRPr="00DC46B0">
        <w:rPr>
          <w:szCs w:val="24"/>
        </w:rPr>
        <w:t xml:space="preserve">зависят от наличия исходной кардиальной патологии и от типа проводимого лечения. При отсутствии исходно кардиальной патологии на фоне потенциально кардиотоксического лечения кардиологическое обследование рекомендовано проводить каждые 12 недель. Если имеется </w:t>
      </w:r>
      <w:r w:rsidRPr="00DC46B0">
        <w:rPr>
          <w:szCs w:val="24"/>
        </w:rPr>
        <w:lastRenderedPageBreak/>
        <w:t>/ выявлена кардиальная патология до / во время проведения потенциально кардиотоксического гематологического лечения кардиологическое обследование рекомендуется перед каждым курсом лечения или не реже, чем  раз в 4 недели. После завершения кардиотоксичного лечения проведение кардиологического обследования рекомендуется не реже чем раз в 6 мес при наличии кардиальной патологии, и не реже, чем раз в 12 мес при ее отсутствии. Кардиомониторинг стандартно включает ЭКГ, ЭХО-КГ, консультацию кардиолога.</w:t>
      </w:r>
    </w:p>
    <w:p w14:paraId="510969BC" w14:textId="77777777" w:rsidR="0000369C" w:rsidRPr="00DC46B0" w:rsidRDefault="0000369C" w:rsidP="0000369C">
      <w:pPr>
        <w:ind w:firstLine="709"/>
        <w:rPr>
          <w:szCs w:val="24"/>
        </w:rPr>
      </w:pPr>
    </w:p>
    <w:p w14:paraId="712A382C" w14:textId="77777777" w:rsidR="0000369C" w:rsidRPr="00DC46B0" w:rsidRDefault="0000369C" w:rsidP="0000369C">
      <w:pPr>
        <w:rPr>
          <w:i/>
          <w:szCs w:val="24"/>
          <w:u w:val="single"/>
        </w:rPr>
      </w:pPr>
      <w:r w:rsidRPr="00DC46B0">
        <w:rPr>
          <w:i/>
          <w:szCs w:val="24"/>
          <w:u w:val="single"/>
        </w:rPr>
        <w:t>Кардиомониторинг гематологического пациента при проведении (потенциально) кардиотоксичного лечения.</w:t>
      </w:r>
    </w:p>
    <w:p w14:paraId="7BB9D8E1" w14:textId="68C98BA9" w:rsidR="0000369C" w:rsidRPr="00DC46B0" w:rsidRDefault="0000369C" w:rsidP="0000369C">
      <w:pPr>
        <w:ind w:firstLine="709"/>
        <w:rPr>
          <w:szCs w:val="24"/>
        </w:rPr>
      </w:pPr>
      <w:r w:rsidRPr="00DC46B0">
        <w:rPr>
          <w:szCs w:val="24"/>
        </w:rPr>
        <w:t>Необходима настороженность в отношении возможных проявлений кардиотоксичности как в дебюте лечения, так и при его продолжении, поскольку некоторые проявления кардиотоксичности развиваются отсроченно и протекают малосимптомно, а некоторые проявления кардиотоксичности, напротив, развиваются молниеносно и требуют неотложных кардиологических мероприятий</w:t>
      </w:r>
      <w:r>
        <w:rPr>
          <w:szCs w:val="24"/>
        </w:rPr>
        <w:t xml:space="preserve"> </w:t>
      </w:r>
      <w:r>
        <w:rPr>
          <w:szCs w:val="24"/>
        </w:rPr>
        <w:fldChar w:fldCharType="begin" w:fldLock="1"/>
      </w:r>
      <w:r>
        <w:rPr>
          <w:szCs w:val="24"/>
        </w:rPr>
        <w:instrText>ADDIN CSL_CITATION {"citationItems":[{"id":"ITEM-1","itemData":{"author":[{"dropping-particle":"","family":"Гендлин","given":"Г.Е.","non-dropping-particle":"","parse-names":false,"suffix":""},{"dropping-particle":"","family":"Емелина","given":"Е.И.","non-dropping-particle":"","parse-names":false,"suffix":""},{"dropping-particle":"","family":"Никитин","given":"И.Г.","non-dropping-particle":"","parse-names":false,"suffix":""},{"dropping-particle":"","family":"Васюк","given":"Ю.А.","non-dropping-particle":"","parse-names":false,"suffix":""}],"container-title":"Российский кардиологический журнал","id":"ITEM-1","issue":"3","issued":{"date-parts":[["2017"]]},"page":"145-154","title":"Современный взгляд на кардиотоксичность химиотерапии онкологических заболеваний, включающей антрациклиновые антибиотики.","type":"article-journal","volume":"143"},"uris":["http://www.mendeley.com/documents/?uuid=722a7982-2dac-48df-a33c-90ea8f628939"]}],"mendeley":{"formattedCitation":"[107]","plainTextFormattedCitation":"[107]","previouslyFormattedCitation":"[107]"},"properties":{"noteIndex":0},"schema":"https://github.com/citation-style-language/schema/raw/master/csl-citation.json"}</w:instrText>
      </w:r>
      <w:r>
        <w:rPr>
          <w:szCs w:val="24"/>
        </w:rPr>
        <w:fldChar w:fldCharType="separate"/>
      </w:r>
      <w:r w:rsidRPr="0000369C">
        <w:rPr>
          <w:noProof/>
          <w:szCs w:val="24"/>
        </w:rPr>
        <w:t>[107]</w:t>
      </w:r>
      <w:r>
        <w:rPr>
          <w:szCs w:val="24"/>
        </w:rPr>
        <w:fldChar w:fldCharType="end"/>
      </w:r>
      <w:r w:rsidRPr="00DC46B0">
        <w:rPr>
          <w:szCs w:val="24"/>
        </w:rPr>
        <w:t xml:space="preserve">.  </w:t>
      </w:r>
    </w:p>
    <w:p w14:paraId="23C23B55" w14:textId="77777777" w:rsidR="0000369C" w:rsidRPr="00DC46B0" w:rsidRDefault="0000369C" w:rsidP="0000369C">
      <w:pPr>
        <w:ind w:firstLine="709"/>
        <w:rPr>
          <w:b/>
          <w:szCs w:val="24"/>
        </w:rPr>
      </w:pPr>
      <w:r w:rsidRPr="00DC46B0">
        <w:rPr>
          <w:szCs w:val="24"/>
        </w:rPr>
        <w:t>Необходимо учитывать потенцирование кардиотоксических эффектов при совместном применении препаратов, а также индивидуальные реакции с развитием ранее не описанных проявлений кардиотоксичности, особенно у пациентов, имеющих заболевания сердечно-сосудистой системы в анамнезе.</w:t>
      </w:r>
      <w:r w:rsidRPr="00DC46B0">
        <w:rPr>
          <w:b/>
          <w:szCs w:val="24"/>
        </w:rPr>
        <w:t xml:space="preserve"> </w:t>
      </w:r>
      <w:r w:rsidRPr="00DC46B0">
        <w:rPr>
          <w:szCs w:val="24"/>
        </w:rPr>
        <w:t xml:space="preserve">При наличии или появлении кардиальных изменений и/или заболеваний сердечно-сосудистой системы, необходимо обсуждение с кардиологом возможности дальнейшего проведения гематологической терапии, необходимости ее коррекции, применение кардиологического лечения. </w:t>
      </w:r>
    </w:p>
    <w:p w14:paraId="6D6AEEA3" w14:textId="4A217869" w:rsidR="0000369C" w:rsidRPr="00DC46B0" w:rsidRDefault="0000369C" w:rsidP="0000369C">
      <w:pPr>
        <w:ind w:firstLine="709"/>
        <w:rPr>
          <w:szCs w:val="24"/>
        </w:rPr>
      </w:pPr>
      <w:r w:rsidRPr="00DC46B0">
        <w:rPr>
          <w:szCs w:val="24"/>
        </w:rPr>
        <w:t>При применении препаратов, обладающих кардиотоксичностью (антрациклины, алкилирующие агенты, ингибиторы протеасом, моноклональные антитела), необходимо учитывать исходную систолическую функцию левого желудочка сердца</w:t>
      </w:r>
      <w:r>
        <w:rPr>
          <w:szCs w:val="24"/>
        </w:rPr>
        <w:t xml:space="preserve"> </w:t>
      </w:r>
      <w:r>
        <w:rPr>
          <w:szCs w:val="24"/>
        </w:rPr>
        <w:fldChar w:fldCharType="begin" w:fldLock="1"/>
      </w:r>
      <w:r>
        <w:rPr>
          <w:szCs w:val="24"/>
        </w:rPr>
        <w:instrText>ADDIN CSL_CITATION {"citationItems":[{"id":"ITEM-1","itemData":{"author":[{"dropping-particle":"","family":"Гендлин","given":"Г.Е.","non-dropping-particle":"","parse-names":false,"suffix":""},{"dropping-particle":"","family":"Емелина","given":"Е.И.","non-dropping-particle":"","parse-names":false,"suffix":""},{"dropping-particle":"","family":"Никитин","given":"И.Г.","non-dropping-particle":"","parse-names":false,"suffix":""},{"dropping-particle":"","family":"Васюк","given":"Ю.А.","non-dropping-particle":"","parse-names":false,"suffix":""}],"container-title":"Российский кардиологический журнал","id":"ITEM-1","issue":"3","issued":{"date-parts":[["2017"]]},"page":"145-154","title":"Современный взгляд на кардиотоксичность химиотерапии онкологических заболеваний, включающей антрациклиновые антибиотики.","type":"article-journal","volume":"143"},"uris":["http://www.mendeley.com/documents/?uuid=722a7982-2dac-48df-a33c-90ea8f628939"]}],"mendeley":{"formattedCitation":"[107]","plainTextFormattedCitation":"[107]","previouslyFormattedCitation":"[107]"},"properties":{"noteIndex":0},"schema":"https://github.com/citation-style-language/schema/raw/master/csl-citation.json"}</w:instrText>
      </w:r>
      <w:r>
        <w:rPr>
          <w:szCs w:val="24"/>
        </w:rPr>
        <w:fldChar w:fldCharType="separate"/>
      </w:r>
      <w:r w:rsidRPr="0000369C">
        <w:rPr>
          <w:noProof/>
          <w:szCs w:val="24"/>
        </w:rPr>
        <w:t>[107]</w:t>
      </w:r>
      <w:r>
        <w:rPr>
          <w:szCs w:val="24"/>
        </w:rPr>
        <w:fldChar w:fldCharType="end"/>
      </w:r>
      <w:r w:rsidRPr="00DC46B0">
        <w:rPr>
          <w:szCs w:val="24"/>
        </w:rPr>
        <w:t>:</w:t>
      </w:r>
    </w:p>
    <w:p w14:paraId="3A51DD59" w14:textId="77777777" w:rsidR="0000369C" w:rsidRPr="00DC46B0" w:rsidRDefault="0000369C" w:rsidP="00C5490F">
      <w:pPr>
        <w:pStyle w:val="afe"/>
        <w:numPr>
          <w:ilvl w:val="0"/>
          <w:numId w:val="122"/>
        </w:numPr>
        <w:rPr>
          <w:szCs w:val="24"/>
        </w:rPr>
      </w:pPr>
      <w:r w:rsidRPr="00DC46B0">
        <w:rPr>
          <w:szCs w:val="24"/>
        </w:rPr>
        <w:t xml:space="preserve">Кардиотоксические химиопрепараты не должны рутинно применяться  у больных  с фракцией выброса левого желудочка (ФВЛЖ) &lt; 30 %. Вопрос о назначении потенциально кардиотоксической противоопухолевой терапии в этом случае рекомендуется решать на консилиуме с участием кардиолога. </w:t>
      </w:r>
    </w:p>
    <w:p w14:paraId="71A57C2A" w14:textId="77777777" w:rsidR="0000369C" w:rsidRPr="00DC46B0" w:rsidRDefault="0000369C" w:rsidP="00C5490F">
      <w:pPr>
        <w:pStyle w:val="afe"/>
        <w:numPr>
          <w:ilvl w:val="0"/>
          <w:numId w:val="122"/>
        </w:numPr>
        <w:rPr>
          <w:szCs w:val="24"/>
        </w:rPr>
      </w:pPr>
      <w:r w:rsidRPr="00DC46B0">
        <w:rPr>
          <w:szCs w:val="24"/>
        </w:rPr>
        <w:t xml:space="preserve">При ФВЛЖ 30 – 50 % необходимо оценивать функцию левого желудочка по ЭхоКГ перед каждой новой дозой антрациклинов. </w:t>
      </w:r>
    </w:p>
    <w:p w14:paraId="7499597B" w14:textId="77777777" w:rsidR="0000369C" w:rsidRPr="00DC46B0" w:rsidRDefault="0000369C" w:rsidP="00C5490F">
      <w:pPr>
        <w:pStyle w:val="afe"/>
        <w:numPr>
          <w:ilvl w:val="0"/>
          <w:numId w:val="122"/>
        </w:numPr>
        <w:rPr>
          <w:szCs w:val="24"/>
        </w:rPr>
      </w:pPr>
      <w:r w:rsidRPr="00DC46B0">
        <w:rPr>
          <w:szCs w:val="24"/>
        </w:rPr>
        <w:t>При ФВЛЖ ≥ 50 %, необходимо оценивать функцию левого желудочка по ЭхоКГ повторно при достижении суммарной дозы кардиотоксичных химиопрепаратов 300 – 350 мг/м</w:t>
      </w:r>
      <w:r w:rsidRPr="00DC46B0">
        <w:rPr>
          <w:szCs w:val="24"/>
          <w:vertAlign w:val="superscript"/>
        </w:rPr>
        <w:t>2</w:t>
      </w:r>
      <w:r w:rsidRPr="00DC46B0">
        <w:rPr>
          <w:szCs w:val="24"/>
        </w:rPr>
        <w:t>.</w:t>
      </w:r>
    </w:p>
    <w:p w14:paraId="3A0AB833" w14:textId="77777777" w:rsidR="0000369C" w:rsidRDefault="0000369C" w:rsidP="0000369C">
      <w:pPr>
        <w:rPr>
          <w:szCs w:val="24"/>
          <w:u w:val="single"/>
        </w:rPr>
      </w:pPr>
    </w:p>
    <w:p w14:paraId="48494163" w14:textId="2C958812" w:rsidR="0000369C" w:rsidRPr="00DC46B0" w:rsidRDefault="0000369C" w:rsidP="0000369C">
      <w:pPr>
        <w:rPr>
          <w:szCs w:val="24"/>
        </w:rPr>
      </w:pPr>
      <w:r w:rsidRPr="00DC46B0">
        <w:rPr>
          <w:szCs w:val="24"/>
          <w:u w:val="single"/>
        </w:rPr>
        <w:lastRenderedPageBreak/>
        <w:t>Оценка безопасности продолжения лечения при использовании (потенциально) кардиотоксичных препаратов</w:t>
      </w:r>
      <w:r>
        <w:rPr>
          <w:szCs w:val="24"/>
          <w:u w:val="single"/>
        </w:rPr>
        <w:t xml:space="preserve"> </w:t>
      </w:r>
      <w:r>
        <w:rPr>
          <w:szCs w:val="24"/>
        </w:rPr>
        <w:fldChar w:fldCharType="begin" w:fldLock="1"/>
      </w:r>
      <w:r>
        <w:rPr>
          <w:szCs w:val="24"/>
        </w:rPr>
        <w:instrText>ADDIN CSL_CITATION {"citationItems":[{"id":"ITEM-1","itemData":{"author":[{"dropping-particle":"","family":"Гендлин","given":"Г.Е.","non-dropping-particle":"","parse-names":false,"suffix":""},{"dropping-particle":"","family":"Емелина","given":"Е.И.","non-dropping-particle":"","parse-names":false,"suffix":""},{"dropping-particle":"","family":"Никитин","given":"И.Г.","non-dropping-particle":"","parse-names":false,"suffix":""},{"dropping-particle":"","family":"Васюк","given":"Ю.А.","non-dropping-particle":"","parse-names":false,"suffix":""}],"container-title":"Российский кардиологический журнал","id":"ITEM-1","issue":"3","issued":{"date-parts":[["2017"]]},"page":"145-154","title":"Современный взгляд на кардиотоксичность химиотерапии онкологических заболеваний, включающей антрациклиновые антибиотики.","type":"article-journal","volume":"143"},"uris":["http://www.mendeley.com/documents/?uuid=722a7982-2dac-48df-a33c-90ea8f628939"]}],"mendeley":{"formattedCitation":"[107]","plainTextFormattedCitation":"[107]","previouslyFormattedCitation":"[107]"},"properties":{"noteIndex":0},"schema":"https://github.com/citation-style-language/schema/raw/master/csl-citation.json"}</w:instrText>
      </w:r>
      <w:r>
        <w:rPr>
          <w:szCs w:val="24"/>
        </w:rPr>
        <w:fldChar w:fldCharType="separate"/>
      </w:r>
      <w:r w:rsidRPr="0000369C">
        <w:rPr>
          <w:noProof/>
          <w:szCs w:val="24"/>
        </w:rPr>
        <w:t>[107]</w:t>
      </w:r>
      <w:r>
        <w:rPr>
          <w:szCs w:val="24"/>
        </w:rPr>
        <w:fldChar w:fldCharType="end"/>
      </w:r>
      <w:r w:rsidRPr="00DC46B0">
        <w:rPr>
          <w:szCs w:val="24"/>
        </w:rPr>
        <w:t>:</w:t>
      </w:r>
    </w:p>
    <w:p w14:paraId="3D5E4A08" w14:textId="77777777" w:rsidR="0000369C" w:rsidRPr="00DC46B0" w:rsidRDefault="0000369C" w:rsidP="00C5490F">
      <w:pPr>
        <w:numPr>
          <w:ilvl w:val="0"/>
          <w:numId w:val="121"/>
        </w:numPr>
        <w:rPr>
          <w:szCs w:val="24"/>
        </w:rPr>
      </w:pPr>
      <w:r w:rsidRPr="00DC46B0">
        <w:rPr>
          <w:szCs w:val="24"/>
        </w:rPr>
        <w:t xml:space="preserve">Продолжение лечения – при отсутствии снижения ФВЛЖ, или снижение, но при уровне ФВЛЖ  ≥ 50 %. </w:t>
      </w:r>
    </w:p>
    <w:p w14:paraId="654AF14A" w14:textId="77777777" w:rsidR="0000369C" w:rsidRPr="00DC46B0" w:rsidRDefault="0000369C" w:rsidP="00C5490F">
      <w:pPr>
        <w:numPr>
          <w:ilvl w:val="0"/>
          <w:numId w:val="121"/>
        </w:numPr>
        <w:rPr>
          <w:szCs w:val="24"/>
        </w:rPr>
      </w:pPr>
      <w:r w:rsidRPr="00DC46B0">
        <w:rPr>
          <w:szCs w:val="24"/>
        </w:rPr>
        <w:t>Контроль через 3 недели – при снижение ФВЛЖ &lt; 50%. При сохраняющемся снижении ФВЛЖ &lt; 50% – обсудить возможность перерыва в лечении / альтернативного лечения.</w:t>
      </w:r>
    </w:p>
    <w:p w14:paraId="0717A2AA" w14:textId="77777777" w:rsidR="0000369C" w:rsidRPr="00DC46B0" w:rsidRDefault="0000369C" w:rsidP="00C5490F">
      <w:pPr>
        <w:numPr>
          <w:ilvl w:val="0"/>
          <w:numId w:val="121"/>
        </w:numPr>
        <w:rPr>
          <w:szCs w:val="24"/>
        </w:rPr>
      </w:pPr>
      <w:r w:rsidRPr="00DC46B0">
        <w:rPr>
          <w:szCs w:val="24"/>
        </w:rPr>
        <w:t>Прекращение лечения, обсуждение альтернативного лечения – при снижении ФВЛЖ &lt; 40%.</w:t>
      </w:r>
    </w:p>
    <w:p w14:paraId="30C8141F" w14:textId="77777777" w:rsidR="0000369C" w:rsidRPr="00DC46B0" w:rsidRDefault="0000369C" w:rsidP="0000369C">
      <w:pPr>
        <w:rPr>
          <w:szCs w:val="24"/>
        </w:rPr>
      </w:pPr>
    </w:p>
    <w:p w14:paraId="06B8C43A" w14:textId="10EC1F5D" w:rsidR="0000369C" w:rsidRPr="00DC46B0" w:rsidRDefault="0000369C" w:rsidP="0000369C">
      <w:pPr>
        <w:rPr>
          <w:szCs w:val="24"/>
          <w:u w:val="single"/>
        </w:rPr>
      </w:pPr>
      <w:r w:rsidRPr="00DC46B0">
        <w:rPr>
          <w:szCs w:val="24"/>
          <w:u w:val="single"/>
        </w:rPr>
        <w:t>Степени кардиальных осложнений (нежелательных явлений)</w:t>
      </w:r>
      <w:r>
        <w:rPr>
          <w:szCs w:val="24"/>
          <w:u w:val="single"/>
        </w:rPr>
        <w:t xml:space="preserve"> </w:t>
      </w:r>
      <w:r>
        <w:rPr>
          <w:szCs w:val="24"/>
        </w:rPr>
        <w:fldChar w:fldCharType="begin" w:fldLock="1"/>
      </w:r>
      <w:r>
        <w:rPr>
          <w:szCs w:val="24"/>
        </w:rPr>
        <w:instrText>ADDIN CSL_CITATION {"citationItems":[{"id":"ITEM-1","itemData":{"author":[{"dropping-particle":"","family":"Гендлин","given":"Г.Е.","non-dropping-particle":"","parse-names":false,"suffix":""},{"dropping-particle":"","family":"Емелина","given":"Е.И.","non-dropping-particle":"","parse-names":false,"suffix":""},{"dropping-particle":"","family":"Никитин","given":"И.Г.","non-dropping-particle":"","parse-names":false,"suffix":""},{"dropping-particle":"","family":"Васюк","given":"Ю.А.","non-dropping-particle":"","parse-names":false,"suffix":""}],"container-title":"Российский кардиологический журнал","id":"ITEM-1","issue":"3","issued":{"date-parts":[["2017"]]},"page":"145-154","title":"Современный взгляд на кардиотоксичность химиотерапии онкологических заболеваний, включающей антрациклиновые антибиотики.","type":"article-journal","volume":"143"},"uris":["http://www.mendeley.com/documents/?uuid=722a7982-2dac-48df-a33c-90ea8f628939"]}],"mendeley":{"formattedCitation":"[107]","plainTextFormattedCitation":"[107]","previouslyFormattedCitation":"[107]"},"properties":{"noteIndex":0},"schema":"https://github.com/citation-style-language/schema/raw/master/csl-citation.json"}</w:instrText>
      </w:r>
      <w:r>
        <w:rPr>
          <w:szCs w:val="24"/>
        </w:rPr>
        <w:fldChar w:fldCharType="separate"/>
      </w:r>
      <w:r w:rsidRPr="0000369C">
        <w:rPr>
          <w:noProof/>
          <w:szCs w:val="24"/>
        </w:rPr>
        <w:t>[107]</w:t>
      </w:r>
      <w:r>
        <w:rPr>
          <w:szCs w:val="24"/>
        </w:rPr>
        <w:fldChar w:fldCharType="end"/>
      </w:r>
      <w:r w:rsidRPr="00DC46B0">
        <w:rPr>
          <w:szCs w:val="24"/>
          <w:u w:val="single"/>
        </w:rPr>
        <w:t xml:space="preserve">: </w:t>
      </w:r>
    </w:p>
    <w:p w14:paraId="794CAC2D" w14:textId="77777777" w:rsidR="0000369C" w:rsidRPr="00DC46B0" w:rsidRDefault="0000369C" w:rsidP="00C5490F">
      <w:pPr>
        <w:numPr>
          <w:ilvl w:val="0"/>
          <w:numId w:val="121"/>
        </w:numPr>
        <w:rPr>
          <w:szCs w:val="24"/>
        </w:rPr>
      </w:pPr>
      <w:r w:rsidRPr="00DC46B0">
        <w:rPr>
          <w:szCs w:val="24"/>
        </w:rPr>
        <w:t xml:space="preserve">Первая степень: изменения сердечно-сосудистой системы, не оказывающие влияние на ее нормальное функционирование и не влияющими на прогноз (желудочковая и наджелудочковая экстрасистолия без гемодинамических нарушений, АВ-блокада 1 степени,  полная и неполная блокада правой ножки пучка Гиса, полная блокада левой ножки пучка Гиса, блокады ветвей левой ножки пучка Гиса). Лекарственная коррекция выявленных изменений не требуется; отмена гематологического лечения не требуется; динамическое наблюдение гематолога и кардиолога. </w:t>
      </w:r>
    </w:p>
    <w:p w14:paraId="0D7622A7" w14:textId="77777777" w:rsidR="0000369C" w:rsidRPr="00DC46B0" w:rsidRDefault="0000369C" w:rsidP="00C5490F">
      <w:pPr>
        <w:numPr>
          <w:ilvl w:val="0"/>
          <w:numId w:val="121"/>
        </w:numPr>
        <w:rPr>
          <w:szCs w:val="24"/>
        </w:rPr>
      </w:pPr>
      <w:r w:rsidRPr="00DC46B0">
        <w:rPr>
          <w:szCs w:val="24"/>
        </w:rPr>
        <w:t xml:space="preserve">Вторая степень: умеренные изменения сердечно-сосудистой системы (развитие или усугубление АГ, развитие фибрилляции предсердий (ФП)). Проведение лекарственной коррекции; отмена гематологического лечения не требуется. </w:t>
      </w:r>
    </w:p>
    <w:p w14:paraId="081C0E27" w14:textId="77777777" w:rsidR="0000369C" w:rsidRPr="00DC46B0" w:rsidRDefault="0000369C" w:rsidP="00C5490F">
      <w:pPr>
        <w:numPr>
          <w:ilvl w:val="0"/>
          <w:numId w:val="121"/>
        </w:numPr>
        <w:rPr>
          <w:szCs w:val="24"/>
        </w:rPr>
      </w:pPr>
      <w:r w:rsidRPr="00DC46B0">
        <w:rPr>
          <w:szCs w:val="24"/>
        </w:rPr>
        <w:t>Третья степень: значимые, но не жизнеурожающее изменения сердечно-сосудистой системы (инфаркт миокарда, кардиомиопатия, снижение систолической функции левого желудочка с ФВЛЖ &lt; 50 %).  Проведение лекарственной коррекции, подбор постоянной кардиальной терапии (возможно стационарно). Обсуждение вопроса об изменении/отмене гематологического лечения.</w:t>
      </w:r>
    </w:p>
    <w:p w14:paraId="3757AB76" w14:textId="77777777" w:rsidR="0000369C" w:rsidRPr="00DC46B0" w:rsidRDefault="0000369C" w:rsidP="00C5490F">
      <w:pPr>
        <w:numPr>
          <w:ilvl w:val="0"/>
          <w:numId w:val="121"/>
        </w:numPr>
        <w:rPr>
          <w:szCs w:val="24"/>
        </w:rPr>
      </w:pPr>
      <w:r w:rsidRPr="00DC46B0">
        <w:rPr>
          <w:szCs w:val="24"/>
        </w:rPr>
        <w:t>Четвертая степень: жизнеугрожающие изменения сердечно-сосудистой системы (кардиогенный шок,  тромбоэмболия легочной артерии, жизнеугрожающие аритмии). Показано срочная госпитализация, отмена/коррекция гематологического лечения.</w:t>
      </w:r>
    </w:p>
    <w:p w14:paraId="395997AC" w14:textId="77777777" w:rsidR="0000369C" w:rsidRPr="00DC46B0" w:rsidRDefault="0000369C" w:rsidP="00C5490F">
      <w:pPr>
        <w:numPr>
          <w:ilvl w:val="0"/>
          <w:numId w:val="121"/>
        </w:numPr>
        <w:rPr>
          <w:szCs w:val="24"/>
        </w:rPr>
      </w:pPr>
      <w:r w:rsidRPr="00DC46B0">
        <w:rPr>
          <w:szCs w:val="24"/>
        </w:rPr>
        <w:t>Пятая степень: летальный исход, связанный с кардиальным нежелательным явлением.</w:t>
      </w:r>
    </w:p>
    <w:p w14:paraId="3D1C781A" w14:textId="77777777" w:rsidR="0000369C" w:rsidRDefault="0000369C" w:rsidP="0000369C">
      <w:pPr>
        <w:rPr>
          <w:b/>
          <w:szCs w:val="24"/>
        </w:rPr>
      </w:pPr>
    </w:p>
    <w:p w14:paraId="08385664" w14:textId="77777777" w:rsidR="0000369C" w:rsidRPr="00DC46B0" w:rsidRDefault="0000369C" w:rsidP="0000369C">
      <w:pPr>
        <w:rPr>
          <w:i/>
          <w:szCs w:val="24"/>
          <w:u w:val="single"/>
        </w:rPr>
      </w:pPr>
      <w:r w:rsidRPr="00DC46B0">
        <w:rPr>
          <w:i/>
          <w:szCs w:val="24"/>
          <w:u w:val="single"/>
        </w:rPr>
        <w:t xml:space="preserve">Профилактика нежелательных кардиальных явлений при лечении в онкогематологии.  </w:t>
      </w:r>
    </w:p>
    <w:p w14:paraId="7456DEBE" w14:textId="24EF4E68" w:rsidR="0000369C" w:rsidRPr="00DC46B0" w:rsidRDefault="0000369C" w:rsidP="0000369C">
      <w:pPr>
        <w:ind w:firstLine="709"/>
        <w:rPr>
          <w:szCs w:val="24"/>
        </w:rPr>
      </w:pPr>
      <w:r w:rsidRPr="00DC46B0">
        <w:rPr>
          <w:szCs w:val="24"/>
        </w:rPr>
        <w:lastRenderedPageBreak/>
        <w:t>Возникновение побочных кардиологических явлений может стать причиной прекращения гематологического лечения, ухудшения состояния пациента, сокращения продолжительность жизни при излеченном гематологическом заболевании</w:t>
      </w:r>
      <w:r>
        <w:rPr>
          <w:szCs w:val="24"/>
        </w:rPr>
        <w:t xml:space="preserve"> </w:t>
      </w:r>
      <w:r>
        <w:rPr>
          <w:szCs w:val="24"/>
        </w:rPr>
        <w:fldChar w:fldCharType="begin" w:fldLock="1"/>
      </w:r>
      <w:r>
        <w:rPr>
          <w:szCs w:val="24"/>
        </w:rPr>
        <w:instrText>ADDIN CSL_CITATION {"citationItems":[{"id":"ITEM-1","itemData":{"author":[{"dropping-particle":"","family":"Гендлин","given":"Г.Е.","non-dropping-particle":"","parse-names":false,"suffix":""},{"dropping-particle":"","family":"Емелина","given":"Е.И.","non-dropping-particle":"","parse-names":false,"suffix":""},{"dropping-particle":"","family":"Никитин","given":"И.Г.","non-dropping-particle":"","parse-names":false,"suffix":""},{"dropping-particle":"","family":"Васюк","given":"Ю.А.","non-dropping-particle":"","parse-names":false,"suffix":""}],"container-title":"Российский кардиологический журнал","id":"ITEM-1","issue":"3","issued":{"date-parts":[["2017"]]},"page":"145-154","title":"Современный взгляд на кардиотоксичность химиотерапии онкологических заболеваний, включающей антрациклиновые антибиотики.","type":"article-journal","volume":"143"},"uris":["http://www.mendeley.com/documents/?uuid=722a7982-2dac-48df-a33c-90ea8f628939"]}],"mendeley":{"formattedCitation":"[107]","plainTextFormattedCitation":"[107]","previouslyFormattedCitation":"[107]"},"properties":{"noteIndex":0},"schema":"https://github.com/citation-style-language/schema/raw/master/csl-citation.json"}</w:instrText>
      </w:r>
      <w:r>
        <w:rPr>
          <w:szCs w:val="24"/>
        </w:rPr>
        <w:fldChar w:fldCharType="separate"/>
      </w:r>
      <w:r w:rsidRPr="0000369C">
        <w:rPr>
          <w:noProof/>
          <w:szCs w:val="24"/>
        </w:rPr>
        <w:t>[107]</w:t>
      </w:r>
      <w:r>
        <w:rPr>
          <w:szCs w:val="24"/>
        </w:rPr>
        <w:fldChar w:fldCharType="end"/>
      </w:r>
      <w:r w:rsidRPr="00DC46B0">
        <w:rPr>
          <w:szCs w:val="24"/>
        </w:rPr>
        <w:t xml:space="preserve">. </w:t>
      </w:r>
    </w:p>
    <w:p w14:paraId="43AC0381" w14:textId="77777777" w:rsidR="0000369C" w:rsidRPr="00DC46B0" w:rsidRDefault="0000369C" w:rsidP="0000369C">
      <w:pPr>
        <w:ind w:firstLine="709"/>
        <w:rPr>
          <w:szCs w:val="24"/>
        </w:rPr>
      </w:pPr>
      <w:r w:rsidRPr="00DC46B0">
        <w:rPr>
          <w:szCs w:val="24"/>
        </w:rPr>
        <w:t>Нежелательные кардиальные явления 4</w:t>
      </w:r>
      <w:r>
        <w:rPr>
          <w:szCs w:val="24"/>
        </w:rPr>
        <w:t>-</w:t>
      </w:r>
      <w:r w:rsidRPr="00DC46B0">
        <w:rPr>
          <w:szCs w:val="24"/>
        </w:rPr>
        <w:t>5 степеней возникают достаточно редко. Возможно увеличение частоты нежелательных кардиологических явлений 1</w:t>
      </w:r>
      <w:r>
        <w:rPr>
          <w:szCs w:val="24"/>
        </w:rPr>
        <w:t>-</w:t>
      </w:r>
      <w:r w:rsidRPr="00DC46B0">
        <w:rPr>
          <w:szCs w:val="24"/>
        </w:rPr>
        <w:t>3 степени по мере увеличения количества пациентов, выздоровевших от тяжелых онкогематологических заболеваний. Стратегия Европейского кардиологического сообщества по профилактике и лечению побочных кардиологических явлений при химиотерапевтическом лечении представлена в таб.1.</w:t>
      </w:r>
    </w:p>
    <w:p w14:paraId="390F35AB" w14:textId="77777777" w:rsidR="0000369C" w:rsidRDefault="0000369C" w:rsidP="0000369C">
      <w:pPr>
        <w:rPr>
          <w:b/>
          <w:szCs w:val="24"/>
        </w:rPr>
      </w:pPr>
    </w:p>
    <w:p w14:paraId="178AB7BE" w14:textId="165D7AE9" w:rsidR="0000369C" w:rsidRPr="00DC46B0" w:rsidRDefault="0000369C" w:rsidP="0000369C">
      <w:pPr>
        <w:rPr>
          <w:szCs w:val="24"/>
        </w:rPr>
      </w:pPr>
      <w:r w:rsidRPr="00DC46B0">
        <w:rPr>
          <w:szCs w:val="24"/>
        </w:rPr>
        <w:t>Таблица 1. Стратегии, применяемые для снижения кардиотоксичности химиотерапии</w:t>
      </w:r>
      <w:r w:rsidRPr="00673F99">
        <w:rPr>
          <w:szCs w:val="24"/>
        </w:rPr>
        <w:t xml:space="preserve"> </w:t>
      </w:r>
      <w:r>
        <w:rPr>
          <w:szCs w:val="24"/>
        </w:rPr>
        <w:fldChar w:fldCharType="begin" w:fldLock="1"/>
      </w:r>
      <w:r>
        <w:rPr>
          <w:szCs w:val="24"/>
        </w:rPr>
        <w:instrText>ADDIN CSL_CITATION {"citationItems":[{"id":"ITEM-1","itemData":{"DOI":"10.1093/eurheartj/ehw211","ISSN":"15229645","PMID":"27567406","author":[{"dropping-particle":"","family":"Zamorano","given":"Jose Luis","non-dropping-particle":"","parse-names":false,"suffix":""},{"dropping-particle":"","family":"Lancellotti","given":"Patrizio","non-dropping-particle":"","parse-names":false,"suffix":""},{"dropping-particle":"","family":"Rodriguez Muñoz","given":"Daniel","non-dropping-particle":"","parse-names":false,"suffix":""},{"dropping-particle":"","family":"Aboyans","given":"Victor","non-dropping-particle":"","parse-names":false,"suffix":""},{"dropping-particle":"","family":"Asteggiano","given":"Riccardo","non-dropping-particle":"","parse-names":false,"suffix":""},{"dropping-particle":"","family":"Galderisi","given":"Maurizio","non-dropping-particle":"","parse-names":false,"suffix":""},{"dropping-particle":"","family":"Habib","given":"Gilbert","non-dropping-particle":"","parse-names":false,"suffix":""},{"dropping-particle":"","family":"Lenihan","given":"Daniel J.","non-dropping-particle":"","parse-names":false,"suffix":""},{"dropping-particle":"","family":"Lip","given":"Gregory Y.H.","non-dropping-particle":"","parse-names":false,"suffix":""},{"dropping-particle":"","family":"Lyon","given":"Alexander R.","non-dropping-particle":"","parse-names":false,"suffix":""},{"dropping-particle":"","family":"Lopez Fernandez","given":"Teresa","non-dropping-particle":"","parse-names":false,"suffix":""},{"dropping-particle":"","family":"Mohty","given":"Dania","non-dropping-particle":"","parse-names":false,"suffix":""},{"dropping-particle":"","family":"Piepoli","given":"Massimo F.","non-dropping-particle":"","parse-names":false,"suffix":""},{"dropping-particle":"","family":"Tamargo","given":"Juan","non-dropping-particle":"","parse-names":false,"suffix":""},{"dropping-particle":"","family":"Torbicki","given":"Adam","non-dropping-particle":"","parse-names":false,"suffix":""},{"dropping-particle":"","family":"Suter","given":"Thomas M.","non-dropping-particle":"","parse-names":false,"suffix":""},{"dropping-particle":"","family":"Achenbach","given":"Stephan","non-dropping-particle":"","parse-names":false,"suffix":""},{"dropping-particle":"","family":"Agewall","given":"Stefan","non-dropping-particle":"","parse-names":false,"suffix":""},{"dropping-particle":"","family":"Badimon","given":"Lina","non-dropping-particle":"","parse-names":false,"suffix":""},{"dropping-particle":"","family":"Barón-Esquivias","given":"Gonzalo","non-dropping-particle":"","parse-names":false,"suffix":""},{"dropping-particle":"","family":"Baumgartner","given":"Helmut","non-dropping-particle":"","parse-names":false,"suffix":""},{"dropping-particle":"","family":"Bax","given":"Jeroen J.","non-dropping-particle":"","parse-names":false,"suffix":""},{"dropping-particle":"","family":"Bueno","given":"Héctor","non-dropping-particle":"","parse-names":false,"suffix":""},{"dropping-particle":"","family":"Carerj","given":"Scipione","non-dropping-particle":"","parse-names":false,"suffix":""},{"dropping-particle":"","family":"Dean","given":"Veronica","non-dropping-particle":"","parse-names":false,"suffix":""},{"dropping-particle":"","family":"Erol","given":"Çetin","non-dropping-particle":"","parse-names":false,"suffix":""},{"dropping-particle":"","family":"Fitzsimons","given":"Donna","non-dropping-particle":"","parse-names":false,"suffix":""},{"dropping-particle":"","family":"Gaemperli","given":"Oliver","non-dropping-particle":"","parse-names":false,"suffix":""},{"dropping-particle":"","family":"Kirchhof","given":"Paulus","non-dropping-particle":"","parse-names":false,"suffix":""},{"dropping-particle":"","family":"Kolh","given":"Philippe","non-dropping-particle":"","parse-names":false,"suffix":""},{"dropping-particle":"","family":"Nihoyannopoulos","given":"Petros","non-dropping-particle":"","parse-names":false,"suffix":""},{"dropping-particle":"","family":"Ponikowski","given":"Piotr","non-dropping-particle":"","parse-names":false,"suffix":""},{"dropping-particle":"","family":"Roffi","given":"Marco","non-dropping-particle":"","parse-names":false,"suffix":""},{"dropping-particle":"","family":"Vaz Carneiro","given":"António","non-dropping-particle":"","parse-names":false,"suffix":""},{"dropping-particle":"","family":"Windecker","given":"Stephan","non-dropping-particle":"","parse-names":false,"suffix":""},{"dropping-particle":"","family":"Minotti","given":"Giorgio","non-dropping-particle":"","parse-names":false,"suffix":""},{"dropping-particle":"","family":"Cardinale","given":"Daniela","non-dropping-particle":"","parse-names":false,"suffix":""},{"dropping-particle":"","family":"Curigliano","given":"Giuseppe","non-dropping-particle":"","parse-names":false,"suffix":""},{"dropping-particle":"","family":"Azambuja","given":"Evandro","non-dropping-particle":"De","parse-names":false,"suffix":""},{"dropping-particle":"","family":"Dent","given":"Susan","non-dropping-particle":"","parse-names":false,"suffix":""},{"dropping-particle":"","family":"Ero","given":"Cetin","non-dropping-particle":"","parse-names":false,"suffix":""},{"dropping-particle":"","family":"Ewer","given":"Michael S.","non-dropping-particle":"","parse-names":false,"suffix":""},{"dropping-particle":"","family":"Farmakis","given":"Dimitrios","non-dropping-particle":"","parse-names":false,"suffix":""},{"dropping-particle":"","family":"Fietkau","given":"Rainer","non-dropping-particle":"","parse-names":false,"suffix":""},{"dropping-particle":"","family":"Kohl","given":"Philippe","non-dropping-particle":"","parse-names":false,"suffix":""},{"dropping-particle":"","family":"McGale","given":"Paul","non-dropping-particle":"","parse-names":false,"suffix":""},{"dropping-particle":"","family":"Ringwald","given":"Juergen","non-dropping-particle":"","parse-names":false,"suffix":""},{"dropping-particle":"","family":"Schulz-Menger","given":"Jeanette","non-dropping-particle":"","parse-names":false,"suffix":""},{"dropping-particle":"","family":"Stebbing","given":"Justin","non-dropping-particle":"","parse-names":false,"suffix":""},{"dropping-particle":"","family":"Steiner","given":"Rudolf K.","non-dropping-particle":"","parse-names":false,"suffix":""},{"dropping-particle":"","family":"Szmit","given":"Sebastian","non-dropping-particle":"","parse-names":false,"suffix":""}],"container-title":"European Heart Journal","id":"ITEM-1","issue":"36","issued":{"date-parts":[["2016","9","21"]]},"page":"2768-2801","publisher":"Oxford University Press","title":"2016 ESC Position Paper on cancer treatments and cardiovascular toxicity developed under the auspices of the ESC Committee for Practice Guidelines","type":"article","volume":"37"},"uris":["http://www.mendeley.com/documents/?uuid=b14e6a9e-39a8-33b0-ba1a-2593548d6d16"]}],"mendeley":{"formattedCitation":"[109]","plainTextFormattedCitation":"[109]","previouslyFormattedCitation":"[109]"},"properties":{"noteIndex":0},"schema":"https://github.com/citation-style-language/schema/raw/master/csl-citation.json"}</w:instrText>
      </w:r>
      <w:r>
        <w:rPr>
          <w:szCs w:val="24"/>
        </w:rPr>
        <w:fldChar w:fldCharType="separate"/>
      </w:r>
      <w:r w:rsidRPr="0000369C">
        <w:rPr>
          <w:noProof/>
          <w:szCs w:val="24"/>
        </w:rPr>
        <w:t>[109]</w:t>
      </w:r>
      <w:r>
        <w:rPr>
          <w:szCs w:val="24"/>
        </w:rPr>
        <w:fldChar w:fldCharType="end"/>
      </w:r>
      <w:r w:rsidRPr="00DC46B0">
        <w:rPr>
          <w:szCs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5070"/>
      </w:tblGrid>
      <w:tr w:rsidR="0000369C" w:rsidRPr="00DC46B0" w14:paraId="40E399B0" w14:textId="77777777" w:rsidTr="001C46FD">
        <w:tc>
          <w:tcPr>
            <w:tcW w:w="4395" w:type="dxa"/>
            <w:shd w:val="clear" w:color="auto" w:fill="auto"/>
          </w:tcPr>
          <w:p w14:paraId="3FB7A69A" w14:textId="77777777" w:rsidR="0000369C" w:rsidRPr="00DC46B0" w:rsidRDefault="0000369C" w:rsidP="001C46FD">
            <w:pPr>
              <w:rPr>
                <w:szCs w:val="24"/>
              </w:rPr>
            </w:pPr>
            <w:r w:rsidRPr="00DC46B0">
              <w:rPr>
                <w:szCs w:val="24"/>
              </w:rPr>
              <w:t>Химиотерапевтические препараты</w:t>
            </w:r>
          </w:p>
        </w:tc>
        <w:tc>
          <w:tcPr>
            <w:tcW w:w="5209" w:type="dxa"/>
            <w:shd w:val="clear" w:color="auto" w:fill="auto"/>
          </w:tcPr>
          <w:p w14:paraId="037F2CBA" w14:textId="77777777" w:rsidR="0000369C" w:rsidRPr="00DC46B0" w:rsidRDefault="0000369C" w:rsidP="001C46FD">
            <w:pPr>
              <w:rPr>
                <w:szCs w:val="24"/>
              </w:rPr>
            </w:pPr>
            <w:r w:rsidRPr="00DC46B0">
              <w:rPr>
                <w:szCs w:val="24"/>
              </w:rPr>
              <w:t>Возможные кардиопротективные мероприятия</w:t>
            </w:r>
          </w:p>
        </w:tc>
      </w:tr>
      <w:tr w:rsidR="0000369C" w:rsidRPr="00DC46B0" w14:paraId="2D98E3B4" w14:textId="77777777" w:rsidTr="001C46FD">
        <w:tc>
          <w:tcPr>
            <w:tcW w:w="4395" w:type="dxa"/>
            <w:vMerge w:val="restart"/>
            <w:shd w:val="clear" w:color="auto" w:fill="auto"/>
          </w:tcPr>
          <w:p w14:paraId="768BBEAA" w14:textId="77777777" w:rsidR="0000369C" w:rsidRPr="00DC46B0" w:rsidRDefault="0000369C" w:rsidP="001C46FD">
            <w:pPr>
              <w:rPr>
                <w:szCs w:val="24"/>
              </w:rPr>
            </w:pPr>
            <w:r w:rsidRPr="00DC46B0">
              <w:rPr>
                <w:szCs w:val="24"/>
              </w:rPr>
              <w:t>Любой вариант химиотерапевтического лечения</w:t>
            </w:r>
          </w:p>
        </w:tc>
        <w:tc>
          <w:tcPr>
            <w:tcW w:w="5209" w:type="dxa"/>
            <w:shd w:val="clear" w:color="auto" w:fill="auto"/>
          </w:tcPr>
          <w:p w14:paraId="6A1E75C5" w14:textId="77777777" w:rsidR="0000369C" w:rsidRPr="00DC46B0" w:rsidRDefault="0000369C" w:rsidP="001C46FD">
            <w:pPr>
              <w:rPr>
                <w:szCs w:val="24"/>
              </w:rPr>
            </w:pPr>
            <w:r w:rsidRPr="00DC46B0">
              <w:rPr>
                <w:szCs w:val="24"/>
              </w:rPr>
              <w:t xml:space="preserve">Перед лечением выявить факторы риска сердечно-сосудистого заболевания и провести соответствующее лечение. </w:t>
            </w:r>
          </w:p>
        </w:tc>
      </w:tr>
      <w:tr w:rsidR="0000369C" w:rsidRPr="00DC46B0" w14:paraId="1050A68E" w14:textId="77777777" w:rsidTr="001C46FD">
        <w:tc>
          <w:tcPr>
            <w:tcW w:w="4395" w:type="dxa"/>
            <w:vMerge/>
            <w:shd w:val="clear" w:color="auto" w:fill="auto"/>
          </w:tcPr>
          <w:p w14:paraId="5D6441C3" w14:textId="77777777" w:rsidR="0000369C" w:rsidRPr="00DC46B0" w:rsidRDefault="0000369C" w:rsidP="001C46FD">
            <w:pPr>
              <w:rPr>
                <w:szCs w:val="24"/>
              </w:rPr>
            </w:pPr>
          </w:p>
        </w:tc>
        <w:tc>
          <w:tcPr>
            <w:tcW w:w="5209" w:type="dxa"/>
            <w:shd w:val="clear" w:color="auto" w:fill="auto"/>
          </w:tcPr>
          <w:p w14:paraId="6A3BB9B8" w14:textId="77777777" w:rsidR="0000369C" w:rsidRPr="00DC46B0" w:rsidRDefault="0000369C" w:rsidP="001C46FD">
            <w:pPr>
              <w:rPr>
                <w:szCs w:val="24"/>
              </w:rPr>
            </w:pPr>
            <w:r w:rsidRPr="00DC46B0">
              <w:rPr>
                <w:szCs w:val="24"/>
              </w:rPr>
              <w:t>Лечить коморбидные состояния (ИБС, ХСН, АГ, БПА).</w:t>
            </w:r>
          </w:p>
        </w:tc>
      </w:tr>
      <w:tr w:rsidR="0000369C" w:rsidRPr="00DC46B0" w14:paraId="73AE7932" w14:textId="77777777" w:rsidTr="001C46FD">
        <w:tc>
          <w:tcPr>
            <w:tcW w:w="4395" w:type="dxa"/>
            <w:vMerge/>
            <w:shd w:val="clear" w:color="auto" w:fill="auto"/>
          </w:tcPr>
          <w:p w14:paraId="01125FD8" w14:textId="77777777" w:rsidR="0000369C" w:rsidRPr="00DC46B0" w:rsidRDefault="0000369C" w:rsidP="001C46FD">
            <w:pPr>
              <w:rPr>
                <w:szCs w:val="24"/>
              </w:rPr>
            </w:pPr>
          </w:p>
        </w:tc>
        <w:tc>
          <w:tcPr>
            <w:tcW w:w="5209" w:type="dxa"/>
            <w:shd w:val="clear" w:color="auto" w:fill="auto"/>
          </w:tcPr>
          <w:p w14:paraId="38F3952C" w14:textId="77777777" w:rsidR="0000369C" w:rsidRPr="00DC46B0" w:rsidRDefault="0000369C" w:rsidP="001C46FD">
            <w:pPr>
              <w:rPr>
                <w:szCs w:val="24"/>
              </w:rPr>
            </w:pPr>
            <w:r w:rsidRPr="00DC46B0">
              <w:rPr>
                <w:szCs w:val="24"/>
              </w:rPr>
              <w:t xml:space="preserve">Удлинение </w:t>
            </w:r>
            <w:r w:rsidRPr="00DC46B0">
              <w:rPr>
                <w:szCs w:val="24"/>
                <w:lang w:val="en-US"/>
              </w:rPr>
              <w:t>QTc</w:t>
            </w:r>
            <w:r w:rsidRPr="00DC46B0">
              <w:rPr>
                <w:szCs w:val="24"/>
              </w:rPr>
              <w:t xml:space="preserve"> и тахикардия типа «пируэт»: избегать препаратов, удлиняющих интервал </w:t>
            </w:r>
            <w:r w:rsidRPr="00DC46B0">
              <w:rPr>
                <w:szCs w:val="24"/>
                <w:lang w:val="en-US"/>
              </w:rPr>
              <w:t>QT</w:t>
            </w:r>
            <w:r w:rsidRPr="00DC46B0">
              <w:rPr>
                <w:szCs w:val="24"/>
              </w:rPr>
              <w:t>, коррекция электролитного дисбаланса.</w:t>
            </w:r>
          </w:p>
        </w:tc>
      </w:tr>
      <w:tr w:rsidR="0000369C" w:rsidRPr="00DC46B0" w14:paraId="6358F584" w14:textId="77777777" w:rsidTr="001C46FD">
        <w:tc>
          <w:tcPr>
            <w:tcW w:w="4395" w:type="dxa"/>
            <w:vMerge/>
            <w:shd w:val="clear" w:color="auto" w:fill="auto"/>
          </w:tcPr>
          <w:p w14:paraId="076C7205" w14:textId="77777777" w:rsidR="0000369C" w:rsidRPr="00DC46B0" w:rsidRDefault="0000369C" w:rsidP="001C46FD">
            <w:pPr>
              <w:rPr>
                <w:szCs w:val="24"/>
              </w:rPr>
            </w:pPr>
          </w:p>
        </w:tc>
        <w:tc>
          <w:tcPr>
            <w:tcW w:w="5209" w:type="dxa"/>
            <w:shd w:val="clear" w:color="auto" w:fill="auto"/>
          </w:tcPr>
          <w:p w14:paraId="665EF139" w14:textId="77777777" w:rsidR="0000369C" w:rsidRPr="00DC46B0" w:rsidRDefault="0000369C" w:rsidP="001C46FD">
            <w:pPr>
              <w:rPr>
                <w:szCs w:val="24"/>
              </w:rPr>
            </w:pPr>
            <w:r w:rsidRPr="00DC46B0">
              <w:rPr>
                <w:szCs w:val="24"/>
              </w:rPr>
              <w:t>Минимизировать лучевую нагрузку на сердце.</w:t>
            </w:r>
          </w:p>
        </w:tc>
      </w:tr>
      <w:tr w:rsidR="0000369C" w:rsidRPr="00DC46B0" w14:paraId="5BF6CAA5" w14:textId="77777777" w:rsidTr="001C46FD">
        <w:tc>
          <w:tcPr>
            <w:tcW w:w="4395" w:type="dxa"/>
            <w:vMerge w:val="restart"/>
            <w:shd w:val="clear" w:color="auto" w:fill="auto"/>
          </w:tcPr>
          <w:p w14:paraId="66CFB2AD" w14:textId="77777777" w:rsidR="0000369C" w:rsidRPr="00DC46B0" w:rsidRDefault="0000369C" w:rsidP="001C46FD">
            <w:pPr>
              <w:rPr>
                <w:szCs w:val="24"/>
              </w:rPr>
            </w:pPr>
            <w:r w:rsidRPr="00DC46B0">
              <w:rPr>
                <w:szCs w:val="24"/>
              </w:rPr>
              <w:t>Антрациклины и их аналоги</w:t>
            </w:r>
          </w:p>
        </w:tc>
        <w:tc>
          <w:tcPr>
            <w:tcW w:w="5209" w:type="dxa"/>
            <w:shd w:val="clear" w:color="auto" w:fill="auto"/>
          </w:tcPr>
          <w:p w14:paraId="49067C00" w14:textId="77777777" w:rsidR="0000369C" w:rsidRPr="00DC46B0" w:rsidRDefault="0000369C" w:rsidP="001C46FD">
            <w:pPr>
              <w:rPr>
                <w:szCs w:val="24"/>
              </w:rPr>
            </w:pPr>
            <w:r w:rsidRPr="00DC46B0">
              <w:rPr>
                <w:szCs w:val="24"/>
              </w:rPr>
              <w:t>Ограничивать суммарную дозу (мг/м</w:t>
            </w:r>
            <w:r w:rsidRPr="00DC46B0">
              <w:rPr>
                <w:szCs w:val="24"/>
                <w:vertAlign w:val="superscript"/>
              </w:rPr>
              <w:t>2</w:t>
            </w:r>
            <w:r w:rsidRPr="00DC46B0">
              <w:rPr>
                <w:szCs w:val="24"/>
              </w:rPr>
              <w:t>):</w:t>
            </w:r>
          </w:p>
          <w:p w14:paraId="18CFEE15" w14:textId="77777777" w:rsidR="0000369C" w:rsidRPr="00DC46B0" w:rsidRDefault="0000369C" w:rsidP="001C46FD">
            <w:pPr>
              <w:rPr>
                <w:szCs w:val="24"/>
              </w:rPr>
            </w:pPr>
            <w:r w:rsidRPr="00DC46B0">
              <w:rPr>
                <w:szCs w:val="24"/>
              </w:rPr>
              <w:t>Даунорубицин &lt; 800</w:t>
            </w:r>
          </w:p>
          <w:p w14:paraId="7BED6C8C" w14:textId="77777777" w:rsidR="0000369C" w:rsidRPr="00DC46B0" w:rsidRDefault="0000369C" w:rsidP="001C46FD">
            <w:pPr>
              <w:rPr>
                <w:szCs w:val="24"/>
              </w:rPr>
            </w:pPr>
            <w:r w:rsidRPr="00DC46B0">
              <w:rPr>
                <w:szCs w:val="24"/>
              </w:rPr>
              <w:t>Доксорубицин &lt; 360</w:t>
            </w:r>
          </w:p>
          <w:p w14:paraId="5E6A3DA7" w14:textId="77777777" w:rsidR="0000369C" w:rsidRPr="00DC46B0" w:rsidRDefault="0000369C" w:rsidP="001C46FD">
            <w:pPr>
              <w:rPr>
                <w:szCs w:val="24"/>
              </w:rPr>
            </w:pPr>
            <w:r w:rsidRPr="00DC46B0">
              <w:rPr>
                <w:szCs w:val="24"/>
              </w:rPr>
              <w:t>Эпирубицин &lt; 720</w:t>
            </w:r>
          </w:p>
          <w:p w14:paraId="2CCC272E" w14:textId="77777777" w:rsidR="0000369C" w:rsidRPr="00DC46B0" w:rsidRDefault="0000369C" w:rsidP="001C46FD">
            <w:pPr>
              <w:rPr>
                <w:szCs w:val="24"/>
              </w:rPr>
            </w:pPr>
            <w:r w:rsidRPr="00DC46B0">
              <w:rPr>
                <w:szCs w:val="24"/>
              </w:rPr>
              <w:t>Митоксантрон &lt; 160</w:t>
            </w:r>
          </w:p>
          <w:p w14:paraId="2F07DEB0" w14:textId="77777777" w:rsidR="0000369C" w:rsidRPr="00DC46B0" w:rsidRDefault="0000369C" w:rsidP="001C46FD">
            <w:pPr>
              <w:rPr>
                <w:szCs w:val="24"/>
              </w:rPr>
            </w:pPr>
            <w:r w:rsidRPr="00DC46B0">
              <w:rPr>
                <w:szCs w:val="24"/>
              </w:rPr>
              <w:t>Идарубицин &lt;150</w:t>
            </w:r>
          </w:p>
        </w:tc>
      </w:tr>
      <w:tr w:rsidR="0000369C" w:rsidRPr="00DC46B0" w14:paraId="23C7B94F" w14:textId="77777777" w:rsidTr="001C46FD">
        <w:tc>
          <w:tcPr>
            <w:tcW w:w="4395" w:type="dxa"/>
            <w:vMerge/>
            <w:shd w:val="clear" w:color="auto" w:fill="auto"/>
          </w:tcPr>
          <w:p w14:paraId="25C90B70" w14:textId="77777777" w:rsidR="0000369C" w:rsidRPr="00DC46B0" w:rsidRDefault="0000369C" w:rsidP="001C46FD">
            <w:pPr>
              <w:rPr>
                <w:szCs w:val="24"/>
              </w:rPr>
            </w:pPr>
          </w:p>
        </w:tc>
        <w:tc>
          <w:tcPr>
            <w:tcW w:w="5209" w:type="dxa"/>
            <w:shd w:val="clear" w:color="auto" w:fill="auto"/>
          </w:tcPr>
          <w:p w14:paraId="2CC885F4" w14:textId="77777777" w:rsidR="0000369C" w:rsidRPr="00DC46B0" w:rsidRDefault="0000369C" w:rsidP="001C46FD">
            <w:pPr>
              <w:rPr>
                <w:szCs w:val="24"/>
              </w:rPr>
            </w:pPr>
            <w:r w:rsidRPr="00DC46B0">
              <w:rPr>
                <w:szCs w:val="24"/>
              </w:rPr>
              <w:t>Применить липосомальный доксорубцин или длительную инфузию.</w:t>
            </w:r>
          </w:p>
        </w:tc>
      </w:tr>
      <w:tr w:rsidR="0000369C" w:rsidRPr="00DC46B0" w14:paraId="7E47E71E" w14:textId="77777777" w:rsidTr="001C46FD">
        <w:tc>
          <w:tcPr>
            <w:tcW w:w="4395" w:type="dxa"/>
            <w:vMerge/>
            <w:shd w:val="clear" w:color="auto" w:fill="auto"/>
          </w:tcPr>
          <w:p w14:paraId="401CD31B" w14:textId="77777777" w:rsidR="0000369C" w:rsidRPr="00DC46B0" w:rsidRDefault="0000369C" w:rsidP="001C46FD">
            <w:pPr>
              <w:rPr>
                <w:szCs w:val="24"/>
              </w:rPr>
            </w:pPr>
          </w:p>
        </w:tc>
        <w:tc>
          <w:tcPr>
            <w:tcW w:w="5209" w:type="dxa"/>
            <w:shd w:val="clear" w:color="auto" w:fill="auto"/>
          </w:tcPr>
          <w:p w14:paraId="2CDB909F" w14:textId="77777777" w:rsidR="0000369C" w:rsidRPr="00DC46B0" w:rsidRDefault="0000369C" w:rsidP="001C46FD">
            <w:pPr>
              <w:rPr>
                <w:szCs w:val="24"/>
              </w:rPr>
            </w:pPr>
            <w:r w:rsidRPr="00DC46B0">
              <w:rPr>
                <w:szCs w:val="24"/>
              </w:rPr>
              <w:t xml:space="preserve">Назначить ингибитор АПФ или АРА </w:t>
            </w:r>
          </w:p>
        </w:tc>
      </w:tr>
      <w:tr w:rsidR="0000369C" w:rsidRPr="00DC46B0" w14:paraId="6C3B4284" w14:textId="77777777" w:rsidTr="001C46FD">
        <w:tc>
          <w:tcPr>
            <w:tcW w:w="4395" w:type="dxa"/>
            <w:vMerge/>
            <w:shd w:val="clear" w:color="auto" w:fill="auto"/>
          </w:tcPr>
          <w:p w14:paraId="277A756B" w14:textId="77777777" w:rsidR="0000369C" w:rsidRPr="00DC46B0" w:rsidRDefault="0000369C" w:rsidP="001C46FD">
            <w:pPr>
              <w:rPr>
                <w:szCs w:val="24"/>
              </w:rPr>
            </w:pPr>
          </w:p>
        </w:tc>
        <w:tc>
          <w:tcPr>
            <w:tcW w:w="5209" w:type="dxa"/>
            <w:shd w:val="clear" w:color="auto" w:fill="auto"/>
          </w:tcPr>
          <w:p w14:paraId="1FF745BE" w14:textId="77777777" w:rsidR="0000369C" w:rsidRPr="00DC46B0" w:rsidRDefault="0000369C" w:rsidP="001C46FD">
            <w:pPr>
              <w:rPr>
                <w:szCs w:val="24"/>
              </w:rPr>
            </w:pPr>
            <w:r w:rsidRPr="00DC46B0">
              <w:rPr>
                <w:szCs w:val="24"/>
              </w:rPr>
              <w:t xml:space="preserve">Назначить блокатор бета-адренергических рецепторов </w:t>
            </w:r>
          </w:p>
        </w:tc>
      </w:tr>
      <w:tr w:rsidR="0000369C" w:rsidRPr="00DC46B0" w14:paraId="48DD4C8E" w14:textId="77777777" w:rsidTr="001C46FD">
        <w:tc>
          <w:tcPr>
            <w:tcW w:w="4395" w:type="dxa"/>
            <w:vMerge/>
            <w:shd w:val="clear" w:color="auto" w:fill="auto"/>
          </w:tcPr>
          <w:p w14:paraId="3873C082" w14:textId="77777777" w:rsidR="0000369C" w:rsidRPr="00DC46B0" w:rsidRDefault="0000369C" w:rsidP="001C46FD">
            <w:pPr>
              <w:rPr>
                <w:szCs w:val="24"/>
              </w:rPr>
            </w:pPr>
          </w:p>
        </w:tc>
        <w:tc>
          <w:tcPr>
            <w:tcW w:w="5209" w:type="dxa"/>
            <w:shd w:val="clear" w:color="auto" w:fill="auto"/>
          </w:tcPr>
          <w:p w14:paraId="4BAD0D1F" w14:textId="77777777" w:rsidR="0000369C" w:rsidRPr="00DC46B0" w:rsidRDefault="0000369C" w:rsidP="001C46FD">
            <w:pPr>
              <w:rPr>
                <w:szCs w:val="24"/>
              </w:rPr>
            </w:pPr>
            <w:r w:rsidRPr="00DC46B0">
              <w:rPr>
                <w:szCs w:val="24"/>
              </w:rPr>
              <w:t>Назначить статины</w:t>
            </w:r>
          </w:p>
        </w:tc>
      </w:tr>
      <w:tr w:rsidR="0000369C" w:rsidRPr="00DC46B0" w14:paraId="10232B9E" w14:textId="77777777" w:rsidTr="001C46FD">
        <w:tc>
          <w:tcPr>
            <w:tcW w:w="4395" w:type="dxa"/>
            <w:vMerge/>
            <w:shd w:val="clear" w:color="auto" w:fill="auto"/>
          </w:tcPr>
          <w:p w14:paraId="6CCECBCF" w14:textId="77777777" w:rsidR="0000369C" w:rsidRPr="00DC46B0" w:rsidRDefault="0000369C" w:rsidP="001C46FD">
            <w:pPr>
              <w:rPr>
                <w:szCs w:val="24"/>
              </w:rPr>
            </w:pPr>
          </w:p>
        </w:tc>
        <w:tc>
          <w:tcPr>
            <w:tcW w:w="5209" w:type="dxa"/>
            <w:shd w:val="clear" w:color="auto" w:fill="auto"/>
          </w:tcPr>
          <w:p w14:paraId="546DB770" w14:textId="77777777" w:rsidR="0000369C" w:rsidRPr="00DC46B0" w:rsidRDefault="0000369C" w:rsidP="001C46FD">
            <w:pPr>
              <w:rPr>
                <w:szCs w:val="24"/>
              </w:rPr>
            </w:pPr>
            <w:r w:rsidRPr="00DC46B0">
              <w:rPr>
                <w:szCs w:val="24"/>
              </w:rPr>
              <w:t>Осторожно ввести аэробные упражнения.</w:t>
            </w:r>
          </w:p>
        </w:tc>
      </w:tr>
    </w:tbl>
    <w:p w14:paraId="304CFD67" w14:textId="77777777" w:rsidR="0000369C" w:rsidRPr="00DC46B0" w:rsidRDefault="0000369C" w:rsidP="0000369C">
      <w:pPr>
        <w:rPr>
          <w:szCs w:val="24"/>
        </w:rPr>
      </w:pPr>
    </w:p>
    <w:p w14:paraId="14A22A51" w14:textId="7E07F110" w:rsidR="0000369C" w:rsidRPr="00DC46B0" w:rsidRDefault="0000369C" w:rsidP="0000369C">
      <w:pPr>
        <w:ind w:firstLine="709"/>
        <w:rPr>
          <w:szCs w:val="24"/>
        </w:rPr>
      </w:pPr>
      <w:r w:rsidRPr="00DC46B0">
        <w:rPr>
          <w:szCs w:val="24"/>
        </w:rPr>
        <w:lastRenderedPageBreak/>
        <w:t>Вероятность развития кардиотоксичности особенно высока у пациентов, получающие лечение анрациклин-содержащими режимами. Для оценки возможности снижения кардиотоксических эффектов необходимо учитывать факторы риска развития антрациклиновой кардиотоксичности</w:t>
      </w:r>
      <w:r>
        <w:rPr>
          <w:szCs w:val="24"/>
        </w:rPr>
        <w:t xml:space="preserve"> </w:t>
      </w:r>
      <w:r>
        <w:rPr>
          <w:szCs w:val="24"/>
        </w:rPr>
        <w:fldChar w:fldCharType="begin" w:fldLock="1"/>
      </w:r>
      <w:r>
        <w:rPr>
          <w:szCs w:val="24"/>
        </w:rPr>
        <w:instrText>ADDIN CSL_CITATION {"citationItems":[{"id":"ITEM-1","itemData":{"author":[{"dropping-particle":"","family":"Гендлин","given":"Г.Е.","non-dropping-particle":"","parse-names":false,"suffix":""},{"dropping-particle":"","family":"Емелина","given":"Е.И.","non-dropping-particle":"","parse-names":false,"suffix":""},{"dropping-particle":"","family":"Никитин","given":"И.Г.","non-dropping-particle":"","parse-names":false,"suffix":""},{"dropping-particle":"","family":"Васюк","given":"Ю.А.","non-dropping-particle":"","parse-names":false,"suffix":""}],"container-title":"Российский кардиологический журнал","id":"ITEM-1","issue":"3","issued":{"date-parts":[["2017"]]},"page":"145-154","title":"Современный взгляд на кардиотоксичность химиотерапии онкологических заболеваний, включающей антрациклиновые антибиотики.","type":"article-journal","volume":"143"},"uris":["http://www.mendeley.com/documents/?uuid=722a7982-2dac-48df-a33c-90ea8f628939"]}],"mendeley":{"formattedCitation":"[107]","plainTextFormattedCitation":"[107]","previouslyFormattedCitation":"[107]"},"properties":{"noteIndex":0},"schema":"https://github.com/citation-style-language/schema/raw/master/csl-citation.json"}</w:instrText>
      </w:r>
      <w:r>
        <w:rPr>
          <w:szCs w:val="24"/>
        </w:rPr>
        <w:fldChar w:fldCharType="separate"/>
      </w:r>
      <w:r w:rsidRPr="0000369C">
        <w:rPr>
          <w:noProof/>
          <w:szCs w:val="24"/>
        </w:rPr>
        <w:t>[107]</w:t>
      </w:r>
      <w:r>
        <w:rPr>
          <w:szCs w:val="24"/>
        </w:rPr>
        <w:fldChar w:fldCharType="end"/>
      </w:r>
      <w:r w:rsidRPr="00DC46B0">
        <w:rPr>
          <w:szCs w:val="24"/>
        </w:rPr>
        <w:t xml:space="preserve">: </w:t>
      </w:r>
    </w:p>
    <w:p w14:paraId="2C3E2D5C" w14:textId="77777777" w:rsidR="0000369C" w:rsidRPr="004F07FC" w:rsidRDefault="0000369C" w:rsidP="00C5490F">
      <w:pPr>
        <w:pStyle w:val="afe"/>
        <w:numPr>
          <w:ilvl w:val="0"/>
          <w:numId w:val="123"/>
        </w:numPr>
        <w:rPr>
          <w:szCs w:val="24"/>
        </w:rPr>
      </w:pPr>
      <w:r w:rsidRPr="004F07FC">
        <w:rPr>
          <w:szCs w:val="24"/>
        </w:rPr>
        <w:t>суммарная доза (для доксорубицина доза, превышающая 500 - 550 мг/м</w:t>
      </w:r>
      <w:r w:rsidRPr="004F07FC">
        <w:rPr>
          <w:szCs w:val="24"/>
          <w:vertAlign w:val="superscript"/>
        </w:rPr>
        <w:t>2</w:t>
      </w:r>
      <w:r w:rsidRPr="004F07FC">
        <w:rPr>
          <w:szCs w:val="24"/>
        </w:rPr>
        <w:t>)</w:t>
      </w:r>
    </w:p>
    <w:p w14:paraId="685EE448" w14:textId="77777777" w:rsidR="0000369C" w:rsidRPr="004F07FC" w:rsidRDefault="0000369C" w:rsidP="00C5490F">
      <w:pPr>
        <w:pStyle w:val="afe"/>
        <w:numPr>
          <w:ilvl w:val="0"/>
          <w:numId w:val="123"/>
        </w:numPr>
        <w:rPr>
          <w:szCs w:val="24"/>
        </w:rPr>
      </w:pPr>
      <w:r w:rsidRPr="004F07FC">
        <w:rPr>
          <w:szCs w:val="24"/>
        </w:rPr>
        <w:t>общая доза, введенная за день или курс химиотерапии</w:t>
      </w:r>
    </w:p>
    <w:p w14:paraId="1B689166" w14:textId="77777777" w:rsidR="0000369C" w:rsidRPr="004F07FC" w:rsidRDefault="0000369C" w:rsidP="00C5490F">
      <w:pPr>
        <w:pStyle w:val="afe"/>
        <w:numPr>
          <w:ilvl w:val="0"/>
          <w:numId w:val="123"/>
        </w:numPr>
        <w:rPr>
          <w:szCs w:val="24"/>
        </w:rPr>
      </w:pPr>
      <w:r w:rsidRPr="004F07FC">
        <w:rPr>
          <w:szCs w:val="24"/>
        </w:rPr>
        <w:t xml:space="preserve">скорость и порядок введения препаратов </w:t>
      </w:r>
    </w:p>
    <w:p w14:paraId="159EB778" w14:textId="77777777" w:rsidR="0000369C" w:rsidRPr="004F07FC" w:rsidRDefault="0000369C" w:rsidP="00C5490F">
      <w:pPr>
        <w:pStyle w:val="afe"/>
        <w:numPr>
          <w:ilvl w:val="0"/>
          <w:numId w:val="123"/>
        </w:numPr>
        <w:rPr>
          <w:szCs w:val="24"/>
        </w:rPr>
      </w:pPr>
      <w:r w:rsidRPr="004F07FC">
        <w:rPr>
          <w:szCs w:val="24"/>
        </w:rPr>
        <w:t>облучение средостения в анамнезе</w:t>
      </w:r>
    </w:p>
    <w:p w14:paraId="04F14007" w14:textId="77777777" w:rsidR="0000369C" w:rsidRPr="004F07FC" w:rsidRDefault="0000369C" w:rsidP="00C5490F">
      <w:pPr>
        <w:pStyle w:val="afe"/>
        <w:numPr>
          <w:ilvl w:val="0"/>
          <w:numId w:val="123"/>
        </w:numPr>
        <w:rPr>
          <w:szCs w:val="24"/>
        </w:rPr>
      </w:pPr>
      <w:r w:rsidRPr="004F07FC">
        <w:rPr>
          <w:szCs w:val="24"/>
        </w:rPr>
        <w:t>возраст (младше 15 и старше 65 лет)</w:t>
      </w:r>
    </w:p>
    <w:p w14:paraId="36320052" w14:textId="77777777" w:rsidR="0000369C" w:rsidRPr="004F07FC" w:rsidRDefault="0000369C" w:rsidP="00C5490F">
      <w:pPr>
        <w:pStyle w:val="afe"/>
        <w:numPr>
          <w:ilvl w:val="0"/>
          <w:numId w:val="123"/>
        </w:numPr>
        <w:rPr>
          <w:szCs w:val="24"/>
        </w:rPr>
      </w:pPr>
      <w:r w:rsidRPr="004F07FC">
        <w:rPr>
          <w:szCs w:val="24"/>
        </w:rPr>
        <w:t>женский пол</w:t>
      </w:r>
    </w:p>
    <w:p w14:paraId="374310F9" w14:textId="77777777" w:rsidR="0000369C" w:rsidRPr="004F07FC" w:rsidRDefault="0000369C" w:rsidP="00C5490F">
      <w:pPr>
        <w:pStyle w:val="afe"/>
        <w:numPr>
          <w:ilvl w:val="0"/>
          <w:numId w:val="123"/>
        </w:numPr>
        <w:rPr>
          <w:szCs w:val="24"/>
        </w:rPr>
      </w:pPr>
      <w:r w:rsidRPr="004F07FC">
        <w:rPr>
          <w:szCs w:val="24"/>
        </w:rPr>
        <w:t>одновременное введение нескольких противоопухолевых средств (антрациклино-вые антибиотики, циклофосфан, блеомицин, этопозид, цисплатин, винкристин, актиномицин, метотрексат)</w:t>
      </w:r>
    </w:p>
    <w:p w14:paraId="22EEE95D" w14:textId="77777777" w:rsidR="0000369C" w:rsidRPr="004F07FC" w:rsidRDefault="0000369C" w:rsidP="00C5490F">
      <w:pPr>
        <w:pStyle w:val="afe"/>
        <w:numPr>
          <w:ilvl w:val="0"/>
          <w:numId w:val="123"/>
        </w:numPr>
        <w:rPr>
          <w:szCs w:val="24"/>
        </w:rPr>
      </w:pPr>
      <w:r w:rsidRPr="004F07FC">
        <w:rPr>
          <w:szCs w:val="24"/>
        </w:rPr>
        <w:t>предшествующая терапия антрациклинами</w:t>
      </w:r>
    </w:p>
    <w:p w14:paraId="427B6482" w14:textId="77777777" w:rsidR="0000369C" w:rsidRPr="004F07FC" w:rsidRDefault="0000369C" w:rsidP="00C5490F">
      <w:pPr>
        <w:pStyle w:val="afe"/>
        <w:numPr>
          <w:ilvl w:val="0"/>
          <w:numId w:val="123"/>
        </w:numPr>
        <w:rPr>
          <w:szCs w:val="24"/>
        </w:rPr>
      </w:pPr>
      <w:r w:rsidRPr="004F07FC">
        <w:rPr>
          <w:szCs w:val="24"/>
        </w:rPr>
        <w:t xml:space="preserve">сопутствующие заболевания сердечно-сосудистой системы </w:t>
      </w:r>
    </w:p>
    <w:p w14:paraId="12CBB342" w14:textId="77777777" w:rsidR="0000369C" w:rsidRPr="004F07FC" w:rsidRDefault="0000369C" w:rsidP="00C5490F">
      <w:pPr>
        <w:pStyle w:val="afe"/>
        <w:numPr>
          <w:ilvl w:val="0"/>
          <w:numId w:val="123"/>
        </w:numPr>
        <w:rPr>
          <w:szCs w:val="24"/>
        </w:rPr>
      </w:pPr>
      <w:r w:rsidRPr="004F07FC">
        <w:rPr>
          <w:szCs w:val="24"/>
        </w:rPr>
        <w:t>дисбаланс электролитов (гипокалиемия, гипомагниемия).</w:t>
      </w:r>
    </w:p>
    <w:p w14:paraId="2BA8B143" w14:textId="77777777" w:rsidR="0000369C" w:rsidRPr="00DC46B0" w:rsidRDefault="0000369C" w:rsidP="0000369C">
      <w:pPr>
        <w:rPr>
          <w:szCs w:val="24"/>
        </w:rPr>
      </w:pPr>
    </w:p>
    <w:p w14:paraId="01A5195B" w14:textId="5F615C82" w:rsidR="0000369C" w:rsidRPr="00DC46B0" w:rsidRDefault="0000369C" w:rsidP="0000369C">
      <w:pPr>
        <w:ind w:firstLine="709"/>
        <w:rPr>
          <w:szCs w:val="24"/>
        </w:rPr>
      </w:pPr>
      <w:r w:rsidRPr="00DC46B0">
        <w:rPr>
          <w:szCs w:val="24"/>
        </w:rPr>
        <w:t>Основные лекарственные средства профилактики кардиотоксичности – назначаемые совместно эналаприл, карведилол и низкие дозы статинов</w:t>
      </w:r>
      <w:r>
        <w:rPr>
          <w:szCs w:val="24"/>
        </w:rPr>
        <w:t xml:space="preserve"> </w:t>
      </w:r>
      <w:r>
        <w:rPr>
          <w:szCs w:val="24"/>
        </w:rPr>
        <w:fldChar w:fldCharType="begin" w:fldLock="1"/>
      </w:r>
      <w:r>
        <w:rPr>
          <w:szCs w:val="24"/>
        </w:rPr>
        <w:instrText>ADDIN CSL_CITATION {"citationItems":[{"id":"ITEM-1","itemData":{"author":[{"dropping-particle":"","family":"Гендлин","given":"Г.Е.","non-dropping-particle":"","parse-names":false,"suffix":""},{"dropping-particle":"","family":"Емелина","given":"Е.И.","non-dropping-particle":"","parse-names":false,"suffix":""},{"dropping-particle":"","family":"Никитин","given":"И.Г.","non-dropping-particle":"","parse-names":false,"suffix":""},{"dropping-particle":"","family":"Васюк","given":"Ю.А.","non-dropping-particle":"","parse-names":false,"suffix":""}],"container-title":"Российский кардиологический журнал","id":"ITEM-1","issue":"3","issued":{"date-parts":[["2017"]]},"page":"145-154","title":"Современный взгляд на кардиотоксичность химиотерапии онкологических заболеваний, включающей антрациклиновые антибиотики.","type":"article-journal","volume":"143"},"uris":["http://www.mendeley.com/documents/?uuid=722a7982-2dac-48df-a33c-90ea8f628939"]}],"mendeley":{"formattedCitation":"[107]","plainTextFormattedCitation":"[107]","previouslyFormattedCitation":"[107]"},"properties":{"noteIndex":0},"schema":"https://github.com/citation-style-language/schema/raw/master/csl-citation.json"}</w:instrText>
      </w:r>
      <w:r>
        <w:rPr>
          <w:szCs w:val="24"/>
        </w:rPr>
        <w:fldChar w:fldCharType="separate"/>
      </w:r>
      <w:r w:rsidRPr="0000369C">
        <w:rPr>
          <w:noProof/>
          <w:szCs w:val="24"/>
        </w:rPr>
        <w:t>[107]</w:t>
      </w:r>
      <w:r>
        <w:rPr>
          <w:szCs w:val="24"/>
        </w:rPr>
        <w:fldChar w:fldCharType="end"/>
      </w:r>
      <w:r w:rsidRPr="00DC46B0">
        <w:rPr>
          <w:szCs w:val="24"/>
        </w:rPr>
        <w:t>. Карведилол, вероятно, обладает наибольшими защитными свойствами из-за его антиоксидантной активности, способности блокировать апоптозные сигнальные пути, предполагаемой способности восстанавливать работу Ca2+-АТФ-азы и блокировать приток кальция в кардиомиоциты.</w:t>
      </w:r>
    </w:p>
    <w:p w14:paraId="35CA6C82" w14:textId="77777777" w:rsidR="0000369C" w:rsidRPr="00DC46B0" w:rsidRDefault="0000369C" w:rsidP="0000369C">
      <w:pPr>
        <w:ind w:firstLine="709"/>
        <w:rPr>
          <w:szCs w:val="24"/>
        </w:rPr>
      </w:pPr>
      <w:r w:rsidRPr="00DC46B0">
        <w:rPr>
          <w:szCs w:val="24"/>
        </w:rPr>
        <w:t>Подход к профилактике кардиотоксичности пациентов, получающих лечение по поводу онкогематологического заболевания, представлен в таб.</w:t>
      </w:r>
      <w:r>
        <w:rPr>
          <w:szCs w:val="24"/>
        </w:rPr>
        <w:t xml:space="preserve"> </w:t>
      </w:r>
      <w:r w:rsidRPr="00DC46B0">
        <w:rPr>
          <w:szCs w:val="24"/>
        </w:rPr>
        <w:t xml:space="preserve">2.    </w:t>
      </w:r>
    </w:p>
    <w:p w14:paraId="31B196C3" w14:textId="77777777" w:rsidR="0000369C" w:rsidRDefault="0000369C" w:rsidP="0000369C">
      <w:pPr>
        <w:rPr>
          <w:b/>
          <w:szCs w:val="24"/>
        </w:rPr>
      </w:pPr>
    </w:p>
    <w:p w14:paraId="04F18C7D" w14:textId="5FF88F22" w:rsidR="0000369C" w:rsidRPr="004F07FC" w:rsidRDefault="0000369C" w:rsidP="0000369C">
      <w:pPr>
        <w:rPr>
          <w:szCs w:val="24"/>
          <w:lang w:val="en-US"/>
        </w:rPr>
      </w:pPr>
      <w:r w:rsidRPr="004F07FC">
        <w:rPr>
          <w:szCs w:val="24"/>
        </w:rPr>
        <w:t xml:space="preserve">Таблица 2. </w:t>
      </w:r>
      <w:r w:rsidRPr="004F07FC">
        <w:rPr>
          <w:bCs/>
          <w:szCs w:val="24"/>
        </w:rPr>
        <w:t xml:space="preserve">Оценка риска кардиотоксичности при лечении опухолей </w:t>
      </w:r>
      <w:r>
        <w:rPr>
          <w:bCs/>
          <w:szCs w:val="24"/>
        </w:rPr>
        <w:fldChar w:fldCharType="begin" w:fldLock="1"/>
      </w:r>
      <w:r>
        <w:rPr>
          <w:bCs/>
          <w:szCs w:val="24"/>
        </w:rPr>
        <w:instrText>ADDIN CSL_CITATION {"citationItems":[{"id":"ITEM-1","itemData":{"DOI":"10.1093/eurheartj/ehw211","ISSN":"15229645","PMID":"27567406","author":[{"dropping-particle":"","family":"Zamorano","given":"Jose Luis","non-dropping-particle":"","parse-names":false,"suffix":""},{"dropping-particle":"","family":"Lancellotti","given":"Patrizio","non-dropping-particle":"","parse-names":false,"suffix":""},{"dropping-particle":"","family":"Rodriguez Muñoz","given":"Daniel","non-dropping-particle":"","parse-names":false,"suffix":""},{"dropping-particle":"","family":"Aboyans","given":"Victor","non-dropping-particle":"","parse-names":false,"suffix":""},{"dropping-particle":"","family":"Asteggiano","given":"Riccardo","non-dropping-particle":"","parse-names":false,"suffix":""},{"dropping-particle":"","family":"Galderisi","given":"Maurizio","non-dropping-particle":"","parse-names":false,"suffix":""},{"dropping-particle":"","family":"Habib","given":"Gilbert","non-dropping-particle":"","parse-names":false,"suffix":""},{"dropping-particle":"","family":"Lenihan","given":"Daniel J.","non-dropping-particle":"","parse-names":false,"suffix":""},{"dropping-particle":"","family":"Lip","given":"Gregory Y.H.","non-dropping-particle":"","parse-names":false,"suffix":""},{"dropping-particle":"","family":"Lyon","given":"Alexander R.","non-dropping-particle":"","parse-names":false,"suffix":""},{"dropping-particle":"","family":"Lopez Fernandez","given":"Teresa","non-dropping-particle":"","parse-names":false,"suffix":""},{"dropping-particle":"","family":"Mohty","given":"Dania","non-dropping-particle":"","parse-names":false,"suffix":""},{"dropping-particle":"","family":"Piepoli","given":"Massimo F.","non-dropping-particle":"","parse-names":false,"suffix":""},{"dropping-particle":"","family":"Tamargo","given":"Juan","non-dropping-particle":"","parse-names":false,"suffix":""},{"dropping-particle":"","family":"Torbicki","given":"Adam","non-dropping-particle":"","parse-names":false,"suffix":""},{"dropping-particle":"","family":"Suter","given":"Thomas M.","non-dropping-particle":"","parse-names":false,"suffix":""},{"dropping-particle":"","family":"Achenbach","given":"Stephan","non-dropping-particle":"","parse-names":false,"suffix":""},{"dropping-particle":"","family":"Agewall","given":"Stefan","non-dropping-particle":"","parse-names":false,"suffix":""},{"dropping-particle":"","family":"Badimon","given":"Lina","non-dropping-particle":"","parse-names":false,"suffix":""},{"dropping-particle":"","family":"Barón-Esquivias","given":"Gonzalo","non-dropping-particle":"","parse-names":false,"suffix":""},{"dropping-particle":"","family":"Baumgartner","given":"Helmut","non-dropping-particle":"","parse-names":false,"suffix":""},{"dropping-particle":"","family":"Bax","given":"Jeroen J.","non-dropping-particle":"","parse-names":false,"suffix":""},{"dropping-particle":"","family":"Bueno","given":"Héctor","non-dropping-particle":"","parse-names":false,"suffix":""},{"dropping-particle":"","family":"Carerj","given":"Scipione","non-dropping-particle":"","parse-names":false,"suffix":""},{"dropping-particle":"","family":"Dean","given":"Veronica","non-dropping-particle":"","parse-names":false,"suffix":""},{"dropping-particle":"","family":"Erol","given":"Çetin","non-dropping-particle":"","parse-names":false,"suffix":""},{"dropping-particle":"","family":"Fitzsimons","given":"Donna","non-dropping-particle":"","parse-names":false,"suffix":""},{"dropping-particle":"","family":"Gaemperli","given":"Oliver","non-dropping-particle":"","parse-names":false,"suffix":""},{"dropping-particle":"","family":"Kirchhof","given":"Paulus","non-dropping-particle":"","parse-names":false,"suffix":""},{"dropping-particle":"","family":"Kolh","given":"Philippe","non-dropping-particle":"","parse-names":false,"suffix":""},{"dropping-particle":"","family":"Nihoyannopoulos","given":"Petros","non-dropping-particle":"","parse-names":false,"suffix":""},{"dropping-particle":"","family":"Ponikowski","given":"Piotr","non-dropping-particle":"","parse-names":false,"suffix":""},{"dropping-particle":"","family":"Roffi","given":"Marco","non-dropping-particle":"","parse-names":false,"suffix":""},{"dropping-particle":"","family":"Vaz Carneiro","given":"António","non-dropping-particle":"","parse-names":false,"suffix":""},{"dropping-particle":"","family":"Windecker","given":"Stephan","non-dropping-particle":"","parse-names":false,"suffix":""},{"dropping-particle":"","family":"Minotti","given":"Giorgio","non-dropping-particle":"","parse-names":false,"suffix":""},{"dropping-particle":"","family":"Cardinale","given":"Daniela","non-dropping-particle":"","parse-names":false,"suffix":""},{"dropping-particle":"","family":"Curigliano","given":"Giuseppe","non-dropping-particle":"","parse-names":false,"suffix":""},{"dropping-particle":"","family":"Azambuja","given":"Evandro","non-dropping-particle":"De","parse-names":false,"suffix":""},{"dropping-particle":"","family":"Dent","given":"Susan","non-dropping-particle":"","parse-names":false,"suffix":""},{"dropping-particle":"","family":"Ero","given":"Cetin","non-dropping-particle":"","parse-names":false,"suffix":""},{"dropping-particle":"","family":"Ewer","given":"Michael S.","non-dropping-particle":"","parse-names":false,"suffix":""},{"dropping-particle":"","family":"Farmakis","given":"Dimitrios","non-dropping-particle":"","parse-names":false,"suffix":""},{"dropping-particle":"","family":"Fietkau","given":"Rainer","non-dropping-particle":"","parse-names":false,"suffix":""},{"dropping-particle":"","family":"Kohl","given":"Philippe","non-dropping-particle":"","parse-names":false,"suffix":""},{"dropping-particle":"","family":"McGale","given":"Paul","non-dropping-particle":"","parse-names":false,"suffix":""},{"dropping-particle":"","family":"Ringwald","given":"Juergen","non-dropping-particle":"","parse-names":false,"suffix":""},{"dropping-particle":"","family":"Schulz-Menger","given":"Jeanette","non-dropping-particle":"","parse-names":false,"suffix":""},{"dropping-particle":"","family":"Stebbing","given":"Justin","non-dropping-particle":"","parse-names":false,"suffix":""},{"dropping-particle":"","family":"Steiner","given":"Rudolf K.","non-dropping-particle":"","parse-names":false,"suffix":""},{"dropping-particle":"","family":"Szmit","given":"Sebastian","non-dropping-particle":"","parse-names":false,"suffix":""}],"container-title":"European Heart Journal","id":"ITEM-1","issue":"36","issued":{"date-parts":[["2016","9","21"]]},"page":"2768-2801","publisher":"Oxford University Press","title":"2016 ESC Position Paper on cancer treatments and cardiovascular toxicity developed under the auspices of the ESC Committee for Practice Guidelines","type":"article","volume":"37"},"uris":["http://www.mendeley.com/documents/?uuid=b14e6a9e-39a8-33b0-ba1a-2593548d6d16"]},{"id":"ITEM-2","itemData":{"DOI":"10.1530/ERP-17-0013","ISSN":"20550464","abstract":"Cardio-oncology is a rapidly growing feld aimed at minimizing the effects of cardiovascular morbidity and mortality in cancer survivors. To meet this aim, patients are assessed at baseline to define their risk of cardiotoxicity and then followed closely during and after chemotherapy to assess for early signs or symptoms of cardiovascular disease. Cardiac imaging, and in particular, transthoracic echocardiography, plays an essential role in the baseline assessment and serial follow-up of cardio-oncology patients. The objectives of this paper are to review the mechanisms of cardiotoxicity of several common chemotherapeutic agents associated with an increased risk for left ventricular systolic dysfunction and to outline recommendations regarding the baseline assessment and serial follow-up of cardio-oncology patients with a focus on the role of echocardiography.","author":[{"dropping-particle":"","family":"Larsen","given":"Carolyn M.","non-dropping-particle":"","parse-names":false,"suffix":""},{"dropping-particle":"","family":"Mulvagh","given":"Sharon L.","non-dropping-particle":"","parse-names":false,"suffix":""}],"container-title":"Echo Research and Practice","id":"ITEM-2","issue":"1","issued":{"date-parts":[["2017","3","1"]]},"page":"R33-R41","publisher":"BioScientifica Ltd.","title":"Cardio-oncology: What you need to know now for clinical practice and echocardiography","type":"article","volume":"4"},"uris":["http://www.mendeley.com/documents/?uuid=8c6f1c03-ad49-3f5e-8b63-59b182a86311"]}],"mendeley":{"formattedCitation":"[109,110]","plainTextFormattedCitation":"[109,110]","previouslyFormattedCitation":"[109,110]"},"properties":{"noteIndex":0},"schema":"https://github.com/citation-style-language/schema/raw/master/csl-citation.json"}</w:instrText>
      </w:r>
      <w:r>
        <w:rPr>
          <w:bCs/>
          <w:szCs w:val="24"/>
        </w:rPr>
        <w:fldChar w:fldCharType="separate"/>
      </w:r>
      <w:r w:rsidRPr="0000369C">
        <w:rPr>
          <w:bCs/>
          <w:noProof/>
          <w:szCs w:val="24"/>
          <w:lang w:val="en-US"/>
        </w:rPr>
        <w:t>[109,110]</w:t>
      </w:r>
      <w:r>
        <w:rPr>
          <w:bCs/>
          <w:szCs w:val="24"/>
        </w:rPr>
        <w:fldChar w:fldCharType="end"/>
      </w:r>
      <w:r w:rsidRPr="004F07FC">
        <w:rPr>
          <w:bCs/>
          <w:szCs w:val="24"/>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2906"/>
        <w:gridCol w:w="4694"/>
      </w:tblGrid>
      <w:tr w:rsidR="0000369C" w:rsidRPr="00DC46B0" w14:paraId="24525217" w14:textId="77777777" w:rsidTr="001C46FD">
        <w:trPr>
          <w:trHeight w:val="570"/>
        </w:trPr>
        <w:tc>
          <w:tcPr>
            <w:tcW w:w="5053" w:type="dxa"/>
            <w:gridSpan w:val="2"/>
            <w:shd w:val="clear" w:color="auto" w:fill="auto"/>
            <w:hideMark/>
          </w:tcPr>
          <w:p w14:paraId="41A73C20" w14:textId="77777777" w:rsidR="0000369C" w:rsidRPr="00DC46B0" w:rsidRDefault="0000369C" w:rsidP="001C46FD">
            <w:pPr>
              <w:rPr>
                <w:szCs w:val="24"/>
              </w:rPr>
            </w:pPr>
            <w:r w:rsidRPr="00DC46B0">
              <w:rPr>
                <w:bCs/>
                <w:szCs w:val="24"/>
              </w:rPr>
              <w:t xml:space="preserve">Риск, связанный с применяемым препаратом (% кардиальных осложнений препаратов) </w:t>
            </w:r>
          </w:p>
        </w:tc>
        <w:tc>
          <w:tcPr>
            <w:tcW w:w="4694" w:type="dxa"/>
            <w:shd w:val="clear" w:color="auto" w:fill="auto"/>
            <w:hideMark/>
          </w:tcPr>
          <w:p w14:paraId="47BA719D" w14:textId="77777777" w:rsidR="0000369C" w:rsidRPr="00DC46B0" w:rsidRDefault="0000369C" w:rsidP="001C46FD">
            <w:pPr>
              <w:rPr>
                <w:bCs/>
                <w:szCs w:val="24"/>
              </w:rPr>
            </w:pPr>
            <w:r w:rsidRPr="00DC46B0">
              <w:rPr>
                <w:bCs/>
                <w:szCs w:val="24"/>
              </w:rPr>
              <w:t xml:space="preserve">Риск, связанный с пациентом </w:t>
            </w:r>
          </w:p>
          <w:p w14:paraId="56A573A5" w14:textId="77777777" w:rsidR="0000369C" w:rsidRPr="00DC46B0" w:rsidRDefault="0000369C" w:rsidP="001C46FD">
            <w:pPr>
              <w:rPr>
                <w:szCs w:val="24"/>
              </w:rPr>
            </w:pPr>
            <w:r w:rsidRPr="00DC46B0">
              <w:rPr>
                <w:bCs/>
                <w:szCs w:val="24"/>
              </w:rPr>
              <w:t>(каждый из факторов – 1 балл)</w:t>
            </w:r>
          </w:p>
        </w:tc>
      </w:tr>
      <w:tr w:rsidR="0000369C" w:rsidRPr="00DC46B0" w14:paraId="17472BF5" w14:textId="77777777" w:rsidTr="001C46FD">
        <w:trPr>
          <w:trHeight w:val="1095"/>
        </w:trPr>
        <w:tc>
          <w:tcPr>
            <w:tcW w:w="2147" w:type="dxa"/>
            <w:shd w:val="clear" w:color="auto" w:fill="auto"/>
            <w:hideMark/>
          </w:tcPr>
          <w:p w14:paraId="05240B55" w14:textId="77777777" w:rsidR="0000369C" w:rsidRPr="00DC46B0" w:rsidRDefault="0000369C" w:rsidP="001C46FD">
            <w:pPr>
              <w:rPr>
                <w:szCs w:val="24"/>
              </w:rPr>
            </w:pPr>
            <w:r w:rsidRPr="00DC46B0">
              <w:rPr>
                <w:bCs/>
                <w:szCs w:val="24"/>
              </w:rPr>
              <w:t xml:space="preserve">Высокий риск – </w:t>
            </w:r>
            <w:r w:rsidRPr="00DC46B0">
              <w:rPr>
                <w:szCs w:val="24"/>
              </w:rPr>
              <w:t xml:space="preserve"> </w:t>
            </w:r>
            <w:r w:rsidRPr="00DC46B0">
              <w:rPr>
                <w:bCs/>
                <w:szCs w:val="24"/>
              </w:rPr>
              <w:t xml:space="preserve">4 балла </w:t>
            </w:r>
          </w:p>
        </w:tc>
        <w:tc>
          <w:tcPr>
            <w:tcW w:w="2906" w:type="dxa"/>
            <w:shd w:val="clear" w:color="auto" w:fill="auto"/>
            <w:hideMark/>
          </w:tcPr>
          <w:p w14:paraId="52D38096" w14:textId="77777777" w:rsidR="0000369C" w:rsidRPr="00DC46B0" w:rsidRDefault="0000369C" w:rsidP="001C46FD">
            <w:pPr>
              <w:rPr>
                <w:bCs/>
                <w:szCs w:val="24"/>
              </w:rPr>
            </w:pPr>
            <w:r w:rsidRPr="00DC46B0">
              <w:rPr>
                <w:bCs/>
                <w:szCs w:val="24"/>
              </w:rPr>
              <w:t>Антрациклины (3 – 48%, в зависимости от суммарной дозы)</w:t>
            </w:r>
          </w:p>
          <w:p w14:paraId="16F8E9FD" w14:textId="77777777" w:rsidR="0000369C" w:rsidRPr="00DC46B0" w:rsidRDefault="0000369C" w:rsidP="001C46FD">
            <w:pPr>
              <w:rPr>
                <w:bCs/>
                <w:szCs w:val="24"/>
              </w:rPr>
            </w:pPr>
            <w:r w:rsidRPr="00DC46B0">
              <w:rPr>
                <w:bCs/>
                <w:szCs w:val="24"/>
              </w:rPr>
              <w:t>Циклофосфан (7 – 28%) Ифосфамид (до 17% в зависимости от дозы) Клофарабин (27%)</w:t>
            </w:r>
          </w:p>
          <w:p w14:paraId="66354D2C" w14:textId="77777777" w:rsidR="0000369C" w:rsidRPr="00DC46B0" w:rsidRDefault="0000369C" w:rsidP="001C46FD">
            <w:pPr>
              <w:rPr>
                <w:szCs w:val="24"/>
              </w:rPr>
            </w:pPr>
            <w:r w:rsidRPr="00DC46B0">
              <w:rPr>
                <w:bCs/>
                <w:szCs w:val="24"/>
              </w:rPr>
              <w:lastRenderedPageBreak/>
              <w:t>Карфилзомиб (11 – 25%)</w:t>
            </w:r>
          </w:p>
        </w:tc>
        <w:tc>
          <w:tcPr>
            <w:tcW w:w="4694" w:type="dxa"/>
            <w:vMerge w:val="restart"/>
            <w:shd w:val="clear" w:color="auto" w:fill="auto"/>
            <w:hideMark/>
          </w:tcPr>
          <w:p w14:paraId="25DE8F04" w14:textId="77777777" w:rsidR="0000369C" w:rsidRPr="00DC46B0" w:rsidRDefault="0000369C" w:rsidP="00C5490F">
            <w:pPr>
              <w:numPr>
                <w:ilvl w:val="0"/>
                <w:numId w:val="117"/>
              </w:numPr>
              <w:tabs>
                <w:tab w:val="clear" w:pos="720"/>
              </w:tabs>
              <w:ind w:left="0" w:firstLine="0"/>
              <w:rPr>
                <w:szCs w:val="24"/>
              </w:rPr>
            </w:pPr>
            <w:r w:rsidRPr="00DC46B0">
              <w:rPr>
                <w:bCs/>
                <w:szCs w:val="24"/>
              </w:rPr>
              <w:lastRenderedPageBreak/>
              <w:t>Заболевание сердца или ХСН</w:t>
            </w:r>
          </w:p>
          <w:p w14:paraId="662153DC" w14:textId="77777777" w:rsidR="0000369C" w:rsidRPr="00DC46B0" w:rsidRDefault="0000369C" w:rsidP="00C5490F">
            <w:pPr>
              <w:numPr>
                <w:ilvl w:val="0"/>
                <w:numId w:val="117"/>
              </w:numPr>
              <w:tabs>
                <w:tab w:val="clear" w:pos="720"/>
              </w:tabs>
              <w:ind w:left="0" w:firstLine="0"/>
              <w:rPr>
                <w:szCs w:val="24"/>
              </w:rPr>
            </w:pPr>
            <w:r w:rsidRPr="00DC46B0">
              <w:rPr>
                <w:bCs/>
                <w:szCs w:val="24"/>
              </w:rPr>
              <w:t>ИБС или ее эквивалент (БПА)</w:t>
            </w:r>
          </w:p>
          <w:p w14:paraId="279AFCBC" w14:textId="77777777" w:rsidR="0000369C" w:rsidRPr="00DC46B0" w:rsidRDefault="0000369C" w:rsidP="00C5490F">
            <w:pPr>
              <w:numPr>
                <w:ilvl w:val="0"/>
                <w:numId w:val="117"/>
              </w:numPr>
              <w:tabs>
                <w:tab w:val="clear" w:pos="720"/>
              </w:tabs>
              <w:ind w:left="0" w:firstLine="0"/>
              <w:rPr>
                <w:szCs w:val="24"/>
              </w:rPr>
            </w:pPr>
            <w:r w:rsidRPr="00DC46B0">
              <w:rPr>
                <w:bCs/>
                <w:szCs w:val="24"/>
              </w:rPr>
              <w:t>АГ</w:t>
            </w:r>
          </w:p>
          <w:p w14:paraId="7FDE7BA7" w14:textId="77777777" w:rsidR="0000369C" w:rsidRPr="00DC46B0" w:rsidRDefault="0000369C" w:rsidP="00C5490F">
            <w:pPr>
              <w:numPr>
                <w:ilvl w:val="0"/>
                <w:numId w:val="117"/>
              </w:numPr>
              <w:tabs>
                <w:tab w:val="clear" w:pos="720"/>
              </w:tabs>
              <w:ind w:left="0" w:firstLine="0"/>
              <w:rPr>
                <w:szCs w:val="24"/>
              </w:rPr>
            </w:pPr>
            <w:r w:rsidRPr="00DC46B0">
              <w:rPr>
                <w:bCs/>
                <w:szCs w:val="24"/>
              </w:rPr>
              <w:t>Сахарный диабет</w:t>
            </w:r>
          </w:p>
          <w:p w14:paraId="153AC130" w14:textId="77777777" w:rsidR="0000369C" w:rsidRPr="00DC46B0" w:rsidRDefault="0000369C" w:rsidP="00C5490F">
            <w:pPr>
              <w:numPr>
                <w:ilvl w:val="0"/>
                <w:numId w:val="117"/>
              </w:numPr>
              <w:tabs>
                <w:tab w:val="clear" w:pos="720"/>
              </w:tabs>
              <w:ind w:left="0" w:firstLine="0"/>
              <w:rPr>
                <w:szCs w:val="24"/>
              </w:rPr>
            </w:pPr>
            <w:r w:rsidRPr="00DC46B0">
              <w:rPr>
                <w:bCs/>
                <w:szCs w:val="24"/>
              </w:rPr>
              <w:t>Предшествующее лечение антрациклинами</w:t>
            </w:r>
          </w:p>
          <w:p w14:paraId="0A120A4F" w14:textId="77777777" w:rsidR="0000369C" w:rsidRPr="00DC46B0" w:rsidRDefault="0000369C" w:rsidP="00C5490F">
            <w:pPr>
              <w:numPr>
                <w:ilvl w:val="0"/>
                <w:numId w:val="117"/>
              </w:numPr>
              <w:tabs>
                <w:tab w:val="clear" w:pos="720"/>
              </w:tabs>
              <w:ind w:left="0" w:firstLine="0"/>
              <w:rPr>
                <w:szCs w:val="24"/>
              </w:rPr>
            </w:pPr>
            <w:r w:rsidRPr="00DC46B0">
              <w:rPr>
                <w:bCs/>
                <w:szCs w:val="24"/>
              </w:rPr>
              <w:lastRenderedPageBreak/>
              <w:t xml:space="preserve">Предшествующая или совместная лучевая терапия </w:t>
            </w:r>
          </w:p>
          <w:p w14:paraId="71223131" w14:textId="77777777" w:rsidR="0000369C" w:rsidRPr="00DC46B0" w:rsidRDefault="0000369C" w:rsidP="00C5490F">
            <w:pPr>
              <w:numPr>
                <w:ilvl w:val="0"/>
                <w:numId w:val="117"/>
              </w:numPr>
              <w:tabs>
                <w:tab w:val="clear" w:pos="720"/>
              </w:tabs>
              <w:ind w:left="0" w:firstLine="0"/>
              <w:rPr>
                <w:szCs w:val="24"/>
              </w:rPr>
            </w:pPr>
            <w:r w:rsidRPr="00DC46B0">
              <w:rPr>
                <w:bCs/>
                <w:szCs w:val="24"/>
              </w:rPr>
              <w:t xml:space="preserve">Возраст </w:t>
            </w:r>
            <w:r w:rsidRPr="00DC46B0">
              <w:rPr>
                <w:bCs/>
                <w:szCs w:val="24"/>
                <w:lang w:val="en-US"/>
              </w:rPr>
              <w:t xml:space="preserve">&lt; </w:t>
            </w:r>
            <w:r w:rsidRPr="00DC46B0">
              <w:rPr>
                <w:bCs/>
                <w:szCs w:val="24"/>
              </w:rPr>
              <w:t xml:space="preserve">15 или </w:t>
            </w:r>
            <w:r w:rsidRPr="00DC46B0">
              <w:rPr>
                <w:bCs/>
                <w:szCs w:val="24"/>
                <w:lang w:val="en-US"/>
              </w:rPr>
              <w:t>&gt;</w:t>
            </w:r>
            <w:r w:rsidRPr="00DC46B0">
              <w:rPr>
                <w:bCs/>
                <w:szCs w:val="24"/>
              </w:rPr>
              <w:t xml:space="preserve"> 65 лет</w:t>
            </w:r>
          </w:p>
          <w:p w14:paraId="47C6235B" w14:textId="77777777" w:rsidR="0000369C" w:rsidRPr="00DC46B0" w:rsidRDefault="0000369C" w:rsidP="00C5490F">
            <w:pPr>
              <w:numPr>
                <w:ilvl w:val="0"/>
                <w:numId w:val="117"/>
              </w:numPr>
              <w:tabs>
                <w:tab w:val="clear" w:pos="720"/>
              </w:tabs>
              <w:ind w:left="0" w:firstLine="0"/>
              <w:rPr>
                <w:szCs w:val="24"/>
              </w:rPr>
            </w:pPr>
            <w:r w:rsidRPr="00DC46B0">
              <w:rPr>
                <w:bCs/>
                <w:szCs w:val="24"/>
              </w:rPr>
              <w:t xml:space="preserve">Женский пол </w:t>
            </w:r>
          </w:p>
        </w:tc>
      </w:tr>
      <w:tr w:rsidR="0000369C" w:rsidRPr="00DC46B0" w14:paraId="13D86956" w14:textId="77777777" w:rsidTr="001C46FD">
        <w:trPr>
          <w:trHeight w:val="762"/>
        </w:trPr>
        <w:tc>
          <w:tcPr>
            <w:tcW w:w="2147" w:type="dxa"/>
            <w:shd w:val="clear" w:color="auto" w:fill="auto"/>
            <w:hideMark/>
          </w:tcPr>
          <w:p w14:paraId="206E1DF0" w14:textId="77777777" w:rsidR="0000369C" w:rsidRPr="00DC46B0" w:rsidRDefault="0000369C" w:rsidP="001C46FD">
            <w:pPr>
              <w:rPr>
                <w:szCs w:val="24"/>
              </w:rPr>
            </w:pPr>
            <w:r w:rsidRPr="00DC46B0">
              <w:rPr>
                <w:bCs/>
                <w:szCs w:val="24"/>
              </w:rPr>
              <w:lastRenderedPageBreak/>
              <w:t xml:space="preserve">Промежуточный риск – 2 балла </w:t>
            </w:r>
          </w:p>
        </w:tc>
        <w:tc>
          <w:tcPr>
            <w:tcW w:w="2906" w:type="dxa"/>
            <w:shd w:val="clear" w:color="auto" w:fill="auto"/>
            <w:hideMark/>
          </w:tcPr>
          <w:p w14:paraId="3B7F420D" w14:textId="77777777" w:rsidR="0000369C" w:rsidRPr="00DC46B0" w:rsidRDefault="0000369C" w:rsidP="001C46FD">
            <w:pPr>
              <w:rPr>
                <w:szCs w:val="24"/>
                <w:lang w:val="en-US"/>
              </w:rPr>
            </w:pPr>
            <w:r w:rsidRPr="00DC46B0">
              <w:rPr>
                <w:szCs w:val="24"/>
              </w:rPr>
              <w:t>Бортезомиб (2 – 5%)</w:t>
            </w:r>
          </w:p>
          <w:p w14:paraId="1C15B99A" w14:textId="77777777" w:rsidR="0000369C" w:rsidRPr="00DC46B0" w:rsidRDefault="0000369C" w:rsidP="001C46FD">
            <w:pPr>
              <w:rPr>
                <w:szCs w:val="24"/>
                <w:lang w:val="en-US"/>
              </w:rPr>
            </w:pPr>
            <w:r w:rsidRPr="00DC46B0">
              <w:rPr>
                <w:bCs/>
                <w:szCs w:val="24"/>
              </w:rPr>
              <w:t xml:space="preserve">Дазатиниб (2 – 4%), </w:t>
            </w:r>
          </w:p>
          <w:p w14:paraId="087E0A5D" w14:textId="77777777" w:rsidR="0000369C" w:rsidRPr="00DC46B0" w:rsidRDefault="0000369C" w:rsidP="001C46FD">
            <w:pPr>
              <w:rPr>
                <w:szCs w:val="24"/>
                <w:lang w:val="en-US"/>
              </w:rPr>
            </w:pPr>
            <w:r w:rsidRPr="00DC46B0">
              <w:rPr>
                <w:bCs/>
                <w:szCs w:val="24"/>
              </w:rPr>
              <w:t>Сорафениб (4 - %)</w:t>
            </w:r>
          </w:p>
        </w:tc>
        <w:tc>
          <w:tcPr>
            <w:tcW w:w="4694" w:type="dxa"/>
            <w:vMerge/>
            <w:shd w:val="clear" w:color="auto" w:fill="auto"/>
            <w:hideMark/>
          </w:tcPr>
          <w:p w14:paraId="666034D9" w14:textId="77777777" w:rsidR="0000369C" w:rsidRPr="00DC46B0" w:rsidRDefault="0000369C" w:rsidP="001C46FD">
            <w:pPr>
              <w:rPr>
                <w:szCs w:val="24"/>
              </w:rPr>
            </w:pPr>
          </w:p>
        </w:tc>
      </w:tr>
      <w:tr w:rsidR="0000369C" w:rsidRPr="00DC46B0" w14:paraId="7E6AEB77" w14:textId="77777777" w:rsidTr="001C46FD">
        <w:trPr>
          <w:trHeight w:val="570"/>
        </w:trPr>
        <w:tc>
          <w:tcPr>
            <w:tcW w:w="2147" w:type="dxa"/>
            <w:shd w:val="clear" w:color="auto" w:fill="auto"/>
            <w:hideMark/>
          </w:tcPr>
          <w:p w14:paraId="704DCF6C" w14:textId="77777777" w:rsidR="0000369C" w:rsidRPr="00DC46B0" w:rsidRDefault="0000369C" w:rsidP="001C46FD">
            <w:pPr>
              <w:rPr>
                <w:szCs w:val="24"/>
              </w:rPr>
            </w:pPr>
            <w:r w:rsidRPr="00DC46B0">
              <w:rPr>
                <w:bCs/>
                <w:szCs w:val="24"/>
              </w:rPr>
              <w:t xml:space="preserve">Низкий риск – 1 балл </w:t>
            </w:r>
          </w:p>
        </w:tc>
        <w:tc>
          <w:tcPr>
            <w:tcW w:w="2906" w:type="dxa"/>
            <w:shd w:val="clear" w:color="auto" w:fill="auto"/>
            <w:hideMark/>
          </w:tcPr>
          <w:p w14:paraId="741B5180" w14:textId="77777777" w:rsidR="0000369C" w:rsidRPr="00DC46B0" w:rsidRDefault="0000369C" w:rsidP="001C46FD">
            <w:pPr>
              <w:rPr>
                <w:szCs w:val="24"/>
              </w:rPr>
            </w:pPr>
            <w:r w:rsidRPr="00DC46B0">
              <w:rPr>
                <w:bCs/>
                <w:szCs w:val="24"/>
              </w:rPr>
              <w:t>Иматиниб (0,2 – 2,7%),</w:t>
            </w:r>
            <w:r w:rsidRPr="00DC46B0">
              <w:rPr>
                <w:bCs/>
                <w:szCs w:val="24"/>
                <w:lang w:val="en-US"/>
              </w:rPr>
              <w:t xml:space="preserve"> </w:t>
            </w:r>
            <w:r w:rsidRPr="00DC46B0">
              <w:rPr>
                <w:bCs/>
                <w:szCs w:val="24"/>
              </w:rPr>
              <w:t>Нилотиниб (1%).</w:t>
            </w:r>
          </w:p>
        </w:tc>
        <w:tc>
          <w:tcPr>
            <w:tcW w:w="4694" w:type="dxa"/>
            <w:vMerge/>
            <w:shd w:val="clear" w:color="auto" w:fill="auto"/>
            <w:hideMark/>
          </w:tcPr>
          <w:p w14:paraId="571291A9" w14:textId="77777777" w:rsidR="0000369C" w:rsidRPr="00DC46B0" w:rsidRDefault="0000369C" w:rsidP="001C46FD">
            <w:pPr>
              <w:rPr>
                <w:szCs w:val="24"/>
              </w:rPr>
            </w:pPr>
          </w:p>
        </w:tc>
      </w:tr>
      <w:tr w:rsidR="0000369C" w:rsidRPr="00DC46B0" w14:paraId="1B669B81" w14:textId="77777777" w:rsidTr="001C46FD">
        <w:trPr>
          <w:trHeight w:val="570"/>
        </w:trPr>
        <w:tc>
          <w:tcPr>
            <w:tcW w:w="2147" w:type="dxa"/>
            <w:shd w:val="clear" w:color="auto" w:fill="auto"/>
            <w:hideMark/>
          </w:tcPr>
          <w:p w14:paraId="66D823B9" w14:textId="77777777" w:rsidR="0000369C" w:rsidRPr="00DC46B0" w:rsidRDefault="0000369C" w:rsidP="001C46FD">
            <w:pPr>
              <w:rPr>
                <w:szCs w:val="24"/>
              </w:rPr>
            </w:pPr>
            <w:r w:rsidRPr="00DC46B0">
              <w:rPr>
                <w:bCs/>
                <w:szCs w:val="24"/>
              </w:rPr>
              <w:t xml:space="preserve">Отсутствие риска (очень низкий риск)  – 0 баллов </w:t>
            </w:r>
          </w:p>
        </w:tc>
        <w:tc>
          <w:tcPr>
            <w:tcW w:w="2906" w:type="dxa"/>
            <w:shd w:val="clear" w:color="auto" w:fill="auto"/>
            <w:hideMark/>
          </w:tcPr>
          <w:p w14:paraId="0CDF54D7" w14:textId="77777777" w:rsidR="0000369C" w:rsidRPr="00DC46B0" w:rsidRDefault="0000369C" w:rsidP="001C46FD">
            <w:pPr>
              <w:rPr>
                <w:bCs/>
                <w:szCs w:val="24"/>
              </w:rPr>
            </w:pPr>
            <w:r w:rsidRPr="00DC46B0">
              <w:rPr>
                <w:bCs/>
                <w:szCs w:val="24"/>
              </w:rPr>
              <w:t xml:space="preserve">Этопозид, </w:t>
            </w:r>
          </w:p>
          <w:p w14:paraId="6EC66D68" w14:textId="77777777" w:rsidR="0000369C" w:rsidRPr="00DC46B0" w:rsidRDefault="0000369C" w:rsidP="001C46FD">
            <w:pPr>
              <w:rPr>
                <w:szCs w:val="24"/>
              </w:rPr>
            </w:pPr>
            <w:r w:rsidRPr="00DC46B0">
              <w:rPr>
                <w:bCs/>
                <w:szCs w:val="24"/>
              </w:rPr>
              <w:t>Ритуксимаб,</w:t>
            </w:r>
            <w:r w:rsidRPr="00DC46B0">
              <w:rPr>
                <w:szCs w:val="24"/>
              </w:rPr>
              <w:t xml:space="preserve"> </w:t>
            </w:r>
          </w:p>
          <w:p w14:paraId="4D601C8D" w14:textId="77777777" w:rsidR="0000369C" w:rsidRPr="00DC46B0" w:rsidRDefault="0000369C" w:rsidP="001C46FD">
            <w:pPr>
              <w:rPr>
                <w:szCs w:val="24"/>
              </w:rPr>
            </w:pPr>
          </w:p>
        </w:tc>
        <w:tc>
          <w:tcPr>
            <w:tcW w:w="4694" w:type="dxa"/>
            <w:vMerge/>
            <w:shd w:val="clear" w:color="auto" w:fill="auto"/>
            <w:hideMark/>
          </w:tcPr>
          <w:p w14:paraId="7B342B1B" w14:textId="77777777" w:rsidR="0000369C" w:rsidRPr="00DC46B0" w:rsidRDefault="0000369C" w:rsidP="001C46FD">
            <w:pPr>
              <w:rPr>
                <w:szCs w:val="24"/>
              </w:rPr>
            </w:pPr>
          </w:p>
        </w:tc>
      </w:tr>
      <w:tr w:rsidR="0000369C" w:rsidRPr="00DC46B0" w14:paraId="20FF69DD" w14:textId="77777777" w:rsidTr="001C46FD">
        <w:trPr>
          <w:trHeight w:val="570"/>
        </w:trPr>
        <w:tc>
          <w:tcPr>
            <w:tcW w:w="9747" w:type="dxa"/>
            <w:gridSpan w:val="3"/>
            <w:shd w:val="clear" w:color="auto" w:fill="auto"/>
            <w:hideMark/>
          </w:tcPr>
          <w:p w14:paraId="4A685E88" w14:textId="77777777" w:rsidR="0000369C" w:rsidRPr="00DC46B0" w:rsidRDefault="0000369C" w:rsidP="001C46FD">
            <w:pPr>
              <w:rPr>
                <w:szCs w:val="24"/>
              </w:rPr>
            </w:pPr>
            <w:r w:rsidRPr="00DC46B0">
              <w:rPr>
                <w:bCs/>
                <w:szCs w:val="24"/>
              </w:rPr>
              <w:t xml:space="preserve">Уровень риска – сумма баллов лекарственных и коморбидных  рисков: &gt; 6 – очень высокий, 5 – 6 – высокий, 3 – 4 – промежуточный, 1 – 2 – низкий, 0 – очень низкий </w:t>
            </w:r>
          </w:p>
        </w:tc>
      </w:tr>
    </w:tbl>
    <w:p w14:paraId="018D10B1" w14:textId="77777777" w:rsidR="0000369C" w:rsidRPr="00DC46B0" w:rsidRDefault="0000369C" w:rsidP="0000369C">
      <w:pPr>
        <w:rPr>
          <w:szCs w:val="24"/>
        </w:rPr>
      </w:pPr>
      <w:r w:rsidRPr="00DC46B0">
        <w:rPr>
          <w:szCs w:val="24"/>
        </w:rPr>
        <w:t xml:space="preserve">   </w:t>
      </w:r>
    </w:p>
    <w:p w14:paraId="1BC5FBC4" w14:textId="604198DB" w:rsidR="0000369C" w:rsidRPr="00DC46B0" w:rsidRDefault="0000369C" w:rsidP="0000369C">
      <w:pPr>
        <w:ind w:firstLine="709"/>
        <w:rPr>
          <w:szCs w:val="24"/>
        </w:rPr>
      </w:pPr>
      <w:r w:rsidRPr="00DC46B0">
        <w:rPr>
          <w:szCs w:val="24"/>
        </w:rPr>
        <w:t>Немодифицируемые факторы риска ИБС:</w:t>
      </w:r>
      <w:r w:rsidRPr="004F07FC">
        <w:rPr>
          <w:szCs w:val="24"/>
        </w:rPr>
        <w:t xml:space="preserve"> </w:t>
      </w:r>
      <w:r w:rsidRPr="00DC46B0">
        <w:rPr>
          <w:szCs w:val="24"/>
        </w:rPr>
        <w:t>возраст более 45 лет у мужчин и более 55 лет у женщин, мужской пол, наследственность (ранний атеросклероз у родственников, ранняя смерть родственников от ИБС)</w:t>
      </w:r>
      <w:r>
        <w:rPr>
          <w:szCs w:val="24"/>
        </w:rPr>
        <w:t xml:space="preserve"> </w:t>
      </w:r>
      <w:r>
        <w:rPr>
          <w:szCs w:val="24"/>
        </w:rPr>
        <w:fldChar w:fldCharType="begin" w:fldLock="1"/>
      </w:r>
      <w:r>
        <w:rPr>
          <w:szCs w:val="24"/>
        </w:rPr>
        <w:instrText>ADDIN CSL_CITATION {"citationItems":[{"id":"ITEM-1","itemData":{"author":[{"dropping-particle":"","family":"Гендлин","given":"Г.Е.","non-dropping-particle":"","parse-names":false,"suffix":""},{"dropping-particle":"","family":"Емелина","given":"Е.И.","non-dropping-particle":"","parse-names":false,"suffix":""},{"dropping-particle":"","family":"Никитин","given":"И.Г.","non-dropping-particle":"","parse-names":false,"suffix":""},{"dropping-particle":"","family":"Васюк","given":"Ю.А.","non-dropping-particle":"","parse-names":false,"suffix":""}],"container-title":"Российский кардиологический журнал","id":"ITEM-1","issue":"3","issued":{"date-parts":[["2017"]]},"page":"145-154","title":"Современный взгляд на кардиотоксичность химиотерапии онкологических заболеваний, включающей антрациклиновые антибиотики.","type":"article-journal","volume":"143"},"uris":["http://www.mendeley.com/documents/?uuid=722a7982-2dac-48df-a33c-90ea8f628939"]}],"mendeley":{"formattedCitation":"[107]","plainTextFormattedCitation":"[107]","previouslyFormattedCitation":"[107]"},"properties":{"noteIndex":0},"schema":"https://github.com/citation-style-language/schema/raw/master/csl-citation.json"}</w:instrText>
      </w:r>
      <w:r>
        <w:rPr>
          <w:szCs w:val="24"/>
        </w:rPr>
        <w:fldChar w:fldCharType="separate"/>
      </w:r>
      <w:r w:rsidRPr="0000369C">
        <w:rPr>
          <w:noProof/>
          <w:szCs w:val="24"/>
        </w:rPr>
        <w:t>[107]</w:t>
      </w:r>
      <w:r>
        <w:rPr>
          <w:szCs w:val="24"/>
        </w:rPr>
        <w:fldChar w:fldCharType="end"/>
      </w:r>
      <w:r w:rsidRPr="00DC46B0">
        <w:rPr>
          <w:szCs w:val="24"/>
        </w:rPr>
        <w:t>.</w:t>
      </w:r>
    </w:p>
    <w:p w14:paraId="15586127" w14:textId="3AF34D45" w:rsidR="0000369C" w:rsidRPr="00DC46B0" w:rsidRDefault="0000369C" w:rsidP="0000369C">
      <w:pPr>
        <w:ind w:firstLine="709"/>
        <w:rPr>
          <w:szCs w:val="24"/>
        </w:rPr>
      </w:pPr>
      <w:r w:rsidRPr="00DC46B0">
        <w:rPr>
          <w:szCs w:val="24"/>
        </w:rPr>
        <w:t>Модифицируемые факторы риска ИБС:</w:t>
      </w:r>
      <w:r w:rsidRPr="004F07FC">
        <w:rPr>
          <w:szCs w:val="24"/>
        </w:rPr>
        <w:t xml:space="preserve"> </w:t>
      </w:r>
      <w:r w:rsidRPr="00DC46B0">
        <w:rPr>
          <w:szCs w:val="24"/>
        </w:rPr>
        <w:t>АГ, курение, ожирение, недостаточная физическая активность; потенциально или частично модифицируемые – дислипидемия, сахарный диабет, психоэмоциональное перенапряжение</w:t>
      </w:r>
      <w:r>
        <w:rPr>
          <w:szCs w:val="24"/>
        </w:rPr>
        <w:t xml:space="preserve"> </w:t>
      </w:r>
      <w:r>
        <w:rPr>
          <w:szCs w:val="24"/>
        </w:rPr>
        <w:fldChar w:fldCharType="begin" w:fldLock="1"/>
      </w:r>
      <w:r>
        <w:rPr>
          <w:szCs w:val="24"/>
        </w:rPr>
        <w:instrText>ADDIN CSL_CITATION {"citationItems":[{"id":"ITEM-1","itemData":{"author":[{"dropping-particle":"","family":"Гендлин","given":"Г.Е.","non-dropping-particle":"","parse-names":false,"suffix":""},{"dropping-particle":"","family":"Емелина","given":"Е.И.","non-dropping-particle":"","parse-names":false,"suffix":""},{"dropping-particle":"","family":"Никитин","given":"И.Г.","non-dropping-particle":"","parse-names":false,"suffix":""},{"dropping-particle":"","family":"Васюк","given":"Ю.А.","non-dropping-particle":"","parse-names":false,"suffix":""}],"container-title":"Российский кардиологический журнал","id":"ITEM-1","issue":"3","issued":{"date-parts":[["2017"]]},"page":"145-154","title":"Современный взгляд на кардиотоксичность химиотерапии онкологических заболеваний, включающей антрациклиновые антибиотики.","type":"article-journal","volume":"143"},"uris":["http://www.mendeley.com/documents/?uuid=722a7982-2dac-48df-a33c-90ea8f628939"]}],"mendeley":{"formattedCitation":"[107]","plainTextFormattedCitation":"[107]","previouslyFormattedCitation":"[107]"},"properties":{"noteIndex":0},"schema":"https://github.com/citation-style-language/schema/raw/master/csl-citation.json"}</w:instrText>
      </w:r>
      <w:r>
        <w:rPr>
          <w:szCs w:val="24"/>
        </w:rPr>
        <w:fldChar w:fldCharType="separate"/>
      </w:r>
      <w:r w:rsidRPr="0000369C">
        <w:rPr>
          <w:noProof/>
          <w:szCs w:val="24"/>
        </w:rPr>
        <w:t>[107]</w:t>
      </w:r>
      <w:r>
        <w:rPr>
          <w:szCs w:val="24"/>
        </w:rPr>
        <w:fldChar w:fldCharType="end"/>
      </w:r>
      <w:r w:rsidRPr="00DC46B0">
        <w:rPr>
          <w:szCs w:val="24"/>
        </w:rPr>
        <w:t xml:space="preserve">. </w:t>
      </w:r>
    </w:p>
    <w:p w14:paraId="7A93D710" w14:textId="77777777" w:rsidR="0000369C" w:rsidRPr="00DC46B0" w:rsidRDefault="0000369C" w:rsidP="0000369C">
      <w:pPr>
        <w:rPr>
          <w:szCs w:val="24"/>
        </w:rPr>
      </w:pPr>
      <w:r w:rsidRPr="00DC46B0">
        <w:rPr>
          <w:szCs w:val="24"/>
        </w:rPr>
        <w:t xml:space="preserve"> </w:t>
      </w:r>
      <w:r w:rsidRPr="00DC46B0">
        <w:rPr>
          <w:szCs w:val="24"/>
        </w:rPr>
        <w:tab/>
        <w:t xml:space="preserve">При выявлении дислипидемии, сахарного диабета необходимо оценить показания к проведению и назначить при необходимости гиполипидемическую и гипогликемическую терапию </w:t>
      </w:r>
    </w:p>
    <w:p w14:paraId="14AE8AB9" w14:textId="77777777" w:rsidR="0000369C" w:rsidRPr="00DC46B0" w:rsidRDefault="0000369C" w:rsidP="0000369C">
      <w:pPr>
        <w:ind w:firstLine="709"/>
        <w:rPr>
          <w:szCs w:val="24"/>
        </w:rPr>
      </w:pPr>
      <w:r w:rsidRPr="00DC46B0">
        <w:rPr>
          <w:szCs w:val="24"/>
        </w:rPr>
        <w:t xml:space="preserve">В соответствии с риском развития поражения миокарда предлагается профилактическое лечение ингибитором ангиотензинпревращающего фермента (иАПФ) или антагонистами рецепторов ангиотензина </w:t>
      </w:r>
      <w:r w:rsidRPr="00DC46B0">
        <w:rPr>
          <w:szCs w:val="24"/>
          <w:lang w:val="en-US"/>
        </w:rPr>
        <w:t>II</w:t>
      </w:r>
      <w:r w:rsidRPr="00DC46B0">
        <w:rPr>
          <w:szCs w:val="24"/>
        </w:rPr>
        <w:t xml:space="preserve"> (АРА), карведилолом и статинами в низких дозах (таб. 3).  </w:t>
      </w:r>
    </w:p>
    <w:p w14:paraId="070C877E" w14:textId="77777777" w:rsidR="0000369C" w:rsidRDefault="0000369C" w:rsidP="0000369C">
      <w:pPr>
        <w:rPr>
          <w:b/>
          <w:szCs w:val="24"/>
        </w:rPr>
      </w:pPr>
    </w:p>
    <w:p w14:paraId="06B6ADAA" w14:textId="08F25E30" w:rsidR="0000369C" w:rsidRPr="004F07FC" w:rsidRDefault="0000369C" w:rsidP="0000369C">
      <w:pPr>
        <w:rPr>
          <w:szCs w:val="24"/>
        </w:rPr>
      </w:pPr>
      <w:r w:rsidRPr="004F07FC">
        <w:rPr>
          <w:szCs w:val="24"/>
        </w:rPr>
        <w:t xml:space="preserve">Таблица 3. Профилактика кардиотоксичности в соответствии с риском поражения миокарда </w:t>
      </w:r>
      <w:r>
        <w:rPr>
          <w:szCs w:val="24"/>
          <w:lang w:val="en-US"/>
        </w:rPr>
        <w:fldChar w:fldCharType="begin" w:fldLock="1"/>
      </w:r>
      <w:r>
        <w:rPr>
          <w:szCs w:val="24"/>
          <w:lang w:val="en-US"/>
        </w:rPr>
        <w:instrText>ADDIN CSL_CITATION {"citationItems":[{"id":"ITEM-1","itemData":{"DOI":"10.1530/ERP-17-0013","ISSN":"20550464","abstract":"Cardio-oncology is a rapidly growing feld aimed at minimizing the effects of cardiovascular morbidity and mortality in cancer survivors. To meet this aim, patients are assessed at baseline to define their risk of cardiotoxicity and then followed closely during and after chemotherapy to assess for early signs or symptoms of cardiovascular disease. Cardiac imaging, and in particular, transthoracic echocardiography, plays an essential role in the baseline assessment and serial follow-up of cardio-oncology patients. The objectives of this paper are to review the mechanisms of cardiotoxicity of several common chemotherapeutic agents associated with an increased risk for left ventricular systolic dysfunction and to outline recommendations regarding the baseline assessment and serial follow-up of cardio-oncology patients with a focus on the role of echocardiography.","author":[{"dropping-particle":"","family":"Larsen","given":"Carolyn M.","non-dropping-particle":"","parse-names":false,"suffix":""},{"dropping-particle":"","family":"Mulvagh","given":"Sharon L.","non-dropping-particle":"","parse-names":false,"suffix":""}],"container-title":"Echo Research and Practice","id":"ITEM-1","issue":"1","issued":{"date-parts":[["2017","3","1"]]},"page":"R33-R41","publisher":"BioScientifica Ltd.","title":"Cardio-oncology: What you need to know now for clinical practice and echocardiography","type":"article","volume":"4"},"uris":["http://www.mendeley.com/documents/?uuid=8c6f1c03-ad49-3f5e-8b63-59b182a86311"]}],"mendeley":{"formattedCitation":"[110]","plainTextFormattedCitation":"[110]","previouslyFormattedCitation":"[110]"},"properties":{"noteIndex":0},"schema":"https://github.com/citation-style-language/schema/raw/master/csl-citation.json"}</w:instrText>
      </w:r>
      <w:r>
        <w:rPr>
          <w:szCs w:val="24"/>
          <w:lang w:val="en-US"/>
        </w:rPr>
        <w:fldChar w:fldCharType="separate"/>
      </w:r>
      <w:r w:rsidRPr="0000369C">
        <w:rPr>
          <w:noProof/>
          <w:szCs w:val="24"/>
        </w:rPr>
        <w:t>[110]</w:t>
      </w:r>
      <w:r>
        <w:rPr>
          <w:szCs w:val="24"/>
          <w:lang w:val="en-US"/>
        </w:rPr>
        <w:fldChar w:fldCharType="end"/>
      </w:r>
      <w:r w:rsidRPr="004F07FC">
        <w:rPr>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13"/>
      </w:tblGrid>
      <w:tr w:rsidR="0000369C" w:rsidRPr="00DC46B0" w14:paraId="080C7126" w14:textId="77777777" w:rsidTr="001C46FD">
        <w:trPr>
          <w:trHeight w:val="584"/>
        </w:trPr>
        <w:tc>
          <w:tcPr>
            <w:tcW w:w="1951" w:type="dxa"/>
            <w:shd w:val="clear" w:color="auto" w:fill="auto"/>
            <w:hideMark/>
          </w:tcPr>
          <w:p w14:paraId="293111C6" w14:textId="77777777" w:rsidR="0000369C" w:rsidRPr="00DC46B0" w:rsidRDefault="0000369C" w:rsidP="001C46FD">
            <w:pPr>
              <w:rPr>
                <w:b/>
                <w:bCs/>
                <w:szCs w:val="24"/>
              </w:rPr>
            </w:pPr>
            <w:r w:rsidRPr="00DC46B0">
              <w:rPr>
                <w:b/>
                <w:bCs/>
                <w:szCs w:val="24"/>
              </w:rPr>
              <w:t>Риск</w:t>
            </w:r>
          </w:p>
        </w:tc>
        <w:tc>
          <w:tcPr>
            <w:tcW w:w="7513" w:type="dxa"/>
            <w:shd w:val="clear" w:color="auto" w:fill="auto"/>
            <w:hideMark/>
          </w:tcPr>
          <w:p w14:paraId="5A83A98D" w14:textId="77777777" w:rsidR="0000369C" w:rsidRPr="00DC46B0" w:rsidRDefault="0000369C" w:rsidP="001C46FD">
            <w:pPr>
              <w:rPr>
                <w:b/>
                <w:bCs/>
                <w:szCs w:val="24"/>
              </w:rPr>
            </w:pPr>
            <w:r w:rsidRPr="00DC46B0">
              <w:rPr>
                <w:b/>
                <w:bCs/>
                <w:szCs w:val="24"/>
              </w:rPr>
              <w:t xml:space="preserve">                                     Рекомендации</w:t>
            </w:r>
          </w:p>
        </w:tc>
      </w:tr>
      <w:tr w:rsidR="0000369C" w:rsidRPr="00DC46B0" w14:paraId="069F0A26" w14:textId="77777777" w:rsidTr="001C46FD">
        <w:trPr>
          <w:trHeight w:val="584"/>
        </w:trPr>
        <w:tc>
          <w:tcPr>
            <w:tcW w:w="1951" w:type="dxa"/>
            <w:shd w:val="clear" w:color="auto" w:fill="auto"/>
            <w:hideMark/>
          </w:tcPr>
          <w:p w14:paraId="605D79FF" w14:textId="77777777" w:rsidR="0000369C" w:rsidRPr="00DC46B0" w:rsidRDefault="0000369C" w:rsidP="001C46FD">
            <w:pPr>
              <w:rPr>
                <w:bCs/>
                <w:szCs w:val="24"/>
              </w:rPr>
            </w:pPr>
            <w:r w:rsidRPr="00DC46B0">
              <w:rPr>
                <w:bCs/>
                <w:szCs w:val="24"/>
              </w:rPr>
              <w:t xml:space="preserve">Очень высокий риск </w:t>
            </w:r>
          </w:p>
        </w:tc>
        <w:tc>
          <w:tcPr>
            <w:tcW w:w="7513" w:type="dxa"/>
            <w:shd w:val="clear" w:color="auto" w:fill="auto"/>
            <w:hideMark/>
          </w:tcPr>
          <w:p w14:paraId="7D1E1881" w14:textId="77777777" w:rsidR="0000369C" w:rsidRPr="00DC46B0" w:rsidRDefault="0000369C" w:rsidP="001C46FD">
            <w:pPr>
              <w:rPr>
                <w:bCs/>
                <w:szCs w:val="24"/>
              </w:rPr>
            </w:pPr>
            <w:r w:rsidRPr="00DC46B0">
              <w:rPr>
                <w:bCs/>
                <w:szCs w:val="24"/>
              </w:rPr>
              <w:t>За 1 неделю до ХТ начать иАПФ/АРА, карведилол, статины в низких дозах</w:t>
            </w:r>
            <w:r w:rsidRPr="00DC46B0">
              <w:rPr>
                <w:b/>
                <w:bCs/>
                <w:szCs w:val="24"/>
              </w:rPr>
              <w:t>.</w:t>
            </w:r>
            <w:r w:rsidRPr="00DC46B0">
              <w:rPr>
                <w:bCs/>
                <w:szCs w:val="24"/>
              </w:rPr>
              <w:t xml:space="preserve">  Далее, на фоне ХТ при стабильном состоянии  титровать по переносимости. </w:t>
            </w:r>
          </w:p>
        </w:tc>
      </w:tr>
      <w:tr w:rsidR="0000369C" w:rsidRPr="00DC46B0" w14:paraId="49E08D06" w14:textId="77777777" w:rsidTr="001C46FD">
        <w:trPr>
          <w:trHeight w:val="357"/>
        </w:trPr>
        <w:tc>
          <w:tcPr>
            <w:tcW w:w="1951" w:type="dxa"/>
            <w:shd w:val="clear" w:color="auto" w:fill="auto"/>
            <w:hideMark/>
          </w:tcPr>
          <w:p w14:paraId="1E54FBE5" w14:textId="77777777" w:rsidR="0000369C" w:rsidRPr="00DC46B0" w:rsidRDefault="0000369C" w:rsidP="001C46FD">
            <w:pPr>
              <w:rPr>
                <w:bCs/>
                <w:szCs w:val="24"/>
              </w:rPr>
            </w:pPr>
            <w:r w:rsidRPr="00DC46B0">
              <w:rPr>
                <w:bCs/>
                <w:szCs w:val="24"/>
              </w:rPr>
              <w:lastRenderedPageBreak/>
              <w:t xml:space="preserve">Высокий риск </w:t>
            </w:r>
          </w:p>
        </w:tc>
        <w:tc>
          <w:tcPr>
            <w:tcW w:w="7513" w:type="dxa"/>
            <w:shd w:val="clear" w:color="auto" w:fill="auto"/>
            <w:hideMark/>
          </w:tcPr>
          <w:p w14:paraId="3D503A7C" w14:textId="77777777" w:rsidR="0000369C" w:rsidRPr="00DC46B0" w:rsidRDefault="0000369C" w:rsidP="001C46FD">
            <w:pPr>
              <w:rPr>
                <w:bCs/>
                <w:szCs w:val="24"/>
              </w:rPr>
            </w:pPr>
            <w:r w:rsidRPr="00DC46B0">
              <w:rPr>
                <w:bCs/>
                <w:szCs w:val="24"/>
              </w:rPr>
              <w:t xml:space="preserve">Начать иАПФ/АРА, карведилол и/или статины.  </w:t>
            </w:r>
          </w:p>
        </w:tc>
      </w:tr>
      <w:tr w:rsidR="0000369C" w:rsidRPr="00DC46B0" w14:paraId="21A4D8E2" w14:textId="77777777" w:rsidTr="001C46FD">
        <w:trPr>
          <w:trHeight w:val="584"/>
        </w:trPr>
        <w:tc>
          <w:tcPr>
            <w:tcW w:w="1951" w:type="dxa"/>
            <w:shd w:val="clear" w:color="auto" w:fill="auto"/>
            <w:hideMark/>
          </w:tcPr>
          <w:p w14:paraId="468F0130" w14:textId="77777777" w:rsidR="0000369C" w:rsidRPr="00DC46B0" w:rsidRDefault="0000369C" w:rsidP="001C46FD">
            <w:pPr>
              <w:rPr>
                <w:bCs/>
                <w:szCs w:val="24"/>
              </w:rPr>
            </w:pPr>
            <w:r w:rsidRPr="00DC46B0">
              <w:rPr>
                <w:bCs/>
                <w:szCs w:val="24"/>
              </w:rPr>
              <w:t xml:space="preserve">Промежуточный риск </w:t>
            </w:r>
          </w:p>
        </w:tc>
        <w:tc>
          <w:tcPr>
            <w:tcW w:w="7513" w:type="dxa"/>
            <w:shd w:val="clear" w:color="auto" w:fill="auto"/>
            <w:hideMark/>
          </w:tcPr>
          <w:p w14:paraId="772D5864" w14:textId="77777777" w:rsidR="0000369C" w:rsidRPr="00DC46B0" w:rsidRDefault="0000369C" w:rsidP="001C46FD">
            <w:pPr>
              <w:rPr>
                <w:bCs/>
                <w:szCs w:val="24"/>
              </w:rPr>
            </w:pPr>
            <w:r w:rsidRPr="00DC46B0">
              <w:rPr>
                <w:bCs/>
                <w:szCs w:val="24"/>
              </w:rPr>
              <w:t>Обсудить</w:t>
            </w:r>
            <w:r w:rsidRPr="00DC46B0">
              <w:rPr>
                <w:b/>
                <w:bCs/>
                <w:i/>
                <w:szCs w:val="24"/>
              </w:rPr>
              <w:t xml:space="preserve"> </w:t>
            </w:r>
            <w:r w:rsidRPr="00DC46B0">
              <w:rPr>
                <w:bCs/>
                <w:szCs w:val="24"/>
              </w:rPr>
              <w:t xml:space="preserve">необходимость медикаментозной профилактики. </w:t>
            </w:r>
          </w:p>
        </w:tc>
      </w:tr>
      <w:tr w:rsidR="0000369C" w:rsidRPr="00DC46B0" w14:paraId="65157B37" w14:textId="77777777" w:rsidTr="001C46FD">
        <w:trPr>
          <w:trHeight w:val="356"/>
        </w:trPr>
        <w:tc>
          <w:tcPr>
            <w:tcW w:w="1951" w:type="dxa"/>
            <w:shd w:val="clear" w:color="auto" w:fill="auto"/>
            <w:hideMark/>
          </w:tcPr>
          <w:p w14:paraId="4C2126F3" w14:textId="77777777" w:rsidR="0000369C" w:rsidRPr="00DC46B0" w:rsidRDefault="0000369C" w:rsidP="001C46FD">
            <w:pPr>
              <w:rPr>
                <w:bCs/>
                <w:szCs w:val="24"/>
              </w:rPr>
            </w:pPr>
            <w:r w:rsidRPr="00DC46B0">
              <w:rPr>
                <w:bCs/>
                <w:szCs w:val="24"/>
              </w:rPr>
              <w:t xml:space="preserve">Низкий риск </w:t>
            </w:r>
          </w:p>
        </w:tc>
        <w:tc>
          <w:tcPr>
            <w:tcW w:w="7513" w:type="dxa"/>
            <w:shd w:val="clear" w:color="auto" w:fill="auto"/>
            <w:hideMark/>
          </w:tcPr>
          <w:p w14:paraId="2EE011BE" w14:textId="77777777" w:rsidR="0000369C" w:rsidRPr="00DC46B0" w:rsidRDefault="0000369C" w:rsidP="001C46FD">
            <w:pPr>
              <w:rPr>
                <w:bCs/>
                <w:szCs w:val="24"/>
              </w:rPr>
            </w:pPr>
            <w:r w:rsidRPr="00DC46B0">
              <w:rPr>
                <w:bCs/>
                <w:szCs w:val="24"/>
              </w:rPr>
              <w:t xml:space="preserve">Только мониторинг состояния. </w:t>
            </w:r>
          </w:p>
        </w:tc>
      </w:tr>
      <w:tr w:rsidR="0000369C" w:rsidRPr="00DC46B0" w14:paraId="0E28F659" w14:textId="77777777" w:rsidTr="001C46FD">
        <w:trPr>
          <w:trHeight w:val="417"/>
        </w:trPr>
        <w:tc>
          <w:tcPr>
            <w:tcW w:w="1951" w:type="dxa"/>
            <w:shd w:val="clear" w:color="auto" w:fill="auto"/>
            <w:hideMark/>
          </w:tcPr>
          <w:p w14:paraId="0424DAFB" w14:textId="77777777" w:rsidR="0000369C" w:rsidRPr="00DC46B0" w:rsidRDefault="0000369C" w:rsidP="001C46FD">
            <w:pPr>
              <w:rPr>
                <w:bCs/>
                <w:szCs w:val="24"/>
              </w:rPr>
            </w:pPr>
            <w:r w:rsidRPr="00DC46B0">
              <w:rPr>
                <w:bCs/>
                <w:szCs w:val="24"/>
              </w:rPr>
              <w:t xml:space="preserve">Очень низкий риск </w:t>
            </w:r>
          </w:p>
        </w:tc>
        <w:tc>
          <w:tcPr>
            <w:tcW w:w="7513" w:type="dxa"/>
            <w:shd w:val="clear" w:color="auto" w:fill="auto"/>
            <w:hideMark/>
          </w:tcPr>
          <w:p w14:paraId="14F1752D" w14:textId="77777777" w:rsidR="0000369C" w:rsidRPr="00DC46B0" w:rsidRDefault="0000369C" w:rsidP="001C46FD">
            <w:pPr>
              <w:rPr>
                <w:bCs/>
                <w:szCs w:val="24"/>
              </w:rPr>
            </w:pPr>
            <w:r w:rsidRPr="00DC46B0">
              <w:rPr>
                <w:bCs/>
                <w:szCs w:val="24"/>
              </w:rPr>
              <w:t xml:space="preserve">Только мониторинг состояния. </w:t>
            </w:r>
          </w:p>
        </w:tc>
      </w:tr>
    </w:tbl>
    <w:p w14:paraId="547F743F" w14:textId="77777777" w:rsidR="0000369C" w:rsidRPr="00DC46B0" w:rsidRDefault="0000369C" w:rsidP="0000369C">
      <w:pPr>
        <w:rPr>
          <w:szCs w:val="24"/>
        </w:rPr>
      </w:pPr>
    </w:p>
    <w:p w14:paraId="389B6C67" w14:textId="77777777" w:rsidR="0000369C" w:rsidRDefault="0000369C" w:rsidP="0000369C">
      <w:pPr>
        <w:ind w:firstLine="709"/>
        <w:rPr>
          <w:szCs w:val="24"/>
        </w:rPr>
      </w:pPr>
      <w:r w:rsidRPr="00DC46B0">
        <w:rPr>
          <w:szCs w:val="24"/>
        </w:rPr>
        <w:t xml:space="preserve">Рекомендуется тщательный мониторинг состояния больных, получающих гематологическое противоопухолевое лечение, в том числе даже с низким и очень низким рисками развития осложнений (таб. 4). </w:t>
      </w:r>
    </w:p>
    <w:p w14:paraId="3D9A8B40" w14:textId="77777777" w:rsidR="0000369C" w:rsidRPr="00DC46B0" w:rsidRDefault="0000369C" w:rsidP="0000369C">
      <w:pPr>
        <w:ind w:firstLine="709"/>
        <w:rPr>
          <w:szCs w:val="24"/>
        </w:rPr>
      </w:pPr>
    </w:p>
    <w:p w14:paraId="6CDCFC4D" w14:textId="3F81C3A9" w:rsidR="0000369C" w:rsidRPr="004F07FC" w:rsidRDefault="0000369C" w:rsidP="0000369C">
      <w:pPr>
        <w:rPr>
          <w:szCs w:val="24"/>
        </w:rPr>
      </w:pPr>
      <w:r w:rsidRPr="004F07FC">
        <w:rPr>
          <w:bCs/>
          <w:szCs w:val="24"/>
        </w:rPr>
        <w:t xml:space="preserve">Таблица 4. Мониторинг  пациентов в  зависимости  от  риска  кардиотоксичности </w:t>
      </w:r>
      <w:r>
        <w:rPr>
          <w:bCs/>
          <w:szCs w:val="24"/>
        </w:rPr>
        <w:fldChar w:fldCharType="begin" w:fldLock="1"/>
      </w:r>
      <w:r>
        <w:rPr>
          <w:bCs/>
          <w:szCs w:val="24"/>
        </w:rPr>
        <w:instrText>ADDIN CSL_CITATION {"citationItems":[{"id":"ITEM-1","itemData":{"DOI":"10.1530/ERP-17-0013","ISSN":"20550464","abstract":"Cardio-oncology is a rapidly growing feld aimed at minimizing the effects of cardiovascular morbidity and mortality in cancer survivors. To meet this aim, patients are assessed at baseline to define their risk of cardiotoxicity and then followed closely during and after chemotherapy to assess for early signs or symptoms of cardiovascular disease. Cardiac imaging, and in particular, transthoracic echocardiography, plays an essential role in the baseline assessment and serial follow-up of cardio-oncology patients. The objectives of this paper are to review the mechanisms of cardiotoxicity of several common chemotherapeutic agents associated with an increased risk for left ventricular systolic dysfunction and to outline recommendations regarding the baseline assessment and serial follow-up of cardio-oncology patients with a focus on the role of echocardiography.","author":[{"dropping-particle":"","family":"Larsen","given":"Carolyn M.","non-dropping-particle":"","parse-names":false,"suffix":""},{"dropping-particle":"","family":"Mulvagh","given":"Sharon L.","non-dropping-particle":"","parse-names":false,"suffix":""}],"container-title":"Echo Research and Practice","id":"ITEM-1","issue":"1","issued":{"date-parts":[["2017","3","1"]]},"page":"R33-R41","publisher":"BioScientifica Ltd.","title":"Cardio-oncology: What you need to know now for clinical practice and echocardiography","type":"article","volume":"4"},"uris":["http://www.mendeley.com/documents/?uuid=8c6f1c03-ad49-3f5e-8b63-59b182a86311"]}],"mendeley":{"formattedCitation":"[110]","plainTextFormattedCitation":"[110]","previouslyFormattedCitation":"[110]"},"properties":{"noteIndex":0},"schema":"https://github.com/citation-style-language/schema/raw/master/csl-citation.json"}</w:instrText>
      </w:r>
      <w:r>
        <w:rPr>
          <w:bCs/>
          <w:szCs w:val="24"/>
        </w:rPr>
        <w:fldChar w:fldCharType="separate"/>
      </w:r>
      <w:r w:rsidRPr="0000369C">
        <w:rPr>
          <w:bCs/>
          <w:noProof/>
          <w:szCs w:val="24"/>
        </w:rPr>
        <w:t>[110]</w:t>
      </w:r>
      <w:r>
        <w:rPr>
          <w:bCs/>
          <w:szCs w:val="24"/>
        </w:rPr>
        <w:fldChar w:fldCharType="end"/>
      </w:r>
      <w:r w:rsidRPr="004F07FC">
        <w:rPr>
          <w:bCs/>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95"/>
      </w:tblGrid>
      <w:tr w:rsidR="0000369C" w:rsidRPr="00DC46B0" w14:paraId="425FFD62" w14:textId="77777777" w:rsidTr="001C46FD">
        <w:tc>
          <w:tcPr>
            <w:tcW w:w="1951" w:type="dxa"/>
            <w:shd w:val="clear" w:color="auto" w:fill="auto"/>
          </w:tcPr>
          <w:p w14:paraId="74C7FEF2" w14:textId="77777777" w:rsidR="0000369C" w:rsidRPr="00DC46B0" w:rsidRDefault="0000369C" w:rsidP="001C46FD">
            <w:pPr>
              <w:rPr>
                <w:b/>
                <w:bCs/>
                <w:szCs w:val="24"/>
              </w:rPr>
            </w:pPr>
            <w:r w:rsidRPr="00DC46B0">
              <w:rPr>
                <w:b/>
                <w:bCs/>
                <w:szCs w:val="24"/>
              </w:rPr>
              <w:t xml:space="preserve">      Оценка</w:t>
            </w:r>
          </w:p>
          <w:p w14:paraId="378C7630" w14:textId="77777777" w:rsidR="0000369C" w:rsidRPr="00DC46B0" w:rsidRDefault="0000369C" w:rsidP="001C46FD">
            <w:pPr>
              <w:rPr>
                <w:b/>
                <w:szCs w:val="24"/>
              </w:rPr>
            </w:pPr>
            <w:r w:rsidRPr="00DC46B0">
              <w:rPr>
                <w:b/>
                <w:bCs/>
                <w:szCs w:val="24"/>
              </w:rPr>
              <w:t xml:space="preserve">       риска</w:t>
            </w:r>
          </w:p>
        </w:tc>
        <w:tc>
          <w:tcPr>
            <w:tcW w:w="7620" w:type="dxa"/>
            <w:shd w:val="clear" w:color="auto" w:fill="auto"/>
          </w:tcPr>
          <w:p w14:paraId="229ED50C" w14:textId="77777777" w:rsidR="0000369C" w:rsidRPr="00DC46B0" w:rsidRDefault="0000369C" w:rsidP="001C46FD">
            <w:pPr>
              <w:jc w:val="center"/>
              <w:rPr>
                <w:b/>
                <w:szCs w:val="24"/>
              </w:rPr>
            </w:pPr>
            <w:r w:rsidRPr="00DC46B0">
              <w:rPr>
                <w:b/>
                <w:bCs/>
                <w:szCs w:val="24"/>
              </w:rPr>
              <w:t>Обследование</w:t>
            </w:r>
          </w:p>
        </w:tc>
      </w:tr>
      <w:tr w:rsidR="0000369C" w:rsidRPr="00DC46B0" w14:paraId="4AA92D2F" w14:textId="77777777" w:rsidTr="001C46FD">
        <w:tc>
          <w:tcPr>
            <w:tcW w:w="1951" w:type="dxa"/>
            <w:shd w:val="clear" w:color="auto" w:fill="auto"/>
          </w:tcPr>
          <w:p w14:paraId="77887223" w14:textId="77777777" w:rsidR="0000369C" w:rsidRPr="00DC46B0" w:rsidRDefault="0000369C" w:rsidP="001C46FD">
            <w:pPr>
              <w:rPr>
                <w:szCs w:val="24"/>
              </w:rPr>
            </w:pPr>
            <w:r w:rsidRPr="00DC46B0">
              <w:rPr>
                <w:bCs/>
                <w:szCs w:val="24"/>
              </w:rPr>
              <w:t>Очень высокий риск</w:t>
            </w:r>
          </w:p>
        </w:tc>
        <w:tc>
          <w:tcPr>
            <w:tcW w:w="7620" w:type="dxa"/>
            <w:shd w:val="clear" w:color="auto" w:fill="auto"/>
          </w:tcPr>
          <w:p w14:paraId="488FAB3D" w14:textId="77777777" w:rsidR="0000369C" w:rsidRPr="00DC46B0" w:rsidRDefault="0000369C" w:rsidP="001C46FD">
            <w:pPr>
              <w:rPr>
                <w:szCs w:val="24"/>
              </w:rPr>
            </w:pPr>
            <w:r w:rsidRPr="00DC46B0">
              <w:rPr>
                <w:bCs/>
                <w:szCs w:val="24"/>
              </w:rPr>
              <w:t xml:space="preserve">ЭхоКГ с оценкой </w:t>
            </w:r>
            <w:r w:rsidRPr="00DC46B0">
              <w:rPr>
                <w:szCs w:val="24"/>
              </w:rPr>
              <w:t xml:space="preserve">глобальной продольной деформации </w:t>
            </w:r>
            <w:r w:rsidRPr="00DC46B0">
              <w:rPr>
                <w:bCs/>
                <w:szCs w:val="24"/>
              </w:rPr>
              <w:t>миокарда</w:t>
            </w:r>
            <w:r w:rsidRPr="00DC46B0">
              <w:rPr>
                <w:szCs w:val="24"/>
              </w:rPr>
              <w:t xml:space="preserve"> левого желудочка сердца</w:t>
            </w:r>
            <w:r w:rsidRPr="00DC46B0">
              <w:rPr>
                <w:bCs/>
                <w:szCs w:val="24"/>
              </w:rPr>
              <w:t xml:space="preserve"> перед началом химиотерапии, перед каждым последующим курсом, в конце лечения, на 3, 6 и 12-й месяцы после лечения. Желательно: ЭКГ, </w:t>
            </w:r>
            <w:r w:rsidRPr="00DC46B0">
              <w:rPr>
                <w:bCs/>
                <w:szCs w:val="24"/>
                <w:lang w:val="en-US"/>
              </w:rPr>
              <w:t>cTn</w:t>
            </w:r>
            <w:r w:rsidRPr="00DC46B0">
              <w:rPr>
                <w:bCs/>
                <w:szCs w:val="24"/>
              </w:rPr>
              <w:t>, ЭхоКГ во время химиотерапии.</w:t>
            </w:r>
          </w:p>
        </w:tc>
      </w:tr>
      <w:tr w:rsidR="0000369C" w:rsidRPr="00DC46B0" w14:paraId="19867866" w14:textId="77777777" w:rsidTr="001C46FD">
        <w:tc>
          <w:tcPr>
            <w:tcW w:w="1951" w:type="dxa"/>
            <w:shd w:val="clear" w:color="auto" w:fill="auto"/>
          </w:tcPr>
          <w:p w14:paraId="57373EBD" w14:textId="77777777" w:rsidR="0000369C" w:rsidRPr="00DC46B0" w:rsidRDefault="0000369C" w:rsidP="001C46FD">
            <w:pPr>
              <w:rPr>
                <w:szCs w:val="24"/>
              </w:rPr>
            </w:pPr>
            <w:r w:rsidRPr="00DC46B0">
              <w:rPr>
                <w:bCs/>
                <w:szCs w:val="24"/>
              </w:rPr>
              <w:t>Высокий риск</w:t>
            </w:r>
          </w:p>
        </w:tc>
        <w:tc>
          <w:tcPr>
            <w:tcW w:w="7620" w:type="dxa"/>
            <w:shd w:val="clear" w:color="auto" w:fill="auto"/>
          </w:tcPr>
          <w:p w14:paraId="7D6EAA41" w14:textId="77777777" w:rsidR="0000369C" w:rsidRPr="00DC46B0" w:rsidRDefault="0000369C" w:rsidP="001C46FD">
            <w:pPr>
              <w:rPr>
                <w:szCs w:val="24"/>
              </w:rPr>
            </w:pPr>
            <w:r w:rsidRPr="00DC46B0">
              <w:rPr>
                <w:bCs/>
                <w:szCs w:val="24"/>
              </w:rPr>
              <w:t xml:space="preserve">ЭхоКГ с оценкой </w:t>
            </w:r>
            <w:r w:rsidRPr="00DC46B0">
              <w:rPr>
                <w:szCs w:val="24"/>
              </w:rPr>
              <w:t xml:space="preserve">глобальной продольной деформации </w:t>
            </w:r>
            <w:r w:rsidRPr="00DC46B0">
              <w:rPr>
                <w:bCs/>
                <w:szCs w:val="24"/>
              </w:rPr>
              <w:t>миокарда</w:t>
            </w:r>
            <w:r w:rsidRPr="00DC46B0">
              <w:rPr>
                <w:szCs w:val="24"/>
              </w:rPr>
              <w:t xml:space="preserve"> левого желудочка сердца</w:t>
            </w:r>
            <w:r w:rsidRPr="00DC46B0">
              <w:rPr>
                <w:bCs/>
                <w:szCs w:val="24"/>
              </w:rPr>
              <w:t xml:space="preserve"> после каждого третьего курса, в конце лечения, через 3, 6 и 12 месяцев после лечения. Желательно: ЭКГ, </w:t>
            </w:r>
            <w:r w:rsidRPr="00DC46B0">
              <w:rPr>
                <w:bCs/>
                <w:szCs w:val="24"/>
                <w:lang w:val="en-US"/>
              </w:rPr>
              <w:t>cTn</w:t>
            </w:r>
            <w:r w:rsidRPr="00DC46B0">
              <w:rPr>
                <w:bCs/>
                <w:szCs w:val="24"/>
              </w:rPr>
              <w:t>, ЭхоКГ во время химиотерапии.</w:t>
            </w:r>
          </w:p>
        </w:tc>
      </w:tr>
      <w:tr w:rsidR="0000369C" w:rsidRPr="00DC46B0" w14:paraId="4868FE9C" w14:textId="77777777" w:rsidTr="001C46FD">
        <w:tc>
          <w:tcPr>
            <w:tcW w:w="1951" w:type="dxa"/>
            <w:shd w:val="clear" w:color="auto" w:fill="auto"/>
          </w:tcPr>
          <w:p w14:paraId="56C5B366" w14:textId="77777777" w:rsidR="0000369C" w:rsidRPr="00DC46B0" w:rsidRDefault="0000369C" w:rsidP="001C46FD">
            <w:pPr>
              <w:rPr>
                <w:szCs w:val="24"/>
              </w:rPr>
            </w:pPr>
            <w:r w:rsidRPr="00DC46B0">
              <w:rPr>
                <w:bCs/>
                <w:szCs w:val="24"/>
              </w:rPr>
              <w:t>Промежуточный риск</w:t>
            </w:r>
          </w:p>
        </w:tc>
        <w:tc>
          <w:tcPr>
            <w:tcW w:w="7620" w:type="dxa"/>
            <w:shd w:val="clear" w:color="auto" w:fill="auto"/>
          </w:tcPr>
          <w:p w14:paraId="798041CB" w14:textId="77777777" w:rsidR="0000369C" w:rsidRPr="00DC46B0" w:rsidRDefault="0000369C" w:rsidP="001C46FD">
            <w:pPr>
              <w:rPr>
                <w:szCs w:val="24"/>
              </w:rPr>
            </w:pPr>
            <w:r w:rsidRPr="00DC46B0">
              <w:rPr>
                <w:bCs/>
                <w:szCs w:val="24"/>
              </w:rPr>
              <w:t xml:space="preserve">ЭхоКГ с оценкой </w:t>
            </w:r>
            <w:r w:rsidRPr="00DC46B0">
              <w:rPr>
                <w:szCs w:val="24"/>
              </w:rPr>
              <w:t xml:space="preserve">глобальной продольной деформации </w:t>
            </w:r>
            <w:r w:rsidRPr="00DC46B0">
              <w:rPr>
                <w:bCs/>
                <w:szCs w:val="24"/>
              </w:rPr>
              <w:t>миокарда</w:t>
            </w:r>
            <w:r w:rsidRPr="00DC46B0">
              <w:rPr>
                <w:szCs w:val="24"/>
              </w:rPr>
              <w:t xml:space="preserve"> левого желудочка сердца</w:t>
            </w:r>
            <w:r w:rsidRPr="00DC46B0">
              <w:rPr>
                <w:bCs/>
                <w:szCs w:val="24"/>
              </w:rPr>
              <w:t xml:space="preserve"> в середине и в конце лечения, через 3 и 6 месяцев после лечения. Желательно: ЭКГ, </w:t>
            </w:r>
            <w:r w:rsidRPr="00DC46B0">
              <w:rPr>
                <w:bCs/>
                <w:szCs w:val="24"/>
                <w:lang w:val="en-US"/>
              </w:rPr>
              <w:t>cTn</w:t>
            </w:r>
            <w:r w:rsidRPr="00DC46B0">
              <w:rPr>
                <w:bCs/>
                <w:szCs w:val="24"/>
              </w:rPr>
              <w:t>, ЭхоКГ во время химиотерапии.</w:t>
            </w:r>
          </w:p>
        </w:tc>
      </w:tr>
      <w:tr w:rsidR="0000369C" w:rsidRPr="00DC46B0" w14:paraId="3AA46E41" w14:textId="77777777" w:rsidTr="001C46FD">
        <w:tc>
          <w:tcPr>
            <w:tcW w:w="1951" w:type="dxa"/>
            <w:shd w:val="clear" w:color="auto" w:fill="auto"/>
          </w:tcPr>
          <w:p w14:paraId="7EFC75DE" w14:textId="77777777" w:rsidR="0000369C" w:rsidRPr="00DC46B0" w:rsidRDefault="0000369C" w:rsidP="001C46FD">
            <w:pPr>
              <w:rPr>
                <w:szCs w:val="24"/>
              </w:rPr>
            </w:pPr>
            <w:r w:rsidRPr="00DC46B0">
              <w:rPr>
                <w:bCs/>
                <w:szCs w:val="24"/>
              </w:rPr>
              <w:t>Низкий риск</w:t>
            </w:r>
          </w:p>
        </w:tc>
        <w:tc>
          <w:tcPr>
            <w:tcW w:w="7620" w:type="dxa"/>
            <w:shd w:val="clear" w:color="auto" w:fill="auto"/>
          </w:tcPr>
          <w:p w14:paraId="3642C5A0" w14:textId="77777777" w:rsidR="0000369C" w:rsidRPr="00DC46B0" w:rsidRDefault="0000369C" w:rsidP="001C46FD">
            <w:pPr>
              <w:rPr>
                <w:szCs w:val="24"/>
              </w:rPr>
            </w:pPr>
            <w:r w:rsidRPr="00DC46B0">
              <w:rPr>
                <w:bCs/>
                <w:szCs w:val="24"/>
              </w:rPr>
              <w:t xml:space="preserve">По возможности ЭхоКГ с оценкой </w:t>
            </w:r>
            <w:r w:rsidRPr="00DC46B0">
              <w:rPr>
                <w:szCs w:val="24"/>
              </w:rPr>
              <w:t xml:space="preserve">глобальной продольной деформации </w:t>
            </w:r>
            <w:r w:rsidRPr="00DC46B0">
              <w:rPr>
                <w:bCs/>
                <w:szCs w:val="24"/>
              </w:rPr>
              <w:t>миокарда</w:t>
            </w:r>
            <w:r w:rsidRPr="00DC46B0">
              <w:rPr>
                <w:szCs w:val="24"/>
              </w:rPr>
              <w:t xml:space="preserve"> левого желудочка сердца</w:t>
            </w:r>
            <w:r w:rsidRPr="00DC46B0">
              <w:rPr>
                <w:bCs/>
                <w:szCs w:val="24"/>
              </w:rPr>
              <w:t xml:space="preserve"> и/или ЭКГ, </w:t>
            </w:r>
            <w:r w:rsidRPr="00DC46B0">
              <w:rPr>
                <w:bCs/>
                <w:szCs w:val="24"/>
                <w:lang w:val="en-US"/>
              </w:rPr>
              <w:t>cTn</w:t>
            </w:r>
            <w:r w:rsidRPr="00DC46B0">
              <w:rPr>
                <w:bCs/>
                <w:szCs w:val="24"/>
              </w:rPr>
              <w:t>, в конце химиотерапии.</w:t>
            </w:r>
          </w:p>
        </w:tc>
      </w:tr>
      <w:tr w:rsidR="0000369C" w:rsidRPr="00DC46B0" w14:paraId="4ED00591" w14:textId="77777777" w:rsidTr="001C46FD">
        <w:tc>
          <w:tcPr>
            <w:tcW w:w="1951" w:type="dxa"/>
            <w:shd w:val="clear" w:color="auto" w:fill="auto"/>
          </w:tcPr>
          <w:p w14:paraId="5126995D" w14:textId="77777777" w:rsidR="0000369C" w:rsidRPr="00DC46B0" w:rsidRDefault="0000369C" w:rsidP="001C46FD">
            <w:pPr>
              <w:rPr>
                <w:szCs w:val="24"/>
              </w:rPr>
            </w:pPr>
            <w:r w:rsidRPr="00DC46B0">
              <w:rPr>
                <w:bCs/>
                <w:szCs w:val="24"/>
              </w:rPr>
              <w:t>Очень низкий риск</w:t>
            </w:r>
          </w:p>
        </w:tc>
        <w:tc>
          <w:tcPr>
            <w:tcW w:w="7620" w:type="dxa"/>
            <w:shd w:val="clear" w:color="auto" w:fill="auto"/>
          </w:tcPr>
          <w:p w14:paraId="50D67840" w14:textId="77777777" w:rsidR="0000369C" w:rsidRPr="00DC46B0" w:rsidRDefault="0000369C" w:rsidP="001C46FD">
            <w:pPr>
              <w:rPr>
                <w:szCs w:val="24"/>
              </w:rPr>
            </w:pPr>
            <w:r w:rsidRPr="00DC46B0">
              <w:rPr>
                <w:bCs/>
                <w:szCs w:val="24"/>
              </w:rPr>
              <w:t xml:space="preserve">По возможности ЭхоКГ с оценкой </w:t>
            </w:r>
            <w:r w:rsidRPr="00DC46B0">
              <w:rPr>
                <w:szCs w:val="24"/>
              </w:rPr>
              <w:t xml:space="preserve">глобальной продольной деформации </w:t>
            </w:r>
            <w:r w:rsidRPr="00DC46B0">
              <w:rPr>
                <w:bCs/>
                <w:szCs w:val="24"/>
              </w:rPr>
              <w:t>миокарда</w:t>
            </w:r>
            <w:r w:rsidRPr="00DC46B0">
              <w:rPr>
                <w:szCs w:val="24"/>
              </w:rPr>
              <w:t xml:space="preserve"> левого желудочка сердца</w:t>
            </w:r>
            <w:r w:rsidRPr="00DC46B0">
              <w:rPr>
                <w:bCs/>
                <w:szCs w:val="24"/>
              </w:rPr>
              <w:t xml:space="preserve"> и/или ЭКГ, </w:t>
            </w:r>
            <w:r w:rsidRPr="00DC46B0">
              <w:rPr>
                <w:bCs/>
                <w:szCs w:val="24"/>
                <w:lang w:val="en-US"/>
              </w:rPr>
              <w:t>cTn</w:t>
            </w:r>
            <w:r w:rsidRPr="00DC46B0">
              <w:rPr>
                <w:bCs/>
                <w:szCs w:val="24"/>
              </w:rPr>
              <w:t>, в конце химиотерапии.</w:t>
            </w:r>
          </w:p>
        </w:tc>
      </w:tr>
    </w:tbl>
    <w:p w14:paraId="1D726F1C" w14:textId="77777777" w:rsidR="0000369C" w:rsidRPr="00DC46B0" w:rsidRDefault="0000369C" w:rsidP="0000369C">
      <w:pPr>
        <w:rPr>
          <w:szCs w:val="24"/>
        </w:rPr>
      </w:pPr>
    </w:p>
    <w:p w14:paraId="4A1D3A12" w14:textId="77777777" w:rsidR="0000369C" w:rsidRPr="00DC46B0" w:rsidRDefault="0000369C" w:rsidP="0000369C">
      <w:pPr>
        <w:ind w:firstLine="709"/>
        <w:rPr>
          <w:szCs w:val="24"/>
        </w:rPr>
      </w:pPr>
      <w:r w:rsidRPr="00DC46B0">
        <w:rPr>
          <w:szCs w:val="24"/>
        </w:rPr>
        <w:t xml:space="preserve">Такой подход необходим для профилактики кардиотоксичности, проявляющейся тяжелой сердечной недостаточностью. Другие тяжелые осложнения – желудочковая </w:t>
      </w:r>
      <w:r w:rsidRPr="00DC46B0">
        <w:rPr>
          <w:szCs w:val="24"/>
        </w:rPr>
        <w:lastRenderedPageBreak/>
        <w:t xml:space="preserve">тахикардия/фибрилляция желудочков сердца/внезапная смерть – могут развиться при введении (даже при первом) препарата антрациклинового ряда или бортезомиба, карфилзомиба,  ритуксимаба, ромидепсина. Поэтому первые введения этих препаратов желательно проводить при тщательном мониторинге, в помещении, в котором возможна электрическая дефибрилляция.  </w:t>
      </w:r>
    </w:p>
    <w:p w14:paraId="5E49A785" w14:textId="095E58A0" w:rsidR="0000369C" w:rsidRPr="00DC46B0" w:rsidRDefault="0000369C" w:rsidP="0000369C">
      <w:pPr>
        <w:ind w:firstLine="709"/>
        <w:rPr>
          <w:szCs w:val="24"/>
        </w:rPr>
      </w:pPr>
      <w:r w:rsidRPr="00DC46B0">
        <w:rPr>
          <w:szCs w:val="24"/>
        </w:rPr>
        <w:t>Довольно многие противоопухолевые препараты удлиняют интервал QT  на ЭКГ (что способствует возникновению фибрилляции желудочков и внезапной смерти) –доксорубицин, бозутиниб, дазатиниб, нилотиниб, понатиниб, препараты триоксида мышьяка, вемурафениб и другие. Возможность удлинения интервала QT значительно увеличивается у пациентов с сердечно-сосудистыми заболеваниями или принимающих лекарства, индуцирующие удлинение электрокардиографического желудочкового комплекса. Пациенты, получающие лечение этими препаратами, должны пройти, кроме других видов обследования, суточное мониторирование ЭКГ.</w:t>
      </w:r>
    </w:p>
    <w:p w14:paraId="4AAC7122" w14:textId="77777777" w:rsidR="0000369C" w:rsidRPr="00DC46B0" w:rsidRDefault="0000369C" w:rsidP="0000369C">
      <w:pPr>
        <w:ind w:firstLine="709"/>
        <w:rPr>
          <w:szCs w:val="24"/>
        </w:rPr>
      </w:pPr>
      <w:r w:rsidRPr="00DC46B0">
        <w:rPr>
          <w:szCs w:val="24"/>
        </w:rPr>
        <w:t>Несколько менее тяжелые осложнения – брадикардия и атриовентрикулярная блокада 2 и 3 степеней, однако нередко требует имплантации кардиостимулятора. Препараты, которые могут вызывать брадиаритмию – антрациклины, бортезомиб, циклофосфан, ритуксимаб, ибрутиниб, талидомид. Факторы риска брадикардии, синоатриальной, атриовентрикулярной блокад – перенесенный инфаркт миокарда (особенно нижней локализации), синдромы и Ленегра, гиперкалиемия (в т.</w:t>
      </w:r>
      <w:r w:rsidRPr="004F07FC">
        <w:rPr>
          <w:szCs w:val="24"/>
        </w:rPr>
        <w:t xml:space="preserve"> </w:t>
      </w:r>
      <w:r w:rsidRPr="00DC46B0">
        <w:rPr>
          <w:szCs w:val="24"/>
        </w:rPr>
        <w:t xml:space="preserve">ч., вследствие синдрома лизиса опухоли), старческий возраст. </w:t>
      </w:r>
    </w:p>
    <w:p w14:paraId="547CFAB2" w14:textId="77777777" w:rsidR="0000369C" w:rsidRPr="00DC46B0" w:rsidRDefault="0000369C" w:rsidP="0000369C">
      <w:pPr>
        <w:ind w:firstLine="709"/>
        <w:rPr>
          <w:szCs w:val="24"/>
        </w:rPr>
      </w:pPr>
      <w:r w:rsidRPr="00DC46B0">
        <w:rPr>
          <w:szCs w:val="24"/>
        </w:rPr>
        <w:t>Кардиологическими нежелательными явлениями 1</w:t>
      </w:r>
      <w:r w:rsidRPr="00EB1E6B">
        <w:rPr>
          <w:szCs w:val="24"/>
        </w:rPr>
        <w:t>-</w:t>
      </w:r>
      <w:r w:rsidRPr="00DC46B0">
        <w:rPr>
          <w:szCs w:val="24"/>
        </w:rPr>
        <w:t>2 степени нередко являются АГ и ФП. ФП может возникать на фоне лечения ибрутинибом, циклофосфаном, изофосамидом, мельфаланом, антрациклинами, интерферонами, ритуксимабом, понатинибом. ФП нужно лечить совместно с кардиологом, чаще всего противоопухолевое лечение можно не прерывать. Сложность заключается в профилактике кардиоэмболического синдрома (прежде всего инсульта), возникающего при этом нарушении ритма. Профилактика состоит из назначения антикоагулянтов в соответствии со шкалой CHA</w:t>
      </w:r>
      <w:r w:rsidRPr="00DC46B0">
        <w:rPr>
          <w:szCs w:val="24"/>
          <w:vertAlign w:val="subscript"/>
        </w:rPr>
        <w:t>2</w:t>
      </w:r>
      <w:r w:rsidRPr="00DC46B0">
        <w:rPr>
          <w:szCs w:val="24"/>
        </w:rPr>
        <w:t>DS</w:t>
      </w:r>
      <w:r w:rsidRPr="00DC46B0">
        <w:rPr>
          <w:szCs w:val="24"/>
          <w:vertAlign w:val="subscript"/>
        </w:rPr>
        <w:t>2</w:t>
      </w:r>
      <w:r w:rsidRPr="00DC46B0">
        <w:rPr>
          <w:szCs w:val="24"/>
        </w:rPr>
        <w:t>Vasc. В то же время, при онкогематологических заболеваниях нередко имеется склонность к кровоточивости, а также некоторые препараты, применяемые для лечения этих больных (ибрутиниб) также индуцируют гипокоагуляцию. В таких случаях применяют новые антикоагулянты - ривароксабан, апиксабан, (некоторые авторы предпочитают их дабигатрану). АГ лечится по общим правилам гипотензивной терапии с учетом возможного взаимодействия гипотензивных средств с противоопухолевыми препаратами.</w:t>
      </w:r>
    </w:p>
    <w:p w14:paraId="59AA543B" w14:textId="77777777" w:rsidR="0000369C" w:rsidRDefault="0000369C" w:rsidP="0000369C">
      <w:pPr>
        <w:rPr>
          <w:b/>
          <w:szCs w:val="24"/>
        </w:rPr>
      </w:pPr>
    </w:p>
    <w:p w14:paraId="766E45E7" w14:textId="77777777" w:rsidR="0000369C" w:rsidRPr="004F07FC" w:rsidRDefault="0000369C" w:rsidP="0000369C">
      <w:pPr>
        <w:rPr>
          <w:i/>
          <w:szCs w:val="24"/>
          <w:u w:val="single"/>
        </w:rPr>
      </w:pPr>
      <w:r w:rsidRPr="004F07FC">
        <w:rPr>
          <w:i/>
          <w:szCs w:val="24"/>
          <w:u w:val="single"/>
        </w:rPr>
        <w:t xml:space="preserve">Кардиологическое лечение гематологического пациента. </w:t>
      </w:r>
    </w:p>
    <w:p w14:paraId="7F7CB363" w14:textId="77777777" w:rsidR="0000369C" w:rsidRPr="00DC46B0" w:rsidRDefault="0000369C" w:rsidP="0000369C">
      <w:pPr>
        <w:ind w:firstLine="709"/>
        <w:rPr>
          <w:szCs w:val="24"/>
        </w:rPr>
      </w:pPr>
      <w:r w:rsidRPr="00DC46B0">
        <w:rPr>
          <w:szCs w:val="24"/>
        </w:rPr>
        <w:lastRenderedPageBreak/>
        <w:t xml:space="preserve">Лекарственные препараты для лечения сердечно-сосудистых заболеваний у гематологических пациентов, их комбинации и дозовые режимы подбираются индивидуально в зависимости от показаний, с учетом диагностированного гематологического заболевания и планируемого гематологического лечения. </w:t>
      </w:r>
    </w:p>
    <w:p w14:paraId="6DFAE28F" w14:textId="77777777" w:rsidR="0000369C" w:rsidRPr="00DC46B0" w:rsidRDefault="0000369C" w:rsidP="0000369C">
      <w:pPr>
        <w:ind w:firstLine="709"/>
        <w:rPr>
          <w:szCs w:val="24"/>
        </w:rPr>
      </w:pPr>
      <w:r w:rsidRPr="00DC46B0">
        <w:rPr>
          <w:szCs w:val="24"/>
        </w:rPr>
        <w:t xml:space="preserve">Спектр основных применяемых сердечно-сосудистых препаратов:  </w:t>
      </w:r>
    </w:p>
    <w:p w14:paraId="4CD2830E" w14:textId="77777777" w:rsidR="0000369C" w:rsidRPr="004F07FC" w:rsidRDefault="0000369C" w:rsidP="00C5490F">
      <w:pPr>
        <w:pStyle w:val="afe"/>
        <w:numPr>
          <w:ilvl w:val="0"/>
          <w:numId w:val="124"/>
        </w:numPr>
        <w:rPr>
          <w:szCs w:val="24"/>
        </w:rPr>
      </w:pPr>
      <w:r w:rsidRPr="004F07FC">
        <w:rPr>
          <w:szCs w:val="24"/>
        </w:rPr>
        <w:t xml:space="preserve">Ингибиторы ангиотензинпревращающего фермента – Эналаприл, Периндоприл, Рамиприл,  Лизиноприл, Фозиноприл, Моэксиприл и др. </w:t>
      </w:r>
    </w:p>
    <w:p w14:paraId="42FA9AB6" w14:textId="77777777" w:rsidR="0000369C" w:rsidRPr="004F07FC" w:rsidRDefault="0000369C" w:rsidP="00C5490F">
      <w:pPr>
        <w:pStyle w:val="afe"/>
        <w:numPr>
          <w:ilvl w:val="0"/>
          <w:numId w:val="124"/>
        </w:numPr>
        <w:rPr>
          <w:szCs w:val="24"/>
        </w:rPr>
      </w:pPr>
      <w:r w:rsidRPr="004F07FC">
        <w:rPr>
          <w:szCs w:val="24"/>
        </w:rPr>
        <w:t>Антагонисты рецепторов ангиотензина II – Лозартан, Валсартан, Кандесартан, Телмисартан и др.</w:t>
      </w:r>
    </w:p>
    <w:p w14:paraId="230DFDCD" w14:textId="77777777" w:rsidR="0000369C" w:rsidRPr="004F07FC" w:rsidRDefault="0000369C" w:rsidP="00C5490F">
      <w:pPr>
        <w:pStyle w:val="afe"/>
        <w:numPr>
          <w:ilvl w:val="0"/>
          <w:numId w:val="124"/>
        </w:numPr>
        <w:rPr>
          <w:szCs w:val="24"/>
        </w:rPr>
      </w:pPr>
      <w:r w:rsidRPr="004F07FC">
        <w:rPr>
          <w:szCs w:val="24"/>
        </w:rPr>
        <w:t xml:space="preserve">Ингибиторы ангиотензиновых рецепторов и неприлизина – комбинированное </w:t>
      </w:r>
      <w:r w:rsidRPr="004F07FC">
        <w:rPr>
          <w:rStyle w:val="1f8"/>
          <w:szCs w:val="24"/>
        </w:rPr>
        <w:t xml:space="preserve">гипотензивное средство </w:t>
      </w:r>
      <w:r w:rsidRPr="004F07FC">
        <w:rPr>
          <w:szCs w:val="24"/>
        </w:rPr>
        <w:t>Валсартан /сакубитрил, и др.</w:t>
      </w:r>
    </w:p>
    <w:p w14:paraId="6ACE7876" w14:textId="77777777" w:rsidR="0000369C" w:rsidRPr="004F07FC" w:rsidRDefault="0000369C" w:rsidP="00C5490F">
      <w:pPr>
        <w:pStyle w:val="afe"/>
        <w:numPr>
          <w:ilvl w:val="0"/>
          <w:numId w:val="124"/>
        </w:numPr>
        <w:rPr>
          <w:szCs w:val="24"/>
        </w:rPr>
      </w:pPr>
      <w:r w:rsidRPr="004F07FC">
        <w:rPr>
          <w:szCs w:val="24"/>
        </w:rPr>
        <w:t>Бета-адреноблокаторы – Бисопролол, Метопролол, Карведилол, Небиволол и др.</w:t>
      </w:r>
    </w:p>
    <w:p w14:paraId="0DF042A7" w14:textId="77777777" w:rsidR="0000369C" w:rsidRPr="004F07FC" w:rsidRDefault="0000369C" w:rsidP="00C5490F">
      <w:pPr>
        <w:pStyle w:val="afe"/>
        <w:numPr>
          <w:ilvl w:val="0"/>
          <w:numId w:val="124"/>
        </w:numPr>
        <w:rPr>
          <w:szCs w:val="24"/>
        </w:rPr>
      </w:pPr>
      <w:r w:rsidRPr="004F07FC">
        <w:rPr>
          <w:szCs w:val="24"/>
        </w:rPr>
        <w:t>Антагонисты кальция (дигидропиридины) – Амлодипин, Лерканидипин, Фелодипин и др.</w:t>
      </w:r>
    </w:p>
    <w:p w14:paraId="5539B6D7" w14:textId="77777777" w:rsidR="0000369C" w:rsidRPr="004F07FC" w:rsidRDefault="0000369C" w:rsidP="00C5490F">
      <w:pPr>
        <w:pStyle w:val="afe"/>
        <w:numPr>
          <w:ilvl w:val="0"/>
          <w:numId w:val="124"/>
        </w:numPr>
        <w:rPr>
          <w:szCs w:val="24"/>
        </w:rPr>
      </w:pPr>
      <w:r w:rsidRPr="004F07FC">
        <w:rPr>
          <w:szCs w:val="24"/>
        </w:rPr>
        <w:t>Агонисты имидазолиновых рецепторов – Моксонидин, Рилменидин и др.</w:t>
      </w:r>
    </w:p>
    <w:p w14:paraId="22283C76" w14:textId="77777777" w:rsidR="0000369C" w:rsidRPr="004F07FC" w:rsidRDefault="0000369C" w:rsidP="00C5490F">
      <w:pPr>
        <w:pStyle w:val="afe"/>
        <w:numPr>
          <w:ilvl w:val="0"/>
          <w:numId w:val="124"/>
        </w:numPr>
        <w:rPr>
          <w:szCs w:val="24"/>
        </w:rPr>
      </w:pPr>
      <w:r w:rsidRPr="004F07FC">
        <w:rPr>
          <w:szCs w:val="24"/>
        </w:rPr>
        <w:t>Антикоагулянты – Нефракционированный гепарин, Низкомолекулярные гепарины, витамин К-зависимые антикоагулянты (Варфарин), витамин К-независимые антикоагулянты (Апиксксабан, Ривароксабан, Дабигатран) и др.</w:t>
      </w:r>
    </w:p>
    <w:p w14:paraId="7CA432FC" w14:textId="77777777" w:rsidR="0000369C" w:rsidRPr="004F07FC" w:rsidRDefault="0000369C" w:rsidP="00C5490F">
      <w:pPr>
        <w:pStyle w:val="afe"/>
        <w:numPr>
          <w:ilvl w:val="0"/>
          <w:numId w:val="124"/>
        </w:numPr>
        <w:rPr>
          <w:szCs w:val="24"/>
        </w:rPr>
      </w:pPr>
      <w:r w:rsidRPr="004F07FC">
        <w:rPr>
          <w:szCs w:val="24"/>
        </w:rPr>
        <w:t>Антиагреганты – Аспирин, Клопидогрел и др.</w:t>
      </w:r>
    </w:p>
    <w:p w14:paraId="4244EF9F" w14:textId="77777777" w:rsidR="0000369C" w:rsidRPr="004F07FC" w:rsidRDefault="0000369C" w:rsidP="00C5490F">
      <w:pPr>
        <w:pStyle w:val="afe"/>
        <w:numPr>
          <w:ilvl w:val="0"/>
          <w:numId w:val="124"/>
        </w:numPr>
        <w:rPr>
          <w:szCs w:val="24"/>
        </w:rPr>
      </w:pPr>
      <w:r w:rsidRPr="004F07FC">
        <w:rPr>
          <w:szCs w:val="24"/>
        </w:rPr>
        <w:t>Диуретики – калийсберегающие (Спиронолоктон, Эплеренон и др.), тиазидоподобные (Гидрохлортиазид, Хлорталидон, Клопамид, Индапамид), петлевые (Фуросемид, Торасемид, Этакриновая кислота и др.).</w:t>
      </w:r>
    </w:p>
    <w:p w14:paraId="69A98D30" w14:textId="77777777" w:rsidR="0000369C" w:rsidRPr="004F07FC" w:rsidRDefault="0000369C" w:rsidP="00C5490F">
      <w:pPr>
        <w:pStyle w:val="afe"/>
        <w:numPr>
          <w:ilvl w:val="0"/>
          <w:numId w:val="124"/>
        </w:numPr>
        <w:rPr>
          <w:szCs w:val="24"/>
        </w:rPr>
      </w:pPr>
      <w:r w:rsidRPr="004F07FC">
        <w:rPr>
          <w:szCs w:val="24"/>
        </w:rPr>
        <w:t>Статины – Розувастатин, Симвастатин, Аторвастатин и др.</w:t>
      </w:r>
    </w:p>
    <w:p w14:paraId="289A4FE4" w14:textId="77777777" w:rsidR="0000369C" w:rsidRPr="004F07FC" w:rsidRDefault="0000369C" w:rsidP="00C5490F">
      <w:pPr>
        <w:pStyle w:val="afe"/>
        <w:numPr>
          <w:ilvl w:val="0"/>
          <w:numId w:val="124"/>
        </w:numPr>
        <w:rPr>
          <w:szCs w:val="24"/>
        </w:rPr>
      </w:pPr>
      <w:r w:rsidRPr="004F07FC">
        <w:rPr>
          <w:szCs w:val="24"/>
        </w:rPr>
        <w:t>Антиаритмические средства – Соталол, Амиодарон, Этацизин, Новокаинамид, и др.</w:t>
      </w:r>
    </w:p>
    <w:p w14:paraId="42F7B56B" w14:textId="77777777" w:rsidR="0000369C" w:rsidRPr="004F07FC" w:rsidRDefault="0000369C" w:rsidP="00C5490F">
      <w:pPr>
        <w:pStyle w:val="afe"/>
        <w:numPr>
          <w:ilvl w:val="0"/>
          <w:numId w:val="124"/>
        </w:numPr>
        <w:rPr>
          <w:szCs w:val="24"/>
        </w:rPr>
      </w:pPr>
      <w:r w:rsidRPr="004F07FC">
        <w:rPr>
          <w:szCs w:val="24"/>
        </w:rPr>
        <w:t>Нитровазодилататоры – Изосорбида динитрат, Изосорбида-5-мононитрат, Глицерила тринитрат, и др.</w:t>
      </w:r>
    </w:p>
    <w:p w14:paraId="33F7B0AC" w14:textId="33036278" w:rsidR="0000369C" w:rsidRPr="004F07FC" w:rsidRDefault="0000369C" w:rsidP="00C5490F">
      <w:pPr>
        <w:pStyle w:val="afe"/>
        <w:numPr>
          <w:ilvl w:val="0"/>
          <w:numId w:val="124"/>
        </w:numPr>
        <w:rPr>
          <w:szCs w:val="24"/>
        </w:rPr>
      </w:pPr>
      <w:r w:rsidRPr="004F07FC">
        <w:rPr>
          <w:szCs w:val="24"/>
        </w:rPr>
        <w:t xml:space="preserve">Сердечные гликозиды </w:t>
      </w:r>
    </w:p>
    <w:p w14:paraId="4041986A" w14:textId="77777777" w:rsidR="0000369C" w:rsidRPr="00DC46B0" w:rsidRDefault="0000369C" w:rsidP="0000369C">
      <w:pPr>
        <w:rPr>
          <w:szCs w:val="24"/>
        </w:rPr>
      </w:pPr>
    </w:p>
    <w:p w14:paraId="2F8103DC" w14:textId="037AB26B" w:rsidR="0000369C" w:rsidRDefault="0000369C" w:rsidP="0000369C">
      <w:pPr>
        <w:ind w:firstLine="709"/>
        <w:rPr>
          <w:szCs w:val="24"/>
        </w:rPr>
      </w:pPr>
      <w:r w:rsidRPr="00DC46B0">
        <w:rPr>
          <w:szCs w:val="24"/>
        </w:rPr>
        <w:t>Выбор терапии требует анализа межлекарственных взаимодействий и возможного потенцирования эффектов различных препаратов (кардиологических и гематологических). Для профилактики, диагностики и лечения кардиальной патологии у гематологического пациента необходимо своевременно и адекватно мониторировать функцию сердечно-сосудистой системы и вести пациента во взаимодействии гематолога и кардиолога.</w:t>
      </w:r>
    </w:p>
    <w:p w14:paraId="151B6081" w14:textId="56520017" w:rsidR="0000369C" w:rsidRDefault="0000369C" w:rsidP="0000369C">
      <w:pPr>
        <w:ind w:firstLine="709"/>
        <w:rPr>
          <w:szCs w:val="24"/>
        </w:rPr>
      </w:pPr>
    </w:p>
    <w:p w14:paraId="740450F3" w14:textId="78AC8492" w:rsidR="0000369C" w:rsidRPr="0000369C" w:rsidRDefault="0000369C" w:rsidP="0000369C">
      <w:pPr>
        <w:pStyle w:val="2"/>
      </w:pPr>
      <w:bookmarkStart w:id="68" w:name="_Toc67522255"/>
      <w:r w:rsidRPr="00A7029B">
        <w:lastRenderedPageBreak/>
        <w:t>7.</w:t>
      </w:r>
      <w:r>
        <w:t xml:space="preserve">17 </w:t>
      </w:r>
      <w:r w:rsidRPr="008F721B">
        <w:t>Лечение гематологического пациента в отделении реанимации и интенсивной терапии</w:t>
      </w:r>
      <w:bookmarkEnd w:id="68"/>
    </w:p>
    <w:p w14:paraId="442581C4" w14:textId="77777777" w:rsidR="0000369C" w:rsidRPr="008F721B" w:rsidRDefault="0000369C" w:rsidP="0000369C">
      <w:pPr>
        <w:ind w:firstLine="709"/>
        <w:rPr>
          <w:rFonts w:cs="Times New Roman"/>
          <w:szCs w:val="24"/>
        </w:rPr>
      </w:pPr>
      <w:r w:rsidRPr="008F721B">
        <w:rPr>
          <w:rFonts w:cs="Times New Roman"/>
          <w:szCs w:val="24"/>
        </w:rPr>
        <w:t>У пациентов с гематологическими заболеваниями на этапах диагностики, лечения, наблюдения могут развиваться различные критические состояния вследствие разнообразных причин. Одна из наиболее частых причин, приводящих к этому – цитопения, которая возникает в результате опухолевой инфильтрации костного мозга или по причине проводимой химиотерапии, и может осложниться тяжелой инфекцией (пневмония, сепсис и др.) или жизнеугрожающими кровотечениями. Также при лечении впервые диагностированного онкогематологического заболевания может развиться синдром массивного лизиса</w:t>
      </w:r>
      <w:r w:rsidRPr="00B563E0">
        <w:rPr>
          <w:rFonts w:cs="Times New Roman"/>
          <w:szCs w:val="24"/>
        </w:rPr>
        <w:t xml:space="preserve"> </w:t>
      </w:r>
      <w:r>
        <w:rPr>
          <w:rFonts w:cs="Times New Roman"/>
          <w:szCs w:val="24"/>
        </w:rPr>
        <w:t>опухоли, сопровождающейся</w:t>
      </w:r>
      <w:r w:rsidRPr="008F721B">
        <w:rPr>
          <w:rFonts w:cs="Times New Roman"/>
          <w:szCs w:val="24"/>
        </w:rPr>
        <w:t xml:space="preserve"> острой почечной недостаточностью (ОПН), метаболическими нарушениями, острой дыхательной недостаточностью (ОДН). Для лечения этих критических состояний и поддержания жизнеобеспечения требуется перевод пациентов в отделение реанимации и интенсивной</w:t>
      </w:r>
      <w:r>
        <w:rPr>
          <w:rFonts w:cs="Times New Roman"/>
          <w:szCs w:val="24"/>
        </w:rPr>
        <w:t xml:space="preserve"> терапии (ОРИТ). </w:t>
      </w:r>
    </w:p>
    <w:p w14:paraId="6DF00255" w14:textId="77777777" w:rsidR="0000369C" w:rsidRPr="008F721B" w:rsidRDefault="0000369C" w:rsidP="0000369C">
      <w:pPr>
        <w:ind w:firstLine="708"/>
        <w:rPr>
          <w:rFonts w:cs="Times New Roman"/>
          <w:szCs w:val="24"/>
        </w:rPr>
      </w:pPr>
      <w:r w:rsidRPr="008F721B">
        <w:rPr>
          <w:rFonts w:cs="Times New Roman"/>
          <w:szCs w:val="24"/>
        </w:rPr>
        <w:t xml:space="preserve">Интенсивная терапия критических состояний, возникших у пациентов с онкогематологическими заболеваниями во время химиотерапии (ХТ), – это нередко единственный путь к их излечению, в ней нуждается почти четверть больных с гемобластозами, без нее невозможно полноценно реализовать индукционную химиотерапию у больных с жизнеугрожающими состояниями. </w:t>
      </w:r>
    </w:p>
    <w:p w14:paraId="2B9677AF" w14:textId="77777777" w:rsidR="0000369C" w:rsidRPr="003C0A4C" w:rsidRDefault="0000369C" w:rsidP="0000369C">
      <w:pPr>
        <w:ind w:firstLine="708"/>
        <w:rPr>
          <w:rFonts w:cs="Times New Roman"/>
          <w:szCs w:val="24"/>
        </w:rPr>
      </w:pPr>
      <w:r w:rsidRPr="008F721B">
        <w:rPr>
          <w:rFonts w:cs="Times New Roman"/>
          <w:szCs w:val="24"/>
        </w:rPr>
        <w:t xml:space="preserve">Необходимость создания специализированных ОРИТ для гематологических пациентов обусловлена как высокой частотой развития критических осложнений во время индукционных курсов ХТ, так и успешным лечением этих осложнений и последующей благоприятной долгосрочной перспективой при достижении ремиссии заболевания. Наличие критических синдромов и жизнеугрожающих состояний не является противопоказанием для проведения ХТ. Так, от 15% до 47% больных </w:t>
      </w:r>
      <w:r w:rsidRPr="003C0A4C">
        <w:rPr>
          <w:rFonts w:cs="Times New Roman"/>
          <w:szCs w:val="24"/>
        </w:rPr>
        <w:t xml:space="preserve">онкогематологическими заболеваниями нуждаются в переводе в ОРИТ во время лечения (таб. 1). </w:t>
      </w:r>
    </w:p>
    <w:p w14:paraId="467A3157" w14:textId="77777777" w:rsidR="0000369C" w:rsidRPr="003C0A4C" w:rsidRDefault="0000369C" w:rsidP="0000369C">
      <w:pPr>
        <w:rPr>
          <w:rFonts w:cs="Times New Roman"/>
          <w:szCs w:val="24"/>
        </w:rPr>
      </w:pPr>
    </w:p>
    <w:p w14:paraId="58C3BC5B" w14:textId="77777777" w:rsidR="0000369C" w:rsidRPr="008F721B" w:rsidRDefault="0000369C" w:rsidP="0000369C">
      <w:pPr>
        <w:rPr>
          <w:rFonts w:cs="Times New Roman"/>
          <w:szCs w:val="24"/>
        </w:rPr>
      </w:pPr>
      <w:r w:rsidRPr="003C0A4C">
        <w:rPr>
          <w:rFonts w:cs="Times New Roman"/>
          <w:szCs w:val="24"/>
        </w:rPr>
        <w:t>Таблица 1. Потребность в переводе в ОРИТ пациентов с острыми миелоидными лейкозами</w:t>
      </w:r>
      <w:r w:rsidRPr="008F721B">
        <w:rPr>
          <w:rFonts w:cs="Times New Roman"/>
          <w:szCs w:val="24"/>
        </w:rPr>
        <w:t xml:space="preserve"> (ОМЛ)</w:t>
      </w:r>
    </w:p>
    <w:tbl>
      <w:tblPr>
        <w:tblStyle w:val="aff9"/>
        <w:tblW w:w="4914" w:type="pct"/>
        <w:tblLook w:val="04A0" w:firstRow="1" w:lastRow="0" w:firstColumn="1" w:lastColumn="0" w:noHBand="0" w:noVBand="1"/>
      </w:tblPr>
      <w:tblGrid>
        <w:gridCol w:w="3995"/>
        <w:gridCol w:w="5190"/>
      </w:tblGrid>
      <w:tr w:rsidR="0000369C" w:rsidRPr="009D0B15" w14:paraId="46348E11" w14:textId="77777777" w:rsidTr="001C46FD">
        <w:trPr>
          <w:trHeight w:val="1014"/>
        </w:trPr>
        <w:tc>
          <w:tcPr>
            <w:tcW w:w="2175" w:type="pct"/>
            <w:vAlign w:val="center"/>
          </w:tcPr>
          <w:p w14:paraId="681DE285" w14:textId="77777777" w:rsidR="0000369C" w:rsidRPr="009D0B15" w:rsidRDefault="0000369C" w:rsidP="001C46FD">
            <w:pPr>
              <w:jc w:val="center"/>
              <w:rPr>
                <w:rFonts w:cs="Times New Roman"/>
                <w:szCs w:val="24"/>
              </w:rPr>
            </w:pPr>
            <w:r w:rsidRPr="009D0B15">
              <w:rPr>
                <w:rFonts w:cs="Times New Roman"/>
                <w:szCs w:val="24"/>
              </w:rPr>
              <w:t>Источник</w:t>
            </w:r>
          </w:p>
        </w:tc>
        <w:tc>
          <w:tcPr>
            <w:tcW w:w="2825" w:type="pct"/>
          </w:tcPr>
          <w:p w14:paraId="5D8804FF" w14:textId="77777777" w:rsidR="0000369C" w:rsidRPr="009D0B15" w:rsidRDefault="0000369C" w:rsidP="001C46FD">
            <w:pPr>
              <w:jc w:val="center"/>
              <w:rPr>
                <w:rFonts w:cs="Times New Roman"/>
                <w:szCs w:val="24"/>
              </w:rPr>
            </w:pPr>
            <w:r w:rsidRPr="009D0B15">
              <w:rPr>
                <w:rFonts w:cs="Times New Roman"/>
                <w:szCs w:val="24"/>
              </w:rPr>
              <w:t>Доля пациентов, переведенных в ОРИТ (%)</w:t>
            </w:r>
          </w:p>
        </w:tc>
      </w:tr>
      <w:tr w:rsidR="0000369C" w:rsidRPr="009D0B15" w14:paraId="4B693BF0" w14:textId="77777777" w:rsidTr="001C46FD">
        <w:trPr>
          <w:trHeight w:val="1014"/>
        </w:trPr>
        <w:tc>
          <w:tcPr>
            <w:tcW w:w="2175" w:type="pct"/>
          </w:tcPr>
          <w:p w14:paraId="693AFD70" w14:textId="2ADC696A" w:rsidR="0000369C" w:rsidRPr="009D0B15" w:rsidRDefault="0000369C" w:rsidP="001C46FD">
            <w:pPr>
              <w:rPr>
                <w:rFonts w:cs="Times New Roman"/>
                <w:szCs w:val="24"/>
              </w:rPr>
            </w:pPr>
            <w:r w:rsidRPr="009D0B15">
              <w:rPr>
                <w:rFonts w:cs="Times New Roman"/>
                <w:szCs w:val="24"/>
                <w:lang w:val="en-US"/>
              </w:rPr>
              <w:t xml:space="preserve">Roze des Ordons A. </w:t>
            </w:r>
            <w:r w:rsidRPr="009D0B15">
              <w:rPr>
                <w:rFonts w:cs="Times New Roman"/>
                <w:szCs w:val="24"/>
              </w:rPr>
              <w:t>и</w:t>
            </w:r>
            <w:r w:rsidRPr="009D0B15">
              <w:rPr>
                <w:rFonts w:cs="Times New Roman"/>
                <w:szCs w:val="24"/>
                <w:lang w:val="en-US"/>
              </w:rPr>
              <w:t xml:space="preserve"> </w:t>
            </w:r>
            <w:r w:rsidRPr="009D0B15">
              <w:rPr>
                <w:rFonts w:cs="Times New Roman"/>
                <w:szCs w:val="24"/>
              </w:rPr>
              <w:t>соавт</w:t>
            </w:r>
            <w:r w:rsidRPr="009D0B15">
              <w:rPr>
                <w:rFonts w:cs="Times New Roman"/>
                <w:szCs w:val="24"/>
                <w:lang w:val="en-US"/>
              </w:rPr>
              <w:t xml:space="preserve">., 2010 </w:t>
            </w:r>
            <w:r w:rsidRPr="009D0B15">
              <w:rPr>
                <w:rFonts w:cs="Times New Roman"/>
                <w:szCs w:val="24"/>
              </w:rPr>
              <w:fldChar w:fldCharType="begin" w:fldLock="1"/>
            </w:r>
            <w:r>
              <w:rPr>
                <w:rFonts w:cs="Times New Roman"/>
                <w:szCs w:val="24"/>
                <w:lang w:val="en-US"/>
              </w:rPr>
              <w:instrText>ADDIN CSL_CITATION {"citationItems":[{"id":"ITEM-1","itemData":{"DOI":"10.1186/1471-2407-10-516","ISSN":"14712407","PMID":"20920175","abstract":"Background: There is limited epidemiologic data on patients with acute myelogenous (myeloid) leukemia (AML) requiring life-sustaining therapies in the intensive care unit (ICU). Our objectives were to describe the clinical characteristics and outcomes in critically ill AML patients.Methods: This was a retrospective case-control study. Cases were defined as adult patients with a primary diagnosis of AML admitted to ICU at the University of Alberta Hospital between January 1st2002 and June 30th2008. Each case was matched by age, sex, and illness severity (ICU only) to two control groups: hospitalized AML controls, and non-AML ICU controls. Data were extracted on demographics, course of hospitalization, and clinical outcomes.Results: In total, 45 AML patients with available data were admitted to ICU. Mean (SD) age was 54.8 (13.1) years and 28.9% were female. Primary diagnoses were sepsis (32.6%) and respiratory failure (37.3%). Mean (SD) APACHE II score was 30.3 (10.3), SOFA score 12.6 (4.0) with 62.2% receiving mechanical ventilation, 55.6% vasoactive therapy, and 26.7% renal replacement therapy. Crude in-hospital, 90-day and 1-year mortality was 44.4%, 51.1% and 71.1%, respectively. AML cases had significantly higher adjusted-hazards of death (HR 2.23; 95% CI, 1.38-3.60, p = 0.001) compared to both non-AML ICU controls (HR 1.69; 95% CI, 1.11-2.58, p = 0.02) and hospitalized AML controls (OR 1.0, reference variable). Factors associated with ICU mortality by univariate analysis included older age, AML subtype, higher baseline SOFA score, no change or an increase in early SOFA score, shock, vasoactive therapy and mechanical ventilation. Active chemotherapy in ICU was associated with lower mortality.Conclusions: AML patients may represent a minority of all critically ill admissions; however, are not uncommonly supported in ICU. These AML patients are characterized by high illness severity, multi-organ dysfunction, and high treatment intensity and have a higher risk of death when compared with matched hospitalized AML or non-AML ICU controls. The absence of early improvement in organ failure may be a useful predictor for mortality for AML patients admitted to ICU. © 2010 Roze des Ordons et al; licensee BioMed Central Ltd.","author":[{"dropping-particle":"","family":"Roze des Ordons","given":"Amanda L.","non-dropping-particle":"","parse-names":false,"suffix":""},{"dropping-particle":"","family":"Chan","given":"Kris","non-dropping-particle":"","parse-names":false,"suffix":""},{"dropping-particle":"","family":"Mirza","given":"Imran","non-dropping-particle":"","parse-names":false,"suffix":""},{"dropping-particle":"","family":"Townsend","given":"Derek R.","non-dropping-particle":"","parse-names":false,"suffix":""},{"dropping-particle":"","family":"Bagshaw","given":"Sean M.","non-dropping-particle":"","parse-names":false,"suffix":""}],"container-title":"BMC Cancer","id":"ITEM-1","issued":{"date-parts":[["2010","9","28"]]},"page":"516","title":"Clinical characteristics and outcomes of patients with acute myelogenous leukemia admitted to intensive care: A case-control study","type":"article-journal","volume":"10"},"uris":["http://www.mendeley.com/documents/?uuid=de27b039-3812-4b08-96fa-07054eeb2151"]}],"mendeley":{"formattedCitation":"[111]","plainTextFormattedCitation":"[111]","previouslyFormattedCitation":"[111]"},"properties":{"noteIndex":0},"schema":"https://github.com/citation-style-language/schema/raw/master/csl-citation.json"}</w:instrText>
            </w:r>
            <w:r w:rsidRPr="009D0B15">
              <w:rPr>
                <w:rFonts w:cs="Times New Roman"/>
                <w:szCs w:val="24"/>
              </w:rPr>
              <w:fldChar w:fldCharType="separate"/>
            </w:r>
            <w:r w:rsidRPr="0000369C">
              <w:rPr>
                <w:rFonts w:cs="Times New Roman"/>
                <w:noProof/>
                <w:szCs w:val="24"/>
              </w:rPr>
              <w:t>[111]</w:t>
            </w:r>
            <w:r w:rsidRPr="009D0B15">
              <w:rPr>
                <w:rFonts w:cs="Times New Roman"/>
                <w:szCs w:val="24"/>
              </w:rPr>
              <w:fldChar w:fldCharType="end"/>
            </w:r>
            <w:r w:rsidRPr="009D0B15">
              <w:rPr>
                <w:rFonts w:cs="Times New Roman"/>
                <w:szCs w:val="24"/>
              </w:rPr>
              <w:t xml:space="preserve"> </w:t>
            </w:r>
          </w:p>
        </w:tc>
        <w:tc>
          <w:tcPr>
            <w:tcW w:w="2825" w:type="pct"/>
          </w:tcPr>
          <w:p w14:paraId="171994AC" w14:textId="77777777" w:rsidR="0000369C" w:rsidRPr="009D0B15" w:rsidRDefault="0000369C" w:rsidP="001C46FD">
            <w:pPr>
              <w:jc w:val="center"/>
              <w:rPr>
                <w:rFonts w:cs="Times New Roman"/>
                <w:szCs w:val="24"/>
              </w:rPr>
            </w:pPr>
            <w:r w:rsidRPr="009D0B15">
              <w:rPr>
                <w:rFonts w:cs="Times New Roman"/>
                <w:szCs w:val="24"/>
              </w:rPr>
              <w:t>13%</w:t>
            </w:r>
          </w:p>
        </w:tc>
      </w:tr>
      <w:tr w:rsidR="0000369C" w:rsidRPr="009D0B15" w14:paraId="48592BEE" w14:textId="77777777" w:rsidTr="001C46FD">
        <w:trPr>
          <w:trHeight w:val="989"/>
        </w:trPr>
        <w:tc>
          <w:tcPr>
            <w:tcW w:w="2175" w:type="pct"/>
          </w:tcPr>
          <w:p w14:paraId="1F2D3B88" w14:textId="74E1273F" w:rsidR="0000369C" w:rsidRPr="009D0B15" w:rsidRDefault="0000369C" w:rsidP="001C46FD">
            <w:pPr>
              <w:rPr>
                <w:rFonts w:cs="Times New Roman"/>
                <w:szCs w:val="24"/>
              </w:rPr>
            </w:pPr>
            <w:r w:rsidRPr="009D0B15">
              <w:rPr>
                <w:rFonts w:cs="Times New Roman"/>
                <w:szCs w:val="24"/>
              </w:rPr>
              <w:lastRenderedPageBreak/>
              <w:t xml:space="preserve">Schellongowski P. и соавт., 2011 </w:t>
            </w:r>
            <w:r w:rsidRPr="009D0B15">
              <w:rPr>
                <w:rFonts w:cs="Times New Roman"/>
                <w:szCs w:val="24"/>
              </w:rPr>
              <w:fldChar w:fldCharType="begin" w:fldLock="1"/>
            </w:r>
            <w:r>
              <w:rPr>
                <w:rFonts w:cs="Times New Roman"/>
                <w:szCs w:val="24"/>
              </w:rPr>
              <w:instrText>ADDIN CSL_CITATION {"citationItems":[{"id":"ITEM-1","itemData":{"DOI":"10.3324/haematol.2010.031583","ISBN":"1592-8721","ISSN":"03906078","PMID":"21071501","abstract":"Acute myeloid leukemia is a life-threatening disease associated with high mortality rates. A substantial number of patients require intensive care. This investigation analyzes risk factors predicting admission to the intensive care unit in patients with acute myeloid leukemia eligible for induction chemotherapy, the outcome of these patients, and prognostic factors predicting their survival.","author":[{"dropping-particle":"","family":"Schellongowski","given":"Peter","non-dropping-particle":"","parse-names":false,"suffix":""},{"dropping-particle":"","family":"Staudinger","given":"Thomas","non-dropping-particle":"","parse-names":false,"suffix":""},{"dropping-particle":"","family":"Kundi","given":"Michael","non-dropping-particle":"","parse-names":false,"suffix":""},{"dropping-particle":"","family":"Laczika","given":"Klaus","non-dropping-particle":"","parse-names":false,"suffix":""},{"dropping-particle":"","family":"Locker","given":"Gottfried J.","non-dropping-particle":"","parse-names":false,"suffix":""},{"dropping-particle":"","family":"Bojic","given":"Andja","non-dropping-particle":"","parse-names":false,"suffix":""},{"dropping-particle":"","family":"Robak","given":"Oliver","non-dropping-particle":"","parse-names":false,"suffix":""},{"dropping-particle":"","family":"Fuhrmann","given":"Valentin","non-dropping-particle":"","parse-names":false,"suffix":""},{"dropping-particle":"","family":"Jäger","given":"Ulrich","non-dropping-particle":"","parse-names":false,"suffix":""},{"dropping-particle":"","family":"Valent","given":"Peter","non-dropping-particle":"","parse-names":false,"suffix":""},{"dropping-particle":"","family":"Sperr","given":"Wolfgang R.","non-dropping-particle":"","parse-names":false,"suffix":""}],"container-title":"Haematologica","id":"ITEM-1","issue":"2","issued":{"date-parts":[["2011","2"]]},"page":"231-237","title":"Prognostic factors for intensive care unit admission, intensive care outcome, and post-intensive care survival in patients with de novo acute myeloid leukemia: a single center experience","type":"article-journal","volume":"96"},"uris":["http://www.mendeley.com/documents/?uuid=7251567b-1fba-40bf-b96a-3bcd8583314e"]}],"mendeley":{"formattedCitation":"[112]","plainTextFormattedCitation":"[112]","previouslyFormattedCitation":"[112]"},"properties":{"noteIndex":0},"schema":"https://github.com/citation-style-language/schema/raw/master/csl-citation.json"}</w:instrText>
            </w:r>
            <w:r w:rsidRPr="009D0B15">
              <w:rPr>
                <w:rFonts w:cs="Times New Roman"/>
                <w:szCs w:val="24"/>
              </w:rPr>
              <w:fldChar w:fldCharType="separate"/>
            </w:r>
            <w:r w:rsidRPr="0000369C">
              <w:rPr>
                <w:rFonts w:cs="Times New Roman"/>
                <w:noProof/>
                <w:szCs w:val="24"/>
              </w:rPr>
              <w:t>[112]</w:t>
            </w:r>
            <w:r w:rsidRPr="009D0B15">
              <w:rPr>
                <w:rFonts w:cs="Times New Roman"/>
                <w:szCs w:val="24"/>
              </w:rPr>
              <w:fldChar w:fldCharType="end"/>
            </w:r>
          </w:p>
        </w:tc>
        <w:tc>
          <w:tcPr>
            <w:tcW w:w="2825" w:type="pct"/>
          </w:tcPr>
          <w:p w14:paraId="2551A5FA" w14:textId="77777777" w:rsidR="0000369C" w:rsidRPr="009D0B15" w:rsidRDefault="0000369C" w:rsidP="001C46FD">
            <w:pPr>
              <w:jc w:val="center"/>
              <w:rPr>
                <w:rFonts w:cs="Times New Roman"/>
                <w:szCs w:val="24"/>
              </w:rPr>
            </w:pPr>
            <w:r w:rsidRPr="009D0B15">
              <w:rPr>
                <w:rFonts w:cs="Times New Roman"/>
                <w:szCs w:val="24"/>
              </w:rPr>
              <w:t>15,6%</w:t>
            </w:r>
          </w:p>
        </w:tc>
      </w:tr>
      <w:tr w:rsidR="0000369C" w:rsidRPr="009D0B15" w14:paraId="490FB119" w14:textId="77777777" w:rsidTr="001C46FD">
        <w:trPr>
          <w:trHeight w:val="494"/>
        </w:trPr>
        <w:tc>
          <w:tcPr>
            <w:tcW w:w="2175" w:type="pct"/>
          </w:tcPr>
          <w:p w14:paraId="1FF72793" w14:textId="11792850" w:rsidR="0000369C" w:rsidRPr="009D0B15" w:rsidRDefault="0000369C" w:rsidP="001C46FD">
            <w:pPr>
              <w:rPr>
                <w:rFonts w:cs="Times New Roman"/>
                <w:szCs w:val="24"/>
              </w:rPr>
            </w:pPr>
            <w:r w:rsidRPr="009D0B15">
              <w:rPr>
                <w:rFonts w:cs="Times New Roman"/>
                <w:szCs w:val="24"/>
              </w:rPr>
              <w:t xml:space="preserve">Lengline E. и соавт., 2012 </w:t>
            </w:r>
            <w:r w:rsidRPr="009D0B15">
              <w:rPr>
                <w:rFonts w:cs="Times New Roman"/>
                <w:szCs w:val="24"/>
              </w:rPr>
              <w:fldChar w:fldCharType="begin" w:fldLock="1"/>
            </w:r>
            <w:r>
              <w:rPr>
                <w:rFonts w:cs="Times New Roman"/>
                <w:szCs w:val="24"/>
              </w:rPr>
              <w:instrText>ADDIN CSL_CITATION {"citationItems":[{"id":"ITEM-1","itemData":{"DOI":"10.3109/10428194.2011.649752","PMID":"22233111","abstract":"Patients with acute myeloid leukemia (AML) may present with early complications from sepsis or leukemic infiltration. Benefits from early in-intensive care unit (ICU) hematological management was evaluated in 42 adults with newly diagnosed AML with hematological risk of early death (age 46 years, French-American-British [FAB] M4/5 58%, leukocytes 103 × 109/L) first admitted to the ICU without immediate life support (early-ICU). Controls were 42 patients primarily admitted to hematology wards, matched for age, leukocytes and FAB subtype. Twenty (47.6%) control patients were subsequently admitted to the ICU (late-ICU). Late-ICU patients presented with increased respiratory and cardiac rates, decreased oxygen saturation (SpO2) and blood pressure, at hospital admission. Late-ICU admission resulted in increased use of mechanical ventilation (60% vs. 33%) and vasopressors (60% vs. 16%), longer ICU stay (9 [6-25] vs. 5 [2-9] days) and decreased ICU survival (65% vs. 79%). Direct admission to the ICU of patients with high-risk AML with physiological disturbances but no organ dysfunction is associated with improved outcomes. © 2012 Informa UK, Ltd.","author":[{"dropping-particle":"","family":"Lengliné","given":"Etienne","non-dropping-particle":"","parse-names":false,"suffix":""},{"dropping-particle":"","family":"Raffoux","given":"Emmanuel","non-dropping-particle":"","parse-names":false,"suffix":""},{"dropping-particle":"","family":"Lemiale","given":"Virginie","non-dropping-particle":"","parse-names":false,"suffix":""},{"dropping-particle":"","family":"Darmon","given":"Michael","non-dropping-particle":"","parse-names":false,"suffix":""},{"dropping-particle":"","family":"Canet","given":"Emmanuel","non-dropping-particle":"","parse-names":false,"suffix":""},{"dropping-particle":"","family":"Boissel","given":"Nicolas","non-dropping-particle":"","parse-names":false,"suffix":""},{"dropping-particle":"","family":"Schlemmer","given":"Benoît","non-dropping-particle":"","parse-names":false,"suffix":""},{"dropping-particle":"","family":"Dombret","given":"Hervé","non-dropping-particle":"","parse-names":false,"suffix":""},{"dropping-particle":"","family":"Azoulay","given":"Elie","non-dropping-particle":"","parse-names":false,"suffix":""}],"container-title":"Leukemia and Lymphoma","id":"ITEM-1","issue":"7","issued":{"date-parts":[["2012","7"]]},"page":"1352-1359","publisher":"Leuk Lymphoma","title":"Intensive care unit management of patients with newly diagnosed acute myeloid leukemia with no organ failure","type":"article-journal","volume":"53"},"uris":["http://www.mendeley.com/documents/?uuid=582c8f9c-fe0f-4501-acd7-a5c2928f9ff7"]}],"mendeley":{"formattedCitation":"[113]","plainTextFormattedCitation":"[113]","previouslyFormattedCitation":"[113]"},"properties":{"noteIndex":0},"schema":"https://github.com/citation-style-language/schema/raw/master/csl-citation.json"}</w:instrText>
            </w:r>
            <w:r w:rsidRPr="009D0B15">
              <w:rPr>
                <w:rFonts w:cs="Times New Roman"/>
                <w:szCs w:val="24"/>
              </w:rPr>
              <w:fldChar w:fldCharType="separate"/>
            </w:r>
            <w:r w:rsidRPr="0000369C">
              <w:rPr>
                <w:rFonts w:cs="Times New Roman"/>
                <w:noProof/>
                <w:szCs w:val="24"/>
              </w:rPr>
              <w:t>[113]</w:t>
            </w:r>
            <w:r w:rsidRPr="009D0B15">
              <w:rPr>
                <w:rFonts w:cs="Times New Roman"/>
                <w:szCs w:val="24"/>
              </w:rPr>
              <w:fldChar w:fldCharType="end"/>
            </w:r>
          </w:p>
        </w:tc>
        <w:tc>
          <w:tcPr>
            <w:tcW w:w="2825" w:type="pct"/>
          </w:tcPr>
          <w:p w14:paraId="67B5EB45" w14:textId="77777777" w:rsidR="0000369C" w:rsidRPr="009D0B15" w:rsidRDefault="0000369C" w:rsidP="001C46FD">
            <w:pPr>
              <w:jc w:val="center"/>
              <w:rPr>
                <w:rFonts w:cs="Times New Roman"/>
                <w:szCs w:val="24"/>
              </w:rPr>
            </w:pPr>
            <w:r w:rsidRPr="009D0B15">
              <w:rPr>
                <w:rFonts w:cs="Times New Roman"/>
                <w:szCs w:val="24"/>
              </w:rPr>
              <w:t>47,6%</w:t>
            </w:r>
          </w:p>
        </w:tc>
      </w:tr>
      <w:tr w:rsidR="0000369C" w:rsidRPr="009D0B15" w14:paraId="1D2F14F6" w14:textId="77777777" w:rsidTr="001C46FD">
        <w:trPr>
          <w:trHeight w:val="494"/>
        </w:trPr>
        <w:tc>
          <w:tcPr>
            <w:tcW w:w="2175" w:type="pct"/>
          </w:tcPr>
          <w:p w14:paraId="7A09EFA9" w14:textId="6F4D36CB" w:rsidR="0000369C" w:rsidRPr="009D0B15" w:rsidRDefault="0000369C" w:rsidP="001C46FD">
            <w:pPr>
              <w:rPr>
                <w:rFonts w:cs="Times New Roman"/>
                <w:szCs w:val="24"/>
              </w:rPr>
            </w:pPr>
            <w:r w:rsidRPr="009D0B15">
              <w:rPr>
                <w:rFonts w:cs="Times New Roman"/>
                <w:szCs w:val="24"/>
              </w:rPr>
              <w:t>Ja</w:t>
            </w:r>
            <w:r w:rsidRPr="009D0B15">
              <w:rPr>
                <w:rFonts w:cs="Times New Roman"/>
                <w:szCs w:val="24"/>
                <w:lang w:val="en-US"/>
              </w:rPr>
              <w:t>c</w:t>
            </w:r>
            <w:r w:rsidRPr="009D0B15">
              <w:rPr>
                <w:rFonts w:cs="Times New Roman"/>
                <w:szCs w:val="24"/>
              </w:rPr>
              <w:t>kson K. и соавт., 201</w:t>
            </w:r>
            <w:r w:rsidRPr="009D0B15">
              <w:rPr>
                <w:rFonts w:cs="Times New Roman"/>
                <w:szCs w:val="24"/>
                <w:lang w:val="en-US"/>
              </w:rPr>
              <w:t>3</w:t>
            </w:r>
            <w:r w:rsidRPr="009D0B15">
              <w:rPr>
                <w:rFonts w:cs="Times New Roman"/>
                <w:szCs w:val="24"/>
              </w:rPr>
              <w:t xml:space="preserve"> </w:t>
            </w:r>
            <w:r w:rsidRPr="009D0B15">
              <w:rPr>
                <w:rFonts w:cs="Times New Roman"/>
                <w:szCs w:val="24"/>
              </w:rPr>
              <w:fldChar w:fldCharType="begin" w:fldLock="1"/>
            </w:r>
            <w:r>
              <w:rPr>
                <w:rFonts w:cs="Times New Roman"/>
                <w:szCs w:val="24"/>
              </w:rPr>
              <w:instrText>ADDIN CSL_CITATION {"citationItems":[{"id":"ITEM-1","itemData":{"DOI":"10.3109/10428194.2013.796045","ISBN":"6173176211","ISSN":"1029-2403","PMID":"23597137","abstract":"Patients receiving treatment for acute myeloid leukemia (AML) commonly experience life-threatening complications requiring intensive care unit (ICU) support. This is a retrospective study of 505 patients with newly diagnosed AML who were treated with intensive chemotherapy between January 1999 and December 2010. Eighty-three patients (16.4%) were identified who had required 92 ICU admissions. The indication for ICU admission was hemodynamic instability in 47.0% of patients and respiratory impairment in 42.2%. The underlying pathology was most commonly infection (77.1%). Vasopressors were required in 67.5% of admissions, mechanical ventilation in 60.2% and hemodialysis in 15.7%. Rates of survival to hospital discharge and 12 months were 59.0% and 41.3%, respectively. Mechanical ventilation use and higher fibrinogen were independently associated with mortality prior to hospital discharge, and mechanical ventilation use and AML cytogenetic risk group were predictive of mortality within 12 months of ICU admission. By providing a more accurate estimation of a patient's chance of recovery, such prognostic factors may contribute to decision-making about the appropriateness of admission to the ICU or continuation of intensive life-sustaining measures.","author":[{"dropping-particle":"","family":"Jackson","given":"Kathryn","non-dropping-particle":"","parse-names":false,"suffix":""},{"dropping-particle":"","family":"Mollee","given":"Peter","non-dropping-particle":"","parse-names":false,"suffix":""},{"dropping-particle":"","family":"Morris","given":"Kirk","non-dropping-particle":"","parse-names":false,"suffix":""},{"dropping-particle":"","family":"Butler","given":"Jason","non-dropping-particle":"","parse-names":false,"suffix":""},{"dropping-particle":"","family":"Jackson","given":"Dwane","non-dropping-particle":"","parse-names":false,"suffix":""},{"dropping-particle":"","family":"Kruger","given":"Peter","non-dropping-particle":"","parse-names":false,"suffix":""},{"dropping-particle":"","family":"Klein","given":"Kerenaftali","non-dropping-particle":"","parse-names":false,"suffix":""},{"dropping-particle":"","family":"Kennedy","given":"Glen","non-dropping-particle":"","parse-names":false,"suffix":""}],"container-title":"Leukemia &amp; lymphoma","id":"ITEM-1","issue":"April","issued":{"date-parts":[["2013","1"]]},"page":"1-8","publisher":"Leuk Lymphoma","title":"Outcomes and prognostic factors for patients with acute myeloid leukemia admitted to the intensive care unit","type":"article-journal","volume":"55"},"uris":["http://www.mendeley.com/documents/?uuid=af5715ea-f420-4629-9acb-36739876454f"]}],"mendeley":{"formattedCitation":"[114]","plainTextFormattedCitation":"[114]","previouslyFormattedCitation":"[114]"},"properties":{"noteIndex":0},"schema":"https://github.com/citation-style-language/schema/raw/master/csl-citation.json"}</w:instrText>
            </w:r>
            <w:r w:rsidRPr="009D0B15">
              <w:rPr>
                <w:rFonts w:cs="Times New Roman"/>
                <w:szCs w:val="24"/>
              </w:rPr>
              <w:fldChar w:fldCharType="separate"/>
            </w:r>
            <w:r w:rsidRPr="0000369C">
              <w:rPr>
                <w:rFonts w:cs="Times New Roman"/>
                <w:noProof/>
                <w:szCs w:val="24"/>
              </w:rPr>
              <w:t>[114]</w:t>
            </w:r>
            <w:r w:rsidRPr="009D0B15">
              <w:rPr>
                <w:rFonts w:cs="Times New Roman"/>
                <w:szCs w:val="24"/>
              </w:rPr>
              <w:fldChar w:fldCharType="end"/>
            </w:r>
            <w:r w:rsidRPr="009D0B15">
              <w:rPr>
                <w:rFonts w:cs="Times New Roman"/>
                <w:szCs w:val="24"/>
              </w:rPr>
              <w:t xml:space="preserve"> </w:t>
            </w:r>
          </w:p>
        </w:tc>
        <w:tc>
          <w:tcPr>
            <w:tcW w:w="2825" w:type="pct"/>
          </w:tcPr>
          <w:p w14:paraId="6A3C0F97" w14:textId="77777777" w:rsidR="0000369C" w:rsidRPr="009D0B15" w:rsidRDefault="0000369C" w:rsidP="001C46FD">
            <w:pPr>
              <w:jc w:val="center"/>
              <w:rPr>
                <w:rFonts w:cs="Times New Roman"/>
                <w:szCs w:val="24"/>
              </w:rPr>
            </w:pPr>
            <w:r w:rsidRPr="009D0B15">
              <w:rPr>
                <w:rFonts w:cs="Times New Roman"/>
                <w:szCs w:val="24"/>
              </w:rPr>
              <w:t>16,4%</w:t>
            </w:r>
          </w:p>
        </w:tc>
      </w:tr>
      <w:tr w:rsidR="0000369C" w:rsidRPr="009D0B15" w14:paraId="13B51A54" w14:textId="77777777" w:rsidTr="001C46FD">
        <w:trPr>
          <w:trHeight w:val="518"/>
        </w:trPr>
        <w:tc>
          <w:tcPr>
            <w:tcW w:w="2175" w:type="pct"/>
          </w:tcPr>
          <w:p w14:paraId="3243D392" w14:textId="3A127FEB" w:rsidR="0000369C" w:rsidRPr="009D0B15" w:rsidRDefault="0000369C" w:rsidP="001C46FD">
            <w:pPr>
              <w:rPr>
                <w:rFonts w:cs="Times New Roman"/>
                <w:szCs w:val="24"/>
              </w:rPr>
            </w:pPr>
            <w:r w:rsidRPr="009D0B15">
              <w:rPr>
                <w:rFonts w:cs="Times New Roman"/>
                <w:szCs w:val="24"/>
              </w:rPr>
              <w:t xml:space="preserve">Pohlen M. и соавт., 2016 </w:t>
            </w:r>
            <w:r w:rsidRPr="009D0B15">
              <w:rPr>
                <w:rFonts w:cs="Times New Roman"/>
                <w:szCs w:val="24"/>
              </w:rPr>
              <w:fldChar w:fldCharType="begin" w:fldLock="1"/>
            </w:r>
            <w:r>
              <w:rPr>
                <w:rFonts w:cs="Times New Roman"/>
                <w:szCs w:val="24"/>
              </w:rPr>
              <w:instrText>ADDIN CSL_CITATION {"citationItems":[{"id":"ITEM-1","itemData":{"DOI":"10.1371/journal.pone.0160871","ISSN":"19326203","PMID":"27575819","abstract":"Background: This retrospective, multicenter study aimed to reveal risk predictors for mortality in the intensive care unit (ICU) as well as survival after ICU discharge in patients with acute myeloid leukemia (AML) requiring treatment in the ICU. Methods and Results: Multivariate analysis of data for 187 adults with AML treated in the ICU in one institution revealed the following as independent prognostic factors for death in the ICU: arterial oxygen partial pressure below 72 mmHg, active AML and systemic inflammatory response syndrome upon ICU admission, and need for hemodialysis and mechanical ventilation in the ICU. Based on these variables, we developed an ICU mortality score and validated the score in an independent cohort of 264 patients treated in the ICU in three additional tertiary hospitals. Compared with the Simplified Acute Physiology Score (SAPS) II, the Logistic Organ Dysfunction (LOD) score, and the Sequential Organ Failure Assessment (SOFA) score, our score yielded a better prediction of ICU mortality in the receiver operator characteristics (ROC) analysis (AUC = 0.913 vs. AUC = 0.710 [SAPS II], AUC = 0.708 [LOD], and 0.770 [SOFA] in the training cohort; AUC = 0.841 for the developed score vs. AUC = 0.730 [SAPSII], AUC = 0.773 [LOD], and 0.783 [SOFA] in the validation cohort). Factors predicting decreased survival after ICU discharge were as follows: relapse or refractory disease, previous allogeneic stem cell transplantation, time between hospital admission and ICU admission, time spent in ICU, impaired diuresis, Glasgow Coma Scale &lt;8 and hematocrit of ≥25% at ICU admission. Based on these factors, an ICU survival score was created and used for risk stratification into three risk groups. This stratification discriminated distinct survival rates after ICU discharge. Conclusions: Our data emphasize that although individual risks differ widely depending on the patient and disease status, a substantial portion of critically ill patients with AML benefit from intensive care.","author":[{"dropping-particle":"","family":"Pohlen","given":"Michele","non-dropping-particle":"","parse-names":false,"suffix":""},{"dropping-particle":"","family":"Thoennissen","given":"Nils H.","non-dropping-particle":"","parse-names":false,"suffix":""},{"dropping-particle":"","family":"Braess","given":"Jan","non-dropping-particle":"","parse-names":false,"suffix":""},{"dropping-particle":"","family":"Thudium","given":"Johannes","non-dropping-particle":"","parse-names":false,"suffix":""},{"dropping-particle":"","family":"Schmid","given":"Christoph","non-dropping-particle":"","parse-names":false,"suffix":""},{"dropping-particle":"","family":"Kochanek","given":"Matthias","non-dropping-particle":"","parse-names":false,"suffix":""},{"dropping-particle":"","family":"Kreuzer","given":"Karl Anton","non-dropping-particle":"","parse-names":false,"suffix":""},{"dropping-particle":"","family":"Lebiedz","given":"Pia","non-dropping-particle":"","parse-names":false,"suffix":""},{"dropping-particle":"","family":"Görlich","given":"Dennis","non-dropping-particle":"","parse-names":false,"suffix":""},{"dropping-particle":"","family":"Gerth","given":"Hans U.","non-dropping-particle":"","parse-names":false,"suffix":""},{"dropping-particle":"","family":"Rohde","given":"Christian","non-dropping-particle":"","parse-names":false,"suffix":""},{"dropping-particle":"","family":"Kessler","given":"Torsten","non-dropping-particle":"","parse-names":false,"suffix":""},{"dropping-particle":"","family":"Müller-Tidow","given":"Carsten","non-dropping-particle":"","parse-names":false,"suffix":""},{"dropping-particle":"","family":"Stelljes","given":"Matthias","non-dropping-particle":"","parse-names":false,"suffix":""},{"dropping-particle":"","family":"Büchner","given":"Thomas","non-dropping-particle":"","parse-names":false,"suffix":""},{"dropping-particle":"","family":"Schlimok","given":"Günter","non-dropping-particle":"","parse-names":false,"suffix":""},{"dropping-particle":"","family":"Hallek","given":"Michael","non-dropping-particle":"","parse-names":false,"suffix":""},{"dropping-particle":"","family":"Waltenberger","given":"Johannes","non-dropping-particle":"","parse-names":false,"suffix":""},{"dropping-particle":"","family":"Hiddemann","given":"Wolfgang","non-dropping-particle":"","parse-names":false,"suffix":""},{"dropping-particle":"","family":"Berdel","given":"Wolfgang E.","non-dropping-particle":"","parse-names":false,"suffix":""},{"dropping-particle":"","family":"Heilmeier","given":"Bernhard","non-dropping-particle":"","parse-names":false,"suffix":""},{"dropping-particle":"","family":"Krug","given":"Utz","non-dropping-particle":"","parse-names":false,"suffix":""}],"container-title":"PLoS ONE","id":"ITEM-1","issue":"8","issued":{"date-parts":[["2016","8","1"]]},"publisher":"Public Library of Science","title":"Patients with acute myeloid leukemia admitted to intensive care units: Outcome analysis and risk prediction","type":"article-journal","volume":"11"},"uris":["http://www.mendeley.com/documents/?uuid=5f391b78-828e-332c-8944-ee3664eb5d7f"]}],"mendeley":{"formattedCitation":"[115]","plainTextFormattedCitation":"[115]","previouslyFormattedCitation":"[115]"},"properties":{"noteIndex":0},"schema":"https://github.com/citation-style-language/schema/raw/master/csl-citation.json"}</w:instrText>
            </w:r>
            <w:r w:rsidRPr="009D0B15">
              <w:rPr>
                <w:rFonts w:cs="Times New Roman"/>
                <w:szCs w:val="24"/>
              </w:rPr>
              <w:fldChar w:fldCharType="separate"/>
            </w:r>
            <w:r w:rsidRPr="0000369C">
              <w:rPr>
                <w:rFonts w:cs="Times New Roman"/>
                <w:noProof/>
                <w:szCs w:val="24"/>
              </w:rPr>
              <w:t>[115]</w:t>
            </w:r>
            <w:r w:rsidRPr="009D0B15">
              <w:rPr>
                <w:rFonts w:cs="Times New Roman"/>
                <w:szCs w:val="24"/>
              </w:rPr>
              <w:fldChar w:fldCharType="end"/>
            </w:r>
          </w:p>
        </w:tc>
        <w:tc>
          <w:tcPr>
            <w:tcW w:w="2825" w:type="pct"/>
          </w:tcPr>
          <w:p w14:paraId="6F185656" w14:textId="77777777" w:rsidR="0000369C" w:rsidRPr="009D0B15" w:rsidRDefault="0000369C" w:rsidP="001C46FD">
            <w:pPr>
              <w:jc w:val="center"/>
              <w:rPr>
                <w:rFonts w:cs="Times New Roman"/>
                <w:szCs w:val="24"/>
              </w:rPr>
            </w:pPr>
            <w:r w:rsidRPr="009D0B15">
              <w:rPr>
                <w:rFonts w:cs="Times New Roman"/>
                <w:szCs w:val="24"/>
              </w:rPr>
              <w:t>13%</w:t>
            </w:r>
          </w:p>
        </w:tc>
      </w:tr>
      <w:tr w:rsidR="0000369C" w:rsidRPr="009D0B15" w14:paraId="6A7C2F90" w14:textId="77777777" w:rsidTr="001C46FD">
        <w:trPr>
          <w:trHeight w:val="469"/>
        </w:trPr>
        <w:tc>
          <w:tcPr>
            <w:tcW w:w="2175" w:type="pct"/>
          </w:tcPr>
          <w:p w14:paraId="25BFD060" w14:textId="71C88A3A" w:rsidR="0000369C" w:rsidRPr="009D0B15" w:rsidRDefault="0000369C" w:rsidP="001C46FD">
            <w:pPr>
              <w:rPr>
                <w:rFonts w:cs="Times New Roman"/>
                <w:szCs w:val="24"/>
              </w:rPr>
            </w:pPr>
            <w:r w:rsidRPr="009D0B15">
              <w:rPr>
                <w:rFonts w:cs="Times New Roman"/>
                <w:szCs w:val="24"/>
              </w:rPr>
              <w:t xml:space="preserve">Halpern A. и соавт., 2017 </w:t>
            </w:r>
            <w:r w:rsidRPr="009D0B15">
              <w:rPr>
                <w:rFonts w:cs="Times New Roman"/>
                <w:szCs w:val="24"/>
              </w:rPr>
              <w:fldChar w:fldCharType="begin" w:fldLock="1"/>
            </w:r>
            <w:r>
              <w:rPr>
                <w:rFonts w:cs="Times New Roman"/>
                <w:szCs w:val="24"/>
              </w:rPr>
              <w:instrText>ADDIN CSL_CITATION {"citationItems":[{"id":"ITEM-1","itemData":{"DOI":"10.1001/jamaoncol.2016.4858","ISSN":"23742445","PMID":"27832254","abstract":"IMPORTANCE Adults with acutemyeloid leukemia (AML) commonly require support in the intensive care unit (ICU), but risk factors for admission to the ICU and adverse outcomes remain poorly defined. OBJECTIVE To examine risk factors, mortality, length of stay, and cost associated with admission to the ICU for patients with AML. DESIGN, SETTING, AND PARTICIPANTS This study extracted information from the University HealthSystem Consortium database on patients 18 years or older with AML who were hospitalized for any cause between January 1, 2004, and December 31, 2012. The University HealthSystem Consortium database contains demographic, clinical, and cost variables prospectively abstracted by certified coders from discharge summaries. Outcomes were analyzed using univariate and multivariable statistical techniques. Data analysis was performed from November 15, 2013, to August 15, 2016. MAIN OUTCOMES AND MEASURES Primary outcomeswere admission to the ICU and inpatient mortality among patients requiring ICU care. Secondary outcomes included length of stay in the ICU, total hospitalization length of stay, and cost. RESULTS Of the 43 249 patients with AML (mean [SD] age, 59.5 [16.6] years; 23 939 men and 19 310 women), 11 277 (26.1%) were admitted to the ICU. On multivariable analysis (with results reported as odds ratios [95%CIs]), independent risk factors for admission to the ICU included age younger than 80 years (1.56 [1.42-1.70]), hospitalization in the South (1.81 [1.71-1.92]), hospitalization at a low-or medium-volume hospital (1.25 [1.19-1.31]), number of comorbidities (10.64 [8.89-12.62] for 5 vs none), sepsis (4.61 [4.34-4.89]), invasive fungal infection (1.24 [1.11-1.39]), and pneumonia (1.73 [1.63-1.82]). In-hospital mortality was higher for patients requiring ICU care (4857 of 11 277 [43.1%] vs 2959 of 31 972 [9.3%]). On multivariable analysis, independent risk factors for death in patients requiring ICU care included age 60 years or older (1.16 [1.06-1.26]), nonwhite race/ethnicity (1.18 [1.07-1.30]), hospitalization on theWest coast (1.19 [1.06-1.34]), number of comorbidities (18.76 [13.7-25.67] for 5 vs none), sepsis (2.94 [2.70-3.21]), invasive fungal infection (1.20 [1.02-1.42]), and pneumonia (1.13 [1.04-1.24]). Mean costs of hospitalization were higher for patients requiring ICU care ($83 354 vs $41 973) and increased with each comorbidity, from $50 543 for patients with no comorbidities to $124 820 for those with 5 or more comorbidities. CON…","author":[{"dropping-particle":"","family":"Halpern","given":"Anna B.","non-dropping-particle":"","parse-names":false,"suffix":""},{"dropping-particle":"","family":"Culakova","given":"Eva","non-dropping-particle":"","parse-names":false,"suffix":""},{"dropping-particle":"","family":"Walter","given":"Roland B.","non-dropping-particle":"","parse-names":false,"suffix":""},{"dropping-particle":"","family":"Lyman","given":"Gary H.","non-dropping-particle":"","parse-names":false,"suffix":""}],"container-title":"JAMA Oncology","id":"ITEM-1","issue":"3","issued":{"date-parts":[["2017","3","1"]]},"page":"374-381","publisher":"American Medical Association","title":"Association of risk factors, mortality, and care costs of adults with acute myeloid leukemia with admission to the intensive care unit","type":"article-journal","volume":"3"},"uris":["http://www.mendeley.com/documents/?uuid=0f83ff95-f484-4138-a3c5-751314b29b70"]}],"mendeley":{"formattedCitation":"[116]","plainTextFormattedCitation":"[116]","previouslyFormattedCitation":"[116]"},"properties":{"noteIndex":0},"schema":"https://github.com/citation-style-language/schema/raw/master/csl-citation.json"}</w:instrText>
            </w:r>
            <w:r w:rsidRPr="009D0B15">
              <w:rPr>
                <w:rFonts w:cs="Times New Roman"/>
                <w:szCs w:val="24"/>
              </w:rPr>
              <w:fldChar w:fldCharType="separate"/>
            </w:r>
            <w:r w:rsidRPr="0000369C">
              <w:rPr>
                <w:rFonts w:cs="Times New Roman"/>
                <w:noProof/>
                <w:szCs w:val="24"/>
              </w:rPr>
              <w:t>[116]</w:t>
            </w:r>
            <w:r w:rsidRPr="009D0B15">
              <w:rPr>
                <w:rFonts w:cs="Times New Roman"/>
                <w:szCs w:val="24"/>
              </w:rPr>
              <w:fldChar w:fldCharType="end"/>
            </w:r>
          </w:p>
        </w:tc>
        <w:tc>
          <w:tcPr>
            <w:tcW w:w="2825" w:type="pct"/>
          </w:tcPr>
          <w:p w14:paraId="4AA9ADC5" w14:textId="77777777" w:rsidR="0000369C" w:rsidRPr="009D0B15" w:rsidRDefault="0000369C" w:rsidP="001C46FD">
            <w:pPr>
              <w:jc w:val="center"/>
              <w:rPr>
                <w:rFonts w:cs="Times New Roman"/>
                <w:szCs w:val="24"/>
              </w:rPr>
            </w:pPr>
            <w:r w:rsidRPr="009D0B15">
              <w:rPr>
                <w:rFonts w:cs="Times New Roman"/>
                <w:szCs w:val="24"/>
              </w:rPr>
              <w:t>26,1%</w:t>
            </w:r>
          </w:p>
        </w:tc>
      </w:tr>
    </w:tbl>
    <w:p w14:paraId="39398EB7" w14:textId="77777777" w:rsidR="0000369C" w:rsidRPr="008F721B" w:rsidRDefault="0000369C" w:rsidP="0000369C">
      <w:pPr>
        <w:rPr>
          <w:rFonts w:cs="Times New Roman"/>
          <w:szCs w:val="24"/>
        </w:rPr>
      </w:pPr>
    </w:p>
    <w:p w14:paraId="7024CF6E" w14:textId="77777777" w:rsidR="0000369C" w:rsidRPr="003C0A4C" w:rsidRDefault="0000369C" w:rsidP="0000369C">
      <w:pPr>
        <w:ind w:firstLine="709"/>
        <w:rPr>
          <w:rFonts w:cs="Times New Roman"/>
          <w:szCs w:val="24"/>
        </w:rPr>
      </w:pPr>
      <w:r w:rsidRPr="003C0A4C">
        <w:rPr>
          <w:rFonts w:cs="Times New Roman"/>
          <w:szCs w:val="24"/>
        </w:rPr>
        <w:t xml:space="preserve">В ряде исследований (табл. 2) определены основные жизнеугрожающие синдромы, при которых требуется перевод больных гемобластозами в ОРИТ: ОДН в 30–51% случаев, сепсис и СШ в 8 – 42%, острая патология ЦНС - в 7 – 17%, кровотечения - в 1 – 22%, ОПН -  в 3,2 – 5%. Медиана пребывания в ОРИТ обычно составляет от 3 до 13 суток (0-97). Жизнеугрожающие состояния у этих больных развиваются преимущественно в начале лечения, а стоимость лечения от 2 до 20 раз выше по сравнению со стоимостью лечения пациентов в ОРИТ без онкогематологических заболеваний. </w:t>
      </w:r>
    </w:p>
    <w:p w14:paraId="4F369DB4" w14:textId="77777777" w:rsidR="0000369C" w:rsidRPr="003C0A4C" w:rsidRDefault="0000369C" w:rsidP="0000369C">
      <w:pPr>
        <w:rPr>
          <w:rFonts w:cs="Times New Roman"/>
          <w:szCs w:val="24"/>
        </w:rPr>
      </w:pPr>
    </w:p>
    <w:p w14:paraId="7D4CEE36" w14:textId="77777777" w:rsidR="0000369C" w:rsidRPr="008F721B" w:rsidRDefault="0000369C" w:rsidP="0000369C">
      <w:pPr>
        <w:rPr>
          <w:rFonts w:cs="Times New Roman"/>
          <w:szCs w:val="24"/>
        </w:rPr>
      </w:pPr>
      <w:r w:rsidRPr="003C0A4C">
        <w:rPr>
          <w:rFonts w:cs="Times New Roman"/>
          <w:szCs w:val="24"/>
        </w:rPr>
        <w:t>Таблица 2. Причины перевода в ОРИТ пациентов с гемобластозами</w:t>
      </w:r>
    </w:p>
    <w:tbl>
      <w:tblPr>
        <w:tblStyle w:val="aff9"/>
        <w:tblW w:w="5000" w:type="pct"/>
        <w:tblLayout w:type="fixed"/>
        <w:tblLook w:val="04A0" w:firstRow="1" w:lastRow="0" w:firstColumn="1" w:lastColumn="0" w:noHBand="0" w:noVBand="1"/>
      </w:tblPr>
      <w:tblGrid>
        <w:gridCol w:w="2392"/>
        <w:gridCol w:w="794"/>
        <w:gridCol w:w="916"/>
        <w:gridCol w:w="1138"/>
        <w:gridCol w:w="1284"/>
        <w:gridCol w:w="852"/>
        <w:gridCol w:w="963"/>
        <w:gridCol w:w="1007"/>
      </w:tblGrid>
      <w:tr w:rsidR="0000369C" w:rsidRPr="008F721B" w14:paraId="34ED9129" w14:textId="77777777" w:rsidTr="001C46FD">
        <w:trPr>
          <w:trHeight w:val="401"/>
        </w:trPr>
        <w:tc>
          <w:tcPr>
            <w:tcW w:w="1279" w:type="pct"/>
            <w:vMerge w:val="restart"/>
          </w:tcPr>
          <w:p w14:paraId="0B5B7612" w14:textId="77777777" w:rsidR="0000369C" w:rsidRPr="008F721B" w:rsidRDefault="0000369C" w:rsidP="001C46FD">
            <w:pPr>
              <w:rPr>
                <w:rFonts w:cs="Times New Roman"/>
                <w:szCs w:val="24"/>
              </w:rPr>
            </w:pPr>
            <w:r w:rsidRPr="008F721B">
              <w:rPr>
                <w:rFonts w:cs="Times New Roman"/>
                <w:szCs w:val="24"/>
              </w:rPr>
              <w:t>Источник</w:t>
            </w:r>
          </w:p>
        </w:tc>
        <w:tc>
          <w:tcPr>
            <w:tcW w:w="3721" w:type="pct"/>
            <w:gridSpan w:val="7"/>
          </w:tcPr>
          <w:p w14:paraId="4ECD4C1B" w14:textId="77777777" w:rsidR="0000369C" w:rsidRPr="008F721B" w:rsidRDefault="0000369C" w:rsidP="001C46FD">
            <w:pPr>
              <w:jc w:val="center"/>
              <w:rPr>
                <w:rFonts w:cs="Times New Roman"/>
                <w:szCs w:val="24"/>
              </w:rPr>
            </w:pPr>
            <w:r w:rsidRPr="008F721B">
              <w:rPr>
                <w:rFonts w:cs="Times New Roman"/>
                <w:szCs w:val="24"/>
              </w:rPr>
              <w:t>Причины перевода в ОРИТ</w:t>
            </w:r>
          </w:p>
        </w:tc>
      </w:tr>
      <w:tr w:rsidR="0000369C" w:rsidRPr="008F721B" w14:paraId="523A12F6" w14:textId="77777777" w:rsidTr="001C46FD">
        <w:trPr>
          <w:cantSplit/>
          <w:trHeight w:val="2544"/>
        </w:trPr>
        <w:tc>
          <w:tcPr>
            <w:tcW w:w="1279" w:type="pct"/>
            <w:vMerge/>
          </w:tcPr>
          <w:p w14:paraId="18E69435" w14:textId="77777777" w:rsidR="0000369C" w:rsidRPr="008F721B" w:rsidRDefault="0000369C" w:rsidP="001C46FD">
            <w:pPr>
              <w:rPr>
                <w:rFonts w:cs="Times New Roman"/>
                <w:szCs w:val="24"/>
              </w:rPr>
            </w:pPr>
          </w:p>
        </w:tc>
        <w:tc>
          <w:tcPr>
            <w:tcW w:w="425" w:type="pct"/>
            <w:textDirection w:val="btLr"/>
          </w:tcPr>
          <w:p w14:paraId="60D08593" w14:textId="77777777" w:rsidR="0000369C" w:rsidRPr="008F721B" w:rsidRDefault="0000369C" w:rsidP="001C46FD">
            <w:pPr>
              <w:ind w:left="113" w:right="113"/>
              <w:rPr>
                <w:rFonts w:cs="Times New Roman"/>
                <w:szCs w:val="24"/>
              </w:rPr>
            </w:pPr>
            <w:r w:rsidRPr="008F721B">
              <w:rPr>
                <w:rFonts w:cs="Times New Roman"/>
                <w:szCs w:val="24"/>
              </w:rPr>
              <w:t>ОДН, %</w:t>
            </w:r>
          </w:p>
        </w:tc>
        <w:tc>
          <w:tcPr>
            <w:tcW w:w="490" w:type="pct"/>
            <w:textDirection w:val="btLr"/>
          </w:tcPr>
          <w:p w14:paraId="3AA14DD1" w14:textId="77777777" w:rsidR="0000369C" w:rsidRPr="008F721B" w:rsidRDefault="0000369C" w:rsidP="001C46FD">
            <w:pPr>
              <w:ind w:left="113" w:right="113"/>
              <w:rPr>
                <w:rFonts w:cs="Times New Roman"/>
                <w:szCs w:val="24"/>
              </w:rPr>
            </w:pPr>
            <w:r w:rsidRPr="008F721B">
              <w:rPr>
                <w:rFonts w:cs="Times New Roman"/>
                <w:szCs w:val="24"/>
              </w:rPr>
              <w:t>Сепсис, СШ, %</w:t>
            </w:r>
          </w:p>
        </w:tc>
        <w:tc>
          <w:tcPr>
            <w:tcW w:w="609" w:type="pct"/>
            <w:textDirection w:val="btLr"/>
          </w:tcPr>
          <w:p w14:paraId="5933169A" w14:textId="77777777" w:rsidR="0000369C" w:rsidRPr="008F721B" w:rsidRDefault="0000369C" w:rsidP="001C46FD">
            <w:pPr>
              <w:ind w:left="113" w:right="113"/>
              <w:rPr>
                <w:rFonts w:cs="Times New Roman"/>
                <w:szCs w:val="24"/>
              </w:rPr>
            </w:pPr>
            <w:r w:rsidRPr="008F721B">
              <w:rPr>
                <w:rFonts w:cs="Times New Roman"/>
                <w:szCs w:val="24"/>
              </w:rPr>
              <w:t>Острая патология</w:t>
            </w:r>
          </w:p>
          <w:p w14:paraId="17F6FD52" w14:textId="77777777" w:rsidR="0000369C" w:rsidRPr="008F721B" w:rsidRDefault="0000369C" w:rsidP="001C46FD">
            <w:pPr>
              <w:ind w:left="113" w:right="113"/>
              <w:rPr>
                <w:rFonts w:cs="Times New Roman"/>
                <w:szCs w:val="24"/>
              </w:rPr>
            </w:pPr>
            <w:r w:rsidRPr="008F721B">
              <w:rPr>
                <w:rFonts w:cs="Times New Roman"/>
                <w:szCs w:val="24"/>
              </w:rPr>
              <w:t>ЦНС, %</w:t>
            </w:r>
          </w:p>
        </w:tc>
        <w:tc>
          <w:tcPr>
            <w:tcW w:w="687" w:type="pct"/>
            <w:textDirection w:val="btLr"/>
          </w:tcPr>
          <w:p w14:paraId="7960F16D" w14:textId="77777777" w:rsidR="0000369C" w:rsidRPr="008F721B" w:rsidRDefault="0000369C" w:rsidP="001C46FD">
            <w:pPr>
              <w:ind w:left="113" w:right="113"/>
              <w:rPr>
                <w:rFonts w:cs="Times New Roman"/>
                <w:szCs w:val="24"/>
              </w:rPr>
            </w:pPr>
            <w:r w:rsidRPr="008F721B">
              <w:rPr>
                <w:rFonts w:cs="Times New Roman"/>
                <w:szCs w:val="24"/>
              </w:rPr>
              <w:t>Нарушение ритма сердца, %</w:t>
            </w:r>
          </w:p>
        </w:tc>
        <w:tc>
          <w:tcPr>
            <w:tcW w:w="456" w:type="pct"/>
            <w:textDirection w:val="btLr"/>
          </w:tcPr>
          <w:p w14:paraId="171ADD1C" w14:textId="77777777" w:rsidR="0000369C" w:rsidRPr="008F721B" w:rsidRDefault="0000369C" w:rsidP="001C46FD">
            <w:pPr>
              <w:ind w:left="113" w:right="113"/>
              <w:rPr>
                <w:rFonts w:cs="Times New Roman"/>
                <w:szCs w:val="24"/>
              </w:rPr>
            </w:pPr>
            <w:r w:rsidRPr="008F721B">
              <w:rPr>
                <w:rFonts w:cs="Times New Roman"/>
                <w:szCs w:val="24"/>
              </w:rPr>
              <w:t>ОПН, %</w:t>
            </w:r>
          </w:p>
        </w:tc>
        <w:tc>
          <w:tcPr>
            <w:tcW w:w="515" w:type="pct"/>
            <w:textDirection w:val="btLr"/>
          </w:tcPr>
          <w:p w14:paraId="7CA12E0B" w14:textId="77777777" w:rsidR="0000369C" w:rsidRPr="008F721B" w:rsidRDefault="0000369C" w:rsidP="001C46FD">
            <w:pPr>
              <w:ind w:left="113" w:right="113"/>
              <w:rPr>
                <w:rFonts w:cs="Times New Roman"/>
                <w:szCs w:val="24"/>
              </w:rPr>
            </w:pPr>
            <w:r w:rsidRPr="008F721B">
              <w:rPr>
                <w:rFonts w:cs="Times New Roman"/>
                <w:szCs w:val="24"/>
              </w:rPr>
              <w:t>Кровотечения, %</w:t>
            </w:r>
          </w:p>
        </w:tc>
        <w:tc>
          <w:tcPr>
            <w:tcW w:w="536" w:type="pct"/>
            <w:textDirection w:val="btLr"/>
          </w:tcPr>
          <w:p w14:paraId="4E706903" w14:textId="77777777" w:rsidR="0000369C" w:rsidRPr="008F721B" w:rsidRDefault="0000369C" w:rsidP="001C46FD">
            <w:pPr>
              <w:ind w:left="113" w:right="113"/>
              <w:rPr>
                <w:rFonts w:cs="Times New Roman"/>
                <w:szCs w:val="24"/>
              </w:rPr>
            </w:pPr>
            <w:r w:rsidRPr="008F721B">
              <w:rPr>
                <w:rFonts w:cs="Times New Roman"/>
                <w:szCs w:val="24"/>
              </w:rPr>
              <w:t>Прочее,</w:t>
            </w:r>
          </w:p>
          <w:p w14:paraId="49796C3C" w14:textId="77777777" w:rsidR="0000369C" w:rsidRPr="008F721B" w:rsidRDefault="0000369C" w:rsidP="001C46FD">
            <w:pPr>
              <w:ind w:left="113" w:right="113"/>
              <w:rPr>
                <w:rFonts w:cs="Times New Roman"/>
                <w:szCs w:val="24"/>
              </w:rPr>
            </w:pPr>
            <w:r w:rsidRPr="008F721B">
              <w:rPr>
                <w:rFonts w:cs="Times New Roman"/>
                <w:szCs w:val="24"/>
              </w:rPr>
              <w:t>%</w:t>
            </w:r>
          </w:p>
        </w:tc>
      </w:tr>
      <w:tr w:rsidR="0000369C" w:rsidRPr="008F721B" w14:paraId="6DF5D330" w14:textId="77777777" w:rsidTr="001C46FD">
        <w:trPr>
          <w:trHeight w:val="802"/>
        </w:trPr>
        <w:tc>
          <w:tcPr>
            <w:tcW w:w="1279" w:type="pct"/>
          </w:tcPr>
          <w:p w14:paraId="18F6470E" w14:textId="0C74ADAC" w:rsidR="0000369C" w:rsidRPr="00B563E0" w:rsidRDefault="0000369C" w:rsidP="001C46FD">
            <w:pPr>
              <w:rPr>
                <w:rFonts w:cs="Times New Roman"/>
                <w:szCs w:val="24"/>
              </w:rPr>
            </w:pPr>
            <w:r w:rsidRPr="008F721B">
              <w:rPr>
                <w:rFonts w:cs="Times New Roman"/>
                <w:szCs w:val="24"/>
              </w:rPr>
              <w:t>Воробьев А.И. и соавт.</w:t>
            </w:r>
            <w:r>
              <w:rPr>
                <w:rFonts w:cs="Times New Roman"/>
                <w:szCs w:val="24"/>
              </w:rPr>
              <w:t>,</w:t>
            </w:r>
            <w:r w:rsidRPr="00B563E0">
              <w:rPr>
                <w:rFonts w:cs="Times New Roman"/>
                <w:szCs w:val="24"/>
              </w:rPr>
              <w:t xml:space="preserve"> 1993 </w:t>
            </w:r>
            <w:r>
              <w:rPr>
                <w:rFonts w:cs="Times New Roman"/>
                <w:szCs w:val="24"/>
                <w:lang w:val="en-US"/>
              </w:rPr>
              <w:fldChar w:fldCharType="begin" w:fldLock="1"/>
            </w:r>
            <w:r>
              <w:rPr>
                <w:rFonts w:cs="Times New Roman"/>
                <w:szCs w:val="24"/>
                <w:lang w:val="en-US"/>
              </w:rPr>
              <w:instrText>ADDIN CSL_CITATION {"citationItems":[{"id":"ITEM-1","itemData":{"author":[{"dropping-particle":"","family":"Воробьев","given":"А.И.","non-dropping-particle":"","parse-names":false,"suffix":""},{"dropping-particle":"","family":"Горелов","given":"В.Г.","non-dropping-particle":"","parse-names":false,"suffix":""},{"dropping-particle":"","family":"Городецкий","given":"В.М.","non-dropping-particle":"","parse-names":false,"suffix":""},{"dropping-particle":"","family":"Шулутко","given":"Е.М.","non-dropping-particle":"","parse-names":false,"suffix":""}],"container-title":"Терапевтический архив","id":"ITEM-1","issue":"7","issued":{"date-parts":[["1993"]]},"page":"3-6","title":"Критические состояния при гемобластозах (типичные формы и выживаемость в условиях отделения реанимации).","type":"article-journal","volume":"65"},"uris":["http://www.mendeley.com/documents/?uuid=c4b05bf5-f5dc-4551-a590-5854faa101d0"]}],"mendeley":{"formattedCitation":"[117]","plainTextFormattedCitation":"[117]","previouslyFormattedCitation":"[117]"},"properties":{"noteIndex":0},"schema":"https://github.com/citation-style-language/schema/raw/master/csl-citation.json"}</w:instrText>
            </w:r>
            <w:r>
              <w:rPr>
                <w:rFonts w:cs="Times New Roman"/>
                <w:szCs w:val="24"/>
                <w:lang w:val="en-US"/>
              </w:rPr>
              <w:fldChar w:fldCharType="separate"/>
            </w:r>
            <w:r w:rsidRPr="0000369C">
              <w:rPr>
                <w:rFonts w:cs="Times New Roman"/>
                <w:noProof/>
                <w:szCs w:val="24"/>
              </w:rPr>
              <w:t>[117]</w:t>
            </w:r>
            <w:r>
              <w:rPr>
                <w:rFonts w:cs="Times New Roman"/>
                <w:szCs w:val="24"/>
                <w:lang w:val="en-US"/>
              </w:rPr>
              <w:fldChar w:fldCharType="end"/>
            </w:r>
          </w:p>
        </w:tc>
        <w:tc>
          <w:tcPr>
            <w:tcW w:w="425" w:type="pct"/>
          </w:tcPr>
          <w:p w14:paraId="3B1095D7" w14:textId="77777777" w:rsidR="0000369C" w:rsidRPr="008F721B" w:rsidRDefault="0000369C" w:rsidP="001C46FD">
            <w:pPr>
              <w:jc w:val="center"/>
              <w:rPr>
                <w:rFonts w:cs="Times New Roman"/>
                <w:szCs w:val="24"/>
              </w:rPr>
            </w:pPr>
            <w:r w:rsidRPr="008F721B">
              <w:rPr>
                <w:rFonts w:cs="Times New Roman"/>
                <w:szCs w:val="24"/>
              </w:rPr>
              <w:t>43</w:t>
            </w:r>
          </w:p>
        </w:tc>
        <w:tc>
          <w:tcPr>
            <w:tcW w:w="490" w:type="pct"/>
          </w:tcPr>
          <w:p w14:paraId="065123F6" w14:textId="77777777" w:rsidR="0000369C" w:rsidRPr="008F721B" w:rsidRDefault="0000369C" w:rsidP="001C46FD">
            <w:pPr>
              <w:jc w:val="center"/>
              <w:rPr>
                <w:rFonts w:cs="Times New Roman"/>
                <w:szCs w:val="24"/>
              </w:rPr>
            </w:pPr>
            <w:r w:rsidRPr="008F721B">
              <w:rPr>
                <w:rFonts w:cs="Times New Roman"/>
                <w:szCs w:val="24"/>
              </w:rPr>
              <w:t>16</w:t>
            </w:r>
          </w:p>
        </w:tc>
        <w:tc>
          <w:tcPr>
            <w:tcW w:w="609" w:type="pct"/>
          </w:tcPr>
          <w:p w14:paraId="71DD5973" w14:textId="77777777" w:rsidR="0000369C" w:rsidRPr="008F721B" w:rsidRDefault="0000369C" w:rsidP="001C46FD">
            <w:pPr>
              <w:jc w:val="center"/>
              <w:rPr>
                <w:rFonts w:cs="Times New Roman"/>
                <w:szCs w:val="24"/>
              </w:rPr>
            </w:pPr>
            <w:r w:rsidRPr="008F721B">
              <w:rPr>
                <w:rFonts w:cs="Times New Roman"/>
                <w:szCs w:val="24"/>
              </w:rPr>
              <w:t>н/д*</w:t>
            </w:r>
          </w:p>
        </w:tc>
        <w:tc>
          <w:tcPr>
            <w:tcW w:w="687" w:type="pct"/>
          </w:tcPr>
          <w:p w14:paraId="53BD7CC0" w14:textId="77777777" w:rsidR="0000369C" w:rsidRPr="008F721B" w:rsidRDefault="0000369C" w:rsidP="001C46FD">
            <w:pPr>
              <w:jc w:val="center"/>
              <w:rPr>
                <w:rFonts w:cs="Times New Roman"/>
                <w:szCs w:val="24"/>
              </w:rPr>
            </w:pPr>
            <w:r w:rsidRPr="008F721B">
              <w:rPr>
                <w:rFonts w:cs="Times New Roman"/>
                <w:szCs w:val="24"/>
              </w:rPr>
              <w:t>н/д</w:t>
            </w:r>
          </w:p>
        </w:tc>
        <w:tc>
          <w:tcPr>
            <w:tcW w:w="456" w:type="pct"/>
          </w:tcPr>
          <w:p w14:paraId="2767A1DA" w14:textId="77777777" w:rsidR="0000369C" w:rsidRPr="008F721B" w:rsidRDefault="0000369C" w:rsidP="001C46FD">
            <w:pPr>
              <w:jc w:val="center"/>
              <w:rPr>
                <w:rFonts w:cs="Times New Roman"/>
                <w:szCs w:val="24"/>
              </w:rPr>
            </w:pPr>
            <w:r w:rsidRPr="008F721B">
              <w:rPr>
                <w:rFonts w:cs="Times New Roman"/>
                <w:szCs w:val="24"/>
              </w:rPr>
              <w:t>5</w:t>
            </w:r>
          </w:p>
        </w:tc>
        <w:tc>
          <w:tcPr>
            <w:tcW w:w="515" w:type="pct"/>
          </w:tcPr>
          <w:p w14:paraId="4DB8E257" w14:textId="77777777" w:rsidR="0000369C" w:rsidRPr="008F721B" w:rsidRDefault="0000369C" w:rsidP="001C46FD">
            <w:pPr>
              <w:jc w:val="center"/>
              <w:rPr>
                <w:rFonts w:cs="Times New Roman"/>
                <w:szCs w:val="24"/>
              </w:rPr>
            </w:pPr>
            <w:r w:rsidRPr="008F721B">
              <w:rPr>
                <w:rFonts w:cs="Times New Roman"/>
                <w:szCs w:val="24"/>
              </w:rPr>
              <w:t>16</w:t>
            </w:r>
          </w:p>
        </w:tc>
        <w:tc>
          <w:tcPr>
            <w:tcW w:w="536" w:type="pct"/>
          </w:tcPr>
          <w:p w14:paraId="48CFFBA5" w14:textId="77777777" w:rsidR="0000369C" w:rsidRPr="008F721B" w:rsidRDefault="0000369C" w:rsidP="001C46FD">
            <w:pPr>
              <w:jc w:val="center"/>
              <w:rPr>
                <w:rFonts w:cs="Times New Roman"/>
                <w:szCs w:val="24"/>
              </w:rPr>
            </w:pPr>
            <w:r w:rsidRPr="008F721B">
              <w:rPr>
                <w:rFonts w:cs="Times New Roman"/>
                <w:szCs w:val="24"/>
              </w:rPr>
              <w:t>20</w:t>
            </w:r>
          </w:p>
        </w:tc>
      </w:tr>
      <w:tr w:rsidR="0000369C" w:rsidRPr="008F721B" w14:paraId="3F74C95F" w14:textId="77777777" w:rsidTr="001C46FD">
        <w:trPr>
          <w:trHeight w:val="822"/>
        </w:trPr>
        <w:tc>
          <w:tcPr>
            <w:tcW w:w="1279" w:type="pct"/>
          </w:tcPr>
          <w:p w14:paraId="0AB3C802" w14:textId="7DA93A03" w:rsidR="0000369C" w:rsidRPr="008F721B" w:rsidRDefault="0000369C" w:rsidP="001C46FD">
            <w:pPr>
              <w:rPr>
                <w:rFonts w:cs="Times New Roman"/>
                <w:szCs w:val="24"/>
              </w:rPr>
            </w:pPr>
            <w:r w:rsidRPr="008F721B">
              <w:rPr>
                <w:rFonts w:cs="Times New Roman"/>
                <w:szCs w:val="24"/>
              </w:rPr>
              <w:t>Галстян Г.М. и соавт.</w:t>
            </w:r>
            <w:r>
              <w:rPr>
                <w:rFonts w:cs="Times New Roman"/>
                <w:szCs w:val="24"/>
              </w:rPr>
              <w:t xml:space="preserve">, 2011 </w:t>
            </w:r>
            <w:r>
              <w:rPr>
                <w:rFonts w:cs="Times New Roman"/>
                <w:szCs w:val="24"/>
              </w:rPr>
              <w:fldChar w:fldCharType="begin" w:fldLock="1"/>
            </w:r>
            <w:r>
              <w:rPr>
                <w:rFonts w:cs="Times New Roman"/>
                <w:szCs w:val="24"/>
              </w:rPr>
              <w:instrText>ADDIN CSL_CITATION {"citationItems":[{"id":"ITEM-1","itemData":{"author":[{"dropping-particle":"","family":"Галстян","given":"Г.М.","non-dropping-particle":"","parse-names":false,"suffix":""},{"dropping-particle":"","family":"Городецкий","given":"В.М.","non-dropping-particle":"","parse-names":false,"suffix":""}],"container-title":"Клиническая онкогематология","id":"ITEM-1","issue":"1","issued":{"date-parts":[["2011"]]},"page":"75-78","title":"Опыт работы отделения реанимации и интенсивной терапии ФГБУ ГНЦ МЗиСР РФ","type":"article-journal","volume":"4"},"uris":["http://www.mendeley.com/documents/?uuid=7a2aad90-732f-4da0-a3ce-4939d049189b"]}],"mendeley":{"formattedCitation":"[118]","plainTextFormattedCitation":"[118]","previouslyFormattedCitation":"[118]"},"properties":{"noteIndex":0},"schema":"https://github.com/citation-style-language/schema/raw/master/csl-citation.json"}</w:instrText>
            </w:r>
            <w:r>
              <w:rPr>
                <w:rFonts w:cs="Times New Roman"/>
                <w:szCs w:val="24"/>
              </w:rPr>
              <w:fldChar w:fldCharType="separate"/>
            </w:r>
            <w:r w:rsidRPr="0000369C">
              <w:rPr>
                <w:rFonts w:cs="Times New Roman"/>
                <w:noProof/>
                <w:szCs w:val="24"/>
              </w:rPr>
              <w:t>[118]</w:t>
            </w:r>
            <w:r>
              <w:rPr>
                <w:rFonts w:cs="Times New Roman"/>
                <w:szCs w:val="24"/>
              </w:rPr>
              <w:fldChar w:fldCharType="end"/>
            </w:r>
          </w:p>
        </w:tc>
        <w:tc>
          <w:tcPr>
            <w:tcW w:w="425" w:type="pct"/>
          </w:tcPr>
          <w:p w14:paraId="2E0CBA09" w14:textId="77777777" w:rsidR="0000369C" w:rsidRPr="008F721B" w:rsidRDefault="0000369C" w:rsidP="001C46FD">
            <w:pPr>
              <w:jc w:val="center"/>
              <w:rPr>
                <w:rFonts w:cs="Times New Roman"/>
                <w:szCs w:val="24"/>
              </w:rPr>
            </w:pPr>
            <w:r w:rsidRPr="008F721B">
              <w:rPr>
                <w:rFonts w:cs="Times New Roman"/>
                <w:szCs w:val="24"/>
              </w:rPr>
              <w:t>30</w:t>
            </w:r>
          </w:p>
        </w:tc>
        <w:tc>
          <w:tcPr>
            <w:tcW w:w="490" w:type="pct"/>
          </w:tcPr>
          <w:p w14:paraId="3949C5C9" w14:textId="77777777" w:rsidR="0000369C" w:rsidRPr="008F721B" w:rsidRDefault="0000369C" w:rsidP="001C46FD">
            <w:pPr>
              <w:jc w:val="center"/>
              <w:rPr>
                <w:rFonts w:cs="Times New Roman"/>
                <w:szCs w:val="24"/>
              </w:rPr>
            </w:pPr>
            <w:r w:rsidRPr="008F721B">
              <w:rPr>
                <w:rFonts w:cs="Times New Roman"/>
                <w:szCs w:val="24"/>
              </w:rPr>
              <w:t>22</w:t>
            </w:r>
          </w:p>
        </w:tc>
        <w:tc>
          <w:tcPr>
            <w:tcW w:w="609" w:type="pct"/>
          </w:tcPr>
          <w:p w14:paraId="5E3573AE" w14:textId="77777777" w:rsidR="0000369C" w:rsidRPr="008F721B" w:rsidRDefault="0000369C" w:rsidP="001C46FD">
            <w:pPr>
              <w:jc w:val="center"/>
              <w:rPr>
                <w:rFonts w:cs="Times New Roman"/>
                <w:szCs w:val="24"/>
              </w:rPr>
            </w:pPr>
            <w:r w:rsidRPr="008F721B">
              <w:rPr>
                <w:rFonts w:cs="Times New Roman"/>
                <w:szCs w:val="24"/>
              </w:rPr>
              <w:t>7</w:t>
            </w:r>
          </w:p>
        </w:tc>
        <w:tc>
          <w:tcPr>
            <w:tcW w:w="687" w:type="pct"/>
          </w:tcPr>
          <w:p w14:paraId="43A3B4E0" w14:textId="77777777" w:rsidR="0000369C" w:rsidRPr="008F721B" w:rsidRDefault="0000369C" w:rsidP="001C46FD">
            <w:pPr>
              <w:jc w:val="center"/>
              <w:rPr>
                <w:rFonts w:cs="Times New Roman"/>
                <w:szCs w:val="24"/>
              </w:rPr>
            </w:pPr>
            <w:r w:rsidRPr="008F721B">
              <w:rPr>
                <w:rFonts w:cs="Times New Roman"/>
                <w:szCs w:val="24"/>
              </w:rPr>
              <w:t>11</w:t>
            </w:r>
          </w:p>
        </w:tc>
        <w:tc>
          <w:tcPr>
            <w:tcW w:w="456" w:type="pct"/>
          </w:tcPr>
          <w:p w14:paraId="7A5EC6F8" w14:textId="77777777" w:rsidR="0000369C" w:rsidRPr="008F721B" w:rsidRDefault="0000369C" w:rsidP="001C46FD">
            <w:pPr>
              <w:jc w:val="center"/>
              <w:rPr>
                <w:rFonts w:cs="Times New Roman"/>
                <w:szCs w:val="24"/>
              </w:rPr>
            </w:pPr>
            <w:r w:rsidRPr="008F721B">
              <w:rPr>
                <w:rFonts w:cs="Times New Roman"/>
                <w:szCs w:val="24"/>
              </w:rPr>
              <w:t>н/д</w:t>
            </w:r>
          </w:p>
        </w:tc>
        <w:tc>
          <w:tcPr>
            <w:tcW w:w="515" w:type="pct"/>
          </w:tcPr>
          <w:p w14:paraId="210410E1" w14:textId="77777777" w:rsidR="0000369C" w:rsidRPr="008F721B" w:rsidRDefault="0000369C" w:rsidP="001C46FD">
            <w:pPr>
              <w:jc w:val="center"/>
              <w:rPr>
                <w:rFonts w:cs="Times New Roman"/>
                <w:szCs w:val="24"/>
              </w:rPr>
            </w:pPr>
            <w:r w:rsidRPr="008F721B">
              <w:rPr>
                <w:rFonts w:cs="Times New Roman"/>
                <w:szCs w:val="24"/>
              </w:rPr>
              <w:t>н/д</w:t>
            </w:r>
          </w:p>
        </w:tc>
        <w:tc>
          <w:tcPr>
            <w:tcW w:w="536" w:type="pct"/>
          </w:tcPr>
          <w:p w14:paraId="34085A16" w14:textId="77777777" w:rsidR="0000369C" w:rsidRPr="008F721B" w:rsidRDefault="0000369C" w:rsidP="001C46FD">
            <w:pPr>
              <w:jc w:val="center"/>
              <w:rPr>
                <w:rFonts w:cs="Times New Roman"/>
                <w:szCs w:val="24"/>
              </w:rPr>
            </w:pPr>
            <w:r w:rsidRPr="008F721B">
              <w:rPr>
                <w:rFonts w:cs="Times New Roman"/>
                <w:szCs w:val="24"/>
              </w:rPr>
              <w:t>30</w:t>
            </w:r>
          </w:p>
        </w:tc>
      </w:tr>
      <w:tr w:rsidR="0000369C" w:rsidRPr="008F721B" w14:paraId="5CEA4AD5" w14:textId="77777777" w:rsidTr="001C46FD">
        <w:trPr>
          <w:trHeight w:val="822"/>
        </w:trPr>
        <w:tc>
          <w:tcPr>
            <w:tcW w:w="1279" w:type="pct"/>
          </w:tcPr>
          <w:p w14:paraId="7E5E1102" w14:textId="6769751A" w:rsidR="0000369C" w:rsidRPr="00B563E0" w:rsidRDefault="0000369C" w:rsidP="001C46FD">
            <w:pPr>
              <w:rPr>
                <w:rFonts w:cs="Times New Roman"/>
                <w:szCs w:val="24"/>
                <w:lang w:val="en-US"/>
              </w:rPr>
            </w:pPr>
            <w:r w:rsidRPr="008F721B">
              <w:rPr>
                <w:rFonts w:cs="Times New Roman"/>
                <w:szCs w:val="24"/>
              </w:rPr>
              <w:t>Lamia E. и соавт.</w:t>
            </w:r>
            <w:r>
              <w:rPr>
                <w:rFonts w:cs="Times New Roman"/>
                <w:szCs w:val="24"/>
                <w:lang w:val="en-US"/>
              </w:rPr>
              <w:t>, 2006</w:t>
            </w:r>
            <w:r w:rsidRPr="008F721B">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{"citationItems":[{"id":"ITEM-1","itemData":{"DOI":"10.1007/s00134-006-0286-3","ISSN":"03424642","PMID":"16896863","abstract":"Objective: To determine whether severity and organ failure scores over the first 3 days in an ICU predict in-hospital mortality in onco-hematological malignancy patients. Design and setting: Retrospective study in a 22-bed medical ICU. Patients: 92 consecutive patients with onco-hematological malignancies including 20 hematopoietic stem cell transplantation (HSCT) patients (11 with allogenic HSCT). Measurements: Simplified Acute Physiology Score (SAPS) II, Organ Dysfunction and/or Infection (ODIN) score, Logistic Organ Dysfunction System (LODS), and Sequential Organ Failure Assessment (SOFA) score were recorded on admission. The change in each score (Δ score) during the first 3 days in the ICU was calculated as follows: severity or organ failure score on day 3 minus severity or organ failure score on day 1, divided by severity or organ failure score on day 1. Results: In-hospital mortality was 58%. Using multivariate analysis in-hospital mortality was predicted by all scores on day 1 and all Δ scores. Areas under the receiver operating characteristics curves were similar for SAPS II (0.78), ODIN (0.78), LODS (0.83), and SOFA (0.78) scores at day 1. They were also similar for ΔSAPS II, ΔODIN, ΔLODS, and ΔSOFA. Similar results were observed when excluding patients with allogenic HSCT. Conclusion: Severity and three organ failure scores on day 1 and Δ scores perform similarly in predicting in-hospital mortality in ICU onco-hematological malignancy patients but do not predict individual outcome. Decision to admit such patients to the ICU or to forgo life-sustaining therapies should not be based on these scores. © 2006 Springer-Verlag.","author":[{"dropping-particle":"","family":"Lamia","given":"B.","non-dropping-particle":"","parse-names":false,"suffix":""},{"dropping-particle":"","family":"Hellot","given":"M. F.","non-dropping-particle":"","parse-names":false,"suffix":""},{"dropping-particle":"","family":"Girault","given":"C.","non-dropping-particle":"","parse-names":false,"suffix":""},{"dropping-particle":"","family":"Tamion","given":"F.","non-dropping-particle":"","parse-names":false,"suffix":""},{"dropping-particle":"","family":"Dachraoui","given":"F.","non-dropping-particle":"","parse-names":false,"suffix":""},{"dropping-particle":"","family":"Lenain","given":"P.","non-dropping-particle":"","parse-names":false,"suffix":""},{"dropping-particle":"","family":"Bonmarchand","given":"G.","non-dropping-particle":"","parse-names":false,"suffix":""}],"container-title":"Intensive Care Medicine","id":"ITEM-1","issue":"10","issued":{"date-parts":[["2006","10"]]},"page":"1560-1568","publisher":"Intensive Care Med","title":"Changes in severity and organ failure scores as prognostic factors in onco-hematological malignancy patients admitted to the ICU","type":"article-journal","volume":"32"},"uris":["http://www.mendeley.com/documents/?uuid=60d1cf7f-4ed6-3d0a-991e-cc8b33d27c7f"]}],"mendeley":{"formattedCitation":"[119]","plainTextFormattedCitation":"[119]","previouslyFormattedCitation":"[119]"},"properties":{"noteIndex":0},"schema":"https://github.com/citation-style-language/schema/raw/master/csl-citation.json"}</w:instrText>
            </w:r>
            <w:r>
              <w:rPr>
                <w:rFonts w:cs="Times New Roman"/>
                <w:szCs w:val="24"/>
              </w:rPr>
              <w:fldChar w:fldCharType="separate"/>
            </w:r>
            <w:r w:rsidRPr="0000369C">
              <w:rPr>
                <w:rFonts w:cs="Times New Roman"/>
                <w:noProof/>
                <w:szCs w:val="24"/>
              </w:rPr>
              <w:t>[119]</w:t>
            </w:r>
            <w:r>
              <w:rPr>
                <w:rFonts w:cs="Times New Roman"/>
                <w:szCs w:val="24"/>
              </w:rPr>
              <w:fldChar w:fldCharType="end"/>
            </w:r>
          </w:p>
        </w:tc>
        <w:tc>
          <w:tcPr>
            <w:tcW w:w="425" w:type="pct"/>
          </w:tcPr>
          <w:p w14:paraId="79BF6F36" w14:textId="77777777" w:rsidR="0000369C" w:rsidRPr="008F721B" w:rsidRDefault="0000369C" w:rsidP="001C46FD">
            <w:pPr>
              <w:jc w:val="center"/>
              <w:rPr>
                <w:rFonts w:cs="Times New Roman"/>
                <w:szCs w:val="24"/>
              </w:rPr>
            </w:pPr>
            <w:r w:rsidRPr="008F721B">
              <w:rPr>
                <w:rFonts w:cs="Times New Roman"/>
                <w:szCs w:val="24"/>
              </w:rPr>
              <w:t>51</w:t>
            </w:r>
          </w:p>
        </w:tc>
        <w:tc>
          <w:tcPr>
            <w:tcW w:w="490" w:type="pct"/>
          </w:tcPr>
          <w:p w14:paraId="401A63A0" w14:textId="77777777" w:rsidR="0000369C" w:rsidRPr="008F721B" w:rsidRDefault="0000369C" w:rsidP="001C46FD">
            <w:pPr>
              <w:jc w:val="center"/>
              <w:rPr>
                <w:rFonts w:cs="Times New Roman"/>
                <w:szCs w:val="24"/>
              </w:rPr>
            </w:pPr>
            <w:r w:rsidRPr="008F721B">
              <w:rPr>
                <w:rFonts w:cs="Times New Roman"/>
                <w:szCs w:val="24"/>
              </w:rPr>
              <w:t>36</w:t>
            </w:r>
          </w:p>
        </w:tc>
        <w:tc>
          <w:tcPr>
            <w:tcW w:w="609" w:type="pct"/>
          </w:tcPr>
          <w:p w14:paraId="4F6CD873" w14:textId="77777777" w:rsidR="0000369C" w:rsidRPr="008F721B" w:rsidRDefault="0000369C" w:rsidP="001C46FD">
            <w:pPr>
              <w:jc w:val="center"/>
              <w:rPr>
                <w:rFonts w:cs="Times New Roman"/>
                <w:szCs w:val="24"/>
              </w:rPr>
            </w:pPr>
            <w:r w:rsidRPr="008F721B">
              <w:rPr>
                <w:rFonts w:cs="Times New Roman"/>
                <w:szCs w:val="24"/>
              </w:rPr>
              <w:t>13</w:t>
            </w:r>
          </w:p>
        </w:tc>
        <w:tc>
          <w:tcPr>
            <w:tcW w:w="687" w:type="pct"/>
          </w:tcPr>
          <w:p w14:paraId="1DB8A020" w14:textId="77777777" w:rsidR="0000369C" w:rsidRPr="008F721B" w:rsidRDefault="0000369C" w:rsidP="001C46FD">
            <w:pPr>
              <w:jc w:val="center"/>
              <w:rPr>
                <w:rFonts w:cs="Times New Roman"/>
                <w:szCs w:val="24"/>
              </w:rPr>
            </w:pPr>
            <w:r w:rsidRPr="008F721B">
              <w:rPr>
                <w:rFonts w:cs="Times New Roman"/>
                <w:szCs w:val="24"/>
              </w:rPr>
              <w:t>н/д</w:t>
            </w:r>
          </w:p>
        </w:tc>
        <w:tc>
          <w:tcPr>
            <w:tcW w:w="456" w:type="pct"/>
          </w:tcPr>
          <w:p w14:paraId="4EE3B820" w14:textId="77777777" w:rsidR="0000369C" w:rsidRPr="008F721B" w:rsidRDefault="0000369C" w:rsidP="001C46FD">
            <w:pPr>
              <w:jc w:val="center"/>
              <w:rPr>
                <w:rFonts w:cs="Times New Roman"/>
                <w:szCs w:val="24"/>
              </w:rPr>
            </w:pPr>
            <w:r w:rsidRPr="008F721B">
              <w:rPr>
                <w:rFonts w:cs="Times New Roman"/>
                <w:szCs w:val="24"/>
              </w:rPr>
              <w:t>н/д</w:t>
            </w:r>
          </w:p>
        </w:tc>
        <w:tc>
          <w:tcPr>
            <w:tcW w:w="515" w:type="pct"/>
          </w:tcPr>
          <w:p w14:paraId="111B8EED" w14:textId="77777777" w:rsidR="0000369C" w:rsidRPr="008F721B" w:rsidRDefault="0000369C" w:rsidP="001C46FD">
            <w:pPr>
              <w:jc w:val="center"/>
              <w:rPr>
                <w:rFonts w:cs="Times New Roman"/>
                <w:szCs w:val="24"/>
              </w:rPr>
            </w:pPr>
            <w:r w:rsidRPr="008F721B">
              <w:rPr>
                <w:rFonts w:cs="Times New Roman"/>
                <w:szCs w:val="24"/>
              </w:rPr>
              <w:t>н/д</w:t>
            </w:r>
          </w:p>
        </w:tc>
        <w:tc>
          <w:tcPr>
            <w:tcW w:w="536" w:type="pct"/>
          </w:tcPr>
          <w:p w14:paraId="6946D1C4" w14:textId="77777777" w:rsidR="0000369C" w:rsidRPr="008F721B" w:rsidRDefault="0000369C" w:rsidP="001C46FD">
            <w:pPr>
              <w:jc w:val="center"/>
              <w:rPr>
                <w:rFonts w:cs="Times New Roman"/>
                <w:szCs w:val="24"/>
              </w:rPr>
            </w:pPr>
            <w:r w:rsidRPr="008F721B">
              <w:rPr>
                <w:rFonts w:cs="Times New Roman"/>
                <w:szCs w:val="24"/>
              </w:rPr>
              <w:t>н/д</w:t>
            </w:r>
          </w:p>
        </w:tc>
      </w:tr>
      <w:tr w:rsidR="0000369C" w:rsidRPr="008F721B" w14:paraId="77539D9F" w14:textId="77777777" w:rsidTr="001C46FD">
        <w:trPr>
          <w:trHeight w:val="822"/>
        </w:trPr>
        <w:tc>
          <w:tcPr>
            <w:tcW w:w="1279" w:type="pct"/>
          </w:tcPr>
          <w:p w14:paraId="2345A62C" w14:textId="67D7FCDB" w:rsidR="0000369C" w:rsidRPr="008F721B" w:rsidRDefault="0000369C" w:rsidP="001C46FD">
            <w:pPr>
              <w:rPr>
                <w:rFonts w:cs="Times New Roman"/>
                <w:szCs w:val="24"/>
              </w:rPr>
            </w:pPr>
            <w:r w:rsidRPr="008F721B">
              <w:rPr>
                <w:rFonts w:cs="Times New Roman"/>
                <w:iCs/>
                <w:szCs w:val="24"/>
              </w:rPr>
              <w:t xml:space="preserve">Evison K. </w:t>
            </w:r>
            <w:r w:rsidRPr="008F721B">
              <w:rPr>
                <w:rFonts w:cs="Times New Roman"/>
                <w:szCs w:val="24"/>
              </w:rPr>
              <w:t>и соавт.</w:t>
            </w:r>
            <w:r>
              <w:rPr>
                <w:rFonts w:cs="Times New Roman"/>
                <w:szCs w:val="24"/>
                <w:lang w:val="en-US"/>
              </w:rPr>
              <w:t xml:space="preserve">, 2001 </w:t>
            </w:r>
            <w:r>
              <w:rPr>
                <w:rFonts w:cs="Times New Roman"/>
                <w:szCs w:val="24"/>
                <w:lang w:val="en-US"/>
              </w:rPr>
              <w:fldChar w:fldCharType="begin" w:fldLock="1"/>
            </w:r>
            <w:r>
              <w:rPr>
                <w:rFonts w:cs="Times New Roman"/>
                <w:szCs w:val="24"/>
                <w:lang w:val="en-US"/>
              </w:rPr>
              <w:instrText>ADDIN CSL_CITATION {"citationItems":[{"id":"ITEM-1","itemData":{"author":[{"dropping-particle":"","family":"Evison","given":"J M","non-dropping-particle":"","parse-names":false,"suffix":""},{"dropping-particle":"","family":"Rickenbacher","given":"P","non-dropping-particle":"","parse-names":false,"suffix":""},{"dropping-particle":"","family":"Ritz","given":"R","non-dropping-particle":"","parse-names":false,"suffix":""},{"dropping-particle":"","family":"Gratwohl","given":"A","non-dropping-particle":"","parse-names":false,"suffix":""},{"dropping-particle":"","family":"Haberthür","given":"Ch","non-dropping-particle":"","parse-names":false,"suffix":""},{"dropping-particle":"","family":"Elsasser","given":"S","non-dropping-particle":"","parse-names":false,"suffix":""},{"dropping-particle":"","family":"Passweg","given":"J R","non-dropping-particle":"","parse-names":false,"suffix":""}],"id":"ITEM-1","issued":{"date-parts":[["2001"]]},"title":"Intensive care unit admission in patients with haematological disease: incidence, outcome and prognostic factors","type":"report"},"uris":["http://www.mendeley.com/documents/?uuid=8277399e-d82b-32b3-af97-33e3d2b5e10b"]}],"mendeley":{"formattedCitation":"[120]","plainTextFormattedCitation":"[120]","previouslyFormattedCitation":"[120]"},"properties":{"noteIndex":0},"schema":"https://github.com/citation-style-language/schema/raw/master/csl-citation.json"}</w:instrText>
            </w:r>
            <w:r>
              <w:rPr>
                <w:rFonts w:cs="Times New Roman"/>
                <w:szCs w:val="24"/>
                <w:lang w:val="en-US"/>
              </w:rPr>
              <w:fldChar w:fldCharType="separate"/>
            </w:r>
            <w:r w:rsidRPr="0000369C">
              <w:rPr>
                <w:rFonts w:cs="Times New Roman"/>
                <w:noProof/>
                <w:szCs w:val="24"/>
                <w:lang w:val="en-US"/>
              </w:rPr>
              <w:t>[120]</w:t>
            </w:r>
            <w:r>
              <w:rPr>
                <w:rFonts w:cs="Times New Roman"/>
                <w:szCs w:val="24"/>
                <w:lang w:val="en-US"/>
              </w:rPr>
              <w:fldChar w:fldCharType="end"/>
            </w:r>
            <w:r w:rsidRPr="008F721B">
              <w:rPr>
                <w:rFonts w:cs="Times New Roman"/>
                <w:szCs w:val="24"/>
              </w:rPr>
              <w:t xml:space="preserve"> </w:t>
            </w:r>
          </w:p>
        </w:tc>
        <w:tc>
          <w:tcPr>
            <w:tcW w:w="425" w:type="pct"/>
          </w:tcPr>
          <w:p w14:paraId="4204A2D4" w14:textId="77777777" w:rsidR="0000369C" w:rsidRPr="008F721B" w:rsidRDefault="0000369C" w:rsidP="001C46FD">
            <w:pPr>
              <w:jc w:val="center"/>
              <w:rPr>
                <w:rFonts w:cs="Times New Roman"/>
                <w:szCs w:val="24"/>
              </w:rPr>
            </w:pPr>
            <w:r w:rsidRPr="008F721B">
              <w:rPr>
                <w:rFonts w:cs="Times New Roman"/>
                <w:szCs w:val="24"/>
              </w:rPr>
              <w:t>31</w:t>
            </w:r>
          </w:p>
        </w:tc>
        <w:tc>
          <w:tcPr>
            <w:tcW w:w="490" w:type="pct"/>
          </w:tcPr>
          <w:p w14:paraId="46E76560" w14:textId="77777777" w:rsidR="0000369C" w:rsidRPr="008F721B" w:rsidRDefault="0000369C" w:rsidP="001C46FD">
            <w:pPr>
              <w:jc w:val="center"/>
              <w:rPr>
                <w:rFonts w:cs="Times New Roman"/>
                <w:szCs w:val="24"/>
              </w:rPr>
            </w:pPr>
            <w:r w:rsidRPr="008F721B">
              <w:rPr>
                <w:rFonts w:cs="Times New Roman"/>
                <w:szCs w:val="24"/>
              </w:rPr>
              <w:t>19</w:t>
            </w:r>
          </w:p>
        </w:tc>
        <w:tc>
          <w:tcPr>
            <w:tcW w:w="609" w:type="pct"/>
          </w:tcPr>
          <w:p w14:paraId="3628DCDB" w14:textId="77777777" w:rsidR="0000369C" w:rsidRPr="008F721B" w:rsidRDefault="0000369C" w:rsidP="001C46FD">
            <w:pPr>
              <w:jc w:val="center"/>
              <w:rPr>
                <w:rFonts w:cs="Times New Roman"/>
                <w:szCs w:val="24"/>
              </w:rPr>
            </w:pPr>
            <w:r w:rsidRPr="008F721B">
              <w:rPr>
                <w:rFonts w:cs="Times New Roman"/>
                <w:szCs w:val="24"/>
              </w:rPr>
              <w:t>8</w:t>
            </w:r>
          </w:p>
        </w:tc>
        <w:tc>
          <w:tcPr>
            <w:tcW w:w="687" w:type="pct"/>
          </w:tcPr>
          <w:p w14:paraId="58AD9440" w14:textId="77777777" w:rsidR="0000369C" w:rsidRPr="008F721B" w:rsidRDefault="0000369C" w:rsidP="001C46FD">
            <w:pPr>
              <w:jc w:val="center"/>
              <w:rPr>
                <w:rFonts w:cs="Times New Roman"/>
                <w:szCs w:val="24"/>
              </w:rPr>
            </w:pPr>
            <w:r w:rsidRPr="008F721B">
              <w:rPr>
                <w:rFonts w:cs="Times New Roman"/>
                <w:szCs w:val="24"/>
              </w:rPr>
              <w:t>10</w:t>
            </w:r>
          </w:p>
        </w:tc>
        <w:tc>
          <w:tcPr>
            <w:tcW w:w="456" w:type="pct"/>
          </w:tcPr>
          <w:p w14:paraId="161D3B29" w14:textId="77777777" w:rsidR="0000369C" w:rsidRPr="008F721B" w:rsidRDefault="0000369C" w:rsidP="001C46FD">
            <w:pPr>
              <w:jc w:val="center"/>
              <w:rPr>
                <w:rFonts w:cs="Times New Roman"/>
                <w:szCs w:val="24"/>
              </w:rPr>
            </w:pPr>
            <w:r w:rsidRPr="008F721B">
              <w:rPr>
                <w:rFonts w:cs="Times New Roman"/>
                <w:szCs w:val="24"/>
              </w:rPr>
              <w:t>н/д</w:t>
            </w:r>
          </w:p>
        </w:tc>
        <w:tc>
          <w:tcPr>
            <w:tcW w:w="515" w:type="pct"/>
          </w:tcPr>
          <w:p w14:paraId="7A735A8C" w14:textId="77777777" w:rsidR="0000369C" w:rsidRPr="008F721B" w:rsidRDefault="0000369C" w:rsidP="001C46FD">
            <w:pPr>
              <w:jc w:val="center"/>
              <w:rPr>
                <w:rFonts w:cs="Times New Roman"/>
                <w:szCs w:val="24"/>
              </w:rPr>
            </w:pPr>
            <w:r w:rsidRPr="008F721B">
              <w:rPr>
                <w:rFonts w:cs="Times New Roman"/>
                <w:szCs w:val="24"/>
              </w:rPr>
              <w:t>1</w:t>
            </w:r>
          </w:p>
        </w:tc>
        <w:tc>
          <w:tcPr>
            <w:tcW w:w="536" w:type="pct"/>
          </w:tcPr>
          <w:p w14:paraId="3665B814" w14:textId="77777777" w:rsidR="0000369C" w:rsidRPr="008F721B" w:rsidRDefault="0000369C" w:rsidP="001C46FD">
            <w:pPr>
              <w:jc w:val="center"/>
              <w:rPr>
                <w:rFonts w:cs="Times New Roman"/>
                <w:szCs w:val="24"/>
              </w:rPr>
            </w:pPr>
            <w:r w:rsidRPr="008F721B">
              <w:rPr>
                <w:rFonts w:cs="Times New Roman"/>
                <w:szCs w:val="24"/>
              </w:rPr>
              <w:t>31</w:t>
            </w:r>
          </w:p>
        </w:tc>
      </w:tr>
      <w:tr w:rsidR="0000369C" w:rsidRPr="008F721B" w14:paraId="58DDE248" w14:textId="77777777" w:rsidTr="001C46FD">
        <w:trPr>
          <w:trHeight w:val="822"/>
        </w:trPr>
        <w:tc>
          <w:tcPr>
            <w:tcW w:w="1279" w:type="pct"/>
          </w:tcPr>
          <w:p w14:paraId="5DD2CC1B" w14:textId="48474952" w:rsidR="0000369C" w:rsidRPr="008F721B" w:rsidRDefault="0000369C" w:rsidP="001C46FD">
            <w:pPr>
              <w:rPr>
                <w:rFonts w:cs="Times New Roman"/>
                <w:szCs w:val="24"/>
              </w:rPr>
            </w:pPr>
            <w:r w:rsidRPr="008F721B">
              <w:rPr>
                <w:rFonts w:cs="Times New Roman"/>
                <w:szCs w:val="24"/>
              </w:rPr>
              <w:t>Silfvast D. и соавт.</w:t>
            </w:r>
            <w:r>
              <w:rPr>
                <w:rFonts w:cs="Times New Roman"/>
                <w:szCs w:val="24"/>
              </w:rPr>
              <w:t>,</w:t>
            </w:r>
            <w:r>
              <w:rPr>
                <w:rFonts w:cs="Times New Roman"/>
                <w:szCs w:val="24"/>
                <w:lang w:val="en-US"/>
              </w:rPr>
              <w:t xml:space="preserve"> 2003 </w:t>
            </w:r>
            <w:r>
              <w:rPr>
                <w:rFonts w:cs="Times New Roman"/>
                <w:szCs w:val="24"/>
                <w:lang w:val="en-US"/>
              </w:rPr>
              <w:fldChar w:fldCharType="begin" w:fldLock="1"/>
            </w:r>
            <w:r>
              <w:rPr>
                <w:rFonts w:cs="Times New Roman"/>
                <w:szCs w:val="24"/>
                <w:lang w:val="en-US"/>
              </w:rPr>
              <w:instrText>ADDIN CSL_CITATION {"citationItems":[{"id":"ITEM-1","itemData":{"DOI":"10.1034/j.1399-6576.2003.00058.x","ISSN":"00015172","PMID":"12648196","abstract":"Background: The number of failing organs systems in ICU patients with haematological malignancy is associated with outcome. The objective of this study was to assess short and long-term survival in these patients with special reference to multiple organ failure reflected by the SOFA (Sequential Organ Failure Assessment) score. Methods: Retrospective chart review of haematological patients admitted to the 10-bed intensive care unit (ICU) of a tertiary level academic teaching hospital from 1994 to 1998. Of 31 admitted patients with the diagnosis of haematological malignancy, the charts of 30 were available for analysis. Results: Univariate logistic regression analysis of factors previously shown to influence survival revealed that only admission SOFA score and untreated status of haematological disease were significantly associated with survival (P &lt; 0.05). ICU, 3-month and one-year survival rates were 57% (17/30), 23% (7/30) and 20% (6/30), respectively. If maximal SOFA score during the ICU stay was included in a multivariate model comprising treatment status and effect, admission day SOFA and APACHE II scores, mechanical ventilation, renal replacement therapy and neutropenia, the maximal SOFA score became the only independent variable. All patients with an admission SOFA score exceeding 11 died in hospital. Leave-one-out method revealed that admission SOFA scores and the status of haematological disease (untreated or not) correctly classified 83% (25 of 30) of patients to survivors or non-survivors. Conclusions: Multiple organ failure assessed as SOFA score on admission and status of disease were associated with outcome in critically ill patients with haematological malignancy. © Acta Anaesthesiologica Scandinavica.","author":[{"dropping-particle":"","family":"Silfvast","given":"Tom","non-dropping-particle":"","parse-names":false,"suffix":""},{"dropping-particle":"","family":"Pettilä","given":"V.","non-dropping-particle":"","parse-names":false,"suffix":""},{"dropping-particle":"","family":"Ihalainen","given":"A.","non-dropping-particle":"","parse-names":false,"suffix":""},{"dropping-particle":"","family":"Elonen","given":"E.","non-dropping-particle":"","parse-names":false,"suffix":""}],"container-title":"Acta Anaesthesiologica Scandinavica","id":"ITEM-1","issue":"3","issued":{"date-parts":[["2003","3"]]},"page":"301-306","publisher":"Acta Anaesthesiol Scand","title":"Multiple organ failure and outcome of critically ill patients with haematological malignancy","type":"article-journal","volume":"47"},"uris":["http://www.mendeley.com/documents/?uuid=5fc24cc0-6c9a-3083-a5f5-1a250846badc"]}],"mendeley":{"formattedCitation":"[121]","plainTextFormattedCitation":"[121]","previouslyFormattedCitation":"[121]"},"properties":{"noteIndex":0},"schema":"https://github.com/citation-style-language/schema/raw/master/csl-citation.json"}</w:instrText>
            </w:r>
            <w:r>
              <w:rPr>
                <w:rFonts w:cs="Times New Roman"/>
                <w:szCs w:val="24"/>
                <w:lang w:val="en-US"/>
              </w:rPr>
              <w:fldChar w:fldCharType="separate"/>
            </w:r>
            <w:r w:rsidRPr="0000369C">
              <w:rPr>
                <w:rFonts w:cs="Times New Roman"/>
                <w:noProof/>
                <w:szCs w:val="24"/>
                <w:lang w:val="en-US"/>
              </w:rPr>
              <w:t>[121]</w:t>
            </w:r>
            <w:r>
              <w:rPr>
                <w:rFonts w:cs="Times New Roman"/>
                <w:szCs w:val="24"/>
                <w:lang w:val="en-US"/>
              </w:rPr>
              <w:fldChar w:fldCharType="end"/>
            </w:r>
            <w:r w:rsidRPr="008F721B">
              <w:rPr>
                <w:rFonts w:cs="Times New Roman"/>
                <w:szCs w:val="24"/>
              </w:rPr>
              <w:t xml:space="preserve"> </w:t>
            </w:r>
          </w:p>
        </w:tc>
        <w:tc>
          <w:tcPr>
            <w:tcW w:w="425" w:type="pct"/>
          </w:tcPr>
          <w:p w14:paraId="7AECFEA6" w14:textId="77777777" w:rsidR="0000369C" w:rsidRPr="008F721B" w:rsidRDefault="0000369C" w:rsidP="001C46FD">
            <w:pPr>
              <w:jc w:val="center"/>
              <w:rPr>
                <w:rFonts w:cs="Times New Roman"/>
                <w:szCs w:val="24"/>
              </w:rPr>
            </w:pPr>
            <w:r w:rsidRPr="008F721B">
              <w:rPr>
                <w:rFonts w:cs="Times New Roman"/>
                <w:szCs w:val="24"/>
              </w:rPr>
              <w:t>50</w:t>
            </w:r>
          </w:p>
        </w:tc>
        <w:tc>
          <w:tcPr>
            <w:tcW w:w="490" w:type="pct"/>
          </w:tcPr>
          <w:p w14:paraId="70F21426" w14:textId="77777777" w:rsidR="0000369C" w:rsidRPr="008F721B" w:rsidRDefault="0000369C" w:rsidP="001C46FD">
            <w:pPr>
              <w:jc w:val="center"/>
              <w:rPr>
                <w:rFonts w:cs="Times New Roman"/>
                <w:szCs w:val="24"/>
              </w:rPr>
            </w:pPr>
            <w:r w:rsidRPr="008F721B">
              <w:rPr>
                <w:rFonts w:cs="Times New Roman"/>
                <w:szCs w:val="24"/>
              </w:rPr>
              <w:t>23</w:t>
            </w:r>
          </w:p>
        </w:tc>
        <w:tc>
          <w:tcPr>
            <w:tcW w:w="609" w:type="pct"/>
          </w:tcPr>
          <w:p w14:paraId="11FBDABC" w14:textId="77777777" w:rsidR="0000369C" w:rsidRPr="008F721B" w:rsidRDefault="0000369C" w:rsidP="001C46FD">
            <w:pPr>
              <w:jc w:val="center"/>
              <w:rPr>
                <w:rFonts w:cs="Times New Roman"/>
                <w:szCs w:val="24"/>
              </w:rPr>
            </w:pPr>
            <w:r w:rsidRPr="008F721B">
              <w:rPr>
                <w:rFonts w:cs="Times New Roman"/>
                <w:szCs w:val="24"/>
              </w:rPr>
              <w:t>10</w:t>
            </w:r>
          </w:p>
        </w:tc>
        <w:tc>
          <w:tcPr>
            <w:tcW w:w="687" w:type="pct"/>
          </w:tcPr>
          <w:p w14:paraId="06032B8D" w14:textId="77777777" w:rsidR="0000369C" w:rsidRPr="008F721B" w:rsidRDefault="0000369C" w:rsidP="001C46FD">
            <w:pPr>
              <w:jc w:val="center"/>
              <w:rPr>
                <w:rFonts w:cs="Times New Roman"/>
                <w:szCs w:val="24"/>
              </w:rPr>
            </w:pPr>
            <w:r w:rsidRPr="008F721B">
              <w:rPr>
                <w:rFonts w:cs="Times New Roman"/>
                <w:szCs w:val="24"/>
              </w:rPr>
              <w:t>10</w:t>
            </w:r>
          </w:p>
        </w:tc>
        <w:tc>
          <w:tcPr>
            <w:tcW w:w="456" w:type="pct"/>
          </w:tcPr>
          <w:p w14:paraId="42AA7E1D" w14:textId="77777777" w:rsidR="0000369C" w:rsidRPr="008F721B" w:rsidRDefault="0000369C" w:rsidP="001C46FD">
            <w:pPr>
              <w:jc w:val="center"/>
              <w:rPr>
                <w:rFonts w:cs="Times New Roman"/>
                <w:szCs w:val="24"/>
              </w:rPr>
            </w:pPr>
            <w:r w:rsidRPr="008F721B">
              <w:rPr>
                <w:rFonts w:cs="Times New Roman"/>
                <w:szCs w:val="24"/>
              </w:rPr>
              <w:t>н/д</w:t>
            </w:r>
          </w:p>
        </w:tc>
        <w:tc>
          <w:tcPr>
            <w:tcW w:w="515" w:type="pct"/>
          </w:tcPr>
          <w:p w14:paraId="21B4F9BA" w14:textId="77777777" w:rsidR="0000369C" w:rsidRPr="008F721B" w:rsidRDefault="0000369C" w:rsidP="001C46FD">
            <w:pPr>
              <w:jc w:val="center"/>
              <w:rPr>
                <w:rFonts w:cs="Times New Roman"/>
                <w:szCs w:val="24"/>
              </w:rPr>
            </w:pPr>
            <w:r w:rsidRPr="008F721B">
              <w:rPr>
                <w:rFonts w:cs="Times New Roman"/>
                <w:szCs w:val="24"/>
              </w:rPr>
              <w:t>н/д</w:t>
            </w:r>
          </w:p>
        </w:tc>
        <w:tc>
          <w:tcPr>
            <w:tcW w:w="536" w:type="pct"/>
          </w:tcPr>
          <w:p w14:paraId="36DD0A38" w14:textId="77777777" w:rsidR="0000369C" w:rsidRPr="008F721B" w:rsidRDefault="0000369C" w:rsidP="001C46FD">
            <w:pPr>
              <w:jc w:val="center"/>
              <w:rPr>
                <w:rFonts w:cs="Times New Roman"/>
                <w:szCs w:val="24"/>
              </w:rPr>
            </w:pPr>
            <w:r w:rsidRPr="008F721B">
              <w:rPr>
                <w:rFonts w:cs="Times New Roman"/>
                <w:szCs w:val="24"/>
              </w:rPr>
              <w:t>7</w:t>
            </w:r>
          </w:p>
        </w:tc>
      </w:tr>
      <w:tr w:rsidR="0000369C" w:rsidRPr="008F721B" w14:paraId="77E027F0" w14:textId="77777777" w:rsidTr="001C46FD">
        <w:trPr>
          <w:trHeight w:val="802"/>
        </w:trPr>
        <w:tc>
          <w:tcPr>
            <w:tcW w:w="1279" w:type="pct"/>
          </w:tcPr>
          <w:p w14:paraId="533EB920" w14:textId="208DC612" w:rsidR="0000369C" w:rsidRPr="008F721B" w:rsidRDefault="0000369C" w:rsidP="001C46FD">
            <w:pPr>
              <w:rPr>
                <w:rFonts w:cs="Times New Roman"/>
                <w:szCs w:val="24"/>
              </w:rPr>
            </w:pPr>
            <w:r w:rsidRPr="008F721B">
              <w:rPr>
                <w:rFonts w:cs="Times New Roman"/>
                <w:szCs w:val="24"/>
              </w:rPr>
              <w:lastRenderedPageBreak/>
              <w:t>Benoit F. и соавт.</w:t>
            </w:r>
            <w:r>
              <w:rPr>
                <w:rFonts w:cs="Times New Roman"/>
                <w:szCs w:val="24"/>
                <w:lang w:val="en-US"/>
              </w:rPr>
              <w:t xml:space="preserve">, 2003 </w:t>
            </w:r>
            <w:r>
              <w:rPr>
                <w:rFonts w:cs="Times New Roman"/>
                <w:szCs w:val="24"/>
                <w:lang w:val="en-US"/>
              </w:rPr>
              <w:fldChar w:fldCharType="begin" w:fldLock="1"/>
            </w:r>
            <w:r>
              <w:rPr>
                <w:rFonts w:cs="Times New Roman"/>
                <w:szCs w:val="24"/>
                <w:lang w:val="en-US"/>
              </w:rPr>
              <w:instrText>ADDIN CSL_CITATION {"citationItems":[{"id":"ITEM-1","itemData":{"DOI":"10.1097/00003246-200301000-00017","ISSN":"00903493","PMID":"12545002","abstract":"Objectives: To assess the outcome and to identify early prognostic indicators in a global population of patients with hematologic malignancy admitted to the intensive care unit for a life-threatening complication. Design: Retrospective observational study. Setting: Medical intensive care unit at a tertiary university hospital. Patients: A total of 124 consecutive critically ill patients with a hematologic malignancy admitted to the intensive care unit during a 3.5-yr period. Measurements: We collected variables at admission and during admission and identified predictors of in-hospital mortality by stepwise logistic regression analysis. Main Results: Mean Acute Physiology and Chronic Health Evaluation II score was 26 ± 7.7. Sixty-one percent had a high-grade malignancy, and 27% had active disease. Thirty-five percent were leukopenic (leukocyte count, &lt;1.0 × 109/L) at admission. Respiratory failure (48%), sepsis (18.5%), and neurologic impairment (17%) were the major reasons for admission at the intensive care unit. Seventy-one percent of the patients required ventilatory support for a median duration of 6 (3-17) days, 46% received vasopressors at admission, and 26.6% needed renal replacement therapy during their intensive care unit stay. A recent bacteremia precipitating intensive care unit admission was found in 21.8% of the patients. Crude intensive care unit, in-hospital, and 6-month mortality rates were 42%, 54%, and 66%, respectively. Four variables were independently associated with outcome in a multivariate logistic regression analysis: leukopenia (odds ratio, 2.9; 95% confidence interval, 1.1-7.7), vasopressors (odds ratio, 3.74; 95% confidence interval, 1.4-9.8), and urea of &gt;0.75 g/L (&gt;12 mmol/L) (odds ratio, 9.4; 95% confidence interval, 4.2-26) at admission were associated with poor outcome, whereas recent bacteremia (odds ratio, 0.17; 95% confidence interval, 0.05-0.58) was associated with better prognosis. Using these variables, we arbitrarily categorized our population into three groups for survival analysis: a low-risk group (low urea with or without either leukopenia or vasopressors, n = 60), an intermediate-risk group (high urea or a combination of leukopenia and vasopressors, n = 34), and a high-risk group (high urea in combination with leukopenia or vasopressors, n = 27). Patients with a bacteremia prompting intensive care unit admission were allocated to a one-step-lower risk group. Survival probabilities at 30 days and 6 months were…","author":[{"dropping-particle":"","family":"Benoit","given":"Dominique D.","non-dropping-particle":"","parse-names":false,"suffix":""},{"dropping-particle":"","family":"Vandewoude","given":"Koenraad H.","non-dropping-particle":"","parse-names":false,"suffix":""},{"dropping-particle":"","family":"Decruyenaere","given":"Johan M.","non-dropping-particle":"","parse-names":false,"suffix":""},{"dropping-particle":"","family":"Hoste","given":"Eric A.","non-dropping-particle":"","parse-names":false,"suffix":""},{"dropping-particle":"","family":"Colardyn","given":"Francis A.","non-dropping-particle":"","parse-names":false,"suffix":""}],"container-title":"Critical Care Medicine","id":"ITEM-1","issue":"1","issued":{"date-parts":[["2003","1","1"]]},"page":"104-112","publisher":"Crit Care Med","title":"Outcome and early prognostic indicators in patients with a hematologic malignancy admitted to the intensive care unit for a life-threatening complication","type":"article-journal","volume":"31"},"uris":["http://www.mendeley.com/documents/?uuid=77f24265-1122-3e43-a99f-99e5c497051b"]}],"mendeley":{"formattedCitation":"[122]","plainTextFormattedCitation":"[122]","previouslyFormattedCitation":"[122]"},"properties":{"noteIndex":0},"schema":"https://github.com/citation-style-language/schema/raw/master/csl-citation.json"}</w:instrText>
            </w:r>
            <w:r>
              <w:rPr>
                <w:rFonts w:cs="Times New Roman"/>
                <w:szCs w:val="24"/>
                <w:lang w:val="en-US"/>
              </w:rPr>
              <w:fldChar w:fldCharType="separate"/>
            </w:r>
            <w:r w:rsidRPr="0000369C">
              <w:rPr>
                <w:rFonts w:cs="Times New Roman"/>
                <w:noProof/>
                <w:szCs w:val="24"/>
                <w:lang w:val="en-US"/>
              </w:rPr>
              <w:t>[122]</w:t>
            </w:r>
            <w:r>
              <w:rPr>
                <w:rFonts w:cs="Times New Roman"/>
                <w:szCs w:val="24"/>
                <w:lang w:val="en-US"/>
              </w:rPr>
              <w:fldChar w:fldCharType="end"/>
            </w:r>
            <w:r w:rsidRPr="008F721B">
              <w:rPr>
                <w:rFonts w:cs="Times New Roman"/>
                <w:szCs w:val="24"/>
              </w:rPr>
              <w:t xml:space="preserve"> </w:t>
            </w:r>
          </w:p>
        </w:tc>
        <w:tc>
          <w:tcPr>
            <w:tcW w:w="425" w:type="pct"/>
          </w:tcPr>
          <w:p w14:paraId="2850D9B7" w14:textId="77777777" w:rsidR="0000369C" w:rsidRPr="008F721B" w:rsidRDefault="0000369C" w:rsidP="001C46FD">
            <w:pPr>
              <w:jc w:val="center"/>
              <w:rPr>
                <w:rFonts w:cs="Times New Roman"/>
                <w:szCs w:val="24"/>
              </w:rPr>
            </w:pPr>
            <w:r w:rsidRPr="008F721B">
              <w:rPr>
                <w:rFonts w:cs="Times New Roman"/>
                <w:szCs w:val="24"/>
              </w:rPr>
              <w:t>39,5</w:t>
            </w:r>
          </w:p>
        </w:tc>
        <w:tc>
          <w:tcPr>
            <w:tcW w:w="490" w:type="pct"/>
          </w:tcPr>
          <w:p w14:paraId="40BD1A32" w14:textId="77777777" w:rsidR="0000369C" w:rsidRPr="008F721B" w:rsidRDefault="0000369C" w:rsidP="001C46FD">
            <w:pPr>
              <w:jc w:val="center"/>
              <w:rPr>
                <w:rFonts w:cs="Times New Roman"/>
                <w:szCs w:val="24"/>
              </w:rPr>
            </w:pPr>
            <w:r w:rsidRPr="008F721B">
              <w:rPr>
                <w:rFonts w:cs="Times New Roman"/>
                <w:szCs w:val="24"/>
              </w:rPr>
              <w:t>18,5</w:t>
            </w:r>
          </w:p>
        </w:tc>
        <w:tc>
          <w:tcPr>
            <w:tcW w:w="609" w:type="pct"/>
          </w:tcPr>
          <w:p w14:paraId="31A2CC67" w14:textId="77777777" w:rsidR="0000369C" w:rsidRPr="008F721B" w:rsidRDefault="0000369C" w:rsidP="001C46FD">
            <w:pPr>
              <w:jc w:val="center"/>
              <w:rPr>
                <w:rFonts w:cs="Times New Roman"/>
                <w:szCs w:val="24"/>
              </w:rPr>
            </w:pPr>
            <w:r w:rsidRPr="008F721B">
              <w:rPr>
                <w:rFonts w:cs="Times New Roman"/>
                <w:szCs w:val="24"/>
              </w:rPr>
              <w:t>17</w:t>
            </w:r>
          </w:p>
        </w:tc>
        <w:tc>
          <w:tcPr>
            <w:tcW w:w="687" w:type="pct"/>
          </w:tcPr>
          <w:p w14:paraId="4D8855E5" w14:textId="77777777" w:rsidR="0000369C" w:rsidRPr="008F721B" w:rsidRDefault="0000369C" w:rsidP="001C46FD">
            <w:pPr>
              <w:jc w:val="center"/>
              <w:rPr>
                <w:rFonts w:cs="Times New Roman"/>
                <w:szCs w:val="24"/>
              </w:rPr>
            </w:pPr>
            <w:r w:rsidRPr="008F721B">
              <w:rPr>
                <w:rFonts w:cs="Times New Roman"/>
                <w:szCs w:val="24"/>
              </w:rPr>
              <w:t>13</w:t>
            </w:r>
          </w:p>
        </w:tc>
        <w:tc>
          <w:tcPr>
            <w:tcW w:w="456" w:type="pct"/>
          </w:tcPr>
          <w:p w14:paraId="0254212A" w14:textId="77777777" w:rsidR="0000369C" w:rsidRPr="008F721B" w:rsidRDefault="0000369C" w:rsidP="001C46FD">
            <w:pPr>
              <w:jc w:val="center"/>
              <w:rPr>
                <w:rFonts w:cs="Times New Roman"/>
                <w:szCs w:val="24"/>
              </w:rPr>
            </w:pPr>
            <w:r w:rsidRPr="008F721B">
              <w:rPr>
                <w:rFonts w:cs="Times New Roman"/>
                <w:szCs w:val="24"/>
              </w:rPr>
              <w:t>н/д</w:t>
            </w:r>
          </w:p>
        </w:tc>
        <w:tc>
          <w:tcPr>
            <w:tcW w:w="515" w:type="pct"/>
          </w:tcPr>
          <w:p w14:paraId="7088FC1B" w14:textId="77777777" w:rsidR="0000369C" w:rsidRPr="008F721B" w:rsidRDefault="0000369C" w:rsidP="001C46FD">
            <w:pPr>
              <w:jc w:val="center"/>
              <w:rPr>
                <w:rFonts w:cs="Times New Roman"/>
                <w:szCs w:val="24"/>
              </w:rPr>
            </w:pPr>
            <w:r w:rsidRPr="008F721B">
              <w:rPr>
                <w:rFonts w:cs="Times New Roman"/>
                <w:szCs w:val="24"/>
              </w:rPr>
              <w:t>2</w:t>
            </w:r>
          </w:p>
        </w:tc>
        <w:tc>
          <w:tcPr>
            <w:tcW w:w="536" w:type="pct"/>
          </w:tcPr>
          <w:p w14:paraId="523C8C53" w14:textId="77777777" w:rsidR="0000369C" w:rsidRPr="008F721B" w:rsidRDefault="0000369C" w:rsidP="001C46FD">
            <w:pPr>
              <w:jc w:val="center"/>
              <w:rPr>
                <w:rFonts w:cs="Times New Roman"/>
                <w:szCs w:val="24"/>
              </w:rPr>
            </w:pPr>
            <w:r w:rsidRPr="008F721B">
              <w:rPr>
                <w:rFonts w:cs="Times New Roman"/>
                <w:szCs w:val="24"/>
              </w:rPr>
              <w:t>10</w:t>
            </w:r>
          </w:p>
        </w:tc>
      </w:tr>
      <w:tr w:rsidR="0000369C" w:rsidRPr="008F721B" w14:paraId="6357791E" w14:textId="77777777" w:rsidTr="001C46FD">
        <w:trPr>
          <w:trHeight w:val="822"/>
        </w:trPr>
        <w:tc>
          <w:tcPr>
            <w:tcW w:w="1279" w:type="pct"/>
          </w:tcPr>
          <w:p w14:paraId="6D690F95" w14:textId="64734C5A" w:rsidR="0000369C" w:rsidRPr="008F721B" w:rsidRDefault="0000369C" w:rsidP="001C46FD">
            <w:pPr>
              <w:rPr>
                <w:rFonts w:cs="Times New Roman"/>
                <w:szCs w:val="24"/>
              </w:rPr>
            </w:pPr>
            <w:r w:rsidRPr="008F721B">
              <w:rPr>
                <w:rFonts w:cs="Times New Roman"/>
                <w:szCs w:val="24"/>
              </w:rPr>
              <w:t xml:space="preserve"> Schellongowski P. и соавт.</w:t>
            </w:r>
            <w:r>
              <w:rPr>
                <w:rFonts w:cs="Times New Roman"/>
                <w:szCs w:val="24"/>
                <w:lang w:val="en-US"/>
              </w:rPr>
              <w:t xml:space="preserve">, 2011 </w:t>
            </w:r>
            <w:r>
              <w:rPr>
                <w:rFonts w:cs="Times New Roman"/>
                <w:szCs w:val="24"/>
                <w:lang w:val="en-US"/>
              </w:rPr>
              <w:fldChar w:fldCharType="begin" w:fldLock="1"/>
            </w:r>
            <w:r>
              <w:rPr>
                <w:rFonts w:cs="Times New Roman"/>
                <w:szCs w:val="24"/>
                <w:lang w:val="en-US"/>
              </w:rPr>
              <w:instrText>ADDIN CSL_CITATION {"citationItems":[{"id":"ITEM-1","itemData":{"DOI":"10.3324/haematol.2010.031583","ISBN":"1592-8721","ISSN":"03906078","PMID":"21071501","abstract":"Acute myeloid leukemia is a life-threatening disease associated with high mortality rates. A substantial number of patients require intensive care. This investigation analyzes risk factors predicting admission to the intensive care unit in patients with acute myeloid leukemia eligible for induction chemotherapy, the outcome of these patients, and prognostic factors predicting their survival.","author":[{"dropping-particle":"","family":"Schellongowski","given":"Peter","non-dropping-particle":"","parse-names":false,"suffix":""},{"dropping-particle":"","family":"Staudinger","given":"Thomas","non-dropping-particle":"","parse-names":false,"suffix":""},{"dropping-particle":"","family":"Kundi","given":"Michael","non-dropping-particle":"","parse-names":false,"suffix":""},{"dropping-particle":"","family":"Laczika","given":"Klaus","non-dropping-particle":"","parse-names":false,"suffix":""},{"dropping-particle":"","family":"Locker","given":"Gottfried J.","non-dropping-particle":"","parse-names":false,"suffix":""},{"dropping-particle":"","family":"Bojic","given":"Andja","non-dropping-particle":"","parse-names":false,"suffix":""},{"dropping-particle":"","family":"Robak","given":"Oliver","non-dropping-particle":"","parse-names":false,"suffix":""},{"dropping-particle":"","family":"Fuhrmann","given":"Valentin","non-dropping-particle":"","parse-names":false,"suffix":""},{"dropping-particle":"","family":"Jäger","given":"Ulrich","non-dropping-particle":"","parse-names":false,"suffix":""},{"dropping-particle":"","family":"Valent","given":"Peter","non-dropping-particle":"","parse-names":false,"suffix":""},{"dropping-particle":"","family":"Sperr","given":"Wolfgang R.","non-dropping-particle":"","parse-names":false,"suffix":""}],"container-title":"Haematologica","id":"ITEM-1","issue":"2","issued":{"date-parts":[["2011","2"]]},"page":"231-237","title":"Prognostic factors for intensive care unit admission, intensive care outcome, and post-intensive care survival in patients with de novo acute myeloid leukemia: a single center experience","type":"article-journal","volume":"96"},"uris":["http://www.mendeley.com/documents/?uuid=7251567b-1fba-40bf-b96a-3bcd8583314e"]}],"mendeley":{"formattedCitation":"[112]","plainTextFormattedCitation":"[112]","previouslyFormattedCitation":"[112]"},"properties":{"noteIndex":0},"schema":"https://github.com/citation-style-language/schema/raw/master/csl-citation.json"}</w:instrText>
            </w:r>
            <w:r>
              <w:rPr>
                <w:rFonts w:cs="Times New Roman"/>
                <w:szCs w:val="24"/>
                <w:lang w:val="en-US"/>
              </w:rPr>
              <w:fldChar w:fldCharType="separate"/>
            </w:r>
            <w:r w:rsidRPr="0000369C">
              <w:rPr>
                <w:rFonts w:cs="Times New Roman"/>
                <w:noProof/>
                <w:szCs w:val="24"/>
                <w:lang w:val="en-US"/>
              </w:rPr>
              <w:t>[112]</w:t>
            </w:r>
            <w:r>
              <w:rPr>
                <w:rFonts w:cs="Times New Roman"/>
                <w:szCs w:val="24"/>
                <w:lang w:val="en-US"/>
              </w:rPr>
              <w:fldChar w:fldCharType="end"/>
            </w:r>
            <w:r w:rsidRPr="008F721B">
              <w:rPr>
                <w:rFonts w:cs="Times New Roman"/>
                <w:szCs w:val="24"/>
              </w:rPr>
              <w:t xml:space="preserve"> </w:t>
            </w:r>
          </w:p>
        </w:tc>
        <w:tc>
          <w:tcPr>
            <w:tcW w:w="425" w:type="pct"/>
          </w:tcPr>
          <w:p w14:paraId="7287A875" w14:textId="77777777" w:rsidR="0000369C" w:rsidRPr="008F721B" w:rsidRDefault="0000369C" w:rsidP="001C46FD">
            <w:pPr>
              <w:jc w:val="center"/>
              <w:rPr>
                <w:rFonts w:cs="Times New Roman"/>
                <w:szCs w:val="24"/>
              </w:rPr>
            </w:pPr>
            <w:r w:rsidRPr="008F721B">
              <w:rPr>
                <w:rFonts w:cs="Times New Roman"/>
                <w:szCs w:val="24"/>
              </w:rPr>
              <w:t>50</w:t>
            </w:r>
          </w:p>
        </w:tc>
        <w:tc>
          <w:tcPr>
            <w:tcW w:w="490" w:type="pct"/>
          </w:tcPr>
          <w:p w14:paraId="59568EE8" w14:textId="77777777" w:rsidR="0000369C" w:rsidRPr="008F721B" w:rsidRDefault="0000369C" w:rsidP="001C46FD">
            <w:pPr>
              <w:jc w:val="center"/>
              <w:rPr>
                <w:rFonts w:cs="Times New Roman"/>
                <w:szCs w:val="24"/>
              </w:rPr>
            </w:pPr>
            <w:r w:rsidRPr="008F721B">
              <w:rPr>
                <w:rFonts w:cs="Times New Roman"/>
                <w:szCs w:val="24"/>
              </w:rPr>
              <w:t>8</w:t>
            </w:r>
          </w:p>
        </w:tc>
        <w:tc>
          <w:tcPr>
            <w:tcW w:w="609" w:type="pct"/>
          </w:tcPr>
          <w:p w14:paraId="68B5449A" w14:textId="77777777" w:rsidR="0000369C" w:rsidRPr="008F721B" w:rsidRDefault="0000369C" w:rsidP="001C46FD">
            <w:pPr>
              <w:jc w:val="center"/>
              <w:rPr>
                <w:rFonts w:cs="Times New Roman"/>
                <w:szCs w:val="24"/>
              </w:rPr>
            </w:pPr>
            <w:r w:rsidRPr="008F721B">
              <w:rPr>
                <w:rFonts w:cs="Times New Roman"/>
                <w:szCs w:val="24"/>
              </w:rPr>
              <w:t>н/д</w:t>
            </w:r>
          </w:p>
        </w:tc>
        <w:tc>
          <w:tcPr>
            <w:tcW w:w="687" w:type="pct"/>
          </w:tcPr>
          <w:p w14:paraId="0D15BE7C" w14:textId="77777777" w:rsidR="0000369C" w:rsidRPr="008F721B" w:rsidRDefault="0000369C" w:rsidP="001C46FD">
            <w:pPr>
              <w:jc w:val="center"/>
              <w:rPr>
                <w:rFonts w:cs="Times New Roman"/>
                <w:szCs w:val="24"/>
              </w:rPr>
            </w:pPr>
            <w:r w:rsidRPr="008F721B">
              <w:rPr>
                <w:rFonts w:cs="Times New Roman"/>
                <w:szCs w:val="24"/>
              </w:rPr>
              <w:t>3,2</w:t>
            </w:r>
          </w:p>
        </w:tc>
        <w:tc>
          <w:tcPr>
            <w:tcW w:w="456" w:type="pct"/>
          </w:tcPr>
          <w:p w14:paraId="16395C2A" w14:textId="77777777" w:rsidR="0000369C" w:rsidRPr="008F721B" w:rsidRDefault="0000369C" w:rsidP="001C46FD">
            <w:pPr>
              <w:jc w:val="center"/>
              <w:rPr>
                <w:rFonts w:cs="Times New Roman"/>
                <w:szCs w:val="24"/>
              </w:rPr>
            </w:pPr>
            <w:r w:rsidRPr="008F721B">
              <w:rPr>
                <w:rFonts w:cs="Times New Roman"/>
                <w:szCs w:val="24"/>
              </w:rPr>
              <w:t>3,2</w:t>
            </w:r>
          </w:p>
        </w:tc>
        <w:tc>
          <w:tcPr>
            <w:tcW w:w="515" w:type="pct"/>
          </w:tcPr>
          <w:p w14:paraId="319164D1" w14:textId="77777777" w:rsidR="0000369C" w:rsidRPr="008F721B" w:rsidRDefault="0000369C" w:rsidP="001C46FD">
            <w:pPr>
              <w:jc w:val="center"/>
              <w:rPr>
                <w:rFonts w:cs="Times New Roman"/>
                <w:szCs w:val="24"/>
              </w:rPr>
            </w:pPr>
            <w:r w:rsidRPr="008F721B">
              <w:rPr>
                <w:rFonts w:cs="Times New Roman"/>
                <w:szCs w:val="24"/>
              </w:rPr>
              <w:t>22</w:t>
            </w:r>
          </w:p>
        </w:tc>
        <w:tc>
          <w:tcPr>
            <w:tcW w:w="536" w:type="pct"/>
          </w:tcPr>
          <w:p w14:paraId="31D56A30" w14:textId="77777777" w:rsidR="0000369C" w:rsidRPr="008F721B" w:rsidRDefault="0000369C" w:rsidP="001C46FD">
            <w:pPr>
              <w:jc w:val="center"/>
              <w:rPr>
                <w:rFonts w:cs="Times New Roman"/>
                <w:szCs w:val="24"/>
              </w:rPr>
            </w:pPr>
            <w:r w:rsidRPr="008F721B">
              <w:rPr>
                <w:rFonts w:cs="Times New Roman"/>
                <w:szCs w:val="24"/>
              </w:rPr>
              <w:t>н/д</w:t>
            </w:r>
          </w:p>
        </w:tc>
      </w:tr>
      <w:tr w:rsidR="0000369C" w:rsidRPr="008F721B" w14:paraId="64A59B66" w14:textId="77777777" w:rsidTr="001C46FD">
        <w:trPr>
          <w:trHeight w:val="822"/>
        </w:trPr>
        <w:tc>
          <w:tcPr>
            <w:tcW w:w="1279" w:type="pct"/>
          </w:tcPr>
          <w:p w14:paraId="2DCE7141" w14:textId="68B0E667" w:rsidR="0000369C" w:rsidRPr="008F721B" w:rsidRDefault="0000369C" w:rsidP="001C46FD">
            <w:pPr>
              <w:rPr>
                <w:rFonts w:cs="Times New Roman"/>
                <w:szCs w:val="24"/>
              </w:rPr>
            </w:pPr>
            <w:r w:rsidRPr="008F721B">
              <w:rPr>
                <w:rFonts w:cs="Times New Roman"/>
                <w:szCs w:val="24"/>
              </w:rPr>
              <w:t>Grgić M. и соавт.</w:t>
            </w:r>
            <w:r>
              <w:rPr>
                <w:rFonts w:cs="Times New Roman"/>
                <w:szCs w:val="24"/>
                <w:lang w:val="en-US"/>
              </w:rPr>
              <w:t xml:space="preserve">, 2014 </w:t>
            </w:r>
            <w:r>
              <w:rPr>
                <w:rFonts w:cs="Times New Roman"/>
                <w:szCs w:val="24"/>
                <w:lang w:val="en-US"/>
              </w:rPr>
              <w:fldChar w:fldCharType="begin" w:fldLock="1"/>
            </w:r>
            <w:r>
              <w:rPr>
                <w:rFonts w:cs="Times New Roman"/>
                <w:szCs w:val="24"/>
                <w:lang w:val="en-US"/>
              </w:rPr>
              <w:instrText>ADDIN CSL_CITATION {"citationItems":[{"id":"ITEM-1","itemData":{"DOI":"10.1179/1607845414Y.0000000206","ISSN":"16078454","PMID":"25310461","abstract":"Objectives: To analyze clinical characteristics, treatment, outcomes of critically ill patients with hematologic malignancies (HM) admitted to the medical intensive care unit (ICU) and to identify predictors of adverse outcome. Methods:We analyzed prospectively 170 patients. Data included: demographic characteristics, hematologic diagnosis, reasons for ICU admission, transplant status, the presence of neutropenia, acute physiology and chronic health evaluation-II and sequential organ failure assessment scores, and level of organ support. Predictors of ICU mortality were evaluated using univariate and multivariate analysis. Results: In total, 73% of patients had high-grade malignancy, 47.6% received intensive chemotherapy before admission, and 30% underwent hematologic stem cell transplantation procedure. In total, 116 (68.2%) of patients were mechanically ventilated; 88 (51.8%) required invasive mechanical ventilation (MV). Noninvasive ventilation started in 28 (16.5%) patients and was successful in 11 (6.5%). The ICU mortality rate was 53.5%, and the mortality of MV patients was 75.9%. Need for vasopressors at admission and MV were identified as independent predictors of fatal outcome. Conclusion: The ICU mortality of critically ill patients with HM is high, particularly in the group of MV. Need for vasopressors at admission and MV were independent predictors of ICU mortality. Majority of patients required invasive MV due to severe respiratory failure and non-invasive MV was sufficient only in small number of cases with favorable outcome.","author":[{"dropping-particle":"","family":"Medić","given":"Marijana Grgić","non-dropping-particle":"","parse-names":false,"suffix":""},{"dropping-particle":"","family":"Gornik","given":"Ivan","non-dropping-particle":"","parse-names":false,"suffix":""},{"dropping-particle":"","family":"Gornik","given":"Ivan","non-dropping-particle":"","parse-names":false,"suffix":""},{"dropping-particle":"","family":"Gašparović","given":"Vladimir","non-dropping-particle":"","parse-names":false,"suffix":""},{"dropping-particle":"","family":"Gašparović","given":"Vladimir","non-dropping-particle":"","parse-names":false,"suffix":""}],"container-title":"Hematology","id":"ITEM-1","issue":"5","issued":{"date-parts":[["2015"]]},"page":"247-253","publisher":"Maney Publishing","title":"Hematologic malignancies in the medical intensive care unit – Outcomes and prognostic factors","type":"article-journal","volume":"20"},"uris":["http://www.mendeley.com/documents/?uuid=fb502aa6-e4e8-3f2b-9965-ccaad23e1eee"]}],"mendeley":{"formattedCitation":"[123]","plainTextFormattedCitation":"[123]","previouslyFormattedCitation":"[123]"},"properties":{"noteIndex":0},"schema":"https://github.com/citation-style-language/schema/raw/master/csl-citation.json"}</w:instrText>
            </w:r>
            <w:r>
              <w:rPr>
                <w:rFonts w:cs="Times New Roman"/>
                <w:szCs w:val="24"/>
                <w:lang w:val="en-US"/>
              </w:rPr>
              <w:fldChar w:fldCharType="separate"/>
            </w:r>
            <w:r w:rsidRPr="0000369C">
              <w:rPr>
                <w:rFonts w:cs="Times New Roman"/>
                <w:noProof/>
                <w:szCs w:val="24"/>
                <w:lang w:val="en-US"/>
              </w:rPr>
              <w:t>[123]</w:t>
            </w:r>
            <w:r>
              <w:rPr>
                <w:rFonts w:cs="Times New Roman"/>
                <w:szCs w:val="24"/>
                <w:lang w:val="en-US"/>
              </w:rPr>
              <w:fldChar w:fldCharType="end"/>
            </w:r>
            <w:r w:rsidRPr="008F721B">
              <w:rPr>
                <w:rFonts w:cs="Times New Roman"/>
                <w:szCs w:val="24"/>
              </w:rPr>
              <w:t xml:space="preserve"> </w:t>
            </w:r>
          </w:p>
        </w:tc>
        <w:tc>
          <w:tcPr>
            <w:tcW w:w="425" w:type="pct"/>
          </w:tcPr>
          <w:p w14:paraId="63DBA008" w14:textId="77777777" w:rsidR="0000369C" w:rsidRPr="008F721B" w:rsidRDefault="0000369C" w:rsidP="001C46FD">
            <w:pPr>
              <w:jc w:val="center"/>
              <w:rPr>
                <w:rFonts w:cs="Times New Roman"/>
                <w:szCs w:val="24"/>
              </w:rPr>
            </w:pPr>
            <w:r w:rsidRPr="008F721B">
              <w:rPr>
                <w:rFonts w:cs="Times New Roman"/>
                <w:szCs w:val="24"/>
              </w:rPr>
              <w:t>45</w:t>
            </w:r>
          </w:p>
        </w:tc>
        <w:tc>
          <w:tcPr>
            <w:tcW w:w="490" w:type="pct"/>
          </w:tcPr>
          <w:p w14:paraId="7B972F70" w14:textId="77777777" w:rsidR="0000369C" w:rsidRPr="008F721B" w:rsidRDefault="0000369C" w:rsidP="001C46FD">
            <w:pPr>
              <w:jc w:val="center"/>
              <w:rPr>
                <w:rFonts w:cs="Times New Roman"/>
                <w:szCs w:val="24"/>
              </w:rPr>
            </w:pPr>
            <w:r w:rsidRPr="008F721B">
              <w:rPr>
                <w:rFonts w:cs="Times New Roman"/>
                <w:szCs w:val="24"/>
              </w:rPr>
              <w:t>37</w:t>
            </w:r>
          </w:p>
        </w:tc>
        <w:tc>
          <w:tcPr>
            <w:tcW w:w="609" w:type="pct"/>
          </w:tcPr>
          <w:p w14:paraId="7203E866" w14:textId="77777777" w:rsidR="0000369C" w:rsidRPr="008F721B" w:rsidRDefault="0000369C" w:rsidP="001C46FD">
            <w:pPr>
              <w:jc w:val="center"/>
              <w:rPr>
                <w:rFonts w:cs="Times New Roman"/>
                <w:szCs w:val="24"/>
              </w:rPr>
            </w:pPr>
            <w:r w:rsidRPr="008F721B">
              <w:rPr>
                <w:rFonts w:cs="Times New Roman"/>
                <w:szCs w:val="24"/>
              </w:rPr>
              <w:t>5</w:t>
            </w:r>
          </w:p>
        </w:tc>
        <w:tc>
          <w:tcPr>
            <w:tcW w:w="687" w:type="pct"/>
          </w:tcPr>
          <w:p w14:paraId="1AF7960E" w14:textId="77777777" w:rsidR="0000369C" w:rsidRPr="008F721B" w:rsidRDefault="0000369C" w:rsidP="001C46FD">
            <w:pPr>
              <w:jc w:val="center"/>
              <w:rPr>
                <w:rFonts w:cs="Times New Roman"/>
                <w:szCs w:val="24"/>
              </w:rPr>
            </w:pPr>
            <w:r w:rsidRPr="008F721B">
              <w:rPr>
                <w:rFonts w:cs="Times New Roman"/>
                <w:szCs w:val="24"/>
              </w:rPr>
              <w:t>н/д</w:t>
            </w:r>
          </w:p>
        </w:tc>
        <w:tc>
          <w:tcPr>
            <w:tcW w:w="456" w:type="pct"/>
          </w:tcPr>
          <w:p w14:paraId="27445A73" w14:textId="77777777" w:rsidR="0000369C" w:rsidRPr="008F721B" w:rsidRDefault="0000369C" w:rsidP="001C46FD">
            <w:pPr>
              <w:jc w:val="center"/>
              <w:rPr>
                <w:rFonts w:cs="Times New Roman"/>
                <w:szCs w:val="24"/>
              </w:rPr>
            </w:pPr>
            <w:r w:rsidRPr="008F721B">
              <w:rPr>
                <w:rFonts w:cs="Times New Roman"/>
                <w:szCs w:val="24"/>
              </w:rPr>
              <w:t>н/д</w:t>
            </w:r>
          </w:p>
        </w:tc>
        <w:tc>
          <w:tcPr>
            <w:tcW w:w="515" w:type="pct"/>
          </w:tcPr>
          <w:p w14:paraId="044EAC92" w14:textId="77777777" w:rsidR="0000369C" w:rsidRPr="008F721B" w:rsidRDefault="0000369C" w:rsidP="001C46FD">
            <w:pPr>
              <w:jc w:val="center"/>
              <w:rPr>
                <w:rFonts w:cs="Times New Roman"/>
                <w:szCs w:val="24"/>
              </w:rPr>
            </w:pPr>
            <w:r w:rsidRPr="008F721B">
              <w:rPr>
                <w:rFonts w:cs="Times New Roman"/>
                <w:szCs w:val="24"/>
              </w:rPr>
              <w:t>н/д</w:t>
            </w:r>
          </w:p>
        </w:tc>
        <w:tc>
          <w:tcPr>
            <w:tcW w:w="536" w:type="pct"/>
          </w:tcPr>
          <w:p w14:paraId="593F18C1" w14:textId="77777777" w:rsidR="0000369C" w:rsidRPr="008F721B" w:rsidRDefault="0000369C" w:rsidP="001C46FD">
            <w:pPr>
              <w:jc w:val="center"/>
              <w:rPr>
                <w:rFonts w:cs="Times New Roman"/>
                <w:szCs w:val="24"/>
              </w:rPr>
            </w:pPr>
            <w:r w:rsidRPr="008F721B">
              <w:rPr>
                <w:rFonts w:cs="Times New Roman"/>
                <w:szCs w:val="24"/>
              </w:rPr>
              <w:t>13</w:t>
            </w:r>
          </w:p>
        </w:tc>
      </w:tr>
      <w:tr w:rsidR="0000369C" w:rsidRPr="008F721B" w14:paraId="569E9BA7" w14:textId="77777777" w:rsidTr="001C46FD">
        <w:trPr>
          <w:trHeight w:val="401"/>
        </w:trPr>
        <w:tc>
          <w:tcPr>
            <w:tcW w:w="1279" w:type="pct"/>
          </w:tcPr>
          <w:p w14:paraId="4047787D" w14:textId="5EA524F8" w:rsidR="0000369C" w:rsidRPr="008F721B" w:rsidRDefault="0000369C" w:rsidP="001C46FD">
            <w:pPr>
              <w:rPr>
                <w:rFonts w:cs="Times New Roman"/>
                <w:szCs w:val="24"/>
              </w:rPr>
            </w:pPr>
            <w:r w:rsidRPr="008F721B">
              <w:rPr>
                <w:rFonts w:cs="Times New Roman"/>
                <w:szCs w:val="24"/>
              </w:rPr>
              <w:t>Jackson K. и соавт.</w:t>
            </w:r>
            <w:r>
              <w:rPr>
                <w:rFonts w:cs="Times New Roman"/>
                <w:szCs w:val="24"/>
              </w:rPr>
              <w:t xml:space="preserve">, 2014 </w:t>
            </w:r>
            <w:r>
              <w:rPr>
                <w:rFonts w:cs="Times New Roman"/>
                <w:szCs w:val="24"/>
                <w:lang w:val="en-US"/>
              </w:rPr>
              <w:fldChar w:fldCharType="begin" w:fldLock="1"/>
            </w:r>
            <w:r>
              <w:rPr>
                <w:rFonts w:cs="Times New Roman"/>
                <w:szCs w:val="24"/>
                <w:lang w:val="en-US"/>
              </w:rPr>
              <w:instrText>ADDIN CSL_CITATION {"citationItems":[{"id":"ITEM-1","itemData":{"DOI":"10.3109/10428194.2013.796045","ISBN":"6173176211","ISSN":"1029-2403","PMID":"23597137","abstract":"Patients receiving treatment for acute myeloid leukemia (AML) commonly experience life-threatening complications requiring intensive care unit (ICU) support. This is a retrospective study of 505 patients with newly diagnosed AML who were treated with intensive chemotherapy between January 1999 and December 2010. Eighty-three patients (16.4%) were identified who had required 92 ICU admissions. The indication for ICU admission was hemodynamic instability in 47.0% of patients and respiratory impairment in 42.2%. The underlying pathology was most commonly infection (77.1%). Vasopressors were required in 67.5% of admissions, mechanical ventilation in 60.2% and hemodialysis in 15.7%. Rates of survival to hospital discharge and 12 months were 59.0% and 41.3%, respectively. Mechanical ventilation use and higher fibrinogen were independently associated with mortality prior to hospital discharge, and mechanical ventilation use and AML cytogenetic risk group were predictive of mortality within 12 months of ICU admission. By providing a more accurate estimation of a patient's chance of recovery, such prognostic factors may contribute to decision-making about the appropriateness of admission to the ICU or continuation of intensive life-sustaining measures.","author":[{"dropping-particle":"","family":"Jackson","given":"Kathryn","non-dropping-particle":"","parse-names":false,"suffix":""},{"dropping-particle":"","family":"Mollee","given":"Peter","non-dropping-particle":"","parse-names":false,"suffix":""},{"dropping-particle":"","family":"Morris","given":"Kirk","non-dropping-particle":"","parse-names":false,"suffix":""},{"dropping-particle":"","family":"Butler","given":"Jason","non-dropping-particle":"","parse-names":false,"suffix":""},{"dropping-particle":"","family":"Jackson","given":"Dwane","non-dropping-particle":"","parse-names":false,"suffix":""},{"dropping-particle":"","family":"Kruger","given":"Peter","non-dropping-particle":"","parse-names":false,"suffix":""},{"dropping-particle":"","family":"Klein","given":"Kerenaftali","non-dropping-particle":"","parse-names":false,"suffix":""},{"dropping-particle":"","family":"Kennedy","given":"Glen","non-dropping-particle":"","parse-names":false,"suffix":""}],"container-title":"Leukemia &amp; lymphoma","id":"ITEM-1","issue":"April","issued":{"date-parts":[["2013","1"]]},"page":"1-8","publisher":"Leuk Lymphoma","title":"Outcomes and prognostic factors for patients with acute myeloid leukemia admitted to the intensive care unit","type":"article-journal","volume":"55"},"uris":["http://www.mendeley.com/documents/?uuid=af5715ea-f420-4629-9acb-36739876454f"]}],"mendeley":{"formattedCitation":"[114]","plainTextFormattedCitation":"[114]","previouslyFormattedCitation":"[114]"},"properties":{"noteIndex":0},"schema":"https://github.com/citation-style-language/schema/raw/master/csl-citation.json"}</w:instrText>
            </w:r>
            <w:r>
              <w:rPr>
                <w:rFonts w:cs="Times New Roman"/>
                <w:szCs w:val="24"/>
                <w:lang w:val="en-US"/>
              </w:rPr>
              <w:fldChar w:fldCharType="separate"/>
            </w:r>
            <w:r w:rsidRPr="0000369C">
              <w:rPr>
                <w:rFonts w:cs="Times New Roman"/>
                <w:noProof/>
                <w:szCs w:val="24"/>
                <w:lang w:val="en-US"/>
              </w:rPr>
              <w:t>[114]</w:t>
            </w:r>
            <w:r>
              <w:rPr>
                <w:rFonts w:cs="Times New Roman"/>
                <w:szCs w:val="24"/>
                <w:lang w:val="en-US"/>
              </w:rPr>
              <w:fldChar w:fldCharType="end"/>
            </w:r>
            <w:r w:rsidRPr="008F721B">
              <w:rPr>
                <w:rFonts w:cs="Times New Roman"/>
                <w:szCs w:val="24"/>
              </w:rPr>
              <w:t xml:space="preserve"> </w:t>
            </w:r>
          </w:p>
        </w:tc>
        <w:tc>
          <w:tcPr>
            <w:tcW w:w="425" w:type="pct"/>
          </w:tcPr>
          <w:p w14:paraId="10E6247C" w14:textId="77777777" w:rsidR="0000369C" w:rsidRPr="008F721B" w:rsidRDefault="0000369C" w:rsidP="001C46FD">
            <w:pPr>
              <w:jc w:val="center"/>
              <w:rPr>
                <w:rFonts w:cs="Times New Roman"/>
                <w:szCs w:val="24"/>
              </w:rPr>
            </w:pPr>
            <w:r w:rsidRPr="008F721B">
              <w:rPr>
                <w:rFonts w:cs="Times New Roman"/>
                <w:szCs w:val="24"/>
              </w:rPr>
              <w:t>47</w:t>
            </w:r>
          </w:p>
        </w:tc>
        <w:tc>
          <w:tcPr>
            <w:tcW w:w="490" w:type="pct"/>
          </w:tcPr>
          <w:p w14:paraId="6812710D" w14:textId="77777777" w:rsidR="0000369C" w:rsidRPr="008F721B" w:rsidRDefault="0000369C" w:rsidP="001C46FD">
            <w:pPr>
              <w:jc w:val="center"/>
              <w:rPr>
                <w:rFonts w:cs="Times New Roman"/>
                <w:szCs w:val="24"/>
              </w:rPr>
            </w:pPr>
            <w:r w:rsidRPr="008F721B">
              <w:rPr>
                <w:rFonts w:cs="Times New Roman"/>
                <w:szCs w:val="24"/>
              </w:rPr>
              <w:t>42</w:t>
            </w:r>
          </w:p>
        </w:tc>
        <w:tc>
          <w:tcPr>
            <w:tcW w:w="609" w:type="pct"/>
          </w:tcPr>
          <w:p w14:paraId="2687EEEB" w14:textId="77777777" w:rsidR="0000369C" w:rsidRPr="008F721B" w:rsidRDefault="0000369C" w:rsidP="001C46FD">
            <w:pPr>
              <w:jc w:val="center"/>
              <w:rPr>
                <w:rFonts w:cs="Times New Roman"/>
                <w:szCs w:val="24"/>
              </w:rPr>
            </w:pPr>
            <w:r w:rsidRPr="008F721B">
              <w:rPr>
                <w:rFonts w:cs="Times New Roman"/>
                <w:szCs w:val="24"/>
              </w:rPr>
              <w:t>н/д</w:t>
            </w:r>
          </w:p>
        </w:tc>
        <w:tc>
          <w:tcPr>
            <w:tcW w:w="687" w:type="pct"/>
          </w:tcPr>
          <w:p w14:paraId="47E57620" w14:textId="77777777" w:rsidR="0000369C" w:rsidRPr="008F721B" w:rsidRDefault="0000369C" w:rsidP="001C46FD">
            <w:pPr>
              <w:jc w:val="center"/>
              <w:rPr>
                <w:rFonts w:cs="Times New Roman"/>
                <w:szCs w:val="24"/>
              </w:rPr>
            </w:pPr>
            <w:r w:rsidRPr="008F721B">
              <w:rPr>
                <w:rFonts w:cs="Times New Roman"/>
                <w:szCs w:val="24"/>
              </w:rPr>
              <w:t>н/д</w:t>
            </w:r>
          </w:p>
        </w:tc>
        <w:tc>
          <w:tcPr>
            <w:tcW w:w="456" w:type="pct"/>
          </w:tcPr>
          <w:p w14:paraId="48F191C6" w14:textId="77777777" w:rsidR="0000369C" w:rsidRPr="008F721B" w:rsidRDefault="0000369C" w:rsidP="001C46FD">
            <w:pPr>
              <w:jc w:val="center"/>
              <w:rPr>
                <w:rFonts w:cs="Times New Roman"/>
                <w:szCs w:val="24"/>
              </w:rPr>
            </w:pPr>
            <w:r w:rsidRPr="008F721B">
              <w:rPr>
                <w:rFonts w:cs="Times New Roman"/>
                <w:szCs w:val="24"/>
              </w:rPr>
              <w:t>н/д</w:t>
            </w:r>
          </w:p>
        </w:tc>
        <w:tc>
          <w:tcPr>
            <w:tcW w:w="515" w:type="pct"/>
          </w:tcPr>
          <w:p w14:paraId="76724533" w14:textId="77777777" w:rsidR="0000369C" w:rsidRPr="008F721B" w:rsidRDefault="0000369C" w:rsidP="001C46FD">
            <w:pPr>
              <w:jc w:val="center"/>
              <w:rPr>
                <w:rFonts w:cs="Times New Roman"/>
                <w:szCs w:val="24"/>
              </w:rPr>
            </w:pPr>
            <w:r w:rsidRPr="008F721B">
              <w:rPr>
                <w:rFonts w:cs="Times New Roman"/>
                <w:szCs w:val="24"/>
              </w:rPr>
              <w:t>7,2</w:t>
            </w:r>
          </w:p>
        </w:tc>
        <w:tc>
          <w:tcPr>
            <w:tcW w:w="536" w:type="pct"/>
          </w:tcPr>
          <w:p w14:paraId="18D5A16D" w14:textId="77777777" w:rsidR="0000369C" w:rsidRPr="008F721B" w:rsidRDefault="0000369C" w:rsidP="001C46FD">
            <w:pPr>
              <w:jc w:val="center"/>
              <w:rPr>
                <w:rFonts w:cs="Times New Roman"/>
                <w:szCs w:val="24"/>
              </w:rPr>
            </w:pPr>
            <w:r w:rsidRPr="008F721B">
              <w:rPr>
                <w:rFonts w:cs="Times New Roman"/>
                <w:szCs w:val="24"/>
              </w:rPr>
              <w:t>н/д</w:t>
            </w:r>
          </w:p>
        </w:tc>
      </w:tr>
      <w:tr w:rsidR="0000369C" w:rsidRPr="008F721B" w14:paraId="0318F43F" w14:textId="77777777" w:rsidTr="001C46FD">
        <w:trPr>
          <w:trHeight w:val="401"/>
        </w:trPr>
        <w:tc>
          <w:tcPr>
            <w:tcW w:w="1279" w:type="pct"/>
          </w:tcPr>
          <w:p w14:paraId="1DC63355" w14:textId="51DE523A" w:rsidR="0000369C" w:rsidRPr="008F721B" w:rsidRDefault="0000369C" w:rsidP="001C46FD">
            <w:pPr>
              <w:rPr>
                <w:rFonts w:cs="Times New Roman"/>
                <w:szCs w:val="24"/>
              </w:rPr>
            </w:pPr>
            <w:r w:rsidRPr="008F721B">
              <w:rPr>
                <w:rFonts w:cs="Times New Roman"/>
                <w:szCs w:val="24"/>
              </w:rPr>
              <w:t>Ahmed T. и соавт.</w:t>
            </w:r>
            <w:r>
              <w:rPr>
                <w:rFonts w:cs="Times New Roman"/>
                <w:szCs w:val="24"/>
                <w:lang w:val="en-US"/>
              </w:rPr>
              <w:t>, 2017</w:t>
            </w:r>
            <w:r w:rsidRPr="008F721B">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{"citationItems":[{"id":"ITEM-1","itemData":{"DOI":"10.1016/j.leukres.2017.09.017","ISSN":"18735835","PMID":"28985622","abstract":"Patients with Acute Myeloid Leukemia (AML) have compromised marrow function and chemotherapy causes further suppression. As a result complications are frequent, and patients may require admission to the intensive care unit (ICU). How codes status changes when these events occur and how those changes influence outcome are largely unknown. Outcomes for adult patients with AML, undergoing induction chemotherapy, and transferred to the ICU between January 2000 and December 2013 were analyzed. 94 patients were included. Median survival was 1.3 months. At 3 and 6 months overall survival (OS) was 27% and 18% respectively. Respiratory failure was the most common reason for transfer to ICU (88%), with 63% requiring mechanical ventilation at transfer. Other reasons included: cardiac arrest (18%), septic shock (17%), hypotension (9%), and acute renal failure (9%). The most frequent interventions were mechanical ventilation in 85%, vasopressors in 62%, and hemodialysis in 30%. Following transfer 55 patients (58%) had a change in code status. Overall, 46 patients (49%) changed from Full Code (FC) to Comfort Care (CC), 7 (7%) from FC to Do Not Resuscitate (DNR), and 2 (2%) from DNR to CC. For the entire cohort, ICU mortality (IM) was 61% and hospital mortality (HM) was 71%. For FC or DNR patients, IM was 30% and HM was 41%. For CC patients, IM was 90% and HM was 100%. Overall, 27 patients (29%) survived to discharge. Of those discharged, 22 (81%) were alive at 3 months and 17 (63%) were alive at 6 months. In conclusion, patients that required ICU admission during induction chemotherapy have a poor prognosis. Code status changed during the ICU stay for the majority of patients and always to a less aggressive status.","author":[{"dropping-particle":"","family":"Ahmed","given":"Tamjeed","non-dropping-particle":"","parse-names":false,"suffix":""},{"dropping-particle":"","family":"Koch","given":"Abby L.","non-dropping-particle":"","parse-names":false,"suffix":""},{"dropping-particle":"","family":"Isom","given":"Scott","non-dropping-particle":"","parse-names":false,"suffix":""},{"dropping-particle":"","family":"Klepin","given":"Heidi D.","non-dropping-particle":"","parse-names":false,"suffix":""},{"dropping-particle":"","family":"Bishop","given":"Jonathan M.","non-dropping-particle":"","parse-names":false,"suffix":""},{"dropping-particle":"","family":"Ellis","given":"Leslie R.","non-dropping-particle":"","parse-names":false,"suffix":""},{"dropping-particle":"","family":"Berenzon","given":"Dmitriy","non-dropping-particle":"","parse-names":false,"suffix":""},{"dropping-particle":"","family":"Howard","given":"Dianna","non-dropping-particle":"","parse-names":false,"suffix":""},{"dropping-particle":"","family":"Lyerly","given":"Susan","non-dropping-particle":"","parse-names":false,"suffix":""},{"dropping-particle":"","family":"Powell","given":"Bayard L.","non-dropping-particle":"","parse-names":false,"suffix":""},{"dropping-particle":"","family":"Pardee","given":"Timothy S.","non-dropping-particle":"","parse-names":false,"suffix":""}],"container-title":"Leukemia Research","id":"ITEM-1","issued":{"date-parts":[["2017","11","1"]]},"page":"51-55","publisher":"Elsevier Ltd","title":"Outcomes and changes in code status of patients with acute myeloid leukemia undergoing induction chemotherapy who were transferred to the intensive care unit","type":"article-journal","volume":"62"},"uris":["http://www.mendeley.com/documents/?uuid=06d1336d-0ad4-3138-ba61-9709dde152aa"]}],"mendeley":{"formattedCitation":"[124]","plainTextFormattedCitation":"[124]","previouslyFormattedCitation":"[124]"},"properties":{"noteIndex":0},"schema":"https://github.com/citation-style-language/schema/raw/master/csl-citation.json"}</w:instrText>
            </w:r>
            <w:r>
              <w:rPr>
                <w:rFonts w:cs="Times New Roman"/>
                <w:szCs w:val="24"/>
              </w:rPr>
              <w:fldChar w:fldCharType="separate"/>
            </w:r>
            <w:r w:rsidRPr="0000369C">
              <w:rPr>
                <w:rFonts w:cs="Times New Roman"/>
                <w:noProof/>
                <w:szCs w:val="24"/>
              </w:rPr>
              <w:t>[124]</w:t>
            </w:r>
            <w:r>
              <w:rPr>
                <w:rFonts w:cs="Times New Roman"/>
                <w:szCs w:val="24"/>
              </w:rPr>
              <w:fldChar w:fldCharType="end"/>
            </w:r>
          </w:p>
        </w:tc>
        <w:tc>
          <w:tcPr>
            <w:tcW w:w="425" w:type="pct"/>
          </w:tcPr>
          <w:p w14:paraId="57ABF94D" w14:textId="77777777" w:rsidR="0000369C" w:rsidRPr="008F721B" w:rsidRDefault="0000369C" w:rsidP="001C46FD">
            <w:pPr>
              <w:jc w:val="center"/>
              <w:rPr>
                <w:rFonts w:cs="Times New Roman"/>
                <w:szCs w:val="24"/>
              </w:rPr>
            </w:pPr>
            <w:r w:rsidRPr="008F721B">
              <w:rPr>
                <w:rFonts w:cs="Times New Roman"/>
                <w:szCs w:val="24"/>
              </w:rPr>
              <w:t>88</w:t>
            </w:r>
          </w:p>
        </w:tc>
        <w:tc>
          <w:tcPr>
            <w:tcW w:w="490" w:type="pct"/>
          </w:tcPr>
          <w:p w14:paraId="7B87EC5D" w14:textId="77777777" w:rsidR="0000369C" w:rsidRPr="008F721B" w:rsidRDefault="0000369C" w:rsidP="001C46FD">
            <w:pPr>
              <w:jc w:val="center"/>
              <w:rPr>
                <w:rFonts w:cs="Times New Roman"/>
                <w:szCs w:val="24"/>
              </w:rPr>
            </w:pPr>
            <w:r w:rsidRPr="008F721B">
              <w:rPr>
                <w:rFonts w:cs="Times New Roman"/>
                <w:szCs w:val="24"/>
              </w:rPr>
              <w:t>17</w:t>
            </w:r>
          </w:p>
        </w:tc>
        <w:tc>
          <w:tcPr>
            <w:tcW w:w="609" w:type="pct"/>
          </w:tcPr>
          <w:p w14:paraId="2883B37B" w14:textId="77777777" w:rsidR="0000369C" w:rsidRPr="008F721B" w:rsidRDefault="0000369C" w:rsidP="001C46FD">
            <w:pPr>
              <w:jc w:val="center"/>
              <w:rPr>
                <w:rFonts w:cs="Times New Roman"/>
                <w:szCs w:val="24"/>
              </w:rPr>
            </w:pPr>
            <w:r w:rsidRPr="008F721B">
              <w:rPr>
                <w:rFonts w:cs="Times New Roman"/>
                <w:szCs w:val="24"/>
              </w:rPr>
              <w:t>н/д</w:t>
            </w:r>
          </w:p>
        </w:tc>
        <w:tc>
          <w:tcPr>
            <w:tcW w:w="687" w:type="pct"/>
          </w:tcPr>
          <w:p w14:paraId="5F894DB9" w14:textId="77777777" w:rsidR="0000369C" w:rsidRPr="008F721B" w:rsidRDefault="0000369C" w:rsidP="001C46FD">
            <w:pPr>
              <w:jc w:val="center"/>
              <w:rPr>
                <w:rFonts w:cs="Times New Roman"/>
                <w:szCs w:val="24"/>
              </w:rPr>
            </w:pPr>
            <w:r w:rsidRPr="008F721B">
              <w:rPr>
                <w:rFonts w:cs="Times New Roman"/>
                <w:szCs w:val="24"/>
              </w:rPr>
              <w:t>18</w:t>
            </w:r>
          </w:p>
        </w:tc>
        <w:tc>
          <w:tcPr>
            <w:tcW w:w="456" w:type="pct"/>
          </w:tcPr>
          <w:p w14:paraId="31779C75" w14:textId="77777777" w:rsidR="0000369C" w:rsidRPr="008F721B" w:rsidRDefault="0000369C" w:rsidP="001C46FD">
            <w:pPr>
              <w:jc w:val="center"/>
              <w:rPr>
                <w:rFonts w:cs="Times New Roman"/>
                <w:szCs w:val="24"/>
              </w:rPr>
            </w:pPr>
            <w:r w:rsidRPr="008F721B">
              <w:rPr>
                <w:rFonts w:cs="Times New Roman"/>
                <w:szCs w:val="24"/>
              </w:rPr>
              <w:t>8,5</w:t>
            </w:r>
          </w:p>
        </w:tc>
        <w:tc>
          <w:tcPr>
            <w:tcW w:w="515" w:type="pct"/>
          </w:tcPr>
          <w:p w14:paraId="54B9FDB5" w14:textId="77777777" w:rsidR="0000369C" w:rsidRPr="008F721B" w:rsidRDefault="0000369C" w:rsidP="001C46FD">
            <w:pPr>
              <w:jc w:val="center"/>
              <w:rPr>
                <w:rFonts w:cs="Times New Roman"/>
                <w:szCs w:val="24"/>
              </w:rPr>
            </w:pPr>
            <w:r w:rsidRPr="008F721B">
              <w:rPr>
                <w:rFonts w:cs="Times New Roman"/>
                <w:szCs w:val="24"/>
              </w:rPr>
              <w:t>2,1</w:t>
            </w:r>
          </w:p>
        </w:tc>
        <w:tc>
          <w:tcPr>
            <w:tcW w:w="536" w:type="pct"/>
          </w:tcPr>
          <w:p w14:paraId="7E46F459" w14:textId="77777777" w:rsidR="0000369C" w:rsidRPr="008F721B" w:rsidRDefault="0000369C" w:rsidP="001C46FD">
            <w:pPr>
              <w:jc w:val="center"/>
              <w:rPr>
                <w:rFonts w:cs="Times New Roman"/>
                <w:szCs w:val="24"/>
              </w:rPr>
            </w:pPr>
            <w:r w:rsidRPr="008F721B">
              <w:rPr>
                <w:rFonts w:cs="Times New Roman"/>
                <w:szCs w:val="24"/>
              </w:rPr>
              <w:t>н/д</w:t>
            </w:r>
          </w:p>
        </w:tc>
      </w:tr>
    </w:tbl>
    <w:p w14:paraId="6F5EB661" w14:textId="77777777" w:rsidR="0000369C" w:rsidRPr="008F721B" w:rsidRDefault="0000369C" w:rsidP="0000369C">
      <w:pPr>
        <w:ind w:firstLine="709"/>
        <w:rPr>
          <w:rFonts w:cs="Times New Roman"/>
          <w:szCs w:val="24"/>
        </w:rPr>
      </w:pPr>
      <w:r w:rsidRPr="008F721B">
        <w:rPr>
          <w:rFonts w:cs="Times New Roman"/>
          <w:szCs w:val="24"/>
        </w:rPr>
        <w:t>* н/д – нет данных.</w:t>
      </w:r>
    </w:p>
    <w:p w14:paraId="1F878880" w14:textId="77777777" w:rsidR="0000369C" w:rsidRDefault="0000369C" w:rsidP="0000369C">
      <w:pPr>
        <w:ind w:firstLine="709"/>
        <w:rPr>
          <w:rFonts w:cs="Times New Roman"/>
          <w:szCs w:val="24"/>
        </w:rPr>
      </w:pPr>
    </w:p>
    <w:p w14:paraId="2D8C5837" w14:textId="77777777" w:rsidR="0000369C" w:rsidRPr="008F721B" w:rsidRDefault="0000369C" w:rsidP="0000369C">
      <w:pPr>
        <w:ind w:firstLine="709"/>
        <w:rPr>
          <w:rFonts w:cs="Times New Roman"/>
          <w:szCs w:val="24"/>
        </w:rPr>
      </w:pPr>
      <w:r w:rsidRPr="008F721B">
        <w:rPr>
          <w:rFonts w:cs="Times New Roman"/>
          <w:szCs w:val="24"/>
        </w:rPr>
        <w:t>Нередки иные причины перевода в ОРИТ гематологических пациентов – внезапно резвившиеся судороги в результате острой надпочечниковой недостаточности и гипонатриемии, отек головного</w:t>
      </w:r>
      <w:r w:rsidRPr="00B563E0">
        <w:rPr>
          <w:rFonts w:cs="Times New Roman"/>
          <w:szCs w:val="24"/>
        </w:rPr>
        <w:t xml:space="preserve"> </w:t>
      </w:r>
      <w:r>
        <w:rPr>
          <w:rFonts w:cs="Times New Roman"/>
          <w:szCs w:val="24"/>
        </w:rPr>
        <w:t>мозга, судорожный</w:t>
      </w:r>
      <w:r w:rsidRPr="008F721B">
        <w:rPr>
          <w:rFonts w:cs="Times New Roman"/>
          <w:szCs w:val="24"/>
        </w:rPr>
        <w:t xml:space="preserve"> синдром в результате инфекции центральной нервной системы</w:t>
      </w:r>
      <w:r>
        <w:rPr>
          <w:rFonts w:cs="Times New Roman"/>
          <w:szCs w:val="24"/>
        </w:rPr>
        <w:t xml:space="preserve"> (ЦНС), удлинение </w:t>
      </w:r>
      <w:r w:rsidRPr="008F721B">
        <w:rPr>
          <w:rFonts w:cs="Times New Roman"/>
          <w:szCs w:val="24"/>
        </w:rPr>
        <w:t xml:space="preserve"> электрической систолы сердца и развитие желудочковой тахикардии по типу «torsades-de-puantes» и др. </w:t>
      </w:r>
    </w:p>
    <w:p w14:paraId="7C20F4EB" w14:textId="77777777" w:rsidR="0000369C" w:rsidRPr="009D0B15" w:rsidRDefault="0000369C" w:rsidP="0000369C">
      <w:pPr>
        <w:ind w:firstLine="709"/>
        <w:rPr>
          <w:rFonts w:cs="Times New Roman"/>
          <w:szCs w:val="24"/>
        </w:rPr>
      </w:pPr>
      <w:r w:rsidRPr="008F721B">
        <w:rPr>
          <w:rFonts w:cs="Times New Roman"/>
          <w:szCs w:val="24"/>
        </w:rPr>
        <w:t xml:space="preserve">Для лечения жизнеугрожающих осложнений у гематологических пациентов в ОРИТ чаще всего </w:t>
      </w:r>
      <w:r w:rsidRPr="009D0B15">
        <w:rPr>
          <w:rFonts w:cs="Times New Roman"/>
          <w:szCs w:val="24"/>
        </w:rPr>
        <w:t xml:space="preserve">используют следующие методы поддержания жизнеобеспечения: ИВЛ у 50 – 66% больных; вазопрессорная терапия у 8 – 75,6% больных, заместительная почечная терапия у 3,2 – 61% больных (таб. 3). </w:t>
      </w:r>
    </w:p>
    <w:p w14:paraId="1760CB64" w14:textId="77777777" w:rsidR="0000369C" w:rsidRPr="009D0B15" w:rsidRDefault="0000369C" w:rsidP="0000369C">
      <w:pPr>
        <w:rPr>
          <w:rFonts w:cs="Times New Roman"/>
          <w:szCs w:val="24"/>
        </w:rPr>
      </w:pPr>
    </w:p>
    <w:p w14:paraId="77678415" w14:textId="77777777" w:rsidR="0000369C" w:rsidRPr="008F721B" w:rsidRDefault="0000369C" w:rsidP="0000369C">
      <w:pPr>
        <w:rPr>
          <w:rFonts w:cs="Times New Roman"/>
          <w:szCs w:val="24"/>
        </w:rPr>
      </w:pPr>
      <w:r w:rsidRPr="009D0B15">
        <w:rPr>
          <w:rFonts w:cs="Times New Roman"/>
          <w:szCs w:val="24"/>
        </w:rPr>
        <w:t xml:space="preserve"> Таблица 3. Потребность в</w:t>
      </w:r>
      <w:r w:rsidRPr="008F721B">
        <w:rPr>
          <w:rFonts w:cs="Times New Roman"/>
          <w:szCs w:val="24"/>
        </w:rPr>
        <w:t xml:space="preserve"> различных методиках жизнеобеспечения у пациентов с с онкогематологическими заболеваниями</w:t>
      </w:r>
    </w:p>
    <w:tbl>
      <w:tblPr>
        <w:tblStyle w:val="aff9"/>
        <w:tblW w:w="9427" w:type="dxa"/>
        <w:tblLook w:val="04A0" w:firstRow="1" w:lastRow="0" w:firstColumn="1" w:lastColumn="0" w:noHBand="0" w:noVBand="1"/>
      </w:tblPr>
      <w:tblGrid>
        <w:gridCol w:w="2422"/>
        <w:gridCol w:w="2140"/>
        <w:gridCol w:w="2447"/>
        <w:gridCol w:w="2418"/>
      </w:tblGrid>
      <w:tr w:rsidR="0000369C" w:rsidRPr="008F721B" w14:paraId="53916B4A" w14:textId="77777777" w:rsidTr="001C46FD">
        <w:trPr>
          <w:trHeight w:val="1247"/>
        </w:trPr>
        <w:tc>
          <w:tcPr>
            <w:tcW w:w="2422" w:type="dxa"/>
          </w:tcPr>
          <w:p w14:paraId="594301C7" w14:textId="77777777" w:rsidR="0000369C" w:rsidRPr="008F721B" w:rsidRDefault="0000369C" w:rsidP="001C46FD">
            <w:pPr>
              <w:jc w:val="center"/>
              <w:rPr>
                <w:rFonts w:cs="Times New Roman"/>
                <w:szCs w:val="24"/>
              </w:rPr>
            </w:pPr>
            <w:r w:rsidRPr="008F721B">
              <w:rPr>
                <w:rFonts w:cs="Times New Roman"/>
                <w:szCs w:val="24"/>
              </w:rPr>
              <w:t>Источник</w:t>
            </w:r>
          </w:p>
        </w:tc>
        <w:tc>
          <w:tcPr>
            <w:tcW w:w="2140" w:type="dxa"/>
          </w:tcPr>
          <w:p w14:paraId="7AA81BB6" w14:textId="77777777" w:rsidR="0000369C" w:rsidRPr="008F721B" w:rsidRDefault="0000369C" w:rsidP="001C46FD">
            <w:pPr>
              <w:jc w:val="center"/>
              <w:rPr>
                <w:rFonts w:cs="Times New Roman"/>
                <w:szCs w:val="24"/>
              </w:rPr>
            </w:pPr>
            <w:r w:rsidRPr="008F721B">
              <w:rPr>
                <w:rFonts w:cs="Times New Roman"/>
                <w:szCs w:val="24"/>
              </w:rPr>
              <w:t>ИВЛ, %</w:t>
            </w:r>
          </w:p>
        </w:tc>
        <w:tc>
          <w:tcPr>
            <w:tcW w:w="2447" w:type="dxa"/>
          </w:tcPr>
          <w:p w14:paraId="1E3C0EF4" w14:textId="77777777" w:rsidR="0000369C" w:rsidRPr="008F721B" w:rsidRDefault="0000369C" w:rsidP="001C46FD">
            <w:pPr>
              <w:jc w:val="center"/>
              <w:rPr>
                <w:rFonts w:cs="Times New Roman"/>
                <w:szCs w:val="24"/>
              </w:rPr>
            </w:pPr>
            <w:r w:rsidRPr="008F721B">
              <w:rPr>
                <w:rFonts w:cs="Times New Roman"/>
                <w:szCs w:val="24"/>
              </w:rPr>
              <w:t>Заместительная почечная терапия, %</w:t>
            </w:r>
          </w:p>
        </w:tc>
        <w:tc>
          <w:tcPr>
            <w:tcW w:w="2418" w:type="dxa"/>
          </w:tcPr>
          <w:p w14:paraId="0116679C" w14:textId="77777777" w:rsidR="0000369C" w:rsidRPr="008F721B" w:rsidRDefault="0000369C" w:rsidP="001C46FD">
            <w:pPr>
              <w:jc w:val="center"/>
              <w:rPr>
                <w:rFonts w:cs="Times New Roman"/>
                <w:szCs w:val="24"/>
              </w:rPr>
            </w:pPr>
            <w:r w:rsidRPr="008F721B">
              <w:rPr>
                <w:rFonts w:cs="Times New Roman"/>
                <w:szCs w:val="24"/>
              </w:rPr>
              <w:t>Вазопрессоры, %</w:t>
            </w:r>
          </w:p>
        </w:tc>
      </w:tr>
      <w:tr w:rsidR="0000369C" w:rsidRPr="008F721B" w14:paraId="2D034001" w14:textId="77777777" w:rsidTr="001C46FD">
        <w:trPr>
          <w:trHeight w:val="805"/>
        </w:trPr>
        <w:tc>
          <w:tcPr>
            <w:tcW w:w="2422" w:type="dxa"/>
          </w:tcPr>
          <w:p w14:paraId="0CCDE8C1" w14:textId="3376C9C5" w:rsidR="0000369C" w:rsidRPr="008F721B" w:rsidRDefault="0000369C" w:rsidP="001C46FD">
            <w:pPr>
              <w:jc w:val="center"/>
              <w:rPr>
                <w:rFonts w:cs="Times New Roman"/>
                <w:szCs w:val="24"/>
              </w:rPr>
            </w:pPr>
            <w:r w:rsidRPr="008F721B">
              <w:rPr>
                <w:rFonts w:cs="Times New Roman"/>
                <w:szCs w:val="24"/>
              </w:rPr>
              <w:t>Jackson K. и соавт.</w:t>
            </w:r>
            <w:r w:rsidRPr="00854947">
              <w:rPr>
                <w:rFonts w:cs="Times New Roman"/>
                <w:szCs w:val="24"/>
              </w:rPr>
              <w:t xml:space="preserve">, 2014 </w:t>
            </w:r>
            <w:r>
              <w:rPr>
                <w:rFonts w:cs="Times New Roman"/>
                <w:szCs w:val="24"/>
                <w:lang w:val="en-US"/>
              </w:rPr>
              <w:fldChar w:fldCharType="begin" w:fldLock="1"/>
            </w:r>
            <w:r>
              <w:rPr>
                <w:rFonts w:cs="Times New Roman"/>
                <w:szCs w:val="24"/>
                <w:lang w:val="en-US"/>
              </w:rPr>
              <w:instrText>ADDIN CSL_CITATION {"citationItems":[{"id":"ITEM-1","itemData":{"DOI":"10.3109/10428194.2013.796045","ISBN":"6173176211","ISSN":"1029-2403","PMID":"23597137","abstract":"Patients receiving treatment for acute myeloid leukemia (AML) commonly experience life-threatening complications requiring intensive care unit (ICU) support. This is a retrospective study of 505 patients with newly diagnosed AML who were treated with intensive chemotherapy between January 1999 and December 2010. Eighty-three patients (16.4%) were identified who had required 92 ICU admissions. The indication for ICU admission was hemodynamic instability in 47.0% of patients and respiratory impairment in 42.2%. The underlying pathology was most commonly infection (77.1%). Vasopressors were required in 67.5% of admissions, mechanical ventilation in 60.2% and hemodialysis in 15.7%. Rates of survival to hospital discharge and 12 months were 59.0% and 41.3%, respectively. Mechanical ventilation use and higher fibrinogen were independently associated with mortality prior to hospital discharge, and mechanical ventilation use and AML cytogenetic risk group were predictive of mortality within 12 months of ICU admission. By providing a more accurate estimation of a patient's chance of recovery, such prognostic factors may contribute to decision-making about the appropriateness of admission to the ICU or continuation of intensive life-sustaining measures.","author":[{"dropping-particle":"","family":"Jackson","given":"Kathryn","non-dropping-particle":"","parse-names":false,"suffix":""},{"dropping-particle":"","family":"Mollee","given":"Peter","non-dropping-particle":"","parse-names":false,"suffix":""},{"dropping-particle":"","family":"Morris","given":"Kirk","non-dropping-particle":"","parse-names":false,"suffix":""},{"dropping-particle":"","family":"Butler","given":"Jason","non-dropping-particle":"","parse-names":false,"suffix":""},{"dropping-particle":"","family":"Jackson","given":"Dwane","non-dropping-particle":"","parse-names":false,"suffix":""},{"dropping-particle":"","family":"Kruger","given":"Peter","non-dropping-particle":"","parse-names":false,"suffix":""},{"dropping-particle":"","family":"Klein","given":"Kerenaftali","non-dropping-particle":"","parse-names":false,"suffix":""},{"dropping-particle":"","family":"Kennedy","given":"Glen","non-dropping-particle":"","parse-names":false,"suffix":""}],"container-title":"Leukemia &amp; lymphoma","id":"ITEM-1","issue":"April","issued":{"date-parts":[["2013","1"]]},"page":"1-8","publisher":"Leuk Lymphoma","title":"Outcomes and prognostic factors for patients with acute myeloid leukemia admitted to the intensive care unit","type":"article-journal","volume":"55"},"uris":["http://www.mendeley.com/documents/?uuid=af5715ea-f420-4629-9acb-36739876454f"]}],"mendeley":{"formattedCitation":"[114]","plainTextFormattedCitation":"[114]","previouslyFormattedCitation":"[114]"},"properties":{"noteIndex":0},"schema":"https://github.com/citation-style-language/schema/raw/master/csl-citation.json"}</w:instrText>
            </w:r>
            <w:r>
              <w:rPr>
                <w:rFonts w:cs="Times New Roman"/>
                <w:szCs w:val="24"/>
                <w:lang w:val="en-US"/>
              </w:rPr>
              <w:fldChar w:fldCharType="separate"/>
            </w:r>
            <w:r w:rsidRPr="0000369C">
              <w:rPr>
                <w:rFonts w:cs="Times New Roman"/>
                <w:noProof/>
                <w:szCs w:val="24"/>
                <w:lang w:val="en-US"/>
              </w:rPr>
              <w:t>[114]</w:t>
            </w:r>
            <w:r>
              <w:rPr>
                <w:rFonts w:cs="Times New Roman"/>
                <w:szCs w:val="24"/>
                <w:lang w:val="en-US"/>
              </w:rPr>
              <w:fldChar w:fldCharType="end"/>
            </w:r>
            <w:r w:rsidRPr="008F721B">
              <w:rPr>
                <w:rFonts w:cs="Times New Roman"/>
                <w:szCs w:val="24"/>
              </w:rPr>
              <w:t xml:space="preserve"> </w:t>
            </w:r>
          </w:p>
        </w:tc>
        <w:tc>
          <w:tcPr>
            <w:tcW w:w="2140" w:type="dxa"/>
          </w:tcPr>
          <w:p w14:paraId="5266DE26" w14:textId="77777777" w:rsidR="0000369C" w:rsidRPr="008F721B" w:rsidRDefault="0000369C" w:rsidP="001C46FD">
            <w:pPr>
              <w:jc w:val="center"/>
              <w:rPr>
                <w:rFonts w:cs="Times New Roman"/>
                <w:szCs w:val="24"/>
              </w:rPr>
            </w:pPr>
            <w:r w:rsidRPr="008F721B">
              <w:rPr>
                <w:rFonts w:cs="Times New Roman"/>
                <w:szCs w:val="24"/>
              </w:rPr>
              <w:t>60</w:t>
            </w:r>
          </w:p>
        </w:tc>
        <w:tc>
          <w:tcPr>
            <w:tcW w:w="2447" w:type="dxa"/>
          </w:tcPr>
          <w:p w14:paraId="4F652DD2" w14:textId="77777777" w:rsidR="0000369C" w:rsidRPr="008F721B" w:rsidRDefault="0000369C" w:rsidP="001C46FD">
            <w:pPr>
              <w:jc w:val="center"/>
              <w:rPr>
                <w:rFonts w:cs="Times New Roman"/>
                <w:szCs w:val="24"/>
              </w:rPr>
            </w:pPr>
            <w:r w:rsidRPr="008F721B">
              <w:rPr>
                <w:rFonts w:cs="Times New Roman"/>
                <w:szCs w:val="24"/>
              </w:rPr>
              <w:t>15,7</w:t>
            </w:r>
          </w:p>
        </w:tc>
        <w:tc>
          <w:tcPr>
            <w:tcW w:w="2418" w:type="dxa"/>
          </w:tcPr>
          <w:p w14:paraId="779BBF35" w14:textId="77777777" w:rsidR="0000369C" w:rsidRPr="008F721B" w:rsidRDefault="0000369C" w:rsidP="001C46FD">
            <w:pPr>
              <w:jc w:val="center"/>
              <w:rPr>
                <w:rFonts w:cs="Times New Roman"/>
                <w:szCs w:val="24"/>
              </w:rPr>
            </w:pPr>
            <w:r w:rsidRPr="008F721B">
              <w:rPr>
                <w:rFonts w:cs="Times New Roman"/>
                <w:szCs w:val="24"/>
              </w:rPr>
              <w:t>67,5</w:t>
            </w:r>
          </w:p>
        </w:tc>
      </w:tr>
      <w:tr w:rsidR="0000369C" w:rsidRPr="008F721B" w14:paraId="4CBE3A62" w14:textId="77777777" w:rsidTr="001C46FD">
        <w:trPr>
          <w:trHeight w:val="657"/>
        </w:trPr>
        <w:tc>
          <w:tcPr>
            <w:tcW w:w="2422" w:type="dxa"/>
          </w:tcPr>
          <w:p w14:paraId="70BB21A1" w14:textId="4AC80B1E" w:rsidR="0000369C" w:rsidRPr="009D0B15" w:rsidRDefault="0000369C" w:rsidP="001C46FD">
            <w:pPr>
              <w:jc w:val="center"/>
              <w:rPr>
                <w:rFonts w:cs="Times New Roman"/>
                <w:szCs w:val="24"/>
              </w:rPr>
            </w:pPr>
            <w:r w:rsidRPr="008F721B">
              <w:rPr>
                <w:rFonts w:cs="Times New Roman"/>
                <w:szCs w:val="24"/>
                <w:lang w:val="en-US"/>
              </w:rPr>
              <w:t xml:space="preserve">Roze des Ordons A. </w:t>
            </w:r>
            <w:r w:rsidRPr="008F721B">
              <w:rPr>
                <w:rFonts w:cs="Times New Roman"/>
                <w:szCs w:val="24"/>
              </w:rPr>
              <w:t>и</w:t>
            </w:r>
            <w:r w:rsidRPr="008F721B">
              <w:rPr>
                <w:rFonts w:cs="Times New Roman"/>
                <w:szCs w:val="24"/>
                <w:lang w:val="en-US"/>
              </w:rPr>
              <w:t xml:space="preserve"> </w:t>
            </w:r>
            <w:r w:rsidRPr="008F721B">
              <w:rPr>
                <w:rFonts w:cs="Times New Roman"/>
                <w:szCs w:val="24"/>
              </w:rPr>
              <w:t>соавт</w:t>
            </w:r>
            <w:r w:rsidRPr="008F721B">
              <w:rPr>
                <w:rFonts w:cs="Times New Roman"/>
                <w:szCs w:val="24"/>
                <w:lang w:val="en-US"/>
              </w:rPr>
              <w:t>.</w:t>
            </w:r>
            <w:r>
              <w:rPr>
                <w:rFonts w:cs="Times New Roman"/>
                <w:szCs w:val="24"/>
                <w:lang w:val="en-US"/>
              </w:rPr>
              <w:t xml:space="preserve">, 2010 </w:t>
            </w:r>
            <w:r>
              <w:rPr>
                <w:rFonts w:cs="Times New Roman"/>
                <w:szCs w:val="24"/>
                <w:lang w:val="en-US"/>
              </w:rPr>
              <w:fldChar w:fldCharType="begin" w:fldLock="1"/>
            </w:r>
            <w:r>
              <w:rPr>
                <w:rFonts w:cs="Times New Roman"/>
                <w:szCs w:val="24"/>
                <w:lang w:val="en-US"/>
              </w:rPr>
              <w:instrText>ADDIN CSL_CITATION {"citationItems":[{"id":"ITEM-1","itemData":{"DOI":"10.1186/1471-2407-10-516","ISSN":"14712407","PMID":"20920175","abstract":"Background: There is limited epidemiologic data on patients with acute myelogenous (myeloid) leukemia (AML) requiring life-sustaining therapies in the intensive care unit (ICU). Our objectives were to describe the clinical characteristics and outcomes in critically ill AML patients.Methods: This was a retrospective case-control study. Cases were defined as adult patients with a primary diagnosis of AML admitted to ICU at the University of Alberta Hospital between January 1st2002 and June 30th2008. Each case was matched by age, sex, and illness severity (ICU only) to two control groups: hospitalized AML controls, and non-AML ICU controls. Data were extracted on demographics, course of hospitalization, and clinical outcomes.Results: In total, 45 AML patients with available data were admitted to ICU. Mean (SD) age was 54.8 (13.1) years and 28.9% were female. Primary diagnoses were sepsis (32.6%) and respiratory failure (37.3%). Mean (SD) APACHE II score was 30.3 (10.3), SOFA score 12.6 (4.0) with 62.2% receiving mechanical ventilation, 55.6% vasoactive therapy, and 26.7% renal replacement therapy. Crude in-hospital, 90-day and 1-year mortality was 44.4%, 51.1% and 71.1%, respectively. AML cases had significantly higher adjusted-hazards of death (HR 2.23; 95% CI, 1.38-3.60, p = 0.001) compared to both non-AML ICU controls (HR 1.69; 95% CI, 1.11-2.58, p = 0.02) and hospitalized AML controls (OR 1.0, reference variable). Factors associated with ICU mortality by univariate analysis included older age, AML subtype, higher baseline SOFA score, no change or an increase in early SOFA score, shock, vasoactive therapy and mechanical ventilation. Active chemotherapy in ICU was associated with lower mortality.Conclusions: AML patients may represent a minority of all critically ill admissions; however, are not uncommonly supported in ICU. These AML patients are characterized by high illness severity, multi-organ dysfunction, and high treatment intensity and have a higher risk of death when compared with matched hospitalized AML or non-AML ICU controls. The absence of early improvement in organ failure may be a useful predictor for mortality for AML patients admitted to ICU. © 2010 Roze des Ordons et al; licensee BioMed Central Ltd.","author":[{"dropping-particle":"","family":"Roze des Ordons","given":"Amanda L.","non-dropping-particle":"","parse-names":false,"suffix":""},{"dropping-particle":"","family":"Chan","given":"Kris","non-dropping-particle":"","parse-names":false,"suffix":""},{"dropping-particle":"","family":"Mirza","given":"Imran","non-dropping-particle":"","parse-names":false,"suffix":""},{"dropping-particle":"","family":"Townsend","given":"Derek R.","non-dropping-particle":"","parse-names":false,"suffix":""},{"dropping-particle":"","family":"Bagshaw","given":"Sean M.","non-dropping-particle":"","parse-names":false,"suffix":""}],"container-title":"BMC Cancer","id":"ITEM-1","issued":{"date-parts":[["2010","9","28"]]},"page":"516","title":"Clinical characteristics and outcomes of patients with acute myelogenous leukemia admitted to intensive care: A case-control study","type":"article-journal","volume":"10"},"uris":["http://www.mendeley.com/documents/?uuid=de27b039-3812-4b08-96fa-07054eeb2151"]}],"mendeley":{"formattedCitation":"[111]","plainTextFormattedCitation":"[111]","previouslyFormattedCitation":"[111]"},"properties":{"noteIndex":0},"schema":"https://github.com/citation-style-language/schema/raw/master/csl-citation.json"}</w:instrText>
            </w:r>
            <w:r>
              <w:rPr>
                <w:rFonts w:cs="Times New Roman"/>
                <w:szCs w:val="24"/>
                <w:lang w:val="en-US"/>
              </w:rPr>
              <w:fldChar w:fldCharType="separate"/>
            </w:r>
            <w:r w:rsidRPr="0000369C">
              <w:rPr>
                <w:rFonts w:cs="Times New Roman"/>
                <w:noProof/>
                <w:szCs w:val="24"/>
              </w:rPr>
              <w:t>[111]</w:t>
            </w:r>
            <w:r>
              <w:rPr>
                <w:rFonts w:cs="Times New Roman"/>
                <w:szCs w:val="24"/>
                <w:lang w:val="en-US"/>
              </w:rPr>
              <w:fldChar w:fldCharType="end"/>
            </w:r>
            <w:r w:rsidRPr="009D0B15">
              <w:rPr>
                <w:rFonts w:cs="Times New Roman"/>
                <w:szCs w:val="24"/>
              </w:rPr>
              <w:t xml:space="preserve"> </w:t>
            </w:r>
          </w:p>
        </w:tc>
        <w:tc>
          <w:tcPr>
            <w:tcW w:w="2140" w:type="dxa"/>
          </w:tcPr>
          <w:p w14:paraId="56061154" w14:textId="77777777" w:rsidR="0000369C" w:rsidRPr="008F721B" w:rsidRDefault="0000369C" w:rsidP="001C46FD">
            <w:pPr>
              <w:jc w:val="center"/>
              <w:rPr>
                <w:rFonts w:cs="Times New Roman"/>
                <w:szCs w:val="24"/>
              </w:rPr>
            </w:pPr>
            <w:r w:rsidRPr="008F721B">
              <w:rPr>
                <w:rFonts w:cs="Times New Roman"/>
                <w:szCs w:val="24"/>
              </w:rPr>
              <w:t>66</w:t>
            </w:r>
          </w:p>
        </w:tc>
        <w:tc>
          <w:tcPr>
            <w:tcW w:w="2447" w:type="dxa"/>
          </w:tcPr>
          <w:p w14:paraId="41D39676" w14:textId="77777777" w:rsidR="0000369C" w:rsidRPr="008F721B" w:rsidRDefault="0000369C" w:rsidP="001C46FD">
            <w:pPr>
              <w:jc w:val="center"/>
              <w:rPr>
                <w:rFonts w:cs="Times New Roman"/>
                <w:szCs w:val="24"/>
              </w:rPr>
            </w:pPr>
            <w:r w:rsidRPr="008F721B">
              <w:rPr>
                <w:rFonts w:cs="Times New Roman"/>
                <w:szCs w:val="24"/>
              </w:rPr>
              <w:t>47,8</w:t>
            </w:r>
          </w:p>
        </w:tc>
        <w:tc>
          <w:tcPr>
            <w:tcW w:w="2418" w:type="dxa"/>
          </w:tcPr>
          <w:p w14:paraId="6D4009A0" w14:textId="77777777" w:rsidR="0000369C" w:rsidRPr="008F721B" w:rsidRDefault="0000369C" w:rsidP="001C46FD">
            <w:pPr>
              <w:jc w:val="center"/>
              <w:rPr>
                <w:rFonts w:cs="Times New Roman"/>
                <w:szCs w:val="24"/>
              </w:rPr>
            </w:pPr>
            <w:r w:rsidRPr="008F721B">
              <w:rPr>
                <w:rFonts w:cs="Times New Roman"/>
                <w:szCs w:val="24"/>
              </w:rPr>
              <w:t>75,6</w:t>
            </w:r>
          </w:p>
        </w:tc>
      </w:tr>
      <w:tr w:rsidR="0000369C" w:rsidRPr="008F721B" w14:paraId="5B59E8D0" w14:textId="77777777" w:rsidTr="001C46FD">
        <w:trPr>
          <w:trHeight w:val="825"/>
        </w:trPr>
        <w:tc>
          <w:tcPr>
            <w:tcW w:w="2422" w:type="dxa"/>
          </w:tcPr>
          <w:p w14:paraId="38D293CC" w14:textId="74C4AF37" w:rsidR="0000369C" w:rsidRPr="009D0B15" w:rsidRDefault="0000369C" w:rsidP="001C46FD">
            <w:pPr>
              <w:jc w:val="center"/>
              <w:rPr>
                <w:rFonts w:cs="Times New Roman"/>
                <w:szCs w:val="24"/>
                <w:lang w:val="en-US"/>
              </w:rPr>
            </w:pPr>
            <w:r w:rsidRPr="008F721B">
              <w:rPr>
                <w:rFonts w:cs="Times New Roman"/>
                <w:szCs w:val="24"/>
              </w:rPr>
              <w:t>Wohlfarth P. и соавт.</w:t>
            </w:r>
            <w:r>
              <w:rPr>
                <w:rFonts w:cs="Times New Roman"/>
                <w:szCs w:val="24"/>
              </w:rPr>
              <w:t>,</w:t>
            </w:r>
            <w:r>
              <w:rPr>
                <w:rFonts w:cs="Times New Roman"/>
                <w:szCs w:val="24"/>
                <w:lang w:val="en-US"/>
              </w:rPr>
              <w:t xml:space="preserve"> 2014 </w:t>
            </w:r>
            <w:r>
              <w:rPr>
                <w:rFonts w:cs="Times New Roman"/>
                <w:szCs w:val="24"/>
                <w:lang w:val="en-US"/>
              </w:rPr>
              <w:fldChar w:fldCharType="begin" w:fldLock="1"/>
            </w:r>
            <w:r>
              <w:rPr>
                <w:rFonts w:cs="Times New Roman"/>
                <w:szCs w:val="24"/>
                <w:lang w:val="en-US"/>
              </w:rPr>
              <w:instrText>ADDIN CSL_CITATION {"citationItems":[{"id":"ITEM-1","itemData":{"DOI":"10.1007/s00277-014-2141-x","ISSN":"14320584","PMID":"24997682","abstract":"Prognostic factors and outcomes of cancer patients with acute organ failure receiving chemotherapy (CT) in the intensive care unit (ICU) are still incompletely described. We therefore retrospectively studied all patients who received CT in any ICU of our institution between October 2006 and November 2013. Fifty-six patients with hematologic (n = 49; 87.5 %) or solid (n = 7; 12.5 %) malignancies, of which 20 (36 %) were diagnosed in the ICU, were analyzed [m/f ratio, 33:23; median age, 47 years (IQR 32 to 62); Charlson Comorbidity Index (CCI), 3 (2 to 5); Simplified Acute Physiology Score II (SAPS II), 50 (39 to 61)]. The main reasons for admission were acute respiratory failure, acute kidney failure, and septic shock. Mechanical ventilation and vasopressors were employed in 34 patients (61 %) respectively, hemofiltration in 22 (39 %), and extracorporeal life support in 7 (13 %). Twenty-seven patients (48 %) received their first CT in the ICU. Intention of therapy was cure in 46 patients (82 %). Tumor lysis syndrome (TLS) developed in 20 patients (36 %). ICU and hospital survival was 75 and 59 %. Hospital survivors were significantly younger; had lower CCI, SAPS II, and TLS risk scores; presented less often with septic shock; were less likely to develop TLS; and received vasopressors, hemofiltration, and thrombocyte transfusions in lower proportions. After discharge, 88 % continued CT and 69 % of 1-year survivors were in complete remission. Probability of 1- and 2-year survival was 41 and 38 %, respectively. Conclusively, administration of CT in selected ICU cancer patients was feasible and associated with considerable long-term survival as well as long-term disease-free survival. © 2014 Springer-Verlag.","author":[{"dropping-particle":"","family":"Wohlfarth","given":"Philipp","non-dropping-particle":"","parse-names":false,"suffix":""},{"dropping-particle":"","family":"Staudinger","given":"Thomas","non-dropping-particle":"","parse-names":false,"suffix":""},{"dropping-particle":"","family":"Sperr","given":"Wolfgang R.","non-dropping-particle":"","parse-names":false,"suffix":""},{"dropping-particle":"","family":"Bojic","given":"Andja","non-dropping-particle":"","parse-names":false,"suffix":""},{"dropping-particle":"","family":"Robak","given":"Oliver","non-dropping-particle":"","parse-names":false,"suffix":""},{"dropping-particle":"","family":"Hermann","given":"Alexander","non-dropping-particle":"","parse-names":false,"suffix":""},{"dropping-particle":"","family":"Laczika","given":"Klaus","non-dropping-particle":"","parse-names":false,"suffix":""},{"dropping-particle":"","family":"Carlström","given":"Alexander","non-dropping-particle":"","parse-names":false,"suffix":""},{"dropping-particle":"","family":"Riss","given":"Katharina","non-dropping-particle":"","parse-names":false,"suffix":""},{"dropping-particle":"","family":"Rabitsch","given":"Werner","non-dropping-particle":"","parse-names":false,"suffix":""},{"dropping-particle":"","family":"Bojic","given":"Marija","non-dropping-particle":"","parse-names":false,"suffix":""},{"dropping-particle":"","family":"Knoebl","given":"Paul","non-dropping-particle":"","parse-names":false,"suffix":""},{"dropping-particle":"","family":"Locker","given":"Gottfried J.","non-dropping-particle":"","parse-names":false,"suffix":""},{"dropping-particle":"","family":"Obiditsch","given":"Maria","non-dropping-particle":"","parse-names":false,"suffix":""},{"dropping-particle":"","family":"Fuhrmann","given":"Valentin","non-dropping-particle":"","parse-names":false,"suffix":""},{"dropping-particle":"","family":"Schellongowski","given":"Peter","non-dropping-particle":"","parse-names":false,"suffix":""}],"container-title":"Annals of Hematology","id":"ITEM-1","issue":"10","issued":{"date-parts":[["2014","10","1"]]},"page":"1629-1636","publisher":"Springer Verlag","title":"Prognostic factors, long-term survival, and outcome of cancer patients receiving chemotherapy in the intensive care unit","type":"article-journal","volume":"93"},"uris":["http://www.mendeley.com/documents/?uuid=0733d133-5580-3a03-ba29-b76fb0421e62"]}],"mendeley":{"formattedCitation":"[125]","plainTextFormattedCitation":"[125]","previouslyFormattedCitation":"[125]"},"properties":{"noteIndex":0},"schema":"https://github.com/citation-style-language/schema/raw/master/csl-citation.json"}</w:instrText>
            </w:r>
            <w:r>
              <w:rPr>
                <w:rFonts w:cs="Times New Roman"/>
                <w:szCs w:val="24"/>
                <w:lang w:val="en-US"/>
              </w:rPr>
              <w:fldChar w:fldCharType="separate"/>
            </w:r>
            <w:r w:rsidRPr="0000369C">
              <w:rPr>
                <w:rFonts w:cs="Times New Roman"/>
                <w:noProof/>
                <w:szCs w:val="24"/>
                <w:lang w:val="en-US"/>
              </w:rPr>
              <w:t>[125]</w:t>
            </w:r>
            <w:r>
              <w:rPr>
                <w:rFonts w:cs="Times New Roman"/>
                <w:szCs w:val="24"/>
                <w:lang w:val="en-US"/>
              </w:rPr>
              <w:fldChar w:fldCharType="end"/>
            </w:r>
          </w:p>
        </w:tc>
        <w:tc>
          <w:tcPr>
            <w:tcW w:w="2140" w:type="dxa"/>
          </w:tcPr>
          <w:p w14:paraId="017CDCEB" w14:textId="77777777" w:rsidR="0000369C" w:rsidRPr="008F721B" w:rsidRDefault="0000369C" w:rsidP="001C46FD">
            <w:pPr>
              <w:jc w:val="center"/>
              <w:rPr>
                <w:rFonts w:cs="Times New Roman"/>
                <w:szCs w:val="24"/>
              </w:rPr>
            </w:pPr>
            <w:r w:rsidRPr="008F721B">
              <w:rPr>
                <w:rFonts w:cs="Times New Roman"/>
                <w:szCs w:val="24"/>
              </w:rPr>
              <w:t>61</w:t>
            </w:r>
          </w:p>
        </w:tc>
        <w:tc>
          <w:tcPr>
            <w:tcW w:w="2447" w:type="dxa"/>
          </w:tcPr>
          <w:p w14:paraId="2E33D4C0" w14:textId="77777777" w:rsidR="0000369C" w:rsidRPr="008F721B" w:rsidRDefault="0000369C" w:rsidP="001C46FD">
            <w:pPr>
              <w:jc w:val="center"/>
              <w:rPr>
                <w:rFonts w:cs="Times New Roman"/>
                <w:szCs w:val="24"/>
              </w:rPr>
            </w:pPr>
            <w:r w:rsidRPr="008F721B">
              <w:rPr>
                <w:rFonts w:cs="Times New Roman"/>
                <w:szCs w:val="24"/>
              </w:rPr>
              <w:t>61</w:t>
            </w:r>
          </w:p>
        </w:tc>
        <w:tc>
          <w:tcPr>
            <w:tcW w:w="2418" w:type="dxa"/>
          </w:tcPr>
          <w:p w14:paraId="15759821" w14:textId="77777777" w:rsidR="0000369C" w:rsidRPr="008F721B" w:rsidRDefault="0000369C" w:rsidP="001C46FD">
            <w:pPr>
              <w:jc w:val="center"/>
              <w:rPr>
                <w:rFonts w:cs="Times New Roman"/>
                <w:szCs w:val="24"/>
              </w:rPr>
            </w:pPr>
            <w:r w:rsidRPr="008F721B">
              <w:rPr>
                <w:rFonts w:cs="Times New Roman"/>
                <w:szCs w:val="24"/>
              </w:rPr>
              <w:t>39</w:t>
            </w:r>
          </w:p>
        </w:tc>
      </w:tr>
      <w:tr w:rsidR="0000369C" w:rsidRPr="008F721B" w14:paraId="42F1D066" w14:textId="77777777" w:rsidTr="001C46FD">
        <w:trPr>
          <w:trHeight w:val="840"/>
        </w:trPr>
        <w:tc>
          <w:tcPr>
            <w:tcW w:w="2422" w:type="dxa"/>
          </w:tcPr>
          <w:p w14:paraId="23456C50" w14:textId="62409331" w:rsidR="0000369C" w:rsidRPr="008F721B" w:rsidRDefault="0000369C" w:rsidP="001C46FD">
            <w:pPr>
              <w:jc w:val="center"/>
              <w:rPr>
                <w:rFonts w:cs="Times New Roman"/>
                <w:szCs w:val="24"/>
              </w:rPr>
            </w:pPr>
            <w:r w:rsidRPr="008F721B">
              <w:rPr>
                <w:rFonts w:cs="Times New Roman"/>
                <w:szCs w:val="24"/>
              </w:rPr>
              <w:lastRenderedPageBreak/>
              <w:t>Schellongowski P.и соавт.</w:t>
            </w:r>
            <w:r>
              <w:rPr>
                <w:rFonts w:cs="Times New Roman"/>
                <w:szCs w:val="24"/>
              </w:rPr>
              <w:t>,</w:t>
            </w:r>
            <w:r>
              <w:rPr>
                <w:rFonts w:cs="Times New Roman"/>
                <w:szCs w:val="24"/>
                <w:lang w:val="en-US"/>
              </w:rPr>
              <w:t xml:space="preserve"> 2010 </w:t>
            </w:r>
            <w:r>
              <w:rPr>
                <w:rFonts w:cs="Times New Roman"/>
                <w:szCs w:val="24"/>
                <w:lang w:val="en-US"/>
              </w:rPr>
              <w:fldChar w:fldCharType="begin" w:fldLock="1"/>
            </w:r>
            <w:r>
              <w:rPr>
                <w:rFonts w:cs="Times New Roman"/>
                <w:szCs w:val="24"/>
                <w:lang w:val="en-US"/>
              </w:rPr>
              <w:instrText>ADDIN CSL_CITATION {"citationItems":[{"id":"ITEM-1","itemData":{"DOI":"10.3324/haematol.2010.031583","ISBN":"1592-8721","ISSN":"03906078","PMID":"21071501","abstract":"Acute myeloid leukemia is a life-threatening disease associated with high mortality rates. A substantial number of patients require intensive care. This investigation analyzes risk factors predicting admission to the intensive care unit in patients with acute myeloid leukemia eligible for induction chemotherapy, the outcome of these patients, and prognostic factors predicting their survival.","author":[{"dropping-particle":"","family":"Schellongowski","given":"Peter","non-dropping-particle":"","parse-names":false,"suffix":""},{"dropping-particle":"","family":"Staudinger","given":"Thomas","non-dropping-particle":"","parse-names":false,"suffix":""},{"dropping-particle":"","family":"Kundi","given":"Michael","non-dropping-particle":"","parse-names":false,"suffix":""},{"dropping-particle":"","family":"Laczika","given":"Klaus","non-dropping-particle":"","parse-names":false,"suffix":""},{"dropping-particle":"","family":"Locker","given":"Gottfried J.","non-dropping-particle":"","parse-names":false,"suffix":""},{"dropping-particle":"","family":"Bojic","given":"Andja","non-dropping-particle":"","parse-names":false,"suffix":""},{"dropping-particle":"","family":"Robak","given":"Oliver","non-dropping-particle":"","parse-names":false,"suffix":""},{"dropping-particle":"","family":"Fuhrmann","given":"Valentin","non-dropping-particle":"","parse-names":false,"suffix":""},{"dropping-particle":"","family":"Jäger","given":"Ulrich","non-dropping-particle":"","parse-names":false,"suffix":""},{"dropping-particle":"","family":"Valent","given":"Peter","non-dropping-particle":"","parse-names":false,"suffix":""},{"dropping-particle":"","family":"Sperr","given":"Wolfgang R.","non-dropping-particle":"","parse-names":false,"suffix":""}],"container-title":"Haematologica","id":"ITEM-1","issue":"2","issued":{"date-parts":[["2011","2"]]},"page":"231-237","title":"Prognostic factors for intensive care unit admission, intensive care outcome, and post-intensive care survival in patients with de novo acute myeloid leukemia: a single center experience","type":"article-journal","volume":"96"},"uris":["http://www.mendeley.com/documents/?uuid=7251567b-1fba-40bf-b96a-3bcd8583314e"]}],"mendeley":{"formattedCitation":"[112]","plainTextFormattedCitation":"[112]","previouslyFormattedCitation":"[112]"},"properties":{"noteIndex":0},"schema":"https://github.com/citation-style-language/schema/raw/master/csl-citation.json"}</w:instrText>
            </w:r>
            <w:r>
              <w:rPr>
                <w:rFonts w:cs="Times New Roman"/>
                <w:szCs w:val="24"/>
                <w:lang w:val="en-US"/>
              </w:rPr>
              <w:fldChar w:fldCharType="separate"/>
            </w:r>
            <w:r w:rsidRPr="0000369C">
              <w:rPr>
                <w:rFonts w:cs="Times New Roman"/>
                <w:noProof/>
                <w:szCs w:val="24"/>
                <w:lang w:val="en-US"/>
              </w:rPr>
              <w:t>[112]</w:t>
            </w:r>
            <w:r>
              <w:rPr>
                <w:rFonts w:cs="Times New Roman"/>
                <w:szCs w:val="24"/>
                <w:lang w:val="en-US"/>
              </w:rPr>
              <w:fldChar w:fldCharType="end"/>
            </w:r>
            <w:r w:rsidRPr="008F721B">
              <w:rPr>
                <w:rFonts w:cs="Times New Roman"/>
                <w:szCs w:val="24"/>
              </w:rPr>
              <w:t xml:space="preserve"> </w:t>
            </w:r>
          </w:p>
        </w:tc>
        <w:tc>
          <w:tcPr>
            <w:tcW w:w="2140" w:type="dxa"/>
          </w:tcPr>
          <w:p w14:paraId="3958F4B5" w14:textId="77777777" w:rsidR="0000369C" w:rsidRPr="008F721B" w:rsidRDefault="0000369C" w:rsidP="001C46FD">
            <w:pPr>
              <w:jc w:val="center"/>
              <w:rPr>
                <w:rFonts w:cs="Times New Roman"/>
                <w:szCs w:val="24"/>
              </w:rPr>
            </w:pPr>
            <w:r w:rsidRPr="008F721B">
              <w:rPr>
                <w:rFonts w:cs="Times New Roman"/>
                <w:szCs w:val="24"/>
              </w:rPr>
              <w:t>50</w:t>
            </w:r>
          </w:p>
        </w:tc>
        <w:tc>
          <w:tcPr>
            <w:tcW w:w="2447" w:type="dxa"/>
          </w:tcPr>
          <w:p w14:paraId="24B08DB6" w14:textId="77777777" w:rsidR="0000369C" w:rsidRPr="008F721B" w:rsidRDefault="0000369C" w:rsidP="001C46FD">
            <w:pPr>
              <w:jc w:val="center"/>
              <w:rPr>
                <w:rFonts w:cs="Times New Roman"/>
                <w:szCs w:val="24"/>
              </w:rPr>
            </w:pPr>
            <w:r w:rsidRPr="008F721B">
              <w:rPr>
                <w:rFonts w:cs="Times New Roman"/>
                <w:szCs w:val="24"/>
              </w:rPr>
              <w:t>3,2</w:t>
            </w:r>
          </w:p>
        </w:tc>
        <w:tc>
          <w:tcPr>
            <w:tcW w:w="2418" w:type="dxa"/>
          </w:tcPr>
          <w:p w14:paraId="24393D4F" w14:textId="77777777" w:rsidR="0000369C" w:rsidRPr="008F721B" w:rsidRDefault="0000369C" w:rsidP="001C46FD">
            <w:pPr>
              <w:jc w:val="center"/>
              <w:rPr>
                <w:rFonts w:cs="Times New Roman"/>
                <w:szCs w:val="24"/>
              </w:rPr>
            </w:pPr>
            <w:r w:rsidRPr="008F721B">
              <w:rPr>
                <w:rFonts w:cs="Times New Roman"/>
                <w:szCs w:val="24"/>
              </w:rPr>
              <w:t>8</w:t>
            </w:r>
          </w:p>
        </w:tc>
      </w:tr>
      <w:tr w:rsidR="0000369C" w:rsidRPr="008F721B" w14:paraId="5813CF2D" w14:textId="77777777" w:rsidTr="001C46FD">
        <w:trPr>
          <w:trHeight w:val="805"/>
        </w:trPr>
        <w:tc>
          <w:tcPr>
            <w:tcW w:w="2422" w:type="dxa"/>
          </w:tcPr>
          <w:p w14:paraId="51D4A495" w14:textId="3E5CE7F3" w:rsidR="0000369C" w:rsidRPr="008F721B" w:rsidRDefault="0000369C" w:rsidP="001C46FD">
            <w:pPr>
              <w:jc w:val="center"/>
              <w:rPr>
                <w:rFonts w:cs="Times New Roman"/>
                <w:szCs w:val="24"/>
              </w:rPr>
            </w:pPr>
            <w:r w:rsidRPr="008F721B">
              <w:rPr>
                <w:rFonts w:cs="Times New Roman"/>
                <w:szCs w:val="24"/>
              </w:rPr>
              <w:t>Ahmed T. и соавт.</w:t>
            </w:r>
            <w:r>
              <w:rPr>
                <w:rFonts w:cs="Times New Roman"/>
                <w:szCs w:val="24"/>
              </w:rPr>
              <w:t xml:space="preserve">, 2017 </w:t>
            </w:r>
            <w:r>
              <w:rPr>
                <w:rFonts w:cs="Times New Roman"/>
                <w:szCs w:val="24"/>
              </w:rPr>
              <w:fldChar w:fldCharType="begin" w:fldLock="1"/>
            </w:r>
            <w:r>
              <w:rPr>
                <w:rFonts w:cs="Times New Roman"/>
                <w:szCs w:val="24"/>
              </w:rPr>
              <w:instrText>ADDIN CSL_CITATION {"citationItems":[{"id":"ITEM-1","itemData":{"DOI":"10.1016/j.leukres.2017.09.017","ISSN":"18735835","PMID":"28985622","abstract":"Patients with Acute Myeloid Leukemia (AML) have compromised marrow function and chemotherapy causes further suppression. As a result complications are frequent, and patients may require admission to the intensive care unit (ICU). How codes status changes when these events occur and how those changes influence outcome are largely unknown. Outcomes for adult patients with AML, undergoing induction chemotherapy, and transferred to the ICU between January 2000 and December 2013 were analyzed. 94 patients were included. Median survival was 1.3 months. At 3 and 6 months overall survival (OS) was 27% and 18% respectively. Respiratory failure was the most common reason for transfer to ICU (88%), with 63% requiring mechanical ventilation at transfer. Other reasons included: cardiac arrest (18%), septic shock (17%), hypotension (9%), and acute renal failure (9%). The most frequent interventions were mechanical ventilation in 85%, vasopressors in 62%, and hemodialysis in 30%. Following transfer 55 patients (58%) had a change in code status. Overall, 46 patients (49%) changed from Full Code (FC) to Comfort Care (CC), 7 (7%) from FC to Do Not Resuscitate (DNR), and 2 (2%) from DNR to CC. For the entire cohort, ICU mortality (IM) was 61% and hospital mortality (HM) was 71%. For FC or DNR patients, IM was 30% and HM was 41%. For CC patients, IM was 90% and HM was 100%. Overall, 27 patients (29%) survived to discharge. Of those discharged, 22 (81%) were alive at 3 months and 17 (63%) were alive at 6 months. In conclusion, patients that required ICU admission during induction chemotherapy have a poor prognosis. Code status changed during the ICU stay for the majority of patients and always to a less aggressive status.","author":[{"dropping-particle":"","family":"Ahmed","given":"Tamjeed","non-dropping-particle":"","parse-names":false,"suffix":""},{"dropping-particle":"","family":"Koch","given":"Abby L.","non-dropping-particle":"","parse-names":false,"suffix":""},{"dropping-particle":"","family":"Isom","given":"Scott","non-dropping-particle":"","parse-names":false,"suffix":""},{"dropping-particle":"","family":"Klepin","given":"Heidi D.","non-dropping-particle":"","parse-names":false,"suffix":""},{"dropping-particle":"","family":"Bishop","given":"Jonathan M.","non-dropping-particle":"","parse-names":false,"suffix":""},{"dropping-particle":"","family":"Ellis","given":"Leslie R.","non-dropping-particle":"","parse-names":false,"suffix":""},{"dropping-particle":"","family":"Berenzon","given":"Dmitriy","non-dropping-particle":"","parse-names":false,"suffix":""},{"dropping-particle":"","family":"Howard","given":"Dianna","non-dropping-particle":"","parse-names":false,"suffix":""},{"dropping-particle":"","family":"Lyerly","given":"Susan","non-dropping-particle":"","parse-names":false,"suffix":""},{"dropping-particle":"","family":"Powell","given":"Bayard L.","non-dropping-particle":"","parse-names":false,"suffix":""},{"dropping-particle":"","family":"Pardee","given":"Timothy S.","non-dropping-particle":"","parse-names":false,"suffix":""}],"container-title":"Leukemia Research","id":"ITEM-1","issued":{"date-parts":[["2017","11","1"]]},"page":"51-55","publisher":"Elsevier Ltd","title":"Outcomes and changes in code status of patients with acute myeloid leukemia undergoing induction chemotherapy who were transferred to the intensive care unit","type":"article-journal","volume":"62"},"uris":["http://www.mendeley.com/documents/?uuid=06d1336d-0ad4-3138-ba61-9709dde152aa"]}],"mendeley":{"formattedCitation":"[124]","plainTextFormattedCitation":"[124]","previouslyFormattedCitation":"[124]"},"properties":{"noteIndex":0},"schema":"https://github.com/citation-style-language/schema/raw/master/csl-citation.json"}</w:instrText>
            </w:r>
            <w:r>
              <w:rPr>
                <w:rFonts w:cs="Times New Roman"/>
                <w:szCs w:val="24"/>
              </w:rPr>
              <w:fldChar w:fldCharType="separate"/>
            </w:r>
            <w:r w:rsidRPr="0000369C">
              <w:rPr>
                <w:rFonts w:cs="Times New Roman"/>
                <w:noProof/>
                <w:szCs w:val="24"/>
              </w:rPr>
              <w:t>[124]</w:t>
            </w:r>
            <w:r>
              <w:rPr>
                <w:rFonts w:cs="Times New Roman"/>
                <w:szCs w:val="24"/>
              </w:rPr>
              <w:fldChar w:fldCharType="end"/>
            </w:r>
            <w:r w:rsidRPr="008F721B">
              <w:rPr>
                <w:rFonts w:cs="Times New Roman"/>
                <w:szCs w:val="24"/>
              </w:rPr>
              <w:t xml:space="preserve"> </w:t>
            </w:r>
          </w:p>
        </w:tc>
        <w:tc>
          <w:tcPr>
            <w:tcW w:w="2140" w:type="dxa"/>
          </w:tcPr>
          <w:p w14:paraId="65BAC590" w14:textId="77777777" w:rsidR="0000369C" w:rsidRPr="008F721B" w:rsidRDefault="0000369C" w:rsidP="001C46FD">
            <w:pPr>
              <w:jc w:val="center"/>
              <w:rPr>
                <w:rFonts w:cs="Times New Roman"/>
                <w:szCs w:val="24"/>
              </w:rPr>
            </w:pPr>
            <w:r w:rsidRPr="008F721B">
              <w:rPr>
                <w:rFonts w:cs="Times New Roman"/>
                <w:szCs w:val="24"/>
              </w:rPr>
              <w:t>85</w:t>
            </w:r>
          </w:p>
        </w:tc>
        <w:tc>
          <w:tcPr>
            <w:tcW w:w="2447" w:type="dxa"/>
          </w:tcPr>
          <w:p w14:paraId="493A128F" w14:textId="77777777" w:rsidR="0000369C" w:rsidRPr="008F721B" w:rsidRDefault="0000369C" w:rsidP="001C46FD">
            <w:pPr>
              <w:jc w:val="center"/>
              <w:rPr>
                <w:rFonts w:cs="Times New Roman"/>
                <w:szCs w:val="24"/>
              </w:rPr>
            </w:pPr>
            <w:r w:rsidRPr="008F721B">
              <w:rPr>
                <w:rFonts w:cs="Times New Roman"/>
                <w:szCs w:val="24"/>
              </w:rPr>
              <w:t>30</w:t>
            </w:r>
          </w:p>
        </w:tc>
        <w:tc>
          <w:tcPr>
            <w:tcW w:w="2418" w:type="dxa"/>
          </w:tcPr>
          <w:p w14:paraId="53E6CB58" w14:textId="77777777" w:rsidR="0000369C" w:rsidRPr="008F721B" w:rsidRDefault="0000369C" w:rsidP="001C46FD">
            <w:pPr>
              <w:jc w:val="center"/>
              <w:rPr>
                <w:rFonts w:cs="Times New Roman"/>
                <w:szCs w:val="24"/>
              </w:rPr>
            </w:pPr>
            <w:r w:rsidRPr="008F721B">
              <w:rPr>
                <w:rFonts w:cs="Times New Roman"/>
                <w:szCs w:val="24"/>
              </w:rPr>
              <w:t>62</w:t>
            </w:r>
          </w:p>
        </w:tc>
      </w:tr>
    </w:tbl>
    <w:p w14:paraId="0AFFD3E2" w14:textId="77777777" w:rsidR="0000369C" w:rsidRPr="008F721B" w:rsidRDefault="0000369C" w:rsidP="0000369C">
      <w:pPr>
        <w:ind w:firstLine="284"/>
        <w:rPr>
          <w:rFonts w:cs="Times New Roman"/>
          <w:szCs w:val="24"/>
        </w:rPr>
      </w:pPr>
    </w:p>
    <w:p w14:paraId="1370331C" w14:textId="77777777" w:rsidR="0000369C" w:rsidRPr="008F721B" w:rsidRDefault="0000369C" w:rsidP="0000369C">
      <w:pPr>
        <w:ind w:firstLine="709"/>
        <w:rPr>
          <w:rFonts w:cs="Times New Roman"/>
          <w:szCs w:val="24"/>
        </w:rPr>
      </w:pPr>
      <w:r w:rsidRPr="008F721B">
        <w:rPr>
          <w:rFonts w:cs="Times New Roman"/>
          <w:szCs w:val="24"/>
        </w:rPr>
        <w:t>В тоже время, именно проведение интенсивной терапии в сочетании с программным лечением (в том числе, химиотерапией), несмотря на критические синдромы, в дальнейшем дает возможность достичь ремиссии гематологического заболевания, а не просто пережить критическое состояние.</w:t>
      </w:r>
    </w:p>
    <w:p w14:paraId="526580E1" w14:textId="77777777" w:rsidR="0000369C" w:rsidRDefault="0000369C" w:rsidP="0000369C">
      <w:pPr>
        <w:pStyle w:val="2"/>
        <w:spacing w:before="0"/>
        <w:ind w:firstLine="708"/>
      </w:pPr>
    </w:p>
    <w:p w14:paraId="1B0E0B10" w14:textId="77777777" w:rsidR="0000369C" w:rsidRPr="00854947" w:rsidRDefault="0000369C" w:rsidP="0000369C">
      <w:pPr>
        <w:ind w:firstLine="708"/>
        <w:rPr>
          <w:rFonts w:cs="Times New Roman"/>
          <w:szCs w:val="24"/>
          <w:u w:val="single"/>
        </w:rPr>
      </w:pPr>
      <w:r w:rsidRPr="00854947">
        <w:rPr>
          <w:rFonts w:cs="Times New Roman"/>
          <w:szCs w:val="24"/>
          <w:u w:val="single"/>
        </w:rPr>
        <w:t>Показания к переводу в ОРИТ у гематологических пациентов</w:t>
      </w:r>
    </w:p>
    <w:p w14:paraId="04CB17B1" w14:textId="77777777" w:rsidR="0000369C" w:rsidRPr="008F721B" w:rsidRDefault="0000369C" w:rsidP="0000369C">
      <w:pPr>
        <w:ind w:firstLine="709"/>
        <w:rPr>
          <w:rFonts w:cs="Times New Roman"/>
          <w:szCs w:val="24"/>
        </w:rPr>
      </w:pPr>
      <w:r w:rsidRPr="008F721B">
        <w:rPr>
          <w:rFonts w:cs="Times New Roman"/>
          <w:szCs w:val="24"/>
        </w:rPr>
        <w:t>Критическими синдромами, требующими перевода в ОРИТ являются: сепсис, септический шок (СШ), ОДН, ОПН, острое нарушение мозгового кровообращения (ОНМК) по ишемическому или геморрагическому типу, синдром массивного лизиса опухоли, жизнеугрожающее нарушение сердечного ритма, массивное желудочно-кишечное кровотечение.</w:t>
      </w:r>
    </w:p>
    <w:p w14:paraId="7E58A196" w14:textId="77777777" w:rsidR="0000369C" w:rsidRPr="008F721B" w:rsidRDefault="0000369C" w:rsidP="0000369C">
      <w:pPr>
        <w:ind w:firstLine="709"/>
        <w:contextualSpacing/>
        <w:rPr>
          <w:rFonts w:cs="Times New Roman"/>
          <w:szCs w:val="24"/>
        </w:rPr>
      </w:pPr>
      <w:r w:rsidRPr="008F721B">
        <w:rPr>
          <w:rFonts w:cs="Times New Roman"/>
          <w:szCs w:val="24"/>
        </w:rPr>
        <w:t xml:space="preserve">Диагноз </w:t>
      </w:r>
      <w:r w:rsidRPr="008F721B">
        <w:rPr>
          <w:rFonts w:cs="Times New Roman"/>
          <w:i/>
          <w:szCs w:val="24"/>
        </w:rPr>
        <w:t xml:space="preserve">сепсиса </w:t>
      </w:r>
      <w:r w:rsidRPr="008F721B">
        <w:rPr>
          <w:rFonts w:cs="Times New Roman"/>
          <w:szCs w:val="24"/>
        </w:rPr>
        <w:t xml:space="preserve">устанавливается согласно критериям, которые приняты на 3 медународной конференции по согласованию определения сепсиса и СШ. Сепсисом считается жизнеугрожающее состояние с дисфункцией органов и систем в результате дизрегуляторного ответа организма на инфекционный процесс. В качестве диагностического критерия используют шкалу тяжести больных </w:t>
      </w:r>
      <w:r w:rsidRPr="008F721B">
        <w:rPr>
          <w:rFonts w:cs="Times New Roman"/>
          <w:szCs w:val="24"/>
          <w:lang w:val="en-US"/>
        </w:rPr>
        <w:t>SOFA</w:t>
      </w:r>
      <w:r w:rsidRPr="008F721B">
        <w:rPr>
          <w:rFonts w:cs="Times New Roman"/>
          <w:szCs w:val="24"/>
        </w:rPr>
        <w:t xml:space="preserve">. Резкое повышение по шкале </w:t>
      </w:r>
      <w:r w:rsidRPr="008F721B">
        <w:rPr>
          <w:rFonts w:cs="Times New Roman"/>
          <w:szCs w:val="24"/>
          <w:lang w:val="en-US"/>
        </w:rPr>
        <w:t>SOFA</w:t>
      </w:r>
      <w:r w:rsidRPr="008F721B">
        <w:rPr>
          <w:rFonts w:cs="Times New Roman"/>
          <w:szCs w:val="24"/>
        </w:rPr>
        <w:t xml:space="preserve"> более чем на 2 балла по сравнению с предыдущим состоянием больного вместе с предполагаемым инфекционным процессом являются необходимыми критериями для установления диагноза сепсиса.</w:t>
      </w:r>
    </w:p>
    <w:p w14:paraId="293BF1DA" w14:textId="77777777" w:rsidR="0000369C" w:rsidRPr="008F721B" w:rsidRDefault="0000369C" w:rsidP="0000369C">
      <w:pPr>
        <w:ind w:firstLine="709"/>
        <w:contextualSpacing/>
        <w:rPr>
          <w:rFonts w:cs="Times New Roman"/>
          <w:szCs w:val="24"/>
        </w:rPr>
      </w:pPr>
      <w:r w:rsidRPr="008F721B">
        <w:rPr>
          <w:rFonts w:cs="Times New Roman"/>
          <w:i/>
          <w:szCs w:val="24"/>
        </w:rPr>
        <w:t>Диагноз СШ</w:t>
      </w:r>
      <w:r w:rsidRPr="008F721B">
        <w:rPr>
          <w:rFonts w:cs="Times New Roman"/>
          <w:szCs w:val="24"/>
        </w:rPr>
        <w:t xml:space="preserve"> устанавливаливают при выявлении сепсиса, который протекает с органной дисфункцией, а именно с оценкой в более чем 2 балла по шкале SOFA и артериальной гипотензией, которая сохраняется после инфузии 2000 мл кристаллоидных растворов, и требует для своей коррекции введения инотропных и/или вазопрессорных препаратов, с повышением концентрации лактата артериальной крови более 2,0 ммоль/л. </w:t>
      </w:r>
    </w:p>
    <w:p w14:paraId="7BBA037F" w14:textId="76419B3D" w:rsidR="0000369C" w:rsidRPr="008F721B" w:rsidRDefault="0000369C" w:rsidP="0000369C">
      <w:pPr>
        <w:ind w:firstLine="709"/>
        <w:contextualSpacing/>
        <w:rPr>
          <w:rFonts w:cs="Times New Roman"/>
          <w:szCs w:val="24"/>
        </w:rPr>
      </w:pPr>
      <w:r w:rsidRPr="008F721B">
        <w:rPr>
          <w:rFonts w:cs="Times New Roman"/>
          <w:i/>
          <w:szCs w:val="24"/>
        </w:rPr>
        <w:t>ОДН</w:t>
      </w:r>
      <w:r w:rsidRPr="008F721B">
        <w:rPr>
          <w:rFonts w:cs="Times New Roman"/>
          <w:szCs w:val="24"/>
        </w:rPr>
        <w:t xml:space="preserve"> устанваливается при наличии следующих критериев (одного или нескольких): тахипноэ (число дыханий в покое более 30 в 1 мин), артериальная гипоксемия (парциальное давление кислорода в артериальной крови ниже 60 мм рт.ст. при дыхании воздухом или снижение PaO</w:t>
      </w:r>
      <w:r w:rsidRPr="008F721B">
        <w:rPr>
          <w:rFonts w:cs="Times New Roman"/>
          <w:szCs w:val="24"/>
          <w:vertAlign w:val="subscript"/>
        </w:rPr>
        <w:t>2</w:t>
      </w:r>
      <w:r w:rsidRPr="008F721B">
        <w:rPr>
          <w:rFonts w:cs="Times New Roman"/>
          <w:szCs w:val="24"/>
        </w:rPr>
        <w:t>/FiO</w:t>
      </w:r>
      <w:r w:rsidRPr="008F721B">
        <w:rPr>
          <w:rFonts w:cs="Times New Roman"/>
          <w:szCs w:val="24"/>
          <w:vertAlign w:val="subscript"/>
        </w:rPr>
        <w:t>2</w:t>
      </w:r>
      <w:r w:rsidRPr="008F721B">
        <w:rPr>
          <w:rFonts w:cs="Times New Roman"/>
          <w:szCs w:val="24"/>
        </w:rPr>
        <w:t xml:space="preserve"> менее 300); гиперкапния (повышение парциального давления углекислого газа в артериальной крови выше 50 мм рт.ст.) </w:t>
      </w:r>
      <w:r w:rsidRPr="008F721B">
        <w:rPr>
          <w:rFonts w:cs="Times New Roman"/>
          <w:szCs w:val="24"/>
        </w:rPr>
        <w:fldChar w:fldCharType="begin" w:fldLock="1"/>
      </w:r>
      <w:r>
        <w:rPr>
          <w:rFonts w:cs="Times New Roman"/>
          <w:szCs w:val="24"/>
        </w:rPr>
        <w:instrText>ADDIN CSL_CITATION {"citationItems":[{"id":"ITEM-1","itemData":{"DOI":"10.1001/jama.2017.21907","ISSN":"0098-7484","abstract":"&lt;h3&gt;Importance&lt;/h3&gt;&lt;p&gt;Acute respiratory distress syndrome (ARDS) is a life-threatening form of respiratory failure that affects approximately 200 000 patients each year in the United States, resulting in nearly 75 000 deaths annually. Globally, ARDS accounts for 10% of intensive care unit admissions, representing more than 3 million patients with ARDS annually.&lt;/p&gt;&lt;h3&gt;Objective&lt;/h3&gt;&lt;p&gt;To review advances in diagnosis and treatment of ARDS over the last 5 years.&lt;/p&gt;&lt;h3&gt;Evidence Review&lt;/h3&gt;&lt;p&gt;We searched MEDLINE, EMBASE, and the Cochrane Database of Systematic Reviews from 2012 to 2017 focusing on randomized clinical trials, meta-analyses, systematic reviews, and clinical practice guidelines. Articles were identified for full text review with manual review of bibliographies generating additional references.&lt;/p&gt;&lt;h3&gt;Findings&lt;/h3&gt;&lt;p&gt;After screening 1662 citations, 31 articles detailing major advances in the diagnosis or treatment of ARDS were selected. The Berlin definition proposed 3 categories of ARDS based on the severity of hypoxemia: mild (200 mm Hg&amp;lt;Pao&lt;sub&gt;2&lt;/sub&gt;/Fio&lt;sub&gt;2&lt;/sub&gt;≤300 mm Hg), moderate (100 mm Hg&amp;lt;Pao&lt;sub&gt;2&lt;/sub&gt;/Fio&lt;sub&gt;2&lt;/sub&gt;≤200 mm Hg), and severe (Pao&lt;sub&gt;2&lt;/sub&gt;/Fio&lt;sub&gt;2&lt;/sub&gt;≤100 mm Hg), along with explicit criteria related to timing of the syndrome’s onset, origin of edema, and the chest radiograph findings. The Berlin definition has significantly greater predictive validity for mortality than the prior American-European Consensus Conference definition. Clinician interpretation of the origin of edema and chest radiograph criteria may be less reliable in making a diagnosis of ARDS. The cornerstone of management remains mechanical ventilation, with a goal to minimize ventilator-induced lung injury (VILI). Aspirin was not effective in preventing ARDS in patients at high-risk for the syndrome. Adjunctive interventions to further minimize VILI, such as prone positioning in patients with a Pao&lt;sub&gt;2&lt;/sub&gt;/Fio&lt;sub&gt;2&lt;/sub&gt;ratio less than 150 mm Hg, were associated with a significant mortality benefit whereas others (eg, extracorporeal carbon dioxide removal) remain experimental. Pharmacologic therapies such as β&lt;sub&gt;2&lt;/sub&gt;agonists, statins, and keratinocyte growth factor, which targeted pathophysiologic alterations in ARDS, were not beneficial and demonstrated possible harm. Recent guidelines on mechanical ventilation in ARDS provide evidence-based recommendations related to 6 interventions, including low tidal volume and inspirato…","author":[{"dropping-particle":"","family":"Fan","given":"Eddy","non-dropping-particle":"","parse-names":false,"suffix":""},{"dropping-particle":"","family":"Brodie","given":"Daniel","non-dropping-particle":"","parse-names":false,"suffix":""},{"dropping-particle":"","family":"Slutsky","given":"Arthur S.","non-dropping-particle":"","parse-names":false,"suffix":""}],"container-title":"JAMA","id":"ITEM-1","issue":"7","issued":{"date-parts":[["2018","2"]]},"page":"698","publisher":"American Medical Association","title":"Acute Respiratory Distress Syndrome","type":"article-journal","volume":"319"},"uris":["http://www.mendeley.com/documents/?uuid=37eba551-50b1-49af-8755-8b098396bb63"]}],"mendeley":{"formattedCitation":"[126]","plainTextFormattedCitation":"[126]","previouslyFormattedCitation":"[126]"},"properties":{"noteIndex":0},"schema":"https://github.com/citation-style-language/schema/raw/master/csl-citation.json"}</w:instrText>
      </w:r>
      <w:r w:rsidRPr="008F721B">
        <w:rPr>
          <w:rFonts w:cs="Times New Roman"/>
          <w:szCs w:val="24"/>
        </w:rPr>
        <w:fldChar w:fldCharType="separate"/>
      </w:r>
      <w:r w:rsidRPr="0000369C">
        <w:rPr>
          <w:rFonts w:cs="Times New Roman"/>
          <w:noProof/>
          <w:szCs w:val="24"/>
        </w:rPr>
        <w:t>[126]</w:t>
      </w:r>
      <w:r w:rsidRPr="008F721B">
        <w:rPr>
          <w:rFonts w:cs="Times New Roman"/>
          <w:szCs w:val="24"/>
        </w:rPr>
        <w:fldChar w:fldCharType="end"/>
      </w:r>
      <w:r w:rsidRPr="008F721B">
        <w:rPr>
          <w:rFonts w:cs="Times New Roman"/>
          <w:szCs w:val="24"/>
        </w:rPr>
        <w:t xml:space="preserve">. Для уточнения характера повреждения легких необходимо провести КТ исследования органов грудной клетки. Это </w:t>
      </w:r>
      <w:r w:rsidRPr="008F721B">
        <w:rPr>
          <w:rFonts w:cs="Times New Roman"/>
          <w:szCs w:val="24"/>
        </w:rPr>
        <w:lastRenderedPageBreak/>
        <w:t xml:space="preserve">необходимо как для наблюдения за динамикой так и для определения сегмента, где будет выполняться бронхоальвеолярный лаваж. </w:t>
      </w:r>
    </w:p>
    <w:p w14:paraId="2A250E08" w14:textId="77777777" w:rsidR="0000369C" w:rsidRPr="008F721B" w:rsidRDefault="0000369C" w:rsidP="0000369C">
      <w:pPr>
        <w:ind w:firstLine="709"/>
        <w:contextualSpacing/>
        <w:rPr>
          <w:rFonts w:cs="Times New Roman"/>
          <w:szCs w:val="24"/>
        </w:rPr>
      </w:pPr>
      <w:r w:rsidRPr="008F721B">
        <w:rPr>
          <w:rFonts w:cs="Times New Roman"/>
          <w:iCs/>
          <w:szCs w:val="24"/>
        </w:rPr>
        <w:t xml:space="preserve">Для </w:t>
      </w:r>
      <w:r w:rsidRPr="008F721B">
        <w:rPr>
          <w:rFonts w:cs="Times New Roman"/>
          <w:i/>
          <w:szCs w:val="24"/>
        </w:rPr>
        <w:t>ОНМК</w:t>
      </w:r>
      <w:r w:rsidRPr="008F721B">
        <w:rPr>
          <w:rFonts w:cs="Times New Roman"/>
          <w:szCs w:val="24"/>
        </w:rPr>
        <w:t xml:space="preserve"> типично внезапное появление очаговой неврологической симптоматики и/или общемозговых нарушений (угнетение сознания, головная боль, тошнота и/или рвота). Диагноз ОНМК подтверждается при проведении магнитно-резонансной томографии и/или компьютерной томографии головного мозга (по показаниям с контрастированием), по результатам которых выставляется вариант ОНМК: ишемический или геморрагический.</w:t>
      </w:r>
    </w:p>
    <w:p w14:paraId="6A981C26" w14:textId="77777777" w:rsidR="0000369C" w:rsidRPr="008F721B" w:rsidRDefault="0000369C" w:rsidP="0000369C">
      <w:pPr>
        <w:ind w:firstLine="709"/>
        <w:contextualSpacing/>
        <w:rPr>
          <w:rFonts w:cs="Times New Roman"/>
          <w:szCs w:val="24"/>
        </w:rPr>
      </w:pPr>
      <w:r w:rsidRPr="008F721B">
        <w:rPr>
          <w:rFonts w:cs="Times New Roman"/>
          <w:i/>
          <w:szCs w:val="24"/>
        </w:rPr>
        <w:t xml:space="preserve"> ОПН</w:t>
      </w:r>
      <w:r w:rsidRPr="008F721B">
        <w:rPr>
          <w:rFonts w:cs="Times New Roman"/>
          <w:szCs w:val="24"/>
        </w:rPr>
        <w:t xml:space="preserve"> принято считать повышение сывороточной концентрации креатинина более 200 мкмоль/л в двух последовательных исследованиях в течение 12часов и/или олигурию (диурез менее 0,5 мл/кг/час) за тот же промежуток времени.</w:t>
      </w:r>
    </w:p>
    <w:p w14:paraId="687CD670" w14:textId="77777777" w:rsidR="0000369C" w:rsidRPr="008F721B" w:rsidRDefault="0000369C" w:rsidP="0000369C">
      <w:pPr>
        <w:ind w:firstLine="709"/>
        <w:contextualSpacing/>
        <w:rPr>
          <w:rFonts w:cs="Times New Roman"/>
          <w:szCs w:val="24"/>
        </w:rPr>
      </w:pPr>
      <w:r w:rsidRPr="008F721B">
        <w:rPr>
          <w:rFonts w:cs="Times New Roman"/>
          <w:szCs w:val="24"/>
        </w:rPr>
        <w:t xml:space="preserve">К </w:t>
      </w:r>
      <w:r w:rsidRPr="008F721B">
        <w:rPr>
          <w:rFonts w:cs="Times New Roman"/>
          <w:i/>
          <w:szCs w:val="24"/>
        </w:rPr>
        <w:t>жизнеугрожающими нарушениями сердечного ритма</w:t>
      </w:r>
      <w:r w:rsidRPr="008F721B">
        <w:rPr>
          <w:rFonts w:cs="Times New Roman"/>
          <w:szCs w:val="24"/>
        </w:rPr>
        <w:t xml:space="preserve"> относят желудочковую тахикардию, фибрилляцию предсердий, сопровождающуюся снижением среднего артериального давления ниже 65 мм рт.ст. или систолического артериального давления ниже 80 мм рт.ст., атриовентрикулярную блокаду III степени. </w:t>
      </w:r>
    </w:p>
    <w:p w14:paraId="183B7177" w14:textId="77777777" w:rsidR="0000369C" w:rsidRPr="008F721B" w:rsidRDefault="0000369C" w:rsidP="0000369C">
      <w:pPr>
        <w:ind w:firstLine="709"/>
        <w:contextualSpacing/>
        <w:rPr>
          <w:rFonts w:cs="Times New Roman"/>
          <w:szCs w:val="24"/>
        </w:rPr>
      </w:pPr>
      <w:r w:rsidRPr="008F721B">
        <w:rPr>
          <w:rFonts w:cs="Times New Roman"/>
          <w:szCs w:val="24"/>
        </w:rPr>
        <w:t xml:space="preserve">При массивных желудочно-кишечных кровотечениях требуется перевод больных в ОРИТ для стабилизации состояния и проведения экстренных эндоскопических исследований. </w:t>
      </w:r>
    </w:p>
    <w:p w14:paraId="3B7C8F7D" w14:textId="77777777" w:rsidR="0000369C" w:rsidRDefault="0000369C" w:rsidP="0000369C">
      <w:pPr>
        <w:ind w:firstLine="709"/>
        <w:contextualSpacing/>
        <w:rPr>
          <w:rFonts w:cs="Times New Roman"/>
          <w:b/>
          <w:szCs w:val="24"/>
        </w:rPr>
      </w:pPr>
    </w:p>
    <w:p w14:paraId="34997D29" w14:textId="77777777" w:rsidR="0000369C" w:rsidRPr="003C0A4C" w:rsidRDefault="0000369C" w:rsidP="0000369C">
      <w:pPr>
        <w:ind w:firstLine="709"/>
        <w:contextualSpacing/>
        <w:rPr>
          <w:rFonts w:cs="Times New Roman"/>
          <w:i/>
          <w:szCs w:val="24"/>
          <w:u w:val="single"/>
        </w:rPr>
      </w:pPr>
      <w:r w:rsidRPr="003C0A4C">
        <w:rPr>
          <w:rFonts w:cs="Times New Roman"/>
          <w:i/>
          <w:szCs w:val="24"/>
          <w:u w:val="single"/>
        </w:rPr>
        <w:t>Задачи врача – реаниматолога</w:t>
      </w:r>
    </w:p>
    <w:p w14:paraId="7F63640F" w14:textId="77777777" w:rsidR="0000369C" w:rsidRPr="008F721B" w:rsidRDefault="0000369C" w:rsidP="0000369C">
      <w:pPr>
        <w:ind w:firstLine="709"/>
        <w:contextualSpacing/>
        <w:rPr>
          <w:rFonts w:cs="Times New Roman"/>
          <w:szCs w:val="24"/>
        </w:rPr>
      </w:pPr>
      <w:r w:rsidRPr="008F721B">
        <w:rPr>
          <w:rFonts w:cs="Times New Roman"/>
          <w:szCs w:val="24"/>
        </w:rPr>
        <w:t>При поступлении в ОРИТ гематологического пациента врач – реаниматолог решает несколько задач:</w:t>
      </w:r>
    </w:p>
    <w:p w14:paraId="23028F4F" w14:textId="77777777" w:rsidR="0000369C" w:rsidRPr="003C0A4C" w:rsidRDefault="0000369C" w:rsidP="00C5490F">
      <w:pPr>
        <w:pStyle w:val="afe"/>
        <w:numPr>
          <w:ilvl w:val="0"/>
          <w:numId w:val="83"/>
        </w:numPr>
        <w:rPr>
          <w:rFonts w:cs="Times New Roman"/>
          <w:szCs w:val="24"/>
        </w:rPr>
      </w:pPr>
      <w:r w:rsidRPr="003C0A4C">
        <w:rPr>
          <w:rFonts w:cs="Times New Roman"/>
          <w:szCs w:val="24"/>
        </w:rPr>
        <w:t>диагностика и установление этиологической причины развития жизнеугрожающего состояния (осмотр, опрос, анамнез, клинико-лабораторные и инструментальные методы);</w:t>
      </w:r>
    </w:p>
    <w:p w14:paraId="344086EB" w14:textId="77777777" w:rsidR="0000369C" w:rsidRPr="003C0A4C" w:rsidRDefault="0000369C" w:rsidP="00C5490F">
      <w:pPr>
        <w:pStyle w:val="afe"/>
        <w:numPr>
          <w:ilvl w:val="0"/>
          <w:numId w:val="83"/>
        </w:numPr>
        <w:rPr>
          <w:rFonts w:cs="Times New Roman"/>
          <w:szCs w:val="24"/>
        </w:rPr>
      </w:pPr>
      <w:r w:rsidRPr="003C0A4C">
        <w:rPr>
          <w:rFonts w:cs="Times New Roman"/>
          <w:szCs w:val="24"/>
        </w:rPr>
        <w:t>манипуляции, направленные на обеспечение сосудистого доступа (установка центрального венозного катетера, периферических венозных доступов), поддержание проходимости дыхательных путей (установка воздуховода, интубация трахеи), инвазивного мониторинга показателей гемодинамики (установка артериального катетера), декомпрессия желудка, катетеризация мочевого пузыря;</w:t>
      </w:r>
    </w:p>
    <w:p w14:paraId="2A84A835" w14:textId="77777777" w:rsidR="0000369C" w:rsidRPr="003C0A4C" w:rsidRDefault="0000369C" w:rsidP="00C5490F">
      <w:pPr>
        <w:pStyle w:val="afe"/>
        <w:numPr>
          <w:ilvl w:val="0"/>
          <w:numId w:val="83"/>
        </w:numPr>
        <w:rPr>
          <w:rFonts w:cs="Times New Roman"/>
          <w:szCs w:val="24"/>
        </w:rPr>
      </w:pPr>
      <w:r w:rsidRPr="003C0A4C">
        <w:rPr>
          <w:rFonts w:cs="Times New Roman"/>
          <w:szCs w:val="24"/>
        </w:rPr>
        <w:t>стабилизация состояния пациента с применением методик протезирования жизненно-важных органов (ИВЛ, вазопрессорная поддержка, заместительная почечная терапия);</w:t>
      </w:r>
    </w:p>
    <w:p w14:paraId="3E35D3FE" w14:textId="77777777" w:rsidR="0000369C" w:rsidRPr="003C0A4C" w:rsidRDefault="0000369C" w:rsidP="00C5490F">
      <w:pPr>
        <w:pStyle w:val="afe"/>
        <w:numPr>
          <w:ilvl w:val="0"/>
          <w:numId w:val="83"/>
        </w:numPr>
        <w:rPr>
          <w:rFonts w:cs="Times New Roman"/>
          <w:szCs w:val="24"/>
        </w:rPr>
      </w:pPr>
      <w:r w:rsidRPr="003C0A4C">
        <w:rPr>
          <w:rFonts w:cs="Times New Roman"/>
          <w:szCs w:val="24"/>
        </w:rPr>
        <w:t>проведение сопроводительной терапии, которая включает в себя антибиотическую (как противогрибковую, так и противовирусную) терапию, инфузионную, гемостатическую терапию, нутритивную поддержку и др.</w:t>
      </w:r>
    </w:p>
    <w:p w14:paraId="32128FD7" w14:textId="77777777" w:rsidR="0000369C" w:rsidRPr="003C0A4C" w:rsidRDefault="0000369C" w:rsidP="00C5490F">
      <w:pPr>
        <w:pStyle w:val="afe"/>
        <w:numPr>
          <w:ilvl w:val="0"/>
          <w:numId w:val="83"/>
        </w:numPr>
        <w:rPr>
          <w:rFonts w:cs="Times New Roman"/>
          <w:szCs w:val="24"/>
        </w:rPr>
      </w:pPr>
      <w:r w:rsidRPr="003C0A4C">
        <w:rPr>
          <w:rFonts w:cs="Times New Roman"/>
          <w:szCs w:val="24"/>
        </w:rPr>
        <w:lastRenderedPageBreak/>
        <w:t>контроль лабораторных и витальных показателей пациента;</w:t>
      </w:r>
    </w:p>
    <w:p w14:paraId="0D24F969" w14:textId="77777777" w:rsidR="0000369C" w:rsidRPr="003C0A4C" w:rsidRDefault="0000369C" w:rsidP="00C5490F">
      <w:pPr>
        <w:pStyle w:val="afe"/>
        <w:numPr>
          <w:ilvl w:val="0"/>
          <w:numId w:val="83"/>
        </w:numPr>
        <w:rPr>
          <w:rFonts w:cs="Times New Roman"/>
          <w:szCs w:val="24"/>
        </w:rPr>
      </w:pPr>
      <w:r w:rsidRPr="003C0A4C">
        <w:rPr>
          <w:rFonts w:cs="Times New Roman"/>
          <w:szCs w:val="24"/>
        </w:rPr>
        <w:t>организация консультаций специалистов при необходимости;</w:t>
      </w:r>
    </w:p>
    <w:p w14:paraId="5E80DD80" w14:textId="77777777" w:rsidR="0000369C" w:rsidRPr="003C0A4C" w:rsidRDefault="0000369C" w:rsidP="00C5490F">
      <w:pPr>
        <w:pStyle w:val="afe"/>
        <w:numPr>
          <w:ilvl w:val="0"/>
          <w:numId w:val="83"/>
        </w:numPr>
        <w:rPr>
          <w:rFonts w:cs="Times New Roman"/>
          <w:szCs w:val="24"/>
        </w:rPr>
      </w:pPr>
      <w:r w:rsidRPr="003C0A4C">
        <w:rPr>
          <w:rFonts w:cs="Times New Roman"/>
          <w:szCs w:val="24"/>
        </w:rPr>
        <w:t>выполнение диагностических и лечебных манипуляций и исследований (проведение спиннномозговой/люмбальной пункции, наложение дилятационной трахеостомы и/или гастростомы).</w:t>
      </w:r>
    </w:p>
    <w:p w14:paraId="10BE65B9" w14:textId="77777777" w:rsidR="0000369C" w:rsidRPr="008F721B" w:rsidRDefault="0000369C" w:rsidP="0000369C">
      <w:pPr>
        <w:ind w:firstLine="709"/>
        <w:contextualSpacing/>
        <w:rPr>
          <w:rFonts w:cs="Times New Roman"/>
          <w:szCs w:val="24"/>
        </w:rPr>
      </w:pPr>
    </w:p>
    <w:p w14:paraId="73512519" w14:textId="77777777" w:rsidR="0000369C" w:rsidRPr="003C0A4C" w:rsidRDefault="0000369C" w:rsidP="0000369C">
      <w:pPr>
        <w:ind w:firstLine="709"/>
        <w:contextualSpacing/>
        <w:rPr>
          <w:rFonts w:cs="Times New Roman"/>
          <w:i/>
          <w:szCs w:val="24"/>
          <w:u w:val="single"/>
        </w:rPr>
      </w:pPr>
      <w:r w:rsidRPr="003C0A4C">
        <w:rPr>
          <w:rFonts w:cs="Times New Roman"/>
          <w:i/>
          <w:szCs w:val="24"/>
          <w:u w:val="single"/>
        </w:rPr>
        <w:t>Алгоритм действия врача при поступлении гематологического пациента в ОРИТ</w:t>
      </w:r>
    </w:p>
    <w:p w14:paraId="0B092772" w14:textId="77777777" w:rsidR="0000369C" w:rsidRPr="003C0A4C" w:rsidRDefault="0000369C" w:rsidP="0000369C">
      <w:pPr>
        <w:ind w:firstLine="709"/>
        <w:contextualSpacing/>
        <w:rPr>
          <w:rFonts w:cs="Times New Roman"/>
          <w:szCs w:val="24"/>
          <w:u w:val="single"/>
        </w:rPr>
      </w:pPr>
      <w:r w:rsidRPr="003C0A4C">
        <w:rPr>
          <w:rFonts w:cs="Times New Roman"/>
          <w:szCs w:val="24"/>
          <w:u w:val="single"/>
        </w:rPr>
        <w:t xml:space="preserve">Перечень основных диагностических исследований (лабораторные): </w:t>
      </w:r>
    </w:p>
    <w:p w14:paraId="793B0186" w14:textId="77777777" w:rsidR="0000369C" w:rsidRPr="008F721B" w:rsidRDefault="0000369C" w:rsidP="00C5490F">
      <w:pPr>
        <w:pStyle w:val="afe"/>
        <w:numPr>
          <w:ilvl w:val="0"/>
          <w:numId w:val="83"/>
        </w:numPr>
        <w:rPr>
          <w:rFonts w:cs="Times New Roman"/>
          <w:szCs w:val="24"/>
        </w:rPr>
      </w:pPr>
      <w:r w:rsidRPr="008F721B">
        <w:rPr>
          <w:rFonts w:cs="Times New Roman"/>
          <w:szCs w:val="24"/>
        </w:rPr>
        <w:t>Общий (клинический) анализ крови развернутый;</w:t>
      </w:r>
    </w:p>
    <w:p w14:paraId="67B66BF6" w14:textId="77777777" w:rsidR="0000369C" w:rsidRPr="008F721B" w:rsidRDefault="0000369C" w:rsidP="00C5490F">
      <w:pPr>
        <w:pStyle w:val="afe"/>
        <w:numPr>
          <w:ilvl w:val="0"/>
          <w:numId w:val="83"/>
        </w:numPr>
        <w:rPr>
          <w:rFonts w:cs="Times New Roman"/>
          <w:szCs w:val="24"/>
        </w:rPr>
      </w:pPr>
      <w:r w:rsidRPr="008F721B">
        <w:rPr>
          <w:rFonts w:cs="Times New Roman"/>
          <w:szCs w:val="24"/>
        </w:rPr>
        <w:t>Анализ крови биохимический (мочевина, креатинин, билирубин (в том числе по фракциям), мочевая кислота, панкреатическая аимлаза, амилаза, липаза, альбумин, АЛТ/АСТ, КФК/КФК-МВ, глюкоза, калий, натрий, кальций ионизированный, хлор);</w:t>
      </w:r>
    </w:p>
    <w:p w14:paraId="5C58A6FD" w14:textId="77777777" w:rsidR="0000369C" w:rsidRPr="008F721B" w:rsidRDefault="0000369C" w:rsidP="00C5490F">
      <w:pPr>
        <w:pStyle w:val="afe"/>
        <w:numPr>
          <w:ilvl w:val="0"/>
          <w:numId w:val="83"/>
        </w:numPr>
        <w:rPr>
          <w:rFonts w:cs="Times New Roman"/>
          <w:szCs w:val="24"/>
        </w:rPr>
      </w:pPr>
      <w:r w:rsidRPr="008F721B">
        <w:rPr>
          <w:rFonts w:cs="Times New Roman"/>
          <w:szCs w:val="24"/>
        </w:rPr>
        <w:t xml:space="preserve">Коагулограмма; (АЧТВ, протромбин по Квику, тромбиновое время, фибриноген, антитромбин </w:t>
      </w:r>
      <w:r w:rsidRPr="003C0A4C">
        <w:rPr>
          <w:rFonts w:cs="Times New Roman"/>
          <w:szCs w:val="24"/>
        </w:rPr>
        <w:t>III</w:t>
      </w:r>
      <w:r w:rsidRPr="008F721B">
        <w:rPr>
          <w:rFonts w:cs="Times New Roman"/>
          <w:szCs w:val="24"/>
        </w:rPr>
        <w:t>);</w:t>
      </w:r>
    </w:p>
    <w:p w14:paraId="500B23F5" w14:textId="77777777" w:rsidR="0000369C" w:rsidRPr="008F721B" w:rsidRDefault="0000369C" w:rsidP="00C5490F">
      <w:pPr>
        <w:pStyle w:val="afe"/>
        <w:numPr>
          <w:ilvl w:val="0"/>
          <w:numId w:val="83"/>
        </w:numPr>
        <w:rPr>
          <w:rFonts w:cs="Times New Roman"/>
          <w:szCs w:val="24"/>
        </w:rPr>
      </w:pPr>
      <w:r w:rsidRPr="008F721B">
        <w:rPr>
          <w:rFonts w:cs="Times New Roman"/>
          <w:szCs w:val="24"/>
        </w:rPr>
        <w:t>Общий анализ мочи;</w:t>
      </w:r>
    </w:p>
    <w:p w14:paraId="566F44FF" w14:textId="77777777" w:rsidR="0000369C" w:rsidRPr="008F721B" w:rsidRDefault="0000369C" w:rsidP="00C5490F">
      <w:pPr>
        <w:pStyle w:val="afe"/>
        <w:numPr>
          <w:ilvl w:val="0"/>
          <w:numId w:val="83"/>
        </w:numPr>
        <w:rPr>
          <w:rFonts w:cs="Times New Roman"/>
          <w:szCs w:val="24"/>
        </w:rPr>
      </w:pPr>
      <w:r w:rsidRPr="008F721B">
        <w:rPr>
          <w:rFonts w:cs="Times New Roman"/>
          <w:szCs w:val="24"/>
        </w:rPr>
        <w:t>Тромбоэластография;</w:t>
      </w:r>
    </w:p>
    <w:p w14:paraId="05B6C00F" w14:textId="77777777" w:rsidR="0000369C" w:rsidRPr="008F721B" w:rsidRDefault="0000369C" w:rsidP="00C5490F">
      <w:pPr>
        <w:pStyle w:val="afe"/>
        <w:numPr>
          <w:ilvl w:val="0"/>
          <w:numId w:val="83"/>
        </w:numPr>
        <w:rPr>
          <w:rFonts w:cs="Times New Roman"/>
          <w:szCs w:val="24"/>
        </w:rPr>
      </w:pPr>
      <w:r w:rsidRPr="008F721B">
        <w:rPr>
          <w:rFonts w:cs="Times New Roman"/>
          <w:szCs w:val="24"/>
        </w:rPr>
        <w:t>Микробиологическое (культуральное) исследование крови на стерильность (вена/катетер);</w:t>
      </w:r>
    </w:p>
    <w:p w14:paraId="4EF2B59F" w14:textId="77777777" w:rsidR="0000369C" w:rsidRPr="008F721B" w:rsidRDefault="0000369C" w:rsidP="00C5490F">
      <w:pPr>
        <w:pStyle w:val="afe"/>
        <w:numPr>
          <w:ilvl w:val="0"/>
          <w:numId w:val="83"/>
        </w:numPr>
        <w:rPr>
          <w:rFonts w:cs="Times New Roman"/>
          <w:szCs w:val="24"/>
        </w:rPr>
      </w:pPr>
      <w:r w:rsidRPr="008F721B">
        <w:rPr>
          <w:rFonts w:cs="Times New Roman"/>
          <w:szCs w:val="24"/>
        </w:rPr>
        <w:t>Микробиологическое (культуральное) исследование мочи на бактериальные патогены;</w:t>
      </w:r>
    </w:p>
    <w:p w14:paraId="502E7B1D" w14:textId="77777777" w:rsidR="0000369C" w:rsidRPr="008F721B" w:rsidRDefault="0000369C" w:rsidP="00C5490F">
      <w:pPr>
        <w:pStyle w:val="afe"/>
        <w:numPr>
          <w:ilvl w:val="0"/>
          <w:numId w:val="83"/>
        </w:numPr>
        <w:rPr>
          <w:rFonts w:cs="Times New Roman"/>
          <w:szCs w:val="24"/>
        </w:rPr>
      </w:pPr>
      <w:r w:rsidRPr="008F721B">
        <w:rPr>
          <w:rFonts w:cs="Times New Roman"/>
          <w:szCs w:val="24"/>
        </w:rPr>
        <w:t>Микробиологическое (культуральное) исследование кала на аэробные и факультативно – анаэробные микроорганизмы;</w:t>
      </w:r>
    </w:p>
    <w:p w14:paraId="2235E606" w14:textId="77777777" w:rsidR="0000369C" w:rsidRPr="008F721B" w:rsidRDefault="0000369C" w:rsidP="00C5490F">
      <w:pPr>
        <w:pStyle w:val="afe"/>
        <w:numPr>
          <w:ilvl w:val="0"/>
          <w:numId w:val="83"/>
        </w:numPr>
        <w:rPr>
          <w:rFonts w:cs="Times New Roman"/>
          <w:szCs w:val="24"/>
        </w:rPr>
      </w:pPr>
      <w:r w:rsidRPr="008F721B">
        <w:rPr>
          <w:rFonts w:cs="Times New Roman"/>
          <w:szCs w:val="24"/>
        </w:rPr>
        <w:t xml:space="preserve">Микробиологическое (культуральное) исследование бронхоальвеолярной лаважной жидкости (на пневмоцисты, грибы, бактериальные патогены); </w:t>
      </w:r>
    </w:p>
    <w:p w14:paraId="08C62988" w14:textId="77777777" w:rsidR="0000369C" w:rsidRPr="008F721B" w:rsidRDefault="0000369C" w:rsidP="00C5490F">
      <w:pPr>
        <w:pStyle w:val="afe"/>
        <w:numPr>
          <w:ilvl w:val="0"/>
          <w:numId w:val="83"/>
        </w:numPr>
        <w:rPr>
          <w:rFonts w:cs="Times New Roman"/>
          <w:szCs w:val="24"/>
        </w:rPr>
      </w:pPr>
      <w:r w:rsidRPr="008F721B">
        <w:rPr>
          <w:rFonts w:cs="Times New Roman"/>
          <w:szCs w:val="24"/>
        </w:rPr>
        <w:t>Микроскопическое исследование лаважной жидкости;</w:t>
      </w:r>
    </w:p>
    <w:p w14:paraId="35340679" w14:textId="77777777" w:rsidR="0000369C" w:rsidRPr="008F721B" w:rsidRDefault="0000369C" w:rsidP="00C5490F">
      <w:pPr>
        <w:pStyle w:val="afe"/>
        <w:numPr>
          <w:ilvl w:val="0"/>
          <w:numId w:val="83"/>
        </w:numPr>
        <w:rPr>
          <w:rFonts w:cs="Times New Roman"/>
          <w:szCs w:val="24"/>
        </w:rPr>
      </w:pPr>
      <w:r w:rsidRPr="008F721B">
        <w:rPr>
          <w:rFonts w:cs="Times New Roman"/>
          <w:szCs w:val="24"/>
        </w:rPr>
        <w:t>Цитологическое исследование клеток спинномозговой жидкости;</w:t>
      </w:r>
    </w:p>
    <w:p w14:paraId="27E90F0C" w14:textId="77777777" w:rsidR="0000369C" w:rsidRPr="008F721B" w:rsidRDefault="0000369C" w:rsidP="00C5490F">
      <w:pPr>
        <w:pStyle w:val="afe"/>
        <w:numPr>
          <w:ilvl w:val="0"/>
          <w:numId w:val="83"/>
        </w:numPr>
        <w:rPr>
          <w:rFonts w:cs="Times New Roman"/>
          <w:szCs w:val="24"/>
        </w:rPr>
      </w:pPr>
      <w:r w:rsidRPr="008F721B">
        <w:rPr>
          <w:rFonts w:cs="Times New Roman"/>
          <w:szCs w:val="24"/>
        </w:rPr>
        <w:t>Микроскопическое исследование спинномозговой жидкости, подсчет клеток в счетной камере (подсчет цитоза);</w:t>
      </w:r>
    </w:p>
    <w:p w14:paraId="32F316F4" w14:textId="77777777" w:rsidR="0000369C" w:rsidRPr="008F721B" w:rsidRDefault="0000369C" w:rsidP="00C5490F">
      <w:pPr>
        <w:pStyle w:val="afe"/>
        <w:numPr>
          <w:ilvl w:val="0"/>
          <w:numId w:val="83"/>
        </w:numPr>
        <w:rPr>
          <w:rFonts w:cs="Times New Roman"/>
          <w:szCs w:val="24"/>
        </w:rPr>
      </w:pPr>
      <w:r w:rsidRPr="008F721B">
        <w:rPr>
          <w:rFonts w:cs="Times New Roman"/>
          <w:szCs w:val="24"/>
        </w:rPr>
        <w:t>Микробиологическое (культуральное) исследование спинномозговой жидкости на криптококк (</w:t>
      </w:r>
      <w:r w:rsidRPr="003C0A4C">
        <w:rPr>
          <w:rFonts w:cs="Times New Roman"/>
          <w:szCs w:val="24"/>
        </w:rPr>
        <w:t>Cryptococcus neoformans</w:t>
      </w:r>
      <w:r w:rsidRPr="008F721B">
        <w:rPr>
          <w:rFonts w:cs="Times New Roman"/>
          <w:szCs w:val="24"/>
        </w:rPr>
        <w:t>);</w:t>
      </w:r>
    </w:p>
    <w:p w14:paraId="32C44F15" w14:textId="77777777" w:rsidR="0000369C" w:rsidRPr="008F721B" w:rsidRDefault="0000369C" w:rsidP="00C5490F">
      <w:pPr>
        <w:pStyle w:val="afe"/>
        <w:numPr>
          <w:ilvl w:val="0"/>
          <w:numId w:val="83"/>
        </w:numPr>
        <w:rPr>
          <w:rFonts w:cs="Times New Roman"/>
          <w:szCs w:val="24"/>
        </w:rPr>
      </w:pPr>
      <w:r w:rsidRPr="008F721B">
        <w:rPr>
          <w:rFonts w:cs="Times New Roman"/>
          <w:szCs w:val="24"/>
        </w:rPr>
        <w:t>Определение ДНК вирусов простого герпеса, вируса герпеса 6 типа, цитомегалловируса и Эпштена-Барр (</w:t>
      </w:r>
      <w:r w:rsidRPr="003C0A4C">
        <w:rPr>
          <w:rFonts w:cs="Times New Roman"/>
          <w:szCs w:val="24"/>
        </w:rPr>
        <w:t>HSV</w:t>
      </w:r>
      <w:r w:rsidRPr="008F721B">
        <w:rPr>
          <w:rFonts w:cs="Times New Roman"/>
          <w:szCs w:val="24"/>
        </w:rPr>
        <w:t xml:space="preserve">–1,2; </w:t>
      </w:r>
      <w:r w:rsidRPr="003C0A4C">
        <w:rPr>
          <w:rFonts w:cs="Times New Roman"/>
          <w:szCs w:val="24"/>
        </w:rPr>
        <w:t>HHV</w:t>
      </w:r>
      <w:r w:rsidRPr="008F721B">
        <w:rPr>
          <w:rFonts w:cs="Times New Roman"/>
          <w:szCs w:val="24"/>
        </w:rPr>
        <w:t xml:space="preserve"> – 6; </w:t>
      </w:r>
      <w:r w:rsidRPr="003C0A4C">
        <w:rPr>
          <w:rFonts w:cs="Times New Roman"/>
          <w:szCs w:val="24"/>
        </w:rPr>
        <w:t>CMV</w:t>
      </w:r>
      <w:r w:rsidRPr="008F721B">
        <w:rPr>
          <w:rFonts w:cs="Times New Roman"/>
          <w:szCs w:val="24"/>
        </w:rPr>
        <w:t xml:space="preserve">, </w:t>
      </w:r>
      <w:r w:rsidRPr="003C0A4C">
        <w:rPr>
          <w:rFonts w:cs="Times New Roman"/>
          <w:szCs w:val="24"/>
        </w:rPr>
        <w:t>EBV</w:t>
      </w:r>
      <w:r w:rsidRPr="008F721B">
        <w:rPr>
          <w:rFonts w:cs="Times New Roman"/>
          <w:szCs w:val="24"/>
        </w:rPr>
        <w:t>)  в крови, спинномозговой и лаважной жидкости;</w:t>
      </w:r>
    </w:p>
    <w:p w14:paraId="301A9433" w14:textId="77777777" w:rsidR="0000369C" w:rsidRPr="008F721B" w:rsidRDefault="0000369C" w:rsidP="00C5490F">
      <w:pPr>
        <w:pStyle w:val="afe"/>
        <w:numPr>
          <w:ilvl w:val="0"/>
          <w:numId w:val="83"/>
        </w:numPr>
        <w:rPr>
          <w:rFonts w:cs="Times New Roman"/>
          <w:szCs w:val="24"/>
        </w:rPr>
      </w:pPr>
      <w:r w:rsidRPr="008F721B">
        <w:rPr>
          <w:rFonts w:cs="Times New Roman"/>
          <w:szCs w:val="24"/>
        </w:rPr>
        <w:lastRenderedPageBreak/>
        <w:t>Определение антител (</w:t>
      </w:r>
      <w:r w:rsidRPr="003C0A4C">
        <w:rPr>
          <w:rFonts w:cs="Times New Roman"/>
          <w:szCs w:val="24"/>
        </w:rPr>
        <w:t>IgG</w:t>
      </w:r>
      <w:r w:rsidRPr="008F721B">
        <w:rPr>
          <w:rFonts w:cs="Times New Roman"/>
          <w:szCs w:val="24"/>
        </w:rPr>
        <w:t xml:space="preserve"> и </w:t>
      </w:r>
      <w:r w:rsidRPr="003C0A4C">
        <w:rPr>
          <w:rFonts w:cs="Times New Roman"/>
          <w:szCs w:val="24"/>
        </w:rPr>
        <w:t>IgM</w:t>
      </w:r>
      <w:r w:rsidRPr="008F721B">
        <w:rPr>
          <w:rFonts w:cs="Times New Roman"/>
          <w:szCs w:val="24"/>
        </w:rPr>
        <w:t xml:space="preserve">) к </w:t>
      </w:r>
      <w:r w:rsidRPr="003C0A4C">
        <w:rPr>
          <w:rFonts w:cs="Times New Roman"/>
          <w:szCs w:val="24"/>
        </w:rPr>
        <w:t>Mycoplasma pneumoniae, Legionella pneumophilia,  Chlamydia pneumoniae</w:t>
      </w:r>
      <w:r w:rsidRPr="008F721B">
        <w:rPr>
          <w:rFonts w:cs="Times New Roman"/>
          <w:szCs w:val="24"/>
        </w:rPr>
        <w:t xml:space="preserve"> в крови;</w:t>
      </w:r>
    </w:p>
    <w:p w14:paraId="06B42B84" w14:textId="77777777" w:rsidR="0000369C" w:rsidRPr="00854947" w:rsidRDefault="0000369C" w:rsidP="00C5490F">
      <w:pPr>
        <w:pStyle w:val="afe"/>
        <w:numPr>
          <w:ilvl w:val="0"/>
          <w:numId w:val="83"/>
        </w:numPr>
        <w:rPr>
          <w:rFonts w:cs="Times New Roman"/>
          <w:szCs w:val="24"/>
          <w:lang w:val="en-US"/>
        </w:rPr>
      </w:pPr>
      <w:r w:rsidRPr="008F721B">
        <w:rPr>
          <w:rFonts w:cs="Times New Roman"/>
          <w:szCs w:val="24"/>
        </w:rPr>
        <w:t>Антиген</w:t>
      </w:r>
      <w:r w:rsidRPr="00854947">
        <w:rPr>
          <w:rFonts w:cs="Times New Roman"/>
          <w:szCs w:val="24"/>
          <w:lang w:val="en-US"/>
        </w:rPr>
        <w:t xml:space="preserve"> Legionella pneumophilia </w:t>
      </w:r>
      <w:r w:rsidRPr="008F721B">
        <w:rPr>
          <w:rFonts w:cs="Times New Roman"/>
          <w:szCs w:val="24"/>
        </w:rPr>
        <w:t>в</w:t>
      </w:r>
      <w:r w:rsidRPr="00854947">
        <w:rPr>
          <w:rFonts w:cs="Times New Roman"/>
          <w:szCs w:val="24"/>
          <w:lang w:val="en-US"/>
        </w:rPr>
        <w:t xml:space="preserve"> </w:t>
      </w:r>
      <w:r w:rsidRPr="008F721B">
        <w:rPr>
          <w:rFonts w:cs="Times New Roman"/>
          <w:szCs w:val="24"/>
        </w:rPr>
        <w:t>моче</w:t>
      </w:r>
      <w:r w:rsidRPr="00854947">
        <w:rPr>
          <w:rFonts w:cs="Times New Roman"/>
          <w:szCs w:val="24"/>
          <w:lang w:val="en-US"/>
        </w:rPr>
        <w:t>.</w:t>
      </w:r>
    </w:p>
    <w:p w14:paraId="48F62944" w14:textId="77777777" w:rsidR="0000369C" w:rsidRPr="00854947" w:rsidRDefault="0000369C" w:rsidP="0000369C">
      <w:pPr>
        <w:ind w:firstLine="709"/>
        <w:contextualSpacing/>
        <w:rPr>
          <w:rFonts w:cs="Times New Roman"/>
          <w:szCs w:val="24"/>
          <w:u w:val="single"/>
          <w:lang w:val="en-US"/>
        </w:rPr>
      </w:pPr>
    </w:p>
    <w:p w14:paraId="2699E607" w14:textId="77777777" w:rsidR="0000369C" w:rsidRPr="003C0A4C" w:rsidRDefault="0000369C" w:rsidP="0000369C">
      <w:pPr>
        <w:ind w:firstLine="709"/>
        <w:contextualSpacing/>
        <w:rPr>
          <w:rFonts w:cs="Times New Roman"/>
          <w:szCs w:val="24"/>
          <w:u w:val="single"/>
        </w:rPr>
      </w:pPr>
      <w:r w:rsidRPr="003C0A4C">
        <w:rPr>
          <w:rFonts w:cs="Times New Roman"/>
          <w:szCs w:val="24"/>
          <w:u w:val="single"/>
        </w:rPr>
        <w:t>Перечень основных диагностических исследований (инструментальные):</w:t>
      </w:r>
    </w:p>
    <w:p w14:paraId="791A6997" w14:textId="77777777" w:rsidR="0000369C" w:rsidRPr="008F721B" w:rsidRDefault="0000369C" w:rsidP="00C5490F">
      <w:pPr>
        <w:pStyle w:val="afe"/>
        <w:numPr>
          <w:ilvl w:val="0"/>
          <w:numId w:val="83"/>
        </w:numPr>
        <w:rPr>
          <w:rFonts w:cs="Times New Roman"/>
          <w:szCs w:val="24"/>
        </w:rPr>
      </w:pPr>
      <w:r w:rsidRPr="008F721B">
        <w:rPr>
          <w:rFonts w:cs="Times New Roman"/>
          <w:szCs w:val="24"/>
        </w:rPr>
        <w:t>Компьютерная томография органов грудной клетки, брюшной полости, головного мозга (с контрастным усилением);</w:t>
      </w:r>
    </w:p>
    <w:p w14:paraId="0551B7E6" w14:textId="77777777" w:rsidR="0000369C" w:rsidRPr="008F721B" w:rsidRDefault="0000369C" w:rsidP="00C5490F">
      <w:pPr>
        <w:pStyle w:val="afe"/>
        <w:numPr>
          <w:ilvl w:val="0"/>
          <w:numId w:val="83"/>
        </w:numPr>
        <w:rPr>
          <w:rFonts w:cs="Times New Roman"/>
          <w:szCs w:val="24"/>
        </w:rPr>
      </w:pPr>
      <w:r w:rsidRPr="008F721B">
        <w:rPr>
          <w:rFonts w:cs="Times New Roman"/>
          <w:szCs w:val="24"/>
        </w:rPr>
        <w:t xml:space="preserve">Магнитно-резонансная томография головного мозга (с контрастным усиленеием); </w:t>
      </w:r>
    </w:p>
    <w:p w14:paraId="2B08B7B7" w14:textId="77777777" w:rsidR="0000369C" w:rsidRPr="008F721B" w:rsidRDefault="0000369C" w:rsidP="00C5490F">
      <w:pPr>
        <w:pStyle w:val="afe"/>
        <w:numPr>
          <w:ilvl w:val="0"/>
          <w:numId w:val="83"/>
        </w:numPr>
        <w:rPr>
          <w:rFonts w:cs="Times New Roman"/>
          <w:szCs w:val="24"/>
        </w:rPr>
      </w:pPr>
      <w:r w:rsidRPr="008F721B">
        <w:rPr>
          <w:rFonts w:cs="Times New Roman"/>
          <w:szCs w:val="24"/>
        </w:rPr>
        <w:t>Фибробронхосокпия с выполнением бронхоальвеолярного лаважа;</w:t>
      </w:r>
    </w:p>
    <w:p w14:paraId="087CB410" w14:textId="77777777" w:rsidR="0000369C" w:rsidRPr="008F721B" w:rsidRDefault="0000369C" w:rsidP="00C5490F">
      <w:pPr>
        <w:pStyle w:val="afe"/>
        <w:numPr>
          <w:ilvl w:val="0"/>
          <w:numId w:val="83"/>
        </w:numPr>
        <w:rPr>
          <w:rFonts w:cs="Times New Roman"/>
          <w:szCs w:val="24"/>
        </w:rPr>
      </w:pPr>
      <w:r w:rsidRPr="008F721B">
        <w:rPr>
          <w:rFonts w:cs="Times New Roman"/>
          <w:szCs w:val="24"/>
        </w:rPr>
        <w:t>Эзофагогастродуоденоскпия (диагностическая и/или лечебная);</w:t>
      </w:r>
    </w:p>
    <w:p w14:paraId="33146F5A" w14:textId="77777777" w:rsidR="0000369C" w:rsidRPr="008F721B" w:rsidRDefault="0000369C" w:rsidP="00C5490F">
      <w:pPr>
        <w:pStyle w:val="afe"/>
        <w:numPr>
          <w:ilvl w:val="0"/>
          <w:numId w:val="83"/>
        </w:numPr>
        <w:rPr>
          <w:rFonts w:cs="Times New Roman"/>
          <w:szCs w:val="24"/>
        </w:rPr>
      </w:pPr>
      <w:r w:rsidRPr="008F721B">
        <w:rPr>
          <w:rFonts w:cs="Times New Roman"/>
          <w:szCs w:val="24"/>
        </w:rPr>
        <w:t>Колоноскопия (диагностическая и/или лечебная);</w:t>
      </w:r>
    </w:p>
    <w:p w14:paraId="3200A99C" w14:textId="77777777" w:rsidR="0000369C" w:rsidRPr="008F721B" w:rsidRDefault="0000369C" w:rsidP="00C5490F">
      <w:pPr>
        <w:pStyle w:val="afe"/>
        <w:numPr>
          <w:ilvl w:val="0"/>
          <w:numId w:val="83"/>
        </w:numPr>
        <w:rPr>
          <w:rFonts w:cs="Times New Roman"/>
          <w:szCs w:val="24"/>
        </w:rPr>
      </w:pPr>
      <w:r w:rsidRPr="008F721B">
        <w:rPr>
          <w:rFonts w:cs="Times New Roman"/>
          <w:szCs w:val="24"/>
        </w:rPr>
        <w:t>Ультразвуковое исследование сосудов нижних конечностей;</w:t>
      </w:r>
    </w:p>
    <w:p w14:paraId="5E779E4F" w14:textId="77777777" w:rsidR="0000369C" w:rsidRPr="008F721B" w:rsidRDefault="0000369C" w:rsidP="00C5490F">
      <w:pPr>
        <w:pStyle w:val="afe"/>
        <w:numPr>
          <w:ilvl w:val="0"/>
          <w:numId w:val="83"/>
        </w:numPr>
        <w:rPr>
          <w:rFonts w:cs="Times New Roman"/>
          <w:szCs w:val="24"/>
        </w:rPr>
      </w:pPr>
      <w:r w:rsidRPr="008F721B">
        <w:rPr>
          <w:rFonts w:cs="Times New Roman"/>
          <w:szCs w:val="24"/>
        </w:rPr>
        <w:t>Электрокардиография;</w:t>
      </w:r>
    </w:p>
    <w:p w14:paraId="2E013855" w14:textId="77777777" w:rsidR="0000369C" w:rsidRPr="008F721B" w:rsidRDefault="0000369C" w:rsidP="00C5490F">
      <w:pPr>
        <w:pStyle w:val="afe"/>
        <w:numPr>
          <w:ilvl w:val="0"/>
          <w:numId w:val="83"/>
        </w:numPr>
        <w:rPr>
          <w:rFonts w:cs="Times New Roman"/>
          <w:szCs w:val="24"/>
        </w:rPr>
      </w:pPr>
      <w:r w:rsidRPr="008F721B">
        <w:rPr>
          <w:rFonts w:cs="Times New Roman"/>
          <w:szCs w:val="24"/>
        </w:rPr>
        <w:t>Эхокардиография;</w:t>
      </w:r>
    </w:p>
    <w:p w14:paraId="7FDAE37A" w14:textId="77777777" w:rsidR="0000369C" w:rsidRPr="008F721B" w:rsidRDefault="0000369C" w:rsidP="00C5490F">
      <w:pPr>
        <w:pStyle w:val="afe"/>
        <w:numPr>
          <w:ilvl w:val="0"/>
          <w:numId w:val="83"/>
        </w:numPr>
        <w:rPr>
          <w:rFonts w:cs="Times New Roman"/>
          <w:szCs w:val="24"/>
        </w:rPr>
      </w:pPr>
      <w:r w:rsidRPr="008F721B">
        <w:rPr>
          <w:rFonts w:cs="Times New Roman"/>
          <w:szCs w:val="24"/>
        </w:rPr>
        <w:t>Электроэнцефалограмма;</w:t>
      </w:r>
    </w:p>
    <w:p w14:paraId="0B55ADEB" w14:textId="77777777" w:rsidR="0000369C" w:rsidRPr="008F721B" w:rsidRDefault="0000369C" w:rsidP="00C5490F">
      <w:pPr>
        <w:pStyle w:val="afe"/>
        <w:numPr>
          <w:ilvl w:val="0"/>
          <w:numId w:val="83"/>
        </w:numPr>
        <w:rPr>
          <w:rFonts w:cs="Times New Roman"/>
          <w:szCs w:val="24"/>
        </w:rPr>
      </w:pPr>
      <w:r w:rsidRPr="008F721B">
        <w:rPr>
          <w:rFonts w:cs="Times New Roman"/>
          <w:szCs w:val="24"/>
        </w:rPr>
        <w:t>Измерение центрального венозного давления;</w:t>
      </w:r>
    </w:p>
    <w:p w14:paraId="70FDC7BE" w14:textId="77777777" w:rsidR="0000369C" w:rsidRPr="008F721B" w:rsidRDefault="0000369C" w:rsidP="00C5490F">
      <w:pPr>
        <w:pStyle w:val="afe"/>
        <w:numPr>
          <w:ilvl w:val="0"/>
          <w:numId w:val="83"/>
        </w:numPr>
        <w:rPr>
          <w:rFonts w:cs="Times New Roman"/>
          <w:szCs w:val="24"/>
        </w:rPr>
      </w:pPr>
      <w:r w:rsidRPr="008F721B">
        <w:rPr>
          <w:rFonts w:cs="Times New Roman"/>
          <w:szCs w:val="24"/>
        </w:rPr>
        <w:t>Инвазивный мониторинг гемодинамики;</w:t>
      </w:r>
    </w:p>
    <w:p w14:paraId="52E4A6C7" w14:textId="77777777" w:rsidR="0000369C" w:rsidRPr="008F721B" w:rsidRDefault="0000369C" w:rsidP="00C5490F">
      <w:pPr>
        <w:pStyle w:val="afe"/>
        <w:numPr>
          <w:ilvl w:val="0"/>
          <w:numId w:val="83"/>
        </w:numPr>
        <w:rPr>
          <w:rFonts w:cs="Times New Roman"/>
          <w:szCs w:val="24"/>
        </w:rPr>
      </w:pPr>
      <w:r w:rsidRPr="008F721B">
        <w:rPr>
          <w:rFonts w:cs="Times New Roman"/>
          <w:szCs w:val="24"/>
        </w:rPr>
        <w:t xml:space="preserve">Прикроватный мониторинг (артериальное давление, ЧСС, </w:t>
      </w:r>
      <w:r w:rsidRPr="003C0A4C">
        <w:rPr>
          <w:rFonts w:cs="Times New Roman"/>
          <w:szCs w:val="24"/>
        </w:rPr>
        <w:t xml:space="preserve">SpO2, </w:t>
      </w:r>
      <w:r w:rsidRPr="008F721B">
        <w:rPr>
          <w:rFonts w:cs="Times New Roman"/>
          <w:szCs w:val="24"/>
        </w:rPr>
        <w:t>ЧД);</w:t>
      </w:r>
    </w:p>
    <w:p w14:paraId="28DF09B8" w14:textId="77777777" w:rsidR="0000369C" w:rsidRDefault="0000369C" w:rsidP="0000369C">
      <w:pPr>
        <w:ind w:firstLine="709"/>
        <w:contextualSpacing/>
        <w:rPr>
          <w:rFonts w:cs="Times New Roman"/>
          <w:szCs w:val="24"/>
          <w:u w:val="single"/>
        </w:rPr>
      </w:pPr>
    </w:p>
    <w:p w14:paraId="0F84A120" w14:textId="77777777" w:rsidR="0000369C" w:rsidRPr="003C0A4C" w:rsidRDefault="0000369C" w:rsidP="0000369C">
      <w:pPr>
        <w:ind w:firstLine="709"/>
        <w:contextualSpacing/>
        <w:rPr>
          <w:rFonts w:cs="Times New Roman"/>
          <w:szCs w:val="24"/>
          <w:u w:val="single"/>
        </w:rPr>
      </w:pPr>
      <w:r w:rsidRPr="003C0A4C">
        <w:rPr>
          <w:rFonts w:cs="Times New Roman"/>
          <w:szCs w:val="24"/>
          <w:u w:val="single"/>
        </w:rPr>
        <w:t>Манипуляции направленные на обеспечение жизнеподдержания, контроля состояния пациента:</w:t>
      </w:r>
    </w:p>
    <w:p w14:paraId="6E2614D3" w14:textId="77777777" w:rsidR="0000369C" w:rsidRPr="008F721B" w:rsidRDefault="0000369C" w:rsidP="00C5490F">
      <w:pPr>
        <w:pStyle w:val="afe"/>
        <w:numPr>
          <w:ilvl w:val="0"/>
          <w:numId w:val="83"/>
        </w:numPr>
        <w:rPr>
          <w:rFonts w:cs="Times New Roman"/>
          <w:szCs w:val="24"/>
        </w:rPr>
      </w:pPr>
      <w:r w:rsidRPr="008F721B">
        <w:rPr>
          <w:rFonts w:cs="Times New Roman"/>
          <w:szCs w:val="24"/>
        </w:rPr>
        <w:t>Катетеризация центральной (подключичной, яремной) вены;</w:t>
      </w:r>
    </w:p>
    <w:p w14:paraId="45F9D871" w14:textId="77777777" w:rsidR="0000369C" w:rsidRPr="008F721B" w:rsidRDefault="0000369C" w:rsidP="00C5490F">
      <w:pPr>
        <w:pStyle w:val="afe"/>
        <w:numPr>
          <w:ilvl w:val="0"/>
          <w:numId w:val="83"/>
        </w:numPr>
        <w:rPr>
          <w:rFonts w:cs="Times New Roman"/>
          <w:szCs w:val="24"/>
        </w:rPr>
      </w:pPr>
      <w:r w:rsidRPr="008F721B">
        <w:rPr>
          <w:rFonts w:cs="Times New Roman"/>
          <w:szCs w:val="24"/>
        </w:rPr>
        <w:t>Установка катетера для проведения заместительной почечной терапии, плазмафереза и лейкоцитафереза;</w:t>
      </w:r>
    </w:p>
    <w:p w14:paraId="1CF12F36" w14:textId="77777777" w:rsidR="0000369C" w:rsidRPr="008F721B" w:rsidRDefault="0000369C" w:rsidP="00C5490F">
      <w:pPr>
        <w:pStyle w:val="afe"/>
        <w:numPr>
          <w:ilvl w:val="0"/>
          <w:numId w:val="83"/>
        </w:numPr>
        <w:rPr>
          <w:rFonts w:cs="Times New Roman"/>
          <w:szCs w:val="24"/>
        </w:rPr>
      </w:pPr>
      <w:r w:rsidRPr="008F721B">
        <w:rPr>
          <w:rFonts w:cs="Times New Roman"/>
          <w:szCs w:val="24"/>
        </w:rPr>
        <w:t>Установка артериального катетера для инвазивного мониторинга артериального давления и параметров оксигенации;</w:t>
      </w:r>
    </w:p>
    <w:p w14:paraId="6BACDB05" w14:textId="77777777" w:rsidR="0000369C" w:rsidRPr="008F721B" w:rsidRDefault="0000369C" w:rsidP="00C5490F">
      <w:pPr>
        <w:pStyle w:val="afe"/>
        <w:numPr>
          <w:ilvl w:val="0"/>
          <w:numId w:val="83"/>
        </w:numPr>
        <w:rPr>
          <w:rFonts w:cs="Times New Roman"/>
          <w:szCs w:val="24"/>
        </w:rPr>
      </w:pPr>
      <w:r w:rsidRPr="008F721B">
        <w:rPr>
          <w:rFonts w:cs="Times New Roman"/>
          <w:szCs w:val="24"/>
        </w:rPr>
        <w:t>Интубация трахеи, установка трахеостомы;</w:t>
      </w:r>
    </w:p>
    <w:p w14:paraId="615B35B1" w14:textId="77777777" w:rsidR="0000369C" w:rsidRPr="008F721B" w:rsidRDefault="0000369C" w:rsidP="00C5490F">
      <w:pPr>
        <w:pStyle w:val="afe"/>
        <w:numPr>
          <w:ilvl w:val="0"/>
          <w:numId w:val="83"/>
        </w:numPr>
        <w:rPr>
          <w:rFonts w:cs="Times New Roman"/>
          <w:szCs w:val="24"/>
        </w:rPr>
      </w:pPr>
      <w:r w:rsidRPr="008F721B">
        <w:rPr>
          <w:rFonts w:cs="Times New Roman"/>
          <w:szCs w:val="24"/>
        </w:rPr>
        <w:t>Выполнение дилятационной трахеостомии;</w:t>
      </w:r>
    </w:p>
    <w:p w14:paraId="0327B048" w14:textId="77777777" w:rsidR="0000369C" w:rsidRPr="008F721B" w:rsidRDefault="0000369C" w:rsidP="00C5490F">
      <w:pPr>
        <w:pStyle w:val="afe"/>
        <w:numPr>
          <w:ilvl w:val="0"/>
          <w:numId w:val="83"/>
        </w:numPr>
        <w:rPr>
          <w:rFonts w:cs="Times New Roman"/>
          <w:szCs w:val="24"/>
        </w:rPr>
      </w:pPr>
      <w:r w:rsidRPr="008F721B">
        <w:rPr>
          <w:rFonts w:cs="Times New Roman"/>
          <w:szCs w:val="24"/>
        </w:rPr>
        <w:t>Дренирование плевральной полости;</w:t>
      </w:r>
    </w:p>
    <w:p w14:paraId="24A259A1" w14:textId="77777777" w:rsidR="0000369C" w:rsidRPr="008F721B" w:rsidRDefault="0000369C" w:rsidP="00C5490F">
      <w:pPr>
        <w:pStyle w:val="afe"/>
        <w:numPr>
          <w:ilvl w:val="0"/>
          <w:numId w:val="83"/>
        </w:numPr>
        <w:rPr>
          <w:rFonts w:cs="Times New Roman"/>
          <w:szCs w:val="24"/>
        </w:rPr>
      </w:pPr>
      <w:r w:rsidRPr="008F721B">
        <w:rPr>
          <w:rFonts w:cs="Times New Roman"/>
          <w:szCs w:val="24"/>
        </w:rPr>
        <w:t>Пункция и дренирование перикарда;</w:t>
      </w:r>
    </w:p>
    <w:p w14:paraId="0355340F" w14:textId="77777777" w:rsidR="0000369C" w:rsidRPr="008F721B" w:rsidRDefault="0000369C" w:rsidP="00C5490F">
      <w:pPr>
        <w:pStyle w:val="afe"/>
        <w:numPr>
          <w:ilvl w:val="0"/>
          <w:numId w:val="83"/>
        </w:numPr>
        <w:rPr>
          <w:rFonts w:cs="Times New Roman"/>
          <w:szCs w:val="24"/>
        </w:rPr>
      </w:pPr>
      <w:r w:rsidRPr="008F721B">
        <w:rPr>
          <w:rFonts w:cs="Times New Roman"/>
          <w:szCs w:val="24"/>
        </w:rPr>
        <w:t>Установка мочевого катетера, желудочного зонда;</w:t>
      </w:r>
    </w:p>
    <w:p w14:paraId="76BAE143" w14:textId="77777777" w:rsidR="0000369C" w:rsidRDefault="0000369C" w:rsidP="0000369C">
      <w:pPr>
        <w:ind w:firstLine="709"/>
        <w:contextualSpacing/>
        <w:rPr>
          <w:rFonts w:cs="Times New Roman"/>
          <w:szCs w:val="24"/>
          <w:u w:val="single"/>
        </w:rPr>
      </w:pPr>
    </w:p>
    <w:p w14:paraId="7A60C1EC" w14:textId="77777777" w:rsidR="0000369C" w:rsidRPr="003C0A4C" w:rsidRDefault="0000369C" w:rsidP="0000369C">
      <w:pPr>
        <w:ind w:firstLine="709"/>
        <w:contextualSpacing/>
        <w:rPr>
          <w:rFonts w:cs="Times New Roman"/>
          <w:szCs w:val="24"/>
          <w:u w:val="single"/>
        </w:rPr>
      </w:pPr>
      <w:r w:rsidRPr="003C0A4C">
        <w:rPr>
          <w:rFonts w:cs="Times New Roman"/>
          <w:szCs w:val="24"/>
          <w:u w:val="single"/>
        </w:rPr>
        <w:t>Основные методики жизнеобеспечения:</w:t>
      </w:r>
    </w:p>
    <w:p w14:paraId="6CFC71F1" w14:textId="77777777" w:rsidR="0000369C" w:rsidRPr="008F721B" w:rsidRDefault="0000369C" w:rsidP="00C5490F">
      <w:pPr>
        <w:pStyle w:val="afe"/>
        <w:numPr>
          <w:ilvl w:val="0"/>
          <w:numId w:val="83"/>
        </w:numPr>
        <w:rPr>
          <w:rFonts w:cs="Times New Roman"/>
          <w:szCs w:val="24"/>
        </w:rPr>
      </w:pPr>
      <w:r w:rsidRPr="008F721B">
        <w:rPr>
          <w:rFonts w:cs="Times New Roman"/>
          <w:szCs w:val="24"/>
        </w:rPr>
        <w:lastRenderedPageBreak/>
        <w:t>Для оксигенотерапии используются носовые катетеры, маска, маска с резервуаром, высокопоточные носовые канюли;</w:t>
      </w:r>
    </w:p>
    <w:p w14:paraId="2BAC2A74" w14:textId="77777777" w:rsidR="0000369C" w:rsidRPr="008F721B" w:rsidRDefault="0000369C" w:rsidP="00C5490F">
      <w:pPr>
        <w:pStyle w:val="afe"/>
        <w:numPr>
          <w:ilvl w:val="0"/>
          <w:numId w:val="83"/>
        </w:numPr>
        <w:rPr>
          <w:rFonts w:cs="Times New Roman"/>
          <w:szCs w:val="24"/>
        </w:rPr>
      </w:pPr>
      <w:r w:rsidRPr="008F721B">
        <w:rPr>
          <w:rFonts w:cs="Times New Roman"/>
          <w:szCs w:val="24"/>
        </w:rPr>
        <w:t>Механическая вентиляция легких: неинвазивная вентиляция легких (НИВЛ), ИВЛ;</w:t>
      </w:r>
    </w:p>
    <w:p w14:paraId="06E58062" w14:textId="77777777" w:rsidR="0000369C" w:rsidRPr="008F721B" w:rsidRDefault="0000369C" w:rsidP="00C5490F">
      <w:pPr>
        <w:pStyle w:val="afe"/>
        <w:numPr>
          <w:ilvl w:val="0"/>
          <w:numId w:val="83"/>
        </w:numPr>
        <w:rPr>
          <w:rFonts w:cs="Times New Roman"/>
          <w:szCs w:val="24"/>
        </w:rPr>
      </w:pPr>
      <w:r w:rsidRPr="008F721B">
        <w:rPr>
          <w:rFonts w:cs="Times New Roman"/>
          <w:szCs w:val="24"/>
        </w:rPr>
        <w:t>Плазмаферез и лейкоцитаферез;</w:t>
      </w:r>
    </w:p>
    <w:p w14:paraId="2D7AD3B8" w14:textId="77777777" w:rsidR="0000369C" w:rsidRPr="008F721B" w:rsidRDefault="0000369C" w:rsidP="00C5490F">
      <w:pPr>
        <w:pStyle w:val="afe"/>
        <w:numPr>
          <w:ilvl w:val="0"/>
          <w:numId w:val="83"/>
        </w:numPr>
        <w:rPr>
          <w:rFonts w:cs="Times New Roman"/>
          <w:szCs w:val="24"/>
        </w:rPr>
      </w:pPr>
      <w:r w:rsidRPr="008F721B">
        <w:rPr>
          <w:rFonts w:cs="Times New Roman"/>
          <w:szCs w:val="24"/>
        </w:rPr>
        <w:t>Заместительная почечная терапия (гемодиафильтрация  и гемодиализ);</w:t>
      </w:r>
    </w:p>
    <w:p w14:paraId="5C190273" w14:textId="77777777" w:rsidR="0000369C" w:rsidRDefault="0000369C" w:rsidP="0000369C">
      <w:pPr>
        <w:ind w:firstLine="709"/>
        <w:rPr>
          <w:rFonts w:cs="Times New Roman"/>
          <w:b/>
          <w:szCs w:val="24"/>
        </w:rPr>
      </w:pPr>
    </w:p>
    <w:p w14:paraId="467FCFFE" w14:textId="77777777" w:rsidR="0000369C" w:rsidRPr="008F721B" w:rsidRDefault="0000369C" w:rsidP="0000369C">
      <w:pPr>
        <w:ind w:firstLine="709"/>
        <w:rPr>
          <w:rFonts w:cs="Times New Roman"/>
          <w:szCs w:val="24"/>
        </w:rPr>
      </w:pPr>
      <w:r w:rsidRPr="003C0A4C">
        <w:rPr>
          <w:rFonts w:cs="Times New Roman"/>
          <w:szCs w:val="24"/>
          <w:u w:val="single"/>
        </w:rPr>
        <w:t>Консультации специалистов:</w:t>
      </w:r>
      <w:r w:rsidRPr="008F721B">
        <w:rPr>
          <w:rFonts w:cs="Times New Roman"/>
          <w:b/>
          <w:szCs w:val="24"/>
        </w:rPr>
        <w:t xml:space="preserve"> </w:t>
      </w:r>
      <w:r w:rsidRPr="008F721B">
        <w:rPr>
          <w:rFonts w:cs="Times New Roman"/>
          <w:szCs w:val="24"/>
        </w:rPr>
        <w:t>невропатолога, кардиолога, эндокринолога, хирурга и др. по показаниям</w:t>
      </w:r>
    </w:p>
    <w:p w14:paraId="305B116D" w14:textId="77777777" w:rsidR="0000369C" w:rsidRDefault="0000369C" w:rsidP="0000369C">
      <w:pPr>
        <w:ind w:firstLine="709"/>
        <w:rPr>
          <w:rFonts w:cs="Times New Roman"/>
          <w:b/>
          <w:szCs w:val="24"/>
        </w:rPr>
      </w:pPr>
    </w:p>
    <w:p w14:paraId="30B84762" w14:textId="77777777" w:rsidR="0000369C" w:rsidRPr="003C0A4C" w:rsidRDefault="0000369C" w:rsidP="0000369C">
      <w:pPr>
        <w:ind w:firstLine="709"/>
        <w:contextualSpacing/>
        <w:rPr>
          <w:rFonts w:cs="Times New Roman"/>
          <w:szCs w:val="24"/>
          <w:u w:val="single"/>
        </w:rPr>
      </w:pPr>
      <w:r w:rsidRPr="003C0A4C">
        <w:rPr>
          <w:rFonts w:cs="Times New Roman"/>
          <w:szCs w:val="24"/>
          <w:u w:val="single"/>
        </w:rPr>
        <w:t>Перечень основных медикаментозных препаратов, использующих в ОРИТ у пациентов с гематологическими заболеваниями.</w:t>
      </w:r>
    </w:p>
    <w:p w14:paraId="28974AB4" w14:textId="77777777" w:rsidR="0000369C" w:rsidRPr="008F721B" w:rsidRDefault="0000369C" w:rsidP="00C5490F">
      <w:pPr>
        <w:pStyle w:val="afe"/>
        <w:numPr>
          <w:ilvl w:val="0"/>
          <w:numId w:val="83"/>
        </w:numPr>
        <w:rPr>
          <w:rFonts w:cs="Times New Roman"/>
          <w:szCs w:val="24"/>
        </w:rPr>
      </w:pPr>
      <w:r w:rsidRPr="008F721B">
        <w:rPr>
          <w:rFonts w:cs="Times New Roman"/>
          <w:szCs w:val="24"/>
        </w:rPr>
        <w:t>Антибактериальные, противогрибковые, противовирусные препараты (с примерной суточной дозировкой без перерасчета на вес и без поправок на скорость клубочковой фильтрации), внутривенные формы:</w:t>
      </w:r>
      <w:r w:rsidRPr="003C0A4C">
        <w:rPr>
          <w:rFonts w:cs="Times New Roman"/>
          <w:szCs w:val="24"/>
        </w:rPr>
        <w:t xml:space="preserve"> </w:t>
      </w:r>
    </w:p>
    <w:p w14:paraId="4F199589" w14:textId="77777777" w:rsidR="0000369C" w:rsidRPr="008F721B" w:rsidRDefault="0000369C" w:rsidP="00C5490F">
      <w:pPr>
        <w:pStyle w:val="afe"/>
        <w:numPr>
          <w:ilvl w:val="0"/>
          <w:numId w:val="83"/>
        </w:numPr>
        <w:rPr>
          <w:rFonts w:cs="Times New Roman"/>
          <w:szCs w:val="24"/>
        </w:rPr>
      </w:pPr>
      <w:r w:rsidRPr="008F721B">
        <w:rPr>
          <w:rFonts w:cs="Times New Roman"/>
          <w:szCs w:val="24"/>
        </w:rPr>
        <w:t>меропенем 3 гр/сут, имипенем/циластатин 2000 мг/сут, дорипенем 1500 мг/сут полимиксин В 150 мг/сут, ванкомицин 2 гр/сут, линезолид 1200 мг/сут, даптомицин 500 мг/сут, амикацин 1500 мг, цефтазидим/авиабактам 5 гр/сут, тигециклин 100 мг/сут, метронидазол 1500 мг/сут, триметоприм/сульфаметаксозол (20 мг триметоприма на 1 кг), анидулафунгин 200 мг/сут, вориконазол 600 мг/сут, амфотерицин В (липосомальный комплекс) 350 мг/сут, ацикловир 750 мг/сут, ганцикловир 250 мг/сут, эритромицин 300 мг/сут (как прокинетическое средство).</w:t>
      </w:r>
    </w:p>
    <w:p w14:paraId="238A80D0" w14:textId="77777777" w:rsidR="0000369C" w:rsidRPr="008F721B" w:rsidRDefault="0000369C" w:rsidP="00C5490F">
      <w:pPr>
        <w:pStyle w:val="afe"/>
        <w:numPr>
          <w:ilvl w:val="0"/>
          <w:numId w:val="83"/>
        </w:numPr>
        <w:rPr>
          <w:rFonts w:cs="Times New Roman"/>
          <w:szCs w:val="24"/>
        </w:rPr>
      </w:pPr>
      <w:r w:rsidRPr="008F721B">
        <w:rPr>
          <w:rFonts w:cs="Times New Roman"/>
          <w:szCs w:val="24"/>
        </w:rPr>
        <w:t>Вазоактивные препараты (дозировка и скорость введения широко варьирует в зависимости от клинической ситуации), внутривенные формы:</w:t>
      </w:r>
    </w:p>
    <w:p w14:paraId="137C6F73" w14:textId="77777777" w:rsidR="0000369C" w:rsidRPr="008F721B" w:rsidRDefault="0000369C" w:rsidP="00C5490F">
      <w:pPr>
        <w:pStyle w:val="afe"/>
        <w:numPr>
          <w:ilvl w:val="0"/>
          <w:numId w:val="83"/>
        </w:numPr>
        <w:rPr>
          <w:rFonts w:cs="Times New Roman"/>
          <w:szCs w:val="24"/>
        </w:rPr>
      </w:pPr>
      <w:r w:rsidRPr="008F721B">
        <w:rPr>
          <w:rFonts w:cs="Times New Roman"/>
          <w:szCs w:val="24"/>
        </w:rPr>
        <w:t>норадреналин, адреналин, добутамин, допамин, фенилэфрин, атропин.</w:t>
      </w:r>
    </w:p>
    <w:p w14:paraId="27CC57FC" w14:textId="77777777" w:rsidR="0000369C" w:rsidRPr="008F721B" w:rsidRDefault="0000369C" w:rsidP="00C5490F">
      <w:pPr>
        <w:pStyle w:val="afe"/>
        <w:numPr>
          <w:ilvl w:val="0"/>
          <w:numId w:val="83"/>
        </w:numPr>
        <w:rPr>
          <w:rFonts w:cs="Times New Roman"/>
          <w:szCs w:val="24"/>
        </w:rPr>
      </w:pPr>
      <w:r w:rsidRPr="008F721B">
        <w:rPr>
          <w:rFonts w:cs="Times New Roman"/>
          <w:szCs w:val="24"/>
        </w:rPr>
        <w:t>Антиаритмические препараты, внутривенные формы:</w:t>
      </w:r>
      <w:r w:rsidRPr="003C0A4C">
        <w:rPr>
          <w:rFonts w:cs="Times New Roman"/>
          <w:szCs w:val="24"/>
        </w:rPr>
        <w:t xml:space="preserve"> </w:t>
      </w:r>
    </w:p>
    <w:p w14:paraId="655823C7" w14:textId="77777777" w:rsidR="0000369C" w:rsidRPr="008F721B" w:rsidRDefault="0000369C" w:rsidP="00C5490F">
      <w:pPr>
        <w:pStyle w:val="afe"/>
        <w:numPr>
          <w:ilvl w:val="0"/>
          <w:numId w:val="83"/>
        </w:numPr>
        <w:rPr>
          <w:rFonts w:cs="Times New Roman"/>
          <w:szCs w:val="24"/>
        </w:rPr>
      </w:pPr>
      <w:r w:rsidRPr="008F721B">
        <w:rPr>
          <w:rFonts w:cs="Times New Roman"/>
          <w:szCs w:val="24"/>
        </w:rPr>
        <w:t>амиодарон, лидокаин 10%, новокаинамид, метопролол, атропин.</w:t>
      </w:r>
    </w:p>
    <w:p w14:paraId="01618335" w14:textId="77777777" w:rsidR="0000369C" w:rsidRPr="008F721B" w:rsidRDefault="0000369C" w:rsidP="00C5490F">
      <w:pPr>
        <w:pStyle w:val="afe"/>
        <w:numPr>
          <w:ilvl w:val="0"/>
          <w:numId w:val="83"/>
        </w:numPr>
        <w:rPr>
          <w:rFonts w:cs="Times New Roman"/>
          <w:szCs w:val="24"/>
        </w:rPr>
      </w:pPr>
      <w:r w:rsidRPr="008F721B">
        <w:rPr>
          <w:rFonts w:cs="Times New Roman"/>
          <w:szCs w:val="24"/>
        </w:rPr>
        <w:t xml:space="preserve">Препараты, влияющие на нейромышечное проведение, седативные и противосудорожные, антипсихотические внутривенные формы: </w:t>
      </w:r>
    </w:p>
    <w:p w14:paraId="14F329AD" w14:textId="77777777" w:rsidR="0000369C" w:rsidRPr="008F721B" w:rsidRDefault="0000369C" w:rsidP="00C5490F">
      <w:pPr>
        <w:pStyle w:val="afe"/>
        <w:numPr>
          <w:ilvl w:val="0"/>
          <w:numId w:val="83"/>
        </w:numPr>
        <w:rPr>
          <w:rFonts w:cs="Times New Roman"/>
          <w:szCs w:val="24"/>
        </w:rPr>
      </w:pPr>
      <w:r w:rsidRPr="008F721B">
        <w:rPr>
          <w:rFonts w:cs="Times New Roman"/>
          <w:szCs w:val="24"/>
        </w:rPr>
        <w:t>пипекурония бромид, цис-атракуриум, мидазолам, диазепам, феназепам, галоперидол, пропофол, кетамин, габапентин, левитерацитам, вальпроевая кислота.</w:t>
      </w:r>
    </w:p>
    <w:p w14:paraId="4F9285C6" w14:textId="77777777" w:rsidR="0000369C" w:rsidRPr="003C0A4C" w:rsidRDefault="0000369C" w:rsidP="00C5490F">
      <w:pPr>
        <w:pStyle w:val="afe"/>
        <w:numPr>
          <w:ilvl w:val="0"/>
          <w:numId w:val="83"/>
        </w:numPr>
        <w:rPr>
          <w:rFonts w:cs="Times New Roman"/>
          <w:szCs w:val="24"/>
        </w:rPr>
      </w:pPr>
      <w:r w:rsidRPr="008F721B">
        <w:rPr>
          <w:rFonts w:cs="Times New Roman"/>
          <w:szCs w:val="24"/>
        </w:rPr>
        <w:t>Анальгетики:</w:t>
      </w:r>
      <w:r w:rsidRPr="003C0A4C">
        <w:rPr>
          <w:rFonts w:cs="Times New Roman"/>
          <w:szCs w:val="24"/>
        </w:rPr>
        <w:t xml:space="preserve"> </w:t>
      </w:r>
    </w:p>
    <w:p w14:paraId="4322DD8D" w14:textId="77777777" w:rsidR="0000369C" w:rsidRPr="003C0A4C" w:rsidRDefault="0000369C" w:rsidP="00C5490F">
      <w:pPr>
        <w:pStyle w:val="afe"/>
        <w:numPr>
          <w:ilvl w:val="0"/>
          <w:numId w:val="83"/>
        </w:numPr>
        <w:rPr>
          <w:rFonts w:cs="Times New Roman"/>
          <w:szCs w:val="24"/>
        </w:rPr>
      </w:pPr>
      <w:r w:rsidRPr="008F721B">
        <w:rPr>
          <w:rFonts w:cs="Times New Roman"/>
          <w:szCs w:val="24"/>
        </w:rPr>
        <w:t>трансдермальная форма фентанила, в/в раствор фентнила, промедола, трамадола. Нефопам, парацетамол, кетанол.</w:t>
      </w:r>
    </w:p>
    <w:p w14:paraId="2B9A3980" w14:textId="77777777" w:rsidR="0000369C" w:rsidRPr="008F721B" w:rsidRDefault="0000369C" w:rsidP="00C5490F">
      <w:pPr>
        <w:pStyle w:val="afe"/>
        <w:numPr>
          <w:ilvl w:val="0"/>
          <w:numId w:val="83"/>
        </w:numPr>
        <w:rPr>
          <w:rFonts w:cs="Times New Roman"/>
          <w:szCs w:val="24"/>
        </w:rPr>
      </w:pPr>
      <w:r w:rsidRPr="008F721B">
        <w:rPr>
          <w:rFonts w:cs="Times New Roman"/>
          <w:szCs w:val="24"/>
        </w:rPr>
        <w:t>Инфузионная терапия и парентеральное питание:</w:t>
      </w:r>
      <w:r w:rsidRPr="003C0A4C">
        <w:rPr>
          <w:rFonts w:cs="Times New Roman"/>
          <w:szCs w:val="24"/>
        </w:rPr>
        <w:t xml:space="preserve"> </w:t>
      </w:r>
    </w:p>
    <w:p w14:paraId="569C9DB8" w14:textId="77777777" w:rsidR="0000369C" w:rsidRPr="008F721B" w:rsidRDefault="0000369C" w:rsidP="00C5490F">
      <w:pPr>
        <w:pStyle w:val="afe"/>
        <w:numPr>
          <w:ilvl w:val="0"/>
          <w:numId w:val="83"/>
        </w:numPr>
        <w:rPr>
          <w:rFonts w:cs="Times New Roman"/>
          <w:szCs w:val="24"/>
        </w:rPr>
      </w:pPr>
      <w:r w:rsidRPr="008F721B">
        <w:rPr>
          <w:rFonts w:cs="Times New Roman"/>
          <w:szCs w:val="24"/>
        </w:rPr>
        <w:lastRenderedPageBreak/>
        <w:t xml:space="preserve">изотонический раствор натрия хлорида, сбалансированные кристаллоидные растворы (рингер-лактат, стерофундин), вольювен, раствор глюкозы 5% и 20%. Смеси для парентерального питания (3 в 1): оликлиномель </w:t>
      </w:r>
      <w:r w:rsidRPr="003C0A4C">
        <w:rPr>
          <w:rFonts w:cs="Times New Roman"/>
          <w:szCs w:val="24"/>
        </w:rPr>
        <w:t>N</w:t>
      </w:r>
      <w:r w:rsidRPr="008F721B">
        <w:rPr>
          <w:rFonts w:cs="Times New Roman"/>
          <w:szCs w:val="24"/>
        </w:rPr>
        <w:t>7, нутрифлекс140/80, кабивен центральный и периферический.</w:t>
      </w:r>
    </w:p>
    <w:p w14:paraId="515B7ADA" w14:textId="77777777" w:rsidR="0000369C" w:rsidRPr="008F721B" w:rsidRDefault="0000369C" w:rsidP="00C5490F">
      <w:pPr>
        <w:pStyle w:val="afe"/>
        <w:numPr>
          <w:ilvl w:val="0"/>
          <w:numId w:val="83"/>
        </w:numPr>
        <w:rPr>
          <w:rFonts w:cs="Times New Roman"/>
          <w:szCs w:val="24"/>
        </w:rPr>
      </w:pPr>
      <w:r w:rsidRPr="008F721B">
        <w:rPr>
          <w:rFonts w:cs="Times New Roman"/>
          <w:szCs w:val="24"/>
        </w:rPr>
        <w:t xml:space="preserve">Антигистаминные и противорвотные препараты, внутривенные формы: блокаторы </w:t>
      </w:r>
      <w:r w:rsidRPr="003C0A4C">
        <w:rPr>
          <w:rFonts w:cs="Times New Roman"/>
          <w:szCs w:val="24"/>
        </w:rPr>
        <w:t>H1</w:t>
      </w:r>
      <w:r w:rsidRPr="008F721B">
        <w:rPr>
          <w:rFonts w:cs="Times New Roman"/>
          <w:szCs w:val="24"/>
        </w:rPr>
        <w:t xml:space="preserve"> – первого поколения (дифенгидрамин), супрастин, метоклопрамид, ондансетрон.</w:t>
      </w:r>
    </w:p>
    <w:p w14:paraId="3D84E353" w14:textId="77777777" w:rsidR="0000369C" w:rsidRPr="008F721B" w:rsidRDefault="0000369C" w:rsidP="00C5490F">
      <w:pPr>
        <w:pStyle w:val="afe"/>
        <w:numPr>
          <w:ilvl w:val="0"/>
          <w:numId w:val="83"/>
        </w:numPr>
        <w:rPr>
          <w:rFonts w:cs="Times New Roman"/>
          <w:szCs w:val="24"/>
        </w:rPr>
      </w:pPr>
      <w:r w:rsidRPr="008F721B">
        <w:rPr>
          <w:rFonts w:cs="Times New Roman"/>
          <w:szCs w:val="24"/>
        </w:rPr>
        <w:t xml:space="preserve">Прочие препараты, применяющиеся у гематологических пациентов, находящихся в ОРИТ, внутривенные формы: </w:t>
      </w:r>
    </w:p>
    <w:p w14:paraId="2E11B0BC" w14:textId="77777777" w:rsidR="0000369C" w:rsidRPr="008F721B" w:rsidRDefault="0000369C" w:rsidP="00C5490F">
      <w:pPr>
        <w:pStyle w:val="afe"/>
        <w:numPr>
          <w:ilvl w:val="0"/>
          <w:numId w:val="83"/>
        </w:numPr>
        <w:rPr>
          <w:rFonts w:cs="Times New Roman"/>
          <w:szCs w:val="24"/>
        </w:rPr>
      </w:pPr>
      <w:r w:rsidRPr="008F721B">
        <w:rPr>
          <w:rFonts w:cs="Times New Roman"/>
          <w:szCs w:val="24"/>
        </w:rPr>
        <w:t>фуросемид, маннитол, натрия гидрокарбонат, дексаметазон, метилпреднизолон, преднизолон, тиамин, цианкобаламин, витамин К1, пиридоксин, инсулин, транексамовая кислота, растворы солей кальция и калия.</w:t>
      </w:r>
    </w:p>
    <w:p w14:paraId="77B5DE02" w14:textId="77777777" w:rsidR="0000369C" w:rsidRPr="008F721B" w:rsidRDefault="0000369C" w:rsidP="00C5490F">
      <w:pPr>
        <w:pStyle w:val="afe"/>
        <w:numPr>
          <w:ilvl w:val="0"/>
          <w:numId w:val="83"/>
        </w:numPr>
        <w:rPr>
          <w:rFonts w:cs="Times New Roman"/>
          <w:szCs w:val="24"/>
        </w:rPr>
      </w:pPr>
      <w:r w:rsidRPr="008F721B">
        <w:rPr>
          <w:rFonts w:cs="Times New Roman"/>
          <w:szCs w:val="24"/>
        </w:rPr>
        <w:t>Цитостатики, иммунодепрессанты, иммуноглобулины и иная специфическая и сопроводительная терапия основного гематологического заболевания по клиническим показаниям в период пребывания пациента в ОРИТ.</w:t>
      </w:r>
    </w:p>
    <w:p w14:paraId="1712D808" w14:textId="77777777" w:rsidR="0000369C" w:rsidRPr="008F721B" w:rsidRDefault="0000369C" w:rsidP="0000369C">
      <w:pPr>
        <w:ind w:firstLine="709"/>
        <w:rPr>
          <w:rFonts w:cs="Times New Roman"/>
          <w:szCs w:val="24"/>
        </w:rPr>
      </w:pPr>
      <w:r w:rsidRPr="008F721B">
        <w:rPr>
          <w:rFonts w:cs="Times New Roman"/>
          <w:szCs w:val="24"/>
        </w:rPr>
        <w:t xml:space="preserve">Также у гематологических пациентов в ОРИТ производятся заместительные гемокомпонентные трансфузии при наличии показаний: </w:t>
      </w:r>
    </w:p>
    <w:p w14:paraId="48F6748F" w14:textId="77777777" w:rsidR="0000369C" w:rsidRPr="008F721B" w:rsidRDefault="0000369C" w:rsidP="00C5490F">
      <w:pPr>
        <w:pStyle w:val="afe"/>
        <w:numPr>
          <w:ilvl w:val="0"/>
          <w:numId w:val="83"/>
        </w:numPr>
        <w:rPr>
          <w:rFonts w:cs="Times New Roman"/>
          <w:szCs w:val="24"/>
        </w:rPr>
      </w:pPr>
      <w:r w:rsidRPr="008F721B">
        <w:rPr>
          <w:rFonts w:cs="Times New Roman"/>
          <w:szCs w:val="24"/>
        </w:rPr>
        <w:t>трансфузия эритроцитсодержащих компонентов крови обычно проводится при снижении концентрации гемоглобина менее 60 г/л (у больных среднего возраста и без сопутствующей сердечной патологии; при наличии сердечно-сосудистой патологии и в пожилом возрасте трансфузии эритроцитсодержащих компонентов крови проводится при более высокой концентрации гемоглобина в крови, по клиническим показаниям);</w:t>
      </w:r>
    </w:p>
    <w:p w14:paraId="31E280FE" w14:textId="77777777" w:rsidR="0000369C" w:rsidRPr="008F721B" w:rsidRDefault="0000369C" w:rsidP="00C5490F">
      <w:pPr>
        <w:pStyle w:val="afe"/>
        <w:numPr>
          <w:ilvl w:val="0"/>
          <w:numId w:val="83"/>
        </w:numPr>
        <w:rPr>
          <w:rFonts w:cs="Times New Roman"/>
          <w:szCs w:val="24"/>
        </w:rPr>
      </w:pPr>
      <w:r w:rsidRPr="008F721B">
        <w:rPr>
          <w:rFonts w:cs="Times New Roman"/>
          <w:szCs w:val="24"/>
        </w:rPr>
        <w:t>концентрат тромбоцитов в ОРИТ используется как с лечебной целью, так и с профилактической; обычно трансфузии концентрата тромбоцитов проводят при снижении концентрации тромбоцитов менее 20х10</w:t>
      </w:r>
      <w:r w:rsidRPr="009D0B15">
        <w:rPr>
          <w:rFonts w:cs="Times New Roman"/>
          <w:szCs w:val="24"/>
          <w:vertAlign w:val="superscript"/>
        </w:rPr>
        <w:t>9</w:t>
      </w:r>
      <w:r w:rsidRPr="008F721B">
        <w:rPr>
          <w:rFonts w:cs="Times New Roman"/>
          <w:szCs w:val="24"/>
        </w:rPr>
        <w:t>/л;</w:t>
      </w:r>
    </w:p>
    <w:p w14:paraId="597B7174" w14:textId="77777777" w:rsidR="0000369C" w:rsidRPr="008F721B" w:rsidRDefault="0000369C" w:rsidP="00C5490F">
      <w:pPr>
        <w:pStyle w:val="afe"/>
        <w:numPr>
          <w:ilvl w:val="0"/>
          <w:numId w:val="83"/>
        </w:numPr>
        <w:rPr>
          <w:rFonts w:cs="Times New Roman"/>
          <w:szCs w:val="24"/>
        </w:rPr>
      </w:pPr>
      <w:r w:rsidRPr="008F721B">
        <w:rPr>
          <w:rFonts w:cs="Times New Roman"/>
          <w:szCs w:val="24"/>
        </w:rPr>
        <w:t xml:space="preserve">показанием к трансфузии криопреципитата является снижение концентрации фибриногена менее 1,0 г/л при отсутствии геморрагического синдрома или при снижении менее 2,0 г/л при наличии геморрагического синдрома; </w:t>
      </w:r>
    </w:p>
    <w:p w14:paraId="6FBC5F88" w14:textId="77777777" w:rsidR="0000369C" w:rsidRPr="008F721B" w:rsidRDefault="0000369C" w:rsidP="00C5490F">
      <w:pPr>
        <w:pStyle w:val="afe"/>
        <w:numPr>
          <w:ilvl w:val="0"/>
          <w:numId w:val="83"/>
        </w:numPr>
        <w:rPr>
          <w:rFonts w:cs="Times New Roman"/>
          <w:szCs w:val="24"/>
        </w:rPr>
      </w:pPr>
      <w:r w:rsidRPr="008F721B">
        <w:rPr>
          <w:rFonts w:cs="Times New Roman"/>
          <w:szCs w:val="24"/>
        </w:rPr>
        <w:t xml:space="preserve">трансфузию свежезамороженной плазмы (СЗП) производят при массивных кровотечениях в зависимости от клинико-лабораторных показателей. </w:t>
      </w:r>
    </w:p>
    <w:p w14:paraId="28A9CFEE" w14:textId="77777777" w:rsidR="0000369C" w:rsidRPr="008F721B" w:rsidRDefault="0000369C" w:rsidP="0000369C">
      <w:pPr>
        <w:ind w:firstLine="708"/>
        <w:rPr>
          <w:rFonts w:cs="Times New Roman"/>
          <w:szCs w:val="24"/>
        </w:rPr>
      </w:pPr>
    </w:p>
    <w:p w14:paraId="22DA5A48" w14:textId="77777777" w:rsidR="0000369C" w:rsidRPr="00DC46B0" w:rsidRDefault="0000369C" w:rsidP="0000369C">
      <w:pPr>
        <w:ind w:firstLine="709"/>
        <w:rPr>
          <w:szCs w:val="24"/>
        </w:rPr>
      </w:pPr>
    </w:p>
    <w:p w14:paraId="2E0AC022" w14:textId="77777777" w:rsidR="0000369C" w:rsidRPr="0000369C" w:rsidRDefault="0000369C" w:rsidP="0000369C">
      <w:pPr>
        <w:pStyle w:val="2"/>
      </w:pPr>
    </w:p>
    <w:p w14:paraId="5DF5FBD6" w14:textId="04662611" w:rsidR="002C3C32" w:rsidRPr="00BF0587" w:rsidRDefault="00031607" w:rsidP="00BF0587">
      <w:pPr>
        <w:pStyle w:val="11"/>
      </w:pPr>
      <w:bookmarkStart w:id="69" w:name="_Toc67522256"/>
      <w:bookmarkEnd w:id="39"/>
      <w:bookmarkEnd w:id="40"/>
      <w:bookmarkEnd w:id="41"/>
      <w:r w:rsidRPr="00BF0587">
        <w:lastRenderedPageBreak/>
        <w:t>Критерии оценки качества медицинской помощи</w:t>
      </w:r>
      <w:bookmarkEnd w:id="69"/>
    </w:p>
    <w:tbl>
      <w:tblPr>
        <w:tblW w:w="9796" w:type="dxa"/>
        <w:tblLayout w:type="fixed"/>
        <w:tblCellMar>
          <w:top w:w="15" w:type="dxa"/>
          <w:left w:w="15" w:type="dxa"/>
          <w:bottom w:w="15" w:type="dxa"/>
          <w:right w:w="15" w:type="dxa"/>
        </w:tblCellMar>
        <w:tblLook w:val="04A0" w:firstRow="1" w:lastRow="0" w:firstColumn="1" w:lastColumn="0" w:noHBand="0" w:noVBand="1"/>
      </w:tblPr>
      <w:tblGrid>
        <w:gridCol w:w="843"/>
        <w:gridCol w:w="6237"/>
        <w:gridCol w:w="1417"/>
        <w:gridCol w:w="1299"/>
      </w:tblGrid>
      <w:tr w:rsidR="00373CF7" w:rsidRPr="00764E6B" w14:paraId="4CA1A2DB" w14:textId="77777777" w:rsidTr="00373CF7">
        <w:trPr>
          <w:trHeight w:val="915"/>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32E1B663" w14:textId="77777777" w:rsidR="00373CF7" w:rsidRPr="00764E6B" w:rsidRDefault="00373CF7" w:rsidP="00373CF7">
            <w:pPr>
              <w:pStyle w:val="afd"/>
              <w:spacing w:line="240" w:lineRule="auto"/>
            </w:pPr>
            <w:r w:rsidRPr="00764E6B">
              <w:t>№</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181ECEA1" w14:textId="77777777" w:rsidR="00373CF7" w:rsidRPr="00764E6B" w:rsidRDefault="00373CF7" w:rsidP="00373CF7">
            <w:pPr>
              <w:pStyle w:val="afd"/>
              <w:spacing w:line="240" w:lineRule="auto"/>
            </w:pPr>
            <w:r w:rsidRPr="00764E6B">
              <w:rPr>
                <w:rStyle w:val="affa"/>
              </w:rPr>
              <w:t>Критерии качества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70E9C815" w14:textId="77777777" w:rsidR="00373CF7" w:rsidRPr="00764E6B" w:rsidRDefault="00373CF7" w:rsidP="00373CF7">
            <w:pPr>
              <w:pStyle w:val="afd"/>
              <w:spacing w:line="240" w:lineRule="auto"/>
            </w:pPr>
            <w:r w:rsidRPr="00764E6B">
              <w:rPr>
                <w:rStyle w:val="affa"/>
              </w:rPr>
              <w:t>Уровень достоверности доказательств</w:t>
            </w:r>
          </w:p>
        </w:tc>
        <w:tc>
          <w:tcPr>
            <w:tcW w:w="1299" w:type="dxa"/>
            <w:tcBorders>
              <w:top w:val="single" w:sz="6" w:space="0" w:color="000000"/>
              <w:left w:val="single" w:sz="6" w:space="0" w:color="000000"/>
              <w:bottom w:val="single" w:sz="6" w:space="0" w:color="000000"/>
              <w:right w:val="single" w:sz="6" w:space="0" w:color="000000"/>
            </w:tcBorders>
            <w:vAlign w:val="center"/>
            <w:hideMark/>
          </w:tcPr>
          <w:p w14:paraId="53ADC66A" w14:textId="77777777" w:rsidR="00373CF7" w:rsidRPr="00764E6B" w:rsidRDefault="00373CF7" w:rsidP="00373CF7">
            <w:pPr>
              <w:pStyle w:val="afd"/>
              <w:spacing w:line="240" w:lineRule="auto"/>
            </w:pPr>
            <w:r w:rsidRPr="00764E6B">
              <w:rPr>
                <w:rStyle w:val="affa"/>
              </w:rPr>
              <w:t>Уровень убедительности рекомендаций</w:t>
            </w:r>
          </w:p>
        </w:tc>
      </w:tr>
      <w:tr w:rsidR="00373CF7" w:rsidRPr="00764E6B" w14:paraId="0FF24CA6" w14:textId="77777777" w:rsidTr="00373CF7">
        <w:trPr>
          <w:trHeight w:val="525"/>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6FF176EF" w14:textId="77777777" w:rsidR="00373CF7" w:rsidRPr="00764E6B" w:rsidRDefault="00373CF7" w:rsidP="00373CF7">
            <w:pPr>
              <w:pStyle w:val="afd"/>
              <w:spacing w:line="240" w:lineRule="auto"/>
              <w:rPr>
                <w:rFonts w:eastAsiaTheme="minorEastAsia"/>
              </w:rPr>
            </w:pPr>
            <w:r w:rsidRPr="00764E6B">
              <w:t>1.</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1D6CA4B0" w14:textId="290EDFAA" w:rsidR="00373CF7" w:rsidRPr="00764E6B" w:rsidRDefault="00147B50" w:rsidP="00373CF7">
            <w:pPr>
              <w:pStyle w:val="afd"/>
              <w:spacing w:line="240" w:lineRule="auto"/>
            </w:pPr>
            <w:r>
              <w:t>Проведен осмотр врачом-гематологом пациента при подозрении на апластическую анемию</w:t>
            </w:r>
            <w:r w:rsidR="007E348D">
              <w:t>, выполнен сбор анамнеза, физикальное обследование</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6BF6C322" w14:textId="77777777" w:rsidR="00373CF7" w:rsidRPr="00764E6B" w:rsidRDefault="00373CF7" w:rsidP="00373CF7">
            <w:pPr>
              <w:pStyle w:val="afd"/>
              <w:spacing w:line="240" w:lineRule="auto"/>
            </w:pPr>
            <w:r>
              <w:t>5</w:t>
            </w:r>
          </w:p>
        </w:tc>
        <w:tc>
          <w:tcPr>
            <w:tcW w:w="1299" w:type="dxa"/>
            <w:tcBorders>
              <w:top w:val="single" w:sz="6" w:space="0" w:color="000000"/>
              <w:left w:val="single" w:sz="6" w:space="0" w:color="000000"/>
              <w:bottom w:val="single" w:sz="6" w:space="0" w:color="000000"/>
              <w:right w:val="single" w:sz="6" w:space="0" w:color="000000"/>
            </w:tcBorders>
            <w:vAlign w:val="center"/>
            <w:hideMark/>
          </w:tcPr>
          <w:p w14:paraId="74A8EF54" w14:textId="77777777" w:rsidR="00373CF7" w:rsidRPr="00764E6B" w:rsidRDefault="00373CF7" w:rsidP="00373CF7">
            <w:pPr>
              <w:pStyle w:val="afd"/>
              <w:spacing w:line="240" w:lineRule="auto"/>
            </w:pPr>
            <w:r>
              <w:t>С</w:t>
            </w:r>
          </w:p>
        </w:tc>
      </w:tr>
      <w:tr w:rsidR="00373CF7" w:rsidRPr="00764E6B" w14:paraId="051E6406" w14:textId="77777777" w:rsidTr="00373CF7">
        <w:trPr>
          <w:trHeight w:val="525"/>
        </w:trPr>
        <w:tc>
          <w:tcPr>
            <w:tcW w:w="843" w:type="dxa"/>
            <w:tcBorders>
              <w:top w:val="single" w:sz="6" w:space="0" w:color="000000"/>
              <w:left w:val="single" w:sz="6" w:space="0" w:color="000000"/>
              <w:bottom w:val="single" w:sz="6" w:space="0" w:color="000000"/>
              <w:right w:val="single" w:sz="6" w:space="0" w:color="000000"/>
            </w:tcBorders>
            <w:vAlign w:val="center"/>
          </w:tcPr>
          <w:p w14:paraId="5D733BC4" w14:textId="77777777" w:rsidR="00373CF7" w:rsidRPr="00764E6B" w:rsidRDefault="00373CF7" w:rsidP="00373CF7">
            <w:pPr>
              <w:pStyle w:val="afd"/>
              <w:spacing w:line="240" w:lineRule="auto"/>
            </w:pPr>
            <w:r>
              <w:t>2.</w:t>
            </w:r>
          </w:p>
        </w:tc>
        <w:tc>
          <w:tcPr>
            <w:tcW w:w="6237" w:type="dxa"/>
            <w:tcBorders>
              <w:top w:val="single" w:sz="6" w:space="0" w:color="000000"/>
              <w:left w:val="single" w:sz="6" w:space="0" w:color="000000"/>
              <w:bottom w:val="single" w:sz="6" w:space="0" w:color="000000"/>
              <w:right w:val="single" w:sz="6" w:space="0" w:color="000000"/>
            </w:tcBorders>
            <w:vAlign w:val="center"/>
          </w:tcPr>
          <w:p w14:paraId="28C8C8A3" w14:textId="600C8BA8" w:rsidR="00373CF7" w:rsidRDefault="00147B50" w:rsidP="00373CF7">
            <w:pPr>
              <w:pStyle w:val="afd"/>
              <w:spacing w:line="240" w:lineRule="auto"/>
            </w:pPr>
            <w:r>
              <w:t>Пациенту с подозрением на апластическую анемию в</w:t>
            </w:r>
            <w:r w:rsidRPr="00764E6B">
              <w:t xml:space="preserve">ыполнен </w:t>
            </w:r>
            <w:r w:rsidR="007E348D" w:rsidRPr="007E348D">
              <w:t>общ</w:t>
            </w:r>
            <w:r w:rsidR="007E348D">
              <w:t>ий</w:t>
            </w:r>
            <w:r w:rsidR="007E348D" w:rsidRPr="007E348D">
              <w:t xml:space="preserve"> (клиническ</w:t>
            </w:r>
            <w:r w:rsidR="007E348D">
              <w:t>ий</w:t>
            </w:r>
            <w:r w:rsidR="007E348D" w:rsidRPr="007E348D">
              <w:t>) анализ крови с определением абсолютного количества ретикулоцитов и подсчет</w:t>
            </w:r>
            <w:r w:rsidR="007E348D">
              <w:t>ом</w:t>
            </w:r>
            <w:r w:rsidR="007E348D" w:rsidRPr="007E348D">
              <w:t xml:space="preserve"> тромбоцитов</w:t>
            </w:r>
          </w:p>
        </w:tc>
        <w:tc>
          <w:tcPr>
            <w:tcW w:w="1417" w:type="dxa"/>
            <w:tcBorders>
              <w:top w:val="single" w:sz="6" w:space="0" w:color="000000"/>
              <w:left w:val="single" w:sz="6" w:space="0" w:color="000000"/>
              <w:bottom w:val="single" w:sz="6" w:space="0" w:color="000000"/>
              <w:right w:val="single" w:sz="6" w:space="0" w:color="000000"/>
            </w:tcBorders>
            <w:vAlign w:val="center"/>
          </w:tcPr>
          <w:p w14:paraId="39C5E769" w14:textId="77777777" w:rsidR="00373CF7" w:rsidRDefault="00373CF7" w:rsidP="00373CF7">
            <w:pPr>
              <w:pStyle w:val="afd"/>
              <w:spacing w:line="240" w:lineRule="auto"/>
            </w:pPr>
            <w:r>
              <w:t>5</w:t>
            </w:r>
          </w:p>
        </w:tc>
        <w:tc>
          <w:tcPr>
            <w:tcW w:w="1299" w:type="dxa"/>
            <w:tcBorders>
              <w:top w:val="single" w:sz="6" w:space="0" w:color="000000"/>
              <w:left w:val="single" w:sz="6" w:space="0" w:color="000000"/>
              <w:bottom w:val="single" w:sz="6" w:space="0" w:color="000000"/>
              <w:right w:val="single" w:sz="6" w:space="0" w:color="000000"/>
            </w:tcBorders>
            <w:vAlign w:val="center"/>
          </w:tcPr>
          <w:p w14:paraId="784B8AF2" w14:textId="77777777" w:rsidR="00373CF7" w:rsidRDefault="00373CF7" w:rsidP="00373CF7">
            <w:pPr>
              <w:pStyle w:val="afd"/>
              <w:spacing w:line="240" w:lineRule="auto"/>
            </w:pPr>
            <w:r>
              <w:t>С</w:t>
            </w:r>
          </w:p>
        </w:tc>
      </w:tr>
      <w:tr w:rsidR="00373CF7" w:rsidRPr="00764E6B" w14:paraId="6BE0F78C" w14:textId="77777777" w:rsidTr="00373CF7">
        <w:trPr>
          <w:trHeight w:val="720"/>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79EFE243" w14:textId="77777777" w:rsidR="00373CF7" w:rsidRPr="00764E6B" w:rsidRDefault="00373CF7" w:rsidP="00373CF7">
            <w:pPr>
              <w:pStyle w:val="afd"/>
              <w:spacing w:line="240" w:lineRule="auto"/>
            </w:pPr>
            <w:r>
              <w:t>3.</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02C82B5D" w14:textId="6AEC9062" w:rsidR="00373CF7" w:rsidRPr="00764E6B" w:rsidRDefault="00373CF7" w:rsidP="00507755">
            <w:pPr>
              <w:pStyle w:val="afd"/>
              <w:spacing w:line="240" w:lineRule="auto"/>
            </w:pPr>
            <w:r>
              <w:t xml:space="preserve">Пациенту с подозрением на </w:t>
            </w:r>
            <w:r w:rsidR="0007006A">
              <w:t>апластическую анемию</w:t>
            </w:r>
            <w:r>
              <w:t xml:space="preserve"> в</w:t>
            </w:r>
            <w:r w:rsidRPr="00764E6B">
              <w:t xml:space="preserve">ыполнено </w:t>
            </w:r>
            <w:r w:rsidR="00507755">
              <w:t xml:space="preserve">получение гистологического препарата костного мозга (трепанобиопсия) </w:t>
            </w:r>
            <w:r w:rsidR="0018711F">
              <w:t xml:space="preserve">цитологическое </w:t>
            </w:r>
            <w:r w:rsidRPr="00764E6B">
              <w:t>исследование препарата </w:t>
            </w:r>
            <w:r w:rsidR="0007006A">
              <w:t>костного мозга</w:t>
            </w:r>
            <w:r>
              <w:t xml:space="preserve"> </w:t>
            </w:r>
            <w:r w:rsidR="0018711F">
              <w:t xml:space="preserve">(миелограммы) </w:t>
            </w:r>
            <w:r>
              <w:t>с оценкой костномозгового кроветворения</w:t>
            </w:r>
            <w:r w:rsidR="007E348D">
              <w:t xml:space="preserve">, </w:t>
            </w:r>
            <w:r w:rsidR="00507755">
              <w:t xml:space="preserve"> выполнение п</w:t>
            </w:r>
            <w:r w:rsidR="00507755" w:rsidRPr="00B866ED">
              <w:t>атолого</w:t>
            </w:r>
            <w:r w:rsidR="00507755">
              <w:t>-анатомическое исследования</w:t>
            </w:r>
            <w:r w:rsidR="00507755" w:rsidRPr="00B866ED">
              <w:t xml:space="preserve"> биопсийного (операционного) материала костного мозга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54344E8C" w14:textId="77777777" w:rsidR="00373CF7" w:rsidRPr="00764E6B" w:rsidRDefault="00373CF7" w:rsidP="00373CF7">
            <w:pPr>
              <w:pStyle w:val="afd"/>
              <w:spacing w:line="240" w:lineRule="auto"/>
            </w:pPr>
            <w:r>
              <w:t>5</w:t>
            </w:r>
          </w:p>
        </w:tc>
        <w:tc>
          <w:tcPr>
            <w:tcW w:w="1299" w:type="dxa"/>
            <w:tcBorders>
              <w:top w:val="single" w:sz="6" w:space="0" w:color="000000"/>
              <w:left w:val="single" w:sz="6" w:space="0" w:color="000000"/>
              <w:bottom w:val="single" w:sz="6" w:space="0" w:color="000000"/>
              <w:right w:val="single" w:sz="6" w:space="0" w:color="000000"/>
            </w:tcBorders>
            <w:vAlign w:val="center"/>
            <w:hideMark/>
          </w:tcPr>
          <w:p w14:paraId="75B640CD" w14:textId="77777777" w:rsidR="00373CF7" w:rsidRPr="00764E6B" w:rsidRDefault="00373CF7" w:rsidP="00373CF7">
            <w:pPr>
              <w:pStyle w:val="afd"/>
              <w:spacing w:line="240" w:lineRule="auto"/>
            </w:pPr>
            <w:r>
              <w:t>С</w:t>
            </w:r>
          </w:p>
        </w:tc>
      </w:tr>
      <w:tr w:rsidR="00373CF7" w:rsidRPr="00764E6B" w14:paraId="2B259DC6" w14:textId="77777777" w:rsidTr="00373CF7">
        <w:trPr>
          <w:trHeight w:val="720"/>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3085B876" w14:textId="77777777" w:rsidR="00373CF7" w:rsidRPr="00764E6B" w:rsidRDefault="00373CF7" w:rsidP="00373CF7">
            <w:pPr>
              <w:pStyle w:val="afd"/>
              <w:spacing w:line="240" w:lineRule="auto"/>
            </w:pPr>
            <w:r>
              <w:t>4</w:t>
            </w:r>
            <w:r w:rsidRPr="00764E6B">
              <w:t>.</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1502516C" w14:textId="75517DC0" w:rsidR="00373CF7" w:rsidRPr="00764E6B" w:rsidRDefault="00373CF7" w:rsidP="00373CF7">
            <w:pPr>
              <w:pStyle w:val="afd"/>
              <w:spacing w:line="240" w:lineRule="auto"/>
            </w:pPr>
            <w:r>
              <w:t xml:space="preserve">Пациенту с подозрением на </w:t>
            </w:r>
            <w:r w:rsidR="0007006A">
              <w:t>апластическую анемию</w:t>
            </w:r>
            <w:r>
              <w:t xml:space="preserve"> в</w:t>
            </w:r>
            <w:r w:rsidRPr="00764E6B">
              <w:t>ыполнено</w:t>
            </w:r>
            <w:r w:rsidR="00B866ED">
              <w:t xml:space="preserve"> </w:t>
            </w:r>
            <w:r w:rsidR="00B866ED" w:rsidRPr="00B866ED">
              <w:t>стандартное цитогенетическое исследование (кариотип) клеток КМ</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14FA6BD0" w14:textId="77777777" w:rsidR="00373CF7" w:rsidRPr="00764E6B" w:rsidRDefault="00373CF7" w:rsidP="00373CF7">
            <w:pPr>
              <w:pStyle w:val="afd"/>
              <w:spacing w:line="240" w:lineRule="auto"/>
            </w:pPr>
            <w:r>
              <w:t>2</w:t>
            </w:r>
          </w:p>
        </w:tc>
        <w:tc>
          <w:tcPr>
            <w:tcW w:w="1299" w:type="dxa"/>
            <w:tcBorders>
              <w:top w:val="single" w:sz="6" w:space="0" w:color="000000"/>
              <w:left w:val="single" w:sz="6" w:space="0" w:color="000000"/>
              <w:bottom w:val="single" w:sz="6" w:space="0" w:color="000000"/>
              <w:right w:val="single" w:sz="6" w:space="0" w:color="000000"/>
            </w:tcBorders>
            <w:vAlign w:val="center"/>
            <w:hideMark/>
          </w:tcPr>
          <w:p w14:paraId="6606BA4A" w14:textId="77777777" w:rsidR="00373CF7" w:rsidRPr="00764E6B" w:rsidRDefault="00373CF7" w:rsidP="00373CF7">
            <w:pPr>
              <w:pStyle w:val="afd"/>
              <w:spacing w:line="240" w:lineRule="auto"/>
            </w:pPr>
            <w:r>
              <w:t>В</w:t>
            </w:r>
          </w:p>
        </w:tc>
      </w:tr>
      <w:tr w:rsidR="00373CF7" w:rsidRPr="00764E6B" w14:paraId="46082F80" w14:textId="77777777" w:rsidTr="00373CF7">
        <w:trPr>
          <w:trHeight w:val="525"/>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5D227631" w14:textId="77777777" w:rsidR="00373CF7" w:rsidRPr="00764E6B" w:rsidRDefault="00373CF7" w:rsidP="00373CF7">
            <w:pPr>
              <w:pStyle w:val="afd"/>
              <w:spacing w:line="240" w:lineRule="auto"/>
            </w:pPr>
            <w:r>
              <w:t>5</w:t>
            </w:r>
            <w:r w:rsidRPr="00764E6B">
              <w:t>.</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0E1D17A9" w14:textId="0E54A653" w:rsidR="00373CF7" w:rsidRPr="00764E6B" w:rsidRDefault="00373CF7" w:rsidP="00507755">
            <w:pPr>
              <w:pStyle w:val="afd"/>
              <w:spacing w:line="240" w:lineRule="auto"/>
            </w:pPr>
            <w:r>
              <w:t xml:space="preserve">Пациенту с установленной </w:t>
            </w:r>
            <w:r w:rsidR="0007006A">
              <w:t>апластической анемией</w:t>
            </w:r>
            <w:r>
              <w:t xml:space="preserve">, не кандидату на </w:t>
            </w:r>
            <w:r w:rsidR="0007006A">
              <w:t>трансплантацию костного мозга</w:t>
            </w:r>
            <w:r w:rsidR="000155BF">
              <w:t>,</w:t>
            </w:r>
            <w:r w:rsidR="0007006A">
              <w:t xml:space="preserve"> без противопоказаний </w:t>
            </w:r>
            <w:r w:rsidR="00E36B62">
              <w:t>к</w:t>
            </w:r>
            <w:r w:rsidR="0007006A">
              <w:t xml:space="preserve"> иммуносупрессивной терапии </w:t>
            </w:r>
            <w:r>
              <w:t>п</w:t>
            </w:r>
            <w:r w:rsidR="00507755">
              <w:t>роведено этиотропное лечения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0D216A6A" w14:textId="77777777" w:rsidR="00373CF7" w:rsidRPr="00764E6B" w:rsidRDefault="00373CF7" w:rsidP="00373CF7">
            <w:pPr>
              <w:pStyle w:val="afd"/>
              <w:spacing w:line="240" w:lineRule="auto"/>
            </w:pPr>
            <w:r>
              <w:t>1</w:t>
            </w:r>
          </w:p>
        </w:tc>
        <w:tc>
          <w:tcPr>
            <w:tcW w:w="1299" w:type="dxa"/>
            <w:tcBorders>
              <w:top w:val="single" w:sz="6" w:space="0" w:color="000000"/>
              <w:left w:val="single" w:sz="6" w:space="0" w:color="000000"/>
              <w:bottom w:val="single" w:sz="6" w:space="0" w:color="000000"/>
              <w:right w:val="single" w:sz="6" w:space="0" w:color="000000"/>
            </w:tcBorders>
            <w:vAlign w:val="center"/>
            <w:hideMark/>
          </w:tcPr>
          <w:p w14:paraId="55FC2AF0" w14:textId="77777777" w:rsidR="00373CF7" w:rsidRPr="00764E6B" w:rsidRDefault="00373CF7" w:rsidP="00373CF7">
            <w:pPr>
              <w:pStyle w:val="afd"/>
              <w:spacing w:line="240" w:lineRule="auto"/>
            </w:pPr>
            <w:r w:rsidRPr="00764E6B">
              <w:t>A</w:t>
            </w:r>
          </w:p>
        </w:tc>
      </w:tr>
      <w:tr w:rsidR="00373CF7" w:rsidRPr="00764E6B" w14:paraId="4E5C0702" w14:textId="77777777" w:rsidTr="00373CF7">
        <w:trPr>
          <w:trHeight w:val="525"/>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43131412" w14:textId="77777777" w:rsidR="00373CF7" w:rsidRPr="00764E6B" w:rsidRDefault="00373CF7" w:rsidP="00373CF7">
            <w:pPr>
              <w:pStyle w:val="afd"/>
              <w:spacing w:line="240" w:lineRule="auto"/>
            </w:pPr>
            <w:r>
              <w:t>6</w:t>
            </w:r>
            <w:r w:rsidRPr="00764E6B">
              <w:t>.</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4DF5D6D2" w14:textId="2CB77630" w:rsidR="00373CF7" w:rsidRPr="00764E6B" w:rsidRDefault="0007006A" w:rsidP="00373CF7">
            <w:pPr>
              <w:pStyle w:val="afd"/>
              <w:spacing w:line="240" w:lineRule="auto"/>
            </w:pPr>
            <w:r>
              <w:t xml:space="preserve">Пациенту с установленной апластической анемией </w:t>
            </w:r>
            <w:r w:rsidR="00373CF7">
              <w:t>до начала терапии</w:t>
            </w:r>
            <w:r w:rsidR="007E348D" w:rsidRPr="007E348D">
              <w:t xml:space="preserve"> </w:t>
            </w:r>
            <w:r w:rsidR="007E348D">
              <w:t>выполнено</w:t>
            </w:r>
            <w:r w:rsidR="00373CF7">
              <w:t xml:space="preserve"> </w:t>
            </w:r>
            <w:r w:rsidR="00060959">
              <w:t>м</w:t>
            </w:r>
            <w:r w:rsidR="00060959" w:rsidRPr="00DD3CB3">
              <w:t xml:space="preserve">олекулярно-генетическое исследование гистосовместимости (HLA </w:t>
            </w:r>
            <w:r w:rsidR="00060959">
              <w:t>высок</w:t>
            </w:r>
            <w:r w:rsidR="00060959" w:rsidRPr="00DD3CB3">
              <w:t xml:space="preserve">ого разрешения при помощи секвенирования) для подбора </w:t>
            </w:r>
            <w:r w:rsidR="00060959">
              <w:t xml:space="preserve">родственного </w:t>
            </w:r>
            <w:r w:rsidR="00060959" w:rsidRPr="00DD3CB3">
              <w:t xml:space="preserve">донора костного мозга </w:t>
            </w:r>
            <w:r w:rsidR="00060959">
              <w:t>и</w:t>
            </w:r>
            <w:r w:rsidR="00060959" w:rsidRPr="00874032">
              <w:t xml:space="preserve"> консультаци</w:t>
            </w:r>
            <w:r w:rsidR="00060959">
              <w:t>я</w:t>
            </w:r>
            <w:r w:rsidR="00060959" w:rsidRPr="00874032">
              <w:t xml:space="preserve"> в трансплантационном центре </w:t>
            </w:r>
            <w:r w:rsidR="00060959" w:rsidRPr="00713176">
              <w:t xml:space="preserve">с целью </w:t>
            </w:r>
            <w:r w:rsidR="00060959">
              <w:t>выбора метода лечения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6B3F1FC9" w14:textId="77777777" w:rsidR="00373CF7" w:rsidRPr="00764E6B" w:rsidRDefault="00373CF7" w:rsidP="00373CF7">
            <w:pPr>
              <w:pStyle w:val="afd"/>
              <w:spacing w:line="240" w:lineRule="auto"/>
            </w:pPr>
            <w:r>
              <w:t>5</w:t>
            </w:r>
          </w:p>
        </w:tc>
        <w:tc>
          <w:tcPr>
            <w:tcW w:w="1299" w:type="dxa"/>
            <w:tcBorders>
              <w:top w:val="single" w:sz="6" w:space="0" w:color="000000"/>
              <w:left w:val="single" w:sz="6" w:space="0" w:color="000000"/>
              <w:bottom w:val="single" w:sz="6" w:space="0" w:color="000000"/>
              <w:right w:val="single" w:sz="6" w:space="0" w:color="000000"/>
            </w:tcBorders>
            <w:vAlign w:val="center"/>
            <w:hideMark/>
          </w:tcPr>
          <w:p w14:paraId="6FB358A1" w14:textId="77777777" w:rsidR="00373CF7" w:rsidRPr="00764E6B" w:rsidRDefault="00373CF7" w:rsidP="00373CF7">
            <w:pPr>
              <w:pStyle w:val="afd"/>
              <w:spacing w:line="240" w:lineRule="auto"/>
            </w:pPr>
            <w:r>
              <w:t>С</w:t>
            </w:r>
          </w:p>
        </w:tc>
      </w:tr>
      <w:tr w:rsidR="00373CF7" w:rsidRPr="00764E6B" w14:paraId="0C69F652" w14:textId="77777777" w:rsidTr="00373CF7">
        <w:trPr>
          <w:trHeight w:val="915"/>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3B85AE92" w14:textId="77777777" w:rsidR="00373CF7" w:rsidRPr="00764E6B" w:rsidRDefault="00373CF7" w:rsidP="00373CF7">
            <w:pPr>
              <w:pStyle w:val="afd"/>
              <w:spacing w:line="240" w:lineRule="auto"/>
            </w:pPr>
            <w:r>
              <w:t>7</w:t>
            </w:r>
            <w:r w:rsidRPr="00764E6B">
              <w:t>.</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1286DE86" w14:textId="220386A1" w:rsidR="00373CF7" w:rsidRPr="00764E6B" w:rsidRDefault="00060959" w:rsidP="00373CF7">
            <w:pPr>
              <w:pStyle w:val="afd"/>
              <w:spacing w:line="240" w:lineRule="auto"/>
            </w:pPr>
            <w:r w:rsidRPr="00060959">
              <w:t>Пациент</w:t>
            </w:r>
            <w:r>
              <w:t>у</w:t>
            </w:r>
            <w:r w:rsidRPr="00060959">
              <w:t xml:space="preserve"> с констатированной рефрактерностью к 1-му курсу терапии #АТГ** </w:t>
            </w:r>
            <w:r>
              <w:t xml:space="preserve"> проведена </w:t>
            </w:r>
            <w:r w:rsidRPr="00060959">
              <w:t>консультация в трансплантационном центре с целью оценки возможности проведения трансплантации аллогенных гемопоэтических клеток крови или костного мозга от неродственного или гаплоидентичного донора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5B137918" w14:textId="77777777" w:rsidR="00373CF7" w:rsidRPr="00764E6B" w:rsidRDefault="00373CF7" w:rsidP="00373CF7">
            <w:pPr>
              <w:pStyle w:val="afd"/>
              <w:spacing w:line="240" w:lineRule="auto"/>
            </w:pPr>
            <w:r>
              <w:t>3</w:t>
            </w:r>
          </w:p>
        </w:tc>
        <w:tc>
          <w:tcPr>
            <w:tcW w:w="1299" w:type="dxa"/>
            <w:tcBorders>
              <w:top w:val="single" w:sz="6" w:space="0" w:color="000000"/>
              <w:left w:val="single" w:sz="6" w:space="0" w:color="000000"/>
              <w:bottom w:val="single" w:sz="6" w:space="0" w:color="000000"/>
              <w:right w:val="single" w:sz="6" w:space="0" w:color="000000"/>
            </w:tcBorders>
            <w:vAlign w:val="center"/>
            <w:hideMark/>
          </w:tcPr>
          <w:p w14:paraId="15197353" w14:textId="77777777" w:rsidR="00373CF7" w:rsidRPr="00764E6B" w:rsidRDefault="00373CF7" w:rsidP="00373CF7">
            <w:pPr>
              <w:pStyle w:val="afd"/>
              <w:spacing w:line="240" w:lineRule="auto"/>
            </w:pPr>
            <w:r>
              <w:t>В</w:t>
            </w:r>
          </w:p>
        </w:tc>
      </w:tr>
      <w:tr w:rsidR="00373CF7" w:rsidRPr="00764E6B" w14:paraId="47AD96D4" w14:textId="77777777" w:rsidTr="00373CF7">
        <w:trPr>
          <w:trHeight w:val="915"/>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2317DA11" w14:textId="77777777" w:rsidR="00373CF7" w:rsidRPr="00764E6B" w:rsidRDefault="00373CF7" w:rsidP="00373CF7">
            <w:pPr>
              <w:pStyle w:val="afd"/>
              <w:spacing w:line="240" w:lineRule="auto"/>
            </w:pPr>
            <w:r>
              <w:t>9</w:t>
            </w:r>
            <w:r w:rsidRPr="00764E6B">
              <w:t>.</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65157B9D" w14:textId="6D1592EE" w:rsidR="00373CF7" w:rsidRPr="00764E6B" w:rsidRDefault="0007006A" w:rsidP="00373CF7">
            <w:pPr>
              <w:pStyle w:val="afd"/>
              <w:spacing w:line="240" w:lineRule="auto"/>
            </w:pPr>
            <w:r>
              <w:t>Пациенту с установленной апластической анемией</w:t>
            </w:r>
            <w:r w:rsidR="00373CF7">
              <w:t xml:space="preserve"> п</w:t>
            </w:r>
            <w:r w:rsidR="00373CF7" w:rsidRPr="00764E6B">
              <w:t xml:space="preserve">роведено </w:t>
            </w:r>
            <w:r w:rsidR="00E36B62">
              <w:t>и</w:t>
            </w:r>
            <w:r w:rsidR="00E36B62" w:rsidRPr="00E36B62">
              <w:t>ммунофенотипирование клеток периферической крови для диагностики пароксизмальной ночной гемоглобинурии расширенной панелью маркеров, включая FLAER (флюоресцентно-меченый аэролизин)</w:t>
            </w:r>
            <w:r w:rsidR="00E36B62">
              <w:t xml:space="preserve"> </w:t>
            </w:r>
            <w:r w:rsidR="00373CF7">
              <w:t xml:space="preserve">и </w:t>
            </w:r>
            <w:r w:rsidR="00373CF7" w:rsidRPr="00764E6B">
              <w:t>оценка клинико-лабораторных признаков гемолиза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04343425" w14:textId="77777777" w:rsidR="00373CF7" w:rsidRPr="00764E6B" w:rsidRDefault="00373CF7" w:rsidP="00373CF7">
            <w:pPr>
              <w:pStyle w:val="afd"/>
              <w:spacing w:line="240" w:lineRule="auto"/>
            </w:pPr>
            <w:r>
              <w:t>5</w:t>
            </w:r>
          </w:p>
        </w:tc>
        <w:tc>
          <w:tcPr>
            <w:tcW w:w="1299" w:type="dxa"/>
            <w:tcBorders>
              <w:top w:val="single" w:sz="6" w:space="0" w:color="000000"/>
              <w:left w:val="single" w:sz="6" w:space="0" w:color="000000"/>
              <w:bottom w:val="single" w:sz="6" w:space="0" w:color="000000"/>
              <w:right w:val="single" w:sz="6" w:space="0" w:color="000000"/>
            </w:tcBorders>
            <w:vAlign w:val="center"/>
            <w:hideMark/>
          </w:tcPr>
          <w:p w14:paraId="61C11774" w14:textId="77777777" w:rsidR="00373CF7" w:rsidRPr="00764E6B" w:rsidRDefault="00373CF7" w:rsidP="00373CF7">
            <w:pPr>
              <w:pStyle w:val="afd"/>
              <w:spacing w:line="240" w:lineRule="auto"/>
            </w:pPr>
            <w:r>
              <w:t>С</w:t>
            </w:r>
          </w:p>
        </w:tc>
      </w:tr>
      <w:tr w:rsidR="00373CF7" w:rsidRPr="00764E6B" w14:paraId="7CC4494D" w14:textId="77777777" w:rsidTr="00507755">
        <w:trPr>
          <w:trHeight w:val="679"/>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69802D1D" w14:textId="77777777" w:rsidR="00373CF7" w:rsidRPr="00764E6B" w:rsidRDefault="00373CF7" w:rsidP="00373CF7">
            <w:pPr>
              <w:pStyle w:val="afd"/>
              <w:spacing w:line="240" w:lineRule="auto"/>
            </w:pPr>
            <w:r>
              <w:t>10</w:t>
            </w:r>
            <w:r w:rsidRPr="00764E6B">
              <w:t>.</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754F932A" w14:textId="607D7440" w:rsidR="00373CF7" w:rsidRPr="00764E6B" w:rsidRDefault="0007006A" w:rsidP="00507755">
            <w:pPr>
              <w:pStyle w:val="afd"/>
              <w:spacing w:line="240" w:lineRule="auto"/>
            </w:pPr>
            <w:r>
              <w:t>Пациенту с установленной апластической анемией</w:t>
            </w:r>
            <w:r w:rsidR="00373CF7">
              <w:t xml:space="preserve"> перед очередным этапом лечения в</w:t>
            </w:r>
            <w:r w:rsidR="00373CF7" w:rsidRPr="00764E6B">
              <w:t>ыполнен</w:t>
            </w:r>
            <w:r w:rsidR="0018711F">
              <w:t>ы</w:t>
            </w:r>
            <w:r w:rsidR="00373CF7" w:rsidRPr="00764E6B">
              <w:t xml:space="preserve"> </w:t>
            </w:r>
            <w:r w:rsidR="00B866ED" w:rsidRPr="00B866ED">
              <w:t>цитологическое исследование препарата костного мозга (миелограммы) с оценкой костномозгового кроветворения</w:t>
            </w:r>
            <w:r w:rsidR="00B866ED">
              <w:t xml:space="preserve">; </w:t>
            </w:r>
            <w:r w:rsidR="00B866ED" w:rsidRPr="00B866ED">
              <w:t xml:space="preserve">патолого-анатомическое исследование биопсийного (операционного) </w:t>
            </w:r>
            <w:r w:rsidR="00B866ED" w:rsidRPr="00B866ED">
              <w:lastRenderedPageBreak/>
              <w:t>материала костного мозга стандартное цитогенетическое исследование (кариотип) клеток КМ</w:t>
            </w:r>
            <w:r w:rsidR="00B866ED" w:rsidDel="00B866ED">
              <w:t xml:space="preserve">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08CDA61A" w14:textId="77777777" w:rsidR="00373CF7" w:rsidRPr="00764E6B" w:rsidRDefault="00373CF7" w:rsidP="00373CF7">
            <w:pPr>
              <w:pStyle w:val="afd"/>
              <w:spacing w:line="240" w:lineRule="auto"/>
            </w:pPr>
            <w:r>
              <w:lastRenderedPageBreak/>
              <w:t>5</w:t>
            </w:r>
          </w:p>
        </w:tc>
        <w:tc>
          <w:tcPr>
            <w:tcW w:w="1299" w:type="dxa"/>
            <w:tcBorders>
              <w:top w:val="single" w:sz="6" w:space="0" w:color="000000"/>
              <w:left w:val="single" w:sz="6" w:space="0" w:color="000000"/>
              <w:bottom w:val="single" w:sz="6" w:space="0" w:color="000000"/>
              <w:right w:val="single" w:sz="6" w:space="0" w:color="000000"/>
            </w:tcBorders>
            <w:vAlign w:val="center"/>
            <w:hideMark/>
          </w:tcPr>
          <w:p w14:paraId="5469E007" w14:textId="77777777" w:rsidR="00373CF7" w:rsidRPr="00764E6B" w:rsidRDefault="00373CF7" w:rsidP="00373CF7">
            <w:pPr>
              <w:pStyle w:val="afd"/>
              <w:spacing w:line="240" w:lineRule="auto"/>
            </w:pPr>
            <w:r>
              <w:t>С</w:t>
            </w:r>
          </w:p>
        </w:tc>
      </w:tr>
    </w:tbl>
    <w:p w14:paraId="43E1A535" w14:textId="77777777" w:rsidR="00373CF7" w:rsidRDefault="00373CF7" w:rsidP="00F42A9A">
      <w:pPr>
        <w:rPr>
          <w:rFonts w:eastAsia="Times New Roman"/>
        </w:rPr>
      </w:pPr>
    </w:p>
    <w:p w14:paraId="5A707519" w14:textId="68F54B16" w:rsidR="002C3C32" w:rsidRPr="00BF0587" w:rsidRDefault="00031607" w:rsidP="00BF0587">
      <w:pPr>
        <w:pStyle w:val="11"/>
      </w:pPr>
      <w:bookmarkStart w:id="70" w:name="_Toc67522257"/>
      <w:r w:rsidRPr="00BF0587">
        <w:t>Список литературы</w:t>
      </w:r>
      <w:bookmarkEnd w:id="70"/>
    </w:p>
    <w:p w14:paraId="757A12E8" w14:textId="6B1E801A" w:rsidR="008139EA" w:rsidRPr="008139EA" w:rsidRDefault="003E3EAF" w:rsidP="008139EA">
      <w:pPr>
        <w:widowControl w:val="0"/>
        <w:autoSpaceDE w:val="0"/>
        <w:autoSpaceDN w:val="0"/>
        <w:adjustRightInd w:val="0"/>
        <w:ind w:left="640" w:hanging="640"/>
        <w:rPr>
          <w:rFonts w:cs="Times New Roman"/>
          <w:noProof/>
        </w:rPr>
      </w:pPr>
      <w:r w:rsidRPr="00DC4A7A">
        <w:rPr>
          <w:rFonts w:eastAsia="Times New Roman" w:cs="Times New Roman"/>
          <w:b/>
          <w:szCs w:val="24"/>
        </w:rPr>
        <w:fldChar w:fldCharType="begin" w:fldLock="1"/>
      </w:r>
      <w:r w:rsidRPr="00DC4A7A">
        <w:rPr>
          <w:rFonts w:eastAsia="Times New Roman" w:cs="Times New Roman"/>
          <w:b/>
          <w:szCs w:val="24"/>
          <w:lang w:val="en-US"/>
        </w:rPr>
        <w:instrText>ADDIN</w:instrText>
      </w:r>
      <w:r w:rsidRPr="00FD02E8">
        <w:rPr>
          <w:rFonts w:eastAsia="Times New Roman" w:cs="Times New Roman"/>
          <w:b/>
          <w:szCs w:val="24"/>
          <w:lang w:val="en-US"/>
        </w:rPr>
        <w:instrText xml:space="preserve"> </w:instrText>
      </w:r>
      <w:r w:rsidRPr="00DC4A7A">
        <w:rPr>
          <w:rFonts w:eastAsia="Times New Roman" w:cs="Times New Roman"/>
          <w:b/>
          <w:szCs w:val="24"/>
          <w:lang w:val="en-US"/>
        </w:rPr>
        <w:instrText>Mendeley</w:instrText>
      </w:r>
      <w:r w:rsidRPr="00FD02E8">
        <w:rPr>
          <w:rFonts w:eastAsia="Times New Roman" w:cs="Times New Roman"/>
          <w:b/>
          <w:szCs w:val="24"/>
          <w:lang w:val="en-US"/>
        </w:rPr>
        <w:instrText xml:space="preserve"> </w:instrText>
      </w:r>
      <w:r w:rsidRPr="00DC4A7A">
        <w:rPr>
          <w:rFonts w:eastAsia="Times New Roman" w:cs="Times New Roman"/>
          <w:b/>
          <w:szCs w:val="24"/>
          <w:lang w:val="en-US"/>
        </w:rPr>
        <w:instrText>Bibliography</w:instrText>
      </w:r>
      <w:r w:rsidRPr="00FD02E8">
        <w:rPr>
          <w:rFonts w:eastAsia="Times New Roman" w:cs="Times New Roman"/>
          <w:b/>
          <w:szCs w:val="24"/>
          <w:lang w:val="en-US"/>
        </w:rPr>
        <w:instrText xml:space="preserve"> </w:instrText>
      </w:r>
      <w:r w:rsidRPr="00DC4A7A">
        <w:rPr>
          <w:rFonts w:eastAsia="Times New Roman" w:cs="Times New Roman"/>
          <w:b/>
          <w:szCs w:val="24"/>
          <w:lang w:val="en-US"/>
        </w:rPr>
        <w:instrText>CSL</w:instrText>
      </w:r>
      <w:r w:rsidRPr="00FD02E8">
        <w:rPr>
          <w:rFonts w:eastAsia="Times New Roman" w:cs="Times New Roman"/>
          <w:b/>
          <w:szCs w:val="24"/>
          <w:lang w:val="en-US"/>
        </w:rPr>
        <w:instrText>_</w:instrText>
      </w:r>
      <w:r w:rsidRPr="00DC4A7A">
        <w:rPr>
          <w:rFonts w:eastAsia="Times New Roman" w:cs="Times New Roman"/>
          <w:b/>
          <w:szCs w:val="24"/>
          <w:lang w:val="en-US"/>
        </w:rPr>
        <w:instrText>BIBLIOGRAPHY</w:instrText>
      </w:r>
      <w:r w:rsidRPr="00FD02E8">
        <w:rPr>
          <w:rFonts w:eastAsia="Times New Roman" w:cs="Times New Roman"/>
          <w:b/>
          <w:szCs w:val="24"/>
          <w:lang w:val="en-US"/>
        </w:rPr>
        <w:instrText xml:space="preserve"> </w:instrText>
      </w:r>
      <w:r w:rsidRPr="00DC4A7A">
        <w:rPr>
          <w:rFonts w:eastAsia="Times New Roman" w:cs="Times New Roman"/>
          <w:b/>
          <w:szCs w:val="24"/>
        </w:rPr>
        <w:fldChar w:fldCharType="separate"/>
      </w:r>
      <w:r w:rsidR="008139EA" w:rsidRPr="008139EA">
        <w:rPr>
          <w:rFonts w:cs="Times New Roman"/>
          <w:noProof/>
        </w:rPr>
        <w:t>1.</w:t>
      </w:r>
      <w:r w:rsidR="008139EA" w:rsidRPr="008139EA">
        <w:rPr>
          <w:rFonts w:cs="Times New Roman"/>
          <w:noProof/>
        </w:rPr>
        <w:tab/>
        <w:t>Isidori A. et al. Iron toxicity - Its effect on the bone marrow. // Blood Rev. England, 2018. Vol. 32, № 6. P. 473–479.</w:t>
      </w:r>
    </w:p>
    <w:p w14:paraId="673453BA"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2.</w:t>
      </w:r>
      <w:r w:rsidRPr="008139EA">
        <w:rPr>
          <w:rFonts w:cs="Times New Roman"/>
          <w:noProof/>
        </w:rPr>
        <w:tab/>
        <w:t>Marsh J.C.W., Kulasekararaj A.G. Management of the refractory aplastic anemia patient: what are the options? // Blood. 2013. Vol. 122, № 22. P. 3561–3567.</w:t>
      </w:r>
    </w:p>
    <w:p w14:paraId="5D7CF3BD"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3.</w:t>
      </w:r>
      <w:r w:rsidRPr="008139EA">
        <w:rPr>
          <w:rFonts w:cs="Times New Roman"/>
          <w:noProof/>
        </w:rPr>
        <w:tab/>
        <w:t>Frickhofen N. et al. Antithymocyte globulin with or without cyclosporin A: 11-Year follow-up of a randomized trial comparing treatments of aplastic anemia // Blood. 2003. Vol. 101, № 4. P. 1236–1242.</w:t>
      </w:r>
    </w:p>
    <w:p w14:paraId="1D9F8C74"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4.</w:t>
      </w:r>
      <w:r w:rsidRPr="008139EA">
        <w:rPr>
          <w:rFonts w:cs="Times New Roman"/>
          <w:noProof/>
        </w:rPr>
        <w:tab/>
        <w:t>Kulasekararaj A.G. et al. Somatic mutations identify a subgroup of aplastic anemia patients who progress to myelodysplastic syndrome // Blood. 2014. Vol. 124, № 17. P. 2698–2704.</w:t>
      </w:r>
    </w:p>
    <w:p w14:paraId="0CDBFC1C"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5.</w:t>
      </w:r>
      <w:r w:rsidRPr="008139EA">
        <w:rPr>
          <w:rFonts w:cs="Times New Roman"/>
          <w:noProof/>
        </w:rPr>
        <w:tab/>
        <w:t>Afable M.G., Tiu R. V, Maciejewski J.P. Clonal Evolution in Aplastic Anemia // Hematology. 2011. № 1. P. 90–95.</w:t>
      </w:r>
    </w:p>
    <w:p w14:paraId="6E6379F6"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6.</w:t>
      </w:r>
      <w:r w:rsidRPr="008139EA">
        <w:rPr>
          <w:rFonts w:cs="Times New Roman"/>
          <w:noProof/>
        </w:rPr>
        <w:tab/>
        <w:t>Pu J.J. et al. Natural history of paroxysmal nocturnal hemoglobinuria clones in patients presenting as aplastic anemia // Eur. J. Haematol. 2011. Vol. 87, № 1. P. 37–45.</w:t>
      </w:r>
    </w:p>
    <w:p w14:paraId="794AD09E"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7.</w:t>
      </w:r>
      <w:r w:rsidRPr="008139EA">
        <w:rPr>
          <w:rFonts w:cs="Times New Roman"/>
          <w:noProof/>
        </w:rPr>
        <w:tab/>
        <w:t>Socié G. et al. Paroxysmal nocturnal haemoglobinuria: long-term follow-up and prognostic factors // Lancet. 1996. Vol. 348, № 9027. P. 573–577.</w:t>
      </w:r>
    </w:p>
    <w:p w14:paraId="46324026"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8.</w:t>
      </w:r>
      <w:r w:rsidRPr="008139EA">
        <w:rPr>
          <w:rFonts w:cs="Times New Roman"/>
          <w:noProof/>
        </w:rPr>
        <w:tab/>
        <w:t>Kulagin A. et al. Prognostic value of paroxysmal nocturnal haemoglobinuria clone presence in aplastic anaemia patients treated with combined immunosuppression: Results of two-centre prospective study // Br. J. Haematol. 2014. Vol. 164, № 4. P. 546–554.</w:t>
      </w:r>
    </w:p>
    <w:p w14:paraId="10D3CA4C"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9.</w:t>
      </w:r>
      <w:r w:rsidRPr="008139EA">
        <w:rPr>
          <w:rFonts w:cs="Times New Roman"/>
          <w:noProof/>
        </w:rPr>
        <w:tab/>
        <w:t>Li Y. et al. Long-term follow-up of clonal evolutions in 802 aplastic anemia patients: A single-center experience // Ann. Hematol. 2011. Vol. 90, № 5. P. 529–537.</w:t>
      </w:r>
    </w:p>
    <w:p w14:paraId="28048CF1"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10.</w:t>
      </w:r>
      <w:r w:rsidRPr="008139EA">
        <w:rPr>
          <w:rFonts w:cs="Times New Roman"/>
          <w:noProof/>
        </w:rPr>
        <w:tab/>
        <w:t>Кулагин А.Д., Лисуков И.А., Птушкин В.В., Шилова Е.Р., Цветаева Н.В. М.Е.А. Национальные рекомендации по диагностике и лечениюпроксизмальной ночной гемоглобинурии // Онкогематология. 2014. Vol. 2. P. 20–28.</w:t>
      </w:r>
    </w:p>
    <w:p w14:paraId="519FD064"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11.</w:t>
      </w:r>
      <w:r w:rsidRPr="008139EA">
        <w:rPr>
          <w:rFonts w:cs="Times New Roman"/>
          <w:noProof/>
        </w:rPr>
        <w:tab/>
        <w:t>Kaufman D.W. et al. Relative incidence of agranulocytosis and aplastic anemia // Am. J. Hematol. 2006.</w:t>
      </w:r>
    </w:p>
    <w:p w14:paraId="7B0A7A2B"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12.</w:t>
      </w:r>
      <w:r w:rsidRPr="008139EA">
        <w:rPr>
          <w:rFonts w:cs="Times New Roman"/>
          <w:noProof/>
        </w:rPr>
        <w:tab/>
        <w:t>Михайлова Е.А., Савченко В.Г. Протокол программного лечения больных апластической анемией: комбинированная иммуносупрессивная терапия // Программное лечение заболеваний системы крови / ed. В.Г.Савченко. Москва: Практика, 2012. P. 135–150.</w:t>
      </w:r>
    </w:p>
    <w:p w14:paraId="5BFDCEC3"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13.</w:t>
      </w:r>
      <w:r w:rsidRPr="008139EA">
        <w:rPr>
          <w:rFonts w:cs="Times New Roman"/>
          <w:noProof/>
        </w:rPr>
        <w:tab/>
        <w:t>Killick S.B. et al. Guidelines for the diagnosis and management of adult aplastic anaemia. // Br. J. Haematol. England, 2016. Vol. 172, № 2. P. 187–207.</w:t>
      </w:r>
    </w:p>
    <w:p w14:paraId="32F1F485"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lastRenderedPageBreak/>
        <w:t>14.</w:t>
      </w:r>
      <w:r w:rsidRPr="008139EA">
        <w:rPr>
          <w:rFonts w:cs="Times New Roman"/>
          <w:noProof/>
        </w:rPr>
        <w:tab/>
        <w:t>Dokal I. Dyskeratosis congenita. // Hematology. 2011. Vol. 2011. P. 480–486.</w:t>
      </w:r>
    </w:p>
    <w:p w14:paraId="073E5874"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15.</w:t>
      </w:r>
      <w:r w:rsidRPr="008139EA">
        <w:rPr>
          <w:rFonts w:cs="Times New Roman"/>
          <w:noProof/>
        </w:rPr>
        <w:tab/>
        <w:t>Soulier J. Fanconi anemia. // Hematology Am. Soc. Hematol. Educ. Program. 2011. Vol. 2011. P. 492–497.</w:t>
      </w:r>
    </w:p>
    <w:p w14:paraId="7DD40E36"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16.</w:t>
      </w:r>
      <w:r w:rsidRPr="008139EA">
        <w:rPr>
          <w:rFonts w:cs="Times New Roman"/>
          <w:noProof/>
        </w:rPr>
        <w:tab/>
        <w:t>Camitta B.M. What is the definition of cure for aplastic anemia? // Acta Haematologica. 2000. Vol. 103, № 1. P. 16–18.</w:t>
      </w:r>
    </w:p>
    <w:p w14:paraId="4B323709"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17.</w:t>
      </w:r>
      <w:r w:rsidRPr="008139EA">
        <w:rPr>
          <w:rFonts w:cs="Times New Roman"/>
          <w:noProof/>
        </w:rPr>
        <w:tab/>
        <w:t>Marsh J.C.W. et al. Guidelines for the diagnosis and management of aplastic anaemia // Br. J. Haematol. 2009. Vol. 147, № 1. P. 43–70.</w:t>
      </w:r>
    </w:p>
    <w:p w14:paraId="60763334"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18.</w:t>
      </w:r>
      <w:r w:rsidRPr="008139EA">
        <w:rPr>
          <w:rFonts w:cs="Times New Roman"/>
          <w:noProof/>
        </w:rPr>
        <w:tab/>
        <w:t>Peslak S.A., Olson T., Babushok D. V. Diagnosis and Treatment of Aplastic Anemia // Current Treatment Options in Oncology. Springer New York LLC, 2017. Vol. 18, № 12.</w:t>
      </w:r>
    </w:p>
    <w:p w14:paraId="3197310D"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19.</w:t>
      </w:r>
      <w:r w:rsidRPr="008139EA">
        <w:rPr>
          <w:rFonts w:cs="Times New Roman"/>
          <w:noProof/>
        </w:rPr>
        <w:tab/>
        <w:t>Nielsen P. et al. Iron Stores in Patients with Myelodysplasia and Aplastic Anemia. // Blood. 2006. Vol. 108, № 11. P. 3726–3726.</w:t>
      </w:r>
    </w:p>
    <w:p w14:paraId="10418D6D"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20.</w:t>
      </w:r>
      <w:r w:rsidRPr="008139EA">
        <w:rPr>
          <w:rFonts w:cs="Times New Roman"/>
          <w:noProof/>
        </w:rPr>
        <w:tab/>
        <w:t>Barone A. et al. Diagnosis and management of acquired aplastic anemia in childhood. Guidelines from the Marrow Failure Study Group of the Pediatric Haemato-Oncology Italian Association (AIEOP) // Blood Cells, Mol. Dis. Elsevier B.V., 2015. Vol. 55, № 1. P. 40–47.</w:t>
      </w:r>
    </w:p>
    <w:p w14:paraId="3DDB4FF0"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21.</w:t>
      </w:r>
      <w:r w:rsidRPr="008139EA">
        <w:rPr>
          <w:rFonts w:cs="Times New Roman"/>
          <w:noProof/>
        </w:rPr>
        <w:tab/>
        <w:t>Frisch B., Lewis S.M. The bone marrow in aplastic anaemia: diagnostic and prognostic features // J. Clin. Pathol. 1974. Vol. 27, № 3. P. 231–241.</w:t>
      </w:r>
    </w:p>
    <w:p w14:paraId="21966CA7"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22.</w:t>
      </w:r>
      <w:r w:rsidRPr="008139EA">
        <w:rPr>
          <w:rFonts w:cs="Times New Roman"/>
          <w:noProof/>
        </w:rPr>
        <w:tab/>
        <w:t>Kelsey P. et al. Guidelines for the use of platelet transfusions // Br. J. Haematol. 2003. Vol. 122, № 1. P. 10–23.</w:t>
      </w:r>
    </w:p>
    <w:p w14:paraId="22D2FA91"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23.</w:t>
      </w:r>
      <w:r w:rsidRPr="008139EA">
        <w:rPr>
          <w:rFonts w:cs="Times New Roman"/>
          <w:noProof/>
        </w:rPr>
        <w:tab/>
        <w:t>Maciejewski J.P., Mufti G.J. Whole genome scanning as a cytogenetic tool in hematologic malignancies // Blood. 2008. Vol. 112, № 4. P. 965–974.</w:t>
      </w:r>
    </w:p>
    <w:p w14:paraId="12E3537C"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24.</w:t>
      </w:r>
      <w:r w:rsidRPr="008139EA">
        <w:rPr>
          <w:rFonts w:cs="Times New Roman"/>
          <w:noProof/>
        </w:rPr>
        <w:tab/>
        <w:t>Maciejewski J.P. et al. Distinct clinical outcomes for cytogenetic abnormalities evolving from aplastic anemia // Blood. 2002. Vol. 99, № 9. P. 3129–3135.</w:t>
      </w:r>
    </w:p>
    <w:p w14:paraId="3606887A"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25.</w:t>
      </w:r>
      <w:r w:rsidRPr="008139EA">
        <w:rPr>
          <w:rFonts w:cs="Times New Roman"/>
          <w:noProof/>
        </w:rPr>
        <w:tab/>
        <w:t>Gupta V. et al. Clinical relevance of cytogenetic abnormalities at diagnosis of acquired aplastic anaemia in adults // Br. J. Haematol. 2006. Vol. 134, № 1. P. 95–99.</w:t>
      </w:r>
    </w:p>
    <w:p w14:paraId="33AE6E49"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26.</w:t>
      </w:r>
      <w:r w:rsidRPr="008139EA">
        <w:rPr>
          <w:rFonts w:cs="Times New Roman"/>
          <w:noProof/>
        </w:rPr>
        <w:tab/>
        <w:t>Miano M., Dufour C. The diagnosis and treatment of aplastic anemia: a review // Int. J. Hematol. 2015. Vol. 101, № 6. P. 527–535.</w:t>
      </w:r>
    </w:p>
    <w:p w14:paraId="45C9C8AD"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27.</w:t>
      </w:r>
      <w:r w:rsidRPr="008139EA">
        <w:rPr>
          <w:rFonts w:cs="Times New Roman"/>
          <w:noProof/>
        </w:rPr>
        <w:tab/>
        <w:t>Dumitriu B. et al. Red cells, iron, and erythropoiesis: Telomere attrition and candidate gene mutations preceding monosomy 7 in aplastic anemia // Blood. 2015. Vol. 125, № 4. P. 706–709.</w:t>
      </w:r>
    </w:p>
    <w:p w14:paraId="69246CBD"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28.</w:t>
      </w:r>
      <w:r w:rsidRPr="008139EA">
        <w:rPr>
          <w:rFonts w:cs="Times New Roman"/>
          <w:noProof/>
        </w:rPr>
        <w:tab/>
        <w:t>Jerez A. et al. STAT3 mutations indicate the presence of subclinical T-cell clones in a subset of aplastic anemia and myelodysplastic syndrome patients // Blood. 2013. Vol. 122, № 14. P. 2453–2459.</w:t>
      </w:r>
    </w:p>
    <w:p w14:paraId="356C6AF9"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29.</w:t>
      </w:r>
      <w:r w:rsidRPr="008139EA">
        <w:rPr>
          <w:rFonts w:cs="Times New Roman"/>
          <w:noProof/>
        </w:rPr>
        <w:tab/>
        <w:t xml:space="preserve">Du Y. et al. Observational Monitoring of Patients with Aplastic Anemia and Low/Intermediate-1  Risk of Myelodysplastic Syndromes Complicated with Iron Overload. </w:t>
      </w:r>
      <w:r w:rsidRPr="008139EA">
        <w:rPr>
          <w:rFonts w:cs="Times New Roman"/>
          <w:noProof/>
        </w:rPr>
        <w:lastRenderedPageBreak/>
        <w:t>// Acta Haematol. Switzerland, 2017. Vol. 138, № 2. P. 119–128.</w:t>
      </w:r>
    </w:p>
    <w:p w14:paraId="1B50A3E8"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30.</w:t>
      </w:r>
      <w:r w:rsidRPr="008139EA">
        <w:rPr>
          <w:rFonts w:cs="Times New Roman"/>
          <w:noProof/>
        </w:rPr>
        <w:tab/>
        <w:t>Borowitz M.J. et al. Guidelines for the diagnosis and monitoring of paroxysmal nocturnal hemoglobinuria and related disorders by flow cytometry // Cytom. Part B - Clin. Cytom. Wiley-Liss Inc., 2010. Vol. 78, № 4. P. 211–230.</w:t>
      </w:r>
    </w:p>
    <w:p w14:paraId="7FACBFC3"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31.</w:t>
      </w:r>
      <w:r w:rsidRPr="008139EA">
        <w:rPr>
          <w:rFonts w:cs="Times New Roman"/>
          <w:noProof/>
        </w:rPr>
        <w:tab/>
        <w:t>Ogawa S. Clonal hematopoiesis in acquired aplastic anemia // Blood. 2016. Vol. 128, № 3. P. 337–347.</w:t>
      </w:r>
    </w:p>
    <w:p w14:paraId="21459CCB"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32.</w:t>
      </w:r>
      <w:r w:rsidRPr="008139EA">
        <w:rPr>
          <w:rFonts w:cs="Times New Roman"/>
          <w:noProof/>
        </w:rPr>
        <w:tab/>
        <w:t>Parker C.J. Update on the diagnosis and management of paroxysmal nocturnal hemoglobinuria. // Hematology. United States, 2016. Vol. 2016, № 1. P. 208–216.</w:t>
      </w:r>
    </w:p>
    <w:p w14:paraId="069CE274"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33.</w:t>
      </w:r>
      <w:r w:rsidRPr="008139EA">
        <w:rPr>
          <w:rFonts w:cs="Times New Roman"/>
          <w:noProof/>
        </w:rPr>
        <w:tab/>
        <w:t>Brown K.E. et al. Hepatitis-associated aplastic anemia // N. Engl. J. Med. 1997. Vol. 336, № 15. P. 1059–1064.</w:t>
      </w:r>
    </w:p>
    <w:p w14:paraId="4BA8334A"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34.</w:t>
      </w:r>
      <w:r w:rsidRPr="008139EA">
        <w:rPr>
          <w:rFonts w:cs="Times New Roman"/>
          <w:noProof/>
        </w:rPr>
        <w:tab/>
        <w:t>Alter B.P. Diagnosis, genetics, and management of inherited bone marrow failure syndromes. // Hematology. 2007. P. 29–39.</w:t>
      </w:r>
    </w:p>
    <w:p w14:paraId="0EC46BBD"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35.</w:t>
      </w:r>
      <w:r w:rsidRPr="008139EA">
        <w:rPr>
          <w:rFonts w:cs="Times New Roman"/>
          <w:noProof/>
        </w:rPr>
        <w:tab/>
        <w:t>Scheinberg P. Aplastic anemia: therapeutic updates in immunosuppression and transplantation. // Hematology. 2012. P. 292–300.</w:t>
      </w:r>
    </w:p>
    <w:p w14:paraId="2065DA93"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36.</w:t>
      </w:r>
      <w:r w:rsidRPr="008139EA">
        <w:rPr>
          <w:rFonts w:cs="Times New Roman"/>
          <w:noProof/>
        </w:rPr>
        <w:tab/>
        <w:t>Townsley D.M., Winkler T. Nontransplant therapy for bone marrow failure // ASH Educ. Progr. B. 2016. Vol. 2016, № 1. P. 83–89.</w:t>
      </w:r>
    </w:p>
    <w:p w14:paraId="7E7EF39E"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37.</w:t>
      </w:r>
      <w:r w:rsidRPr="008139EA">
        <w:rPr>
          <w:rFonts w:cs="Times New Roman"/>
          <w:noProof/>
        </w:rPr>
        <w:tab/>
        <w:t>Desmond R. et al. Eltrombopag restores trilineage hematopoiesis in refractory severe aplastic anemia that can be sustained on discontinuation of drug // Blood. 2014. Vol. 123, № 12. P. 1818–1825.</w:t>
      </w:r>
    </w:p>
    <w:p w14:paraId="6754F9C5"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38.</w:t>
      </w:r>
      <w:r w:rsidRPr="008139EA">
        <w:rPr>
          <w:rFonts w:cs="Times New Roman"/>
          <w:noProof/>
        </w:rPr>
        <w:tab/>
        <w:t>Desmond R. et al. Eltrombopag in Aplastic Anemia // Seminars in Hematology. 2015. Vol. 52, № 1. P. 31–37.</w:t>
      </w:r>
    </w:p>
    <w:p w14:paraId="41FEE0B2"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39.</w:t>
      </w:r>
      <w:r w:rsidRPr="008139EA">
        <w:rPr>
          <w:rFonts w:cs="Times New Roman"/>
          <w:noProof/>
        </w:rPr>
        <w:tab/>
        <w:t>Fattizzo B. et al. Iron mobilization in a real life cohort of aplastic anemia patients treated with  eltrombopag. // American journal of hematology. United States, 2019.</w:t>
      </w:r>
    </w:p>
    <w:p w14:paraId="69FED63E"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40.</w:t>
      </w:r>
      <w:r w:rsidRPr="008139EA">
        <w:rPr>
          <w:rFonts w:cs="Times New Roman"/>
          <w:noProof/>
        </w:rPr>
        <w:tab/>
        <w:t>Lee J.W. et al. Iron chelation therapy with deferasirox in patients with aplastic anemia: A subgroup analysis of 116 patients from the EPIC trial // Blood. 2010. Vol. 116, № 14. P. 2448–2454.</w:t>
      </w:r>
    </w:p>
    <w:p w14:paraId="706DF099"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41.</w:t>
      </w:r>
      <w:r w:rsidRPr="008139EA">
        <w:rPr>
          <w:rFonts w:cs="Times New Roman"/>
          <w:noProof/>
        </w:rPr>
        <w:tab/>
        <w:t>Bacigalupo A. et al. Treatment of acquired severe aplastic anemia: Bone marrow transplantation compared with immunosuppressive therapy - The European Group for blood and marrow transplantation experience // Semin. Hematol. 2000. Vol. 37, № 1. P. 69–80.</w:t>
      </w:r>
    </w:p>
    <w:p w14:paraId="44B402E3"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42.</w:t>
      </w:r>
      <w:r w:rsidRPr="008139EA">
        <w:rPr>
          <w:rFonts w:cs="Times New Roman"/>
          <w:noProof/>
        </w:rPr>
        <w:tab/>
        <w:t>Bacigalupo A. et al. Long‐term follow‐up of severe aplastic anaemia patients treated with antithymocyte globulin // Br. J. Haematol. 1989. Vol. 73, № 1. P. 121–126.</w:t>
      </w:r>
    </w:p>
    <w:p w14:paraId="48DF881F"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43.</w:t>
      </w:r>
      <w:r w:rsidRPr="008139EA">
        <w:rPr>
          <w:rFonts w:cs="Times New Roman"/>
          <w:noProof/>
        </w:rPr>
        <w:tab/>
        <w:t>Rosenfeld S. et al. Antithymocyte Globulin and Cyclosporine for Severe Aplastic Anemia: Association between Hematologic Response and Long-term Outcome // J. Am. Med. Assoc. 2003. Vol. 289, № 9. P. 1130–1135.</w:t>
      </w:r>
    </w:p>
    <w:p w14:paraId="4275D5F1"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44.</w:t>
      </w:r>
      <w:r w:rsidRPr="008139EA">
        <w:rPr>
          <w:rFonts w:cs="Times New Roman"/>
          <w:noProof/>
        </w:rPr>
        <w:tab/>
        <w:t xml:space="preserve">Михайлова Е.А., Фидарова З.Т., Устинова Е.Н., Троицкая В.В., Гальцева И.В., </w:t>
      </w:r>
      <w:r w:rsidRPr="008139EA">
        <w:rPr>
          <w:rFonts w:cs="Times New Roman"/>
          <w:noProof/>
        </w:rPr>
        <w:lastRenderedPageBreak/>
        <w:t>Шитарева И.В.  и др. Комбинированная иммуносупрессивная теарпия у больных апластической анемией: эффективность повторных курсов. // Гематология и трансфузиология. 2014. Vol. 59, № 4. P. 11–18.</w:t>
      </w:r>
    </w:p>
    <w:p w14:paraId="3D9D5FBC"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45.</w:t>
      </w:r>
      <w:r w:rsidRPr="008139EA">
        <w:rPr>
          <w:rFonts w:cs="Times New Roman"/>
          <w:noProof/>
        </w:rPr>
        <w:tab/>
        <w:t>Scheinberg P. et al. Predicting response to immunosuppressive therapy and survival in severe aplastic anaemia // Br. J. Haematol. 2009. Vol. 144, № 2. P. 206–216.</w:t>
      </w:r>
    </w:p>
    <w:p w14:paraId="596E7953"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46.</w:t>
      </w:r>
      <w:r w:rsidRPr="008139EA">
        <w:rPr>
          <w:rFonts w:cs="Times New Roman"/>
          <w:noProof/>
        </w:rPr>
        <w:tab/>
        <w:t>Marchiò C., Dowsett M., Reis-Filho J.S. Revisiting the technical validation of tumour biomarker assays: How to open a Pandora’s box // BMC Med. 2011. Vol. 9.</w:t>
      </w:r>
    </w:p>
    <w:p w14:paraId="7E3150AC"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47.</w:t>
      </w:r>
      <w:r w:rsidRPr="008139EA">
        <w:rPr>
          <w:rFonts w:cs="Times New Roman"/>
          <w:noProof/>
        </w:rPr>
        <w:tab/>
        <w:t>Bacigalupo A. et al. Bone marrow transplantation (BMT) versus immunosuppression for the treatment of severe aplastic anaemia (SAA): A report of the EBMT SAA Working Party // Br. J. Haematol. 1988. Vol. 70, № 2. P. 177–182.</w:t>
      </w:r>
    </w:p>
    <w:p w14:paraId="44F0C96D"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48.</w:t>
      </w:r>
      <w:r w:rsidRPr="008139EA">
        <w:rPr>
          <w:rFonts w:cs="Times New Roman"/>
          <w:noProof/>
        </w:rPr>
        <w:tab/>
        <w:t>Scheinberg P. et al. Horse antithymocyte globulin as salvage therapy after rabbit antithymocyte globulin for severe aplastic anemia // Am. J. Hematol. 2014. Vol. 89, № 5. P. 467–469.</w:t>
      </w:r>
    </w:p>
    <w:p w14:paraId="646C26A6"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49.</w:t>
      </w:r>
      <w:r w:rsidRPr="008139EA">
        <w:rPr>
          <w:rFonts w:cs="Times New Roman"/>
          <w:noProof/>
        </w:rPr>
        <w:tab/>
        <w:t>Peffault de Latour R. et al. Nationwide survey on the use of horse antithymocyte globulins (ATGAM) in patients with acquired aplastic anemia: A report on behalf of the French Reference Center for Aplastic Anemia. // Am. J. Hematol. United States, 2018. Vol. 93, № 5. P. 635–642.</w:t>
      </w:r>
    </w:p>
    <w:p w14:paraId="24139628"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50.</w:t>
      </w:r>
      <w:r w:rsidRPr="008139EA">
        <w:rPr>
          <w:rFonts w:cs="Times New Roman"/>
          <w:noProof/>
        </w:rPr>
        <w:tab/>
        <w:t>Bacigalupo A. How I treat acquired aplastic anemia // Blood. 2017. Vol. 129, № 11. P. 1428–1436.</w:t>
      </w:r>
    </w:p>
    <w:p w14:paraId="1E744CEF"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51.</w:t>
      </w:r>
      <w:r w:rsidRPr="008139EA">
        <w:rPr>
          <w:rFonts w:cs="Times New Roman"/>
          <w:noProof/>
        </w:rPr>
        <w:tab/>
        <w:t>Scheinberg P., Young N.S. How I treat acquired aplastic anemia. // Blood. 2012. Vol. 120, № 6. P. 1185–1196.</w:t>
      </w:r>
    </w:p>
    <w:p w14:paraId="6EB81C7A"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52.</w:t>
      </w:r>
      <w:r w:rsidRPr="008139EA">
        <w:rPr>
          <w:rFonts w:cs="Times New Roman"/>
          <w:noProof/>
        </w:rPr>
        <w:tab/>
        <w:t>Scheinberg P. et al. Horse versus rabbit antithymocyte globulin in acquired aplastic anemia // N. Engl. J. Med. 2011. Vol. 365, № 5. P. 430–438.</w:t>
      </w:r>
    </w:p>
    <w:p w14:paraId="2829623E"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53.</w:t>
      </w:r>
      <w:r w:rsidRPr="008139EA">
        <w:rPr>
          <w:rFonts w:cs="Times New Roman"/>
          <w:noProof/>
        </w:rPr>
        <w:tab/>
        <w:t>Valdez J.M.J.M. et al. Decreased infection-related mortality and improved survival in severe aplastic anemia in the past two decades. // Clin. Infect. Dis. 2011. Vol. 52, № 6. P. 726–735.</w:t>
      </w:r>
    </w:p>
    <w:p w14:paraId="56AAA9FB"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54.</w:t>
      </w:r>
      <w:r w:rsidRPr="008139EA">
        <w:rPr>
          <w:rFonts w:cs="Times New Roman"/>
          <w:noProof/>
        </w:rPr>
        <w:tab/>
        <w:t>Gafter-Gvili A. et al. ATG plus cyclosporine reduces all-cause mortality in patients with severe aplastic anemia--systematic review and meta-analysis. // Acta Haematol. 2008. Vol. 120, № 4. P. 237–243.</w:t>
      </w:r>
    </w:p>
    <w:p w14:paraId="6C47EAA2"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55.</w:t>
      </w:r>
      <w:r w:rsidRPr="008139EA">
        <w:rPr>
          <w:rFonts w:cs="Times New Roman"/>
          <w:noProof/>
        </w:rPr>
        <w:tab/>
        <w:t>Hong Y. et al. Efficacy and Safety of Eltrombopag for Aplastic Anemia: A Systematic Review and Meta-analysis. // Clin. Drug Investig. 2019. Vol. 39, № 2. P. 141–156.</w:t>
      </w:r>
    </w:p>
    <w:p w14:paraId="1E012AA3"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56.</w:t>
      </w:r>
      <w:r w:rsidRPr="008139EA">
        <w:rPr>
          <w:rFonts w:cs="Times New Roman"/>
          <w:noProof/>
        </w:rPr>
        <w:tab/>
        <w:t>Olnes M.J. et al. Eltrombopag and improved hematopoiesis in refractory aplastic anemia. // N. Engl. J. Med. 2012. Vol. 367, № 1. P. 11–19.</w:t>
      </w:r>
    </w:p>
    <w:p w14:paraId="2DCD6457"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57.</w:t>
      </w:r>
      <w:r w:rsidRPr="008139EA">
        <w:rPr>
          <w:rFonts w:cs="Times New Roman"/>
          <w:noProof/>
        </w:rPr>
        <w:tab/>
        <w:t xml:space="preserve">Михайлова Е.А. et al. Комбинированная иммуносупрессивная терапия больных апластической анемией: повторные курсы антитимоцитарного глобулина // </w:t>
      </w:r>
      <w:r w:rsidRPr="008139EA">
        <w:rPr>
          <w:rFonts w:cs="Times New Roman"/>
          <w:noProof/>
        </w:rPr>
        <w:lastRenderedPageBreak/>
        <w:t>ГЕМАТОЛОГИЯ И ТРАНСФУЗИОЛОГИЯ. 2014. Vol. 59, № 4. P. 11–18.</w:t>
      </w:r>
    </w:p>
    <w:p w14:paraId="3B8F2F21"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58.</w:t>
      </w:r>
      <w:r w:rsidRPr="008139EA">
        <w:rPr>
          <w:rFonts w:cs="Times New Roman"/>
          <w:noProof/>
        </w:rPr>
        <w:tab/>
        <w:t>Horan J. et al. Evaluation of HLA matching in unrelated hematopoietic stem cell transplantation for nonmalignant disorders // Blood. 2012. Vol. 120, № 14. P. 2918–2924.</w:t>
      </w:r>
    </w:p>
    <w:p w14:paraId="7F0FD070"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59.</w:t>
      </w:r>
      <w:r w:rsidRPr="008139EA">
        <w:rPr>
          <w:rFonts w:cs="Times New Roman"/>
          <w:noProof/>
        </w:rPr>
        <w:tab/>
        <w:t>Narum S., Westergren T., Klemp M. Corticosteroids and risk of gastrointestinal bleeding: A systematic review and meta-analysis // BMJ Open. BMJ Publishing Group, 2014. Vol. 4, № 5.</w:t>
      </w:r>
    </w:p>
    <w:p w14:paraId="1CBC5585"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60.</w:t>
      </w:r>
      <w:r w:rsidRPr="008139EA">
        <w:rPr>
          <w:rFonts w:cs="Times New Roman"/>
          <w:noProof/>
        </w:rPr>
        <w:tab/>
        <w:t>Conn H.O., Poynard T. Corticosteroids and peptic ulcer: meta-analysis of adverse events during steroid therapy. // J. Intern. Med. J Intern Med, 1994. Vol. 236, № 6. P. 619–632.</w:t>
      </w:r>
    </w:p>
    <w:p w14:paraId="00299A79"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61.</w:t>
      </w:r>
      <w:r w:rsidRPr="008139EA">
        <w:rPr>
          <w:rFonts w:cs="Times New Roman"/>
          <w:noProof/>
        </w:rPr>
        <w:tab/>
        <w:t>Burget D.W., Chiverton S.G., Hunt R.H. Is there an optimal degree of acid suppression for healing of duodenal ulcers? A model of the relationship between ulcer healing and acid suppression // Gastroenterology. Gastroenterology, 1990. Vol. 99, № 2. P. 345–351.</w:t>
      </w:r>
    </w:p>
    <w:p w14:paraId="5717CE8D"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62.</w:t>
      </w:r>
      <w:r w:rsidRPr="008139EA">
        <w:rPr>
          <w:rFonts w:cs="Times New Roman"/>
          <w:noProof/>
        </w:rPr>
        <w:tab/>
        <w:t>Ивашкин В.Т. et al. 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 // Российский журнал гастроэнтерологии, гепатологии, колопроктологии. 2020. Vol. 30, № 1. P. 49–70.</w:t>
      </w:r>
    </w:p>
    <w:p w14:paraId="475BD2B6"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63.</w:t>
      </w:r>
      <w:r w:rsidRPr="008139EA">
        <w:rPr>
          <w:rFonts w:cs="Times New Roman"/>
          <w:noProof/>
        </w:rPr>
        <w:tab/>
        <w:t>Scally B. et al. Effects of gastroprotectant drugs for the prevention and treatment of peptic ulcer disease and its complications: a meta-analysis of randomised trials // Lancet Gastroenterol. Hepatol. Elsevier Ltd, 2018. Vol. 3, № 4. P. 231–241.</w:t>
      </w:r>
    </w:p>
    <w:p w14:paraId="28AF7007"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64.</w:t>
      </w:r>
      <w:r w:rsidRPr="008139EA">
        <w:rPr>
          <w:rFonts w:cs="Times New Roman"/>
          <w:noProof/>
        </w:rPr>
        <w:tab/>
        <w:t>Hu Z.-H. et al. Efficacy of proton pump inhibitors for patients with duodenal ulcers: A pairwise and network meta-analysis of randomized controlled trials // Saudi J. Gastroenterol. Medknow Publications, 2017. Vol. 23, № 1. P. 11.</w:t>
      </w:r>
    </w:p>
    <w:p w14:paraId="6D698333"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65.</w:t>
      </w:r>
      <w:r w:rsidRPr="008139EA">
        <w:rPr>
          <w:rFonts w:cs="Times New Roman"/>
          <w:noProof/>
        </w:rPr>
        <w:tab/>
        <w:t>Poynard T., Lemaire M., Agostini H. Meta-analysis of randomized clinical trials comparing lansoprazole with ranitidine or famotidine in the treatment of acute duodenal ulcer // Eur. J. Gastroenterol. Hepatol. 1995. Vol. 7, № 7. P. 661–665.</w:t>
      </w:r>
    </w:p>
    <w:p w14:paraId="03DB2063"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66.</w:t>
      </w:r>
      <w:r w:rsidRPr="008139EA">
        <w:rPr>
          <w:rFonts w:cs="Times New Roman"/>
          <w:noProof/>
        </w:rPr>
        <w:tab/>
        <w:t>Пантелеев М.А. et al. Практическая коагулология. 2010. 192 p.</w:t>
      </w:r>
    </w:p>
    <w:p w14:paraId="087615F7"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67.</w:t>
      </w:r>
      <w:r w:rsidRPr="008139EA">
        <w:rPr>
          <w:rFonts w:cs="Times New Roman"/>
          <w:noProof/>
        </w:rPr>
        <w:tab/>
        <w:t>Hayward C.P.M. How I investigate for bleeding disorders // International Journal of Laboratory Hematology. Blackwell Publishing Ltd, 2018. Vol. 40. P. 6–14.</w:t>
      </w:r>
    </w:p>
    <w:p w14:paraId="35354759"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68.</w:t>
      </w:r>
      <w:r w:rsidRPr="008139EA">
        <w:rPr>
          <w:rFonts w:cs="Times New Roman"/>
          <w:noProof/>
        </w:rPr>
        <w:tab/>
        <w:t>Falanga A., Rickles F.R. Management of Thrombohemorrhagic Syndromes (THS) in hematologic malignancies. // Hematology Am. Soc. Hematol. Educ. Program. Hematology Am Soc Hematol Educ Program, 2007. P. 165–171.</w:t>
      </w:r>
    </w:p>
    <w:p w14:paraId="57FEF806"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69.</w:t>
      </w:r>
      <w:r w:rsidRPr="008139EA">
        <w:rPr>
          <w:rFonts w:cs="Times New Roman"/>
          <w:noProof/>
        </w:rPr>
        <w:tab/>
        <w:t>Мамонов В.Е. Неотложная нейрохирургия внутричерепных кровоизлияний у пациентов гематологического стационара // Гематология и трансфузиология. 2020. Vol. 65, № S1. P. 174–175.</w:t>
      </w:r>
    </w:p>
    <w:p w14:paraId="6B7DDE16"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70.</w:t>
      </w:r>
      <w:r w:rsidRPr="008139EA">
        <w:rPr>
          <w:rFonts w:cs="Times New Roman"/>
          <w:noProof/>
        </w:rPr>
        <w:tab/>
        <w:t xml:space="preserve">Чернуха Г.Е. Аномальные маточные кровотечения репродуктивного периода // </w:t>
      </w:r>
      <w:r w:rsidRPr="008139EA">
        <w:rPr>
          <w:rFonts w:cs="Times New Roman"/>
          <w:noProof/>
        </w:rPr>
        <w:lastRenderedPageBreak/>
        <w:t>Гинекология: национальное руководство. Краткое издание. Под ред. Г.М. Савельевой. Г.Т. Сухих, В.Н. Серова, В.Е. Радзинского, И.Б. Манухина. М.: ГЭОТАР-Медиа, 2020. P. 170–175.</w:t>
      </w:r>
    </w:p>
    <w:p w14:paraId="56BDDF03"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71.</w:t>
      </w:r>
      <w:r w:rsidRPr="008139EA">
        <w:rPr>
          <w:rFonts w:cs="Times New Roman"/>
          <w:noProof/>
        </w:rPr>
        <w:tab/>
        <w:t>Доброхотова Ю.Э. et al. Аномальные маточные кровотечения: алгоритмы ведения, методы терапии // РМЖ. Мать и дитя. 2020. Vol. 3, № 1. P. 55–60.</w:t>
      </w:r>
    </w:p>
    <w:p w14:paraId="4D215B05"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72.</w:t>
      </w:r>
      <w:r w:rsidRPr="008139EA">
        <w:rPr>
          <w:rFonts w:cs="Times New Roman"/>
          <w:noProof/>
        </w:rPr>
        <w:tab/>
        <w:t>Охмат В.А. et al. Спектр и этиология инфекционных осложнений у больных острыми миелоидными лейкозами на этапах индукции и консолидации ремиссии // Гематология и трансфузиология. 2017. Vol. 62, № 1. P. 9–15.</w:t>
      </w:r>
    </w:p>
    <w:p w14:paraId="13AD9BFF"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73.</w:t>
      </w:r>
      <w:r w:rsidRPr="008139EA">
        <w:rPr>
          <w:rFonts w:cs="Times New Roman"/>
          <w:noProof/>
        </w:rPr>
        <w:tab/>
        <w:t>Охмат В.А. et al. Инфекционные осложнения у взрослых больных острыми лимфобластными лейкозами на разных этапах химиотерапии по протоколу ОЛЛ-2009. // Онкогематология. 2017. Vol. 12, № 3. P. 31–40.</w:t>
      </w:r>
    </w:p>
    <w:p w14:paraId="06463C90"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74.</w:t>
      </w:r>
      <w:r w:rsidRPr="008139EA">
        <w:rPr>
          <w:rFonts w:cs="Times New Roman"/>
          <w:noProof/>
        </w:rPr>
        <w:tab/>
        <w:t>Клясова Г.А. et al. Возбудители сепсиса у иммунокомпрометированных больных: структура и проблемы антибиотикорезистентности (результаты многоцентрового исследования) // Гематология и трансфузиология. 2007. Vol. 52, № 1. P. 11–18.</w:t>
      </w:r>
    </w:p>
    <w:p w14:paraId="4F8E1942"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75.</w:t>
      </w:r>
      <w:r w:rsidRPr="008139EA">
        <w:rPr>
          <w:rFonts w:cs="Times New Roman"/>
          <w:noProof/>
        </w:rPr>
        <w:tab/>
        <w:t>Клясова Г.А., Охмат В.А. Антимикробная терапия // Алгоритмы диагностики и протоколы лечения заболеваний системы крови. Под редакцией Савченко В.Г. Москва: Практика, 2018. P. 1067–1114.</w:t>
      </w:r>
    </w:p>
    <w:p w14:paraId="196BD49E"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76.</w:t>
      </w:r>
      <w:r w:rsidRPr="008139EA">
        <w:rPr>
          <w:rFonts w:cs="Times New Roman"/>
          <w:noProof/>
        </w:rPr>
        <w:tab/>
        <w:t>Maertens J. et al. European guidelines for antifungal management in leukemia and hematopoietic stem cell transplant recipients: Summary of the ECIL 32009 update // Bone Marrow Transplant. Nature Publishing Group, 2011. Vol. 46, № 5. P. 709–718.</w:t>
      </w:r>
    </w:p>
    <w:p w14:paraId="58C86A7E"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77.</w:t>
      </w:r>
      <w:r w:rsidRPr="008139EA">
        <w:rPr>
          <w:rFonts w:cs="Times New Roman"/>
          <w:noProof/>
        </w:rPr>
        <w:tab/>
        <w:t>Kollef M.H. et al. Ceftolozane–tazobactam versus meropenem for treatment of nosocomial pneumonia (ASPECT-NP): a randomised, controlled, double-blind, phase 3, non-inferiority trial // Lancet Infect. Dis. Lancet Publishing Group, 2019. Vol. 19, № 12. P. 1299–1311.</w:t>
      </w:r>
    </w:p>
    <w:p w14:paraId="1BAA4D5A"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78.</w:t>
      </w:r>
      <w:r w:rsidRPr="008139EA">
        <w:rPr>
          <w:rFonts w:cs="Times New Roman"/>
          <w:noProof/>
        </w:rPr>
        <w:tab/>
        <w:t>Averbuch D. et al. Targeted therapy against multi-resistant bacteria in leukemic and hematopoietic stem cell transplant recipients: Guidelines of the 4th European conference on Infections in Leukemia (ECIL-4, 2011) // Haematologica. Ferrata Storti Foundation, 2013. Vol. 98, № 12. P. 1836–1847.</w:t>
      </w:r>
    </w:p>
    <w:p w14:paraId="6F66268C"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79.</w:t>
      </w:r>
      <w:r w:rsidRPr="008139EA">
        <w:rPr>
          <w:rFonts w:cs="Times New Roman"/>
          <w:noProof/>
        </w:rPr>
        <w:tab/>
        <w:t>Debast S.B. et al. European society of clinical microbiology and infectious diseases: Update of the treatment guidance document for Clostridium difficile infection // Clin. Microbiol. Infect. Blackwell Publishing Ltd, 2014. Vol. 20, № S2. P. 1–26.</w:t>
      </w:r>
    </w:p>
    <w:p w14:paraId="3CE1B32F"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80.</w:t>
      </w:r>
      <w:r w:rsidRPr="008139EA">
        <w:rPr>
          <w:rFonts w:cs="Times New Roman"/>
          <w:noProof/>
        </w:rPr>
        <w:tab/>
        <w:t>Arendrup M.C. et al. ESCMID and ECMM joint clinical guidelines for the diagnosis and management of rare invasive yeast infections // Clin. Microbiol. Infect. Blackwell Publishing Ltd, 2014. Vol. 20, № S3. P. 76–98.</w:t>
      </w:r>
    </w:p>
    <w:p w14:paraId="39A3E253"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81.</w:t>
      </w:r>
      <w:r w:rsidRPr="008139EA">
        <w:rPr>
          <w:rFonts w:cs="Times New Roman"/>
          <w:noProof/>
        </w:rPr>
        <w:tab/>
        <w:t xml:space="preserve">Tissot F. et al. ECIL-6 guidelines for the treatment of invasive candidiasis, aspergillosis and mucormycosis in leukemia and hematopoietic stem cell transplant patients // </w:t>
      </w:r>
      <w:r w:rsidRPr="008139EA">
        <w:rPr>
          <w:rFonts w:cs="Times New Roman"/>
          <w:noProof/>
        </w:rPr>
        <w:lastRenderedPageBreak/>
        <w:t>Haematologica. Ferrata Storti Foundation, 2017. Vol. 102, № 3. P. 433–444.</w:t>
      </w:r>
    </w:p>
    <w:p w14:paraId="5F2E523B"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82.</w:t>
      </w:r>
      <w:r w:rsidRPr="008139EA">
        <w:rPr>
          <w:rFonts w:cs="Times New Roman"/>
          <w:noProof/>
        </w:rPr>
        <w:tab/>
        <w:t>Мальчикова А.О., Клясова Г.А. Формирование биопленок у изолятов Candida spp, выделенных из гемокультуры от больных с опухолями системы крови // Клиническая микробиология и антимикробная химиотерапия. 2018. Vol. 20, № 2. P. 126–130.</w:t>
      </w:r>
    </w:p>
    <w:p w14:paraId="0F159799"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83.</w:t>
      </w:r>
      <w:r w:rsidRPr="008139EA">
        <w:rPr>
          <w:rFonts w:cs="Times New Roman"/>
          <w:noProof/>
        </w:rPr>
        <w:tab/>
        <w:t>Ullmann A.J. et al. Diagnosis and management of Aspergillus diseases: executive summary of the 2017 ESCMID-ECMM-ERS guideline // Clin. Microbiol. Infect. Elsevier B.V., 2018. Vol. 24. P. e1–e38.</w:t>
      </w:r>
    </w:p>
    <w:p w14:paraId="4A658D37"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84.</w:t>
      </w:r>
      <w:r w:rsidRPr="008139EA">
        <w:rPr>
          <w:rFonts w:cs="Times New Roman"/>
          <w:noProof/>
        </w:rPr>
        <w:tab/>
        <w:t>Cornely O.A. et al. Global guideline for the diagnosis and management of mucormycosis: an initiative of the European Confederation of Medical Mycology in cooperation with the Mycoses Study Group Education and Research Consortium // The Lancet Infectious Diseases. Lancet Publishing Group, 2019. Vol. 19, № 12. P. e405–e421.</w:t>
      </w:r>
    </w:p>
    <w:p w14:paraId="34E75F82"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85.</w:t>
      </w:r>
      <w:r w:rsidRPr="008139EA">
        <w:rPr>
          <w:rFonts w:cs="Times New Roman"/>
          <w:noProof/>
        </w:rPr>
        <w:tab/>
        <w:t>Tortorano A.M. et al. ESCMID and ECMM joint guidelines on diagnosis and management of hyalohyphomycosis: Fusarium spp., Scedosporium spp. and others // Clin. Microbiol. Infect. Blackwell Publishing Ltd, 2014. Vol. 20, № S3. P. 27–46.</w:t>
      </w:r>
    </w:p>
    <w:p w14:paraId="2B47C09D"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86.</w:t>
      </w:r>
      <w:r w:rsidRPr="008139EA">
        <w:rPr>
          <w:rFonts w:cs="Times New Roman"/>
          <w:noProof/>
        </w:rPr>
        <w:tab/>
        <w:t>Maschmeyer G. et al. ECIL guidelines for treatment of Pneumocystis jirovecii pneumonia in non-HIV-infected haematology patients // J. Antimicrob. Chemother. J Antimicrob Chemother, 2016. Vol. 71, № 9. P. 2405–2413.</w:t>
      </w:r>
    </w:p>
    <w:p w14:paraId="7AB51E53"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87.</w:t>
      </w:r>
      <w:r w:rsidRPr="008139EA">
        <w:rPr>
          <w:rFonts w:cs="Times New Roman"/>
          <w:noProof/>
        </w:rPr>
        <w:tab/>
        <w:t>Styczynski J. et al. Management of HSV, VZV and EBV infections in patients with hematological malignancies and after SCT: Guidelines from the Second European Conference on Infections in Leukemia // Bone Marrow Transplant. Bone Marrow Transplant, 2009. Vol. 43, № 10. P. 757–770.</w:t>
      </w:r>
    </w:p>
    <w:p w14:paraId="11594772"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88.</w:t>
      </w:r>
      <w:r w:rsidRPr="008139EA">
        <w:rPr>
          <w:rFonts w:cs="Times New Roman"/>
          <w:noProof/>
        </w:rPr>
        <w:tab/>
        <w:t>Ljungman P. et al. Management of CMV, HHV-6, HHV-7 and Kaposi-sarcoma herpesvirus (HHV-8) infections in patients with hematological malignancies and after SCT // Bone Marrow Transplant. Bone Marrow Transplant, 2008. Vol. 42, № 4. P. 227–240.</w:t>
      </w:r>
    </w:p>
    <w:p w14:paraId="2916AC78"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89.</w:t>
      </w:r>
      <w:r w:rsidRPr="008139EA">
        <w:rPr>
          <w:rFonts w:cs="Times New Roman"/>
          <w:noProof/>
        </w:rPr>
        <w:tab/>
        <w:t>Maertens J. et al. ECIL guidelines for preventing Pneumocystis jirovecii pneumonia in patients with haematological malignancies and stem cell transplant recipients // Journal of Antimicrobial Chemotherapy. Oxford University Press, 2016. Vol. 71, № 9. P. 1–8.</w:t>
      </w:r>
    </w:p>
    <w:p w14:paraId="65E33914"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90.</w:t>
      </w:r>
      <w:r w:rsidRPr="008139EA">
        <w:rPr>
          <w:rFonts w:cs="Times New Roman"/>
          <w:noProof/>
        </w:rPr>
        <w:tab/>
        <w:t>Титова В.Б., Беляева Н.М. Вирусный гепатит В у иммуносупрессивных пациентов с онкологическими заболеваниями: патогенез, ведение и профилактика // Инфекционные болезни. 2014. Vol. 12, № 3. P. 51–60.</w:t>
      </w:r>
    </w:p>
    <w:p w14:paraId="5911AB07"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91.</w:t>
      </w:r>
      <w:r w:rsidRPr="008139EA">
        <w:rPr>
          <w:rFonts w:cs="Times New Roman"/>
          <w:noProof/>
        </w:rPr>
        <w:tab/>
        <w:t>Papatheodoridis G. et al. EASL clinical practice guidelines: Management of chronic hepatitis B virus infection // Journal of Hepatology. Elsevier B.V., 2012. Vol. 57, № 1. P. 167–185.</w:t>
      </w:r>
    </w:p>
    <w:p w14:paraId="15DB0190"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92.</w:t>
      </w:r>
      <w:r w:rsidRPr="008139EA">
        <w:rPr>
          <w:rFonts w:cs="Times New Roman"/>
          <w:noProof/>
        </w:rPr>
        <w:tab/>
        <w:t>Coppola N. et al. Reactivation of overt and occult hepatitis B infection in various immunosuppressive settings // J. Med. Virol. J Med Virol, 2011. Vol. 83, № 11. P. 1909–</w:t>
      </w:r>
      <w:r w:rsidRPr="008139EA">
        <w:rPr>
          <w:rFonts w:cs="Times New Roman"/>
          <w:noProof/>
        </w:rPr>
        <w:lastRenderedPageBreak/>
        <w:t>1916.</w:t>
      </w:r>
    </w:p>
    <w:p w14:paraId="0DD7B8DF"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93.</w:t>
      </w:r>
      <w:r w:rsidRPr="008139EA">
        <w:rPr>
          <w:rFonts w:cs="Times New Roman"/>
          <w:noProof/>
        </w:rPr>
        <w:tab/>
        <w:t>Sanchez M.J. et al. Successful use of entecavir for a severe case of reactivation of hepatitis B virus following polychemotherapy containing rituximab q // J. Hepatol. Vol. 51. P. 1091–1096.</w:t>
      </w:r>
    </w:p>
    <w:p w14:paraId="27DC0866"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94.</w:t>
      </w:r>
      <w:r w:rsidRPr="008139EA">
        <w:rPr>
          <w:rFonts w:cs="Times New Roman"/>
          <w:noProof/>
        </w:rPr>
        <w:tab/>
        <w:t>Liang R. How I treat and monitor viral hepatitis B infection in patients receiving intensive immunosuppressive therapies or undergoing hematopoietic stem cell transplantation // Blood. American Society of Hematology, 2009. Vol. 113, № 14. P. 3147–3153.</w:t>
      </w:r>
    </w:p>
    <w:p w14:paraId="3F3AEC2C"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95.</w:t>
      </w:r>
      <w:r w:rsidRPr="008139EA">
        <w:rPr>
          <w:rFonts w:cs="Times New Roman"/>
          <w:noProof/>
        </w:rPr>
        <w:tab/>
        <w:t>Firpi R.J., Nelson D.R. Management of viral hepatitis in hematologic malignancies // Blood Rev. 2008. Vol. 22, № 3. P. 117–126.</w:t>
      </w:r>
    </w:p>
    <w:p w14:paraId="528339E3"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96.</w:t>
      </w:r>
      <w:r w:rsidRPr="008139EA">
        <w:rPr>
          <w:rFonts w:cs="Times New Roman"/>
          <w:noProof/>
        </w:rPr>
        <w:tab/>
        <w:t>Ennishi D. et al. Monitoring serum hepatitis C virus (HCV) RNA in patients with HCV-infected CD20-positive B-cell lymphoma undergoing rituximab combination chemotherapy // Am. J. Hematol. John Wiley &amp; Sons, Ltd, 2008. Vol. 83, № 1. P. 59–62.</w:t>
      </w:r>
    </w:p>
    <w:p w14:paraId="0F509482"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97.</w:t>
      </w:r>
      <w:r w:rsidRPr="008139EA">
        <w:rPr>
          <w:rFonts w:cs="Times New Roman"/>
          <w:noProof/>
        </w:rPr>
        <w:tab/>
        <w:t>Roche B., Samuel D. The difficulties of managing severe hepatitis B virus reactivation // Liver Int. Liver Int, 2011. Vol. 31, № SUPPL. 1. P. 104–110.</w:t>
      </w:r>
    </w:p>
    <w:p w14:paraId="215DE6F1"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98.</w:t>
      </w:r>
      <w:r w:rsidRPr="008139EA">
        <w:rPr>
          <w:rFonts w:cs="Times New Roman"/>
          <w:noProof/>
        </w:rPr>
        <w:tab/>
        <w:t>Baumeister M.A. et al. Hepatitis B virus e antigen specific epitopes and limitations of commercial anti-HBe immunoassays // J. Med. Virol. John Wiley &amp; Sons, Ltd, 2000. Vol. 60, № 3. P. 256–263.</w:t>
      </w:r>
    </w:p>
    <w:p w14:paraId="2A71695E"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99.</w:t>
      </w:r>
      <w:r w:rsidRPr="008139EA">
        <w:rPr>
          <w:rFonts w:cs="Times New Roman"/>
          <w:noProof/>
        </w:rPr>
        <w:tab/>
        <w:t>Torres H.A., Davila M. Reactivation of hepatitis B virus and hepatitis C virus in patients with cancer // Nature Reviews Clinical Oncology. Nat Rev Clin Oncol, 2012. Vol. 9, № 3. P. 156–166.</w:t>
      </w:r>
    </w:p>
    <w:p w14:paraId="5BE40F5E"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100.</w:t>
      </w:r>
      <w:r w:rsidRPr="008139EA">
        <w:rPr>
          <w:rFonts w:cs="Times New Roman"/>
          <w:noProof/>
        </w:rPr>
        <w:tab/>
        <w:t>Rupp D., Bartenschlager R. Targets for antiviral therapy of hepatitis C // Semin. Liver Dis. Thieme Medical Publishers, Inc., 2014. Vol. 34, № 1. P. 9–21.</w:t>
      </w:r>
    </w:p>
    <w:p w14:paraId="572E6948"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101.</w:t>
      </w:r>
      <w:r w:rsidRPr="008139EA">
        <w:rPr>
          <w:rFonts w:cs="Times New Roman"/>
          <w:noProof/>
        </w:rPr>
        <w:tab/>
        <w:t>Singer M. et al. The third international consensus definitions for sepsis and septic shock (sepsis-3) // JAMA - Journal of the American Medical Association. American Medical Association, 2016. Vol. 315, № 8. P. 801–810.</w:t>
      </w:r>
    </w:p>
    <w:p w14:paraId="2A89CAB8"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102.</w:t>
      </w:r>
      <w:r w:rsidRPr="008139EA">
        <w:rPr>
          <w:rFonts w:cs="Times New Roman"/>
          <w:noProof/>
        </w:rPr>
        <w:tab/>
        <w:t>Джумабаева Б.Т. et al. Клинико-лабораторные и морфологические особенности поражения почек при лимфопролиферативных заболеваниях // Онкогематология. 2017. Vol. 7, № 1. P. 44–54.</w:t>
      </w:r>
    </w:p>
    <w:p w14:paraId="0332CD57"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103.</w:t>
      </w:r>
      <w:r w:rsidRPr="008139EA">
        <w:rPr>
          <w:rFonts w:cs="Times New Roman"/>
          <w:noProof/>
        </w:rPr>
        <w:tab/>
        <w:t>Рехтина И.Г. et al. Морфологические и иммунохимические особенности нефропатий при множественной миеломе с тяжелой почечной недостаточностью // Терапевтический архив. 2013. Vol. 85, № 3. P. 80–85.</w:t>
      </w:r>
    </w:p>
    <w:p w14:paraId="4EFC2393"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104.</w:t>
      </w:r>
      <w:r w:rsidRPr="008139EA">
        <w:rPr>
          <w:rFonts w:cs="Times New Roman"/>
          <w:noProof/>
        </w:rPr>
        <w:tab/>
        <w:t>Ворожейкина Е.Г., Бирюкова Л.С., Савченко В.Г. Клинико-лабораторные проявления нефропатий у больных острыми лейкозами // Гематология и трансфузиология. 2011. Vol. 56, № 3. P. 24–27.</w:t>
      </w:r>
    </w:p>
    <w:p w14:paraId="39ED953F"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105.</w:t>
      </w:r>
      <w:r w:rsidRPr="008139EA">
        <w:rPr>
          <w:rFonts w:cs="Times New Roman"/>
          <w:noProof/>
        </w:rPr>
        <w:tab/>
        <w:t xml:space="preserve">Prieto J.M. et al. Psychiatric morbidity and impact on hospital length of stay among </w:t>
      </w:r>
      <w:r w:rsidRPr="008139EA">
        <w:rPr>
          <w:rFonts w:cs="Times New Roman"/>
          <w:noProof/>
        </w:rPr>
        <w:lastRenderedPageBreak/>
        <w:t>hematologic cancer patients receiving stem-cell transplantation // J. Clin. Oncol. J Clin Oncol, 2002. Vol. 20, № 7. P. 1907–1917.</w:t>
      </w:r>
    </w:p>
    <w:p w14:paraId="6A83705E"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106.</w:t>
      </w:r>
      <w:r w:rsidRPr="008139EA">
        <w:rPr>
          <w:rFonts w:cs="Times New Roman"/>
          <w:noProof/>
        </w:rPr>
        <w:tab/>
        <w:t>Mitchell A.J. et al. Prevalence of depression, anxiety, and adjustment disorder in oncological, haematological, and palliative-care settings: A meta-analysis of 94 interview-based studies // Lancet Oncol. Lancet Oncol, 2011. Vol. 12, № 2. P. 160–174.</w:t>
      </w:r>
    </w:p>
    <w:p w14:paraId="4F7AC839"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107.</w:t>
      </w:r>
      <w:r w:rsidRPr="008139EA">
        <w:rPr>
          <w:rFonts w:cs="Times New Roman"/>
          <w:noProof/>
        </w:rPr>
        <w:tab/>
        <w:t>Гендлин Г.Е. et al. Современный взгляд на кардиотоксичность химиотерапии онкологических заболеваний, включающей антрациклиновые антибиотики. // Российский кардиологический журнал. 2017. Vol. 143, № 3. P. 145–154.</w:t>
      </w:r>
    </w:p>
    <w:p w14:paraId="34601923"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108.</w:t>
      </w:r>
      <w:r w:rsidRPr="008139EA">
        <w:rPr>
          <w:rFonts w:cs="Times New Roman"/>
          <w:noProof/>
        </w:rPr>
        <w:tab/>
        <w:t>Васюк Ю.А. et al. Возможности современных эхокардиографических технологий в ранней диагностике кардиотоксического действия химиотерапевтических препаратов антрациклинового ряда у онкологических больных. // Кардиология. 2017. Vol. 57, № S4. P. 31–17.</w:t>
      </w:r>
    </w:p>
    <w:p w14:paraId="65B112CD"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109.</w:t>
      </w:r>
      <w:r w:rsidRPr="008139EA">
        <w:rPr>
          <w:rFonts w:cs="Times New Roman"/>
          <w:noProof/>
        </w:rPr>
        <w:tab/>
        <w:t>Zamorano J.L. et al. 2016 ESC Position Paper on cancer treatments and cardiovascular toxicity developed under the auspices of the ESC Committee for Practice Guidelines // European Heart Journal. Oxford University Press, 2016. Vol. 37, № 36. P. 2768–2801.</w:t>
      </w:r>
    </w:p>
    <w:p w14:paraId="552B406D"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110.</w:t>
      </w:r>
      <w:r w:rsidRPr="008139EA">
        <w:rPr>
          <w:rFonts w:cs="Times New Roman"/>
          <w:noProof/>
        </w:rPr>
        <w:tab/>
        <w:t>Larsen C.M., Mulvagh S.L. Cardio-oncology: What you need to know now for clinical practice and echocardiography // Echo Research and Practice. BioScientifica Ltd., 2017. Vol. 4, № 1. P. R33–R41.</w:t>
      </w:r>
    </w:p>
    <w:p w14:paraId="77537C65"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111.</w:t>
      </w:r>
      <w:r w:rsidRPr="008139EA">
        <w:rPr>
          <w:rFonts w:cs="Times New Roman"/>
          <w:noProof/>
        </w:rPr>
        <w:tab/>
        <w:t>Roze des Ordons A.L. et al. Clinical characteristics and outcomes of patients with acute myelogenous leukemia admitted to intensive care: A case-control study // BMC Cancer. 2010. Vol. 10. P. 516.</w:t>
      </w:r>
    </w:p>
    <w:p w14:paraId="58D836FC"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112.</w:t>
      </w:r>
      <w:r w:rsidRPr="008139EA">
        <w:rPr>
          <w:rFonts w:cs="Times New Roman"/>
          <w:noProof/>
        </w:rPr>
        <w:tab/>
        <w:t>Schellongowski P. et al. Prognostic factors for intensive care unit admission, intensive care outcome, and post-intensive care survival in patients with de novo acute myeloid leukemia: a single center experience // Haematologica. 2011. Vol. 96, № 2. P. 231–237.</w:t>
      </w:r>
    </w:p>
    <w:p w14:paraId="79C24AF8"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113.</w:t>
      </w:r>
      <w:r w:rsidRPr="008139EA">
        <w:rPr>
          <w:rFonts w:cs="Times New Roman"/>
          <w:noProof/>
        </w:rPr>
        <w:tab/>
        <w:t>Lengliné E. et al. Intensive care unit management of patients with newly diagnosed acute myeloid leukemia with no organ failure // Leuk. Lymphoma. Leuk Lymphoma, 2012. Vol. 53, № 7. P. 1352–1359.</w:t>
      </w:r>
    </w:p>
    <w:p w14:paraId="2DC2FBBD"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114.</w:t>
      </w:r>
      <w:r w:rsidRPr="008139EA">
        <w:rPr>
          <w:rFonts w:cs="Times New Roman"/>
          <w:noProof/>
        </w:rPr>
        <w:tab/>
        <w:t>Jackson K. et al. Outcomes and prognostic factors for patients with acute myeloid leukemia admitted to the intensive care unit // Leuk. Lymphoma. Leuk Lymphoma, 2013. Vol. 55, № April. P. 1–8.</w:t>
      </w:r>
    </w:p>
    <w:p w14:paraId="2C404E03"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115.</w:t>
      </w:r>
      <w:r w:rsidRPr="008139EA">
        <w:rPr>
          <w:rFonts w:cs="Times New Roman"/>
          <w:noProof/>
        </w:rPr>
        <w:tab/>
        <w:t>Pohlen M. et al. Patients with acute myeloid leukemia admitted to intensive care units: Outcome analysis and risk prediction // PLoS One. Public Library of Science, 2016. Vol. 11, № 8.</w:t>
      </w:r>
    </w:p>
    <w:p w14:paraId="39FDA674"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116.</w:t>
      </w:r>
      <w:r w:rsidRPr="008139EA">
        <w:rPr>
          <w:rFonts w:cs="Times New Roman"/>
          <w:noProof/>
        </w:rPr>
        <w:tab/>
        <w:t xml:space="preserve">Halpern A.B. et al. Association of risk factors, mortality, and care costs of adults with acute myeloid leukemia with admission to the intensive care unit // JAMA Oncol. American </w:t>
      </w:r>
      <w:r w:rsidRPr="008139EA">
        <w:rPr>
          <w:rFonts w:cs="Times New Roman"/>
          <w:noProof/>
        </w:rPr>
        <w:lastRenderedPageBreak/>
        <w:t>Medical Association, 2017. Vol. 3, № 3. P. 374–381.</w:t>
      </w:r>
    </w:p>
    <w:p w14:paraId="52E7700E"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117.</w:t>
      </w:r>
      <w:r w:rsidRPr="008139EA">
        <w:rPr>
          <w:rFonts w:cs="Times New Roman"/>
          <w:noProof/>
        </w:rPr>
        <w:tab/>
        <w:t>Воробьев А.И. et al. Критические состояния при гемобластозах (типичные формы и выживаемость в условиях отделения реанимации). // Терапевтический архив. 1993. Vol. 65, № 7. P. 3–6.</w:t>
      </w:r>
    </w:p>
    <w:p w14:paraId="13C2A09B"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118.</w:t>
      </w:r>
      <w:r w:rsidRPr="008139EA">
        <w:rPr>
          <w:rFonts w:cs="Times New Roman"/>
          <w:noProof/>
        </w:rPr>
        <w:tab/>
        <w:t>Галстян Г.М., Городецкий В.М. Опыт работы отделения реанимации и интенсивной терапии ФГБУ ГНЦ МЗиСР РФ // Клиническая онкогематология. 2011. Vol. 4, № 1. P. 75–78.</w:t>
      </w:r>
    </w:p>
    <w:p w14:paraId="2C9813C8"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119.</w:t>
      </w:r>
      <w:r w:rsidRPr="008139EA">
        <w:rPr>
          <w:rFonts w:cs="Times New Roman"/>
          <w:noProof/>
        </w:rPr>
        <w:tab/>
        <w:t>Lamia B. et al. Changes in severity and organ failure scores as prognostic factors in onco-hematological malignancy patients admitted to the ICU // Intensive Care Med. Intensive Care Med, 2006. Vol. 32, № 10. P. 1560–1568.</w:t>
      </w:r>
    </w:p>
    <w:p w14:paraId="613B9F58"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120.</w:t>
      </w:r>
      <w:r w:rsidRPr="008139EA">
        <w:rPr>
          <w:rFonts w:cs="Times New Roman"/>
          <w:noProof/>
        </w:rPr>
        <w:tab/>
        <w:t>Evison J.M. et al. Intensive care unit admission in patients with haematological disease: incidence, outcome and prognostic factors. 2001.</w:t>
      </w:r>
    </w:p>
    <w:p w14:paraId="475CDBF1"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121.</w:t>
      </w:r>
      <w:r w:rsidRPr="008139EA">
        <w:rPr>
          <w:rFonts w:cs="Times New Roman"/>
          <w:noProof/>
        </w:rPr>
        <w:tab/>
        <w:t>Silfvast T. et al. Multiple organ failure and outcome of critically ill patients with haematological malignancy // Acta Anaesthesiol. Scand. Acta Anaesthesiol Scand, 2003. Vol. 47, № 3. P. 301–306.</w:t>
      </w:r>
    </w:p>
    <w:p w14:paraId="506E98BF"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122.</w:t>
      </w:r>
      <w:r w:rsidRPr="008139EA">
        <w:rPr>
          <w:rFonts w:cs="Times New Roman"/>
          <w:noProof/>
        </w:rPr>
        <w:tab/>
        <w:t>Benoit D.D. et al. Outcome and early prognostic indicators in patients with a hematologic malignancy admitted to the intensive care unit for a life-threatening complication // Crit. Care Med. Crit Care Med, 2003. Vol. 31, № 1. P. 104–112.</w:t>
      </w:r>
    </w:p>
    <w:p w14:paraId="3DE6BC51"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123.</w:t>
      </w:r>
      <w:r w:rsidRPr="008139EA">
        <w:rPr>
          <w:rFonts w:cs="Times New Roman"/>
          <w:noProof/>
        </w:rPr>
        <w:tab/>
        <w:t>Medić M.G. et al. Hematologic malignancies in the medical intensive care unit – Outcomes and prognostic factors // Hematology. Maney Publishing, 2015. Vol. 20, № 5. P. 247–253.</w:t>
      </w:r>
    </w:p>
    <w:p w14:paraId="57D33C9A"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124.</w:t>
      </w:r>
      <w:r w:rsidRPr="008139EA">
        <w:rPr>
          <w:rFonts w:cs="Times New Roman"/>
          <w:noProof/>
        </w:rPr>
        <w:tab/>
        <w:t>Ahmed T. et al. Outcomes and changes in code status of patients with acute myeloid leukemia undergoing induction chemotherapy who were transferred to the intensive care unit // Leuk. Res. Elsevier Ltd, 2017. Vol. 62. P. 51–55.</w:t>
      </w:r>
    </w:p>
    <w:p w14:paraId="5DC8BD3B"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125.</w:t>
      </w:r>
      <w:r w:rsidRPr="008139EA">
        <w:rPr>
          <w:rFonts w:cs="Times New Roman"/>
          <w:noProof/>
        </w:rPr>
        <w:tab/>
        <w:t>Wohlfarth P. et al. Prognostic factors, long-term survival, and outcome of cancer patients receiving chemotherapy in the intensive care unit // Ann. Hematol. Springer Verlag, 2014. Vol. 93, № 10. P. 1629–1636.</w:t>
      </w:r>
    </w:p>
    <w:p w14:paraId="79105FBD"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126.</w:t>
      </w:r>
      <w:r w:rsidRPr="008139EA">
        <w:rPr>
          <w:rFonts w:cs="Times New Roman"/>
          <w:noProof/>
        </w:rPr>
        <w:tab/>
        <w:t>Fan E., Brodie D., Slutsky A.S. Acute Respiratory Distress Syndrome // JAMA. American Medical Association, 2018. Vol. 319, № 7. P. 698.</w:t>
      </w:r>
    </w:p>
    <w:p w14:paraId="0435D7AA"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127.</w:t>
      </w:r>
      <w:r w:rsidRPr="008139EA">
        <w:rPr>
          <w:rFonts w:cs="Times New Roman"/>
          <w:noProof/>
        </w:rPr>
        <w:tab/>
        <w:t>Протоколы трансплантации аллогенных гепомоэтических стволовых клеток. Под ред. В.Г. Савченко. М.: Практика, 2020. 320 p.</w:t>
      </w:r>
    </w:p>
    <w:p w14:paraId="209F4DEE"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128.</w:t>
      </w:r>
      <w:r w:rsidRPr="008139EA">
        <w:rPr>
          <w:rFonts w:cs="Times New Roman"/>
          <w:noProof/>
        </w:rPr>
        <w:tab/>
        <w:t>Young P. et al. Effect of a buffered crystalloid solution vs saline on acute kidney injury among patients in the intensive care unit: The SPLIT randomized clinical trial // JAMA - J. Am. Med. Assoc. American Medical Association, 2015. Vol. 314, № 16. P. 1701–1710.</w:t>
      </w:r>
    </w:p>
    <w:p w14:paraId="1A7D6DA4"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129.</w:t>
      </w:r>
      <w:r w:rsidRPr="008139EA">
        <w:rPr>
          <w:rFonts w:cs="Times New Roman"/>
          <w:noProof/>
        </w:rPr>
        <w:tab/>
        <w:t>Hoorn E.J. Intravenous fluids: balancing solutions // Journal of Nephrology. Springer New York LLC, 2017. Vol. 30, № 4. P. 485–492.</w:t>
      </w:r>
    </w:p>
    <w:p w14:paraId="58E3FFAC"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lastRenderedPageBreak/>
        <w:t>130.</w:t>
      </w:r>
      <w:r w:rsidRPr="008139EA">
        <w:rPr>
          <w:rFonts w:cs="Times New Roman"/>
          <w:noProof/>
        </w:rPr>
        <w:tab/>
        <w:t>Arends J. et al. ESPEN guidelines on nutrition in cancer patients // Clin. Nutr. Churchill Livingstone, 2017. Vol. 36, № 1. P. 11–48.</w:t>
      </w:r>
    </w:p>
    <w:p w14:paraId="3DD4542F"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131.</w:t>
      </w:r>
      <w:r w:rsidRPr="008139EA">
        <w:rPr>
          <w:rFonts w:cs="Times New Roman"/>
          <w:noProof/>
        </w:rPr>
        <w:tab/>
        <w:t>Криволапов Ю.А. Технические аспекты выполнения трепанобиопсий костного мозга. Клиническая онкогематология 2014; 7:290—295 // Клиническая онкогематология. 2014. Vol. 7. P. 290–295.</w:t>
      </w:r>
    </w:p>
    <w:p w14:paraId="15AE5BBB"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132.</w:t>
      </w:r>
      <w:r w:rsidRPr="008139EA">
        <w:rPr>
          <w:rFonts w:cs="Times New Roman"/>
          <w:noProof/>
        </w:rPr>
        <w:tab/>
        <w:t>Wang J. et al. Diagnostic utility of bilateral bone marrow examination: Significance of morphologic and ancillary technique study in malignancy // Cancer. Cancer, 2002. Vol. 94, № 5. P. 1522–1531.</w:t>
      </w:r>
    </w:p>
    <w:p w14:paraId="5D01C171"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133.</w:t>
      </w:r>
      <w:r w:rsidRPr="008139EA">
        <w:rPr>
          <w:rFonts w:cs="Times New Roman"/>
          <w:noProof/>
        </w:rPr>
        <w:tab/>
        <w:t>SPIRIN M., GALSTYAN G., DROKOV M. Central venous access in lymphoma patients (pts) with superior vena cava syndrome (SVCS) // INTENSIVE CARE Med. Exp. 2019. Vol. 7, № Suppl. 3:001341. P. 388–389.</w:t>
      </w:r>
    </w:p>
    <w:p w14:paraId="2766E1D8"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134.</w:t>
      </w:r>
      <w:r w:rsidRPr="008139EA">
        <w:rPr>
          <w:rFonts w:cs="Times New Roman"/>
          <w:noProof/>
        </w:rPr>
        <w:tab/>
        <w:t>Pluschnig U. et al. Extravasation emergencies: state-of-the-art management and progress in clinical research. // Memo. Springer, 2016. Vol. 9, № 4. P. 226–230.</w:t>
      </w:r>
    </w:p>
    <w:p w14:paraId="30F2F47C"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135.</w:t>
      </w:r>
      <w:r w:rsidRPr="008139EA">
        <w:rPr>
          <w:rFonts w:cs="Times New Roman"/>
          <w:noProof/>
        </w:rPr>
        <w:tab/>
        <w:t>Zeidler K. et al. Optimal preprocedural platelet transfusion threshold for central venous catheter insertions in patients with thrombocytopenia. // Transfusion. 2011. Vol. 51, № 11. P. 2269–2276.</w:t>
      </w:r>
    </w:p>
    <w:p w14:paraId="739A0ACA"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136.</w:t>
      </w:r>
      <w:r w:rsidRPr="008139EA">
        <w:rPr>
          <w:rFonts w:cs="Times New Roman"/>
          <w:noProof/>
        </w:rPr>
        <w:tab/>
        <w:t>Zerati A.E. et al. Totally implantable venous catheters : history , implantation technique and complications. // J Vasc Bras. 2017. Vol. 16, № 2. P. 128–139.</w:t>
      </w:r>
    </w:p>
    <w:p w14:paraId="779CEE1A"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137.</w:t>
      </w:r>
      <w:r w:rsidRPr="008139EA">
        <w:rPr>
          <w:rFonts w:cs="Times New Roman"/>
          <w:noProof/>
        </w:rPr>
        <w:tab/>
        <w:t>Gow K.W., Tapper D., Hickman R.O. Between the lines: The 50th anniversary of long-term central venous catheters // Am. J. Surg. Elsevier Ltd, 2017. Vol. 213, № 5. P. 837–848.</w:t>
      </w:r>
    </w:p>
    <w:p w14:paraId="5A674C10"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138.</w:t>
      </w:r>
      <w:r w:rsidRPr="008139EA">
        <w:rPr>
          <w:rFonts w:cs="Times New Roman"/>
          <w:noProof/>
        </w:rPr>
        <w:tab/>
        <w:t>Yeral M. et al. Tunnelled central venous catheter-related problems in the early phase of haematopoietic stem cell transplantation and effects on transplant outcome. // Turkish J. Haematol.  Off. J. Turkish Soc. Haematol. Galenos Yayinevi, 2015. Vol. 32, № 1. P. 51–57.</w:t>
      </w:r>
    </w:p>
    <w:p w14:paraId="47DDDBF3"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139.</w:t>
      </w:r>
      <w:r w:rsidRPr="008139EA">
        <w:rPr>
          <w:rFonts w:cs="Times New Roman"/>
          <w:noProof/>
        </w:rPr>
        <w:tab/>
        <w:t>Maki D.G., Kluger D.M., Crnich C.J. The Risk of Bloodstream Infection in Adults With Different Intravascular Devices: A Systematic Review of 200 Published Prospective Studies // Mayo Clin. Proc. Elsevier, 2006. Vol. 81, № 9. P. 1159–1171.</w:t>
      </w:r>
    </w:p>
    <w:p w14:paraId="254BE6D3"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140.</w:t>
      </w:r>
      <w:r w:rsidRPr="008139EA">
        <w:rPr>
          <w:rFonts w:cs="Times New Roman"/>
          <w:noProof/>
        </w:rPr>
        <w:tab/>
        <w:t>Hamilton H. Central Venous Catheters / ed. Bodenham A.R. Oxford, UK: Wiley-Blackwell, 2009.</w:t>
      </w:r>
    </w:p>
    <w:p w14:paraId="6BE2F58E"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141.</w:t>
      </w:r>
      <w:r w:rsidRPr="008139EA">
        <w:rPr>
          <w:rFonts w:cs="Times New Roman"/>
          <w:noProof/>
        </w:rPr>
        <w:tab/>
        <w:t>Biffi R. Introduction and Overview of PICC History // Peripherally Inserted Central Venous Catheters. Milano: Springer Milan, 2014. P. 1–6.</w:t>
      </w:r>
    </w:p>
    <w:p w14:paraId="7CF33EAB"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142.</w:t>
      </w:r>
      <w:r w:rsidRPr="008139EA">
        <w:rPr>
          <w:rFonts w:cs="Times New Roman"/>
          <w:noProof/>
        </w:rPr>
        <w:tab/>
        <w:t>Linenberger M.L. Catheter-related thrombosis: risks, diagnosis, and management. // J. Natl. Compr. Canc. Netw. 2006. Vol. 4, № 9. P. 889–901.</w:t>
      </w:r>
    </w:p>
    <w:p w14:paraId="1AB83084"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143.</w:t>
      </w:r>
      <w:r w:rsidRPr="008139EA">
        <w:rPr>
          <w:rFonts w:cs="Times New Roman"/>
          <w:noProof/>
        </w:rPr>
        <w:tab/>
        <w:t>Lee A.Y.Y., Kamphuisen P.W. Epidemiology and prevention of catheter-related thrombosis in patients with cancer // J. Thromb. Haemost. 2012. № 10. P. 1491–1499.</w:t>
      </w:r>
    </w:p>
    <w:p w14:paraId="2729FE50" w14:textId="77777777" w:rsidR="008139EA" w:rsidRPr="008139EA" w:rsidRDefault="008139EA" w:rsidP="008139EA">
      <w:pPr>
        <w:widowControl w:val="0"/>
        <w:autoSpaceDE w:val="0"/>
        <w:autoSpaceDN w:val="0"/>
        <w:adjustRightInd w:val="0"/>
        <w:ind w:left="640" w:hanging="640"/>
        <w:rPr>
          <w:rFonts w:cs="Times New Roman"/>
          <w:noProof/>
          <w:lang w:val="en-US"/>
        </w:rPr>
      </w:pPr>
      <w:r w:rsidRPr="008139EA">
        <w:rPr>
          <w:rFonts w:cs="Times New Roman"/>
          <w:noProof/>
        </w:rPr>
        <w:lastRenderedPageBreak/>
        <w:t>144.</w:t>
      </w:r>
      <w:r w:rsidRPr="008139EA">
        <w:rPr>
          <w:rFonts w:cs="Times New Roman"/>
          <w:noProof/>
        </w:rPr>
        <w:tab/>
        <w:t xml:space="preserve">Цепенщинков Л.., Лядов В.К. Периферически имплантируемый центральный венозный катетер: обзор литераутры. // Клиническая онкогематология. </w:t>
      </w:r>
      <w:r w:rsidRPr="008139EA">
        <w:rPr>
          <w:rFonts w:cs="Times New Roman"/>
          <w:noProof/>
          <w:lang w:val="en-US"/>
        </w:rPr>
        <w:t>2014. Vol. 7, № 2. P. 220–228.</w:t>
      </w:r>
    </w:p>
    <w:p w14:paraId="110E0C0C" w14:textId="77777777" w:rsidR="008139EA" w:rsidRPr="008139EA" w:rsidRDefault="008139EA" w:rsidP="008139EA">
      <w:pPr>
        <w:widowControl w:val="0"/>
        <w:autoSpaceDE w:val="0"/>
        <w:autoSpaceDN w:val="0"/>
        <w:adjustRightInd w:val="0"/>
        <w:ind w:left="640" w:hanging="640"/>
        <w:rPr>
          <w:rFonts w:cs="Times New Roman"/>
          <w:noProof/>
          <w:lang w:val="en-US"/>
        </w:rPr>
      </w:pPr>
      <w:r w:rsidRPr="008139EA">
        <w:rPr>
          <w:rFonts w:cs="Times New Roman"/>
          <w:noProof/>
          <w:lang w:val="en-US"/>
        </w:rPr>
        <w:t>145.</w:t>
      </w:r>
      <w:r w:rsidRPr="008139EA">
        <w:rPr>
          <w:rFonts w:cs="Times New Roman"/>
          <w:noProof/>
          <w:lang w:val="en-US"/>
        </w:rPr>
        <w:tab/>
        <w:t>Linder L.E. et al. Material thrombogenicity in central venous catheterization: a comparison between soft, antebrachial catheters of silicone elastomer and polyurethane. // JPEN. J. Parenter. Enteral Nutr. 1984. Vol. 8, № 4. P. 399–406.</w:t>
      </w:r>
    </w:p>
    <w:p w14:paraId="62F0D8B0"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lang w:val="en-US"/>
        </w:rPr>
        <w:t>146.</w:t>
      </w:r>
      <w:r w:rsidRPr="008139EA">
        <w:rPr>
          <w:rFonts w:cs="Times New Roman"/>
          <w:noProof/>
          <w:lang w:val="en-US"/>
        </w:rPr>
        <w:tab/>
        <w:t xml:space="preserve">Watters V.A., Grant J.P. Use of Electrocardiogram to Position Right Atrial Catheters During Surgery // Ann. </w:t>
      </w:r>
      <w:r w:rsidRPr="008139EA">
        <w:rPr>
          <w:rFonts w:cs="Times New Roman"/>
          <w:noProof/>
        </w:rPr>
        <w:t>Surg. Vol. 225, № 2. P. 165–171.</w:t>
      </w:r>
    </w:p>
    <w:p w14:paraId="4CB5B7D8"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147.</w:t>
      </w:r>
      <w:r w:rsidRPr="008139EA">
        <w:rPr>
          <w:rFonts w:cs="Times New Roman"/>
          <w:noProof/>
        </w:rPr>
        <w:tab/>
        <w:t>Taal M.W., Chesterton L.J., McIntyre C.W. Venography at insertion of tunnelled internal jugular vein dialysis catheters reveals significant occult stenosis // Nephrol. Dial. Transplant. Oxford University Press, 2004. Vol. 19, № 6. P. 1542–1545.</w:t>
      </w:r>
    </w:p>
    <w:p w14:paraId="725AC67D"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148.</w:t>
      </w:r>
      <w:r w:rsidRPr="008139EA">
        <w:rPr>
          <w:rFonts w:cs="Times New Roman"/>
          <w:noProof/>
        </w:rPr>
        <w:tab/>
        <w:t>Lobato E.B. et al. Cross-sectional area of the right and left internal jugular veins. // J. Cardiothorac. Vasc. Anesth. 1999. Vol. 13, № 2. P. 136–138.</w:t>
      </w:r>
    </w:p>
    <w:p w14:paraId="1F7D8E44"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149.</w:t>
      </w:r>
      <w:r w:rsidRPr="008139EA">
        <w:rPr>
          <w:rFonts w:cs="Times New Roman"/>
          <w:noProof/>
        </w:rPr>
        <w:tab/>
        <w:t>Червонцева А.М. Повреждение сосудистого эндотелия в процессе лечения острых миелоидных лейкозов. 2008.</w:t>
      </w:r>
    </w:p>
    <w:p w14:paraId="2EC78D10"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150.</w:t>
      </w:r>
      <w:r w:rsidRPr="008139EA">
        <w:rPr>
          <w:rFonts w:cs="Times New Roman"/>
          <w:noProof/>
        </w:rPr>
        <w:tab/>
        <w:t>Багирова Н.С. Инфекции, связанные с внутрисосудистыми устройствами: терминология, диагностика, профилактика и терапия // Злокачественные опухоли. 2014. № 3. P. 164–171.</w:t>
      </w:r>
    </w:p>
    <w:p w14:paraId="387B67CB"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151.</w:t>
      </w:r>
      <w:r w:rsidRPr="008139EA">
        <w:rPr>
          <w:rFonts w:cs="Times New Roman"/>
          <w:noProof/>
        </w:rPr>
        <w:tab/>
        <w:t>Bannon M.P., Heller S.F., Rivera M. Anatomic considerations for central venous cannulation. // Risk Manag. Healthc. Policy. Dove Press, 2011. Vol. 4. P. 27–39.</w:t>
      </w:r>
    </w:p>
    <w:p w14:paraId="7149AD6F"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152.</w:t>
      </w:r>
      <w:r w:rsidRPr="008139EA">
        <w:rPr>
          <w:rFonts w:cs="Times New Roman"/>
          <w:noProof/>
        </w:rPr>
        <w:tab/>
        <w:t>Milling T.J. et al. Randomized, controlled clinical trial of point-of-care limited ultrasonography assistance of central venous cannulation: The Third Sonography Outcomes Assessment Program (SOAP-3) Trial* // Crit. Care Med. 2005. Vol. 33, № 8. P. 1764–1769.</w:t>
      </w:r>
    </w:p>
    <w:p w14:paraId="328F8199"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153.</w:t>
      </w:r>
      <w:r w:rsidRPr="008139EA">
        <w:rPr>
          <w:rFonts w:cs="Times New Roman"/>
          <w:noProof/>
        </w:rPr>
        <w:tab/>
        <w:t>Зозуля Н.И., Кумскова М.А. Протокол диагностики и лечения гемофилии. // Алгоритмы диагностики и протоколы лечения заболеваний системы крови. Том 1. Практика / ed. Савченко В.Г. Москва, 2018. P. 333–358.</w:t>
      </w:r>
    </w:p>
    <w:p w14:paraId="466B913D"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154.</w:t>
      </w:r>
      <w:r w:rsidRPr="008139EA">
        <w:rPr>
          <w:rFonts w:cs="Times New Roman"/>
          <w:noProof/>
        </w:rPr>
        <w:tab/>
        <w:t>Галстян Г.М. НАРУШЕНИЯ ГЕМОСТАЗА, ОБУСЛОВЛЕННЫЕ ДЕФИЦИТОМ ВИТАМИН К-ЗАВИСИМЫХ ФАКТОРОВ СВЕРТЫВАНИЯ КРОВИ — ПАТОГЕНЕЗ, СПОСОБЫ КОРРЕКЦИИ И РЕКОМЕНДАЦИИ ПО ЛЕЧЕНИЮ. // Гематология и трансфузиология. 2012. Vol. 27, № 2. P. 7–21.</w:t>
      </w:r>
    </w:p>
    <w:p w14:paraId="27AFB604"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155.</w:t>
      </w:r>
      <w:r w:rsidRPr="008139EA">
        <w:rPr>
          <w:rFonts w:cs="Times New Roman"/>
          <w:noProof/>
        </w:rPr>
        <w:tab/>
        <w:t>Карагюлян С.Р. et al. Технические сложности выполнения спленэктомии при заболеваниях системы крови // Клиническая онкогематология. 2017. Vol. 10, № 1. P. 101–107.</w:t>
      </w:r>
    </w:p>
    <w:p w14:paraId="1AE67DAA"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156.</w:t>
      </w:r>
      <w:r w:rsidRPr="008139EA">
        <w:rPr>
          <w:rFonts w:cs="Times New Roman"/>
          <w:noProof/>
        </w:rPr>
        <w:tab/>
        <w:t xml:space="preserve">Habermalz B. et al. Laparoscopic splenectomy: The clinical practice guidelines of the European Association for Endoscopic Surgery (EAES) // Surgical Endoscopy and Other </w:t>
      </w:r>
      <w:r w:rsidRPr="008139EA">
        <w:rPr>
          <w:rFonts w:cs="Times New Roman"/>
          <w:noProof/>
        </w:rPr>
        <w:lastRenderedPageBreak/>
        <w:t>Interventional Techniques. Surg Endosc, 2008. Vol. 22, № 4. P. 821–848.</w:t>
      </w:r>
    </w:p>
    <w:p w14:paraId="176F9DCE"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157.</w:t>
      </w:r>
      <w:r w:rsidRPr="008139EA">
        <w:rPr>
          <w:rFonts w:cs="Times New Roman"/>
          <w:noProof/>
        </w:rPr>
        <w:tab/>
        <w:t>Oken M.M. et al. Toxicity and response criteria of the Eastern Cooperative Oncology Group // Am. J. Clin. Oncol. 1982. Vol. 5, № 6. P. 649–655.</w:t>
      </w:r>
    </w:p>
    <w:p w14:paraId="3005A068"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158.</w:t>
      </w:r>
      <w:r w:rsidRPr="008139EA">
        <w:rPr>
          <w:rFonts w:cs="Times New Roman"/>
          <w:noProof/>
        </w:rPr>
        <w:tab/>
        <w:t>Gratwohl A. The EBMT risk score // Bone Marrow Transplantation. Nature Publishing Group, 2012. Vol. 47, № 6. P. 749–756.</w:t>
      </w:r>
    </w:p>
    <w:p w14:paraId="62E794F0"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159.</w:t>
      </w:r>
      <w:r w:rsidRPr="008139EA">
        <w:rPr>
          <w:rFonts w:cs="Times New Roman"/>
          <w:noProof/>
        </w:rPr>
        <w:tab/>
        <w:t>Sorror M.L. et al. Hematopoietic cell transplantation (HCT)-specific comorbidity index: a new tool for risk assessment before allogeneic HCT. // Blood. The American Society of Hematology, 2005. Vol. 106, № 8. P. 2912–2919.</w:t>
      </w:r>
    </w:p>
    <w:p w14:paraId="6949AF40" w14:textId="77777777" w:rsidR="008139EA" w:rsidRPr="008139EA" w:rsidRDefault="008139EA" w:rsidP="008139EA">
      <w:pPr>
        <w:widowControl w:val="0"/>
        <w:autoSpaceDE w:val="0"/>
        <w:autoSpaceDN w:val="0"/>
        <w:adjustRightInd w:val="0"/>
        <w:ind w:left="640" w:hanging="640"/>
        <w:rPr>
          <w:rFonts w:cs="Times New Roman"/>
          <w:noProof/>
        </w:rPr>
      </w:pPr>
      <w:r w:rsidRPr="008139EA">
        <w:rPr>
          <w:rFonts w:cs="Times New Roman"/>
          <w:noProof/>
        </w:rPr>
        <w:t>160.</w:t>
      </w:r>
      <w:r w:rsidRPr="008139EA">
        <w:rPr>
          <w:rFonts w:cs="Times New Roman"/>
          <w:noProof/>
        </w:rPr>
        <w:tab/>
        <w:t>Sorror M.L. et al. Prospective Validation of the Predictive Power of the Hematopoietic Cell Transplantation Comorbidity Index: A Center for International Blood and Marrow Transplant Research Study // Biol. Blood Marrow Transplant. Elsevier Inc., 2015. Vol. 21, № 8. P. 1479–1487.</w:t>
      </w:r>
    </w:p>
    <w:p w14:paraId="16C1A60A" w14:textId="4AD511F3" w:rsidR="002C3C32" w:rsidRDefault="003E3EAF" w:rsidP="008139EA">
      <w:pPr>
        <w:pStyle w:val="affd"/>
      </w:pPr>
      <w:r w:rsidRPr="00DC4A7A">
        <w:rPr>
          <w:rFonts w:eastAsia="Times New Roman"/>
        </w:rPr>
        <w:fldChar w:fldCharType="end"/>
      </w:r>
      <w:r w:rsidR="00031607" w:rsidRPr="00DC4A7A">
        <w:br w:type="page"/>
      </w:r>
      <w:bookmarkStart w:id="71" w:name="_Toc67522258"/>
      <w:r w:rsidR="00031607">
        <w:lastRenderedPageBreak/>
        <w:t>Приложение А1. Состав рабочей группы</w:t>
      </w:r>
      <w:r w:rsidR="00F140D0">
        <w:t xml:space="preserve"> </w:t>
      </w:r>
      <w:r w:rsidR="005F7C37" w:rsidRPr="005F7C37">
        <w:t>по разработке и пересмотру клинических рекомендаций</w:t>
      </w:r>
      <w:bookmarkEnd w:id="71"/>
    </w:p>
    <w:p w14:paraId="1E0B9A36" w14:textId="08D82A5C" w:rsidR="003E3EAF" w:rsidRPr="00F140D0" w:rsidRDefault="003D1B77" w:rsidP="00BF4D82">
      <w:pPr>
        <w:pStyle w:val="afe"/>
        <w:numPr>
          <w:ilvl w:val="0"/>
          <w:numId w:val="12"/>
        </w:numPr>
        <w:rPr>
          <w:rFonts w:eastAsia="Arial Unicode MS" w:cs="Times New Roman"/>
          <w:color w:val="000000"/>
          <w:szCs w:val="24"/>
          <w:u w:color="000000"/>
          <w:lang w:eastAsia="ru-RU"/>
        </w:rPr>
      </w:pPr>
      <w:r w:rsidRPr="00F140D0">
        <w:rPr>
          <w:rFonts w:eastAsia="Arial Unicode MS"/>
          <w:b/>
          <w:color w:val="000000"/>
          <w:u w:color="000000"/>
        </w:rPr>
        <w:t xml:space="preserve">Войцеховский В.В. </w:t>
      </w:r>
      <w:r w:rsidR="009E7EAB" w:rsidRPr="00F140D0">
        <w:rPr>
          <w:rFonts w:eastAsia="Arial Unicode MS" w:cs="Times New Roman"/>
          <w:color w:val="000000"/>
          <w:szCs w:val="24"/>
          <w:u w:color="000000"/>
          <w:lang w:eastAsia="ru-RU"/>
        </w:rPr>
        <w:t>д.м.н., доцент</w:t>
      </w:r>
      <w:r w:rsidR="009E7EAB">
        <w:rPr>
          <w:rFonts w:eastAsia="Arial Unicode MS" w:cs="Times New Roman"/>
          <w:color w:val="000000"/>
          <w:szCs w:val="24"/>
          <w:u w:color="000000"/>
          <w:lang w:eastAsia="ru-RU"/>
        </w:rPr>
        <w:t>,</w:t>
      </w:r>
      <w:r w:rsidR="009E7EAB" w:rsidRPr="00F140D0">
        <w:rPr>
          <w:rFonts w:eastAsia="Arial Unicode MS" w:cs="Times New Roman"/>
          <w:color w:val="000000"/>
          <w:szCs w:val="24"/>
          <w:u w:color="000000"/>
          <w:lang w:eastAsia="ru-RU"/>
        </w:rPr>
        <w:t xml:space="preserve"> </w:t>
      </w:r>
      <w:r w:rsidR="003E3EAF" w:rsidRPr="00F140D0">
        <w:rPr>
          <w:rFonts w:eastAsia="Arial Unicode MS" w:cs="Times New Roman"/>
          <w:color w:val="000000"/>
          <w:szCs w:val="24"/>
          <w:u w:color="000000"/>
          <w:lang w:eastAsia="ru-RU"/>
        </w:rPr>
        <w:t>заведующий кафедрой госпитальной терапии с курсом фармакологии Амурской государственной медицинской академии, Благовещенск, Амурская область</w:t>
      </w:r>
      <w:r w:rsidR="00F140D0">
        <w:rPr>
          <w:rFonts w:eastAsia="Arial Unicode MS" w:cs="Times New Roman"/>
          <w:color w:val="000000"/>
          <w:szCs w:val="24"/>
          <w:u w:color="000000"/>
          <w:lang w:eastAsia="ru-RU"/>
        </w:rPr>
        <w:t>.</w:t>
      </w:r>
    </w:p>
    <w:p w14:paraId="3E27D585" w14:textId="67DDB142" w:rsidR="003D1B77" w:rsidRPr="00F140D0" w:rsidRDefault="003D1B77" w:rsidP="00BF4D82">
      <w:pPr>
        <w:pStyle w:val="afe"/>
        <w:numPr>
          <w:ilvl w:val="0"/>
          <w:numId w:val="12"/>
        </w:numPr>
        <w:rPr>
          <w:szCs w:val="28"/>
        </w:rPr>
      </w:pPr>
      <w:r w:rsidRPr="00F140D0">
        <w:rPr>
          <w:b/>
          <w:szCs w:val="28"/>
        </w:rPr>
        <w:t>Володичева Е.М.</w:t>
      </w:r>
      <w:r w:rsidRPr="00F140D0">
        <w:rPr>
          <w:szCs w:val="28"/>
        </w:rPr>
        <w:t xml:space="preserve">  </w:t>
      </w:r>
      <w:r w:rsidRPr="00F140D0">
        <w:rPr>
          <w:rFonts w:eastAsia="Arial Unicode MS"/>
          <w:color w:val="000000"/>
          <w:u w:color="000000"/>
        </w:rPr>
        <w:t>заведующая отделением гематологии</w:t>
      </w:r>
      <w:r w:rsidRPr="00F140D0">
        <w:rPr>
          <w:szCs w:val="28"/>
        </w:rPr>
        <w:t xml:space="preserve"> Тульской областной клинической больницы, главный гематолог Тульской области</w:t>
      </w:r>
      <w:r w:rsidR="00F140D0" w:rsidRPr="00F140D0">
        <w:rPr>
          <w:szCs w:val="28"/>
        </w:rPr>
        <w:t xml:space="preserve">, </w:t>
      </w:r>
      <w:r w:rsidR="009E7EAB">
        <w:rPr>
          <w:rFonts w:eastAsia="Arial Unicode MS" w:cs="Times New Roman"/>
          <w:color w:val="000000"/>
          <w:szCs w:val="24"/>
          <w:u w:color="000000"/>
          <w:lang w:eastAsia="ru-RU"/>
        </w:rPr>
        <w:t>Н</w:t>
      </w:r>
      <w:r w:rsidR="00F140D0" w:rsidRPr="00F140D0">
        <w:rPr>
          <w:rFonts w:eastAsia="Arial Unicode MS" w:cs="Times New Roman"/>
          <w:color w:val="000000"/>
          <w:szCs w:val="24"/>
          <w:u w:color="000000"/>
          <w:lang w:eastAsia="ru-RU"/>
        </w:rPr>
        <w:t>ациональное гематологическое общество.</w:t>
      </w:r>
    </w:p>
    <w:p w14:paraId="1937293C" w14:textId="5578D5FF" w:rsidR="003D1B77" w:rsidRPr="00F140D0" w:rsidRDefault="003D1B77" w:rsidP="00BF4D82">
      <w:pPr>
        <w:pStyle w:val="afe"/>
        <w:numPr>
          <w:ilvl w:val="0"/>
          <w:numId w:val="12"/>
        </w:numPr>
        <w:rPr>
          <w:szCs w:val="28"/>
        </w:rPr>
      </w:pPr>
      <w:r w:rsidRPr="00F140D0">
        <w:rPr>
          <w:b/>
          <w:szCs w:val="28"/>
        </w:rPr>
        <w:t>Воронова Е.В.</w:t>
      </w:r>
      <w:r w:rsidRPr="00F140D0">
        <w:rPr>
          <w:szCs w:val="28"/>
        </w:rPr>
        <w:t xml:space="preserve"> </w:t>
      </w:r>
      <w:r w:rsidRPr="00F140D0">
        <w:rPr>
          <w:rFonts w:eastAsia="Arial Unicode MS"/>
          <w:color w:val="000000"/>
          <w:u w:color="000000"/>
        </w:rPr>
        <w:t>заведующая отделением гематологии</w:t>
      </w:r>
      <w:r w:rsidRPr="00F140D0">
        <w:rPr>
          <w:szCs w:val="28"/>
        </w:rPr>
        <w:t xml:space="preserve"> ГБУЗ «Тамбовская областная клиническая больница им. В.Д.</w:t>
      </w:r>
      <w:r w:rsidR="00705B68">
        <w:rPr>
          <w:szCs w:val="28"/>
        </w:rPr>
        <w:t xml:space="preserve"> </w:t>
      </w:r>
      <w:r w:rsidRPr="00F140D0">
        <w:rPr>
          <w:szCs w:val="28"/>
        </w:rPr>
        <w:t>Бабенко», главный гематолог Тамбовской области</w:t>
      </w:r>
      <w:r w:rsidR="00F140D0" w:rsidRPr="00F140D0">
        <w:rPr>
          <w:szCs w:val="28"/>
        </w:rPr>
        <w:t xml:space="preserve">, </w:t>
      </w:r>
      <w:r w:rsidR="009E7EAB">
        <w:rPr>
          <w:rFonts w:eastAsia="Arial Unicode MS" w:cs="Times New Roman"/>
          <w:color w:val="000000"/>
          <w:szCs w:val="24"/>
          <w:u w:color="000000"/>
          <w:lang w:eastAsia="ru-RU"/>
        </w:rPr>
        <w:t>Н</w:t>
      </w:r>
      <w:r w:rsidR="00F140D0" w:rsidRPr="00F140D0">
        <w:rPr>
          <w:rFonts w:eastAsia="Arial Unicode MS" w:cs="Times New Roman"/>
          <w:color w:val="000000"/>
          <w:szCs w:val="24"/>
          <w:u w:color="000000"/>
          <w:lang w:eastAsia="ru-RU"/>
        </w:rPr>
        <w:t>ациональное гематологическое общество.</w:t>
      </w:r>
    </w:p>
    <w:p w14:paraId="74359512" w14:textId="61F6A130" w:rsidR="003D1B77" w:rsidRPr="00F140D0" w:rsidRDefault="003D1B77" w:rsidP="00BF4D82">
      <w:pPr>
        <w:pStyle w:val="afe"/>
        <w:numPr>
          <w:ilvl w:val="0"/>
          <w:numId w:val="12"/>
        </w:numPr>
        <w:rPr>
          <w:rFonts w:eastAsia="Arial Unicode MS"/>
          <w:color w:val="000000"/>
          <w:u w:color="000000"/>
        </w:rPr>
      </w:pPr>
      <w:r w:rsidRPr="00F140D0">
        <w:rPr>
          <w:rFonts w:eastAsia="Arial Unicode MS"/>
          <w:b/>
          <w:color w:val="000000"/>
          <w:u w:color="000000"/>
        </w:rPr>
        <w:t>Гапонова Т.В.</w:t>
      </w:r>
      <w:r w:rsidRPr="00F140D0">
        <w:rPr>
          <w:rFonts w:ascii="Arial Unicode MS" w:eastAsia="Arial Unicode MS" w:hAnsi="Arial Unicode MS" w:cs="Arial Unicode MS"/>
          <w:color w:val="000000"/>
          <w:sz w:val="20"/>
          <w:szCs w:val="20"/>
          <w:u w:color="000000"/>
        </w:rPr>
        <w:t xml:space="preserve"> </w:t>
      </w:r>
      <w:r w:rsidRPr="00F140D0">
        <w:rPr>
          <w:rFonts w:eastAsia="Arial Unicode MS"/>
          <w:color w:val="000000"/>
          <w:u w:color="000000"/>
        </w:rPr>
        <w:t xml:space="preserve">к.м.н., заместитель </w:t>
      </w:r>
      <w:r w:rsidR="009E7EAB">
        <w:rPr>
          <w:rFonts w:eastAsia="Arial Unicode MS"/>
          <w:color w:val="000000"/>
          <w:u w:color="000000"/>
        </w:rPr>
        <w:t>Г</w:t>
      </w:r>
      <w:r w:rsidRPr="00F140D0">
        <w:rPr>
          <w:rFonts w:eastAsia="Arial Unicode MS"/>
          <w:color w:val="000000"/>
          <w:u w:color="000000"/>
        </w:rPr>
        <w:t>енерального директора ФГБУ НМИЦ гематологии Минздрава России, Москва</w:t>
      </w:r>
      <w:r w:rsidR="00F140D0" w:rsidRPr="00F140D0">
        <w:rPr>
          <w:rFonts w:eastAsia="Arial Unicode MS"/>
          <w:color w:val="000000"/>
          <w:u w:color="000000"/>
        </w:rPr>
        <w:t xml:space="preserve">, </w:t>
      </w:r>
      <w:r w:rsidR="009E7EAB">
        <w:rPr>
          <w:rFonts w:eastAsia="Arial Unicode MS" w:cs="Times New Roman"/>
          <w:color w:val="000000"/>
          <w:szCs w:val="24"/>
          <w:u w:color="000000"/>
          <w:lang w:eastAsia="ru-RU"/>
        </w:rPr>
        <w:t>Н</w:t>
      </w:r>
      <w:r w:rsidR="00F140D0" w:rsidRPr="00F140D0">
        <w:rPr>
          <w:rFonts w:eastAsia="Arial Unicode MS" w:cs="Times New Roman"/>
          <w:color w:val="000000"/>
          <w:szCs w:val="24"/>
          <w:u w:color="000000"/>
          <w:lang w:eastAsia="ru-RU"/>
        </w:rPr>
        <w:t>ациональное гематологическое общество.</w:t>
      </w:r>
      <w:r w:rsidRPr="00F140D0">
        <w:rPr>
          <w:rFonts w:eastAsia="Arial Unicode MS"/>
          <w:color w:val="000000"/>
          <w:u w:color="000000"/>
        </w:rPr>
        <w:t xml:space="preserve"> </w:t>
      </w:r>
    </w:p>
    <w:p w14:paraId="46A4CF2C" w14:textId="4D929550" w:rsidR="003D1B77" w:rsidRPr="00F140D0" w:rsidRDefault="003D1B77" w:rsidP="00BF4D82">
      <w:pPr>
        <w:pStyle w:val="afe"/>
        <w:numPr>
          <w:ilvl w:val="0"/>
          <w:numId w:val="12"/>
        </w:numPr>
        <w:rPr>
          <w:rFonts w:eastAsia="Arial Unicode MS"/>
          <w:color w:val="000000"/>
          <w:u w:color="000000"/>
        </w:rPr>
      </w:pPr>
      <w:r w:rsidRPr="00F140D0">
        <w:rPr>
          <w:rFonts w:eastAsia="Arial Unicode MS"/>
          <w:b/>
          <w:color w:val="000000"/>
          <w:u w:color="000000"/>
        </w:rPr>
        <w:t>Клясова Г.А.</w:t>
      </w:r>
      <w:r w:rsidRPr="00F140D0">
        <w:rPr>
          <w:rFonts w:eastAsia="Arial Unicode MS"/>
          <w:color w:val="000000"/>
          <w:u w:color="000000"/>
        </w:rPr>
        <w:t xml:space="preserve"> д.м.н., профессор, заведующая научно-клинической лабораторией микробиологии ФГБУ НМИЦ гематологии Минздрава России, Москва, </w:t>
      </w:r>
      <w:r w:rsidR="009E7EAB">
        <w:rPr>
          <w:rFonts w:eastAsia="Arial Unicode MS" w:cs="Times New Roman"/>
          <w:color w:val="000000"/>
          <w:szCs w:val="24"/>
          <w:u w:color="000000"/>
          <w:lang w:eastAsia="ru-RU"/>
        </w:rPr>
        <w:t>Н</w:t>
      </w:r>
      <w:r w:rsidR="00F140D0" w:rsidRPr="00F140D0">
        <w:rPr>
          <w:rFonts w:eastAsia="Arial Unicode MS" w:cs="Times New Roman"/>
          <w:color w:val="000000"/>
          <w:szCs w:val="24"/>
          <w:u w:color="000000"/>
          <w:lang w:eastAsia="ru-RU"/>
        </w:rPr>
        <w:t>ациональное гематологическое общество.</w:t>
      </w:r>
    </w:p>
    <w:p w14:paraId="67929776" w14:textId="6802A7A0" w:rsidR="003D1B77" w:rsidRPr="00F140D0" w:rsidRDefault="003D1B77" w:rsidP="00BF4D82">
      <w:pPr>
        <w:pStyle w:val="afe"/>
        <w:numPr>
          <w:ilvl w:val="0"/>
          <w:numId w:val="12"/>
        </w:numPr>
        <w:rPr>
          <w:rFonts w:eastAsia="Arial Unicode MS"/>
          <w:color w:val="000000"/>
          <w:u w:color="000000"/>
        </w:rPr>
      </w:pPr>
      <w:r w:rsidRPr="00F140D0">
        <w:rPr>
          <w:rFonts w:eastAsia="Arial Unicode MS"/>
          <w:b/>
          <w:color w:val="000000"/>
          <w:u w:color="000000"/>
        </w:rPr>
        <w:t xml:space="preserve">Кулагин А.Д. </w:t>
      </w:r>
      <w:r w:rsidRPr="00F140D0">
        <w:rPr>
          <w:rFonts w:eastAsia="Arial Unicode MS"/>
          <w:color w:val="000000"/>
          <w:u w:color="000000"/>
        </w:rPr>
        <w:t xml:space="preserve"> д.м.н., заместитель главного врача по клинике ГБОУ ВПО «Санкт-Петербургский государственный медицинский университет им. акад. И.П. Павлова» Минздрава России</w:t>
      </w:r>
      <w:r w:rsidR="009E7EAB">
        <w:rPr>
          <w:rFonts w:eastAsia="Arial Unicode MS"/>
          <w:color w:val="000000"/>
          <w:u w:color="000000"/>
        </w:rPr>
        <w:t>,</w:t>
      </w:r>
      <w:r w:rsidR="00014C82">
        <w:rPr>
          <w:rFonts w:eastAsia="Arial Unicode MS"/>
          <w:color w:val="000000"/>
          <w:u w:color="000000"/>
        </w:rPr>
        <w:t xml:space="preserve"> </w:t>
      </w:r>
      <w:r w:rsidRPr="00F140D0">
        <w:rPr>
          <w:rFonts w:eastAsia="Arial Unicode MS"/>
          <w:color w:val="000000"/>
          <w:u w:color="000000"/>
        </w:rPr>
        <w:t>Санкт-Петербург</w:t>
      </w:r>
      <w:r w:rsidR="00776F49" w:rsidRPr="00F140D0">
        <w:rPr>
          <w:rFonts w:eastAsia="Arial Unicode MS"/>
          <w:color w:val="000000"/>
          <w:u w:color="000000"/>
        </w:rPr>
        <w:t xml:space="preserve">, </w:t>
      </w:r>
      <w:r w:rsidRPr="00F140D0">
        <w:rPr>
          <w:rFonts w:eastAsia="Arial Unicode MS"/>
          <w:color w:val="000000"/>
          <w:u w:color="000000"/>
        </w:rPr>
        <w:t>НИИ детской гематологии и трансплантологии им. Р.М.</w:t>
      </w:r>
      <w:r w:rsidR="00014C82">
        <w:rPr>
          <w:rFonts w:eastAsia="Arial Unicode MS"/>
          <w:color w:val="000000"/>
          <w:u w:color="000000"/>
        </w:rPr>
        <w:t xml:space="preserve"> </w:t>
      </w:r>
      <w:r w:rsidRPr="00F140D0">
        <w:rPr>
          <w:rFonts w:eastAsia="Arial Unicode MS"/>
          <w:color w:val="000000"/>
          <w:u w:color="000000"/>
        </w:rPr>
        <w:t xml:space="preserve">Горбачевой, </w:t>
      </w:r>
      <w:r w:rsidR="009E7EAB">
        <w:rPr>
          <w:rFonts w:eastAsia="Arial Unicode MS" w:cs="Times New Roman"/>
          <w:color w:val="000000"/>
          <w:szCs w:val="24"/>
          <w:u w:color="000000"/>
          <w:lang w:eastAsia="ru-RU"/>
        </w:rPr>
        <w:t>Н</w:t>
      </w:r>
      <w:r w:rsidR="00F140D0" w:rsidRPr="00F140D0">
        <w:rPr>
          <w:rFonts w:eastAsia="Arial Unicode MS" w:cs="Times New Roman"/>
          <w:color w:val="000000"/>
          <w:szCs w:val="24"/>
          <w:u w:color="000000"/>
          <w:lang w:eastAsia="ru-RU"/>
        </w:rPr>
        <w:t>ациональное гематологическое общество.</w:t>
      </w:r>
    </w:p>
    <w:p w14:paraId="7DC985B8" w14:textId="48E58C73" w:rsidR="003D1B77" w:rsidRPr="00F140D0" w:rsidRDefault="003D1B77" w:rsidP="00BF4D82">
      <w:pPr>
        <w:pStyle w:val="afe"/>
        <w:numPr>
          <w:ilvl w:val="0"/>
          <w:numId w:val="12"/>
        </w:numPr>
        <w:rPr>
          <w:rFonts w:eastAsia="Arial Unicode MS"/>
          <w:color w:val="000000"/>
          <w:u w:color="000000"/>
        </w:rPr>
      </w:pPr>
      <w:r w:rsidRPr="00F140D0">
        <w:rPr>
          <w:rFonts w:eastAsia="Arial Unicode MS"/>
          <w:b/>
          <w:color w:val="000000"/>
          <w:u w:color="000000"/>
        </w:rPr>
        <w:t>Лапин В.А.</w:t>
      </w:r>
      <w:r w:rsidRPr="00F140D0">
        <w:rPr>
          <w:rFonts w:eastAsia="Arial Unicode MS"/>
          <w:color w:val="000000"/>
          <w:u w:color="000000"/>
        </w:rPr>
        <w:t xml:space="preserve"> врач-гематолог ГБУЗ ЯО Областная клиническая больница, Ярославль, главный гематолог Ярославской области</w:t>
      </w:r>
      <w:r w:rsidR="00F140D0" w:rsidRPr="00F140D0">
        <w:rPr>
          <w:rFonts w:eastAsia="Arial Unicode MS"/>
          <w:color w:val="000000"/>
          <w:u w:color="000000"/>
        </w:rPr>
        <w:t xml:space="preserve">, </w:t>
      </w:r>
      <w:r w:rsidR="009E7EAB">
        <w:rPr>
          <w:rFonts w:eastAsia="Arial Unicode MS" w:cs="Times New Roman"/>
          <w:color w:val="000000"/>
          <w:szCs w:val="24"/>
          <w:u w:color="000000"/>
          <w:lang w:eastAsia="ru-RU"/>
        </w:rPr>
        <w:t>Н</w:t>
      </w:r>
      <w:r w:rsidR="00F140D0" w:rsidRPr="00F140D0">
        <w:rPr>
          <w:rFonts w:eastAsia="Arial Unicode MS" w:cs="Times New Roman"/>
          <w:color w:val="000000"/>
          <w:szCs w:val="24"/>
          <w:u w:color="000000"/>
          <w:lang w:eastAsia="ru-RU"/>
        </w:rPr>
        <w:t>ациональное гематологическое общество.</w:t>
      </w:r>
      <w:r w:rsidRPr="00F140D0">
        <w:rPr>
          <w:rFonts w:eastAsia="Arial Unicode MS"/>
          <w:color w:val="000000"/>
          <w:u w:color="000000"/>
        </w:rPr>
        <w:t xml:space="preserve"> </w:t>
      </w:r>
    </w:p>
    <w:p w14:paraId="371BEDB6" w14:textId="3E3672A4" w:rsidR="003D1B77" w:rsidRPr="00F140D0" w:rsidRDefault="003D1B77" w:rsidP="00BF4D82">
      <w:pPr>
        <w:pStyle w:val="afe"/>
        <w:numPr>
          <w:ilvl w:val="0"/>
          <w:numId w:val="12"/>
        </w:numPr>
        <w:rPr>
          <w:rFonts w:eastAsia="Arial Unicode MS"/>
          <w:color w:val="000000"/>
          <w:u w:color="000000"/>
        </w:rPr>
      </w:pPr>
      <w:r w:rsidRPr="00F140D0">
        <w:rPr>
          <w:rFonts w:eastAsia="Arial Unicode MS"/>
          <w:b/>
          <w:color w:val="000000"/>
          <w:u w:color="000000"/>
        </w:rPr>
        <w:t>Михайлова Е.А.</w:t>
      </w:r>
      <w:r w:rsidRPr="00F140D0">
        <w:rPr>
          <w:rFonts w:eastAsia="Arial Unicode MS"/>
          <w:color w:val="000000"/>
          <w:u w:color="000000"/>
        </w:rPr>
        <w:t xml:space="preserve"> д.м.н., профессор, ведущий научный сотрудник отделения химиотерапии гемобластозов и депрессий кроветворения ФГБУ НМИЦ гематологии Минздрава России, Москва, </w:t>
      </w:r>
      <w:r w:rsidR="00E20452">
        <w:rPr>
          <w:rFonts w:eastAsia="Arial Unicode MS" w:cs="Times New Roman"/>
          <w:color w:val="000000"/>
          <w:szCs w:val="24"/>
          <w:u w:color="000000"/>
          <w:lang w:eastAsia="ru-RU"/>
        </w:rPr>
        <w:t>Н</w:t>
      </w:r>
      <w:r w:rsidR="00E20452" w:rsidRPr="00F140D0">
        <w:rPr>
          <w:rFonts w:eastAsia="Arial Unicode MS" w:cs="Times New Roman"/>
          <w:color w:val="000000"/>
          <w:szCs w:val="24"/>
          <w:u w:color="000000"/>
          <w:lang w:eastAsia="ru-RU"/>
        </w:rPr>
        <w:t xml:space="preserve">ациональное </w:t>
      </w:r>
      <w:r w:rsidR="00F140D0" w:rsidRPr="00F140D0">
        <w:rPr>
          <w:rFonts w:eastAsia="Arial Unicode MS" w:cs="Times New Roman"/>
          <w:color w:val="000000"/>
          <w:szCs w:val="24"/>
          <w:u w:color="000000"/>
          <w:lang w:eastAsia="ru-RU"/>
        </w:rPr>
        <w:t>гематологическое общество.</w:t>
      </w:r>
    </w:p>
    <w:p w14:paraId="457B4159" w14:textId="294A0420" w:rsidR="003D1B77" w:rsidRPr="00F140D0" w:rsidRDefault="003D1B77" w:rsidP="00BF4D82">
      <w:pPr>
        <w:pStyle w:val="afe"/>
        <w:numPr>
          <w:ilvl w:val="0"/>
          <w:numId w:val="12"/>
        </w:numPr>
        <w:rPr>
          <w:rFonts w:eastAsia="Arial Unicode MS"/>
          <w:color w:val="000000"/>
          <w:u w:color="000000"/>
        </w:rPr>
      </w:pPr>
      <w:r w:rsidRPr="00F140D0">
        <w:rPr>
          <w:rFonts w:eastAsia="Arial Unicode MS"/>
          <w:b/>
          <w:color w:val="000000"/>
          <w:u w:color="000000"/>
        </w:rPr>
        <w:t>Паровичникова Е.Н.</w:t>
      </w:r>
      <w:r w:rsidRPr="00F140D0">
        <w:rPr>
          <w:rFonts w:eastAsia="Arial Unicode MS"/>
          <w:color w:val="000000"/>
          <w:u w:color="000000"/>
        </w:rPr>
        <w:t xml:space="preserve"> д.м.н., заведующая научно-клиническим отделом химиотерапии гемобластозов, депрессий кроветворения и трансплантации костного мозга ФГБУ НМИЦ гематологии Минздрава России, Москва, </w:t>
      </w:r>
      <w:r w:rsidR="009E7EAB">
        <w:rPr>
          <w:rFonts w:eastAsia="Arial Unicode MS" w:cs="Times New Roman"/>
          <w:color w:val="000000"/>
          <w:szCs w:val="24"/>
          <w:u w:color="000000"/>
          <w:lang w:eastAsia="ru-RU"/>
        </w:rPr>
        <w:t>Н</w:t>
      </w:r>
      <w:r w:rsidR="00F140D0" w:rsidRPr="00F140D0">
        <w:rPr>
          <w:rFonts w:eastAsia="Arial Unicode MS" w:cs="Times New Roman"/>
          <w:color w:val="000000"/>
          <w:szCs w:val="24"/>
          <w:u w:color="000000"/>
          <w:lang w:eastAsia="ru-RU"/>
        </w:rPr>
        <w:t>ациональное гематологическое общество.</w:t>
      </w:r>
    </w:p>
    <w:p w14:paraId="2486D231" w14:textId="68791039" w:rsidR="003D1B77" w:rsidRPr="00F140D0" w:rsidRDefault="003D1B77" w:rsidP="00BF4D82">
      <w:pPr>
        <w:pStyle w:val="afe"/>
        <w:numPr>
          <w:ilvl w:val="0"/>
          <w:numId w:val="12"/>
        </w:numPr>
        <w:rPr>
          <w:rFonts w:eastAsia="Arial Unicode MS"/>
          <w:color w:val="000000"/>
          <w:u w:color="000000"/>
        </w:rPr>
      </w:pPr>
      <w:r w:rsidRPr="00F140D0">
        <w:rPr>
          <w:rFonts w:eastAsia="Arial Unicode MS"/>
          <w:b/>
          <w:color w:val="000000"/>
          <w:u w:color="000000"/>
        </w:rPr>
        <w:t>Савченко В.Г.</w:t>
      </w:r>
      <w:r w:rsidRPr="00F140D0">
        <w:rPr>
          <w:rFonts w:eastAsia="Arial Unicode MS"/>
          <w:color w:val="000000"/>
          <w:u w:color="000000"/>
        </w:rPr>
        <w:t xml:space="preserve"> академик, д.м.н., профессор, Генеральный директор ФГБУ НМИЦ гематологии Минздрава России, Москва, </w:t>
      </w:r>
      <w:r w:rsidR="009E7EAB">
        <w:rPr>
          <w:rFonts w:eastAsia="Arial Unicode MS" w:cs="Times New Roman"/>
          <w:color w:val="000000"/>
          <w:szCs w:val="24"/>
          <w:u w:color="000000"/>
          <w:lang w:eastAsia="ru-RU"/>
        </w:rPr>
        <w:t>Н</w:t>
      </w:r>
      <w:r w:rsidR="00F140D0" w:rsidRPr="00F140D0">
        <w:rPr>
          <w:rFonts w:eastAsia="Arial Unicode MS" w:cs="Times New Roman"/>
          <w:color w:val="000000"/>
          <w:szCs w:val="24"/>
          <w:u w:color="000000"/>
          <w:lang w:eastAsia="ru-RU"/>
        </w:rPr>
        <w:t>ациональное гематологическое общество.</w:t>
      </w:r>
    </w:p>
    <w:p w14:paraId="633A79FD" w14:textId="191712ED" w:rsidR="003D1B77" w:rsidRPr="00F140D0" w:rsidRDefault="003D1B77" w:rsidP="00BF4D82">
      <w:pPr>
        <w:pStyle w:val="afe"/>
        <w:numPr>
          <w:ilvl w:val="0"/>
          <w:numId w:val="12"/>
        </w:numPr>
        <w:rPr>
          <w:rFonts w:eastAsia="Arial Unicode MS"/>
          <w:color w:val="000000"/>
          <w:u w:color="000000"/>
        </w:rPr>
      </w:pPr>
      <w:r w:rsidRPr="00F140D0">
        <w:rPr>
          <w:rFonts w:eastAsia="Arial Unicode MS"/>
          <w:b/>
          <w:color w:val="000000"/>
          <w:u w:color="000000"/>
        </w:rPr>
        <w:lastRenderedPageBreak/>
        <w:t>Самойлова О.С.</w:t>
      </w:r>
      <w:r w:rsidRPr="00F140D0">
        <w:rPr>
          <w:rFonts w:eastAsia="Arial Unicode MS"/>
          <w:color w:val="000000"/>
          <w:u w:color="000000"/>
        </w:rPr>
        <w:t xml:space="preserve"> к.м.н., заведующая отделение гематологии ГБУЗ Нижегородской области Нижегородская областная клиническая больница им. Н.А.Семашко, Нижний Новгород, </w:t>
      </w:r>
      <w:r w:rsidR="009E7EAB">
        <w:rPr>
          <w:rFonts w:eastAsia="Arial Unicode MS"/>
          <w:color w:val="000000"/>
          <w:u w:color="000000"/>
        </w:rPr>
        <w:t>Н</w:t>
      </w:r>
      <w:r w:rsidR="00F140D0">
        <w:rPr>
          <w:rFonts w:eastAsia="Arial Unicode MS" w:cs="Times New Roman"/>
          <w:color w:val="000000"/>
          <w:szCs w:val="24"/>
          <w:u w:color="000000"/>
          <w:lang w:eastAsia="ru-RU"/>
        </w:rPr>
        <w:t>ациональное гематологическое общество.</w:t>
      </w:r>
    </w:p>
    <w:p w14:paraId="5566D718" w14:textId="253DC5C5" w:rsidR="003D1B77" w:rsidRPr="00F140D0" w:rsidRDefault="003D1B77" w:rsidP="00BF4D82">
      <w:pPr>
        <w:pStyle w:val="afe"/>
        <w:numPr>
          <w:ilvl w:val="0"/>
          <w:numId w:val="12"/>
        </w:numPr>
        <w:rPr>
          <w:rFonts w:eastAsia="Arial Unicode MS"/>
          <w:color w:val="000000"/>
          <w:u w:color="000000"/>
        </w:rPr>
      </w:pPr>
      <w:r w:rsidRPr="00F140D0">
        <w:rPr>
          <w:rFonts w:eastAsia="Arial Unicode MS"/>
          <w:b/>
          <w:color w:val="000000"/>
          <w:u w:color="000000"/>
        </w:rPr>
        <w:t>Троицкая В.В.</w:t>
      </w:r>
      <w:r w:rsidRPr="00F140D0">
        <w:rPr>
          <w:rFonts w:eastAsia="Arial Unicode MS"/>
          <w:color w:val="000000"/>
          <w:u w:color="000000"/>
        </w:rPr>
        <w:t xml:space="preserve"> к.м.н., заведующая научно-клиническим отделением химиотерапии гемобластозов и депрессий кроветворения ФГБУ НМИЦ гематологии Минздрава России, Москва, </w:t>
      </w:r>
      <w:r w:rsidR="009E7EAB">
        <w:rPr>
          <w:rFonts w:eastAsia="Arial Unicode MS" w:cs="Times New Roman"/>
          <w:color w:val="000000"/>
          <w:szCs w:val="24"/>
          <w:u w:color="000000"/>
          <w:lang w:eastAsia="ru-RU"/>
        </w:rPr>
        <w:t>Н</w:t>
      </w:r>
      <w:r w:rsidR="00F140D0" w:rsidRPr="00F140D0">
        <w:rPr>
          <w:rFonts w:eastAsia="Arial Unicode MS" w:cs="Times New Roman"/>
          <w:color w:val="000000"/>
          <w:szCs w:val="24"/>
          <w:u w:color="000000"/>
          <w:lang w:eastAsia="ru-RU"/>
        </w:rPr>
        <w:t>ациональное гематологическое общество.</w:t>
      </w:r>
    </w:p>
    <w:p w14:paraId="65569B0B" w14:textId="58FB3689" w:rsidR="003D1B77" w:rsidRPr="00083277" w:rsidRDefault="003D1B77" w:rsidP="00BF4D82">
      <w:pPr>
        <w:pStyle w:val="afe"/>
        <w:numPr>
          <w:ilvl w:val="0"/>
          <w:numId w:val="12"/>
        </w:numPr>
        <w:rPr>
          <w:rFonts w:eastAsia="Arial Unicode MS"/>
          <w:color w:val="000000"/>
          <w:u w:color="000000"/>
        </w:rPr>
      </w:pPr>
      <w:r w:rsidRPr="00F140D0">
        <w:rPr>
          <w:b/>
        </w:rPr>
        <w:t xml:space="preserve">Фидарова З.Т. </w:t>
      </w:r>
      <w:r w:rsidRPr="00F140D0">
        <w:rPr>
          <w:rFonts w:eastAsia="Arial Unicode MS"/>
          <w:color w:val="000000"/>
          <w:u w:color="000000"/>
        </w:rPr>
        <w:t>к.м.н., научный сотрудник отделения химиотерапии гемобластозов и депрессий кроветворения ФГБУ НМИЦ гематологии Минздрава России, Москва,</w:t>
      </w:r>
      <w:r w:rsidR="00F140D0" w:rsidRPr="00F140D0">
        <w:rPr>
          <w:rFonts w:eastAsia="Arial Unicode MS"/>
          <w:color w:val="000000"/>
          <w:u w:color="000000"/>
        </w:rPr>
        <w:t xml:space="preserve"> </w:t>
      </w:r>
      <w:r w:rsidR="009E7EAB">
        <w:rPr>
          <w:rFonts w:eastAsia="Arial Unicode MS" w:cs="Times New Roman"/>
          <w:color w:val="000000"/>
          <w:szCs w:val="24"/>
          <w:u w:color="000000"/>
          <w:lang w:eastAsia="ru-RU"/>
        </w:rPr>
        <w:t>Н</w:t>
      </w:r>
      <w:r w:rsidR="00F140D0" w:rsidRPr="00F140D0">
        <w:rPr>
          <w:rFonts w:eastAsia="Arial Unicode MS" w:cs="Times New Roman"/>
          <w:color w:val="000000"/>
          <w:szCs w:val="24"/>
          <w:u w:color="000000"/>
          <w:lang w:eastAsia="ru-RU"/>
        </w:rPr>
        <w:t>ациональное гематологическое общество.</w:t>
      </w:r>
    </w:p>
    <w:p w14:paraId="098DCE09" w14:textId="77777777" w:rsidR="00C5293A" w:rsidRPr="00652916" w:rsidRDefault="00C5293A" w:rsidP="00C5293A">
      <w:pPr>
        <w:rPr>
          <w:color w:val="000000"/>
          <w:szCs w:val="24"/>
        </w:rPr>
      </w:pPr>
      <w:r w:rsidRPr="00652916">
        <w:rPr>
          <w:b/>
          <w:color w:val="000000"/>
          <w:szCs w:val="24"/>
        </w:rPr>
        <w:t>Блок по трансплантации аллогенных гемопоэтических стволовых клеток</w:t>
      </w:r>
    </w:p>
    <w:p w14:paraId="6AC2F0AC" w14:textId="77777777" w:rsidR="00C5293A" w:rsidRPr="00652916"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Дроков М.Ю.,</w:t>
      </w:r>
      <w:r w:rsidRPr="00652916">
        <w:rPr>
          <w:rFonts w:eastAsia="SimSun"/>
          <w:szCs w:val="24"/>
        </w:rPr>
        <w:t xml:space="preserve"> к.м.н., руководитель сектора по изучению иммунных воздействий и осложнений после ТКМ ФГБУ «НМИЦ гематологии» Минздрава России</w:t>
      </w:r>
    </w:p>
    <w:p w14:paraId="5397F988" w14:textId="77777777" w:rsidR="00C5293A" w:rsidRPr="00652916"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Васильева В.А.,</w:t>
      </w:r>
      <w:r w:rsidRPr="00652916">
        <w:rPr>
          <w:rFonts w:eastAsia="SimSun"/>
          <w:szCs w:val="24"/>
        </w:rPr>
        <w:t xml:space="preserve"> к.м.н., заведующая отделением иммунохимиотерапии с дневным стационаром для больных после ТКМ ФГБУ «НМИЦ гематологии» Минздрава России</w:t>
      </w:r>
    </w:p>
    <w:p w14:paraId="084CCAB3" w14:textId="77777777" w:rsidR="00C5293A" w:rsidRPr="00652916"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Власова Ю.Ю.,</w:t>
      </w:r>
      <w:r w:rsidRPr="00652916">
        <w:rPr>
          <w:rFonts w:eastAsia="SimSun"/>
          <w:szCs w:val="24"/>
        </w:rPr>
        <w:t xml:space="preserve"> к.м.н., зав. отделением транспантации костного мозга для взрослых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14:paraId="414274BE" w14:textId="77777777" w:rsidR="00C5293A" w:rsidRPr="00652916"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Грицаев С.В.,</w:t>
      </w:r>
      <w:r w:rsidRPr="00652916">
        <w:rPr>
          <w:szCs w:val="24"/>
        </w:rPr>
        <w:t xml:space="preserve"> </w:t>
      </w:r>
      <w:r w:rsidRPr="00652916">
        <w:rPr>
          <w:rFonts w:eastAsia="SimSun"/>
          <w:szCs w:val="24"/>
        </w:rPr>
        <w:t>д.м.н., руководитель Республиканского центра ТКМ ФГБУ РосНИИГТ ФМБА России</w:t>
      </w:r>
    </w:p>
    <w:p w14:paraId="2D857C69" w14:textId="77777777" w:rsidR="00C5293A" w:rsidRPr="00652916"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Зарицкий А.Ю.,</w:t>
      </w:r>
      <w:r w:rsidRPr="00652916">
        <w:rPr>
          <w:rFonts w:eastAsia="SimSun"/>
          <w:szCs w:val="24"/>
        </w:rPr>
        <w:t xml:space="preserve"> д.м.н,</w:t>
      </w:r>
      <w:r w:rsidRPr="00652916">
        <w:rPr>
          <w:szCs w:val="24"/>
        </w:rPr>
        <w:t xml:space="preserve"> профессор,</w:t>
      </w:r>
      <w:r w:rsidRPr="00652916">
        <w:rPr>
          <w:rFonts w:eastAsia="SimSun"/>
          <w:szCs w:val="24"/>
        </w:rPr>
        <w:t xml:space="preserve"> директор института гематологии, ФГБУ НМИЦ им В.А. Алмазова </w:t>
      </w:r>
    </w:p>
    <w:p w14:paraId="75028462" w14:textId="77777777" w:rsidR="00C5293A" w:rsidRPr="00E474D3"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Зюзгин И.С.,</w:t>
      </w:r>
      <w:r w:rsidRPr="00652916">
        <w:rPr>
          <w:rFonts w:eastAsia="SimSun"/>
          <w:szCs w:val="24"/>
        </w:rPr>
        <w:t xml:space="preserve"> заведующий отделением гематологии и трансплантации костного мозга ФГБУ «НМИЦ онкологии им. </w:t>
      </w:r>
      <w:r w:rsidRPr="00E474D3">
        <w:rPr>
          <w:rFonts w:eastAsia="SimSun"/>
          <w:szCs w:val="24"/>
        </w:rPr>
        <w:t>Н.Н. Петрова» Минздрава России</w:t>
      </w:r>
    </w:p>
    <w:p w14:paraId="7C9DA54D" w14:textId="77777777" w:rsidR="00C5293A" w:rsidRPr="00E474D3"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Капорская Т.С.,</w:t>
      </w:r>
      <w:r>
        <w:rPr>
          <w:rFonts w:eastAsia="SimSun"/>
          <w:szCs w:val="24"/>
        </w:rPr>
        <w:t xml:space="preserve"> </w:t>
      </w:r>
      <w:r w:rsidRPr="00E474D3">
        <w:rPr>
          <w:rFonts w:eastAsia="SimSun"/>
          <w:szCs w:val="24"/>
        </w:rPr>
        <w:t>к.м.н</w:t>
      </w:r>
      <w:r>
        <w:rPr>
          <w:rFonts w:eastAsia="SimSun"/>
          <w:szCs w:val="24"/>
        </w:rPr>
        <w:t>.,</w:t>
      </w:r>
      <w:r w:rsidRPr="00E474D3">
        <w:rPr>
          <w:rFonts w:eastAsia="SimSun"/>
          <w:szCs w:val="24"/>
        </w:rPr>
        <w:t xml:space="preserve"> зав. отделением гематологии с блоком трансплантации костного мозга ГБУЗ «Иркутская ордена «Знак Почета» областная клиническая больница»</w:t>
      </w:r>
    </w:p>
    <w:p w14:paraId="46DB64FF" w14:textId="77777777" w:rsidR="00C5293A" w:rsidRPr="00652916"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Климко Н.Н.,</w:t>
      </w:r>
      <w:r w:rsidRPr="00652916">
        <w:rPr>
          <w:rFonts w:eastAsia="SimSun"/>
          <w:szCs w:val="24"/>
        </w:rPr>
        <w:t xml:space="preserve"> д.м.н,</w:t>
      </w:r>
      <w:r w:rsidRPr="00652916">
        <w:rPr>
          <w:szCs w:val="24"/>
        </w:rPr>
        <w:t xml:space="preserve"> профессор</w:t>
      </w:r>
      <w:r w:rsidRPr="00652916">
        <w:rPr>
          <w:rFonts w:eastAsia="SimSun"/>
          <w:szCs w:val="24"/>
        </w:rPr>
        <w:t xml:space="preserve"> заведующий кафедрой клинической микологии, аллергологии и иммунологии СЗГМУ им.И.И. Мечникова.</w:t>
      </w:r>
    </w:p>
    <w:p w14:paraId="4843EC71" w14:textId="77777777" w:rsidR="00C5293A" w:rsidRPr="00E474D3" w:rsidRDefault="00C5293A" w:rsidP="00BF4D82">
      <w:pPr>
        <w:pStyle w:val="afe"/>
        <w:numPr>
          <w:ilvl w:val="0"/>
          <w:numId w:val="12"/>
        </w:numPr>
        <w:overflowPunct w:val="0"/>
        <w:autoSpaceDE w:val="0"/>
        <w:autoSpaceDN w:val="0"/>
        <w:adjustRightInd w:val="0"/>
        <w:textAlignment w:val="baseline"/>
        <w:rPr>
          <w:rFonts w:eastAsia="SimSun"/>
          <w:szCs w:val="24"/>
        </w:rPr>
      </w:pPr>
      <w:r w:rsidRPr="00A37224">
        <w:rPr>
          <w:rFonts w:eastAsia="SimSun"/>
          <w:b/>
          <w:bCs/>
          <w:szCs w:val="24"/>
        </w:rPr>
        <w:t>Константинова Т.С.,</w:t>
      </w:r>
      <w:r>
        <w:rPr>
          <w:rFonts w:eastAsia="SimSun"/>
          <w:szCs w:val="24"/>
        </w:rPr>
        <w:t xml:space="preserve"> </w:t>
      </w:r>
      <w:r w:rsidRPr="00E474D3">
        <w:rPr>
          <w:rFonts w:eastAsia="SimSun"/>
          <w:szCs w:val="24"/>
        </w:rPr>
        <w:t>к.м.н.</w:t>
      </w:r>
      <w:r>
        <w:rPr>
          <w:rFonts w:eastAsia="SimSun"/>
          <w:szCs w:val="24"/>
        </w:rPr>
        <w:t xml:space="preserve">, </w:t>
      </w:r>
      <w:r w:rsidRPr="00E474D3">
        <w:rPr>
          <w:rFonts w:eastAsia="SimSun"/>
          <w:szCs w:val="24"/>
        </w:rPr>
        <w:t>заведующая отделением гематологии ГАУЗ СО «Свердловская областная больница №1», главный внештатный гематолог УрФО и Свердловской области, доцент ФГБОУ ВО «Уральского Государственного Медицинского Университета» МЗ РФ</w:t>
      </w:r>
    </w:p>
    <w:p w14:paraId="70D27959" w14:textId="77777777" w:rsidR="00C5293A" w:rsidRPr="00C8154D" w:rsidRDefault="00C5293A" w:rsidP="00BF4D82">
      <w:pPr>
        <w:pStyle w:val="afe"/>
        <w:numPr>
          <w:ilvl w:val="0"/>
          <w:numId w:val="12"/>
        </w:numPr>
        <w:overflowPunct w:val="0"/>
        <w:autoSpaceDE w:val="0"/>
        <w:autoSpaceDN w:val="0"/>
        <w:adjustRightInd w:val="0"/>
        <w:textAlignment w:val="baseline"/>
        <w:rPr>
          <w:rFonts w:eastAsia="SimSun"/>
          <w:szCs w:val="24"/>
        </w:rPr>
      </w:pPr>
      <w:r w:rsidRPr="00A37224">
        <w:rPr>
          <w:rFonts w:eastAsia="SimSun"/>
          <w:b/>
          <w:bCs/>
          <w:szCs w:val="24"/>
        </w:rPr>
        <w:lastRenderedPageBreak/>
        <w:t>Кузьмина Л.А.,</w:t>
      </w:r>
      <w:r>
        <w:rPr>
          <w:rFonts w:eastAsia="SimSun"/>
          <w:szCs w:val="24"/>
        </w:rPr>
        <w:t xml:space="preserve"> </w:t>
      </w:r>
      <w:r w:rsidRPr="00E474D3">
        <w:rPr>
          <w:rFonts w:eastAsia="SimSun"/>
          <w:szCs w:val="24"/>
        </w:rPr>
        <w:t>зав. отделением интенсивной высокодозной химиотерапии и трансплантации костного мозга с круглосуточным стационаром ФГБУ</w:t>
      </w:r>
      <w:r>
        <w:rPr>
          <w:rFonts w:eastAsia="SimSun"/>
          <w:szCs w:val="24"/>
        </w:rPr>
        <w:t xml:space="preserve"> </w:t>
      </w:r>
      <w:r w:rsidRPr="00C8154D">
        <w:rPr>
          <w:rFonts w:eastAsia="SimSun"/>
          <w:szCs w:val="24"/>
        </w:rPr>
        <w:t>«НМИЦ гематологии» Минздрава России</w:t>
      </w:r>
    </w:p>
    <w:p w14:paraId="1AFB84BB" w14:textId="77777777" w:rsidR="00C5293A" w:rsidRPr="00652916"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Минаева Н.В.,</w:t>
      </w:r>
      <w:r w:rsidRPr="00652916">
        <w:rPr>
          <w:rFonts w:eastAsia="SimSun"/>
          <w:szCs w:val="24"/>
        </w:rPr>
        <w:t xml:space="preserve"> зам. директора по лечебной работе ФГБУН КНИИ ГПК ФМБА России</w:t>
      </w:r>
    </w:p>
    <w:p w14:paraId="3E1FB4D4" w14:textId="77777777" w:rsidR="00C5293A" w:rsidRPr="00652916"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Моисеев И.С.</w:t>
      </w:r>
      <w:r w:rsidRPr="00652916">
        <w:rPr>
          <w:rFonts w:eastAsia="SimSun"/>
          <w:szCs w:val="24"/>
        </w:rPr>
        <w:t>, д.м.н., зам. директора по науке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14:paraId="6168FA03" w14:textId="77777777" w:rsidR="00C5293A" w:rsidRPr="00652916"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Морозова Е.В.,</w:t>
      </w:r>
      <w:r w:rsidRPr="00652916">
        <w:rPr>
          <w:rFonts w:eastAsia="SimSun"/>
          <w:szCs w:val="24"/>
        </w:rPr>
        <w:t xml:space="preserve">  к.м.н., руководитель отдела гематологии, онкологии и трансплантации для взрослых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 </w:t>
      </w:r>
    </w:p>
    <w:p w14:paraId="134C2C7E" w14:textId="77777777" w:rsidR="00C5293A" w:rsidRPr="00E474D3"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Моторин Д.В.,</w:t>
      </w:r>
      <w:r w:rsidRPr="00652916">
        <w:rPr>
          <w:rFonts w:eastAsia="SimSun"/>
          <w:szCs w:val="24"/>
        </w:rPr>
        <w:t xml:space="preserve"> к.м.н., врач-гематолог отделения онкогематологии  №2,  старший научный сотрудник ФГБУ «НМИЦ им. </w:t>
      </w:r>
      <w:r w:rsidRPr="00E474D3">
        <w:rPr>
          <w:rFonts w:eastAsia="SimSun"/>
          <w:szCs w:val="24"/>
        </w:rPr>
        <w:t>В.А. Алмазова» Минздрава России</w:t>
      </w:r>
    </w:p>
    <w:p w14:paraId="60C969F3" w14:textId="77777777" w:rsidR="00C5293A" w:rsidRPr="00652916"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Петрова Г.Д.,</w:t>
      </w:r>
      <w:r w:rsidRPr="00652916">
        <w:rPr>
          <w:rFonts w:eastAsia="SimSun"/>
          <w:szCs w:val="24"/>
        </w:rPr>
        <w:t xml:space="preserve"> к.м.н., заведующая отделением трансплантации костного мозга и гемопоэтических стволовых клеток отдела гематологии и трансплантации костного мозга ФГБУ "НМИЦ онкологии им Н. Н. Блохина" Минздрава России, </w:t>
      </w:r>
    </w:p>
    <w:p w14:paraId="29F27B1A" w14:textId="77777777" w:rsidR="00C5293A" w:rsidRPr="00E474D3"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 xml:space="preserve">Попова М.О., </w:t>
      </w:r>
      <w:r w:rsidRPr="00652916">
        <w:rPr>
          <w:rFonts w:eastAsia="SimSun"/>
          <w:szCs w:val="24"/>
        </w:rPr>
        <w:t xml:space="preserve"> к.м.н., доцент кафедры гематологии, трансфузиологии и трансплантологии ФПО ПСПбГМУ им. </w:t>
      </w:r>
      <w:r w:rsidRPr="00E474D3">
        <w:rPr>
          <w:rFonts w:eastAsia="SimSun"/>
          <w:szCs w:val="24"/>
        </w:rPr>
        <w:t>И.П. Павлова</w:t>
      </w:r>
    </w:p>
    <w:p w14:paraId="386815CA" w14:textId="75F66421" w:rsidR="00083277" w:rsidRPr="00BF0587" w:rsidRDefault="00C5293A" w:rsidP="00BF4D82">
      <w:pPr>
        <w:pStyle w:val="afe"/>
        <w:numPr>
          <w:ilvl w:val="0"/>
          <w:numId w:val="12"/>
        </w:numPr>
        <w:overflowPunct w:val="0"/>
        <w:autoSpaceDE w:val="0"/>
        <w:autoSpaceDN w:val="0"/>
        <w:adjustRightInd w:val="0"/>
        <w:textAlignment w:val="baseline"/>
        <w:rPr>
          <w:rFonts w:eastAsia="SimSun"/>
          <w:szCs w:val="24"/>
        </w:rPr>
      </w:pPr>
      <w:r w:rsidRPr="00652916">
        <w:rPr>
          <w:rFonts w:eastAsia="SimSun"/>
          <w:b/>
          <w:bCs/>
          <w:szCs w:val="24"/>
        </w:rPr>
        <w:t>Эстрина М.А.,</w:t>
      </w:r>
      <w:r w:rsidRPr="00652916">
        <w:rPr>
          <w:rFonts w:eastAsia="SimSun"/>
          <w:szCs w:val="24"/>
        </w:rPr>
        <w:t xml:space="preserve"> к.м.н., зав. отделением клинической трансфузиологии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14:paraId="4686E158" w14:textId="77777777" w:rsidR="003D1B77" w:rsidRDefault="003D1B77" w:rsidP="003D1B77">
      <w:pPr>
        <w:rPr>
          <w:b/>
          <w:u w:val="single"/>
        </w:rPr>
      </w:pPr>
    </w:p>
    <w:p w14:paraId="3F7FB979" w14:textId="77777777" w:rsidR="003D1B77" w:rsidRPr="00617969" w:rsidRDefault="003D1B77" w:rsidP="003D1B77">
      <w:r w:rsidRPr="00617969">
        <w:rPr>
          <w:b/>
          <w:u w:val="single"/>
        </w:rPr>
        <w:t>Конфликт интересов</w:t>
      </w:r>
      <w:r w:rsidRPr="00617969">
        <w:t>: авторы не имеют конфликта интересов.</w:t>
      </w:r>
    </w:p>
    <w:p w14:paraId="21FB1BE5" w14:textId="77777777" w:rsidR="002C3C32" w:rsidRPr="00F01BFA" w:rsidRDefault="00031607" w:rsidP="009F7F8A">
      <w:pPr>
        <w:pStyle w:val="affd"/>
      </w:pPr>
      <w:r>
        <w:br w:type="page"/>
      </w:r>
      <w:bookmarkStart w:id="72" w:name="_Toc67522259"/>
      <w:r w:rsidRPr="00F01BFA">
        <w:lastRenderedPageBreak/>
        <w:t xml:space="preserve">Приложение А2. </w:t>
      </w:r>
      <w:r w:rsidRPr="00083277">
        <w:t>Методология</w:t>
      </w:r>
      <w:r w:rsidRPr="00F01BFA">
        <w:t xml:space="preserve"> разработки клинических рекомендаций</w:t>
      </w:r>
      <w:bookmarkEnd w:id="72"/>
    </w:p>
    <w:p w14:paraId="3969D7DD" w14:textId="77777777" w:rsidR="00D23199" w:rsidRDefault="00031607" w:rsidP="00776F49">
      <w:pPr>
        <w:pStyle w:val="afd"/>
        <w:spacing w:before="100" w:after="100" w:line="360" w:lineRule="auto"/>
        <w:ind w:firstLine="709"/>
        <w:contextualSpacing/>
      </w:pPr>
      <w:r>
        <w:rPr>
          <w:rStyle w:val="affa"/>
          <w:u w:val="single"/>
        </w:rPr>
        <w:t>Целевая аудитория клинических рекомендаций:</w:t>
      </w:r>
    </w:p>
    <w:p w14:paraId="2C8B118D" w14:textId="17B67214" w:rsidR="00D23199" w:rsidRDefault="00776F49" w:rsidP="00BF4D82">
      <w:pPr>
        <w:pStyle w:val="afd"/>
        <w:numPr>
          <w:ilvl w:val="0"/>
          <w:numId w:val="8"/>
        </w:numPr>
        <w:spacing w:before="100" w:after="100" w:line="360" w:lineRule="auto"/>
        <w:ind w:firstLine="709"/>
        <w:contextualSpacing/>
      </w:pPr>
      <w:r>
        <w:t>Врач</w:t>
      </w:r>
      <w:r w:rsidR="00705B68">
        <w:t>и</w:t>
      </w:r>
      <w:r>
        <w:t>-</w:t>
      </w:r>
      <w:r w:rsidR="00031607">
        <w:t>гематологи;</w:t>
      </w:r>
    </w:p>
    <w:p w14:paraId="6E2D2703" w14:textId="68F8346C" w:rsidR="00D23199" w:rsidRDefault="00776F49" w:rsidP="00BF4D82">
      <w:pPr>
        <w:pStyle w:val="afd"/>
        <w:numPr>
          <w:ilvl w:val="0"/>
          <w:numId w:val="8"/>
        </w:numPr>
        <w:spacing w:before="100" w:after="100" w:line="360" w:lineRule="auto"/>
        <w:ind w:firstLine="709"/>
        <w:contextualSpacing/>
      </w:pPr>
      <w:r>
        <w:t>Врачи-</w:t>
      </w:r>
      <w:r w:rsidR="00031607">
        <w:t xml:space="preserve"> онкологи;</w:t>
      </w:r>
    </w:p>
    <w:p w14:paraId="553E814B" w14:textId="241406CA" w:rsidR="00D23199" w:rsidRDefault="00776F49" w:rsidP="00BF4D82">
      <w:pPr>
        <w:pStyle w:val="afd"/>
        <w:numPr>
          <w:ilvl w:val="0"/>
          <w:numId w:val="8"/>
        </w:numPr>
        <w:spacing w:before="100" w:after="100" w:line="360" w:lineRule="auto"/>
        <w:ind w:firstLine="709"/>
        <w:contextualSpacing/>
      </w:pPr>
      <w:r>
        <w:t>Врачи-</w:t>
      </w:r>
      <w:r w:rsidR="00705B68">
        <w:t xml:space="preserve"> терапевты.</w:t>
      </w:r>
    </w:p>
    <w:p w14:paraId="2AA71B62" w14:textId="3A44B77C" w:rsidR="00D23199" w:rsidRDefault="00031607" w:rsidP="002C60E1">
      <w:pPr>
        <w:pStyle w:val="afd"/>
        <w:spacing w:before="100" w:after="100" w:line="360" w:lineRule="auto"/>
        <w:ind w:firstLine="709"/>
        <w:contextualSpacing/>
        <w:rPr>
          <w:rStyle w:val="affa"/>
        </w:rPr>
      </w:pPr>
      <w:r>
        <w:rPr>
          <w:rStyle w:val="affa"/>
        </w:rPr>
        <w:t>Методы, использованные для оценки качества и силы доказательств:</w:t>
      </w:r>
    </w:p>
    <w:p w14:paraId="24BD1279" w14:textId="4C18206D" w:rsidR="00BC7A14" w:rsidRPr="007C14EE" w:rsidRDefault="00BC7A14" w:rsidP="00BC7A14">
      <w:pPr>
        <w:rPr>
          <w:rFonts w:eastAsia="Calibri"/>
        </w:rPr>
      </w:pPr>
      <w:bookmarkStart w:id="73" w:name="_Ref515967586"/>
      <w:bookmarkStart w:id="74" w:name="_Hlk16603155"/>
      <w:r w:rsidRPr="007C14EE">
        <w:rPr>
          <w:b/>
        </w:rPr>
        <w:t xml:space="preserve">Таблица </w:t>
      </w:r>
      <w:r>
        <w:rPr>
          <w:b/>
        </w:rPr>
        <w:t>А2.1</w:t>
      </w:r>
      <w:bookmarkEnd w:id="73"/>
      <w:r w:rsidRPr="007C14EE">
        <w:rPr>
          <w:rFonts w:eastAsia="Calibri"/>
          <w:b/>
        </w:rPr>
        <w:t>.</w:t>
      </w:r>
      <w:r w:rsidRPr="00544207">
        <w:rPr>
          <w:rFonts w:eastAsia="Calibri"/>
        </w:rPr>
        <w:t xml:space="preserve"> </w:t>
      </w:r>
      <w:r>
        <w:rPr>
          <w:rFonts w:eastAsia="Calibri"/>
        </w:rPr>
        <w:t>Шкала оценки уровней достоверности доказательств (</w:t>
      </w:r>
      <w:r w:rsidRPr="00544207">
        <w:rPr>
          <w:rFonts w:eastAsia="Calibri"/>
        </w:rPr>
        <w:t>УДД</w:t>
      </w:r>
      <w:r>
        <w:rPr>
          <w:rFonts w:eastAsia="Calibri"/>
        </w:rPr>
        <w:t>)</w:t>
      </w:r>
      <w:r w:rsidRPr="00544207">
        <w:rPr>
          <w:rFonts w:eastAsia="Calibri"/>
        </w:rPr>
        <w:t xml:space="preserve"> </w:t>
      </w:r>
      <w:r>
        <w:rPr>
          <w:rFonts w:eastAsia="Calibri"/>
        </w:rPr>
        <w:t>для методов диагностики (диагностических вмешательств)</w:t>
      </w:r>
    </w:p>
    <w:tbl>
      <w:tblPr>
        <w:tblStyle w:val="1f2"/>
        <w:tblW w:w="5000" w:type="pct"/>
        <w:tblLook w:val="04A0" w:firstRow="1" w:lastRow="0" w:firstColumn="1" w:lastColumn="0" w:noHBand="0" w:noVBand="1"/>
      </w:tblPr>
      <w:tblGrid>
        <w:gridCol w:w="798"/>
        <w:gridCol w:w="8548"/>
      </w:tblGrid>
      <w:tr w:rsidR="00BC7A14" w:rsidRPr="005C1B2B" w14:paraId="74DB5DA2" w14:textId="77777777" w:rsidTr="00BC7A14">
        <w:trPr>
          <w:trHeight w:val="58"/>
        </w:trPr>
        <w:tc>
          <w:tcPr>
            <w:tcW w:w="427" w:type="pct"/>
          </w:tcPr>
          <w:p w14:paraId="047A7DDC" w14:textId="77777777" w:rsidR="00BC7A14" w:rsidRPr="005C1B2B" w:rsidRDefault="00BC7A14" w:rsidP="00B941F0">
            <w:pPr>
              <w:spacing w:line="276" w:lineRule="auto"/>
              <w:jc w:val="center"/>
              <w:rPr>
                <w:b/>
                <w:color w:val="000000"/>
              </w:rPr>
            </w:pPr>
            <w:r w:rsidRPr="005C1B2B">
              <w:rPr>
                <w:b/>
                <w:color w:val="000000"/>
              </w:rPr>
              <w:t>УДД</w:t>
            </w:r>
          </w:p>
        </w:tc>
        <w:tc>
          <w:tcPr>
            <w:tcW w:w="4573" w:type="pct"/>
          </w:tcPr>
          <w:p w14:paraId="6A3B027D" w14:textId="77777777" w:rsidR="00BC7A14" w:rsidRPr="005C1B2B" w:rsidRDefault="00BC7A14" w:rsidP="00B941F0">
            <w:pPr>
              <w:spacing w:line="276" w:lineRule="auto"/>
              <w:jc w:val="center"/>
              <w:rPr>
                <w:b/>
                <w:color w:val="000000"/>
              </w:rPr>
            </w:pPr>
            <w:r>
              <w:rPr>
                <w:b/>
                <w:color w:val="000000"/>
              </w:rPr>
              <w:t>Расшифровка</w:t>
            </w:r>
          </w:p>
        </w:tc>
      </w:tr>
      <w:tr w:rsidR="00BC7A14" w:rsidRPr="005C1B2B" w14:paraId="3F61AE86" w14:textId="77777777" w:rsidTr="00BC7A14">
        <w:tc>
          <w:tcPr>
            <w:tcW w:w="427" w:type="pct"/>
          </w:tcPr>
          <w:p w14:paraId="1EA40318" w14:textId="77777777" w:rsidR="00BC7A14" w:rsidRPr="005C1B2B" w:rsidRDefault="00BC7A14" w:rsidP="00B941F0">
            <w:pPr>
              <w:spacing w:line="276" w:lineRule="auto"/>
              <w:jc w:val="center"/>
              <w:rPr>
                <w:color w:val="000000"/>
              </w:rPr>
            </w:pPr>
            <w:r w:rsidRPr="005C1B2B">
              <w:rPr>
                <w:color w:val="000000"/>
              </w:rPr>
              <w:t>1</w:t>
            </w:r>
          </w:p>
        </w:tc>
        <w:tc>
          <w:tcPr>
            <w:tcW w:w="4573" w:type="pct"/>
          </w:tcPr>
          <w:p w14:paraId="15177149" w14:textId="164F3A2C" w:rsidR="00BC7A14" w:rsidRPr="005C1B2B" w:rsidRDefault="00BC7A14" w:rsidP="00B941F0">
            <w:pPr>
              <w:spacing w:line="276" w:lineRule="auto"/>
              <w:rPr>
                <w:color w:val="000000"/>
              </w:rPr>
            </w:pPr>
            <w:r>
              <w:rPr>
                <w:color w:val="000000"/>
              </w:rPr>
              <w:t>С</w:t>
            </w:r>
            <w:r w:rsidRPr="005C1B2B">
              <w:rPr>
                <w:color w:val="000000"/>
              </w:rPr>
              <w:t>истематические обзоры исследований с контролем референсным методом</w:t>
            </w:r>
            <w:r>
              <w:t xml:space="preserve"> или систематический обзор рандомизированных </w:t>
            </w:r>
            <w:r w:rsidR="006831CF">
              <w:t>КИ</w:t>
            </w:r>
            <w:r>
              <w:t xml:space="preserve"> с применением мета-анализа</w:t>
            </w:r>
          </w:p>
        </w:tc>
      </w:tr>
      <w:tr w:rsidR="00BC7A14" w:rsidRPr="005C1B2B" w14:paraId="4EB391E4" w14:textId="77777777" w:rsidTr="00BC7A14">
        <w:tc>
          <w:tcPr>
            <w:tcW w:w="427" w:type="pct"/>
          </w:tcPr>
          <w:p w14:paraId="21711C94" w14:textId="77777777" w:rsidR="00BC7A14" w:rsidRPr="005C1B2B" w:rsidRDefault="00BC7A14" w:rsidP="00B941F0">
            <w:pPr>
              <w:spacing w:line="276" w:lineRule="auto"/>
              <w:jc w:val="center"/>
              <w:rPr>
                <w:color w:val="000000"/>
              </w:rPr>
            </w:pPr>
            <w:r w:rsidRPr="005C1B2B">
              <w:rPr>
                <w:color w:val="000000"/>
              </w:rPr>
              <w:t>2</w:t>
            </w:r>
          </w:p>
        </w:tc>
        <w:tc>
          <w:tcPr>
            <w:tcW w:w="4573" w:type="pct"/>
          </w:tcPr>
          <w:p w14:paraId="0B6221B3" w14:textId="17B09960" w:rsidR="00BC7A14" w:rsidRPr="005C1B2B" w:rsidRDefault="00BC7A14" w:rsidP="00B941F0">
            <w:pPr>
              <w:spacing w:line="276" w:lineRule="auto"/>
              <w:rPr>
                <w:color w:val="000000"/>
              </w:rPr>
            </w:pPr>
            <w:r w:rsidRPr="005C1B2B">
              <w:rPr>
                <w:color w:val="000000"/>
              </w:rPr>
              <w:t>Отдельные исследования с контролем референсным методом</w:t>
            </w:r>
            <w:r>
              <w:rPr>
                <w:color w:val="000000"/>
              </w:rPr>
              <w:t xml:space="preserve"> или отдельные рандомизированные </w:t>
            </w:r>
            <w:r w:rsidR="006831CF">
              <w:rPr>
                <w:color w:val="000000"/>
              </w:rPr>
              <w:t>КИ</w:t>
            </w:r>
            <w:r>
              <w:rPr>
                <w:color w:val="000000"/>
              </w:rPr>
              <w:t xml:space="preserve"> и систематические обзоры исследований любого дизайна, за исключением рандомизированных </w:t>
            </w:r>
            <w:r w:rsidR="006831CF">
              <w:rPr>
                <w:color w:val="000000"/>
              </w:rPr>
              <w:t>КИ</w:t>
            </w:r>
            <w:r>
              <w:rPr>
                <w:color w:val="000000"/>
              </w:rPr>
              <w:t>, с применением мета-анализа</w:t>
            </w:r>
          </w:p>
        </w:tc>
      </w:tr>
      <w:tr w:rsidR="00BC7A14" w:rsidRPr="005C1B2B" w14:paraId="06FABC0E" w14:textId="77777777" w:rsidTr="00BC7A14">
        <w:tc>
          <w:tcPr>
            <w:tcW w:w="427" w:type="pct"/>
          </w:tcPr>
          <w:p w14:paraId="59F0A4B4" w14:textId="77777777" w:rsidR="00BC7A14" w:rsidRPr="005C1B2B" w:rsidRDefault="00BC7A14" w:rsidP="00B941F0">
            <w:pPr>
              <w:spacing w:line="276" w:lineRule="auto"/>
              <w:jc w:val="center"/>
              <w:rPr>
                <w:color w:val="000000"/>
              </w:rPr>
            </w:pPr>
            <w:r w:rsidRPr="005C1B2B">
              <w:rPr>
                <w:color w:val="000000"/>
              </w:rPr>
              <w:t>3</w:t>
            </w:r>
          </w:p>
        </w:tc>
        <w:tc>
          <w:tcPr>
            <w:tcW w:w="4573" w:type="pct"/>
          </w:tcPr>
          <w:p w14:paraId="7FEB752A" w14:textId="77777777" w:rsidR="00BC7A14" w:rsidRPr="005C1B2B" w:rsidRDefault="00BC7A14" w:rsidP="00B941F0">
            <w:pPr>
              <w:spacing w:line="276" w:lineRule="auto"/>
              <w:rPr>
                <w:color w:val="000000"/>
              </w:rPr>
            </w:pPr>
            <w:r w:rsidRPr="005C1B2B">
              <w:rPr>
                <w:color w:val="000000"/>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Pr>
                <w:color w:val="000000"/>
              </w:rPr>
              <w:t xml:space="preserve"> или нерандомизированные сравнительные исследования, в том числе когортные исследования</w:t>
            </w:r>
          </w:p>
        </w:tc>
      </w:tr>
      <w:tr w:rsidR="00BC7A14" w:rsidRPr="005C1B2B" w14:paraId="23C8CD80" w14:textId="77777777" w:rsidTr="00BC7A14">
        <w:tc>
          <w:tcPr>
            <w:tcW w:w="427" w:type="pct"/>
          </w:tcPr>
          <w:p w14:paraId="5C0D18DC" w14:textId="77777777" w:rsidR="00BC7A14" w:rsidRPr="005C1B2B" w:rsidRDefault="00BC7A14" w:rsidP="00B941F0">
            <w:pPr>
              <w:spacing w:line="276" w:lineRule="auto"/>
              <w:jc w:val="center"/>
              <w:rPr>
                <w:color w:val="000000"/>
              </w:rPr>
            </w:pPr>
            <w:r w:rsidRPr="005C1B2B">
              <w:rPr>
                <w:color w:val="000000"/>
              </w:rPr>
              <w:t>4</w:t>
            </w:r>
          </w:p>
        </w:tc>
        <w:tc>
          <w:tcPr>
            <w:tcW w:w="4573" w:type="pct"/>
          </w:tcPr>
          <w:p w14:paraId="7D7F9D77" w14:textId="77777777" w:rsidR="00BC7A14" w:rsidRPr="005C1B2B" w:rsidRDefault="00BC7A14" w:rsidP="00B941F0">
            <w:pPr>
              <w:spacing w:line="276" w:lineRule="auto"/>
              <w:rPr>
                <w:color w:val="000000"/>
              </w:rPr>
            </w:pPr>
            <w:r w:rsidRPr="005C1B2B">
              <w:rPr>
                <w:color w:val="000000"/>
              </w:rPr>
              <w:t>Несравнительные исследования, описание клинического случая</w:t>
            </w:r>
          </w:p>
        </w:tc>
      </w:tr>
      <w:tr w:rsidR="00BC7A14" w:rsidRPr="005C1B2B" w14:paraId="0544E7D6" w14:textId="77777777" w:rsidTr="00BC7A14">
        <w:tc>
          <w:tcPr>
            <w:tcW w:w="427" w:type="pct"/>
          </w:tcPr>
          <w:p w14:paraId="6980774C" w14:textId="77777777" w:rsidR="00BC7A14" w:rsidRPr="005C1B2B" w:rsidRDefault="00BC7A14" w:rsidP="00B941F0">
            <w:pPr>
              <w:spacing w:line="276" w:lineRule="auto"/>
              <w:jc w:val="center"/>
              <w:rPr>
                <w:color w:val="000000"/>
              </w:rPr>
            </w:pPr>
            <w:r w:rsidRPr="005C1B2B">
              <w:rPr>
                <w:color w:val="000000"/>
              </w:rPr>
              <w:t>5</w:t>
            </w:r>
          </w:p>
        </w:tc>
        <w:tc>
          <w:tcPr>
            <w:tcW w:w="4573" w:type="pct"/>
          </w:tcPr>
          <w:p w14:paraId="006D899C" w14:textId="77777777" w:rsidR="00BC7A14" w:rsidRPr="005C1B2B" w:rsidRDefault="00BC7A14" w:rsidP="00B941F0">
            <w:pPr>
              <w:spacing w:line="276" w:lineRule="auto"/>
              <w:rPr>
                <w:color w:val="000000"/>
              </w:rPr>
            </w:pPr>
            <w:r w:rsidRPr="005C1B2B">
              <w:rPr>
                <w:color w:val="000000"/>
              </w:rPr>
              <w:t>Имеется лишь обоснование механизма действия или мнение экспертов</w:t>
            </w:r>
          </w:p>
        </w:tc>
      </w:tr>
    </w:tbl>
    <w:p w14:paraId="3F7EBF21" w14:textId="77777777" w:rsidR="00BC7A14" w:rsidRDefault="00BC7A14" w:rsidP="00BC7A14">
      <w:pPr>
        <w:pStyle w:val="aff8"/>
        <w:rPr>
          <w:rStyle w:val="affa"/>
        </w:rPr>
      </w:pPr>
    </w:p>
    <w:p w14:paraId="7C7737C6" w14:textId="24389D76" w:rsidR="00BC7A14" w:rsidRDefault="00BC7A14" w:rsidP="00BC7A14">
      <w:bookmarkStart w:id="75" w:name="_Ref515967623"/>
      <w:r w:rsidRPr="007C14EE">
        <w:rPr>
          <w:b/>
        </w:rPr>
        <w:t xml:space="preserve">Таблица </w:t>
      </w:r>
      <w:r>
        <w:rPr>
          <w:b/>
        </w:rPr>
        <w:t>А2.2</w:t>
      </w:r>
      <w:bookmarkEnd w:id="75"/>
      <w:r w:rsidRPr="007C14EE">
        <w:rPr>
          <w:rFonts w:eastAsia="Calibri"/>
          <w:b/>
        </w:rPr>
        <w:t>.</w:t>
      </w:r>
      <w:r w:rsidRPr="00E75FC6">
        <w:rPr>
          <w:rFonts w:eastAsia="Calibri"/>
        </w:rPr>
        <w:t xml:space="preserve"> </w:t>
      </w:r>
      <w:r w:rsidRPr="003311A4">
        <w:t xml:space="preserve"> </w:t>
      </w:r>
      <w:r>
        <w:t>Шкала оценки уровней достоверности доказательств (</w:t>
      </w:r>
      <w:r w:rsidRPr="003311A4">
        <w:t>УДД</w:t>
      </w:r>
      <w:r>
        <w:t>)</w:t>
      </w:r>
      <w:r w:rsidRPr="003311A4">
        <w:t xml:space="preserve"> </w:t>
      </w:r>
      <w:r>
        <w:rPr>
          <w:rFonts w:eastAsia="Calibri"/>
        </w:rPr>
        <w:t>для методов профилактики, лечения и реабилитации (профилактических, лечебных, реабилитационных</w:t>
      </w:r>
      <w:r w:rsidRPr="00257C6C">
        <w:rPr>
          <w:rFonts w:eastAsia="Calibri"/>
        </w:rPr>
        <w:t xml:space="preserve"> вмешательств</w:t>
      </w:r>
      <w:r>
        <w:rPr>
          <w:rFonts w:eastAsia="Calibri"/>
        </w:rPr>
        <w:t>)</w:t>
      </w:r>
    </w:p>
    <w:tbl>
      <w:tblPr>
        <w:tblStyle w:val="1f2"/>
        <w:tblW w:w="5074" w:type="pct"/>
        <w:tblLook w:val="04A0" w:firstRow="1" w:lastRow="0" w:firstColumn="1" w:lastColumn="0" w:noHBand="0" w:noVBand="1"/>
      </w:tblPr>
      <w:tblGrid>
        <w:gridCol w:w="723"/>
        <w:gridCol w:w="8761"/>
      </w:tblGrid>
      <w:tr w:rsidR="00BC7A14" w:rsidRPr="00495C9E" w14:paraId="6E3931CA" w14:textId="77777777" w:rsidTr="00BC7A14">
        <w:tc>
          <w:tcPr>
            <w:tcW w:w="360" w:type="pct"/>
          </w:tcPr>
          <w:p w14:paraId="04A39F45" w14:textId="77777777" w:rsidR="00BC7A14" w:rsidRPr="00495C9E" w:rsidRDefault="00BC7A14" w:rsidP="00B941F0">
            <w:pPr>
              <w:spacing w:line="240" w:lineRule="auto"/>
              <w:jc w:val="center"/>
              <w:rPr>
                <w:b/>
                <w:color w:val="000000"/>
              </w:rPr>
            </w:pPr>
            <w:r w:rsidRPr="00495C9E">
              <w:rPr>
                <w:b/>
                <w:color w:val="000000"/>
              </w:rPr>
              <w:t>УДД</w:t>
            </w:r>
          </w:p>
        </w:tc>
        <w:tc>
          <w:tcPr>
            <w:tcW w:w="4640" w:type="pct"/>
          </w:tcPr>
          <w:p w14:paraId="1421C2C1" w14:textId="77777777" w:rsidR="00BC7A14" w:rsidRPr="00495C9E" w:rsidRDefault="00BC7A14" w:rsidP="00B941F0">
            <w:pPr>
              <w:spacing w:line="240" w:lineRule="auto"/>
              <w:jc w:val="center"/>
              <w:rPr>
                <w:b/>
                <w:color w:val="000000"/>
              </w:rPr>
            </w:pPr>
            <w:r w:rsidRPr="00495C9E">
              <w:rPr>
                <w:b/>
                <w:color w:val="000000"/>
              </w:rPr>
              <w:t xml:space="preserve"> </w:t>
            </w:r>
            <w:r>
              <w:rPr>
                <w:b/>
                <w:color w:val="000000"/>
              </w:rPr>
              <w:t xml:space="preserve">Расшифровка </w:t>
            </w:r>
          </w:p>
        </w:tc>
      </w:tr>
      <w:tr w:rsidR="00BC7A14" w:rsidRPr="00495C9E" w14:paraId="6E09C4E9" w14:textId="77777777" w:rsidTr="00BC7A14">
        <w:tc>
          <w:tcPr>
            <w:tcW w:w="360" w:type="pct"/>
          </w:tcPr>
          <w:p w14:paraId="2337FDC2" w14:textId="77777777" w:rsidR="00BC7A14" w:rsidRPr="00495C9E" w:rsidRDefault="00BC7A14" w:rsidP="00B941F0">
            <w:pPr>
              <w:spacing w:line="240" w:lineRule="auto"/>
              <w:jc w:val="center"/>
              <w:rPr>
                <w:color w:val="000000"/>
              </w:rPr>
            </w:pPr>
            <w:r w:rsidRPr="00495C9E">
              <w:rPr>
                <w:color w:val="000000"/>
              </w:rPr>
              <w:t>1</w:t>
            </w:r>
          </w:p>
        </w:tc>
        <w:tc>
          <w:tcPr>
            <w:tcW w:w="4640" w:type="pct"/>
          </w:tcPr>
          <w:p w14:paraId="360EBA31" w14:textId="5BA42A31" w:rsidR="00BC7A14" w:rsidRPr="00495C9E" w:rsidRDefault="00BC7A14" w:rsidP="00B941F0">
            <w:pPr>
              <w:spacing w:line="240" w:lineRule="auto"/>
              <w:rPr>
                <w:color w:val="000000"/>
              </w:rPr>
            </w:pPr>
            <w:r w:rsidRPr="00495C9E">
              <w:rPr>
                <w:color w:val="000000"/>
              </w:rPr>
              <w:t>Систематический обзор</w:t>
            </w:r>
            <w:r w:rsidR="002A3261">
              <w:rPr>
                <w:color w:val="000000"/>
              </w:rPr>
              <w:t xml:space="preserve"> рандомизированных КИ</w:t>
            </w:r>
            <w:r>
              <w:rPr>
                <w:color w:val="000000"/>
              </w:rPr>
              <w:t xml:space="preserve"> с применением мета-анализа</w:t>
            </w:r>
          </w:p>
        </w:tc>
      </w:tr>
      <w:tr w:rsidR="00BC7A14" w:rsidRPr="00495C9E" w14:paraId="4576611F" w14:textId="77777777" w:rsidTr="00BC7A14">
        <w:tc>
          <w:tcPr>
            <w:tcW w:w="360" w:type="pct"/>
          </w:tcPr>
          <w:p w14:paraId="07D41A0E" w14:textId="77777777" w:rsidR="00BC7A14" w:rsidRPr="00495C9E" w:rsidRDefault="00BC7A14" w:rsidP="00B941F0">
            <w:pPr>
              <w:spacing w:line="240" w:lineRule="auto"/>
              <w:jc w:val="center"/>
              <w:rPr>
                <w:color w:val="000000"/>
                <w:lang w:val="en-US"/>
              </w:rPr>
            </w:pPr>
            <w:r w:rsidRPr="00495C9E">
              <w:rPr>
                <w:color w:val="000000"/>
              </w:rPr>
              <w:t>2</w:t>
            </w:r>
          </w:p>
        </w:tc>
        <w:tc>
          <w:tcPr>
            <w:tcW w:w="4640" w:type="pct"/>
          </w:tcPr>
          <w:p w14:paraId="6EF844DA" w14:textId="49E92C7A" w:rsidR="00BC7A14" w:rsidRPr="00495C9E" w:rsidRDefault="00BC7A14" w:rsidP="00B941F0">
            <w:pPr>
              <w:spacing w:line="240" w:lineRule="auto"/>
              <w:rPr>
                <w:color w:val="000000"/>
              </w:rPr>
            </w:pPr>
            <w:r w:rsidRPr="00495C9E">
              <w:rPr>
                <w:color w:val="000000"/>
              </w:rPr>
              <w:t>Отдельные</w:t>
            </w:r>
            <w:r w:rsidR="002A3261">
              <w:rPr>
                <w:color w:val="000000"/>
              </w:rPr>
              <w:t xml:space="preserve"> рандомизированные КИ</w:t>
            </w:r>
            <w:r w:rsidRPr="00495C9E">
              <w:rPr>
                <w:color w:val="000000"/>
              </w:rPr>
              <w:t xml:space="preserve"> и систематические обзоры исследований любого </w:t>
            </w:r>
            <w:r>
              <w:rPr>
                <w:color w:val="000000"/>
              </w:rPr>
              <w:t>дизайна, за исключением</w:t>
            </w:r>
            <w:r w:rsidR="002A3261">
              <w:rPr>
                <w:color w:val="000000"/>
              </w:rPr>
              <w:t xml:space="preserve"> рандомизированных КИ</w:t>
            </w:r>
            <w:r>
              <w:rPr>
                <w:color w:val="000000"/>
              </w:rPr>
              <w:t xml:space="preserve"> </w:t>
            </w:r>
            <w:r w:rsidRPr="00495C9E">
              <w:rPr>
                <w:color w:val="000000"/>
              </w:rPr>
              <w:t>с применением мета-анализа</w:t>
            </w:r>
          </w:p>
        </w:tc>
      </w:tr>
      <w:tr w:rsidR="00BC7A14" w:rsidRPr="00495C9E" w14:paraId="3D7ED10A" w14:textId="77777777" w:rsidTr="00BC7A14">
        <w:tc>
          <w:tcPr>
            <w:tcW w:w="360" w:type="pct"/>
          </w:tcPr>
          <w:p w14:paraId="6978BAE6" w14:textId="77777777" w:rsidR="00BC7A14" w:rsidRPr="00495C9E" w:rsidRDefault="00BC7A14" w:rsidP="00B941F0">
            <w:pPr>
              <w:spacing w:line="240" w:lineRule="auto"/>
              <w:jc w:val="center"/>
              <w:rPr>
                <w:color w:val="000000"/>
              </w:rPr>
            </w:pPr>
            <w:r w:rsidRPr="00495C9E">
              <w:rPr>
                <w:color w:val="000000"/>
              </w:rPr>
              <w:t>3</w:t>
            </w:r>
          </w:p>
        </w:tc>
        <w:tc>
          <w:tcPr>
            <w:tcW w:w="4640" w:type="pct"/>
          </w:tcPr>
          <w:p w14:paraId="57A7052F" w14:textId="77777777" w:rsidR="00BC7A14" w:rsidRPr="00495C9E" w:rsidRDefault="00BC7A14" w:rsidP="00B941F0">
            <w:pPr>
              <w:spacing w:line="240" w:lineRule="auto"/>
              <w:rPr>
                <w:color w:val="000000"/>
              </w:rPr>
            </w:pPr>
            <w:r w:rsidRPr="00495C9E">
              <w:rPr>
                <w:color w:val="000000"/>
              </w:rPr>
              <w:t>Нерандомизированные сравнительные исследования, в т.ч. когортные исследования</w:t>
            </w:r>
          </w:p>
        </w:tc>
      </w:tr>
      <w:tr w:rsidR="00BC7A14" w:rsidRPr="00495C9E" w14:paraId="198D0293" w14:textId="77777777" w:rsidTr="00BC7A14">
        <w:tc>
          <w:tcPr>
            <w:tcW w:w="360" w:type="pct"/>
          </w:tcPr>
          <w:p w14:paraId="452634DD" w14:textId="77777777" w:rsidR="00BC7A14" w:rsidRPr="00495C9E" w:rsidRDefault="00BC7A14" w:rsidP="00B941F0">
            <w:pPr>
              <w:spacing w:line="240" w:lineRule="auto"/>
              <w:jc w:val="center"/>
              <w:rPr>
                <w:color w:val="000000"/>
              </w:rPr>
            </w:pPr>
            <w:r w:rsidRPr="00495C9E">
              <w:rPr>
                <w:color w:val="000000"/>
              </w:rPr>
              <w:t>4</w:t>
            </w:r>
          </w:p>
        </w:tc>
        <w:tc>
          <w:tcPr>
            <w:tcW w:w="4640" w:type="pct"/>
          </w:tcPr>
          <w:p w14:paraId="65C6E005" w14:textId="77777777" w:rsidR="00BC7A14" w:rsidRPr="00495C9E" w:rsidRDefault="00BC7A14" w:rsidP="00B941F0">
            <w:pPr>
              <w:spacing w:line="240" w:lineRule="auto"/>
              <w:rPr>
                <w:color w:val="000000"/>
              </w:rPr>
            </w:pPr>
            <w:r w:rsidRPr="00495C9E">
              <w:rPr>
                <w:color w:val="000000"/>
              </w:rPr>
              <w:t>Несравнительные исследования, описание клинического случая</w:t>
            </w:r>
            <w:r>
              <w:rPr>
                <w:color w:val="000000"/>
              </w:rPr>
              <w:t xml:space="preserve"> или серии случаев, исследования</w:t>
            </w:r>
            <w:r w:rsidRPr="00495C9E">
              <w:rPr>
                <w:color w:val="000000"/>
              </w:rPr>
              <w:t xml:space="preserve"> «случай-контроль»</w:t>
            </w:r>
          </w:p>
        </w:tc>
      </w:tr>
      <w:tr w:rsidR="00BC7A14" w:rsidRPr="00495C9E" w14:paraId="26EAA403" w14:textId="77777777" w:rsidTr="00BC7A14">
        <w:tc>
          <w:tcPr>
            <w:tcW w:w="360" w:type="pct"/>
          </w:tcPr>
          <w:p w14:paraId="51A88450" w14:textId="77777777" w:rsidR="00BC7A14" w:rsidRPr="00495C9E" w:rsidRDefault="00BC7A14" w:rsidP="00B941F0">
            <w:pPr>
              <w:spacing w:line="240" w:lineRule="auto"/>
              <w:jc w:val="center"/>
              <w:rPr>
                <w:color w:val="000000"/>
              </w:rPr>
            </w:pPr>
            <w:r w:rsidRPr="00495C9E">
              <w:rPr>
                <w:color w:val="000000"/>
              </w:rPr>
              <w:t>5</w:t>
            </w:r>
          </w:p>
        </w:tc>
        <w:tc>
          <w:tcPr>
            <w:tcW w:w="4640" w:type="pct"/>
          </w:tcPr>
          <w:p w14:paraId="48E8D2C5" w14:textId="77777777" w:rsidR="00BC7A14" w:rsidRPr="00495C9E" w:rsidRDefault="00BC7A14" w:rsidP="00B941F0">
            <w:pPr>
              <w:spacing w:line="240" w:lineRule="auto"/>
              <w:rPr>
                <w:color w:val="000000"/>
              </w:rPr>
            </w:pPr>
            <w:r w:rsidRPr="00495C9E">
              <w:rPr>
                <w:color w:val="000000"/>
              </w:rPr>
              <w:t>Имеется лишь обоснование механизма действия вмешательства (доклинические исследования) или мнение экспертов</w:t>
            </w:r>
          </w:p>
        </w:tc>
      </w:tr>
    </w:tbl>
    <w:p w14:paraId="12A2D5C5" w14:textId="77777777" w:rsidR="00BC7A14" w:rsidRDefault="00BC7A14" w:rsidP="00BC7A14">
      <w:pPr>
        <w:pStyle w:val="aff8"/>
        <w:rPr>
          <w:rStyle w:val="affa"/>
        </w:rPr>
      </w:pPr>
    </w:p>
    <w:p w14:paraId="0BEF8F68" w14:textId="2550EBD7" w:rsidR="00BC7A14" w:rsidRDefault="00BC7A14" w:rsidP="00BC7A14">
      <w:bookmarkStart w:id="76" w:name="_Ref515967732"/>
      <w:r w:rsidRPr="00B15720">
        <w:rPr>
          <w:b/>
        </w:rPr>
        <w:t xml:space="preserve">Таблица </w:t>
      </w:r>
      <w:bookmarkEnd w:id="76"/>
      <w:r>
        <w:rPr>
          <w:b/>
        </w:rPr>
        <w:t>А2.3</w:t>
      </w:r>
      <w:r w:rsidRPr="00B15720">
        <w:rPr>
          <w:b/>
        </w:rPr>
        <w:t>.</w:t>
      </w:r>
      <w:r w:rsidRPr="003311A4">
        <w:t xml:space="preserve"> </w:t>
      </w:r>
      <w:r>
        <w:t>Шкала оценки уровней убедительности рекомендаций</w:t>
      </w:r>
      <w:r w:rsidRPr="003311A4">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p w14:paraId="2C744EB4" w14:textId="77777777" w:rsidR="00E20452" w:rsidRDefault="00E20452" w:rsidP="00BC7A14"/>
    <w:tbl>
      <w:tblPr>
        <w:tblStyle w:val="1f2"/>
        <w:tblW w:w="5000" w:type="pct"/>
        <w:tblLook w:val="04A0" w:firstRow="1" w:lastRow="0" w:firstColumn="1" w:lastColumn="0" w:noHBand="0" w:noVBand="1"/>
      </w:tblPr>
      <w:tblGrid>
        <w:gridCol w:w="1331"/>
        <w:gridCol w:w="8015"/>
      </w:tblGrid>
      <w:tr w:rsidR="00BC7A14" w:rsidRPr="003311A4" w14:paraId="68F05905" w14:textId="77777777" w:rsidTr="00BC7A14">
        <w:tc>
          <w:tcPr>
            <w:tcW w:w="712" w:type="pct"/>
          </w:tcPr>
          <w:p w14:paraId="005D3C09" w14:textId="77777777" w:rsidR="00BC7A14" w:rsidRPr="003311A4" w:rsidRDefault="00BC7A14" w:rsidP="00B941F0">
            <w:pPr>
              <w:spacing w:line="240" w:lineRule="auto"/>
              <w:jc w:val="center"/>
              <w:rPr>
                <w:b/>
                <w:color w:val="000000" w:themeColor="text1"/>
              </w:rPr>
            </w:pPr>
            <w:r w:rsidRPr="003311A4">
              <w:rPr>
                <w:b/>
                <w:color w:val="000000" w:themeColor="text1"/>
              </w:rPr>
              <w:lastRenderedPageBreak/>
              <w:t>УУР</w:t>
            </w:r>
          </w:p>
        </w:tc>
        <w:tc>
          <w:tcPr>
            <w:tcW w:w="4288" w:type="pct"/>
          </w:tcPr>
          <w:p w14:paraId="13D4E20A" w14:textId="77777777" w:rsidR="00BC7A14" w:rsidRPr="003311A4" w:rsidRDefault="00BC7A14" w:rsidP="00B941F0">
            <w:pPr>
              <w:spacing w:line="240" w:lineRule="auto"/>
              <w:jc w:val="center"/>
              <w:rPr>
                <w:b/>
                <w:color w:val="000000" w:themeColor="text1"/>
              </w:rPr>
            </w:pPr>
            <w:r w:rsidRPr="003311A4">
              <w:rPr>
                <w:b/>
                <w:color w:val="000000" w:themeColor="text1"/>
              </w:rPr>
              <w:t>Расшифровка</w:t>
            </w:r>
          </w:p>
        </w:tc>
      </w:tr>
      <w:tr w:rsidR="00BC7A14" w:rsidRPr="003311A4" w14:paraId="22D4F5E4" w14:textId="77777777" w:rsidTr="00BC7A14">
        <w:trPr>
          <w:trHeight w:val="1060"/>
        </w:trPr>
        <w:tc>
          <w:tcPr>
            <w:tcW w:w="712" w:type="pct"/>
          </w:tcPr>
          <w:p w14:paraId="679416A5" w14:textId="77777777" w:rsidR="00BC7A14" w:rsidRPr="003311A4" w:rsidRDefault="00BC7A14" w:rsidP="00B941F0">
            <w:pPr>
              <w:spacing w:line="240" w:lineRule="auto"/>
              <w:jc w:val="center"/>
              <w:rPr>
                <w:color w:val="000000" w:themeColor="text1"/>
              </w:rPr>
            </w:pPr>
            <w:r w:rsidRPr="003311A4">
              <w:rPr>
                <w:color w:val="000000" w:themeColor="text1"/>
                <w:lang w:val="en-US"/>
              </w:rPr>
              <w:t>A</w:t>
            </w:r>
          </w:p>
        </w:tc>
        <w:tc>
          <w:tcPr>
            <w:tcW w:w="4288" w:type="pct"/>
          </w:tcPr>
          <w:p w14:paraId="3735B7B2" w14:textId="77777777" w:rsidR="00BC7A14" w:rsidRPr="003311A4" w:rsidRDefault="00BC7A14" w:rsidP="00B941F0">
            <w:pPr>
              <w:spacing w:line="240" w:lineRule="auto"/>
              <w:rPr>
                <w:color w:val="000000" w:themeColor="text1"/>
              </w:rPr>
            </w:pPr>
            <w:r>
              <w:rPr>
                <w:color w:val="000000" w:themeColor="text1"/>
              </w:rPr>
              <w:t>Сильная</w:t>
            </w:r>
            <w:r w:rsidRPr="003311A4">
              <w:rPr>
                <w:color w:val="000000" w:themeColor="text1"/>
              </w:rPr>
              <w:t xml:space="preserve"> рекомендация (все рассматриваемые критерии эффективности (исходы) являются важными, все исследования имеют высокое или удовлетворите</w:t>
            </w:r>
            <w:r>
              <w:rPr>
                <w:color w:val="000000" w:themeColor="text1"/>
              </w:rPr>
              <w:t>льное методологическое качество</w:t>
            </w:r>
            <w:r w:rsidRPr="003311A4">
              <w:rPr>
                <w:color w:val="000000" w:themeColor="text1"/>
              </w:rPr>
              <w:t xml:space="preserve">, их выводы по интересующим исходам являются согласованными) </w:t>
            </w:r>
          </w:p>
        </w:tc>
      </w:tr>
      <w:tr w:rsidR="00BC7A14" w:rsidRPr="003311A4" w14:paraId="37A17BB1" w14:textId="77777777" w:rsidTr="00BC7A14">
        <w:trPr>
          <w:trHeight w:val="558"/>
        </w:trPr>
        <w:tc>
          <w:tcPr>
            <w:tcW w:w="712" w:type="pct"/>
          </w:tcPr>
          <w:p w14:paraId="5EE9F794" w14:textId="77777777" w:rsidR="00BC7A14" w:rsidRPr="003311A4" w:rsidRDefault="00BC7A14" w:rsidP="00B941F0">
            <w:pPr>
              <w:spacing w:line="240" w:lineRule="auto"/>
              <w:jc w:val="center"/>
              <w:rPr>
                <w:color w:val="000000" w:themeColor="text1"/>
              </w:rPr>
            </w:pPr>
            <w:r w:rsidRPr="003311A4">
              <w:rPr>
                <w:color w:val="000000" w:themeColor="text1"/>
              </w:rPr>
              <w:t>B</w:t>
            </w:r>
          </w:p>
        </w:tc>
        <w:tc>
          <w:tcPr>
            <w:tcW w:w="4288" w:type="pct"/>
          </w:tcPr>
          <w:p w14:paraId="50CBDB1B" w14:textId="77777777" w:rsidR="00BC7A14" w:rsidRPr="003311A4" w:rsidRDefault="00BC7A14" w:rsidP="00B941F0">
            <w:pPr>
              <w:spacing w:line="240" w:lineRule="auto"/>
              <w:rPr>
                <w:color w:val="000000" w:themeColor="text1"/>
              </w:rPr>
            </w:pPr>
            <w:r>
              <w:rPr>
                <w:color w:val="000000" w:themeColor="text1"/>
              </w:rPr>
              <w:t>Условная</w:t>
            </w:r>
            <w:r w:rsidRPr="003311A4">
              <w:rPr>
                <w:color w:val="000000" w:themeColor="text1"/>
              </w:rPr>
              <w:t xml:space="preserve">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BC7A14" w:rsidRPr="003311A4" w14:paraId="324DA5E7" w14:textId="77777777" w:rsidTr="00BC7A14">
        <w:trPr>
          <w:trHeight w:val="798"/>
        </w:trPr>
        <w:tc>
          <w:tcPr>
            <w:tcW w:w="712" w:type="pct"/>
          </w:tcPr>
          <w:p w14:paraId="491309D2" w14:textId="77777777" w:rsidR="00BC7A14" w:rsidRPr="003311A4" w:rsidRDefault="00BC7A14" w:rsidP="00B941F0">
            <w:pPr>
              <w:spacing w:line="240" w:lineRule="auto"/>
              <w:jc w:val="center"/>
              <w:rPr>
                <w:color w:val="000000" w:themeColor="text1"/>
              </w:rPr>
            </w:pPr>
            <w:r w:rsidRPr="003311A4">
              <w:rPr>
                <w:color w:val="000000" w:themeColor="text1"/>
              </w:rPr>
              <w:t>C</w:t>
            </w:r>
          </w:p>
        </w:tc>
        <w:tc>
          <w:tcPr>
            <w:tcW w:w="4288" w:type="pct"/>
          </w:tcPr>
          <w:p w14:paraId="7A6C92EE" w14:textId="77777777" w:rsidR="00BC7A14" w:rsidRPr="003311A4" w:rsidRDefault="00BC7A14" w:rsidP="00B941F0">
            <w:pPr>
              <w:spacing w:line="240" w:lineRule="auto"/>
              <w:rPr>
                <w:color w:val="000000" w:themeColor="text1"/>
              </w:rPr>
            </w:pPr>
            <w:r>
              <w:rPr>
                <w:color w:val="000000" w:themeColor="text1"/>
              </w:rPr>
              <w:t>Слабая рекомендация (</w:t>
            </w:r>
            <w:r w:rsidRPr="003311A4">
              <w:rPr>
                <w:color w:val="000000" w:themeColor="text1"/>
              </w:rPr>
              <w:t xml:space="preserve">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bookmarkEnd w:id="74"/>
    <w:p w14:paraId="1F0AF866" w14:textId="581D3FD1" w:rsidR="00D23199" w:rsidRDefault="00031607" w:rsidP="002C60E1">
      <w:pPr>
        <w:pStyle w:val="afd"/>
        <w:spacing w:before="100" w:after="100" w:line="360" w:lineRule="auto"/>
        <w:ind w:firstLine="709"/>
        <w:contextualSpacing/>
        <w:rPr>
          <w:rFonts w:eastAsiaTheme="minorEastAsia"/>
        </w:rPr>
      </w:pPr>
      <w:r>
        <w:rPr>
          <w:rStyle w:val="affa"/>
        </w:rPr>
        <w:t xml:space="preserve">Описание метода </w:t>
      </w:r>
      <w:r w:rsidR="00217B54">
        <w:rPr>
          <w:rStyle w:val="affa"/>
        </w:rPr>
        <w:t xml:space="preserve">валидации </w:t>
      </w:r>
      <w:r>
        <w:rPr>
          <w:rStyle w:val="affa"/>
        </w:rPr>
        <w:t>рекомендаций:</w:t>
      </w:r>
    </w:p>
    <w:p w14:paraId="02E817FB" w14:textId="118842B7" w:rsidR="00D23199" w:rsidRDefault="00031607" w:rsidP="002C60E1">
      <w:pPr>
        <w:pStyle w:val="afd"/>
        <w:spacing w:before="100" w:after="100" w:line="360" w:lineRule="auto"/>
        <w:ind w:firstLine="709"/>
        <w:contextualSpacing/>
      </w:pPr>
      <w:r>
        <w:t>Настоящие рекомендации в предварительной версии были рецензированы независимыми экспертами, которых попросили прокомментировать прежде всего то, насколько интерпретация доказательств, лежащих в основе рекомендаций</w:t>
      </w:r>
      <w:r w:rsidR="00217B54">
        <w:t>,</w:t>
      </w:r>
      <w:r>
        <w:t xml:space="preserve"> доступна для понимания.</w:t>
      </w:r>
    </w:p>
    <w:p w14:paraId="1CECB122" w14:textId="77777777" w:rsidR="00D23199" w:rsidRDefault="00031607" w:rsidP="002C60E1">
      <w:pPr>
        <w:pStyle w:val="afd"/>
        <w:spacing w:before="100" w:after="100" w:line="360" w:lineRule="auto"/>
        <w:ind w:firstLine="709"/>
        <w:contextualSpacing/>
      </w:pPr>
      <w:r>
        <w:t>Получены комментарии со стороны врачей первичного звена и участковых терапевтов в отношении доходчивости изложения рекомендаций и их оценки важности рекомендаций, как рабочего инструмента повседневной практики.</w:t>
      </w:r>
    </w:p>
    <w:p w14:paraId="3F541AA1" w14:textId="7526071F" w:rsidR="00D23199" w:rsidRDefault="00031607" w:rsidP="002C60E1">
      <w:pPr>
        <w:pStyle w:val="afd"/>
        <w:spacing w:before="100" w:after="100" w:line="360" w:lineRule="auto"/>
        <w:ind w:firstLine="709"/>
        <w:contextualSpacing/>
      </w:pPr>
      <w:r>
        <w:t>Предварительная версия была также направлена рецензенту, не имеющему медицинского образования, для получения комментариев, с точки зрения перспектив пациентов.</w:t>
      </w:r>
    </w:p>
    <w:p w14:paraId="188E6297" w14:textId="5AF31CAF" w:rsidR="00D23199" w:rsidRDefault="00031607" w:rsidP="002C60E1">
      <w:pPr>
        <w:pStyle w:val="afd"/>
        <w:spacing w:before="100" w:after="100" w:line="360" w:lineRule="auto"/>
        <w:ind w:firstLine="709"/>
        <w:contextualSpacing/>
      </w:pPr>
      <w:r>
        <w:t>Комментарии, полученные от экспертов, тщательно систематизировались и обсуждались председателем и членами рабочей группы. Каждый пункт обсуждался, и вносимые в результате этого изменения в рекомендации</w:t>
      </w:r>
      <w:r w:rsidR="00217B54">
        <w:t>,</w:t>
      </w:r>
      <w:r>
        <w:t xml:space="preserve"> регистрировались. Если же изменения не вносились, то регистрировались причин</w:t>
      </w:r>
      <w:r w:rsidR="00217B54">
        <w:t>ы</w:t>
      </w:r>
      <w:r>
        <w:t xml:space="preserve"> отказа от внесения изменений.</w:t>
      </w:r>
    </w:p>
    <w:p w14:paraId="2968F500" w14:textId="77777777" w:rsidR="00D23199" w:rsidRDefault="00031607" w:rsidP="002C60E1">
      <w:pPr>
        <w:pStyle w:val="afd"/>
        <w:spacing w:before="100" w:after="100" w:line="360" w:lineRule="auto"/>
        <w:ind w:firstLine="709"/>
        <w:contextualSpacing/>
      </w:pPr>
      <w:r>
        <w:rPr>
          <w:rStyle w:val="affa"/>
        </w:rPr>
        <w:t>Консультация и экспертная оценка:</w:t>
      </w:r>
    </w:p>
    <w:p w14:paraId="3A8BD90B" w14:textId="50950145" w:rsidR="00D23199" w:rsidRDefault="00031607" w:rsidP="002C60E1">
      <w:pPr>
        <w:pStyle w:val="afd"/>
        <w:spacing w:before="100" w:after="100" w:line="360" w:lineRule="auto"/>
        <w:ind w:firstLine="709"/>
        <w:contextualSpacing/>
      </w:pPr>
      <w:r>
        <w:t>Предварительная версия была выставлена для</w:t>
      </w:r>
      <w:r w:rsidR="002C60E1">
        <w:t xml:space="preserve"> широкого обсуждения на сайте</w:t>
      </w:r>
      <w:r w:rsidR="00014C82">
        <w:t xml:space="preserve"> Национального гематологического общества</w:t>
      </w:r>
      <w:r>
        <w:t xml:space="preserve"> с целью широкого обсуждения и совершенствовании рекомендаций.</w:t>
      </w:r>
    </w:p>
    <w:p w14:paraId="1AADD93F" w14:textId="4EEC1411" w:rsidR="002C60E1" w:rsidRPr="002C60E1" w:rsidRDefault="00031607" w:rsidP="002C60E1">
      <w:pPr>
        <w:pStyle w:val="afd"/>
        <w:spacing w:before="100" w:after="100" w:line="360" w:lineRule="auto"/>
        <w:ind w:firstLine="709"/>
        <w:contextualSpacing/>
        <w:rPr>
          <w:rStyle w:val="affa"/>
          <w:b w:val="0"/>
          <w:bCs w:val="0"/>
        </w:rPr>
      </w:pPr>
      <w:r>
        <w:t>Проект рекомендаций был рецензирован также независимыми экспертами, которых попросили прокомментировать, прежде всего, доходчивость и точность интерпретации доказательной базы, лежащей в основе рекомендаций.</w:t>
      </w:r>
    </w:p>
    <w:p w14:paraId="1A7410BE" w14:textId="54BD603A" w:rsidR="002C60E1" w:rsidRDefault="002C60E1" w:rsidP="002C60E1">
      <w:pPr>
        <w:pStyle w:val="aff8"/>
        <w:ind w:firstLine="709"/>
        <w:contextualSpacing/>
        <w:rPr>
          <w:rFonts w:eastAsiaTheme="minorEastAsia"/>
        </w:rPr>
      </w:pPr>
      <w:r>
        <w:rPr>
          <w:rStyle w:val="affa"/>
        </w:rPr>
        <w:t>Порядок обно</w:t>
      </w:r>
      <w:r w:rsidR="00A26557">
        <w:rPr>
          <w:rStyle w:val="affa"/>
        </w:rPr>
        <w:t>вления клинических рекомендаций</w:t>
      </w:r>
    </w:p>
    <w:p w14:paraId="3DDF3E8C" w14:textId="60C93174" w:rsidR="00705B68" w:rsidRDefault="00705B68" w:rsidP="00705B68">
      <w:r>
        <w:t xml:space="preserve">           Механизм обновления клинических рекомендаций предусматривает их систематическую актуализацию – не реже чем один раз в три года, а также при появлении </w:t>
      </w:r>
      <w:r w:rsidRPr="008F73CB">
        <w:lastRenderedPageBreak/>
        <w:t>новых данных с позиции доказательной медицины по вопросам диагностики, лечения, профилактики и реабилитации конкретных заболеваний</w:t>
      </w:r>
      <w:r>
        <w:t xml:space="preserve">, </w:t>
      </w:r>
      <w:r w:rsidRPr="008F73CB">
        <w:t>наличи</w:t>
      </w:r>
      <w:r>
        <w:t>и</w:t>
      </w:r>
      <w:r w:rsidRPr="008F73CB">
        <w:t xml:space="preserve"> обоснованных дополнений/замечаний к ранее утверждённым КР</w:t>
      </w:r>
      <w:r>
        <w:t>, но не чаще 1 раза в 6 месяцев.</w:t>
      </w:r>
    </w:p>
    <w:p w14:paraId="61EDF4EE" w14:textId="386F498A" w:rsidR="002C3C32" w:rsidRDefault="002C60E1" w:rsidP="002C60E1">
      <w:pPr>
        <w:ind w:firstLine="709"/>
        <w:contextualSpacing/>
      </w:pPr>
      <w:r>
        <w:t xml:space="preserve">Решение об обновлении принимает МЗ РФ 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  </w:t>
      </w:r>
    </w:p>
    <w:p w14:paraId="523ADE14" w14:textId="77777777" w:rsidR="00BC7A14" w:rsidRDefault="00BC7A14" w:rsidP="009A230D">
      <w:bookmarkStart w:id="77" w:name="__RefHeading___doc_a3"/>
      <w:bookmarkStart w:id="78" w:name="_Toc11747753"/>
    </w:p>
    <w:p w14:paraId="7318759D" w14:textId="77777777" w:rsidR="00BC7A14" w:rsidRDefault="00BC7A14" w:rsidP="009A230D"/>
    <w:p w14:paraId="641A6ABF" w14:textId="77777777" w:rsidR="004079B4" w:rsidRDefault="004079B4" w:rsidP="009A230D"/>
    <w:p w14:paraId="55E6D788" w14:textId="31A936B4" w:rsidR="00BC7A14" w:rsidRPr="009F7F8A" w:rsidRDefault="003B5B81" w:rsidP="009F7F8A">
      <w:pPr>
        <w:pStyle w:val="affd"/>
      </w:pPr>
      <w:bookmarkStart w:id="79" w:name="_Toc24362731"/>
      <w:r w:rsidRPr="009F7F8A">
        <w:t xml:space="preserve"> </w:t>
      </w:r>
      <w:bookmarkStart w:id="80" w:name="_Toc67522260"/>
      <w:r w:rsidRPr="009F7F8A">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77"/>
      <w:bookmarkEnd w:id="78"/>
      <w:bookmarkEnd w:id="79"/>
      <w:bookmarkEnd w:id="80"/>
    </w:p>
    <w:p w14:paraId="13E7537A" w14:textId="153BE7E6" w:rsidR="00BC7A14" w:rsidRPr="00BF28E7" w:rsidRDefault="009F7F8A" w:rsidP="009F7F8A">
      <w:pPr>
        <w:pStyle w:val="2"/>
        <w:rPr>
          <w:lang w:eastAsia="ru-RU"/>
        </w:rPr>
      </w:pPr>
      <w:bookmarkStart w:id="81" w:name="_Toc67522261"/>
      <w:r>
        <w:rPr>
          <w:lang w:eastAsia="ru-RU"/>
        </w:rPr>
        <w:t xml:space="preserve">Приложение А3.1. </w:t>
      </w:r>
      <w:r w:rsidR="00BC7A14" w:rsidRPr="00BF28E7">
        <w:rPr>
          <w:lang w:eastAsia="ru-RU"/>
        </w:rPr>
        <w:t xml:space="preserve">Протокол применения </w:t>
      </w:r>
      <w:r w:rsidR="005864C0">
        <w:rPr>
          <w:lang w:eastAsia="ru-RU"/>
        </w:rPr>
        <w:t>АТГ**</w:t>
      </w:r>
      <w:r w:rsidR="00BC7A14" w:rsidRPr="00BF28E7">
        <w:rPr>
          <w:lang w:eastAsia="ru-RU"/>
        </w:rPr>
        <w:t xml:space="preserve"> при </w:t>
      </w:r>
      <w:r w:rsidR="006831CF">
        <w:rPr>
          <w:lang w:eastAsia="ru-RU"/>
        </w:rPr>
        <w:t>АА</w:t>
      </w:r>
      <w:r w:rsidR="00BC7A14" w:rsidRPr="00BF28E7">
        <w:rPr>
          <w:lang w:eastAsia="ru-RU"/>
        </w:rPr>
        <w:t xml:space="preserve"> № 1</w:t>
      </w:r>
      <w:bookmarkEnd w:id="81"/>
      <w:r w:rsidR="00BC7A14" w:rsidRPr="00BF28E7">
        <w:rPr>
          <w:lang w:eastAsia="ru-RU"/>
        </w:rPr>
        <w:t xml:space="preserve"> </w:t>
      </w:r>
    </w:p>
    <w:p w14:paraId="2C7A2558" w14:textId="77777777" w:rsidR="00BC7A14" w:rsidRPr="00BF28E7" w:rsidRDefault="00BC7A14" w:rsidP="00BC7A14">
      <w:pPr>
        <w:autoSpaceDE w:val="0"/>
        <w:autoSpaceDN w:val="0"/>
        <w:adjustRightInd w:val="0"/>
        <w:spacing w:line="240" w:lineRule="auto"/>
        <w:jc w:val="center"/>
        <w:rPr>
          <w:rFonts w:eastAsia="Times New Roman" w:cs="Times New Roman"/>
          <w:b/>
          <w:bCs/>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634"/>
      </w:tblGrid>
      <w:tr w:rsidR="00BC7A14" w:rsidRPr="00BF28E7" w14:paraId="04F88B55" w14:textId="77777777" w:rsidTr="00B941F0">
        <w:trPr>
          <w:trHeight w:val="549"/>
        </w:trPr>
        <w:tc>
          <w:tcPr>
            <w:tcW w:w="9570" w:type="dxa"/>
            <w:gridSpan w:val="2"/>
            <w:tcBorders>
              <w:top w:val="single" w:sz="4" w:space="0" w:color="auto"/>
              <w:left w:val="single" w:sz="4" w:space="0" w:color="auto"/>
              <w:bottom w:val="single" w:sz="4" w:space="0" w:color="auto"/>
              <w:right w:val="single" w:sz="4" w:space="0" w:color="auto"/>
            </w:tcBorders>
            <w:vAlign w:val="center"/>
            <w:hideMark/>
          </w:tcPr>
          <w:p w14:paraId="64F77962" w14:textId="77777777" w:rsidR="00BC7A14" w:rsidRPr="00BF28E7" w:rsidRDefault="00BC7A14" w:rsidP="00B941F0">
            <w:pPr>
              <w:autoSpaceDE w:val="0"/>
              <w:autoSpaceDN w:val="0"/>
              <w:adjustRightInd w:val="0"/>
              <w:spacing w:line="240" w:lineRule="auto"/>
              <w:jc w:val="center"/>
              <w:rPr>
                <w:rFonts w:eastAsia="Times New Roman" w:cs="Times New Roman"/>
                <w:b/>
                <w:bCs/>
                <w:szCs w:val="24"/>
                <w:lang w:eastAsia="ru-RU"/>
              </w:rPr>
            </w:pPr>
            <w:r w:rsidRPr="00BF28E7">
              <w:rPr>
                <w:rFonts w:eastAsia="Times New Roman" w:cs="Times New Roman"/>
                <w:b/>
                <w:bCs/>
                <w:szCs w:val="24"/>
                <w:lang w:eastAsia="ru-RU"/>
              </w:rPr>
              <w:t>За 2 дня до начала терапии АТГ</w:t>
            </w:r>
          </w:p>
        </w:tc>
      </w:tr>
      <w:tr w:rsidR="00BC7A14" w:rsidRPr="00BF28E7" w14:paraId="4C38DEAF" w14:textId="77777777" w:rsidTr="00B941F0">
        <w:tc>
          <w:tcPr>
            <w:tcW w:w="3936" w:type="dxa"/>
            <w:tcBorders>
              <w:top w:val="single" w:sz="4" w:space="0" w:color="auto"/>
              <w:left w:val="single" w:sz="4" w:space="0" w:color="auto"/>
              <w:bottom w:val="single" w:sz="4" w:space="0" w:color="auto"/>
              <w:right w:val="single" w:sz="4" w:space="0" w:color="auto"/>
            </w:tcBorders>
            <w:hideMark/>
          </w:tcPr>
          <w:p w14:paraId="4E05F07A" w14:textId="38A20660" w:rsidR="00BC7A14" w:rsidRPr="00BF28E7" w:rsidRDefault="005864C0" w:rsidP="00B941F0">
            <w:pPr>
              <w:autoSpaceDE w:val="0"/>
              <w:autoSpaceDN w:val="0"/>
              <w:adjustRightInd w:val="0"/>
              <w:spacing w:line="240" w:lineRule="auto"/>
              <w:rPr>
                <w:rFonts w:eastAsia="Times New Roman" w:cs="Times New Roman"/>
                <w:bCs/>
                <w:szCs w:val="24"/>
                <w:lang w:eastAsia="ru-RU"/>
              </w:rPr>
            </w:pPr>
            <w:r>
              <w:rPr>
                <w:rFonts w:eastAsia="Times New Roman" w:cs="Times New Roman"/>
                <w:bCs/>
                <w:szCs w:val="24"/>
                <w:lang w:eastAsia="ru-RU"/>
              </w:rPr>
              <w:t>Ко-тримоксазол</w:t>
            </w:r>
            <w:r w:rsidR="00705B68">
              <w:rPr>
                <w:rFonts w:eastAsia="Times New Roman" w:cs="Times New Roman"/>
                <w:bCs/>
                <w:szCs w:val="24"/>
                <w:lang w:eastAsia="ru-RU"/>
              </w:rPr>
              <w:t>**</w:t>
            </w:r>
          </w:p>
        </w:tc>
        <w:tc>
          <w:tcPr>
            <w:tcW w:w="5634" w:type="dxa"/>
            <w:tcBorders>
              <w:top w:val="single" w:sz="4" w:space="0" w:color="auto"/>
              <w:left w:val="single" w:sz="4" w:space="0" w:color="auto"/>
              <w:bottom w:val="single" w:sz="4" w:space="0" w:color="auto"/>
              <w:right w:val="single" w:sz="4" w:space="0" w:color="auto"/>
            </w:tcBorders>
            <w:hideMark/>
          </w:tcPr>
          <w:p w14:paraId="54E765CA" w14:textId="4B82475D" w:rsidR="00BC7A14" w:rsidRPr="00BF28E7" w:rsidRDefault="00BC7A14" w:rsidP="00B941F0">
            <w:pPr>
              <w:autoSpaceDE w:val="0"/>
              <w:autoSpaceDN w:val="0"/>
              <w:adjustRightInd w:val="0"/>
              <w:spacing w:line="240" w:lineRule="auto"/>
              <w:rPr>
                <w:rFonts w:eastAsia="Times New Roman" w:cs="Times New Roman"/>
                <w:szCs w:val="24"/>
                <w:lang w:eastAsia="ru-RU"/>
              </w:rPr>
            </w:pPr>
            <w:r w:rsidRPr="00BF28E7">
              <w:rPr>
                <w:rFonts w:eastAsia="Times New Roman" w:cs="Times New Roman"/>
                <w:szCs w:val="24"/>
                <w:lang w:eastAsia="ru-RU"/>
              </w:rPr>
              <w:t xml:space="preserve">480 мг внутрь 1 раз в сутки или </w:t>
            </w:r>
            <w:r w:rsidR="0018711F">
              <w:rPr>
                <w:rFonts w:eastAsia="Times New Roman" w:cs="Times New Roman"/>
                <w:szCs w:val="24"/>
                <w:lang w:eastAsia="ru-RU"/>
              </w:rPr>
              <w:t xml:space="preserve">960 мг </w:t>
            </w:r>
            <w:r w:rsidRPr="00BF28E7">
              <w:rPr>
                <w:rFonts w:eastAsia="Times New Roman" w:cs="Times New Roman"/>
                <w:szCs w:val="24"/>
                <w:lang w:eastAsia="ru-RU"/>
              </w:rPr>
              <w:t>3 раза в неделю (при этом режиме дозирования расчет суточной дозы преп</w:t>
            </w:r>
            <w:r>
              <w:rPr>
                <w:rFonts w:eastAsia="Times New Roman" w:cs="Times New Roman"/>
                <w:szCs w:val="24"/>
                <w:lang w:eastAsia="ru-RU"/>
              </w:rPr>
              <w:t>арата проводят по триметоприму </w:t>
            </w:r>
            <w:r w:rsidRPr="00BF28E7">
              <w:rPr>
                <w:rFonts w:eastAsia="Times New Roman" w:cs="Times New Roman"/>
                <w:szCs w:val="24"/>
                <w:lang w:eastAsia="ru-RU"/>
              </w:rPr>
              <w:t>2,5—5 мг/кг</w:t>
            </w:r>
            <w:r w:rsidR="00E20452">
              <w:rPr>
                <w:rFonts w:eastAsia="Times New Roman" w:cs="Times New Roman"/>
                <w:szCs w:val="24"/>
                <w:lang w:eastAsia="ru-RU"/>
              </w:rPr>
              <w:t xml:space="preserve"> в сутки</w:t>
            </w:r>
            <w:r w:rsidRPr="00BF28E7">
              <w:rPr>
                <w:rFonts w:eastAsia="Times New Roman" w:cs="Times New Roman"/>
                <w:szCs w:val="24"/>
                <w:lang w:eastAsia="ru-RU"/>
              </w:rPr>
              <w:t xml:space="preserve"> и разделяют ее на 2 приема в день) в течение 3 недель</w:t>
            </w:r>
          </w:p>
        </w:tc>
      </w:tr>
      <w:tr w:rsidR="00BC7A14" w:rsidRPr="00BF28E7" w14:paraId="7D794BD8" w14:textId="77777777" w:rsidTr="00B941F0">
        <w:tc>
          <w:tcPr>
            <w:tcW w:w="3936" w:type="dxa"/>
            <w:tcBorders>
              <w:top w:val="single" w:sz="4" w:space="0" w:color="auto"/>
              <w:left w:val="single" w:sz="4" w:space="0" w:color="auto"/>
              <w:bottom w:val="single" w:sz="4" w:space="0" w:color="auto"/>
              <w:right w:val="single" w:sz="4" w:space="0" w:color="auto"/>
            </w:tcBorders>
            <w:hideMark/>
          </w:tcPr>
          <w:p w14:paraId="3CC3B36B" w14:textId="0ABAB857" w:rsidR="00BC7A14" w:rsidRPr="00BF28E7" w:rsidRDefault="00BC7A14" w:rsidP="00B941F0">
            <w:pPr>
              <w:autoSpaceDE w:val="0"/>
              <w:autoSpaceDN w:val="0"/>
              <w:adjustRightInd w:val="0"/>
              <w:spacing w:line="240" w:lineRule="auto"/>
              <w:rPr>
                <w:rFonts w:eastAsia="Times New Roman" w:cs="Times New Roman"/>
                <w:szCs w:val="24"/>
                <w:lang w:eastAsia="ru-RU"/>
              </w:rPr>
            </w:pPr>
            <w:r w:rsidRPr="00BF28E7">
              <w:rPr>
                <w:rFonts w:eastAsia="Times New Roman" w:cs="Times New Roman"/>
                <w:bCs/>
                <w:szCs w:val="24"/>
                <w:lang w:eastAsia="ru-RU"/>
              </w:rPr>
              <w:t>Преднизолон</w:t>
            </w:r>
            <w:r w:rsidR="00705B68">
              <w:rPr>
                <w:rFonts w:eastAsia="Times New Roman" w:cs="Times New Roman"/>
                <w:bCs/>
                <w:szCs w:val="24"/>
                <w:lang w:eastAsia="ru-RU"/>
              </w:rPr>
              <w:t>**</w:t>
            </w:r>
          </w:p>
        </w:tc>
        <w:tc>
          <w:tcPr>
            <w:tcW w:w="5634" w:type="dxa"/>
            <w:tcBorders>
              <w:top w:val="single" w:sz="4" w:space="0" w:color="auto"/>
              <w:left w:val="single" w:sz="4" w:space="0" w:color="auto"/>
              <w:bottom w:val="single" w:sz="4" w:space="0" w:color="auto"/>
              <w:right w:val="single" w:sz="4" w:space="0" w:color="auto"/>
            </w:tcBorders>
            <w:hideMark/>
          </w:tcPr>
          <w:p w14:paraId="3AC6F387" w14:textId="77777777" w:rsidR="00BC7A14" w:rsidRPr="00BF28E7" w:rsidRDefault="00BC7A14" w:rsidP="00B941F0">
            <w:pPr>
              <w:autoSpaceDE w:val="0"/>
              <w:autoSpaceDN w:val="0"/>
              <w:adjustRightInd w:val="0"/>
              <w:spacing w:line="240" w:lineRule="auto"/>
              <w:rPr>
                <w:rFonts w:eastAsia="Times New Roman" w:cs="Times New Roman"/>
                <w:szCs w:val="24"/>
                <w:lang w:eastAsia="ru-RU"/>
              </w:rPr>
            </w:pPr>
            <w:r w:rsidRPr="00BF28E7">
              <w:rPr>
                <w:rFonts w:eastAsia="Times New Roman" w:cs="Times New Roman"/>
                <w:szCs w:val="24"/>
                <w:lang w:eastAsia="ru-RU"/>
              </w:rPr>
              <w:t>30 мг в сутки внутрь</w:t>
            </w:r>
          </w:p>
        </w:tc>
      </w:tr>
      <w:tr w:rsidR="00BC7A14" w:rsidRPr="00BF28E7" w14:paraId="2ACF8BA0" w14:textId="77777777" w:rsidTr="00B941F0">
        <w:tc>
          <w:tcPr>
            <w:tcW w:w="3936" w:type="dxa"/>
            <w:tcBorders>
              <w:top w:val="single" w:sz="4" w:space="0" w:color="auto"/>
              <w:left w:val="single" w:sz="4" w:space="0" w:color="auto"/>
              <w:bottom w:val="single" w:sz="4" w:space="0" w:color="auto"/>
              <w:right w:val="single" w:sz="4" w:space="0" w:color="auto"/>
            </w:tcBorders>
            <w:hideMark/>
          </w:tcPr>
          <w:p w14:paraId="315F9A73" w14:textId="7F44ED7A" w:rsidR="00BC7A14" w:rsidRPr="00BF28E7" w:rsidRDefault="00B866ED" w:rsidP="00B941F0">
            <w:pPr>
              <w:autoSpaceDE w:val="0"/>
              <w:autoSpaceDN w:val="0"/>
              <w:adjustRightInd w:val="0"/>
              <w:spacing w:line="240" w:lineRule="auto"/>
              <w:rPr>
                <w:rFonts w:eastAsia="Times New Roman" w:cs="Times New Roman"/>
                <w:szCs w:val="24"/>
                <w:lang w:eastAsia="ru-RU"/>
              </w:rPr>
            </w:pPr>
            <w:r>
              <w:rPr>
                <w:rFonts w:eastAsia="Times New Roman" w:cs="Times New Roman"/>
                <w:bCs/>
                <w:szCs w:val="24"/>
                <w:lang w:eastAsia="ru-RU"/>
              </w:rPr>
              <w:t>Препараты кальция</w:t>
            </w:r>
          </w:p>
        </w:tc>
        <w:tc>
          <w:tcPr>
            <w:tcW w:w="5634" w:type="dxa"/>
            <w:tcBorders>
              <w:top w:val="single" w:sz="4" w:space="0" w:color="auto"/>
              <w:left w:val="single" w:sz="4" w:space="0" w:color="auto"/>
              <w:bottom w:val="single" w:sz="4" w:space="0" w:color="auto"/>
              <w:right w:val="single" w:sz="4" w:space="0" w:color="auto"/>
            </w:tcBorders>
            <w:hideMark/>
          </w:tcPr>
          <w:p w14:paraId="3BB506B8" w14:textId="3BB2B588" w:rsidR="00BC7A14" w:rsidRPr="00BF28E7" w:rsidRDefault="00B866ED" w:rsidP="00B941F0">
            <w:pPr>
              <w:autoSpaceDE w:val="0"/>
              <w:autoSpaceDN w:val="0"/>
              <w:adjustRightInd w:val="0"/>
              <w:spacing w:line="240" w:lineRule="auto"/>
              <w:rPr>
                <w:rFonts w:eastAsia="Times New Roman" w:cs="Times New Roman"/>
                <w:szCs w:val="24"/>
                <w:lang w:eastAsia="ru-RU"/>
              </w:rPr>
            </w:pPr>
            <w:r>
              <w:rPr>
                <w:rFonts w:eastAsia="Times New Roman" w:cs="Times New Roman"/>
                <w:szCs w:val="24"/>
                <w:lang w:eastAsia="ru-RU"/>
              </w:rPr>
              <w:t>500-1000 мг/сут эквивалентно элементарному кальцию,</w:t>
            </w:r>
            <w:r w:rsidR="00BC7A14" w:rsidRPr="00BF28E7">
              <w:rPr>
                <w:rFonts w:eastAsia="Times New Roman" w:cs="Times New Roman"/>
                <w:szCs w:val="24"/>
                <w:lang w:eastAsia="ru-RU"/>
              </w:rPr>
              <w:t> таблетки</w:t>
            </w:r>
            <w:r>
              <w:rPr>
                <w:rFonts w:eastAsia="Times New Roman" w:cs="Times New Roman"/>
                <w:szCs w:val="24"/>
                <w:lang w:eastAsia="ru-RU"/>
              </w:rPr>
              <w:t>,</w:t>
            </w:r>
            <w:r w:rsidR="00BC7A14" w:rsidRPr="00BF28E7">
              <w:rPr>
                <w:rFonts w:eastAsia="Times New Roman" w:cs="Times New Roman"/>
                <w:szCs w:val="24"/>
                <w:lang w:eastAsia="ru-RU"/>
              </w:rPr>
              <w:t xml:space="preserve"> в течение 4 недель</w:t>
            </w:r>
          </w:p>
        </w:tc>
      </w:tr>
      <w:tr w:rsidR="00BC7A14" w:rsidRPr="00BF28E7" w14:paraId="76500F40" w14:textId="77777777" w:rsidTr="00B941F0">
        <w:trPr>
          <w:trHeight w:val="567"/>
        </w:trPr>
        <w:tc>
          <w:tcPr>
            <w:tcW w:w="9570" w:type="dxa"/>
            <w:gridSpan w:val="2"/>
            <w:tcBorders>
              <w:top w:val="single" w:sz="4" w:space="0" w:color="auto"/>
              <w:left w:val="single" w:sz="4" w:space="0" w:color="auto"/>
              <w:bottom w:val="single" w:sz="4" w:space="0" w:color="auto"/>
              <w:right w:val="single" w:sz="4" w:space="0" w:color="auto"/>
            </w:tcBorders>
            <w:vAlign w:val="center"/>
            <w:hideMark/>
          </w:tcPr>
          <w:p w14:paraId="772C373D" w14:textId="77777777" w:rsidR="00BC7A14" w:rsidRPr="00BF28E7" w:rsidRDefault="00BC7A14" w:rsidP="00B941F0">
            <w:pPr>
              <w:autoSpaceDE w:val="0"/>
              <w:autoSpaceDN w:val="0"/>
              <w:adjustRightInd w:val="0"/>
              <w:spacing w:line="240" w:lineRule="auto"/>
              <w:jc w:val="center"/>
              <w:rPr>
                <w:rFonts w:eastAsia="Times New Roman" w:cs="Times New Roman"/>
                <w:b/>
                <w:bCs/>
                <w:szCs w:val="24"/>
                <w:lang w:eastAsia="ru-RU"/>
              </w:rPr>
            </w:pPr>
            <w:r w:rsidRPr="00BF28E7">
              <w:rPr>
                <w:rFonts w:eastAsia="Times New Roman" w:cs="Times New Roman"/>
                <w:b/>
                <w:bCs/>
                <w:szCs w:val="24"/>
                <w:lang w:eastAsia="ru-RU"/>
              </w:rPr>
              <w:t>Ежедневно в течение 5 дней</w:t>
            </w:r>
          </w:p>
        </w:tc>
      </w:tr>
      <w:tr w:rsidR="00BC7A14" w:rsidRPr="00BF28E7" w14:paraId="2ED104C5" w14:textId="77777777" w:rsidTr="00B941F0">
        <w:tc>
          <w:tcPr>
            <w:tcW w:w="3936" w:type="dxa"/>
            <w:tcBorders>
              <w:top w:val="single" w:sz="4" w:space="0" w:color="auto"/>
              <w:left w:val="single" w:sz="4" w:space="0" w:color="auto"/>
              <w:bottom w:val="single" w:sz="4" w:space="0" w:color="auto"/>
              <w:right w:val="single" w:sz="4" w:space="0" w:color="auto"/>
            </w:tcBorders>
            <w:hideMark/>
          </w:tcPr>
          <w:p w14:paraId="78660042" w14:textId="70AA492C" w:rsidR="00BC7A14" w:rsidRPr="00BF28E7" w:rsidRDefault="00F54ABC" w:rsidP="00B941F0">
            <w:pPr>
              <w:autoSpaceDE w:val="0"/>
              <w:autoSpaceDN w:val="0"/>
              <w:adjustRightInd w:val="0"/>
              <w:spacing w:line="240" w:lineRule="auto"/>
              <w:rPr>
                <w:rFonts w:eastAsia="Times New Roman" w:cs="Times New Roman"/>
                <w:bCs/>
                <w:szCs w:val="24"/>
                <w:lang w:eastAsia="ru-RU"/>
              </w:rPr>
            </w:pPr>
            <w:r>
              <w:t xml:space="preserve">лошадиный </w:t>
            </w:r>
            <w:r w:rsidRPr="00886E7D">
              <w:t>#</w:t>
            </w:r>
            <w:r w:rsidR="005864C0">
              <w:t>АТГ</w:t>
            </w:r>
            <w:r w:rsidR="00BC7A14" w:rsidRPr="00BF28E7">
              <w:rPr>
                <w:rFonts w:eastAsia="Times New Roman" w:cs="Times New Roman"/>
                <w:bCs/>
                <w:szCs w:val="24"/>
                <w:vertAlign w:val="superscript"/>
                <w:lang w:eastAsia="ru-RU"/>
              </w:rPr>
              <w:t>1</w:t>
            </w:r>
            <w:r w:rsidR="00705B68">
              <w:rPr>
                <w:rFonts w:eastAsia="Times New Roman" w:cs="Times New Roman"/>
                <w:bCs/>
                <w:szCs w:val="24"/>
                <w:vertAlign w:val="superscript"/>
                <w:lang w:eastAsia="ru-RU"/>
              </w:rPr>
              <w:t>**</w:t>
            </w:r>
          </w:p>
        </w:tc>
        <w:tc>
          <w:tcPr>
            <w:tcW w:w="5634" w:type="dxa"/>
            <w:tcBorders>
              <w:top w:val="single" w:sz="4" w:space="0" w:color="auto"/>
              <w:left w:val="single" w:sz="4" w:space="0" w:color="auto"/>
              <w:bottom w:val="single" w:sz="4" w:space="0" w:color="auto"/>
              <w:right w:val="single" w:sz="4" w:space="0" w:color="auto"/>
            </w:tcBorders>
            <w:hideMark/>
          </w:tcPr>
          <w:p w14:paraId="7C24E779" w14:textId="77777777" w:rsidR="00BC7A14" w:rsidRPr="00BF28E7" w:rsidRDefault="00BC7A14" w:rsidP="00B941F0">
            <w:pPr>
              <w:autoSpaceDE w:val="0"/>
              <w:autoSpaceDN w:val="0"/>
              <w:adjustRightInd w:val="0"/>
              <w:spacing w:line="240" w:lineRule="auto"/>
              <w:rPr>
                <w:rFonts w:eastAsia="Times New Roman" w:cs="Times New Roman"/>
                <w:szCs w:val="24"/>
                <w:lang w:eastAsia="ru-RU"/>
              </w:rPr>
            </w:pPr>
            <w:r w:rsidRPr="00BF28E7">
              <w:rPr>
                <w:rFonts w:eastAsia="Times New Roman" w:cs="Times New Roman"/>
                <w:szCs w:val="24"/>
                <w:lang w:eastAsia="ru-RU"/>
              </w:rPr>
              <w:t>20 мг/кг в сутки внутривенно капельно в течение 12 часов</w:t>
            </w:r>
            <w:r w:rsidRPr="00BF28E7">
              <w:rPr>
                <w:rFonts w:eastAsia="Times New Roman" w:cs="Times New Roman"/>
                <w:szCs w:val="24"/>
                <w:vertAlign w:val="superscript"/>
                <w:lang w:eastAsia="ru-RU"/>
              </w:rPr>
              <w:t>3</w:t>
            </w:r>
          </w:p>
        </w:tc>
      </w:tr>
      <w:tr w:rsidR="00BC7A14" w:rsidRPr="00BF28E7" w14:paraId="5438D895" w14:textId="77777777" w:rsidTr="00B941F0">
        <w:tc>
          <w:tcPr>
            <w:tcW w:w="3936" w:type="dxa"/>
            <w:tcBorders>
              <w:top w:val="single" w:sz="4" w:space="0" w:color="auto"/>
              <w:left w:val="single" w:sz="4" w:space="0" w:color="auto"/>
              <w:bottom w:val="single" w:sz="4" w:space="0" w:color="auto"/>
              <w:right w:val="single" w:sz="4" w:space="0" w:color="auto"/>
            </w:tcBorders>
            <w:hideMark/>
          </w:tcPr>
          <w:p w14:paraId="23B0BE21" w14:textId="7C3E247F" w:rsidR="00BC7A14" w:rsidRPr="004104D1" w:rsidRDefault="005864C0" w:rsidP="00B941F0">
            <w:pPr>
              <w:autoSpaceDE w:val="0"/>
              <w:autoSpaceDN w:val="0"/>
              <w:adjustRightInd w:val="0"/>
              <w:spacing w:line="240" w:lineRule="auto"/>
              <w:rPr>
                <w:rFonts w:eastAsia="Times New Roman" w:cs="Times New Roman"/>
                <w:bCs/>
                <w:szCs w:val="24"/>
                <w:lang w:eastAsia="ru-RU"/>
              </w:rPr>
            </w:pPr>
            <w:r>
              <w:rPr>
                <w:rFonts w:eastAsia="Times New Roman" w:cs="Times New Roman"/>
                <w:bCs/>
                <w:szCs w:val="24"/>
                <w:lang w:eastAsia="ru-RU"/>
              </w:rPr>
              <w:t>Глюкокортикостероиды</w:t>
            </w:r>
          </w:p>
        </w:tc>
        <w:tc>
          <w:tcPr>
            <w:tcW w:w="5634" w:type="dxa"/>
            <w:tcBorders>
              <w:top w:val="single" w:sz="4" w:space="0" w:color="auto"/>
              <w:left w:val="single" w:sz="4" w:space="0" w:color="auto"/>
              <w:bottom w:val="single" w:sz="4" w:space="0" w:color="auto"/>
              <w:right w:val="single" w:sz="4" w:space="0" w:color="auto"/>
            </w:tcBorders>
            <w:hideMark/>
          </w:tcPr>
          <w:p w14:paraId="4E7AB32E" w14:textId="13F73557" w:rsidR="00BC7A14" w:rsidRPr="00BF28E7" w:rsidRDefault="00BC7A14" w:rsidP="00B941F0">
            <w:pPr>
              <w:autoSpaceDE w:val="0"/>
              <w:autoSpaceDN w:val="0"/>
              <w:adjustRightInd w:val="0"/>
              <w:spacing w:line="240" w:lineRule="auto"/>
              <w:rPr>
                <w:rFonts w:eastAsia="Times New Roman" w:cs="Times New Roman"/>
                <w:szCs w:val="24"/>
                <w:lang w:eastAsia="ru-RU"/>
              </w:rPr>
            </w:pPr>
            <w:r w:rsidRPr="00BF28E7">
              <w:rPr>
                <w:rFonts w:eastAsia="Times New Roman" w:cs="Times New Roman"/>
                <w:bCs/>
                <w:szCs w:val="24"/>
                <w:lang w:eastAsia="ru-RU"/>
              </w:rPr>
              <w:t>Преднизолон</w:t>
            </w:r>
            <w:r w:rsidR="003B5B81">
              <w:rPr>
                <w:rFonts w:eastAsia="Times New Roman" w:cs="Times New Roman"/>
                <w:bCs/>
                <w:szCs w:val="24"/>
                <w:lang w:eastAsia="ru-RU"/>
              </w:rPr>
              <w:t>**</w:t>
            </w:r>
            <w:r w:rsidRPr="00BF28E7">
              <w:rPr>
                <w:rFonts w:eastAsia="Times New Roman" w:cs="Times New Roman"/>
                <w:bCs/>
                <w:szCs w:val="24"/>
                <w:lang w:eastAsia="ru-RU"/>
              </w:rPr>
              <w:t>,</w:t>
            </w:r>
            <w:r w:rsidRPr="00BF28E7">
              <w:rPr>
                <w:rFonts w:eastAsia="Times New Roman" w:cs="Times New Roman"/>
                <w:szCs w:val="24"/>
                <w:lang w:eastAsia="ru-RU"/>
              </w:rPr>
              <w:t xml:space="preserve"> 60 мг, или </w:t>
            </w:r>
            <w:r>
              <w:rPr>
                <w:rFonts w:eastAsia="Times New Roman" w:cs="Times New Roman"/>
                <w:bCs/>
                <w:szCs w:val="24"/>
                <w:lang w:eastAsia="ru-RU"/>
              </w:rPr>
              <w:t>Метилпреднизолон</w:t>
            </w:r>
            <w:r w:rsidR="003B5B81">
              <w:rPr>
                <w:rFonts w:eastAsia="Times New Roman" w:cs="Times New Roman"/>
                <w:bCs/>
                <w:szCs w:val="24"/>
                <w:lang w:eastAsia="ru-RU"/>
              </w:rPr>
              <w:t>**</w:t>
            </w:r>
            <w:r w:rsidRPr="00BF28E7">
              <w:rPr>
                <w:rFonts w:eastAsia="Times New Roman" w:cs="Times New Roman"/>
                <w:bCs/>
                <w:szCs w:val="24"/>
                <w:lang w:eastAsia="ru-RU"/>
              </w:rPr>
              <w:t>,</w:t>
            </w:r>
            <w:r w:rsidRPr="00BF28E7">
              <w:rPr>
                <w:rFonts w:eastAsia="Times New Roman" w:cs="Times New Roman"/>
                <w:szCs w:val="24"/>
                <w:lang w:eastAsia="ru-RU"/>
              </w:rPr>
              <w:t xml:space="preserve"> 125—250 мг, 2 раза в сутки внутривенно капельно (до и после АТГ</w:t>
            </w:r>
            <w:r w:rsidR="003B5B81">
              <w:rPr>
                <w:rFonts w:eastAsia="Times New Roman" w:cs="Times New Roman"/>
                <w:szCs w:val="24"/>
                <w:lang w:eastAsia="ru-RU"/>
              </w:rPr>
              <w:t>**</w:t>
            </w:r>
            <w:r w:rsidRPr="00BF28E7">
              <w:rPr>
                <w:rFonts w:eastAsia="Times New Roman" w:cs="Times New Roman"/>
                <w:szCs w:val="24"/>
                <w:lang w:eastAsia="ru-RU"/>
              </w:rPr>
              <w:t>)</w:t>
            </w:r>
          </w:p>
        </w:tc>
      </w:tr>
      <w:tr w:rsidR="00BC7A14" w:rsidRPr="00BF28E7" w14:paraId="0A8DD2DC" w14:textId="77777777" w:rsidTr="00B941F0">
        <w:tc>
          <w:tcPr>
            <w:tcW w:w="3936" w:type="dxa"/>
            <w:tcBorders>
              <w:top w:val="single" w:sz="4" w:space="0" w:color="auto"/>
              <w:left w:val="single" w:sz="4" w:space="0" w:color="auto"/>
              <w:bottom w:val="single" w:sz="4" w:space="0" w:color="auto"/>
              <w:right w:val="single" w:sz="4" w:space="0" w:color="auto"/>
            </w:tcBorders>
            <w:hideMark/>
          </w:tcPr>
          <w:p w14:paraId="23D9A30C" w14:textId="5A045988" w:rsidR="00BC7A14" w:rsidRPr="00BF28E7" w:rsidRDefault="008D0C70" w:rsidP="00B941F0">
            <w:pPr>
              <w:autoSpaceDE w:val="0"/>
              <w:autoSpaceDN w:val="0"/>
              <w:adjustRightInd w:val="0"/>
              <w:spacing w:line="240" w:lineRule="auto"/>
              <w:rPr>
                <w:rFonts w:eastAsia="Times New Roman" w:cs="Times New Roman"/>
                <w:szCs w:val="24"/>
                <w:lang w:eastAsia="ru-RU"/>
              </w:rPr>
            </w:pPr>
            <w:r>
              <w:rPr>
                <w:rFonts w:eastAsia="Times New Roman" w:cs="Times New Roman"/>
                <w:bCs/>
                <w:szCs w:val="24"/>
                <w:lang w:eastAsia="ru-RU"/>
              </w:rPr>
              <w:t>Противоаллергическое средство – Н1-гистаминовых рецепторов блокатор</w:t>
            </w:r>
            <w:r w:rsidR="00705B68">
              <w:rPr>
                <w:rFonts w:eastAsia="Times New Roman" w:cs="Times New Roman"/>
                <w:bCs/>
                <w:szCs w:val="24"/>
                <w:lang w:eastAsia="ru-RU"/>
              </w:rPr>
              <w:t xml:space="preserve"> </w:t>
            </w:r>
          </w:p>
        </w:tc>
        <w:tc>
          <w:tcPr>
            <w:tcW w:w="5634" w:type="dxa"/>
            <w:tcBorders>
              <w:top w:val="single" w:sz="4" w:space="0" w:color="auto"/>
              <w:left w:val="single" w:sz="4" w:space="0" w:color="auto"/>
              <w:bottom w:val="single" w:sz="4" w:space="0" w:color="auto"/>
              <w:right w:val="single" w:sz="4" w:space="0" w:color="auto"/>
            </w:tcBorders>
            <w:hideMark/>
          </w:tcPr>
          <w:p w14:paraId="6F50D1CF" w14:textId="69605007" w:rsidR="00BC7A14" w:rsidRPr="00BF28E7" w:rsidRDefault="00BC7A14" w:rsidP="00B941F0">
            <w:pPr>
              <w:autoSpaceDE w:val="0"/>
              <w:autoSpaceDN w:val="0"/>
              <w:adjustRightInd w:val="0"/>
              <w:spacing w:line="240" w:lineRule="auto"/>
              <w:rPr>
                <w:rFonts w:eastAsia="Times New Roman" w:cs="Times New Roman"/>
                <w:szCs w:val="24"/>
                <w:lang w:eastAsia="ru-RU"/>
              </w:rPr>
            </w:pPr>
            <w:r>
              <w:rPr>
                <w:rFonts w:eastAsia="Times New Roman" w:cs="Times New Roman"/>
                <w:szCs w:val="24"/>
                <w:lang w:eastAsia="ru-RU"/>
              </w:rPr>
              <w:t xml:space="preserve">2 раза в сутки внутривенно </w:t>
            </w:r>
            <w:r w:rsidRPr="00BF28E7">
              <w:rPr>
                <w:rFonts w:eastAsia="Times New Roman" w:cs="Times New Roman"/>
                <w:szCs w:val="24"/>
                <w:lang w:eastAsia="ru-RU"/>
              </w:rPr>
              <w:t xml:space="preserve">капельно (до и после </w:t>
            </w:r>
            <w:r w:rsidR="004104D1" w:rsidRPr="00045FA5">
              <w:rPr>
                <w:rFonts w:eastAsia="Times New Roman" w:cs="Times New Roman"/>
                <w:szCs w:val="24"/>
                <w:lang w:eastAsia="ru-RU"/>
              </w:rPr>
              <w:t>#</w:t>
            </w:r>
            <w:r w:rsidRPr="00BF28E7">
              <w:rPr>
                <w:rFonts w:eastAsia="Times New Roman" w:cs="Times New Roman"/>
                <w:szCs w:val="24"/>
                <w:lang w:eastAsia="ru-RU"/>
              </w:rPr>
              <w:t>АТГ</w:t>
            </w:r>
            <w:r w:rsidR="003B5B81">
              <w:rPr>
                <w:rFonts w:eastAsia="Times New Roman" w:cs="Times New Roman"/>
                <w:szCs w:val="24"/>
                <w:lang w:eastAsia="ru-RU"/>
              </w:rPr>
              <w:t>**</w:t>
            </w:r>
            <w:r w:rsidRPr="00BF28E7">
              <w:rPr>
                <w:rFonts w:eastAsia="Times New Roman" w:cs="Times New Roman"/>
                <w:szCs w:val="24"/>
                <w:lang w:eastAsia="ru-RU"/>
              </w:rPr>
              <w:t>)</w:t>
            </w:r>
            <w:r w:rsidR="003B5B81">
              <w:rPr>
                <w:rFonts w:eastAsia="Times New Roman" w:cs="Times New Roman"/>
                <w:szCs w:val="24"/>
                <w:lang w:eastAsia="ru-RU"/>
              </w:rPr>
              <w:t xml:space="preserve"> в соответствии с зарегистрированными показаниями</w:t>
            </w:r>
          </w:p>
        </w:tc>
      </w:tr>
      <w:tr w:rsidR="00BC7A14" w:rsidRPr="00BF28E7" w14:paraId="6F508684" w14:textId="77777777" w:rsidTr="00B941F0">
        <w:trPr>
          <w:trHeight w:val="574"/>
        </w:trPr>
        <w:tc>
          <w:tcPr>
            <w:tcW w:w="9570" w:type="dxa"/>
            <w:gridSpan w:val="2"/>
            <w:tcBorders>
              <w:top w:val="single" w:sz="4" w:space="0" w:color="auto"/>
              <w:left w:val="single" w:sz="4" w:space="0" w:color="auto"/>
              <w:bottom w:val="single" w:sz="4" w:space="0" w:color="auto"/>
              <w:right w:val="single" w:sz="4" w:space="0" w:color="auto"/>
            </w:tcBorders>
            <w:vAlign w:val="center"/>
            <w:hideMark/>
          </w:tcPr>
          <w:p w14:paraId="7DDF01AF" w14:textId="77777777" w:rsidR="00BC7A14" w:rsidRPr="00BF28E7" w:rsidRDefault="00BC7A14" w:rsidP="00B941F0">
            <w:pPr>
              <w:autoSpaceDE w:val="0"/>
              <w:autoSpaceDN w:val="0"/>
              <w:adjustRightInd w:val="0"/>
              <w:spacing w:line="240" w:lineRule="auto"/>
              <w:jc w:val="center"/>
              <w:rPr>
                <w:rFonts w:eastAsia="Times New Roman" w:cs="Times New Roman"/>
                <w:b/>
                <w:bCs/>
                <w:szCs w:val="24"/>
                <w:lang w:eastAsia="ru-RU"/>
              </w:rPr>
            </w:pPr>
            <w:r w:rsidRPr="00BF28E7">
              <w:rPr>
                <w:rFonts w:eastAsia="Times New Roman" w:cs="Times New Roman"/>
                <w:b/>
                <w:bCs/>
                <w:szCs w:val="24"/>
                <w:lang w:eastAsia="ru-RU"/>
              </w:rPr>
              <w:t>Трансфузионная терапия</w:t>
            </w:r>
          </w:p>
        </w:tc>
      </w:tr>
      <w:tr w:rsidR="00BC7A14" w:rsidRPr="00BF28E7" w14:paraId="23705D37" w14:textId="77777777" w:rsidTr="00B941F0">
        <w:tc>
          <w:tcPr>
            <w:tcW w:w="3936" w:type="dxa"/>
            <w:tcBorders>
              <w:top w:val="single" w:sz="4" w:space="0" w:color="auto"/>
              <w:left w:val="single" w:sz="4" w:space="0" w:color="auto"/>
              <w:bottom w:val="single" w:sz="4" w:space="0" w:color="auto"/>
              <w:right w:val="single" w:sz="4" w:space="0" w:color="auto"/>
            </w:tcBorders>
            <w:hideMark/>
          </w:tcPr>
          <w:p w14:paraId="7F455E2D" w14:textId="77777777" w:rsidR="00BC7A14" w:rsidRPr="00BF28E7" w:rsidRDefault="00BC7A14" w:rsidP="00B941F0">
            <w:pPr>
              <w:autoSpaceDE w:val="0"/>
              <w:autoSpaceDN w:val="0"/>
              <w:adjustRightInd w:val="0"/>
              <w:spacing w:line="240" w:lineRule="auto"/>
              <w:rPr>
                <w:rFonts w:eastAsia="Times New Roman" w:cs="Times New Roman"/>
                <w:bCs/>
                <w:szCs w:val="24"/>
                <w:lang w:eastAsia="ru-RU"/>
              </w:rPr>
            </w:pPr>
            <w:r w:rsidRPr="00BF28E7">
              <w:rPr>
                <w:rFonts w:eastAsia="Times New Roman" w:cs="Times New Roman"/>
                <w:bCs/>
                <w:szCs w:val="24"/>
                <w:lang w:eastAsia="ru-RU"/>
              </w:rPr>
              <w:t>Донорские тромбоциты</w:t>
            </w:r>
          </w:p>
        </w:tc>
        <w:tc>
          <w:tcPr>
            <w:tcW w:w="5634" w:type="dxa"/>
            <w:tcBorders>
              <w:top w:val="single" w:sz="4" w:space="0" w:color="auto"/>
              <w:left w:val="single" w:sz="4" w:space="0" w:color="auto"/>
              <w:bottom w:val="single" w:sz="4" w:space="0" w:color="auto"/>
              <w:right w:val="single" w:sz="4" w:space="0" w:color="auto"/>
            </w:tcBorders>
            <w:hideMark/>
          </w:tcPr>
          <w:p w14:paraId="233AD7AA" w14:textId="77777777" w:rsidR="00BC7A14" w:rsidRPr="00BF28E7" w:rsidRDefault="00BC7A14" w:rsidP="00B941F0">
            <w:pPr>
              <w:autoSpaceDE w:val="0"/>
              <w:autoSpaceDN w:val="0"/>
              <w:adjustRightInd w:val="0"/>
              <w:spacing w:line="240" w:lineRule="auto"/>
              <w:rPr>
                <w:rFonts w:eastAsia="Times New Roman" w:cs="Times New Roman"/>
                <w:bCs/>
                <w:szCs w:val="24"/>
                <w:lang w:eastAsia="ru-RU"/>
              </w:rPr>
            </w:pPr>
            <w:r w:rsidRPr="00BF28E7">
              <w:rPr>
                <w:rFonts w:eastAsia="Times New Roman" w:cs="Times New Roman"/>
                <w:bCs/>
                <w:szCs w:val="24"/>
                <w:lang w:eastAsia="ru-RU"/>
              </w:rPr>
              <w:t>Тромбоконцентрат, при тромбоцитах менее 20,0 х 10</w:t>
            </w:r>
            <w:r w:rsidRPr="00BF28E7">
              <w:rPr>
                <w:rFonts w:eastAsia="Times New Roman" w:cs="Times New Roman"/>
                <w:bCs/>
                <w:szCs w:val="24"/>
                <w:vertAlign w:val="superscript"/>
                <w:lang w:eastAsia="ru-RU"/>
              </w:rPr>
              <w:t>9</w:t>
            </w:r>
            <w:r w:rsidRPr="00BF28E7">
              <w:rPr>
                <w:rFonts w:eastAsia="Times New Roman" w:cs="Times New Roman"/>
                <w:bCs/>
                <w:szCs w:val="24"/>
                <w:lang w:eastAsia="ru-RU"/>
              </w:rPr>
              <w:t>/л и при геморрагическом синдроме ежедневно</w:t>
            </w:r>
          </w:p>
        </w:tc>
      </w:tr>
      <w:tr w:rsidR="00BC7A14" w:rsidRPr="00BF28E7" w14:paraId="34B93D8C" w14:textId="77777777" w:rsidTr="00B941F0">
        <w:tc>
          <w:tcPr>
            <w:tcW w:w="3936" w:type="dxa"/>
            <w:tcBorders>
              <w:top w:val="single" w:sz="4" w:space="0" w:color="auto"/>
              <w:left w:val="single" w:sz="4" w:space="0" w:color="auto"/>
              <w:bottom w:val="single" w:sz="4" w:space="0" w:color="auto"/>
              <w:right w:val="single" w:sz="4" w:space="0" w:color="auto"/>
            </w:tcBorders>
            <w:hideMark/>
          </w:tcPr>
          <w:p w14:paraId="28B4D342" w14:textId="77777777" w:rsidR="00BC7A14" w:rsidRPr="00BF28E7" w:rsidRDefault="00BC7A14" w:rsidP="00B941F0">
            <w:pPr>
              <w:autoSpaceDE w:val="0"/>
              <w:autoSpaceDN w:val="0"/>
              <w:adjustRightInd w:val="0"/>
              <w:spacing w:line="240" w:lineRule="auto"/>
              <w:rPr>
                <w:rFonts w:eastAsia="Times New Roman" w:cs="Times New Roman"/>
                <w:bCs/>
                <w:szCs w:val="24"/>
                <w:lang w:eastAsia="ru-RU"/>
              </w:rPr>
            </w:pPr>
            <w:r w:rsidRPr="00BF28E7">
              <w:rPr>
                <w:rFonts w:eastAsia="Times New Roman" w:cs="Times New Roman"/>
                <w:bCs/>
                <w:szCs w:val="24"/>
                <w:lang w:eastAsia="ru-RU"/>
              </w:rPr>
              <w:lastRenderedPageBreak/>
              <w:t>Донорские эритроциты</w:t>
            </w:r>
          </w:p>
        </w:tc>
        <w:tc>
          <w:tcPr>
            <w:tcW w:w="5634" w:type="dxa"/>
            <w:tcBorders>
              <w:top w:val="single" w:sz="4" w:space="0" w:color="auto"/>
              <w:left w:val="single" w:sz="4" w:space="0" w:color="auto"/>
              <w:bottom w:val="single" w:sz="4" w:space="0" w:color="auto"/>
              <w:right w:val="single" w:sz="4" w:space="0" w:color="auto"/>
            </w:tcBorders>
            <w:hideMark/>
          </w:tcPr>
          <w:p w14:paraId="3C19615F" w14:textId="77777777" w:rsidR="00BC7A14" w:rsidRPr="00BF28E7" w:rsidRDefault="00BC7A14" w:rsidP="00B941F0">
            <w:pPr>
              <w:autoSpaceDE w:val="0"/>
              <w:autoSpaceDN w:val="0"/>
              <w:adjustRightInd w:val="0"/>
              <w:spacing w:line="240" w:lineRule="auto"/>
              <w:rPr>
                <w:rFonts w:eastAsia="Times New Roman" w:cs="Times New Roman"/>
                <w:bCs/>
                <w:szCs w:val="24"/>
                <w:lang w:eastAsia="ru-RU"/>
              </w:rPr>
            </w:pPr>
            <w:r w:rsidRPr="00BF28E7">
              <w:rPr>
                <w:rFonts w:eastAsia="Times New Roman" w:cs="Times New Roman"/>
                <w:bCs/>
                <w:szCs w:val="24"/>
                <w:lang w:eastAsia="ru-RU"/>
              </w:rPr>
              <w:t>Эритроцитная масса, при гемоглобине менее 80 г/л ежедневно или через день</w:t>
            </w:r>
          </w:p>
        </w:tc>
      </w:tr>
    </w:tbl>
    <w:p w14:paraId="417AFB00" w14:textId="77777777" w:rsidR="00BC7A14" w:rsidRPr="00BF28E7" w:rsidRDefault="00BC7A14" w:rsidP="00BC7A14">
      <w:pPr>
        <w:autoSpaceDE w:val="0"/>
        <w:autoSpaceDN w:val="0"/>
        <w:adjustRightInd w:val="0"/>
        <w:spacing w:line="240" w:lineRule="auto"/>
        <w:rPr>
          <w:rFonts w:eastAsia="Times New Roman" w:cs="Times New Roman"/>
          <w:szCs w:val="24"/>
          <w:lang w:eastAsia="ru-RU"/>
        </w:rPr>
      </w:pPr>
    </w:p>
    <w:tbl>
      <w:tblPr>
        <w:tblW w:w="0" w:type="auto"/>
        <w:tblLayout w:type="fixed"/>
        <w:tblLook w:val="04A0" w:firstRow="1" w:lastRow="0" w:firstColumn="1" w:lastColumn="0" w:noHBand="0" w:noVBand="1"/>
      </w:tblPr>
      <w:tblGrid>
        <w:gridCol w:w="9570"/>
      </w:tblGrid>
      <w:tr w:rsidR="00BC7A14" w:rsidRPr="00BF28E7" w14:paraId="5259015A" w14:textId="77777777" w:rsidTr="00B941F0">
        <w:tc>
          <w:tcPr>
            <w:tcW w:w="9570" w:type="dxa"/>
            <w:hideMark/>
          </w:tcPr>
          <w:p w14:paraId="25FC125B" w14:textId="62895680" w:rsidR="00BC7A14" w:rsidRPr="00BF28E7" w:rsidRDefault="00BC7A14" w:rsidP="00B941F0">
            <w:pPr>
              <w:autoSpaceDE w:val="0"/>
              <w:autoSpaceDN w:val="0"/>
              <w:adjustRightInd w:val="0"/>
              <w:spacing w:line="240" w:lineRule="auto"/>
              <w:rPr>
                <w:rFonts w:eastAsia="Times New Roman" w:cs="Times New Roman"/>
                <w:bCs/>
                <w:szCs w:val="24"/>
                <w:lang w:eastAsia="ru-RU"/>
              </w:rPr>
            </w:pPr>
            <w:r w:rsidRPr="00BF28E7">
              <w:rPr>
                <w:rFonts w:eastAsia="Times New Roman" w:cs="Times New Roman"/>
                <w:szCs w:val="24"/>
                <w:lang w:eastAsia="ru-RU"/>
              </w:rPr>
              <w:t>С 14-го дня курса</w:t>
            </w:r>
            <w:r w:rsidRPr="00BF28E7">
              <w:rPr>
                <w:rFonts w:eastAsia="Times New Roman" w:cs="Times New Roman"/>
                <w:szCs w:val="24"/>
                <w:vertAlign w:val="superscript"/>
                <w:lang w:eastAsia="ru-RU"/>
              </w:rPr>
              <w:t>4</w:t>
            </w:r>
            <w:r w:rsidRPr="00BF28E7">
              <w:rPr>
                <w:rFonts w:eastAsia="Times New Roman" w:cs="Times New Roman"/>
                <w:szCs w:val="24"/>
                <w:lang w:eastAsia="ru-RU"/>
              </w:rPr>
              <w:t xml:space="preserve"> (при отсутствии или после исчезновения клиники сывороточной болезни) начинают постепенное снижение суточной дозы </w:t>
            </w:r>
            <w:r w:rsidRPr="00BF28E7">
              <w:rPr>
                <w:rFonts w:eastAsia="Times New Roman" w:cs="Times New Roman"/>
                <w:bCs/>
                <w:szCs w:val="24"/>
                <w:lang w:eastAsia="ru-RU"/>
              </w:rPr>
              <w:t>преднизолона</w:t>
            </w:r>
            <w:r w:rsidR="00147C5B">
              <w:rPr>
                <w:rFonts w:eastAsia="Times New Roman" w:cs="Times New Roman"/>
                <w:bCs/>
                <w:szCs w:val="24"/>
                <w:lang w:eastAsia="ru-RU"/>
              </w:rPr>
              <w:t>**</w:t>
            </w:r>
            <w:r w:rsidRPr="00BF28E7">
              <w:rPr>
                <w:rFonts w:eastAsia="Times New Roman" w:cs="Times New Roman"/>
                <w:bCs/>
                <w:szCs w:val="24"/>
                <w:lang w:eastAsia="ru-RU"/>
              </w:rPr>
              <w:t>,</w:t>
            </w:r>
            <w:r w:rsidRPr="00BF28E7">
              <w:rPr>
                <w:rFonts w:eastAsia="Times New Roman" w:cs="Times New Roman"/>
                <w:bCs/>
                <w:i/>
                <w:iCs/>
                <w:szCs w:val="24"/>
                <w:lang w:eastAsia="ru-RU"/>
              </w:rPr>
              <w:t xml:space="preserve"> </w:t>
            </w:r>
            <w:r w:rsidRPr="00BF28E7">
              <w:rPr>
                <w:rFonts w:eastAsia="Times New Roman" w:cs="Times New Roman"/>
                <w:szCs w:val="24"/>
                <w:lang w:eastAsia="ru-RU"/>
              </w:rPr>
              <w:t>принимаемого внутрь,</w:t>
            </w:r>
            <w:r w:rsidRPr="00BF28E7">
              <w:rPr>
                <w:rFonts w:eastAsia="Times New Roman" w:cs="Times New Roman"/>
                <w:bCs/>
                <w:i/>
                <w:iCs/>
                <w:szCs w:val="24"/>
                <w:lang w:eastAsia="ru-RU"/>
              </w:rPr>
              <w:t xml:space="preserve"> </w:t>
            </w:r>
            <w:r w:rsidRPr="00BF28E7">
              <w:rPr>
                <w:rFonts w:eastAsia="Times New Roman" w:cs="Times New Roman"/>
                <w:szCs w:val="24"/>
                <w:lang w:eastAsia="ru-RU"/>
              </w:rPr>
              <w:t>до полной отмены на 21—24-й день.</w:t>
            </w:r>
          </w:p>
        </w:tc>
      </w:tr>
    </w:tbl>
    <w:p w14:paraId="3B95C0CC" w14:textId="77777777" w:rsidR="00BC7A14" w:rsidRPr="00BF28E7" w:rsidRDefault="00BC7A14" w:rsidP="00BC7A14">
      <w:pPr>
        <w:autoSpaceDE w:val="0"/>
        <w:autoSpaceDN w:val="0"/>
        <w:adjustRightInd w:val="0"/>
        <w:spacing w:line="240" w:lineRule="auto"/>
        <w:rPr>
          <w:rFonts w:eastAsia="Times New Roman" w:cs="Times New Roman"/>
          <w:szCs w:val="24"/>
          <w:lang w:eastAsia="ru-RU"/>
        </w:rPr>
      </w:pPr>
    </w:p>
    <w:p w14:paraId="7B12298C" w14:textId="2EEB05D2" w:rsidR="00BC7A14" w:rsidRPr="00BF28E7" w:rsidRDefault="00BC7A14" w:rsidP="00BC7A14">
      <w:pPr>
        <w:widowControl w:val="0"/>
        <w:tabs>
          <w:tab w:val="left" w:pos="284"/>
        </w:tabs>
        <w:autoSpaceDE w:val="0"/>
        <w:autoSpaceDN w:val="0"/>
        <w:adjustRightInd w:val="0"/>
        <w:spacing w:line="240" w:lineRule="auto"/>
        <w:ind w:hanging="284"/>
        <w:rPr>
          <w:rFonts w:eastAsia="Times New Roman" w:cs="Times New Roman"/>
          <w:i/>
          <w:szCs w:val="24"/>
          <w:lang w:eastAsia="ru-RU"/>
        </w:rPr>
      </w:pPr>
      <w:r w:rsidRPr="00BF28E7">
        <w:rPr>
          <w:rFonts w:eastAsia="Times New Roman" w:cs="Times New Roman"/>
          <w:i/>
          <w:szCs w:val="24"/>
          <w:vertAlign w:val="superscript"/>
          <w:lang w:eastAsia="ru-RU"/>
        </w:rPr>
        <w:t>1</w:t>
      </w:r>
      <w:r w:rsidRPr="00BF28E7">
        <w:rPr>
          <w:rFonts w:eastAsia="Times New Roman" w:cs="Times New Roman"/>
          <w:i/>
          <w:szCs w:val="24"/>
          <w:lang w:eastAsia="ru-RU"/>
        </w:rPr>
        <w:t xml:space="preserve"> Перед первым введением </w:t>
      </w:r>
      <w:r w:rsidR="004104D1" w:rsidRPr="00147C5B">
        <w:rPr>
          <w:rFonts w:eastAsia="Times New Roman" w:cs="Times New Roman"/>
          <w:i/>
          <w:szCs w:val="24"/>
          <w:lang w:eastAsia="ru-RU"/>
        </w:rPr>
        <w:t>#</w:t>
      </w:r>
      <w:r w:rsidRPr="00BF28E7">
        <w:rPr>
          <w:rFonts w:eastAsia="Times New Roman" w:cs="Times New Roman"/>
          <w:i/>
          <w:szCs w:val="24"/>
          <w:lang w:eastAsia="ru-RU"/>
        </w:rPr>
        <w:t>АТГ</w:t>
      </w:r>
      <w:r w:rsidR="00705B68">
        <w:rPr>
          <w:rFonts w:eastAsia="Times New Roman" w:cs="Times New Roman"/>
          <w:i/>
          <w:szCs w:val="24"/>
          <w:lang w:eastAsia="ru-RU"/>
        </w:rPr>
        <w:t>**</w:t>
      </w:r>
      <w:r w:rsidRPr="00BF28E7">
        <w:rPr>
          <w:rFonts w:eastAsia="Times New Roman" w:cs="Times New Roman"/>
          <w:i/>
          <w:szCs w:val="24"/>
          <w:lang w:eastAsia="ru-RU"/>
        </w:rPr>
        <w:t xml:space="preserve"> проверяется индивиду</w:t>
      </w:r>
      <w:r>
        <w:rPr>
          <w:rFonts w:eastAsia="Times New Roman" w:cs="Times New Roman"/>
          <w:i/>
          <w:szCs w:val="24"/>
          <w:lang w:eastAsia="ru-RU"/>
        </w:rPr>
        <w:t>альная чувствительность пациента</w:t>
      </w:r>
      <w:r w:rsidRPr="00BF28E7">
        <w:rPr>
          <w:rFonts w:eastAsia="Times New Roman" w:cs="Times New Roman"/>
          <w:i/>
          <w:szCs w:val="24"/>
          <w:lang w:eastAsia="ru-RU"/>
        </w:rPr>
        <w:t xml:space="preserve"> к белку с помощью двукратной внутрикожной пробы с противостолбнячной сывороткой.</w:t>
      </w:r>
    </w:p>
    <w:p w14:paraId="220B3951" w14:textId="508A5C10" w:rsidR="00BC7A14" w:rsidRPr="00BF28E7" w:rsidRDefault="00BC7A14" w:rsidP="00BC7A14">
      <w:pPr>
        <w:widowControl w:val="0"/>
        <w:tabs>
          <w:tab w:val="left" w:pos="284"/>
        </w:tabs>
        <w:autoSpaceDE w:val="0"/>
        <w:autoSpaceDN w:val="0"/>
        <w:adjustRightInd w:val="0"/>
        <w:spacing w:line="240" w:lineRule="auto"/>
        <w:ind w:hanging="284"/>
        <w:rPr>
          <w:rFonts w:eastAsia="Times New Roman" w:cs="Times New Roman"/>
          <w:i/>
          <w:szCs w:val="24"/>
          <w:lang w:eastAsia="ru-RU"/>
        </w:rPr>
      </w:pPr>
      <w:r w:rsidRPr="00BF28E7">
        <w:rPr>
          <w:rFonts w:eastAsia="Times New Roman" w:cs="Times New Roman"/>
          <w:i/>
          <w:szCs w:val="24"/>
          <w:vertAlign w:val="superscript"/>
          <w:lang w:eastAsia="ru-RU"/>
        </w:rPr>
        <w:t>2</w:t>
      </w:r>
      <w:r w:rsidRPr="00BF28E7">
        <w:rPr>
          <w:rFonts w:eastAsia="Times New Roman" w:cs="Times New Roman"/>
          <w:i/>
          <w:szCs w:val="24"/>
          <w:lang w:eastAsia="ru-RU"/>
        </w:rPr>
        <w:t> При отсутствии тяжелых инфекционных осложнений в течение 2-3-х месяцев перед началом ИСТ   возможно использование 40 мг/кг в сутки в течение 4 дней.</w:t>
      </w:r>
    </w:p>
    <w:p w14:paraId="23A2A89A" w14:textId="7E91CA3B" w:rsidR="00BC7A14" w:rsidRPr="00BF28E7" w:rsidRDefault="00BC7A14" w:rsidP="00BC7A14">
      <w:pPr>
        <w:widowControl w:val="0"/>
        <w:tabs>
          <w:tab w:val="left" w:pos="284"/>
        </w:tabs>
        <w:autoSpaceDE w:val="0"/>
        <w:autoSpaceDN w:val="0"/>
        <w:adjustRightInd w:val="0"/>
        <w:spacing w:line="240" w:lineRule="auto"/>
        <w:ind w:hanging="284"/>
        <w:rPr>
          <w:rFonts w:eastAsia="Times New Roman" w:cs="Times New Roman"/>
          <w:i/>
          <w:szCs w:val="24"/>
          <w:lang w:eastAsia="ru-RU"/>
        </w:rPr>
      </w:pPr>
      <w:r w:rsidRPr="00BF28E7">
        <w:rPr>
          <w:rFonts w:eastAsia="Times New Roman" w:cs="Times New Roman"/>
          <w:i/>
          <w:szCs w:val="24"/>
          <w:vertAlign w:val="superscript"/>
          <w:lang w:eastAsia="ru-RU"/>
        </w:rPr>
        <w:t>3</w:t>
      </w:r>
      <w:r w:rsidRPr="00BF28E7">
        <w:rPr>
          <w:rFonts w:eastAsia="Times New Roman" w:cs="Times New Roman"/>
          <w:i/>
          <w:szCs w:val="24"/>
          <w:lang w:eastAsia="ru-RU"/>
        </w:rPr>
        <w:t> Суточная доза препарата вводится в 1200—1</w:t>
      </w:r>
      <w:r w:rsidRPr="00537DF1">
        <w:rPr>
          <w:rFonts w:eastAsia="Times New Roman" w:cs="Times New Roman"/>
          <w:i/>
          <w:szCs w:val="24"/>
          <w:lang w:eastAsia="ru-RU"/>
        </w:rPr>
        <w:t>5</w:t>
      </w:r>
      <w:r w:rsidRPr="00BF28E7">
        <w:rPr>
          <w:rFonts w:eastAsia="Times New Roman" w:cs="Times New Roman"/>
          <w:i/>
          <w:szCs w:val="24"/>
          <w:lang w:eastAsia="ru-RU"/>
        </w:rPr>
        <w:t>00 мл физиологического раствора</w:t>
      </w:r>
      <w:r w:rsidR="003B5B81">
        <w:rPr>
          <w:rFonts w:eastAsia="Times New Roman" w:cs="Times New Roman"/>
          <w:i/>
          <w:szCs w:val="24"/>
          <w:lang w:eastAsia="ru-RU"/>
        </w:rPr>
        <w:t xml:space="preserve"> (раствор хлорида натрия**)</w:t>
      </w:r>
      <w:r w:rsidRPr="00BF28E7">
        <w:rPr>
          <w:rFonts w:eastAsia="Times New Roman" w:cs="Times New Roman"/>
          <w:i/>
          <w:szCs w:val="24"/>
          <w:lang w:eastAsia="ru-RU"/>
        </w:rPr>
        <w:t>.</w:t>
      </w:r>
    </w:p>
    <w:p w14:paraId="322AF410" w14:textId="094B04A3" w:rsidR="00BC7A14" w:rsidRPr="00BF28E7" w:rsidRDefault="00BC7A14" w:rsidP="00BC7A14">
      <w:pPr>
        <w:widowControl w:val="0"/>
        <w:tabs>
          <w:tab w:val="left" w:pos="284"/>
        </w:tabs>
        <w:autoSpaceDE w:val="0"/>
        <w:autoSpaceDN w:val="0"/>
        <w:adjustRightInd w:val="0"/>
        <w:spacing w:line="240" w:lineRule="auto"/>
        <w:ind w:hanging="284"/>
        <w:rPr>
          <w:rFonts w:eastAsia="Times New Roman" w:cs="Times New Roman"/>
          <w:i/>
          <w:szCs w:val="24"/>
          <w:lang w:eastAsia="ru-RU"/>
        </w:rPr>
      </w:pPr>
      <w:r w:rsidRPr="00BF28E7">
        <w:rPr>
          <w:rFonts w:eastAsia="Times New Roman" w:cs="Times New Roman"/>
          <w:i/>
          <w:szCs w:val="24"/>
          <w:vertAlign w:val="superscript"/>
          <w:lang w:eastAsia="ru-RU"/>
        </w:rPr>
        <w:t>4</w:t>
      </w:r>
      <w:r w:rsidRPr="00BF28E7">
        <w:rPr>
          <w:rFonts w:eastAsia="Times New Roman" w:cs="Times New Roman"/>
          <w:i/>
          <w:szCs w:val="24"/>
          <w:lang w:eastAsia="ru-RU"/>
        </w:rPr>
        <w:t xml:space="preserve"> Первый день курса — день первого введения </w:t>
      </w:r>
      <w:r w:rsidR="004104D1" w:rsidRPr="00147C5B">
        <w:rPr>
          <w:rFonts w:eastAsia="Times New Roman" w:cs="Times New Roman"/>
          <w:i/>
          <w:szCs w:val="24"/>
          <w:lang w:eastAsia="ru-RU"/>
        </w:rPr>
        <w:t>#</w:t>
      </w:r>
      <w:r w:rsidRPr="00BF28E7">
        <w:rPr>
          <w:rFonts w:eastAsia="Times New Roman" w:cs="Times New Roman"/>
          <w:i/>
          <w:szCs w:val="24"/>
          <w:lang w:eastAsia="ru-RU"/>
        </w:rPr>
        <w:t>АТГ</w:t>
      </w:r>
      <w:r w:rsidR="00705B68">
        <w:rPr>
          <w:rFonts w:eastAsia="Times New Roman" w:cs="Times New Roman"/>
          <w:i/>
          <w:szCs w:val="24"/>
          <w:lang w:eastAsia="ru-RU"/>
        </w:rPr>
        <w:t>**</w:t>
      </w:r>
      <w:r w:rsidRPr="00BF28E7">
        <w:rPr>
          <w:rFonts w:eastAsia="Times New Roman" w:cs="Times New Roman"/>
          <w:i/>
          <w:szCs w:val="24"/>
          <w:lang w:eastAsia="ru-RU"/>
        </w:rPr>
        <w:t>.</w:t>
      </w:r>
    </w:p>
    <w:p w14:paraId="34E1D4AB" w14:textId="77777777" w:rsidR="00BC7A14" w:rsidRPr="00BF28E7" w:rsidRDefault="00BC7A14" w:rsidP="00BC7A14">
      <w:pPr>
        <w:autoSpaceDE w:val="0"/>
        <w:autoSpaceDN w:val="0"/>
        <w:adjustRightInd w:val="0"/>
        <w:spacing w:line="240" w:lineRule="auto"/>
        <w:rPr>
          <w:rFonts w:eastAsia="Times New Roman" w:cs="Times New Roman"/>
          <w:szCs w:val="24"/>
          <w:lang w:eastAsia="ru-RU"/>
        </w:rPr>
      </w:pPr>
      <w:bookmarkStart w:id="82" w:name="_Toc463805254"/>
    </w:p>
    <w:p w14:paraId="2F09D5D7" w14:textId="4C9ADD77" w:rsidR="009F7F8A" w:rsidRPr="002B4D7E" w:rsidRDefault="009F7F8A" w:rsidP="009F7F8A">
      <w:pPr>
        <w:pStyle w:val="2"/>
      </w:pPr>
      <w:bookmarkStart w:id="83" w:name="_Toc67522262"/>
      <w:r>
        <w:rPr>
          <w:rStyle w:val="affa"/>
          <w:b/>
          <w:bCs w:val="0"/>
        </w:rPr>
        <w:t>Приложение А3</w:t>
      </w:r>
      <w:r w:rsidRPr="002B4D7E">
        <w:rPr>
          <w:rStyle w:val="affa"/>
          <w:b/>
          <w:bCs w:val="0"/>
        </w:rPr>
        <w:t xml:space="preserve">.2 </w:t>
      </w:r>
      <w:r w:rsidRPr="002B4D7E">
        <w:t>Проведение трансплантации аллогенных гемопоэтических стволовых клеток</w:t>
      </w:r>
      <w:bookmarkEnd w:id="83"/>
    </w:p>
    <w:p w14:paraId="275D7173" w14:textId="77777777" w:rsidR="009F7F8A" w:rsidRPr="00EE51B1" w:rsidRDefault="009F7F8A" w:rsidP="009F7F8A">
      <w:pPr>
        <w:rPr>
          <w:rFonts w:eastAsia="SimSun"/>
          <w:b/>
        </w:rPr>
      </w:pPr>
      <w:bookmarkStart w:id="84" w:name="_Toc44401103"/>
      <w:r w:rsidRPr="00EE51B1">
        <w:rPr>
          <w:rFonts w:eastAsia="SimSun"/>
          <w:b/>
        </w:rPr>
        <w:t>1. Отбор пациентов для трансплантации аллогенных гемопоэтических стволовых клеток</w:t>
      </w:r>
      <w:bookmarkEnd w:id="84"/>
    </w:p>
    <w:p w14:paraId="46D6022C" w14:textId="1B1149D8" w:rsidR="009F7F8A" w:rsidRPr="00EE51B1" w:rsidRDefault="009F7F8A" w:rsidP="009F7F8A">
      <w:pPr>
        <w:rPr>
          <w:rFonts w:eastAsia="SimSun"/>
          <w:i/>
          <w:u w:val="single"/>
        </w:rPr>
      </w:pPr>
      <w:bookmarkStart w:id="85" w:name="_Toc44401106"/>
      <w:r w:rsidRPr="00EE51B1">
        <w:rPr>
          <w:rFonts w:eastAsia="SimSun"/>
          <w:i/>
          <w:u w:val="single"/>
        </w:rPr>
        <w:t>Показания для проведения алло-ТГСК</w:t>
      </w:r>
      <w:bookmarkEnd w:id="85"/>
      <w:r w:rsidRPr="00EE51B1">
        <w:rPr>
          <w:rFonts w:eastAsia="SimSun"/>
          <w:i/>
          <w:u w:val="single"/>
        </w:rPr>
        <w:t xml:space="preserve"> </w:t>
      </w:r>
      <w:r w:rsidRPr="00EE51B1">
        <w:rPr>
          <w:rFonts w:eastAsia="SimSun"/>
          <w:u w:val="single"/>
        </w:rPr>
        <w:fldChar w:fldCharType="begin" w:fldLock="1"/>
      </w:r>
      <w:r w:rsidR="0000369C">
        <w:rPr>
          <w:rFonts w:eastAsia="SimSun"/>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[127]","plainTextFormattedCitation":"[127]","previouslyFormattedCitation":"[127]"},"properties":{"noteIndex":0},"schema":"https://github.com/citation-style-language/schema/raw/master/csl-citation.json"}</w:instrText>
      </w:r>
      <w:r w:rsidRPr="00EE51B1">
        <w:rPr>
          <w:rFonts w:eastAsia="SimSun"/>
          <w:u w:val="single"/>
        </w:rPr>
        <w:fldChar w:fldCharType="separate"/>
      </w:r>
      <w:r w:rsidR="0000369C" w:rsidRPr="0000369C">
        <w:rPr>
          <w:rFonts w:eastAsia="SimSun"/>
          <w:noProof/>
        </w:rPr>
        <w:t>[127]</w:t>
      </w:r>
      <w:r w:rsidRPr="00EE51B1">
        <w:rPr>
          <w:rFonts w:eastAsia="SimSun"/>
          <w:u w:val="single"/>
        </w:rPr>
        <w:fldChar w:fldCharType="end"/>
      </w:r>
      <w:r w:rsidRPr="00EE51B1">
        <w:rPr>
          <w:rFonts w:eastAsia="SimSun"/>
          <w:i/>
          <w:u w:val="single"/>
        </w:rPr>
        <w:t>:</w:t>
      </w:r>
    </w:p>
    <w:p w14:paraId="1B1E3112" w14:textId="77777777" w:rsidR="009F7F8A" w:rsidRPr="00C07B2E" w:rsidRDefault="009F7F8A" w:rsidP="009F7F8A">
      <w:pPr>
        <w:ind w:firstLine="709"/>
        <w:rPr>
          <w:rFonts w:eastAsia="SimSun"/>
        </w:rPr>
      </w:pPr>
      <w:r w:rsidRPr="00C07B2E">
        <w:rPr>
          <w:rFonts w:eastAsia="SimSun"/>
        </w:rPr>
        <w:t xml:space="preserve">Медицинские показания к трансплантации костного мозга и гемопоэтических стволовых клеток определены Приказом Минздрава России от 12.12.2018 N 875н "Об утверждении Порядка оказания медицинской помощи при заболеваниях (состояниях), для лечения которых применяется трансплантация (пересадка) костного мозга и гемопоэтических стволовых клеток, и внесении изменения в Порядок оказания медицинской помощи по профилю "хирургия (трансплантация органов и (или) тканей человека)", утвержденный приказом Министерства здравоохранения Российской Федерации от 31 октября 2012 г. N 567н" (Зарегистрировано в Минюсте России 09.01.2019 N 53256).В качестве кандидатов для проведения алло-ТГСК могут рассматриваться пациенты, имеющие: </w:t>
      </w:r>
    </w:p>
    <w:p w14:paraId="704D4645"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злокачественные и другие новообразования лимфоидной, кроветворной и родственной им тканей;</w:t>
      </w:r>
    </w:p>
    <w:p w14:paraId="5F8DB0E3"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болезни крови, кроветворных органов и отдельные нарушения, вовлекающие иммунный механизм;</w:t>
      </w:r>
    </w:p>
    <w:p w14:paraId="59C7DCFD"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врожденные иммунодефицитные синдромы;</w:t>
      </w:r>
    </w:p>
    <w:p w14:paraId="6375BEA8"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врожденные аномалии (пороки развития), деформации и хромосомные нарушения, болезни эндокринной системы, расстройства питания и нарушения обмена веществ, которые могут быть скорригированы с помощью трансплантации гемопоэтических клеток;</w:t>
      </w:r>
    </w:p>
    <w:p w14:paraId="372030B0"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lastRenderedPageBreak/>
        <w:t>злокачественные новообразования мезотелиальной и мягких тканей (рабдомиосаркома);</w:t>
      </w:r>
    </w:p>
    <w:p w14:paraId="68F89ADD"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злокачественные новообразования костей и суставных хрящей (саркома Юинга, хондросаркома, фибросаркома);</w:t>
      </w:r>
    </w:p>
    <w:p w14:paraId="245A02B4"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нейроэпителиальные новообразования (нейробластома, ретинобластома);</w:t>
      </w:r>
    </w:p>
    <w:p w14:paraId="2C2674E1"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демиелинизирующие болезни центральной нервной системы (рассеянный склероз);</w:t>
      </w:r>
    </w:p>
    <w:p w14:paraId="5A5EAC23"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герминогенные новообразования;</w:t>
      </w:r>
    </w:p>
    <w:p w14:paraId="7CFE90BB"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сложные и смешанные стромальные новообразования (нефробластома);</w:t>
      </w:r>
    </w:p>
    <w:p w14:paraId="4D0343DA"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глиомы (примитивная нейроэктодермальная опухоль);</w:t>
      </w:r>
    </w:p>
    <w:p w14:paraId="114EEE05"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злокачественные новообразования печени и внутрипеченочных желчных протоков (гепатобластома);</w:t>
      </w:r>
    </w:p>
    <w:p w14:paraId="1C0DF7E8"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болезни кожи и подкожной клетчатки (склеродермия);</w:t>
      </w:r>
    </w:p>
    <w:p w14:paraId="5EEC3AB3"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системные поражения соединительной ткани (системная красная волчанка);</w:t>
      </w:r>
    </w:p>
    <w:p w14:paraId="2794C071" w14:textId="77777777" w:rsidR="009F7F8A" w:rsidRPr="00C07B2E" w:rsidRDefault="009F7F8A" w:rsidP="009F7F8A">
      <w:pPr>
        <w:numPr>
          <w:ilvl w:val="0"/>
          <w:numId w:val="21"/>
        </w:numPr>
        <w:overflowPunct w:val="0"/>
        <w:autoSpaceDE w:val="0"/>
        <w:autoSpaceDN w:val="0"/>
        <w:adjustRightInd w:val="0"/>
        <w:textAlignment w:val="baseline"/>
        <w:rPr>
          <w:rFonts w:eastAsia="SimSun"/>
        </w:rPr>
      </w:pPr>
      <w:r w:rsidRPr="00C07B2E">
        <w:rPr>
          <w:rFonts w:eastAsia="SimSun"/>
        </w:rPr>
        <w:t>иные заболевания (состояния), при которых в соответствии с клиническими рекомендациями (протоколами лечения) по вопросам оказания медицинской помощи применяется трансплантации костного мозга или гемопоэтических стволовых клеток.</w:t>
      </w:r>
    </w:p>
    <w:p w14:paraId="10A7799C" w14:textId="77777777" w:rsidR="009F7F8A" w:rsidRDefault="009F7F8A" w:rsidP="009F7F8A">
      <w:pPr>
        <w:rPr>
          <w:rFonts w:eastAsia="SimSun"/>
        </w:rPr>
      </w:pPr>
      <w:bookmarkStart w:id="86" w:name="_Toc44401107"/>
    </w:p>
    <w:p w14:paraId="03F0FEE3" w14:textId="3F676646" w:rsidR="009F7F8A" w:rsidRPr="00EE51B1" w:rsidRDefault="009F7F8A" w:rsidP="009F7F8A">
      <w:pPr>
        <w:rPr>
          <w:rFonts w:eastAsia="SimSun"/>
          <w:i/>
          <w:u w:val="single"/>
        </w:rPr>
      </w:pPr>
      <w:r w:rsidRPr="00EE51B1">
        <w:rPr>
          <w:rFonts w:eastAsia="SimSun"/>
          <w:i/>
          <w:u w:val="single"/>
        </w:rPr>
        <w:t>Основные критерии для определения рисков трансплантационной летальности у пациентов, которым планируется выполнение алло-ТГСК</w:t>
      </w:r>
      <w:bookmarkEnd w:id="86"/>
      <w:r>
        <w:rPr>
          <w:rFonts w:eastAsia="SimSun"/>
          <w:i/>
          <w:u w:val="single"/>
        </w:rPr>
        <w:t xml:space="preserve"> </w:t>
      </w:r>
      <w:r w:rsidRPr="00EE51B1">
        <w:rPr>
          <w:rFonts w:eastAsia="SimSun"/>
          <w:u w:val="single"/>
        </w:rPr>
        <w:fldChar w:fldCharType="begin" w:fldLock="1"/>
      </w:r>
      <w:r w:rsidR="0000369C">
        <w:rPr>
          <w:rFonts w:eastAsia="SimSun"/>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[127]","plainTextFormattedCitation":"[127]","previouslyFormattedCitation":"[127]"},"properties":{"noteIndex":0},"schema":"https://github.com/citation-style-language/schema/raw/master/csl-citation.json"}</w:instrText>
      </w:r>
      <w:r w:rsidRPr="00EE51B1">
        <w:rPr>
          <w:rFonts w:eastAsia="SimSun"/>
          <w:u w:val="single"/>
        </w:rPr>
        <w:fldChar w:fldCharType="separate"/>
      </w:r>
      <w:r w:rsidR="0000369C" w:rsidRPr="0000369C">
        <w:rPr>
          <w:rFonts w:eastAsia="SimSun"/>
          <w:noProof/>
        </w:rPr>
        <w:t>[127]</w:t>
      </w:r>
      <w:r w:rsidRPr="00EE51B1">
        <w:rPr>
          <w:rFonts w:eastAsia="SimSun"/>
          <w:u w:val="single"/>
        </w:rPr>
        <w:fldChar w:fldCharType="end"/>
      </w:r>
      <w:r>
        <w:rPr>
          <w:rFonts w:eastAsia="SimSun"/>
          <w:i/>
          <w:u w:val="single"/>
        </w:rPr>
        <w:t>:</w:t>
      </w:r>
      <w:r w:rsidRPr="00EE51B1">
        <w:rPr>
          <w:rFonts w:eastAsia="SimSun"/>
          <w:i/>
          <w:u w:val="single"/>
        </w:rPr>
        <w:t xml:space="preserve"> </w:t>
      </w:r>
    </w:p>
    <w:p w14:paraId="4F6EFA32" w14:textId="77777777" w:rsidR="009F7F8A" w:rsidRPr="00C07B2E" w:rsidRDefault="009F7F8A" w:rsidP="009F7F8A">
      <w:pPr>
        <w:numPr>
          <w:ilvl w:val="0"/>
          <w:numId w:val="22"/>
        </w:numPr>
        <w:overflowPunct w:val="0"/>
        <w:autoSpaceDE w:val="0"/>
        <w:autoSpaceDN w:val="0"/>
        <w:adjustRightInd w:val="0"/>
        <w:textAlignment w:val="baseline"/>
        <w:rPr>
          <w:rFonts w:eastAsia="SimSun"/>
        </w:rPr>
      </w:pPr>
      <w:r w:rsidRPr="00C07B2E">
        <w:rPr>
          <w:rFonts w:eastAsia="SimSun"/>
        </w:rPr>
        <w:t>Наличие верифицированного диагноза и статуса (ремиссия, рецидив, стабилизация, прогрессия), которые являются показанием для проведения алло-ТГСК.</w:t>
      </w:r>
    </w:p>
    <w:p w14:paraId="6F811EB0" w14:textId="77777777" w:rsidR="009F7F8A" w:rsidRPr="003115E7" w:rsidRDefault="009F7F8A" w:rsidP="009F7F8A">
      <w:pPr>
        <w:numPr>
          <w:ilvl w:val="0"/>
          <w:numId w:val="22"/>
        </w:numPr>
        <w:overflowPunct w:val="0"/>
        <w:autoSpaceDE w:val="0"/>
        <w:autoSpaceDN w:val="0"/>
        <w:adjustRightInd w:val="0"/>
        <w:textAlignment w:val="baseline"/>
        <w:rPr>
          <w:rFonts w:eastAsia="SimSun"/>
        </w:rPr>
      </w:pPr>
      <w:r w:rsidRPr="003115E7">
        <w:rPr>
          <w:rFonts w:eastAsia="SimSun"/>
        </w:rPr>
        <w:t xml:space="preserve">Оценка рисков проведения алло-ТГСК по шкалам </w:t>
      </w:r>
      <w:r w:rsidRPr="003115E7">
        <w:rPr>
          <w:rFonts w:eastAsia="SimSun"/>
          <w:lang w:val="en-US"/>
        </w:rPr>
        <w:t>EBMT</w:t>
      </w:r>
      <w:r w:rsidRPr="003115E7">
        <w:rPr>
          <w:rFonts w:eastAsia="SimSun"/>
        </w:rPr>
        <w:t xml:space="preserve"> и </w:t>
      </w:r>
      <w:r w:rsidRPr="003115E7">
        <w:rPr>
          <w:rFonts w:eastAsia="SimSun"/>
          <w:lang w:val="en-US"/>
        </w:rPr>
        <w:t>HCT</w:t>
      </w:r>
      <w:r w:rsidRPr="003115E7">
        <w:rPr>
          <w:rFonts w:eastAsia="SimSun"/>
        </w:rPr>
        <w:t>-</w:t>
      </w:r>
      <w:r w:rsidRPr="003115E7">
        <w:rPr>
          <w:rFonts w:eastAsia="SimSun"/>
          <w:lang w:val="en-US"/>
        </w:rPr>
        <w:t>CI</w:t>
      </w:r>
      <w:r w:rsidRPr="003115E7">
        <w:rPr>
          <w:rFonts w:eastAsia="SimSun"/>
        </w:rPr>
        <w:t xml:space="preserve"> (приложения Г2 и Г3).</w:t>
      </w:r>
    </w:p>
    <w:p w14:paraId="47832D90" w14:textId="77777777" w:rsidR="009F7F8A" w:rsidRPr="003115E7" w:rsidRDefault="009F7F8A" w:rsidP="009F7F8A">
      <w:pPr>
        <w:numPr>
          <w:ilvl w:val="0"/>
          <w:numId w:val="22"/>
        </w:numPr>
        <w:overflowPunct w:val="0"/>
        <w:autoSpaceDE w:val="0"/>
        <w:autoSpaceDN w:val="0"/>
        <w:adjustRightInd w:val="0"/>
        <w:textAlignment w:val="baseline"/>
        <w:rPr>
          <w:rFonts w:eastAsia="SimSun"/>
        </w:rPr>
      </w:pPr>
      <w:r w:rsidRPr="003115E7">
        <w:rPr>
          <w:rFonts w:eastAsia="SimSun"/>
        </w:rPr>
        <w:t xml:space="preserve">Оценка статуса кандидата в реципиенты согласно определению индекса Карновского и </w:t>
      </w:r>
      <w:r w:rsidRPr="003115E7">
        <w:rPr>
          <w:rFonts w:eastAsia="SimSun"/>
          <w:lang w:val="en-US"/>
        </w:rPr>
        <w:t>ECOG</w:t>
      </w:r>
      <w:r w:rsidRPr="003115E7">
        <w:rPr>
          <w:rFonts w:eastAsia="SimSun"/>
        </w:rPr>
        <w:t xml:space="preserve"> (приложение Г1) </w:t>
      </w:r>
    </w:p>
    <w:p w14:paraId="0E77CF3F" w14:textId="77777777" w:rsidR="009F7F8A" w:rsidRPr="00EE51B1" w:rsidRDefault="009F7F8A" w:rsidP="009F7F8A">
      <w:pPr>
        <w:numPr>
          <w:ilvl w:val="0"/>
          <w:numId w:val="22"/>
        </w:numPr>
        <w:overflowPunct w:val="0"/>
        <w:autoSpaceDE w:val="0"/>
        <w:autoSpaceDN w:val="0"/>
        <w:adjustRightInd w:val="0"/>
        <w:textAlignment w:val="baseline"/>
        <w:rPr>
          <w:rFonts w:eastAsia="SimSun"/>
        </w:rPr>
      </w:pPr>
      <w:r w:rsidRPr="003115E7">
        <w:rPr>
          <w:rFonts w:eastAsia="SimSun"/>
        </w:rPr>
        <w:t>Оценка психологического статуса, отсутствие обострения психических</w:t>
      </w:r>
      <w:r w:rsidRPr="00EE51B1">
        <w:rPr>
          <w:rFonts w:eastAsia="SimSun"/>
        </w:rPr>
        <w:t xml:space="preserve"> заболеваний. </w:t>
      </w:r>
    </w:p>
    <w:p w14:paraId="255666E0" w14:textId="77777777" w:rsidR="009F7F8A" w:rsidRPr="00EE51B1" w:rsidRDefault="009F7F8A" w:rsidP="009F7F8A">
      <w:pPr>
        <w:numPr>
          <w:ilvl w:val="0"/>
          <w:numId w:val="22"/>
        </w:numPr>
        <w:overflowPunct w:val="0"/>
        <w:autoSpaceDE w:val="0"/>
        <w:autoSpaceDN w:val="0"/>
        <w:adjustRightInd w:val="0"/>
        <w:textAlignment w:val="baseline"/>
        <w:rPr>
          <w:rFonts w:eastAsia="SimSun"/>
        </w:rPr>
      </w:pPr>
      <w:r w:rsidRPr="00EE51B1">
        <w:rPr>
          <w:rFonts w:eastAsia="SimSun"/>
        </w:rPr>
        <w:t>Оценка функционального состояния почек: концентрация креатинина сыворотки &lt;</w:t>
      </w:r>
      <w:r w:rsidRPr="00C07B2E">
        <w:rPr>
          <w:rFonts w:eastAsia="SimSun"/>
          <w:lang w:val="en-US"/>
        </w:rPr>
        <w:t> </w:t>
      </w:r>
      <w:r w:rsidRPr="00EE51B1">
        <w:rPr>
          <w:rFonts w:eastAsia="SimSun"/>
        </w:rPr>
        <w:t>177 мкмоль/л (&lt;</w:t>
      </w:r>
      <w:r w:rsidRPr="00C07B2E">
        <w:rPr>
          <w:rFonts w:eastAsia="SimSun"/>
        </w:rPr>
        <w:t> </w:t>
      </w:r>
      <w:r w:rsidRPr="00EE51B1">
        <w:rPr>
          <w:rFonts w:eastAsia="SimSun"/>
        </w:rPr>
        <w:t>2 мг/дл) или клиренс креатинина &gt;</w:t>
      </w:r>
      <w:r w:rsidRPr="00C07B2E">
        <w:rPr>
          <w:rFonts w:eastAsia="SimSun"/>
          <w:lang w:val="en-US"/>
        </w:rPr>
        <w:t> </w:t>
      </w:r>
      <w:r w:rsidRPr="00EE51B1">
        <w:rPr>
          <w:rFonts w:eastAsia="SimSun"/>
        </w:rPr>
        <w:t>50 мл/мин/1,73 м</w:t>
      </w:r>
      <w:r w:rsidRPr="00EE51B1">
        <w:rPr>
          <w:rFonts w:eastAsia="SimSun"/>
          <w:vertAlign w:val="superscript"/>
        </w:rPr>
        <w:t>2</w:t>
      </w:r>
      <w:r w:rsidRPr="00EE51B1">
        <w:rPr>
          <w:rFonts w:eastAsia="SimSun"/>
        </w:rPr>
        <w:t>.</w:t>
      </w:r>
    </w:p>
    <w:p w14:paraId="7EB561AF" w14:textId="77777777" w:rsidR="009F7F8A" w:rsidRPr="00C07B2E" w:rsidRDefault="009F7F8A" w:rsidP="009F7F8A">
      <w:pPr>
        <w:numPr>
          <w:ilvl w:val="0"/>
          <w:numId w:val="22"/>
        </w:numPr>
        <w:overflowPunct w:val="0"/>
        <w:autoSpaceDE w:val="0"/>
        <w:autoSpaceDN w:val="0"/>
        <w:adjustRightInd w:val="0"/>
        <w:textAlignment w:val="baseline"/>
        <w:rPr>
          <w:rFonts w:eastAsia="SimSun"/>
        </w:rPr>
      </w:pPr>
      <w:r w:rsidRPr="00C07B2E">
        <w:rPr>
          <w:rFonts w:eastAsia="SimSun"/>
        </w:rPr>
        <w:lastRenderedPageBreak/>
        <w:t xml:space="preserve">Оценка функционального состояния сердечной деятельности: фракция выброса левого желудочка &gt; 35% по </w:t>
      </w:r>
      <w:r w:rsidRPr="00C07B2E">
        <w:rPr>
          <w:rFonts w:eastAsia="SimSun"/>
          <w:lang w:val="en-US"/>
        </w:rPr>
        <w:t>Simpson</w:t>
      </w:r>
      <w:r w:rsidRPr="00C07B2E">
        <w:rPr>
          <w:rFonts w:eastAsia="SimSun"/>
        </w:rPr>
        <w:t xml:space="preserve">, отсутствие нестабильной стенокардии в анамнезе, отсутствие желудочковых аритмий высоких градаций (нарушения ритма </w:t>
      </w:r>
      <w:r w:rsidRPr="00C07B2E">
        <w:rPr>
          <w:rFonts w:eastAsia="SimSun"/>
          <w:lang w:val="en-US"/>
        </w:rPr>
        <w:t>IV</w:t>
      </w:r>
      <w:r w:rsidRPr="00C07B2E">
        <w:rPr>
          <w:rFonts w:eastAsia="SimSun"/>
        </w:rPr>
        <w:t>–</w:t>
      </w:r>
      <w:r w:rsidRPr="00C07B2E">
        <w:rPr>
          <w:rFonts w:eastAsia="SimSun"/>
          <w:lang w:val="en-US"/>
        </w:rPr>
        <w:t>V</w:t>
      </w:r>
      <w:r w:rsidRPr="00C07B2E">
        <w:rPr>
          <w:rFonts w:eastAsia="SimSun"/>
        </w:rPr>
        <w:t xml:space="preserve"> градаций по </w:t>
      </w:r>
      <w:r w:rsidRPr="00C07B2E">
        <w:rPr>
          <w:rFonts w:eastAsia="SimSun"/>
          <w:lang w:val="en-US"/>
        </w:rPr>
        <w:t>Lawn</w:t>
      </w:r>
      <w:r w:rsidRPr="00C07B2E">
        <w:rPr>
          <w:rFonts w:eastAsia="SimSun"/>
        </w:rPr>
        <w:t>—</w:t>
      </w:r>
      <w:r w:rsidRPr="00C07B2E">
        <w:rPr>
          <w:rFonts w:eastAsia="SimSun"/>
          <w:lang w:val="en-US"/>
        </w:rPr>
        <w:t>Wolf</w:t>
      </w:r>
      <w:r w:rsidRPr="00C07B2E">
        <w:rPr>
          <w:rFonts w:eastAsia="SimSun"/>
        </w:rPr>
        <w:t xml:space="preserve">). </w:t>
      </w:r>
    </w:p>
    <w:p w14:paraId="0F716D44" w14:textId="77777777" w:rsidR="009F7F8A" w:rsidRPr="00C07B2E" w:rsidRDefault="009F7F8A" w:rsidP="009F7F8A">
      <w:pPr>
        <w:numPr>
          <w:ilvl w:val="0"/>
          <w:numId w:val="22"/>
        </w:numPr>
        <w:overflowPunct w:val="0"/>
        <w:autoSpaceDE w:val="0"/>
        <w:autoSpaceDN w:val="0"/>
        <w:adjustRightInd w:val="0"/>
        <w:textAlignment w:val="baseline"/>
        <w:rPr>
          <w:rFonts w:eastAsia="SimSun"/>
        </w:rPr>
      </w:pPr>
      <w:r w:rsidRPr="00C07B2E">
        <w:rPr>
          <w:rFonts w:eastAsia="SimSun"/>
        </w:rPr>
        <w:t>Оценка функционального состояния легких: ОФВ1 ≥ 80%; по возможности определяют скорректированную диффузионную способность легких (DLCO), которая должна быть &gt; 35% должного.</w:t>
      </w:r>
    </w:p>
    <w:p w14:paraId="0D797265" w14:textId="77777777" w:rsidR="009F7F8A" w:rsidRPr="00C07B2E" w:rsidRDefault="009F7F8A" w:rsidP="009F7F8A">
      <w:pPr>
        <w:numPr>
          <w:ilvl w:val="0"/>
          <w:numId w:val="22"/>
        </w:numPr>
        <w:overflowPunct w:val="0"/>
        <w:autoSpaceDE w:val="0"/>
        <w:autoSpaceDN w:val="0"/>
        <w:adjustRightInd w:val="0"/>
        <w:textAlignment w:val="baseline"/>
        <w:rPr>
          <w:rFonts w:eastAsia="SimSun"/>
        </w:rPr>
      </w:pPr>
      <w:r w:rsidRPr="00C07B2E">
        <w:rPr>
          <w:rFonts w:eastAsia="SimSun"/>
        </w:rPr>
        <w:t xml:space="preserve">Оценка функционального состояния печени: </w:t>
      </w:r>
    </w:p>
    <w:p w14:paraId="07263202" w14:textId="77777777" w:rsidR="009F7F8A" w:rsidRPr="00C07B2E" w:rsidRDefault="009F7F8A" w:rsidP="009F7F8A">
      <w:pPr>
        <w:numPr>
          <w:ilvl w:val="1"/>
          <w:numId w:val="22"/>
        </w:numPr>
        <w:overflowPunct w:val="0"/>
        <w:autoSpaceDE w:val="0"/>
        <w:autoSpaceDN w:val="0"/>
        <w:adjustRightInd w:val="0"/>
        <w:textAlignment w:val="baseline"/>
      </w:pPr>
      <w:r w:rsidRPr="00C07B2E">
        <w:t>концентрация общего билирубина ≤ 22 мкмоль/л (за исключением доказанного синдрома Жильбера);</w:t>
      </w:r>
    </w:p>
    <w:p w14:paraId="5F593BBC" w14:textId="77777777" w:rsidR="009F7F8A" w:rsidRPr="00EE51B1" w:rsidRDefault="009F7F8A" w:rsidP="009F7F8A">
      <w:pPr>
        <w:numPr>
          <w:ilvl w:val="1"/>
          <w:numId w:val="22"/>
        </w:numPr>
        <w:overflowPunct w:val="0"/>
        <w:autoSpaceDE w:val="0"/>
        <w:autoSpaceDN w:val="0"/>
        <w:adjustRightInd w:val="0"/>
        <w:textAlignment w:val="baseline"/>
      </w:pPr>
      <w:r w:rsidRPr="00C07B2E">
        <w:t>концентрация общего билирубина ≤ 30 мкмоль/л (за исключением доказанного синдрома Жильбера)</w:t>
      </w:r>
      <w:r w:rsidRPr="00EE51B1">
        <w:t>.</w:t>
      </w:r>
    </w:p>
    <w:p w14:paraId="7D55804C" w14:textId="77777777" w:rsidR="009F7F8A" w:rsidRDefault="009F7F8A" w:rsidP="009F7F8A">
      <w:pPr>
        <w:rPr>
          <w:rFonts w:eastAsia="SimSun"/>
        </w:rPr>
      </w:pPr>
      <w:bookmarkStart w:id="87" w:name="_Toc44401108"/>
    </w:p>
    <w:p w14:paraId="5427DE1E" w14:textId="0106D378" w:rsidR="009F7F8A" w:rsidRPr="00EE51B1" w:rsidRDefault="009F7F8A" w:rsidP="009F7F8A">
      <w:pPr>
        <w:rPr>
          <w:rFonts w:eastAsia="SimSun"/>
          <w:i/>
          <w:u w:val="single"/>
        </w:rPr>
      </w:pPr>
      <w:r w:rsidRPr="00EE51B1">
        <w:rPr>
          <w:rFonts w:eastAsia="SimSun"/>
          <w:i/>
          <w:u w:val="single"/>
        </w:rPr>
        <w:t>Дополнительные критерии определения рисков трансплантационной летальности у пациентов, которым планируется выполнение алло-ТГСК</w:t>
      </w:r>
      <w:bookmarkEnd w:id="87"/>
      <w:r w:rsidRPr="00EE51B1">
        <w:rPr>
          <w:rFonts w:eastAsia="SimSun"/>
          <w:i/>
          <w:u w:val="single"/>
        </w:rPr>
        <w:t xml:space="preserve"> </w:t>
      </w:r>
      <w:r w:rsidRPr="00EE51B1">
        <w:rPr>
          <w:rFonts w:eastAsia="SimSun"/>
          <w:i/>
          <w:u w:val="single"/>
        </w:rPr>
        <w:fldChar w:fldCharType="begin" w:fldLock="1"/>
      </w:r>
      <w:r w:rsidR="0000369C">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[127]","plainTextFormattedCitation":"[127]","previouslyFormattedCitation":"[127]"},"properties":{"noteIndex":0},"schema":"https://github.com/citation-style-language/schema/raw/master/csl-citation.json"}</w:instrText>
      </w:r>
      <w:r w:rsidRPr="00EE51B1">
        <w:rPr>
          <w:rFonts w:eastAsia="SimSun"/>
          <w:i/>
          <w:u w:val="single"/>
        </w:rPr>
        <w:fldChar w:fldCharType="separate"/>
      </w:r>
      <w:r w:rsidR="0000369C" w:rsidRPr="0000369C">
        <w:rPr>
          <w:rFonts w:eastAsia="SimSun"/>
          <w:noProof/>
        </w:rPr>
        <w:t>[127]</w:t>
      </w:r>
      <w:r w:rsidRPr="00EE51B1">
        <w:rPr>
          <w:rFonts w:eastAsia="SimSun"/>
          <w:i/>
          <w:u w:val="single"/>
        </w:rPr>
        <w:fldChar w:fldCharType="end"/>
      </w:r>
      <w:r w:rsidRPr="00EE51B1">
        <w:rPr>
          <w:rFonts w:eastAsia="SimSun"/>
          <w:i/>
          <w:u w:val="single"/>
        </w:rPr>
        <w:t>:</w:t>
      </w:r>
    </w:p>
    <w:p w14:paraId="1880FE24"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 xml:space="preserve">Иммунодепрессивное состояние: нейтропения, лимфопения с концентрацией </w:t>
      </w:r>
      <w:r w:rsidRPr="00C07B2E">
        <w:rPr>
          <w:rFonts w:eastAsia="SimSun"/>
          <w:lang w:val="en-US"/>
        </w:rPr>
        <w:t>CD</w:t>
      </w:r>
      <w:r w:rsidRPr="00C07B2E">
        <w:rPr>
          <w:rFonts w:eastAsia="SimSun"/>
        </w:rPr>
        <w:t>4+ ≤ 200 клеток/мкл, гипогаммаглобулинемия, аспления, применение высоких доз ГКС на этапе предшествующей химиотерапии и связь с основным заболеванием.</w:t>
      </w:r>
    </w:p>
    <w:p w14:paraId="27A26B5E"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Инфекционные осложнения и степень их тяжести, значимость и длительность в период предшествующей химиотерапии с указанием локализации, чувствительности возбудителя к антимикробным средствам, проводимой терапии: фебрильная нейтропения, пневмония (с указанием установленного возбудителя или отсутствием верификации возбудителя), грибковые инфекции, вирусные инфекции.</w:t>
      </w:r>
    </w:p>
    <w:p w14:paraId="1CFDC925"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Перенесенные заболевания в том числе (</w:t>
      </w:r>
      <w:r w:rsidRPr="00C07B2E">
        <w:rPr>
          <w:rFonts w:eastAsia="SimSun"/>
          <w:lang w:val="en-US"/>
        </w:rPr>
        <w:t>COVID</w:t>
      </w:r>
      <w:r w:rsidRPr="00C07B2E">
        <w:rPr>
          <w:rFonts w:eastAsia="SimSun"/>
        </w:rPr>
        <w:t>-19, туберкулез, вирусные гепатиты)</w:t>
      </w:r>
    </w:p>
    <w:p w14:paraId="4F1A5BAB"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Наличие донорспецифичных анти-</w:t>
      </w:r>
      <w:r w:rsidRPr="00C07B2E">
        <w:rPr>
          <w:rFonts w:eastAsia="SimSun"/>
          <w:lang w:val="en-US"/>
        </w:rPr>
        <w:t>HLA</w:t>
      </w:r>
      <w:r w:rsidRPr="00C07B2E">
        <w:rPr>
          <w:rFonts w:eastAsia="SimSun"/>
        </w:rPr>
        <w:t xml:space="preserve">-антител у реципиента при неродственной частично совместимой или гаплоидентичной ТГСК </w:t>
      </w:r>
    </w:p>
    <w:p w14:paraId="413B970C"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Тромботические, геморрагические события на этапе предшествующей терапии и причины при их верификации</w:t>
      </w:r>
    </w:p>
    <w:p w14:paraId="261E7EBA"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 xml:space="preserve">Трансфузионный анамнез, наличие данных за рефрактерность к трансфузиям компонентов донорской крови. </w:t>
      </w:r>
    </w:p>
    <w:p w14:paraId="7AF07777"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Наличие гемохроматоза и/или лабораторных признаков перегрузки железом. Проведение в анамнезе трансфузий от родственных доноров.</w:t>
      </w:r>
    </w:p>
    <w:p w14:paraId="7623FE86"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lastRenderedPageBreak/>
        <w:t>Наличие врожденных или приобретенных пороков</w:t>
      </w:r>
    </w:p>
    <w:p w14:paraId="5DE842E7"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Наличие протезов, имплантатов и биоматериалов.</w:t>
      </w:r>
    </w:p>
    <w:p w14:paraId="325B8B3C"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Наличие хронических заболеваний и их стадия.</w:t>
      </w:r>
    </w:p>
    <w:p w14:paraId="7CF9452D" w14:textId="77777777" w:rsidR="009F7F8A" w:rsidRPr="00470D3D" w:rsidRDefault="009F7F8A" w:rsidP="009F7F8A">
      <w:pPr>
        <w:numPr>
          <w:ilvl w:val="0"/>
          <w:numId w:val="23"/>
        </w:numPr>
        <w:overflowPunct w:val="0"/>
        <w:autoSpaceDE w:val="0"/>
        <w:autoSpaceDN w:val="0"/>
        <w:adjustRightInd w:val="0"/>
        <w:textAlignment w:val="baseline"/>
        <w:rPr>
          <w:rFonts w:eastAsia="SimSun"/>
        </w:rPr>
      </w:pPr>
      <w:r w:rsidRPr="00470D3D">
        <w:rPr>
          <w:rFonts w:eastAsia="SimSun"/>
        </w:rPr>
        <w:t>Информация о лечении зубов в течение последних 6 мес</w:t>
      </w:r>
      <w:r>
        <w:rPr>
          <w:rFonts w:eastAsia="SimSun"/>
        </w:rPr>
        <w:t>,</w:t>
      </w:r>
      <w:r w:rsidRPr="00470D3D">
        <w:rPr>
          <w:rFonts w:eastAsia="SimSun"/>
        </w:rPr>
        <w:t>, при отсутствии информации</w:t>
      </w:r>
      <w:r w:rsidRPr="00C07B2E">
        <w:rPr>
          <w:rFonts w:eastAsia="SimSun"/>
        </w:rPr>
        <w:t> </w:t>
      </w:r>
      <w:r w:rsidRPr="00470D3D">
        <w:rPr>
          <w:rFonts w:eastAsia="SimSun"/>
        </w:rPr>
        <w:t>— обязательно осмотр стоматолога.</w:t>
      </w:r>
    </w:p>
    <w:p w14:paraId="01DFBB06"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Консультация гинеколога для женщин с целью выявления риска дисфункциональных маточных кровотечений/перименопаузального статуса.</w:t>
      </w:r>
    </w:p>
    <w:p w14:paraId="7F168967"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Эпилептическая активность подтвержденная результатами ЭЭГ</w:t>
      </w:r>
    </w:p>
    <w:p w14:paraId="1EA2256A"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 xml:space="preserve">Нутритивный статус: избыточный вес или дефицит массы тела. </w:t>
      </w:r>
    </w:p>
    <w:p w14:paraId="4D821AC4"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bookmarkStart w:id="88" w:name="_Toc44401109"/>
      <w:r w:rsidRPr="00C07B2E">
        <w:rPr>
          <w:rFonts w:eastAsia="SimSun"/>
        </w:rPr>
        <w:t>Критерии, при наличии которых выполнение алло-ТГСК противопоказано</w:t>
      </w:r>
      <w:bookmarkEnd w:id="88"/>
      <w:r w:rsidRPr="00C07B2E">
        <w:rPr>
          <w:rFonts w:eastAsia="SimSun"/>
        </w:rPr>
        <w:t xml:space="preserve"> </w:t>
      </w:r>
    </w:p>
    <w:p w14:paraId="1349A114"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Беременность</w:t>
      </w:r>
    </w:p>
    <w:p w14:paraId="0AB547DF"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 xml:space="preserve">Цирроз печени, активный вирусный гепатит с признаками нарушения функции печени (гипербилирубинемия, синдром цитолиза, снижение белково-синтетической функции печени) </w:t>
      </w:r>
    </w:p>
    <w:p w14:paraId="6792F40D"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rPr>
        <w:t>Наличие любой неконтролируемой инфекции.</w:t>
      </w:r>
    </w:p>
    <w:p w14:paraId="0BA97FDA" w14:textId="77777777" w:rsidR="009F7F8A" w:rsidRPr="00C07B2E" w:rsidRDefault="009F7F8A" w:rsidP="009F7F8A">
      <w:pPr>
        <w:numPr>
          <w:ilvl w:val="0"/>
          <w:numId w:val="23"/>
        </w:numPr>
        <w:overflowPunct w:val="0"/>
        <w:autoSpaceDE w:val="0"/>
        <w:autoSpaceDN w:val="0"/>
        <w:adjustRightInd w:val="0"/>
        <w:textAlignment w:val="baseline"/>
        <w:rPr>
          <w:rFonts w:eastAsia="SimSun"/>
        </w:rPr>
      </w:pPr>
      <w:r w:rsidRPr="00C07B2E">
        <w:rPr>
          <w:rFonts w:eastAsia="SimSun"/>
          <w:u w:val="single"/>
        </w:rPr>
        <w:t>Другие</w:t>
      </w:r>
      <w:r w:rsidRPr="00C07B2E">
        <w:rPr>
          <w:rFonts w:eastAsia="SimSun"/>
        </w:rPr>
        <w:t xml:space="preserve"> онкологические заболевания различных стадий и локализаций вне ремиссии.</w:t>
      </w:r>
    </w:p>
    <w:p w14:paraId="009A7B9B" w14:textId="77777777" w:rsidR="009F7F8A" w:rsidRDefault="009F7F8A" w:rsidP="009F7F8A">
      <w:pPr>
        <w:rPr>
          <w:rFonts w:eastAsia="SimSun"/>
        </w:rPr>
      </w:pPr>
      <w:bookmarkStart w:id="89" w:name="_Toc44401110"/>
    </w:p>
    <w:p w14:paraId="41849FA2" w14:textId="117A90EA" w:rsidR="009F7F8A" w:rsidRPr="00470D3D" w:rsidRDefault="009F7F8A" w:rsidP="009F7F8A">
      <w:pPr>
        <w:rPr>
          <w:rFonts w:eastAsia="SimSun"/>
          <w:i/>
          <w:u w:val="single"/>
        </w:rPr>
      </w:pPr>
      <w:bookmarkStart w:id="90" w:name="_Toc44401124"/>
      <w:r w:rsidRPr="00470D3D">
        <w:rPr>
          <w:rFonts w:eastAsia="SimSun"/>
          <w:i/>
          <w:u w:val="single"/>
        </w:rPr>
        <w:t>Список лабораторных и инструментальных исследований для обследования кандидатов на алло-ТГСК</w:t>
      </w:r>
      <w:bookmarkEnd w:id="90"/>
      <w:r w:rsidRPr="00470D3D">
        <w:rPr>
          <w:rFonts w:eastAsia="SimSun"/>
          <w:i/>
          <w:u w:val="single"/>
        </w:rPr>
        <w:t xml:space="preserve"> </w:t>
      </w:r>
      <w:r w:rsidRPr="00470D3D">
        <w:rPr>
          <w:rFonts w:eastAsia="SimSun"/>
          <w:i/>
          <w:u w:val="single"/>
        </w:rPr>
        <w:fldChar w:fldCharType="begin" w:fldLock="1"/>
      </w:r>
      <w:r w:rsidR="0000369C">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[127]","plainTextFormattedCitation":"[127]","previouslyFormattedCitation":"[127]"},"properties":{"noteIndex":0},"schema":"https://github.com/citation-style-language/schema/raw/master/csl-citation.json"}</w:instrText>
      </w:r>
      <w:r w:rsidRPr="00470D3D">
        <w:rPr>
          <w:rFonts w:eastAsia="SimSun"/>
          <w:i/>
          <w:u w:val="single"/>
        </w:rPr>
        <w:fldChar w:fldCharType="separate"/>
      </w:r>
      <w:r w:rsidR="0000369C" w:rsidRPr="0000369C">
        <w:rPr>
          <w:rFonts w:eastAsia="SimSun"/>
          <w:noProof/>
        </w:rPr>
        <w:t>[127]</w:t>
      </w:r>
      <w:r w:rsidRPr="00470D3D">
        <w:rPr>
          <w:rFonts w:eastAsia="SimSun"/>
          <w:i/>
          <w:u w:val="single"/>
        </w:rPr>
        <w:fldChar w:fldCharType="end"/>
      </w:r>
      <w:r>
        <w:rPr>
          <w:rFonts w:eastAsia="SimSun"/>
          <w:i/>
          <w:u w:val="single"/>
        </w:rPr>
        <w:t>:</w:t>
      </w:r>
    </w:p>
    <w:p w14:paraId="17ECD7C8" w14:textId="77777777" w:rsidR="009F7F8A" w:rsidRPr="00470D3D" w:rsidRDefault="009F7F8A" w:rsidP="009F7F8A">
      <w:pPr>
        <w:numPr>
          <w:ilvl w:val="0"/>
          <w:numId w:val="29"/>
        </w:numPr>
        <w:overflowPunct w:val="0"/>
        <w:autoSpaceDE w:val="0"/>
        <w:autoSpaceDN w:val="0"/>
        <w:adjustRightInd w:val="0"/>
        <w:textAlignment w:val="baseline"/>
        <w:rPr>
          <w:rFonts w:eastAsia="SimSun"/>
        </w:rPr>
      </w:pPr>
      <w:r w:rsidRPr="00470D3D">
        <w:rPr>
          <w:rFonts w:eastAsia="SimSun"/>
        </w:rPr>
        <w:t>Общеклинический анализ крови с лейкоцитарной формулой</w:t>
      </w:r>
      <w:r w:rsidRPr="00AC75E2">
        <w:rPr>
          <w:rStyle w:val="af5"/>
          <w:rFonts w:eastAsia="SimSun"/>
        </w:rPr>
        <w:footnoteReference w:id="1"/>
      </w:r>
      <w:r w:rsidRPr="00470D3D">
        <w:rPr>
          <w:rFonts w:eastAsia="SimSun"/>
        </w:rPr>
        <w:t>.</w:t>
      </w:r>
    </w:p>
    <w:p w14:paraId="741ECEFF" w14:textId="77777777" w:rsidR="009F7F8A" w:rsidRPr="00470D3D" w:rsidRDefault="009F7F8A" w:rsidP="009F7F8A">
      <w:pPr>
        <w:numPr>
          <w:ilvl w:val="0"/>
          <w:numId w:val="29"/>
        </w:numPr>
        <w:overflowPunct w:val="0"/>
        <w:autoSpaceDE w:val="0"/>
        <w:autoSpaceDN w:val="0"/>
        <w:adjustRightInd w:val="0"/>
        <w:textAlignment w:val="baseline"/>
        <w:rPr>
          <w:rFonts w:eastAsia="SimSun"/>
        </w:rPr>
      </w:pPr>
      <w:r w:rsidRPr="00470D3D">
        <w:rPr>
          <w:rFonts w:eastAsia="SimSun"/>
        </w:rPr>
        <w:t>Биохимический анализ крови (общий белок, альбумин, глобулин, общий холестерин, мочевая кислота, креатинин, мочевина, билирубин и его фракции, АЛТ, АСТ, щелочная фосфатаза, ГГТП, ЛДГ, ферритин)</w:t>
      </w:r>
      <w:r w:rsidRPr="00AC75E2">
        <w:rPr>
          <w:rStyle w:val="af5"/>
          <w:rFonts w:eastAsia="SimSun"/>
        </w:rPr>
        <w:footnoteReference w:id="2"/>
      </w:r>
      <w:r w:rsidRPr="00470D3D">
        <w:rPr>
          <w:rFonts w:eastAsia="SimSun"/>
        </w:rPr>
        <w:t>.</w:t>
      </w:r>
    </w:p>
    <w:p w14:paraId="5CF80771" w14:textId="77777777" w:rsidR="009F7F8A" w:rsidRPr="00470D3D" w:rsidRDefault="009F7F8A" w:rsidP="009F7F8A">
      <w:pPr>
        <w:numPr>
          <w:ilvl w:val="0"/>
          <w:numId w:val="29"/>
        </w:numPr>
        <w:overflowPunct w:val="0"/>
        <w:autoSpaceDE w:val="0"/>
        <w:autoSpaceDN w:val="0"/>
        <w:adjustRightInd w:val="0"/>
        <w:textAlignment w:val="baseline"/>
        <w:rPr>
          <w:rFonts w:eastAsia="SimSun"/>
        </w:rPr>
      </w:pPr>
      <w:r w:rsidRPr="00470D3D">
        <w:rPr>
          <w:rFonts w:eastAsia="SimSun"/>
        </w:rPr>
        <w:t>Коагулограмма (АЧТВ, фибриноген, ПТИ по Квику, МНО)</w:t>
      </w:r>
      <w:r w:rsidRPr="00AC75E2">
        <w:rPr>
          <w:rStyle w:val="af5"/>
          <w:rFonts w:eastAsia="SimSun"/>
        </w:rPr>
        <w:footnoteReference w:id="3"/>
      </w:r>
      <w:r w:rsidRPr="00470D3D">
        <w:rPr>
          <w:rFonts w:eastAsia="SimSun"/>
        </w:rPr>
        <w:t>.</w:t>
      </w:r>
    </w:p>
    <w:p w14:paraId="32426F2A" w14:textId="77777777" w:rsidR="009F7F8A" w:rsidRPr="00C07B2E" w:rsidRDefault="009F7F8A" w:rsidP="009F7F8A">
      <w:pPr>
        <w:numPr>
          <w:ilvl w:val="0"/>
          <w:numId w:val="29"/>
        </w:numPr>
        <w:overflowPunct w:val="0"/>
        <w:autoSpaceDE w:val="0"/>
        <w:autoSpaceDN w:val="0"/>
        <w:adjustRightInd w:val="0"/>
        <w:textAlignment w:val="baseline"/>
        <w:rPr>
          <w:rFonts w:eastAsia="SimSun"/>
        </w:rPr>
      </w:pPr>
      <w:r w:rsidRPr="00C07B2E">
        <w:rPr>
          <w:rFonts w:eastAsia="SimSun"/>
        </w:rPr>
        <w:t>Глюкоза венозной крови натощак</w:t>
      </w:r>
      <w:r w:rsidRPr="00AC75E2">
        <w:rPr>
          <w:rStyle w:val="af5"/>
          <w:rFonts w:eastAsia="SimSun"/>
        </w:rPr>
        <w:footnoteReference w:id="4"/>
      </w:r>
      <w:r w:rsidRPr="00C07B2E">
        <w:rPr>
          <w:rFonts w:eastAsia="SimSun"/>
        </w:rPr>
        <w:t>.</w:t>
      </w:r>
    </w:p>
    <w:p w14:paraId="39AF746D" w14:textId="77777777" w:rsidR="009F7F8A" w:rsidRPr="00470D3D" w:rsidRDefault="009F7F8A" w:rsidP="009F7F8A">
      <w:pPr>
        <w:numPr>
          <w:ilvl w:val="0"/>
          <w:numId w:val="29"/>
        </w:numPr>
        <w:overflowPunct w:val="0"/>
        <w:autoSpaceDE w:val="0"/>
        <w:autoSpaceDN w:val="0"/>
        <w:adjustRightInd w:val="0"/>
        <w:textAlignment w:val="baseline"/>
        <w:rPr>
          <w:rFonts w:eastAsia="SimSun"/>
        </w:rPr>
      </w:pPr>
      <w:r w:rsidRPr="00470D3D">
        <w:rPr>
          <w:rFonts w:eastAsia="SimSun"/>
        </w:rPr>
        <w:lastRenderedPageBreak/>
        <w:t xml:space="preserve">Серологические исследования гемотрансмиссивных инфекций (антитела к ВИЧ, </w:t>
      </w:r>
      <w:r w:rsidRPr="00C07B2E">
        <w:rPr>
          <w:rFonts w:eastAsia="SimSun"/>
        </w:rPr>
        <w:t>HB</w:t>
      </w:r>
      <w:r w:rsidRPr="00C07B2E">
        <w:rPr>
          <w:rFonts w:eastAsia="SimSun"/>
          <w:lang w:val="en-US"/>
        </w:rPr>
        <w:t>sAg</w:t>
      </w:r>
      <w:r w:rsidRPr="00470D3D">
        <w:rPr>
          <w:rFonts w:eastAsia="SimSun"/>
        </w:rPr>
        <w:t xml:space="preserve"> качественно, антитела к </w:t>
      </w:r>
      <w:r w:rsidRPr="00C07B2E">
        <w:rPr>
          <w:rFonts w:eastAsia="SimSun"/>
        </w:rPr>
        <w:t>HB</w:t>
      </w:r>
      <w:r w:rsidRPr="00C07B2E">
        <w:rPr>
          <w:rFonts w:eastAsia="SimSun"/>
          <w:lang w:val="en-US"/>
        </w:rPr>
        <w:t>sAg</w:t>
      </w:r>
      <w:r w:rsidRPr="00470D3D">
        <w:rPr>
          <w:rFonts w:eastAsia="SimSun"/>
        </w:rPr>
        <w:t xml:space="preserve"> качественно и количественно, анти-НВсо</w:t>
      </w:r>
      <w:r w:rsidRPr="00C07B2E">
        <w:rPr>
          <w:rFonts w:eastAsia="SimSun"/>
        </w:rPr>
        <w:t>r</w:t>
      </w:r>
      <w:r w:rsidRPr="00470D3D">
        <w:rPr>
          <w:rFonts w:eastAsia="SimSun"/>
        </w:rPr>
        <w:t xml:space="preserve"> качественно, </w:t>
      </w:r>
      <w:r w:rsidRPr="00C07B2E">
        <w:rPr>
          <w:rFonts w:eastAsia="SimSun"/>
          <w:lang w:val="en-US"/>
        </w:rPr>
        <w:t>HBeAg</w:t>
      </w:r>
      <w:r w:rsidRPr="00470D3D">
        <w:rPr>
          <w:rFonts w:eastAsia="SimSun"/>
        </w:rPr>
        <w:t xml:space="preserve"> качественно, анти-</w:t>
      </w:r>
      <w:r w:rsidRPr="00C07B2E">
        <w:rPr>
          <w:rFonts w:eastAsia="SimSun"/>
          <w:lang w:val="en-US"/>
        </w:rPr>
        <w:t>HBeAg</w:t>
      </w:r>
      <w:r w:rsidRPr="00470D3D">
        <w:rPr>
          <w:rFonts w:eastAsia="SimSun"/>
        </w:rPr>
        <w:t>, на сифилис)</w:t>
      </w:r>
      <w:r w:rsidRPr="00AC75E2">
        <w:rPr>
          <w:rStyle w:val="af5"/>
          <w:rFonts w:eastAsia="SimSun"/>
        </w:rPr>
        <w:footnoteReference w:id="5"/>
      </w:r>
      <w:r w:rsidRPr="00470D3D">
        <w:rPr>
          <w:rFonts w:eastAsia="SimSun"/>
        </w:rPr>
        <w:t>.</w:t>
      </w:r>
    </w:p>
    <w:p w14:paraId="1B124F18" w14:textId="77777777" w:rsidR="009F7F8A" w:rsidRPr="00470D3D" w:rsidRDefault="009F7F8A" w:rsidP="009F7F8A">
      <w:pPr>
        <w:numPr>
          <w:ilvl w:val="0"/>
          <w:numId w:val="29"/>
        </w:numPr>
        <w:overflowPunct w:val="0"/>
        <w:autoSpaceDE w:val="0"/>
        <w:autoSpaceDN w:val="0"/>
        <w:adjustRightInd w:val="0"/>
        <w:textAlignment w:val="baseline"/>
        <w:rPr>
          <w:rFonts w:eastAsia="SimSun"/>
        </w:rPr>
      </w:pPr>
      <w:r w:rsidRPr="00470D3D">
        <w:rPr>
          <w:rFonts w:eastAsia="SimSun"/>
        </w:rPr>
        <w:t>Серологические исследования герпесвирусов (</w:t>
      </w:r>
      <w:r w:rsidRPr="00C07B2E">
        <w:rPr>
          <w:rFonts w:eastAsia="SimSun"/>
          <w:lang w:val="en-US"/>
        </w:rPr>
        <w:t>IgG</w:t>
      </w:r>
      <w:r w:rsidRPr="00470D3D">
        <w:rPr>
          <w:rFonts w:eastAsia="SimSun"/>
        </w:rPr>
        <w:t xml:space="preserve"> и </w:t>
      </w:r>
      <w:r w:rsidRPr="00C07B2E">
        <w:rPr>
          <w:rFonts w:eastAsia="SimSun"/>
          <w:lang w:val="en-US"/>
        </w:rPr>
        <w:t>IgM</w:t>
      </w:r>
      <w:r w:rsidRPr="00470D3D">
        <w:rPr>
          <w:rFonts w:eastAsia="SimSun"/>
        </w:rPr>
        <w:t xml:space="preserve"> к </w:t>
      </w:r>
      <w:r w:rsidRPr="00C07B2E">
        <w:rPr>
          <w:rFonts w:eastAsia="SimSun"/>
          <w:lang w:val="en-US"/>
        </w:rPr>
        <w:t>CMV</w:t>
      </w:r>
      <w:r w:rsidRPr="00470D3D">
        <w:rPr>
          <w:rFonts w:eastAsia="SimSun"/>
        </w:rPr>
        <w:t>, вирусу Эпштейна—Барр, герпесу простого герпеса и герпеса 6 типа) и токсоплазме (при возможности)</w:t>
      </w:r>
      <w:r w:rsidRPr="00AC75E2">
        <w:rPr>
          <w:rStyle w:val="af5"/>
          <w:rFonts w:eastAsia="SimSun"/>
        </w:rPr>
        <w:footnoteReference w:id="6"/>
      </w:r>
      <w:r w:rsidRPr="00470D3D">
        <w:rPr>
          <w:rFonts w:eastAsia="SimSun"/>
        </w:rPr>
        <w:t xml:space="preserve">. </w:t>
      </w:r>
    </w:p>
    <w:p w14:paraId="287108DD" w14:textId="77777777" w:rsidR="009F7F8A" w:rsidRPr="00C07B2E" w:rsidRDefault="009F7F8A" w:rsidP="009F7F8A">
      <w:pPr>
        <w:numPr>
          <w:ilvl w:val="0"/>
          <w:numId w:val="29"/>
        </w:numPr>
        <w:overflowPunct w:val="0"/>
        <w:autoSpaceDE w:val="0"/>
        <w:autoSpaceDN w:val="0"/>
        <w:adjustRightInd w:val="0"/>
        <w:textAlignment w:val="baseline"/>
        <w:rPr>
          <w:rFonts w:eastAsia="SimSun"/>
        </w:rPr>
      </w:pPr>
      <w:r w:rsidRPr="00470D3D">
        <w:rPr>
          <w:rFonts w:eastAsia="SimSun"/>
        </w:rPr>
        <w:t xml:space="preserve">Определение ДНК вируса гепатита В и РНК вируса гепатита С с помощью </w:t>
      </w:r>
      <w:r w:rsidRPr="00C07B2E">
        <w:rPr>
          <w:rFonts w:eastAsia="SimSun"/>
        </w:rPr>
        <w:t>ПЦР (качественно, в случае выявления — количественно)</w:t>
      </w:r>
      <w:r w:rsidRPr="00AC75E2">
        <w:rPr>
          <w:rStyle w:val="af5"/>
          <w:rFonts w:eastAsia="SimSun"/>
        </w:rPr>
        <w:footnoteReference w:id="7"/>
      </w:r>
      <w:r w:rsidRPr="00C07B2E">
        <w:rPr>
          <w:rFonts w:eastAsia="SimSun"/>
        </w:rPr>
        <w:t>.</w:t>
      </w:r>
    </w:p>
    <w:p w14:paraId="136DC228" w14:textId="77777777" w:rsidR="009F7F8A" w:rsidRPr="00470D3D" w:rsidRDefault="009F7F8A" w:rsidP="009F7F8A">
      <w:pPr>
        <w:numPr>
          <w:ilvl w:val="0"/>
          <w:numId w:val="29"/>
        </w:numPr>
        <w:overflowPunct w:val="0"/>
        <w:autoSpaceDE w:val="0"/>
        <w:autoSpaceDN w:val="0"/>
        <w:adjustRightInd w:val="0"/>
        <w:textAlignment w:val="baseline"/>
        <w:rPr>
          <w:rFonts w:eastAsia="SimSun"/>
        </w:rPr>
      </w:pPr>
      <w:r w:rsidRPr="00470D3D">
        <w:rPr>
          <w:rFonts w:eastAsia="SimSun"/>
        </w:rPr>
        <w:t>Исследования по определению статуса основного заболевания</w:t>
      </w:r>
      <w:r w:rsidRPr="00AC75E2">
        <w:rPr>
          <w:rStyle w:val="af5"/>
          <w:rFonts w:eastAsia="SimSun"/>
        </w:rPr>
        <w:footnoteReference w:id="8"/>
      </w:r>
      <w:r w:rsidRPr="00470D3D">
        <w:rPr>
          <w:rFonts w:eastAsia="SimSun"/>
        </w:rPr>
        <w:t>. Для пациентов с острыми лейкозами обязательна люмбальная пункция с интратекальным введением химиопрепаратов.</w:t>
      </w:r>
    </w:p>
    <w:p w14:paraId="74BE3106" w14:textId="77777777" w:rsidR="009F7F8A" w:rsidRPr="00470D3D" w:rsidRDefault="009F7F8A" w:rsidP="009F7F8A">
      <w:pPr>
        <w:numPr>
          <w:ilvl w:val="0"/>
          <w:numId w:val="29"/>
        </w:numPr>
        <w:overflowPunct w:val="0"/>
        <w:autoSpaceDE w:val="0"/>
        <w:autoSpaceDN w:val="0"/>
        <w:adjustRightInd w:val="0"/>
        <w:textAlignment w:val="baseline"/>
        <w:rPr>
          <w:rFonts w:eastAsia="SimSun"/>
        </w:rPr>
      </w:pPr>
      <w:r w:rsidRPr="00470D3D">
        <w:rPr>
          <w:rFonts w:eastAsia="SimSun"/>
        </w:rPr>
        <w:t>КТ органов грудной клетки (с записью на электронный носитель)</w:t>
      </w:r>
      <w:r w:rsidRPr="00AC75E2">
        <w:rPr>
          <w:rStyle w:val="af5"/>
          <w:rFonts w:eastAsia="SimSun"/>
        </w:rPr>
        <w:footnoteReference w:id="9"/>
      </w:r>
      <w:r w:rsidRPr="00470D3D">
        <w:rPr>
          <w:rFonts w:eastAsia="SimSun"/>
        </w:rPr>
        <w:t xml:space="preserve">.КТ других областей при необходимости </w:t>
      </w:r>
    </w:p>
    <w:p w14:paraId="3F6BB1BC" w14:textId="77777777" w:rsidR="009F7F8A" w:rsidRPr="00470D3D" w:rsidRDefault="009F7F8A" w:rsidP="009F7F8A">
      <w:pPr>
        <w:numPr>
          <w:ilvl w:val="0"/>
          <w:numId w:val="29"/>
        </w:numPr>
        <w:overflowPunct w:val="0"/>
        <w:autoSpaceDE w:val="0"/>
        <w:autoSpaceDN w:val="0"/>
        <w:adjustRightInd w:val="0"/>
        <w:textAlignment w:val="baseline"/>
        <w:rPr>
          <w:rFonts w:eastAsia="SimSun"/>
        </w:rPr>
      </w:pPr>
      <w:r w:rsidRPr="00470D3D">
        <w:rPr>
          <w:rFonts w:eastAsia="SimSun"/>
        </w:rPr>
        <w:t>ПЭТ-КТ (при необходимости – в соответствии с клиническими рекомендациями (протоколами лечения) )</w:t>
      </w:r>
      <w:r w:rsidRPr="00AC75E2">
        <w:rPr>
          <w:rStyle w:val="af5"/>
          <w:rFonts w:eastAsia="SimSun"/>
        </w:rPr>
        <w:footnoteReference w:id="10"/>
      </w:r>
      <w:r w:rsidRPr="00470D3D">
        <w:rPr>
          <w:rFonts w:eastAsia="SimSun"/>
        </w:rPr>
        <w:t>.</w:t>
      </w:r>
    </w:p>
    <w:p w14:paraId="218E4B32" w14:textId="77777777" w:rsidR="009F7F8A" w:rsidRPr="00470D3D" w:rsidRDefault="009F7F8A" w:rsidP="009F7F8A">
      <w:pPr>
        <w:numPr>
          <w:ilvl w:val="0"/>
          <w:numId w:val="29"/>
        </w:numPr>
        <w:overflowPunct w:val="0"/>
        <w:autoSpaceDE w:val="0"/>
        <w:autoSpaceDN w:val="0"/>
        <w:adjustRightInd w:val="0"/>
        <w:textAlignment w:val="baseline"/>
        <w:rPr>
          <w:rFonts w:eastAsia="SimSun"/>
        </w:rPr>
      </w:pPr>
      <w:r w:rsidRPr="00470D3D">
        <w:rPr>
          <w:rFonts w:eastAsia="SimSun"/>
        </w:rPr>
        <w:t>МРТ головного мозга при наличии показаний (с записью на электронный носитель)</w:t>
      </w:r>
      <w:r w:rsidRPr="00AC75E2">
        <w:rPr>
          <w:rStyle w:val="af5"/>
          <w:rFonts w:eastAsia="SimSun"/>
        </w:rPr>
        <w:footnoteReference w:id="11"/>
      </w:r>
      <w:r w:rsidRPr="00470D3D">
        <w:rPr>
          <w:rFonts w:eastAsia="SimSun"/>
        </w:rPr>
        <w:t xml:space="preserve">. </w:t>
      </w:r>
    </w:p>
    <w:p w14:paraId="6AE78518" w14:textId="77777777" w:rsidR="009F7F8A" w:rsidRPr="00470D3D" w:rsidRDefault="009F7F8A" w:rsidP="009F7F8A">
      <w:pPr>
        <w:numPr>
          <w:ilvl w:val="0"/>
          <w:numId w:val="29"/>
        </w:numPr>
        <w:overflowPunct w:val="0"/>
        <w:autoSpaceDE w:val="0"/>
        <w:autoSpaceDN w:val="0"/>
        <w:adjustRightInd w:val="0"/>
        <w:textAlignment w:val="baseline"/>
        <w:rPr>
          <w:rFonts w:eastAsia="SimSun"/>
        </w:rPr>
      </w:pPr>
      <w:r w:rsidRPr="00470D3D">
        <w:rPr>
          <w:rFonts w:eastAsia="SimSun"/>
        </w:rPr>
        <w:t>Рентген или КТ пазух носа.</w:t>
      </w:r>
    </w:p>
    <w:p w14:paraId="4EE9D1F2" w14:textId="77777777" w:rsidR="009F7F8A" w:rsidRPr="00C07B2E" w:rsidRDefault="009F7F8A" w:rsidP="009F7F8A">
      <w:pPr>
        <w:numPr>
          <w:ilvl w:val="0"/>
          <w:numId w:val="29"/>
        </w:numPr>
        <w:overflowPunct w:val="0"/>
        <w:autoSpaceDE w:val="0"/>
        <w:autoSpaceDN w:val="0"/>
        <w:adjustRightInd w:val="0"/>
        <w:textAlignment w:val="baseline"/>
        <w:rPr>
          <w:rFonts w:eastAsia="SimSun"/>
        </w:rPr>
      </w:pPr>
      <w:r w:rsidRPr="00C07B2E">
        <w:rPr>
          <w:rFonts w:eastAsia="SimSun"/>
        </w:rPr>
        <w:t>УЗИ печени, селезенки, почек</w:t>
      </w:r>
      <w:r w:rsidRPr="00AC75E2">
        <w:rPr>
          <w:rStyle w:val="af5"/>
          <w:rFonts w:eastAsia="SimSun"/>
        </w:rPr>
        <w:footnoteReference w:id="12"/>
      </w:r>
      <w:r w:rsidRPr="00C07B2E">
        <w:rPr>
          <w:rFonts w:eastAsia="SimSun"/>
        </w:rPr>
        <w:t xml:space="preserve">. </w:t>
      </w:r>
    </w:p>
    <w:p w14:paraId="7B27FDDD" w14:textId="77777777" w:rsidR="009F7F8A" w:rsidRPr="00C07B2E" w:rsidRDefault="009F7F8A" w:rsidP="009F7F8A">
      <w:pPr>
        <w:numPr>
          <w:ilvl w:val="0"/>
          <w:numId w:val="29"/>
        </w:numPr>
        <w:overflowPunct w:val="0"/>
        <w:autoSpaceDE w:val="0"/>
        <w:autoSpaceDN w:val="0"/>
        <w:adjustRightInd w:val="0"/>
        <w:textAlignment w:val="baseline"/>
        <w:rPr>
          <w:rFonts w:eastAsia="SimSun"/>
        </w:rPr>
      </w:pPr>
      <w:r w:rsidRPr="00C07B2E">
        <w:rPr>
          <w:rFonts w:eastAsia="SimSun"/>
        </w:rPr>
        <w:t>ЭКГ</w:t>
      </w:r>
      <w:r w:rsidRPr="00AC75E2">
        <w:rPr>
          <w:rStyle w:val="af5"/>
          <w:rFonts w:eastAsia="SimSun"/>
        </w:rPr>
        <w:footnoteReference w:id="13"/>
      </w:r>
      <w:r w:rsidRPr="00C07B2E">
        <w:rPr>
          <w:rFonts w:eastAsia="SimSun"/>
        </w:rPr>
        <w:t>.</w:t>
      </w:r>
    </w:p>
    <w:p w14:paraId="4842F607" w14:textId="77777777" w:rsidR="009F7F8A" w:rsidRPr="00C07B2E" w:rsidRDefault="009F7F8A" w:rsidP="009F7F8A">
      <w:pPr>
        <w:numPr>
          <w:ilvl w:val="0"/>
          <w:numId w:val="29"/>
        </w:numPr>
        <w:overflowPunct w:val="0"/>
        <w:autoSpaceDE w:val="0"/>
        <w:autoSpaceDN w:val="0"/>
        <w:adjustRightInd w:val="0"/>
        <w:textAlignment w:val="baseline"/>
        <w:rPr>
          <w:rFonts w:eastAsia="SimSun"/>
        </w:rPr>
      </w:pPr>
      <w:r>
        <w:rPr>
          <w:rFonts w:eastAsia="SimSun"/>
        </w:rPr>
        <w:t>Т</w:t>
      </w:r>
      <w:r w:rsidRPr="00C07B2E">
        <w:rPr>
          <w:rFonts w:eastAsia="SimSun"/>
        </w:rPr>
        <w:t>рансторакальная ЭхоКГ</w:t>
      </w:r>
      <w:r w:rsidRPr="00AC75E2">
        <w:rPr>
          <w:rStyle w:val="af5"/>
          <w:rFonts w:eastAsia="SimSun"/>
        </w:rPr>
        <w:footnoteReference w:id="14"/>
      </w:r>
      <w:r w:rsidRPr="00C07B2E">
        <w:rPr>
          <w:rFonts w:eastAsia="SimSun"/>
        </w:rPr>
        <w:t>.</w:t>
      </w:r>
    </w:p>
    <w:p w14:paraId="4BE5565D" w14:textId="77777777" w:rsidR="009F7F8A" w:rsidRPr="00470D3D" w:rsidRDefault="009F7F8A" w:rsidP="009F7F8A">
      <w:pPr>
        <w:numPr>
          <w:ilvl w:val="0"/>
          <w:numId w:val="29"/>
        </w:numPr>
        <w:overflowPunct w:val="0"/>
        <w:autoSpaceDE w:val="0"/>
        <w:autoSpaceDN w:val="0"/>
        <w:adjustRightInd w:val="0"/>
        <w:textAlignment w:val="baseline"/>
        <w:rPr>
          <w:rFonts w:eastAsia="SimSun"/>
        </w:rPr>
      </w:pPr>
      <w:r w:rsidRPr="00470D3D">
        <w:rPr>
          <w:rFonts w:eastAsia="SimSun"/>
        </w:rPr>
        <w:lastRenderedPageBreak/>
        <w:t>Исследование функции внешнего дыхания с оценкой ОФВ1 и/или скорректированной диффузионной способности легких (</w:t>
      </w:r>
      <w:r w:rsidRPr="00C07B2E">
        <w:rPr>
          <w:rFonts w:eastAsia="SimSun"/>
        </w:rPr>
        <w:t>DLCO</w:t>
      </w:r>
      <w:r w:rsidRPr="00470D3D">
        <w:rPr>
          <w:rFonts w:eastAsia="SimSun"/>
        </w:rPr>
        <w:t>) (при возможности)</w:t>
      </w:r>
    </w:p>
    <w:p w14:paraId="382F163C" w14:textId="77777777" w:rsidR="009F7F8A" w:rsidRPr="00470D3D" w:rsidRDefault="009F7F8A" w:rsidP="009F7F8A">
      <w:pPr>
        <w:numPr>
          <w:ilvl w:val="0"/>
          <w:numId w:val="29"/>
        </w:numPr>
        <w:overflowPunct w:val="0"/>
        <w:autoSpaceDE w:val="0"/>
        <w:autoSpaceDN w:val="0"/>
        <w:adjustRightInd w:val="0"/>
        <w:textAlignment w:val="baseline"/>
        <w:rPr>
          <w:rFonts w:eastAsia="SimSun"/>
        </w:rPr>
      </w:pPr>
      <w:r w:rsidRPr="00470D3D">
        <w:rPr>
          <w:rFonts w:eastAsia="SimSun"/>
        </w:rPr>
        <w:t>ФГДС при наличии в анамнезе язвенных поражений желудка или ДПК</w:t>
      </w:r>
    </w:p>
    <w:p w14:paraId="0174DD95" w14:textId="77777777" w:rsidR="009F7F8A" w:rsidRPr="00C07B2E" w:rsidRDefault="009F7F8A" w:rsidP="009F7F8A">
      <w:pPr>
        <w:numPr>
          <w:ilvl w:val="0"/>
          <w:numId w:val="29"/>
        </w:numPr>
        <w:overflowPunct w:val="0"/>
        <w:autoSpaceDE w:val="0"/>
        <w:autoSpaceDN w:val="0"/>
        <w:adjustRightInd w:val="0"/>
        <w:textAlignment w:val="baseline"/>
        <w:rPr>
          <w:rFonts w:eastAsia="SimSun"/>
        </w:rPr>
      </w:pPr>
      <w:r w:rsidRPr="00C07B2E">
        <w:rPr>
          <w:rFonts w:eastAsia="SimSun"/>
        </w:rPr>
        <w:t>ЭЭГ при необходимости</w:t>
      </w:r>
    </w:p>
    <w:p w14:paraId="7B65522D" w14:textId="77777777" w:rsidR="009F7F8A" w:rsidRPr="00470D3D" w:rsidRDefault="009F7F8A" w:rsidP="009F7F8A">
      <w:pPr>
        <w:numPr>
          <w:ilvl w:val="0"/>
          <w:numId w:val="29"/>
        </w:numPr>
        <w:overflowPunct w:val="0"/>
        <w:autoSpaceDE w:val="0"/>
        <w:autoSpaceDN w:val="0"/>
        <w:adjustRightInd w:val="0"/>
        <w:textAlignment w:val="baseline"/>
        <w:rPr>
          <w:rFonts w:eastAsia="SimSun"/>
        </w:rPr>
      </w:pPr>
      <w:r w:rsidRPr="00470D3D">
        <w:rPr>
          <w:rFonts w:eastAsia="SimSun"/>
        </w:rPr>
        <w:t>Осмотр специалистов: стоматолог (обязательно), гинеколог (обязательно для женщин), оториноларинголог (по показаниям)</w:t>
      </w:r>
      <w:r w:rsidRPr="00AC75E2">
        <w:rPr>
          <w:rStyle w:val="af5"/>
          <w:rFonts w:eastAsia="SimSun"/>
        </w:rPr>
        <w:footnoteReference w:id="15"/>
      </w:r>
      <w:r w:rsidRPr="00470D3D">
        <w:rPr>
          <w:rFonts w:eastAsia="SimSun"/>
        </w:rPr>
        <w:t xml:space="preserve">. </w:t>
      </w:r>
    </w:p>
    <w:p w14:paraId="790E7943" w14:textId="77777777" w:rsidR="009F7F8A" w:rsidRPr="00470D3D" w:rsidRDefault="009F7F8A" w:rsidP="009F7F8A">
      <w:pPr>
        <w:numPr>
          <w:ilvl w:val="0"/>
          <w:numId w:val="29"/>
        </w:numPr>
        <w:overflowPunct w:val="0"/>
        <w:autoSpaceDE w:val="0"/>
        <w:autoSpaceDN w:val="0"/>
        <w:adjustRightInd w:val="0"/>
        <w:textAlignment w:val="baseline"/>
        <w:rPr>
          <w:rFonts w:eastAsia="SimSun"/>
        </w:rPr>
      </w:pPr>
      <w:r w:rsidRPr="00470D3D">
        <w:t>Определение н</w:t>
      </w:r>
      <w:r w:rsidRPr="00470D3D">
        <w:rPr>
          <w:rFonts w:eastAsia="SimSun"/>
        </w:rPr>
        <w:t>аличия донорспецифичных анти-</w:t>
      </w:r>
      <w:r w:rsidRPr="00C07B2E">
        <w:rPr>
          <w:rFonts w:eastAsia="SimSun"/>
        </w:rPr>
        <w:t>HLA</w:t>
      </w:r>
      <w:r w:rsidRPr="00470D3D">
        <w:rPr>
          <w:rFonts w:eastAsia="SimSun"/>
        </w:rPr>
        <w:t>-антител при неродственной частично совместимой или гаплоидентичной ТГСК (при возможности)</w:t>
      </w:r>
    </w:p>
    <w:p w14:paraId="3B4F00E4" w14:textId="77777777" w:rsidR="009F7F8A" w:rsidRDefault="009F7F8A" w:rsidP="009F7F8A">
      <w:pPr>
        <w:rPr>
          <w:rFonts w:eastAsia="SimSun"/>
          <w:i/>
          <w:u w:val="single"/>
        </w:rPr>
      </w:pPr>
    </w:p>
    <w:p w14:paraId="60E206EA" w14:textId="7447109E" w:rsidR="009F7F8A" w:rsidRPr="00EE51B1" w:rsidRDefault="009F7F8A" w:rsidP="009F7F8A">
      <w:pPr>
        <w:rPr>
          <w:rFonts w:eastAsia="SimSun"/>
          <w:i/>
          <w:u w:val="single"/>
        </w:rPr>
      </w:pPr>
      <w:r w:rsidRPr="00EE51B1">
        <w:rPr>
          <w:rFonts w:eastAsia="SimSun"/>
          <w:i/>
          <w:u w:val="single"/>
        </w:rPr>
        <w:t>Алгоритм принятия решения о выполнении алло-ТГСК</w:t>
      </w:r>
      <w:bookmarkEnd w:id="89"/>
      <w:r w:rsidRPr="00EE51B1">
        <w:rPr>
          <w:rFonts w:eastAsia="SimSun"/>
          <w:i/>
          <w:u w:val="single"/>
        </w:rPr>
        <w:t xml:space="preserve"> </w:t>
      </w:r>
      <w:r w:rsidRPr="00EE51B1">
        <w:rPr>
          <w:rFonts w:eastAsia="SimSun"/>
          <w:i/>
          <w:u w:val="single"/>
        </w:rPr>
        <w:fldChar w:fldCharType="begin" w:fldLock="1"/>
      </w:r>
      <w:r w:rsidR="0000369C">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[127]","plainTextFormattedCitation":"[127]","previouslyFormattedCitation":"[127]"},"properties":{"noteIndex":0},"schema":"https://github.com/citation-style-language/schema/raw/master/csl-citation.json"}</w:instrText>
      </w:r>
      <w:r w:rsidRPr="00EE51B1">
        <w:rPr>
          <w:rFonts w:eastAsia="SimSun"/>
          <w:i/>
          <w:u w:val="single"/>
        </w:rPr>
        <w:fldChar w:fldCharType="separate"/>
      </w:r>
      <w:r w:rsidR="0000369C" w:rsidRPr="0000369C">
        <w:rPr>
          <w:rFonts w:eastAsia="SimSun"/>
          <w:noProof/>
        </w:rPr>
        <w:t>[127]</w:t>
      </w:r>
      <w:r w:rsidRPr="00EE51B1">
        <w:rPr>
          <w:rFonts w:eastAsia="SimSun"/>
          <w:i/>
          <w:u w:val="single"/>
        </w:rPr>
        <w:fldChar w:fldCharType="end"/>
      </w:r>
      <w:r w:rsidRPr="00EE51B1">
        <w:rPr>
          <w:rFonts w:eastAsia="SimSun"/>
          <w:i/>
          <w:u w:val="single"/>
        </w:rPr>
        <w:t xml:space="preserve">: </w:t>
      </w:r>
    </w:p>
    <w:p w14:paraId="5A3021E9" w14:textId="77777777" w:rsidR="009F7F8A" w:rsidRPr="00C07B2E" w:rsidRDefault="009F7F8A" w:rsidP="009F7F8A">
      <w:pPr>
        <w:ind w:firstLine="709"/>
        <w:rPr>
          <w:rFonts w:eastAsia="SimSun"/>
        </w:rPr>
      </w:pPr>
      <w:r w:rsidRPr="00C07B2E">
        <w:rPr>
          <w:rFonts w:eastAsia="SimSun"/>
        </w:rPr>
        <w:t>Медицинская организация, в которой проводятся наблюдение и лечение пациента, выявившая у пациента медицинские показания к проведению трансплантации костного мозга или гемопоэтических стволовых клеток, для рассмотрения вопроса о необходимости трансплантации костного мозга и гемопоэтических стволовых клеток осуществляет направление пациента в медицинскую организацию, осуществляющую трансплантацию, либо организует проведение дистанционного консилиума с применением телемедицинских технологий в соответствии с порядком организации оказания медицинской помощи с применением телемедицинских технологий.</w:t>
      </w:r>
    </w:p>
    <w:p w14:paraId="0391DEDC" w14:textId="77777777" w:rsidR="009F7F8A" w:rsidRPr="00C07B2E" w:rsidRDefault="009F7F8A" w:rsidP="009F7F8A">
      <w:pPr>
        <w:ind w:firstLine="709"/>
        <w:rPr>
          <w:rFonts w:eastAsia="SimSun"/>
        </w:rPr>
      </w:pPr>
      <w:r w:rsidRPr="00C07B2E">
        <w:rPr>
          <w:rFonts w:eastAsia="SimSun"/>
        </w:rPr>
        <w:t>Медицинское заключение о необходимости трансплантации костного мозга или гемопоэтических стволовых клеток (далее - заключение) потенциальному кандидату на проведение алло-ТГСК (реципиенту) выдается на бумажном носителе или в форме электронного документа консилиумом врачей (включая дистанционный консилиум, в случае невозможности проведения очной консультации) организацией, осуществляющей трансплантацию, в соответствии с Инструкцией о выдаче медицинского заключения о необходимости трансплантации органов и (или) тканей человека на основании консультации потенциального реципиента, результатов медицинского обследования, о чем вносится запись в медицинскую документацию пациента.</w:t>
      </w:r>
    </w:p>
    <w:p w14:paraId="0E1F5107" w14:textId="77777777" w:rsidR="009F7F8A" w:rsidRDefault="009F7F8A" w:rsidP="009F7F8A">
      <w:pPr>
        <w:rPr>
          <w:rFonts w:eastAsia="SimSun"/>
        </w:rPr>
      </w:pPr>
      <w:bookmarkStart w:id="91" w:name="_Toc44401111"/>
    </w:p>
    <w:p w14:paraId="6274285F" w14:textId="6EC12BEE" w:rsidR="009F7F8A" w:rsidRPr="00EE51B1" w:rsidRDefault="009F7F8A" w:rsidP="009F7F8A">
      <w:pPr>
        <w:rPr>
          <w:rFonts w:eastAsia="SimSun"/>
          <w:i/>
          <w:u w:val="single"/>
        </w:rPr>
      </w:pPr>
      <w:r w:rsidRPr="00EE51B1">
        <w:rPr>
          <w:rFonts w:eastAsia="SimSun"/>
          <w:i/>
          <w:u w:val="single"/>
        </w:rPr>
        <w:t>Этапы принятия решений о проведении алло-ТГСК</w:t>
      </w:r>
      <w:bookmarkEnd w:id="91"/>
      <w:r w:rsidRPr="00EE51B1">
        <w:rPr>
          <w:rFonts w:eastAsia="SimSun"/>
          <w:i/>
          <w:u w:val="single"/>
        </w:rPr>
        <w:t xml:space="preserve"> </w:t>
      </w:r>
      <w:r w:rsidRPr="00EE51B1">
        <w:rPr>
          <w:rFonts w:eastAsia="SimSun"/>
          <w:i/>
          <w:u w:val="single"/>
        </w:rPr>
        <w:fldChar w:fldCharType="begin" w:fldLock="1"/>
      </w:r>
      <w:r w:rsidR="0000369C">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[127]","plainTextFormattedCitation":"[127]","previouslyFormattedCitation":"[127]"},"properties":{"noteIndex":0},"schema":"https://github.com/citation-style-language/schema/raw/master/csl-citation.json"}</w:instrText>
      </w:r>
      <w:r w:rsidRPr="00EE51B1">
        <w:rPr>
          <w:rFonts w:eastAsia="SimSun"/>
          <w:i/>
          <w:u w:val="single"/>
        </w:rPr>
        <w:fldChar w:fldCharType="separate"/>
      </w:r>
      <w:r w:rsidR="0000369C" w:rsidRPr="0000369C">
        <w:rPr>
          <w:rFonts w:eastAsia="SimSun"/>
          <w:noProof/>
        </w:rPr>
        <w:t>[127]</w:t>
      </w:r>
      <w:r w:rsidRPr="00EE51B1">
        <w:rPr>
          <w:rFonts w:eastAsia="SimSun"/>
          <w:i/>
          <w:u w:val="single"/>
        </w:rPr>
        <w:fldChar w:fldCharType="end"/>
      </w:r>
      <w:r w:rsidRPr="00EE51B1">
        <w:rPr>
          <w:rFonts w:eastAsia="SimSun"/>
          <w:i/>
          <w:u w:val="single"/>
        </w:rPr>
        <w:t xml:space="preserve">: </w:t>
      </w:r>
    </w:p>
    <w:p w14:paraId="1D3DB282" w14:textId="77777777" w:rsidR="009F7F8A" w:rsidRPr="00C07B2E" w:rsidRDefault="009F7F8A" w:rsidP="009F7F8A">
      <w:pPr>
        <w:ind w:firstLine="709"/>
        <w:rPr>
          <w:rFonts w:eastAsia="SimSun"/>
        </w:rPr>
      </w:pPr>
      <w:r w:rsidRPr="00C07B2E">
        <w:rPr>
          <w:rFonts w:eastAsia="SimSun"/>
        </w:rPr>
        <w:t xml:space="preserve">Этап 1 — рассмотрение медицинской документации, формирование медицинского заключения о необходимости трансплантации костного мозга или гемопоэтических </w:t>
      </w:r>
      <w:r w:rsidRPr="00C07B2E">
        <w:rPr>
          <w:rFonts w:eastAsia="SimSun"/>
        </w:rPr>
        <w:lastRenderedPageBreak/>
        <w:t>стволовых клеток и направление на инициальное типирование (для поиска родственного или неродственного донора) — решение о возможности проведения алло-ТГСК и инициация поиска донора принимается экспертами на трансплантационной комиссии</w:t>
      </w:r>
      <w:r w:rsidRPr="00C07B2E">
        <w:rPr>
          <w:rFonts w:eastAsia="SimSun"/>
          <w:vertAlign w:val="superscript"/>
        </w:rPr>
        <w:t>1</w:t>
      </w:r>
      <w:r w:rsidRPr="00C07B2E">
        <w:rPr>
          <w:rFonts w:eastAsia="SimSun"/>
        </w:rPr>
        <w:t xml:space="preserve">. После получения заключения о наличии показаний для выполнения алло-ТГСК пациент нуждается в проведении дообследования и стратификации рисков по общесоматическому статусу. </w:t>
      </w:r>
    </w:p>
    <w:p w14:paraId="62F5F194" w14:textId="77777777" w:rsidR="009F7F8A" w:rsidRPr="00C07B2E" w:rsidRDefault="009F7F8A" w:rsidP="009F7F8A">
      <w:pPr>
        <w:ind w:firstLine="709"/>
        <w:rPr>
          <w:rFonts w:eastAsia="SimSun"/>
        </w:rPr>
      </w:pPr>
      <w:r w:rsidRPr="00C07B2E">
        <w:rPr>
          <w:rFonts w:eastAsia="SimSun"/>
        </w:rPr>
        <w:t>Этап 2</w:t>
      </w:r>
      <w:r w:rsidRPr="00C07B2E">
        <w:rPr>
          <w:rFonts w:eastAsia="SimSun"/>
          <w:i/>
        </w:rPr>
        <w:t xml:space="preserve"> — </w:t>
      </w:r>
      <w:r w:rsidRPr="00C07B2E">
        <w:rPr>
          <w:rFonts w:eastAsia="SimSun"/>
        </w:rPr>
        <w:t>получение информации о наличии потенциальных доноров (родственных и неродственных).</w:t>
      </w:r>
    </w:p>
    <w:p w14:paraId="10419821" w14:textId="77777777" w:rsidR="009F7F8A" w:rsidRPr="00C07B2E" w:rsidRDefault="009F7F8A" w:rsidP="009F7F8A">
      <w:pPr>
        <w:ind w:firstLine="709"/>
        <w:rPr>
          <w:rFonts w:eastAsia="SimSun"/>
        </w:rPr>
      </w:pPr>
      <w:r w:rsidRPr="00C07B2E">
        <w:rPr>
          <w:rFonts w:eastAsia="SimSun"/>
        </w:rPr>
        <w:t>Этап 3 — поиск донора (родственного или неродственного) завершен, согласована дата донации.</w:t>
      </w:r>
    </w:p>
    <w:p w14:paraId="3F75E9E7" w14:textId="77777777" w:rsidR="009F7F8A" w:rsidRDefault="009F7F8A" w:rsidP="009F7F8A">
      <w:pPr>
        <w:ind w:firstLine="709"/>
        <w:rPr>
          <w:rFonts w:eastAsia="SimSun"/>
        </w:rPr>
      </w:pPr>
      <w:r w:rsidRPr="00C07B2E">
        <w:rPr>
          <w:rFonts w:eastAsia="SimSun"/>
        </w:rPr>
        <w:t>Этап 4 — обсуждение сроков госпитализации пациента в отделение трансплантации костного мозга и обследование перед госпитализацией для выполнения алло-ТГСК — решение и дата госпитализации в отделение трансплантации костного мозга принимаются экспертами на трансплантационной комиссии за 4 нед до планируемой госпитализации.</w:t>
      </w:r>
    </w:p>
    <w:p w14:paraId="299B1A70" w14:textId="77777777" w:rsidR="009F7F8A" w:rsidRDefault="009F7F8A" w:rsidP="009F7F8A">
      <w:pPr>
        <w:rPr>
          <w:rFonts w:eastAsia="SimSun"/>
        </w:rPr>
      </w:pPr>
      <w:bookmarkStart w:id="92" w:name="_Toc44401112"/>
    </w:p>
    <w:p w14:paraId="3E51F428" w14:textId="77777777" w:rsidR="009F7F8A" w:rsidRPr="00EE51B1" w:rsidRDefault="009F7F8A" w:rsidP="009F7F8A">
      <w:pPr>
        <w:rPr>
          <w:rFonts w:eastAsia="SimSun"/>
          <w:b/>
        </w:rPr>
      </w:pPr>
      <w:r w:rsidRPr="00EE51B1">
        <w:rPr>
          <w:rFonts w:eastAsia="SimSun"/>
          <w:b/>
        </w:rPr>
        <w:t>2. Отбор доноров аллогенных ГСК</w:t>
      </w:r>
      <w:bookmarkEnd w:id="92"/>
      <w:r w:rsidRPr="00EE51B1">
        <w:rPr>
          <w:rFonts w:eastAsia="SimSun"/>
          <w:b/>
        </w:rPr>
        <w:t xml:space="preserve"> </w:t>
      </w:r>
    </w:p>
    <w:p w14:paraId="69108895" w14:textId="0286DC46" w:rsidR="009F7F8A" w:rsidRPr="00EE51B1" w:rsidRDefault="009F7F8A" w:rsidP="009F7F8A">
      <w:pPr>
        <w:rPr>
          <w:rFonts w:eastAsia="SimSun"/>
          <w:i/>
          <w:u w:val="single"/>
        </w:rPr>
      </w:pPr>
      <w:bookmarkStart w:id="93" w:name="_Toc44401114"/>
      <w:r w:rsidRPr="00EE51B1">
        <w:rPr>
          <w:rFonts w:eastAsia="SimSun"/>
          <w:i/>
          <w:u w:val="single"/>
        </w:rPr>
        <w:t>Основные критерии по отбору доноров аллогенных ГСК</w:t>
      </w:r>
      <w:bookmarkEnd w:id="93"/>
      <w:r>
        <w:rPr>
          <w:rFonts w:eastAsia="SimSun"/>
          <w:i/>
          <w:u w:val="single"/>
        </w:rPr>
        <w:t xml:space="preserve"> </w:t>
      </w:r>
      <w:r w:rsidRPr="00EE51B1">
        <w:rPr>
          <w:rFonts w:eastAsia="SimSun"/>
          <w:i/>
          <w:u w:val="single"/>
        </w:rPr>
        <w:fldChar w:fldCharType="begin" w:fldLock="1"/>
      </w:r>
      <w:r w:rsidR="0000369C">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[127]","plainTextFormattedCitation":"[127]","previouslyFormattedCitation":"[127]"},"properties":{"noteIndex":0},"schema":"https://github.com/citation-style-language/schema/raw/master/csl-citation.json"}</w:instrText>
      </w:r>
      <w:r w:rsidRPr="00EE51B1">
        <w:rPr>
          <w:rFonts w:eastAsia="SimSun"/>
          <w:i/>
          <w:u w:val="single"/>
        </w:rPr>
        <w:fldChar w:fldCharType="separate"/>
      </w:r>
      <w:r w:rsidR="0000369C" w:rsidRPr="0000369C">
        <w:rPr>
          <w:rFonts w:eastAsia="SimSun"/>
          <w:noProof/>
        </w:rPr>
        <w:t>[127]</w:t>
      </w:r>
      <w:r w:rsidRPr="00EE51B1">
        <w:rPr>
          <w:rFonts w:eastAsia="SimSun"/>
          <w:i/>
          <w:u w:val="single"/>
        </w:rPr>
        <w:fldChar w:fldCharType="end"/>
      </w:r>
      <w:r>
        <w:rPr>
          <w:rFonts w:eastAsia="SimSun"/>
          <w:i/>
          <w:u w:val="single"/>
        </w:rPr>
        <w:t>:</w:t>
      </w:r>
      <w:r w:rsidRPr="00EE51B1">
        <w:rPr>
          <w:rFonts w:eastAsia="SimSun"/>
          <w:i/>
          <w:u w:val="single"/>
        </w:rPr>
        <w:t xml:space="preserve"> </w:t>
      </w:r>
    </w:p>
    <w:p w14:paraId="3A54A51B" w14:textId="77777777" w:rsidR="009F7F8A" w:rsidRPr="003115E7" w:rsidRDefault="009F7F8A" w:rsidP="009F7F8A">
      <w:pPr>
        <w:numPr>
          <w:ilvl w:val="0"/>
          <w:numId w:val="24"/>
        </w:numPr>
        <w:overflowPunct w:val="0"/>
        <w:autoSpaceDE w:val="0"/>
        <w:autoSpaceDN w:val="0"/>
        <w:adjustRightInd w:val="0"/>
        <w:textAlignment w:val="baseline"/>
        <w:rPr>
          <w:rFonts w:eastAsia="SimSun"/>
        </w:rPr>
      </w:pPr>
      <w:r w:rsidRPr="003115E7">
        <w:rPr>
          <w:rFonts w:eastAsia="SimSun"/>
        </w:rPr>
        <w:t xml:space="preserve">Оценка статуса кандидата в доноры согласно определению индекса Карновского и </w:t>
      </w:r>
      <w:r w:rsidRPr="003115E7">
        <w:rPr>
          <w:rFonts w:eastAsia="SimSun"/>
          <w:lang w:val="en-US"/>
        </w:rPr>
        <w:t>ECOG</w:t>
      </w:r>
      <w:r w:rsidRPr="003115E7">
        <w:rPr>
          <w:rFonts w:eastAsia="SimSun"/>
        </w:rPr>
        <w:t>-ВОЗ (приложение Г1).</w:t>
      </w:r>
    </w:p>
    <w:p w14:paraId="5C4EC2A4" w14:textId="77777777" w:rsidR="009F7F8A" w:rsidRPr="00C07B2E" w:rsidRDefault="009F7F8A" w:rsidP="009F7F8A">
      <w:pPr>
        <w:numPr>
          <w:ilvl w:val="0"/>
          <w:numId w:val="24"/>
        </w:numPr>
        <w:overflowPunct w:val="0"/>
        <w:autoSpaceDE w:val="0"/>
        <w:autoSpaceDN w:val="0"/>
        <w:adjustRightInd w:val="0"/>
        <w:textAlignment w:val="baseline"/>
        <w:rPr>
          <w:rFonts w:eastAsia="SimSun"/>
        </w:rPr>
      </w:pPr>
      <w:r w:rsidRPr="00EE51B1">
        <w:rPr>
          <w:rFonts w:eastAsia="SimSun"/>
        </w:rPr>
        <w:t xml:space="preserve">Стандартный возраст кандидата в доноры 18–75 лет. В отдельных случаях в качестве доноров могут выступать несовершеннолетние сиблинги. </w:t>
      </w:r>
      <w:r w:rsidRPr="00C07B2E">
        <w:rPr>
          <w:rFonts w:eastAsia="SimSun"/>
        </w:rPr>
        <w:t>Решение о допуске на донацию в данном случае принимается родителями в соответствии с действующим законадательством РФ.</w:t>
      </w:r>
    </w:p>
    <w:p w14:paraId="548DF281" w14:textId="77777777" w:rsidR="009F7F8A" w:rsidRPr="00C07B2E" w:rsidRDefault="009F7F8A" w:rsidP="009F7F8A">
      <w:pPr>
        <w:numPr>
          <w:ilvl w:val="0"/>
          <w:numId w:val="24"/>
        </w:numPr>
        <w:overflowPunct w:val="0"/>
        <w:autoSpaceDE w:val="0"/>
        <w:autoSpaceDN w:val="0"/>
        <w:adjustRightInd w:val="0"/>
        <w:textAlignment w:val="baseline"/>
        <w:rPr>
          <w:rFonts w:eastAsia="SimSun"/>
        </w:rPr>
      </w:pPr>
      <w:r w:rsidRPr="00C07B2E">
        <w:rPr>
          <w:rFonts w:eastAsia="SimSun"/>
        </w:rPr>
        <w:t xml:space="preserve">Адекватное психологическое состояние (юридическая дееспособность). </w:t>
      </w:r>
    </w:p>
    <w:p w14:paraId="649D3267" w14:textId="77777777" w:rsidR="009F7F8A" w:rsidRPr="00C07B2E" w:rsidRDefault="009F7F8A" w:rsidP="009F7F8A">
      <w:pPr>
        <w:numPr>
          <w:ilvl w:val="0"/>
          <w:numId w:val="24"/>
        </w:numPr>
        <w:overflowPunct w:val="0"/>
        <w:autoSpaceDE w:val="0"/>
        <w:autoSpaceDN w:val="0"/>
        <w:adjustRightInd w:val="0"/>
        <w:textAlignment w:val="baseline"/>
        <w:rPr>
          <w:rFonts w:eastAsia="SimSun"/>
        </w:rPr>
      </w:pPr>
      <w:r w:rsidRPr="00C07B2E">
        <w:rPr>
          <w:rFonts w:eastAsia="SimSun"/>
        </w:rPr>
        <w:t xml:space="preserve">Наличие </w:t>
      </w:r>
      <w:r w:rsidRPr="00C07B2E">
        <w:rPr>
          <w:rFonts w:eastAsia="SimSun"/>
          <w:lang w:val="en-US"/>
        </w:rPr>
        <w:t>HLA</w:t>
      </w:r>
      <w:r w:rsidRPr="00C07B2E">
        <w:rPr>
          <w:rFonts w:eastAsia="SimSun"/>
        </w:rPr>
        <w:t>-типирования: для родственных — не менее чем по средне-низкому разрешению, для неродственных — по высокому разрешению.  Окончательные требования к разрешению типирования остаются на усмотрение трансплатационного центра</w:t>
      </w:r>
      <w:r>
        <w:rPr>
          <w:rFonts w:eastAsia="SimSun"/>
        </w:rPr>
        <w:t>,</w:t>
      </w:r>
      <w:r w:rsidRPr="00C07B2E">
        <w:rPr>
          <w:rFonts w:eastAsia="SimSun"/>
        </w:rPr>
        <w:t xml:space="preserve"> в котором проводится алло-ТГСК. </w:t>
      </w:r>
    </w:p>
    <w:p w14:paraId="7DA376B3" w14:textId="77777777" w:rsidR="009F7F8A" w:rsidRPr="00C07B2E" w:rsidRDefault="009F7F8A" w:rsidP="009F7F8A">
      <w:pPr>
        <w:numPr>
          <w:ilvl w:val="0"/>
          <w:numId w:val="24"/>
        </w:numPr>
        <w:overflowPunct w:val="0"/>
        <w:autoSpaceDE w:val="0"/>
        <w:autoSpaceDN w:val="0"/>
        <w:adjustRightInd w:val="0"/>
        <w:textAlignment w:val="baseline"/>
        <w:rPr>
          <w:rFonts w:eastAsia="SimSun"/>
        </w:rPr>
      </w:pPr>
      <w:r w:rsidRPr="00C07B2E">
        <w:rPr>
          <w:rFonts w:eastAsia="SimSun"/>
        </w:rPr>
        <w:t>Оценка статуса по гемотрансмиссивным инфекциям (ВИЧ, вирусные гепатиты с дополнительными маркерами и ПЦР, сифилис) и герпес-вирусам (</w:t>
      </w:r>
      <w:r w:rsidRPr="00C07B2E">
        <w:rPr>
          <w:rFonts w:eastAsia="SimSun"/>
          <w:lang w:val="en-US"/>
        </w:rPr>
        <w:t>IgG</w:t>
      </w:r>
      <w:r w:rsidRPr="00C07B2E">
        <w:rPr>
          <w:rFonts w:eastAsia="SimSun"/>
        </w:rPr>
        <w:t xml:space="preserve"> и </w:t>
      </w:r>
      <w:r w:rsidRPr="00C07B2E">
        <w:rPr>
          <w:rFonts w:eastAsia="SimSun"/>
          <w:lang w:val="en-US"/>
        </w:rPr>
        <w:t>IgM</w:t>
      </w:r>
      <w:r w:rsidRPr="00C07B2E">
        <w:rPr>
          <w:rFonts w:eastAsia="SimSun"/>
        </w:rPr>
        <w:t xml:space="preserve"> к </w:t>
      </w:r>
      <w:r w:rsidRPr="00C07B2E">
        <w:rPr>
          <w:rFonts w:eastAsia="SimSun"/>
          <w:lang w:val="en-US"/>
        </w:rPr>
        <w:t>CMV</w:t>
      </w:r>
      <w:r w:rsidRPr="00C07B2E">
        <w:rPr>
          <w:rFonts w:eastAsia="SimSun"/>
        </w:rPr>
        <w:t xml:space="preserve">, вирусу Эпштейна—Барр). </w:t>
      </w:r>
    </w:p>
    <w:p w14:paraId="030DB6B4" w14:textId="77777777" w:rsidR="009F7F8A" w:rsidRPr="00C07B2E" w:rsidRDefault="009F7F8A" w:rsidP="009F7F8A">
      <w:pPr>
        <w:numPr>
          <w:ilvl w:val="0"/>
          <w:numId w:val="24"/>
        </w:numPr>
        <w:overflowPunct w:val="0"/>
        <w:autoSpaceDE w:val="0"/>
        <w:autoSpaceDN w:val="0"/>
        <w:adjustRightInd w:val="0"/>
        <w:textAlignment w:val="baseline"/>
        <w:rPr>
          <w:rFonts w:eastAsia="SimSun"/>
        </w:rPr>
      </w:pPr>
      <w:r w:rsidRPr="00C07B2E">
        <w:rPr>
          <w:rFonts w:eastAsia="SimSun"/>
        </w:rPr>
        <w:t>Наличие результатов обследования.</w:t>
      </w:r>
    </w:p>
    <w:p w14:paraId="4026CCAA" w14:textId="77777777" w:rsidR="009F7F8A" w:rsidRDefault="009F7F8A" w:rsidP="009F7F8A">
      <w:pPr>
        <w:rPr>
          <w:rFonts w:eastAsia="SimSun"/>
        </w:rPr>
      </w:pPr>
      <w:bookmarkStart w:id="94" w:name="_Toc44401115"/>
    </w:p>
    <w:p w14:paraId="2B867538" w14:textId="5B6B0DBE" w:rsidR="009F7F8A" w:rsidRPr="00EE51B1" w:rsidRDefault="009F7F8A" w:rsidP="009F7F8A">
      <w:pPr>
        <w:rPr>
          <w:rFonts w:eastAsia="SimSun"/>
          <w:i/>
          <w:u w:val="single"/>
        </w:rPr>
      </w:pPr>
      <w:r w:rsidRPr="00EE51B1">
        <w:rPr>
          <w:rFonts w:eastAsia="SimSun"/>
          <w:i/>
          <w:u w:val="single"/>
        </w:rPr>
        <w:t>Дополнительные критерии по отбору доноров аллогенных ГСК</w:t>
      </w:r>
      <w:bookmarkEnd w:id="94"/>
      <w:r w:rsidRPr="00EE51B1">
        <w:rPr>
          <w:rFonts w:eastAsia="SimSun"/>
          <w:i/>
          <w:u w:val="single"/>
        </w:rPr>
        <w:t xml:space="preserve"> </w:t>
      </w:r>
      <w:r w:rsidRPr="00EE51B1">
        <w:rPr>
          <w:rFonts w:eastAsia="SimSun"/>
          <w:i/>
          <w:u w:val="single"/>
        </w:rPr>
        <w:fldChar w:fldCharType="begin" w:fldLock="1"/>
      </w:r>
      <w:r w:rsidR="0000369C">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[127]","plainTextFormattedCitation":"[127]","previouslyFormattedCitation":"[127]"},"properties":{"noteIndex":0},"schema":"https://github.com/citation-style-language/schema/raw/master/csl-citation.json"}</w:instrText>
      </w:r>
      <w:r w:rsidRPr="00EE51B1">
        <w:rPr>
          <w:rFonts w:eastAsia="SimSun"/>
          <w:i/>
          <w:u w:val="single"/>
        </w:rPr>
        <w:fldChar w:fldCharType="separate"/>
      </w:r>
      <w:r w:rsidR="0000369C" w:rsidRPr="0000369C">
        <w:rPr>
          <w:rFonts w:eastAsia="SimSun"/>
          <w:noProof/>
        </w:rPr>
        <w:t>[127]</w:t>
      </w:r>
      <w:r w:rsidRPr="00EE51B1">
        <w:rPr>
          <w:rFonts w:eastAsia="SimSun"/>
          <w:i/>
          <w:u w:val="single"/>
        </w:rPr>
        <w:fldChar w:fldCharType="end"/>
      </w:r>
      <w:r>
        <w:rPr>
          <w:rFonts w:eastAsia="SimSun"/>
          <w:i/>
          <w:u w:val="single"/>
        </w:rPr>
        <w:t>:</w:t>
      </w:r>
    </w:p>
    <w:p w14:paraId="604BBF8E" w14:textId="77777777" w:rsidR="009F7F8A" w:rsidRPr="00C07B2E" w:rsidRDefault="009F7F8A" w:rsidP="009F7F8A">
      <w:pPr>
        <w:numPr>
          <w:ilvl w:val="0"/>
          <w:numId w:val="25"/>
        </w:numPr>
        <w:overflowPunct w:val="0"/>
        <w:autoSpaceDE w:val="0"/>
        <w:autoSpaceDN w:val="0"/>
        <w:adjustRightInd w:val="0"/>
        <w:textAlignment w:val="baseline"/>
        <w:rPr>
          <w:rFonts w:eastAsia="SimSun"/>
        </w:rPr>
      </w:pPr>
      <w:r w:rsidRPr="00C07B2E">
        <w:rPr>
          <w:rFonts w:eastAsia="SimSun"/>
        </w:rPr>
        <w:lastRenderedPageBreak/>
        <w:t>Информация об инфекционном статусе. Перенесенных заболеваниях в том числе (</w:t>
      </w:r>
      <w:r w:rsidRPr="00C07B2E">
        <w:rPr>
          <w:rFonts w:eastAsia="SimSun"/>
          <w:lang w:val="en-US"/>
        </w:rPr>
        <w:t>COVID</w:t>
      </w:r>
      <w:r w:rsidRPr="00C07B2E">
        <w:rPr>
          <w:rFonts w:eastAsia="SimSun"/>
        </w:rPr>
        <w:t>-19, туберкулезе, вирусных гепатитах)</w:t>
      </w:r>
    </w:p>
    <w:p w14:paraId="55009F19" w14:textId="77777777" w:rsidR="009F7F8A" w:rsidRPr="00C07B2E" w:rsidRDefault="009F7F8A" w:rsidP="009F7F8A">
      <w:pPr>
        <w:numPr>
          <w:ilvl w:val="0"/>
          <w:numId w:val="25"/>
        </w:numPr>
        <w:overflowPunct w:val="0"/>
        <w:autoSpaceDE w:val="0"/>
        <w:autoSpaceDN w:val="0"/>
        <w:adjustRightInd w:val="0"/>
        <w:textAlignment w:val="baseline"/>
        <w:rPr>
          <w:rFonts w:eastAsia="SimSun"/>
        </w:rPr>
      </w:pPr>
      <w:r w:rsidRPr="00C07B2E">
        <w:rPr>
          <w:rFonts w:eastAsia="SimSun"/>
        </w:rPr>
        <w:t>Информация о структурных и врожденных аномалиях, наличии протезированного биоматериала.</w:t>
      </w:r>
    </w:p>
    <w:p w14:paraId="13E46D3C" w14:textId="77777777" w:rsidR="009F7F8A" w:rsidRPr="00C07B2E" w:rsidRDefault="009F7F8A" w:rsidP="009F7F8A">
      <w:pPr>
        <w:numPr>
          <w:ilvl w:val="0"/>
          <w:numId w:val="25"/>
        </w:numPr>
        <w:overflowPunct w:val="0"/>
        <w:autoSpaceDE w:val="0"/>
        <w:autoSpaceDN w:val="0"/>
        <w:adjustRightInd w:val="0"/>
        <w:textAlignment w:val="baseline"/>
        <w:rPr>
          <w:rFonts w:eastAsia="SimSun"/>
        </w:rPr>
      </w:pPr>
      <w:r w:rsidRPr="00C07B2E">
        <w:rPr>
          <w:rFonts w:eastAsia="SimSun"/>
        </w:rPr>
        <w:t>Поездки в страны Юго-Восточной Азии, Африки, Центральной и Южной Америки.</w:t>
      </w:r>
    </w:p>
    <w:p w14:paraId="3D3F4088" w14:textId="77777777" w:rsidR="009F7F8A" w:rsidRPr="00C07B2E" w:rsidRDefault="009F7F8A" w:rsidP="009F7F8A">
      <w:pPr>
        <w:numPr>
          <w:ilvl w:val="0"/>
          <w:numId w:val="25"/>
        </w:numPr>
        <w:overflowPunct w:val="0"/>
        <w:autoSpaceDE w:val="0"/>
        <w:autoSpaceDN w:val="0"/>
        <w:adjustRightInd w:val="0"/>
        <w:textAlignment w:val="baseline"/>
        <w:rPr>
          <w:rFonts w:eastAsia="SimSun"/>
        </w:rPr>
      </w:pPr>
      <w:r w:rsidRPr="00C07B2E">
        <w:rPr>
          <w:rFonts w:eastAsia="SimSun"/>
        </w:rPr>
        <w:t>Информация о наличии хронических заболеваний и их стадии.</w:t>
      </w:r>
    </w:p>
    <w:p w14:paraId="3E9B81EA" w14:textId="77777777" w:rsidR="009F7F8A" w:rsidRPr="00C07B2E" w:rsidRDefault="009F7F8A" w:rsidP="009F7F8A">
      <w:pPr>
        <w:numPr>
          <w:ilvl w:val="0"/>
          <w:numId w:val="25"/>
        </w:numPr>
        <w:overflowPunct w:val="0"/>
        <w:autoSpaceDE w:val="0"/>
        <w:autoSpaceDN w:val="0"/>
        <w:adjustRightInd w:val="0"/>
        <w:textAlignment w:val="baseline"/>
        <w:rPr>
          <w:rFonts w:eastAsia="SimSun"/>
        </w:rPr>
      </w:pPr>
      <w:r w:rsidRPr="00C07B2E">
        <w:rPr>
          <w:rFonts w:eastAsia="SimSun"/>
        </w:rPr>
        <w:t>Информация о лечении зубов, переливании компонентов крови, татуировках в течение как минимум 6 мес до донации.</w:t>
      </w:r>
    </w:p>
    <w:p w14:paraId="6ED3C60C" w14:textId="77777777" w:rsidR="009F7F8A" w:rsidRPr="00C07B2E" w:rsidRDefault="009F7F8A" w:rsidP="009F7F8A">
      <w:pPr>
        <w:numPr>
          <w:ilvl w:val="0"/>
          <w:numId w:val="25"/>
        </w:numPr>
        <w:overflowPunct w:val="0"/>
        <w:autoSpaceDE w:val="0"/>
        <w:autoSpaceDN w:val="0"/>
        <w:adjustRightInd w:val="0"/>
        <w:textAlignment w:val="baseline"/>
        <w:rPr>
          <w:rFonts w:eastAsia="SimSun"/>
        </w:rPr>
      </w:pPr>
      <w:r w:rsidRPr="00C07B2E">
        <w:rPr>
          <w:rFonts w:eastAsia="SimSun"/>
        </w:rPr>
        <w:t>Количество беременностей и родов в анамнезе.</w:t>
      </w:r>
    </w:p>
    <w:p w14:paraId="4D61A49B" w14:textId="77777777" w:rsidR="009F7F8A" w:rsidRPr="00C07B2E" w:rsidRDefault="009F7F8A" w:rsidP="009F7F8A">
      <w:pPr>
        <w:numPr>
          <w:ilvl w:val="0"/>
          <w:numId w:val="25"/>
        </w:numPr>
        <w:overflowPunct w:val="0"/>
        <w:autoSpaceDE w:val="0"/>
        <w:autoSpaceDN w:val="0"/>
        <w:adjustRightInd w:val="0"/>
        <w:textAlignment w:val="baseline"/>
        <w:rPr>
          <w:rFonts w:eastAsia="SimSun"/>
        </w:rPr>
      </w:pPr>
      <w:r w:rsidRPr="00C07B2E">
        <w:rPr>
          <w:rFonts w:eastAsia="SimSun"/>
        </w:rPr>
        <w:t>Вес донора и реципиента — если вес донора составляет менее 50% от веса пациента, то рекомендуется рассмотреть в качестве источника трансплантата СКК.</w:t>
      </w:r>
    </w:p>
    <w:p w14:paraId="35F4BE07" w14:textId="77777777" w:rsidR="009F7F8A" w:rsidRPr="00C07B2E" w:rsidRDefault="009F7F8A" w:rsidP="009F7F8A">
      <w:pPr>
        <w:numPr>
          <w:ilvl w:val="0"/>
          <w:numId w:val="25"/>
        </w:numPr>
        <w:overflowPunct w:val="0"/>
        <w:autoSpaceDE w:val="0"/>
        <w:autoSpaceDN w:val="0"/>
        <w:adjustRightInd w:val="0"/>
        <w:textAlignment w:val="baseline"/>
        <w:rPr>
          <w:rFonts w:eastAsia="SimSun"/>
        </w:rPr>
      </w:pPr>
      <w:r w:rsidRPr="00C07B2E">
        <w:rPr>
          <w:rFonts w:eastAsia="SimSun"/>
        </w:rPr>
        <w:t xml:space="preserve">Нутритивный статус: избыточный вес или дефицит массы тела (на основаниий ИМТ и/или концентрации альбумина в сыворотке крови). </w:t>
      </w:r>
    </w:p>
    <w:p w14:paraId="092AE5B8" w14:textId="77777777" w:rsidR="009F7F8A" w:rsidRPr="00C07B2E" w:rsidRDefault="009F7F8A" w:rsidP="009F7F8A">
      <w:pPr>
        <w:numPr>
          <w:ilvl w:val="0"/>
          <w:numId w:val="25"/>
        </w:numPr>
        <w:overflowPunct w:val="0"/>
        <w:autoSpaceDE w:val="0"/>
        <w:autoSpaceDN w:val="0"/>
        <w:adjustRightInd w:val="0"/>
        <w:textAlignment w:val="baseline"/>
        <w:rPr>
          <w:rFonts w:eastAsia="SimSun"/>
        </w:rPr>
      </w:pPr>
      <w:r w:rsidRPr="00C07B2E">
        <w:rPr>
          <w:rFonts w:eastAsia="SimSun"/>
        </w:rPr>
        <w:t>Оперативные вмешательства в анамнезе</w:t>
      </w:r>
    </w:p>
    <w:p w14:paraId="4DBB68C8" w14:textId="77777777" w:rsidR="009F7F8A" w:rsidRPr="00C07B2E" w:rsidRDefault="009F7F8A" w:rsidP="009F7F8A">
      <w:pPr>
        <w:numPr>
          <w:ilvl w:val="0"/>
          <w:numId w:val="25"/>
        </w:numPr>
        <w:overflowPunct w:val="0"/>
        <w:autoSpaceDE w:val="0"/>
        <w:autoSpaceDN w:val="0"/>
        <w:adjustRightInd w:val="0"/>
        <w:textAlignment w:val="baseline"/>
        <w:rPr>
          <w:rFonts w:eastAsia="SimSun"/>
        </w:rPr>
      </w:pPr>
      <w:r w:rsidRPr="00C07B2E">
        <w:rPr>
          <w:rFonts w:eastAsia="SimSun"/>
        </w:rPr>
        <w:t>Предполагаемая трудная интубация трахеи (для доноров костного мозга)</w:t>
      </w:r>
    </w:p>
    <w:p w14:paraId="29AFAF8D" w14:textId="77777777" w:rsidR="009F7F8A" w:rsidRDefault="009F7F8A" w:rsidP="009F7F8A">
      <w:pPr>
        <w:rPr>
          <w:rFonts w:eastAsia="SimSun"/>
        </w:rPr>
      </w:pPr>
      <w:bookmarkStart w:id="95" w:name="_Toc44401116"/>
    </w:p>
    <w:p w14:paraId="53EE8778" w14:textId="48DCC84D" w:rsidR="009F7F8A" w:rsidRPr="00470D3D" w:rsidRDefault="009F7F8A" w:rsidP="009F7F8A">
      <w:pPr>
        <w:rPr>
          <w:rFonts w:eastAsia="SimSun"/>
          <w:i/>
          <w:u w:val="single"/>
        </w:rPr>
      </w:pPr>
      <w:r w:rsidRPr="00470D3D">
        <w:rPr>
          <w:rFonts w:eastAsia="SimSun"/>
          <w:i/>
          <w:u w:val="single"/>
        </w:rPr>
        <w:t>Противопоказания для донорства</w:t>
      </w:r>
      <w:bookmarkEnd w:id="95"/>
      <w:r>
        <w:rPr>
          <w:rFonts w:eastAsia="SimSun"/>
          <w:i/>
          <w:u w:val="single"/>
        </w:rPr>
        <w:t xml:space="preserve"> </w:t>
      </w:r>
      <w:r w:rsidRPr="00EE51B1">
        <w:rPr>
          <w:rFonts w:eastAsia="SimSun"/>
          <w:i/>
          <w:u w:val="single"/>
        </w:rPr>
        <w:fldChar w:fldCharType="begin" w:fldLock="1"/>
      </w:r>
      <w:r w:rsidR="0000369C">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[127]","plainTextFormattedCitation":"[127]","previouslyFormattedCitation":"[127]"},"properties":{"noteIndex":0},"schema":"https://github.com/citation-style-language/schema/raw/master/csl-citation.json"}</w:instrText>
      </w:r>
      <w:r w:rsidRPr="00EE51B1">
        <w:rPr>
          <w:rFonts w:eastAsia="SimSun"/>
          <w:i/>
          <w:u w:val="single"/>
        </w:rPr>
        <w:fldChar w:fldCharType="separate"/>
      </w:r>
      <w:r w:rsidR="0000369C" w:rsidRPr="0000369C">
        <w:rPr>
          <w:rFonts w:eastAsia="SimSun"/>
          <w:noProof/>
        </w:rPr>
        <w:t>[127]</w:t>
      </w:r>
      <w:r w:rsidRPr="00EE51B1">
        <w:rPr>
          <w:rFonts w:eastAsia="SimSun"/>
          <w:i/>
          <w:u w:val="single"/>
        </w:rPr>
        <w:fldChar w:fldCharType="end"/>
      </w:r>
    </w:p>
    <w:p w14:paraId="00CFD8DF" w14:textId="77777777" w:rsidR="009F7F8A" w:rsidRPr="00C07B2E" w:rsidRDefault="009F7F8A" w:rsidP="009F7F8A">
      <w:pPr>
        <w:ind w:firstLine="709"/>
        <w:rPr>
          <w:rFonts w:eastAsia="SimSun"/>
        </w:rPr>
      </w:pPr>
      <w:r w:rsidRPr="00C07B2E">
        <w:rPr>
          <w:rFonts w:eastAsia="SimSun"/>
        </w:rPr>
        <w:t xml:space="preserve">Медицинские противопоказания для изъятия аллогенного костного мозга и/или забора аллогенных гемопоэтических стволовых клеток в целях их трансплантации являются следующие заболевания (состояния) у донора которые определены Приказом Минздрава России от 12.12.2018 N 875н "Об утверждении Порядка оказания медицинской помощи при заболеваниях (состояниях), для лечения которых применяется трансплантация (пересадка) костного мозга и гемопоэтических стволовых клеток, и внесении изменения в Порядок оказания медицинской помощи по профилю "хирургия (трансплантация органов и (или) тканей человека)", утвержденный приказом Министерства здравоохранения Российской Федерации от 31 октября 2012 г. N 567н" (Зарегистрировано в Минюсте России 09.01.2019 N 53256). </w:t>
      </w:r>
    </w:p>
    <w:p w14:paraId="40BF810F" w14:textId="77777777" w:rsidR="009F7F8A" w:rsidRPr="00C07B2E" w:rsidRDefault="009F7F8A" w:rsidP="009F7F8A">
      <w:pPr>
        <w:rPr>
          <w:rFonts w:eastAsia="SimSun"/>
        </w:rPr>
      </w:pPr>
    </w:p>
    <w:p w14:paraId="0DC6F013" w14:textId="790582C5" w:rsidR="009F7F8A" w:rsidRPr="00470D3D" w:rsidRDefault="009F7F8A" w:rsidP="009F7F8A">
      <w:pPr>
        <w:rPr>
          <w:bCs/>
          <w:i/>
          <w:u w:val="single"/>
        </w:rPr>
      </w:pPr>
      <w:bookmarkStart w:id="96" w:name="_Toc44401117"/>
      <w:r w:rsidRPr="00470D3D">
        <w:rPr>
          <w:bCs/>
          <w:i/>
          <w:u w:val="single"/>
        </w:rPr>
        <w:t>Абсолютные медицинские  противопоказания</w:t>
      </w:r>
      <w:r>
        <w:rPr>
          <w:bCs/>
          <w:i/>
          <w:u w:val="single"/>
        </w:rPr>
        <w:t xml:space="preserve"> </w:t>
      </w:r>
      <w:r w:rsidRPr="00EE51B1">
        <w:rPr>
          <w:rFonts w:eastAsia="SimSun"/>
          <w:i/>
          <w:u w:val="single"/>
        </w:rPr>
        <w:fldChar w:fldCharType="begin" w:fldLock="1"/>
      </w:r>
      <w:r w:rsidR="0000369C">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[127]","plainTextFormattedCitation":"[127]","previouslyFormattedCitation":"[127]"},"properties":{"noteIndex":0},"schema":"https://github.com/citation-style-language/schema/raw/master/csl-citation.json"}</w:instrText>
      </w:r>
      <w:r w:rsidRPr="00EE51B1">
        <w:rPr>
          <w:rFonts w:eastAsia="SimSun"/>
          <w:i/>
          <w:u w:val="single"/>
        </w:rPr>
        <w:fldChar w:fldCharType="separate"/>
      </w:r>
      <w:r w:rsidR="0000369C" w:rsidRPr="0000369C">
        <w:rPr>
          <w:rFonts w:eastAsia="SimSun"/>
          <w:noProof/>
        </w:rPr>
        <w:t>[127]</w:t>
      </w:r>
      <w:r w:rsidRPr="00EE51B1">
        <w:rPr>
          <w:rFonts w:eastAsia="SimSun"/>
          <w:i/>
          <w:u w:val="single"/>
        </w:rPr>
        <w:fldChar w:fldCharType="end"/>
      </w:r>
      <w:r w:rsidRPr="00470D3D">
        <w:rPr>
          <w:bCs/>
          <w:i/>
          <w:u w:val="single"/>
        </w:rPr>
        <w:t>:</w:t>
      </w:r>
      <w:bookmarkEnd w:id="96"/>
      <w:r w:rsidRPr="00470D3D">
        <w:rPr>
          <w:bCs/>
          <w:i/>
          <w:u w:val="single"/>
        </w:rPr>
        <w:t xml:space="preserve"> </w:t>
      </w:r>
    </w:p>
    <w:p w14:paraId="23F4BCC1" w14:textId="77777777" w:rsidR="009F7F8A" w:rsidRPr="00C07B2E" w:rsidRDefault="009F7F8A" w:rsidP="009F7F8A">
      <w:pPr>
        <w:numPr>
          <w:ilvl w:val="0"/>
          <w:numId w:val="26"/>
        </w:numPr>
        <w:overflowPunct w:val="0"/>
        <w:autoSpaceDE w:val="0"/>
        <w:autoSpaceDN w:val="0"/>
        <w:adjustRightInd w:val="0"/>
        <w:textAlignment w:val="baseline"/>
        <w:rPr>
          <w:bCs/>
        </w:rPr>
      </w:pPr>
      <w:r w:rsidRPr="00C07B2E">
        <w:rPr>
          <w:bCs/>
        </w:rPr>
        <w:t>инфекционные заболевания в стадии обострения;</w:t>
      </w:r>
    </w:p>
    <w:p w14:paraId="7EFA0643" w14:textId="77777777" w:rsidR="009F7F8A" w:rsidRPr="00C07B2E" w:rsidRDefault="009F7F8A" w:rsidP="009F7F8A">
      <w:pPr>
        <w:numPr>
          <w:ilvl w:val="0"/>
          <w:numId w:val="26"/>
        </w:numPr>
        <w:overflowPunct w:val="0"/>
        <w:autoSpaceDE w:val="0"/>
        <w:autoSpaceDN w:val="0"/>
        <w:adjustRightInd w:val="0"/>
        <w:textAlignment w:val="baseline"/>
        <w:rPr>
          <w:bCs/>
        </w:rPr>
      </w:pPr>
      <w:r w:rsidRPr="00C07B2E">
        <w:rPr>
          <w:bCs/>
        </w:rPr>
        <w:t>наличие в крови маркеров вируса иммунодефицита человека;</w:t>
      </w:r>
    </w:p>
    <w:p w14:paraId="58CF237C" w14:textId="77777777" w:rsidR="009F7F8A" w:rsidRPr="00C07B2E" w:rsidRDefault="009F7F8A" w:rsidP="009F7F8A">
      <w:pPr>
        <w:numPr>
          <w:ilvl w:val="0"/>
          <w:numId w:val="26"/>
        </w:numPr>
        <w:overflowPunct w:val="0"/>
        <w:autoSpaceDE w:val="0"/>
        <w:autoSpaceDN w:val="0"/>
        <w:adjustRightInd w:val="0"/>
        <w:textAlignment w:val="baseline"/>
        <w:rPr>
          <w:bCs/>
        </w:rPr>
      </w:pPr>
      <w:r w:rsidRPr="00C07B2E">
        <w:rPr>
          <w:bCs/>
        </w:rPr>
        <w:t>болезнь Крейтцфельдта-Якоба в анамнезе;</w:t>
      </w:r>
    </w:p>
    <w:p w14:paraId="1D9142A9" w14:textId="77777777" w:rsidR="009F7F8A" w:rsidRPr="00C07B2E" w:rsidRDefault="009F7F8A" w:rsidP="009F7F8A">
      <w:pPr>
        <w:numPr>
          <w:ilvl w:val="0"/>
          <w:numId w:val="26"/>
        </w:numPr>
        <w:overflowPunct w:val="0"/>
        <w:autoSpaceDE w:val="0"/>
        <w:autoSpaceDN w:val="0"/>
        <w:adjustRightInd w:val="0"/>
        <w:textAlignment w:val="baseline"/>
        <w:rPr>
          <w:bCs/>
        </w:rPr>
      </w:pPr>
      <w:r w:rsidRPr="00C07B2E">
        <w:rPr>
          <w:bCs/>
        </w:rPr>
        <w:lastRenderedPageBreak/>
        <w:t>злокачественные новообразования;</w:t>
      </w:r>
    </w:p>
    <w:p w14:paraId="68B71579" w14:textId="77777777" w:rsidR="009F7F8A" w:rsidRPr="00C07B2E" w:rsidRDefault="009F7F8A" w:rsidP="009F7F8A">
      <w:pPr>
        <w:numPr>
          <w:ilvl w:val="0"/>
          <w:numId w:val="26"/>
        </w:numPr>
        <w:overflowPunct w:val="0"/>
        <w:autoSpaceDE w:val="0"/>
        <w:autoSpaceDN w:val="0"/>
        <w:adjustRightInd w:val="0"/>
        <w:textAlignment w:val="baseline"/>
        <w:rPr>
          <w:bCs/>
        </w:rPr>
      </w:pPr>
      <w:r w:rsidRPr="00C07B2E">
        <w:rPr>
          <w:bCs/>
        </w:rPr>
        <w:t>кахексия;</w:t>
      </w:r>
    </w:p>
    <w:p w14:paraId="52BFB91E" w14:textId="77777777" w:rsidR="009F7F8A" w:rsidRPr="00C07B2E" w:rsidRDefault="009F7F8A" w:rsidP="009F7F8A">
      <w:pPr>
        <w:numPr>
          <w:ilvl w:val="0"/>
          <w:numId w:val="26"/>
        </w:numPr>
        <w:overflowPunct w:val="0"/>
        <w:autoSpaceDE w:val="0"/>
        <w:autoSpaceDN w:val="0"/>
        <w:adjustRightInd w:val="0"/>
        <w:textAlignment w:val="baseline"/>
        <w:rPr>
          <w:bCs/>
        </w:rPr>
      </w:pPr>
      <w:r w:rsidRPr="00C07B2E">
        <w:rPr>
          <w:bCs/>
        </w:rPr>
        <w:t>терапия иммуносупрессивными лекарственными препаратами или иными лекарственными препаратами, которые могут повлиять на способность к самоподдержанию собственной популяции и полипотентность костного мозга и гемопоэтических стволовых клеток (на дату изъятия костного мозга и забора гемопоэтических стволовых клеток и до прекращения приема указанных лекарственных препаратов и восстановления кровяных ростков);</w:t>
      </w:r>
    </w:p>
    <w:p w14:paraId="202D9EE6" w14:textId="77777777" w:rsidR="009F7F8A" w:rsidRPr="00C07B2E" w:rsidRDefault="009F7F8A" w:rsidP="009F7F8A">
      <w:pPr>
        <w:numPr>
          <w:ilvl w:val="0"/>
          <w:numId w:val="26"/>
        </w:numPr>
        <w:overflowPunct w:val="0"/>
        <w:autoSpaceDE w:val="0"/>
        <w:autoSpaceDN w:val="0"/>
        <w:adjustRightInd w:val="0"/>
        <w:textAlignment w:val="baseline"/>
        <w:rPr>
          <w:bCs/>
        </w:rPr>
      </w:pPr>
      <w:r w:rsidRPr="00C07B2E">
        <w:rPr>
          <w:bCs/>
        </w:rPr>
        <w:t>психические расстройства и расстройства поведения в состоянии обострения и (или) представляющие опасность для больного и окружающих;</w:t>
      </w:r>
    </w:p>
    <w:p w14:paraId="11359FB8" w14:textId="77777777" w:rsidR="009F7F8A" w:rsidRPr="00C07B2E" w:rsidRDefault="009F7F8A" w:rsidP="009F7F8A">
      <w:pPr>
        <w:numPr>
          <w:ilvl w:val="0"/>
          <w:numId w:val="26"/>
        </w:numPr>
        <w:overflowPunct w:val="0"/>
        <w:autoSpaceDE w:val="0"/>
        <w:autoSpaceDN w:val="0"/>
        <w:adjustRightInd w:val="0"/>
        <w:textAlignment w:val="baseline"/>
        <w:rPr>
          <w:bCs/>
        </w:rPr>
      </w:pPr>
      <w:r w:rsidRPr="00C07B2E">
        <w:rPr>
          <w:bCs/>
        </w:rPr>
        <w:t>психические расстройства и расстройства поведения, вызванные употреблением психоактивных веществ;</w:t>
      </w:r>
    </w:p>
    <w:p w14:paraId="513D183B" w14:textId="77777777" w:rsidR="009F7F8A" w:rsidRPr="00C07B2E" w:rsidRDefault="009F7F8A" w:rsidP="009F7F8A">
      <w:pPr>
        <w:numPr>
          <w:ilvl w:val="0"/>
          <w:numId w:val="26"/>
        </w:numPr>
        <w:overflowPunct w:val="0"/>
        <w:autoSpaceDE w:val="0"/>
        <w:autoSpaceDN w:val="0"/>
        <w:adjustRightInd w:val="0"/>
        <w:textAlignment w:val="baseline"/>
        <w:rPr>
          <w:bCs/>
        </w:rPr>
      </w:pPr>
      <w:r w:rsidRPr="00C07B2E">
        <w:rPr>
          <w:bCs/>
        </w:rPr>
        <w:t>беременность;</w:t>
      </w:r>
    </w:p>
    <w:p w14:paraId="2FD766BA" w14:textId="77777777" w:rsidR="009F7F8A" w:rsidRPr="00C07B2E" w:rsidRDefault="009F7F8A" w:rsidP="009F7F8A">
      <w:pPr>
        <w:numPr>
          <w:ilvl w:val="0"/>
          <w:numId w:val="26"/>
        </w:numPr>
        <w:overflowPunct w:val="0"/>
        <w:autoSpaceDE w:val="0"/>
        <w:autoSpaceDN w:val="0"/>
        <w:adjustRightInd w:val="0"/>
        <w:textAlignment w:val="baseline"/>
        <w:rPr>
          <w:bCs/>
        </w:rPr>
      </w:pPr>
      <w:r w:rsidRPr="00C07B2E">
        <w:rPr>
          <w:bCs/>
        </w:rPr>
        <w:t>грудное вскармливание</w:t>
      </w:r>
      <w:r w:rsidRPr="00C07B2E">
        <w:rPr>
          <w:bCs/>
          <w:lang w:val="en-US"/>
        </w:rPr>
        <w:t>;</w:t>
      </w:r>
    </w:p>
    <w:p w14:paraId="758CB87F" w14:textId="77777777" w:rsidR="009F7F8A" w:rsidRPr="00C07B2E" w:rsidRDefault="009F7F8A" w:rsidP="009F7F8A">
      <w:pPr>
        <w:numPr>
          <w:ilvl w:val="0"/>
          <w:numId w:val="26"/>
        </w:numPr>
        <w:overflowPunct w:val="0"/>
        <w:autoSpaceDE w:val="0"/>
        <w:autoSpaceDN w:val="0"/>
        <w:adjustRightInd w:val="0"/>
        <w:textAlignment w:val="baseline"/>
        <w:rPr>
          <w:bCs/>
        </w:rPr>
      </w:pPr>
      <w:r w:rsidRPr="00C07B2E">
        <w:rPr>
          <w:bCs/>
        </w:rPr>
        <w:t>отсутствие подписанного донором информированного согласия на забор ГСК или костного мозга</w:t>
      </w:r>
    </w:p>
    <w:p w14:paraId="328ED28E" w14:textId="77777777" w:rsidR="009F7F8A" w:rsidRPr="00C07B2E" w:rsidRDefault="009F7F8A" w:rsidP="009F7F8A">
      <w:pPr>
        <w:rPr>
          <w:rFonts w:eastAsia="SimSun"/>
        </w:rPr>
      </w:pPr>
    </w:p>
    <w:p w14:paraId="2C305326" w14:textId="6C0D99DC" w:rsidR="009F7F8A" w:rsidRPr="00470D3D" w:rsidRDefault="009F7F8A" w:rsidP="009F7F8A">
      <w:pPr>
        <w:rPr>
          <w:rFonts w:eastAsia="SimSun"/>
          <w:i/>
          <w:u w:val="single"/>
        </w:rPr>
      </w:pPr>
      <w:bookmarkStart w:id="97" w:name="_Toc44401118"/>
      <w:r w:rsidRPr="00470D3D">
        <w:rPr>
          <w:rFonts w:eastAsia="SimSun"/>
          <w:i/>
          <w:u w:val="single"/>
        </w:rPr>
        <w:t>Относительные медицинские противопоказания</w:t>
      </w:r>
      <w:r>
        <w:rPr>
          <w:rFonts w:eastAsia="SimSun"/>
          <w:i/>
          <w:u w:val="single"/>
        </w:rPr>
        <w:t xml:space="preserve"> </w:t>
      </w:r>
      <w:r w:rsidRPr="00EE51B1">
        <w:rPr>
          <w:rFonts w:eastAsia="SimSun"/>
          <w:i/>
          <w:u w:val="single"/>
        </w:rPr>
        <w:fldChar w:fldCharType="begin" w:fldLock="1"/>
      </w:r>
      <w:r w:rsidR="0000369C">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[127]","plainTextFormattedCitation":"[127]","previouslyFormattedCitation":"[127]"},"properties":{"noteIndex":0},"schema":"https://github.com/citation-style-language/schema/raw/master/csl-citation.json"}</w:instrText>
      </w:r>
      <w:r w:rsidRPr="00EE51B1">
        <w:rPr>
          <w:rFonts w:eastAsia="SimSun"/>
          <w:i/>
          <w:u w:val="single"/>
        </w:rPr>
        <w:fldChar w:fldCharType="separate"/>
      </w:r>
      <w:r w:rsidR="0000369C" w:rsidRPr="0000369C">
        <w:rPr>
          <w:rFonts w:eastAsia="SimSun"/>
          <w:noProof/>
        </w:rPr>
        <w:t>[127]</w:t>
      </w:r>
      <w:r w:rsidRPr="00EE51B1">
        <w:rPr>
          <w:rFonts w:eastAsia="SimSun"/>
          <w:i/>
          <w:u w:val="single"/>
        </w:rPr>
        <w:fldChar w:fldCharType="end"/>
      </w:r>
      <w:r w:rsidRPr="00470D3D">
        <w:rPr>
          <w:rFonts w:eastAsia="SimSun"/>
          <w:i/>
          <w:u w:val="single"/>
        </w:rPr>
        <w:t>:</w:t>
      </w:r>
      <w:bookmarkEnd w:id="97"/>
    </w:p>
    <w:p w14:paraId="54F2B02C" w14:textId="77777777" w:rsidR="009F7F8A" w:rsidRPr="00C07B2E" w:rsidRDefault="009F7F8A" w:rsidP="009F7F8A">
      <w:pPr>
        <w:numPr>
          <w:ilvl w:val="0"/>
          <w:numId w:val="27"/>
        </w:numPr>
        <w:overflowPunct w:val="0"/>
        <w:autoSpaceDE w:val="0"/>
        <w:autoSpaceDN w:val="0"/>
        <w:adjustRightInd w:val="0"/>
        <w:textAlignment w:val="baseline"/>
        <w:rPr>
          <w:rFonts w:eastAsia="SimSun"/>
        </w:rPr>
      </w:pPr>
      <w:r w:rsidRPr="00C07B2E">
        <w:rPr>
          <w:rFonts w:eastAsia="SimSun"/>
        </w:rPr>
        <w:t>наличие инфекционных заболеваний вне обострения или инфекционные заболевания в анамнезе, в том числе выявление маркеров вирусов гепатитов (за исключением перенесенного гепатита A в анамнезе), сифилиса;</w:t>
      </w:r>
    </w:p>
    <w:p w14:paraId="7D5D59E1" w14:textId="77777777" w:rsidR="009F7F8A" w:rsidRPr="00C07B2E" w:rsidRDefault="009F7F8A" w:rsidP="009F7F8A">
      <w:pPr>
        <w:numPr>
          <w:ilvl w:val="0"/>
          <w:numId w:val="27"/>
        </w:numPr>
        <w:overflowPunct w:val="0"/>
        <w:autoSpaceDE w:val="0"/>
        <w:autoSpaceDN w:val="0"/>
        <w:adjustRightInd w:val="0"/>
        <w:textAlignment w:val="baseline"/>
        <w:rPr>
          <w:rFonts w:eastAsia="SimSun"/>
        </w:rPr>
      </w:pPr>
      <w:r w:rsidRPr="00C07B2E">
        <w:rPr>
          <w:rFonts w:eastAsia="SimSun"/>
        </w:rPr>
        <w:t>доброкачественные новообразования;</w:t>
      </w:r>
    </w:p>
    <w:p w14:paraId="014DFB09" w14:textId="77777777" w:rsidR="009F7F8A" w:rsidRPr="00C07B2E" w:rsidRDefault="009F7F8A" w:rsidP="009F7F8A">
      <w:pPr>
        <w:numPr>
          <w:ilvl w:val="0"/>
          <w:numId w:val="27"/>
        </w:numPr>
        <w:overflowPunct w:val="0"/>
        <w:autoSpaceDE w:val="0"/>
        <w:autoSpaceDN w:val="0"/>
        <w:adjustRightInd w:val="0"/>
        <w:textAlignment w:val="baseline"/>
        <w:rPr>
          <w:rFonts w:eastAsia="SimSun"/>
        </w:rPr>
      </w:pPr>
      <w:r w:rsidRPr="00C07B2E">
        <w:rPr>
          <w:rFonts w:eastAsia="SimSun"/>
        </w:rPr>
        <w:t>нарушения здоровья, связанные с нарушением двигательных функций, болезнями системы кровообращения, болезнями органов пищеварения и органов дыхания, болезнями мочеполовой системы, болезнями эндокринной системы, болезнями крови, кроветворных органов и отдельными нарушениями, вовлекающими иммунный механизм, психическими расстройствами и сопровождающиеся стойким расстройством функций организма;</w:t>
      </w:r>
    </w:p>
    <w:p w14:paraId="27A44A22" w14:textId="77777777" w:rsidR="009F7F8A" w:rsidRPr="00C07B2E" w:rsidRDefault="009F7F8A" w:rsidP="009F7F8A">
      <w:pPr>
        <w:numPr>
          <w:ilvl w:val="0"/>
          <w:numId w:val="27"/>
        </w:numPr>
        <w:overflowPunct w:val="0"/>
        <w:autoSpaceDE w:val="0"/>
        <w:autoSpaceDN w:val="0"/>
        <w:adjustRightInd w:val="0"/>
        <w:textAlignment w:val="baseline"/>
        <w:rPr>
          <w:rFonts w:eastAsia="SimSun"/>
        </w:rPr>
      </w:pPr>
      <w:r w:rsidRPr="00C07B2E">
        <w:rPr>
          <w:rFonts w:eastAsia="SimSun"/>
        </w:rPr>
        <w:t>При наличии у донора относительных медицинских противопоказаний для изъятия костного мозга и забора гемопоэтических стволовых клеток решение об изъятии костного мозга или заборе гемопоэтических стволовых клеток принимается консилиумом врачей медицинской организации, осуществляющей трансплантацию.</w:t>
      </w:r>
    </w:p>
    <w:p w14:paraId="64BCC73A" w14:textId="77777777" w:rsidR="009F7F8A" w:rsidRPr="00C07B2E" w:rsidRDefault="009F7F8A" w:rsidP="009F7F8A">
      <w:pPr>
        <w:rPr>
          <w:rFonts w:eastAsia="SimSun"/>
        </w:rPr>
      </w:pPr>
    </w:p>
    <w:p w14:paraId="3933EF59" w14:textId="77777777" w:rsidR="009F7F8A" w:rsidRPr="00470D3D" w:rsidRDefault="009F7F8A" w:rsidP="009F7F8A">
      <w:pPr>
        <w:rPr>
          <w:rFonts w:eastAsia="SimSun"/>
          <w:i/>
          <w:u w:val="single"/>
        </w:rPr>
      </w:pPr>
      <w:bookmarkStart w:id="98" w:name="_Toc44401119"/>
      <w:r w:rsidRPr="00470D3D">
        <w:rPr>
          <w:rFonts w:eastAsia="SimSun"/>
          <w:i/>
          <w:u w:val="single"/>
        </w:rPr>
        <w:t>Особые случаи:</w:t>
      </w:r>
      <w:bookmarkEnd w:id="98"/>
    </w:p>
    <w:p w14:paraId="18720173" w14:textId="77777777" w:rsidR="009F7F8A" w:rsidRPr="00C07B2E" w:rsidRDefault="009F7F8A" w:rsidP="009F7F8A">
      <w:pPr>
        <w:ind w:firstLine="709"/>
        <w:rPr>
          <w:rFonts w:eastAsia="SimSun"/>
        </w:rPr>
      </w:pPr>
      <w:r w:rsidRPr="00C07B2E">
        <w:rPr>
          <w:rFonts w:eastAsia="SimSun"/>
        </w:rPr>
        <w:lastRenderedPageBreak/>
        <w:t>Допускается изъятие костного мозга и забор гемопоэтических стволовых у родственного донора, у которого выявлены маркеры вирусов гепатитов (за исключением перенесенного гепатита A в анамнезе), сифилиса, в случае невозможности подбора другого совместимого донора при соблюдении одновременно следующих условий:</w:t>
      </w:r>
    </w:p>
    <w:p w14:paraId="68AE63A1" w14:textId="77777777" w:rsidR="009F7F8A" w:rsidRPr="00C07B2E" w:rsidRDefault="009F7F8A" w:rsidP="009F7F8A">
      <w:pPr>
        <w:numPr>
          <w:ilvl w:val="0"/>
          <w:numId w:val="28"/>
        </w:numPr>
        <w:overflowPunct w:val="0"/>
        <w:autoSpaceDE w:val="0"/>
        <w:autoSpaceDN w:val="0"/>
        <w:adjustRightInd w:val="0"/>
        <w:textAlignment w:val="baseline"/>
        <w:rPr>
          <w:rFonts w:eastAsia="SimSun"/>
        </w:rPr>
      </w:pPr>
      <w:r w:rsidRPr="00C07B2E">
        <w:rPr>
          <w:rFonts w:eastAsia="SimSun"/>
        </w:rPr>
        <w:t>предварительное проведение этиотропного и симптоматического лечения вирусных гепатитов (за исключением перенесенного гепатита A в анамнезе), сифилиса;</w:t>
      </w:r>
    </w:p>
    <w:p w14:paraId="053102F0" w14:textId="77777777" w:rsidR="009F7F8A" w:rsidRPr="00C07B2E" w:rsidRDefault="009F7F8A" w:rsidP="009F7F8A">
      <w:pPr>
        <w:numPr>
          <w:ilvl w:val="0"/>
          <w:numId w:val="28"/>
        </w:numPr>
        <w:overflowPunct w:val="0"/>
        <w:autoSpaceDE w:val="0"/>
        <w:autoSpaceDN w:val="0"/>
        <w:adjustRightInd w:val="0"/>
        <w:textAlignment w:val="baseline"/>
        <w:rPr>
          <w:rFonts w:eastAsia="SimSun"/>
        </w:rPr>
      </w:pPr>
      <w:r w:rsidRPr="00C07B2E">
        <w:rPr>
          <w:rFonts w:eastAsia="SimSun"/>
        </w:rPr>
        <w:t>наличие информированного добровольного согласия пациента (реципиента) на медицинское вмешательство с указанием сведений о том, что забор костного мозга и гемопоэтических стволовых клеток будет осуществляться у донора, у которого выявлены маркеры вирусов гепатитов (за исключением перенесенного гепатита A в анамнезе), сифилиса.</w:t>
      </w:r>
    </w:p>
    <w:p w14:paraId="444A76CC" w14:textId="77777777" w:rsidR="009F7F8A" w:rsidRPr="00470D3D" w:rsidRDefault="009F7F8A" w:rsidP="009F7F8A">
      <w:pPr>
        <w:rPr>
          <w:rFonts w:eastAsia="SimSun"/>
        </w:rPr>
      </w:pPr>
    </w:p>
    <w:p w14:paraId="77BC4021" w14:textId="2AC8FF91" w:rsidR="009F7F8A" w:rsidRPr="00470D3D" w:rsidRDefault="009F7F8A" w:rsidP="009F7F8A">
      <w:pPr>
        <w:rPr>
          <w:rFonts w:eastAsia="SimSun"/>
          <w:i/>
          <w:u w:val="single"/>
        </w:rPr>
      </w:pPr>
      <w:bookmarkStart w:id="99" w:name="_Toc44401125"/>
      <w:r w:rsidRPr="00470D3D">
        <w:rPr>
          <w:rFonts w:eastAsia="SimSun"/>
          <w:i/>
          <w:u w:val="single"/>
        </w:rPr>
        <w:t>Список лабораторных и инструментальных исследований для обследования кандидатов в доноры</w:t>
      </w:r>
      <w:bookmarkEnd w:id="99"/>
      <w:r w:rsidRPr="00470D3D">
        <w:rPr>
          <w:rFonts w:eastAsia="SimSun"/>
          <w:i/>
          <w:u w:val="single"/>
        </w:rPr>
        <w:t xml:space="preserve"> </w:t>
      </w:r>
      <w:r w:rsidRPr="00470D3D">
        <w:rPr>
          <w:rFonts w:eastAsia="SimSun"/>
          <w:i/>
          <w:u w:val="single"/>
        </w:rPr>
        <w:fldChar w:fldCharType="begin" w:fldLock="1"/>
      </w:r>
      <w:r w:rsidR="0000369C">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[127]","plainTextFormattedCitation":"[127]","previouslyFormattedCitation":"[127]"},"properties":{"noteIndex":0},"schema":"https://github.com/citation-style-language/schema/raw/master/csl-citation.json"}</w:instrText>
      </w:r>
      <w:r w:rsidRPr="00470D3D">
        <w:rPr>
          <w:rFonts w:eastAsia="SimSun"/>
          <w:i/>
          <w:u w:val="single"/>
        </w:rPr>
        <w:fldChar w:fldCharType="separate"/>
      </w:r>
      <w:r w:rsidR="0000369C" w:rsidRPr="0000369C">
        <w:rPr>
          <w:rFonts w:eastAsia="SimSun"/>
          <w:noProof/>
        </w:rPr>
        <w:t>[127]</w:t>
      </w:r>
      <w:r w:rsidRPr="00470D3D">
        <w:rPr>
          <w:rFonts w:eastAsia="SimSun"/>
          <w:i/>
          <w:u w:val="single"/>
        </w:rPr>
        <w:fldChar w:fldCharType="end"/>
      </w:r>
      <w:r>
        <w:rPr>
          <w:rFonts w:eastAsia="SimSun"/>
          <w:i/>
          <w:u w:val="single"/>
        </w:rPr>
        <w:t>:</w:t>
      </w:r>
    </w:p>
    <w:p w14:paraId="0BF531E5" w14:textId="77777777" w:rsidR="009F7F8A" w:rsidRPr="007467D6" w:rsidRDefault="009F7F8A" w:rsidP="009F7F8A">
      <w:pPr>
        <w:pStyle w:val="afe"/>
        <w:numPr>
          <w:ilvl w:val="0"/>
          <w:numId w:val="31"/>
        </w:numPr>
        <w:rPr>
          <w:rFonts w:eastAsia="SimSun"/>
        </w:rPr>
      </w:pPr>
      <w:r w:rsidRPr="007467D6">
        <w:rPr>
          <w:rFonts w:eastAsia="SimSun"/>
        </w:rPr>
        <w:t>Общеклинический анализ крови (включая подсчет тромбоцитов)</w:t>
      </w:r>
    </w:p>
    <w:p w14:paraId="5887D410" w14:textId="77777777" w:rsidR="009F7F8A" w:rsidRPr="007467D6" w:rsidRDefault="009F7F8A" w:rsidP="009F7F8A">
      <w:pPr>
        <w:pStyle w:val="afe"/>
        <w:numPr>
          <w:ilvl w:val="0"/>
          <w:numId w:val="31"/>
        </w:numPr>
        <w:rPr>
          <w:rFonts w:eastAsia="SimSun"/>
        </w:rPr>
      </w:pPr>
      <w:r w:rsidRPr="007467D6">
        <w:rPr>
          <w:rFonts w:eastAsia="SimSun"/>
        </w:rPr>
        <w:t>Биохимический анализ крови (общий белок, альбумин, глобулин, общий холестерин, мочевая кислота, креатинин (расчет клиренса креатитнина — см. приложение 3), мочевина, билирубин и его фракции, АЛТ, АСТ, ЩФ, ГГТП, ЛДГ, сывороточное железо).</w:t>
      </w:r>
    </w:p>
    <w:p w14:paraId="6DDF5AA7" w14:textId="77777777" w:rsidR="009F7F8A" w:rsidRPr="007467D6" w:rsidRDefault="009F7F8A" w:rsidP="009F7F8A">
      <w:pPr>
        <w:pStyle w:val="afe"/>
        <w:numPr>
          <w:ilvl w:val="0"/>
          <w:numId w:val="31"/>
        </w:numPr>
        <w:rPr>
          <w:rFonts w:eastAsia="SimSun"/>
        </w:rPr>
      </w:pPr>
      <w:r w:rsidRPr="007467D6">
        <w:rPr>
          <w:rFonts w:eastAsia="SimSun"/>
        </w:rPr>
        <w:t>Коагулограмма (АЧТВ, фибриноген, ПТИ по Квику, МНО).</w:t>
      </w:r>
    </w:p>
    <w:p w14:paraId="2CA5A7A3" w14:textId="77777777" w:rsidR="009F7F8A" w:rsidRPr="007467D6" w:rsidRDefault="009F7F8A" w:rsidP="009F7F8A">
      <w:pPr>
        <w:pStyle w:val="afe"/>
        <w:numPr>
          <w:ilvl w:val="0"/>
          <w:numId w:val="31"/>
        </w:numPr>
        <w:rPr>
          <w:rFonts w:eastAsia="SimSun"/>
        </w:rPr>
      </w:pPr>
      <w:r w:rsidRPr="007467D6">
        <w:rPr>
          <w:rFonts w:eastAsia="SimSun"/>
        </w:rPr>
        <w:t>Глюкоза венозной крови натощак.</w:t>
      </w:r>
    </w:p>
    <w:p w14:paraId="6A1CF280" w14:textId="77777777" w:rsidR="009F7F8A" w:rsidRPr="007467D6" w:rsidRDefault="009F7F8A" w:rsidP="009F7F8A">
      <w:pPr>
        <w:pStyle w:val="afe"/>
        <w:numPr>
          <w:ilvl w:val="0"/>
          <w:numId w:val="31"/>
        </w:numPr>
        <w:rPr>
          <w:rFonts w:eastAsia="SimSun"/>
        </w:rPr>
      </w:pPr>
      <w:r w:rsidRPr="007467D6">
        <w:rPr>
          <w:rFonts w:eastAsia="SimSun"/>
        </w:rPr>
        <w:t>Общий анализ мочи.</w:t>
      </w:r>
    </w:p>
    <w:p w14:paraId="739013FB" w14:textId="77777777" w:rsidR="009F7F8A" w:rsidRPr="007467D6" w:rsidRDefault="009F7F8A" w:rsidP="009F7F8A">
      <w:pPr>
        <w:pStyle w:val="afe"/>
        <w:numPr>
          <w:ilvl w:val="0"/>
          <w:numId w:val="31"/>
        </w:numPr>
        <w:rPr>
          <w:rFonts w:eastAsia="SimSun"/>
        </w:rPr>
      </w:pPr>
      <w:r w:rsidRPr="007467D6">
        <w:rPr>
          <w:rFonts w:eastAsia="SimSun"/>
        </w:rPr>
        <w:t>Серологические исследования гемотрансмиссивных инфекций (антитела к ВИЧ, HB</w:t>
      </w:r>
      <w:r w:rsidRPr="007467D6">
        <w:rPr>
          <w:rFonts w:eastAsia="SimSun"/>
          <w:lang w:val="en-US"/>
        </w:rPr>
        <w:t>sAg</w:t>
      </w:r>
      <w:r w:rsidRPr="007467D6">
        <w:rPr>
          <w:rFonts w:eastAsia="SimSun"/>
        </w:rPr>
        <w:t xml:space="preserve"> качественно, антитела к HB</w:t>
      </w:r>
      <w:r w:rsidRPr="007467D6">
        <w:rPr>
          <w:rFonts w:eastAsia="SimSun"/>
          <w:lang w:val="en-US"/>
        </w:rPr>
        <w:t>sAg</w:t>
      </w:r>
      <w:r w:rsidRPr="007467D6">
        <w:rPr>
          <w:rFonts w:eastAsia="SimSun"/>
        </w:rPr>
        <w:t xml:space="preserve"> качественно и количественно, анти-НВсоr качественно, </w:t>
      </w:r>
      <w:r w:rsidRPr="007467D6">
        <w:rPr>
          <w:rFonts w:eastAsia="SimSun"/>
          <w:lang w:val="en-US"/>
        </w:rPr>
        <w:t>HBeAg</w:t>
      </w:r>
      <w:r w:rsidRPr="007467D6">
        <w:rPr>
          <w:rFonts w:eastAsia="SimSun"/>
        </w:rPr>
        <w:t xml:space="preserve"> качественно, анти-</w:t>
      </w:r>
      <w:r w:rsidRPr="007467D6">
        <w:rPr>
          <w:rFonts w:eastAsia="SimSun"/>
          <w:lang w:val="en-US"/>
        </w:rPr>
        <w:t>HBeAg</w:t>
      </w:r>
      <w:r w:rsidRPr="007467D6">
        <w:rPr>
          <w:rFonts w:eastAsia="SimSun"/>
        </w:rPr>
        <w:t>, на сифилис).</w:t>
      </w:r>
    </w:p>
    <w:p w14:paraId="795B6B35" w14:textId="77777777" w:rsidR="009F7F8A" w:rsidRPr="007467D6" w:rsidRDefault="009F7F8A" w:rsidP="009F7F8A">
      <w:pPr>
        <w:pStyle w:val="afe"/>
        <w:numPr>
          <w:ilvl w:val="0"/>
          <w:numId w:val="31"/>
        </w:numPr>
        <w:rPr>
          <w:rFonts w:eastAsia="SimSun"/>
        </w:rPr>
      </w:pPr>
      <w:r w:rsidRPr="007467D6">
        <w:rPr>
          <w:rFonts w:eastAsia="SimSun"/>
        </w:rPr>
        <w:t>Серологические исследования герпесвирусных инфекций (</w:t>
      </w:r>
      <w:r w:rsidRPr="007467D6">
        <w:rPr>
          <w:rFonts w:eastAsia="SimSun"/>
          <w:lang w:val="en-US"/>
        </w:rPr>
        <w:t>CMV</w:t>
      </w:r>
      <w:r w:rsidRPr="007467D6">
        <w:rPr>
          <w:rFonts w:eastAsia="SimSun"/>
        </w:rPr>
        <w:t>, Эпштейна—Барр, вирус герпеса человека 1 и 6-го типа).</w:t>
      </w:r>
    </w:p>
    <w:p w14:paraId="432CC72A" w14:textId="77777777" w:rsidR="009F7F8A" w:rsidRPr="007467D6" w:rsidRDefault="009F7F8A" w:rsidP="009F7F8A">
      <w:pPr>
        <w:pStyle w:val="afe"/>
        <w:numPr>
          <w:ilvl w:val="0"/>
          <w:numId w:val="31"/>
        </w:numPr>
        <w:rPr>
          <w:rFonts w:eastAsia="SimSun"/>
        </w:rPr>
      </w:pPr>
      <w:r w:rsidRPr="007467D6">
        <w:rPr>
          <w:rFonts w:eastAsia="SimSun"/>
        </w:rPr>
        <w:t>Определение ДНК вируса гепатита В и РНК вируса гепатита С с помощью ПЦР.</w:t>
      </w:r>
    </w:p>
    <w:p w14:paraId="27E17A4A" w14:textId="77777777" w:rsidR="009F7F8A" w:rsidRPr="007467D6" w:rsidRDefault="009F7F8A" w:rsidP="009F7F8A">
      <w:pPr>
        <w:pStyle w:val="afe"/>
        <w:numPr>
          <w:ilvl w:val="0"/>
          <w:numId w:val="31"/>
        </w:numPr>
        <w:rPr>
          <w:rFonts w:eastAsia="SimSun"/>
        </w:rPr>
      </w:pPr>
      <w:r w:rsidRPr="007467D6">
        <w:rPr>
          <w:rFonts w:eastAsia="SimSun"/>
        </w:rPr>
        <w:t>ЭКГ, по показаниям — трансторакальная ЭхоКГ, холтеровский мониторинг ЭКГ и др.Рентгенография органов грудной клетки, по показаниям — КТ органов грудной клетки и др.</w:t>
      </w:r>
    </w:p>
    <w:p w14:paraId="101D2F2B" w14:textId="77777777" w:rsidR="009F7F8A" w:rsidRPr="007467D6" w:rsidRDefault="009F7F8A" w:rsidP="009F7F8A">
      <w:pPr>
        <w:pStyle w:val="afe"/>
        <w:numPr>
          <w:ilvl w:val="0"/>
          <w:numId w:val="31"/>
        </w:numPr>
        <w:rPr>
          <w:rFonts w:eastAsia="SimSun"/>
        </w:rPr>
      </w:pPr>
      <w:r w:rsidRPr="007467D6">
        <w:rPr>
          <w:rFonts w:eastAsia="SimSun"/>
        </w:rPr>
        <w:t xml:space="preserve">УЗИ органов брюшной полости (по показаниям). </w:t>
      </w:r>
    </w:p>
    <w:p w14:paraId="4AA746A2" w14:textId="77777777" w:rsidR="009F7F8A" w:rsidRDefault="009F7F8A" w:rsidP="009F7F8A">
      <w:pPr>
        <w:rPr>
          <w:rFonts w:eastAsia="SimSun"/>
        </w:rPr>
      </w:pPr>
      <w:bookmarkStart w:id="100" w:name="_Toc44401126"/>
    </w:p>
    <w:p w14:paraId="0E4D8FAB" w14:textId="77777777" w:rsidR="009F7F8A" w:rsidRPr="00470D3D" w:rsidRDefault="009F7F8A" w:rsidP="009F7F8A">
      <w:pPr>
        <w:rPr>
          <w:rFonts w:eastAsia="SimSun"/>
          <w:b/>
        </w:rPr>
      </w:pPr>
      <w:r>
        <w:rPr>
          <w:rFonts w:eastAsia="SimSun"/>
          <w:b/>
        </w:rPr>
        <w:lastRenderedPageBreak/>
        <w:t>3</w:t>
      </w:r>
      <w:r w:rsidRPr="00470D3D">
        <w:rPr>
          <w:rFonts w:eastAsia="SimSun"/>
          <w:b/>
        </w:rPr>
        <w:t>. Протокол подготовки к инфузии и  инфузии аллогенных гемопоэтических стволовых клеток</w:t>
      </w:r>
      <w:bookmarkEnd w:id="100"/>
    </w:p>
    <w:p w14:paraId="508D4C4A" w14:textId="77777777" w:rsidR="009F7F8A" w:rsidRPr="00E87507" w:rsidRDefault="009F7F8A" w:rsidP="009F7F8A">
      <w:pPr>
        <w:rPr>
          <w:rFonts w:eastAsia="SimSun"/>
          <w:i/>
          <w:u w:val="single"/>
        </w:rPr>
      </w:pPr>
      <w:bookmarkStart w:id="101" w:name="_Toc44401128"/>
      <w:r w:rsidRPr="00E87507">
        <w:rPr>
          <w:rFonts w:eastAsia="SimSun"/>
          <w:i/>
          <w:u w:val="single"/>
        </w:rPr>
        <w:t>Установка ЦВК</w:t>
      </w:r>
      <w:bookmarkEnd w:id="101"/>
    </w:p>
    <w:p w14:paraId="57B4A36D" w14:textId="77777777" w:rsidR="009F7F8A" w:rsidRPr="00C07B2E" w:rsidRDefault="009F7F8A" w:rsidP="009F7F8A">
      <w:pPr>
        <w:ind w:firstLine="709"/>
        <w:rPr>
          <w:rFonts w:eastAsia="SimSun"/>
        </w:rPr>
      </w:pPr>
      <w:r w:rsidRPr="00C07B2E">
        <w:rPr>
          <w:rFonts w:eastAsia="SimSun"/>
        </w:rPr>
        <w:t xml:space="preserve">Перед началом кондиционирования больному устанавливают двух- или трехходовой ЦВК в подключичную вену (или во внутреннюю яремную, в наружную яремную вену). </w:t>
      </w:r>
    </w:p>
    <w:p w14:paraId="47EE5FB1" w14:textId="77777777" w:rsidR="009F7F8A" w:rsidRDefault="009F7F8A" w:rsidP="009F7F8A">
      <w:pPr>
        <w:rPr>
          <w:rFonts w:eastAsia="SimSun"/>
        </w:rPr>
      </w:pPr>
      <w:bookmarkStart w:id="102" w:name="_Toc44401129"/>
    </w:p>
    <w:p w14:paraId="1ED9F400" w14:textId="77777777" w:rsidR="009F7F8A" w:rsidRPr="00E87507" w:rsidRDefault="009F7F8A" w:rsidP="009F7F8A">
      <w:pPr>
        <w:rPr>
          <w:rFonts w:eastAsia="SimSun"/>
          <w:i/>
          <w:u w:val="single"/>
        </w:rPr>
      </w:pPr>
      <w:r w:rsidRPr="00E87507">
        <w:rPr>
          <w:rFonts w:eastAsia="SimSun"/>
          <w:i/>
          <w:u w:val="single"/>
        </w:rPr>
        <w:t>Порядок отсчета дней до и после алло-ТГСК</w:t>
      </w:r>
      <w:bookmarkEnd w:id="102"/>
    </w:p>
    <w:p w14:paraId="2A7270A7" w14:textId="77777777" w:rsidR="009F7F8A" w:rsidRPr="00C07B2E" w:rsidRDefault="009F7F8A" w:rsidP="009F7F8A">
      <w:pPr>
        <w:ind w:firstLine="709"/>
        <w:rPr>
          <w:rFonts w:eastAsia="SimSun"/>
        </w:rPr>
      </w:pPr>
      <w:r w:rsidRPr="00C07B2E">
        <w:rPr>
          <w:rFonts w:eastAsia="SimSun"/>
        </w:rPr>
        <w:t>Днем отсчета считается дата трансплантации. Она обозначается как «день 0», «Д0», «0 день ТГСК» или просто «0». От дня начала кондиционирования до дня инфузии ГСК (первого из дней инфузии ГСК) ведут обратный счет дней. Например: дата алло-ТГСК — 5 января, день «–1» — это 4 января и т. д. В случае если дата следует после алло-ТГСК, то перед ней ставится знак «+». Например: дата алло-ТГСК — 7 декабря, день «+1» — это 8 декабря. Счет ведется до конца жизни пациента, или до следующей ТКМ.</w:t>
      </w:r>
    </w:p>
    <w:p w14:paraId="0358898B" w14:textId="77777777" w:rsidR="009F7F8A" w:rsidRDefault="009F7F8A" w:rsidP="009F7F8A">
      <w:pPr>
        <w:rPr>
          <w:rFonts w:eastAsia="SimSun"/>
        </w:rPr>
      </w:pPr>
      <w:bookmarkStart w:id="103" w:name="_Toc44401130"/>
    </w:p>
    <w:p w14:paraId="76A148EC" w14:textId="77777777" w:rsidR="009F7F8A" w:rsidRPr="00E87507" w:rsidRDefault="009F7F8A" w:rsidP="009F7F8A">
      <w:pPr>
        <w:rPr>
          <w:rFonts w:eastAsia="SimSun"/>
          <w:i/>
          <w:u w:val="single"/>
        </w:rPr>
      </w:pPr>
      <w:r w:rsidRPr="00E87507">
        <w:rPr>
          <w:rFonts w:eastAsia="SimSun"/>
          <w:i/>
          <w:u w:val="single"/>
        </w:rPr>
        <w:t>Подготовка к инфузии ГСК</w:t>
      </w:r>
      <w:bookmarkEnd w:id="103"/>
    </w:p>
    <w:p w14:paraId="2477851D" w14:textId="77777777" w:rsidR="009F7F8A" w:rsidRPr="00C07B2E" w:rsidRDefault="009F7F8A" w:rsidP="009F7F8A">
      <w:pPr>
        <w:ind w:firstLine="709"/>
        <w:rPr>
          <w:rFonts w:eastAsia="SimSun"/>
        </w:rPr>
      </w:pPr>
      <w:r w:rsidRPr="00C07B2E">
        <w:rPr>
          <w:rFonts w:eastAsia="SimSun"/>
        </w:rPr>
        <w:t>Убедитесь, что выполнены следующие условия:</w:t>
      </w:r>
    </w:p>
    <w:p w14:paraId="183A7B49" w14:textId="77777777" w:rsidR="009F7F8A" w:rsidRPr="00C07B2E" w:rsidRDefault="009F7F8A" w:rsidP="009F7F8A">
      <w:pPr>
        <w:numPr>
          <w:ilvl w:val="0"/>
          <w:numId w:val="30"/>
        </w:numPr>
        <w:overflowPunct w:val="0"/>
        <w:autoSpaceDE w:val="0"/>
        <w:autoSpaceDN w:val="0"/>
        <w:adjustRightInd w:val="0"/>
        <w:textAlignment w:val="baseline"/>
        <w:rPr>
          <w:rFonts w:eastAsia="SimSun"/>
        </w:rPr>
      </w:pPr>
      <w:r w:rsidRPr="00C07B2E">
        <w:rPr>
          <w:rFonts w:eastAsia="SimSun"/>
        </w:rPr>
        <w:t xml:space="preserve">Пациент подписал добровольное информированное согласие на трансплантацию. </w:t>
      </w:r>
    </w:p>
    <w:p w14:paraId="16985984" w14:textId="77777777" w:rsidR="009F7F8A" w:rsidRPr="00C07B2E" w:rsidRDefault="009F7F8A" w:rsidP="009F7F8A">
      <w:pPr>
        <w:numPr>
          <w:ilvl w:val="0"/>
          <w:numId w:val="30"/>
        </w:numPr>
        <w:overflowPunct w:val="0"/>
        <w:autoSpaceDE w:val="0"/>
        <w:autoSpaceDN w:val="0"/>
        <w:adjustRightInd w:val="0"/>
        <w:textAlignment w:val="baseline"/>
        <w:rPr>
          <w:rFonts w:eastAsia="SimSun"/>
        </w:rPr>
      </w:pPr>
      <w:r w:rsidRPr="00C07B2E">
        <w:rPr>
          <w:rFonts w:eastAsia="SimSun"/>
        </w:rPr>
        <w:t xml:space="preserve">Пациенту на момент введения ГСК установлен ЦВК. При отсутствии адекватно функционирующего ЦВК на момент инфузии допускается инфузия клеточной взвеси через периферическую вену, в которой содержание </w:t>
      </w:r>
      <w:r w:rsidRPr="00C07B2E">
        <w:rPr>
          <w:rFonts w:eastAsia="SimSun"/>
          <w:shd w:val="clear" w:color="auto" w:fill="FFFFFF"/>
        </w:rPr>
        <w:t>диметилсульфоксида</w:t>
      </w:r>
      <w:r w:rsidRPr="00C07B2E">
        <w:rPr>
          <w:rFonts w:eastAsia="SimSun"/>
        </w:rPr>
        <w:t xml:space="preserve"> не превышает 10%. </w:t>
      </w:r>
    </w:p>
    <w:p w14:paraId="6DAEE70E" w14:textId="77777777" w:rsidR="009F7F8A" w:rsidRPr="00C07B2E" w:rsidRDefault="009F7F8A" w:rsidP="009F7F8A">
      <w:pPr>
        <w:numPr>
          <w:ilvl w:val="0"/>
          <w:numId w:val="30"/>
        </w:numPr>
        <w:overflowPunct w:val="0"/>
        <w:autoSpaceDE w:val="0"/>
        <w:autoSpaceDN w:val="0"/>
        <w:adjustRightInd w:val="0"/>
        <w:textAlignment w:val="baseline"/>
        <w:rPr>
          <w:rFonts w:eastAsia="SimSun"/>
        </w:rPr>
      </w:pPr>
      <w:r w:rsidRPr="00C07B2E">
        <w:rPr>
          <w:rFonts w:eastAsia="SimSun"/>
        </w:rPr>
        <w:t xml:space="preserve">Прошло не менее 36 ч после завершения введения цитостатических препаратов, входящих в режим кондиционирования. </w:t>
      </w:r>
    </w:p>
    <w:p w14:paraId="69E2F693" w14:textId="77777777" w:rsidR="009F7F8A" w:rsidRPr="00C07B2E" w:rsidRDefault="009F7F8A" w:rsidP="009F7F8A">
      <w:pPr>
        <w:numPr>
          <w:ilvl w:val="0"/>
          <w:numId w:val="30"/>
        </w:numPr>
        <w:overflowPunct w:val="0"/>
        <w:autoSpaceDE w:val="0"/>
        <w:autoSpaceDN w:val="0"/>
        <w:adjustRightInd w:val="0"/>
        <w:textAlignment w:val="baseline"/>
        <w:rPr>
          <w:rFonts w:eastAsia="SimSun"/>
        </w:rPr>
      </w:pPr>
      <w:r w:rsidRPr="00C07B2E">
        <w:rPr>
          <w:rFonts w:eastAsia="SimSun"/>
        </w:rPr>
        <w:t>При использовании с –1 дня циклоспорина</w:t>
      </w:r>
      <w:r w:rsidRPr="00C07B2E" w:rsidDel="00DA45A3">
        <w:rPr>
          <w:rFonts w:eastAsia="SimSun"/>
        </w:rPr>
        <w:t xml:space="preserve"> </w:t>
      </w:r>
      <w:r w:rsidRPr="00C07B2E">
        <w:rPr>
          <w:rFonts w:eastAsia="SimSun"/>
        </w:rPr>
        <w:t xml:space="preserve">(в режиме профилактики острой РТПХ) пациенту было введено не менее 3 доз препарата до инфузии ГСК. </w:t>
      </w:r>
    </w:p>
    <w:p w14:paraId="431A5439" w14:textId="77777777" w:rsidR="009F7F8A" w:rsidRPr="00C07B2E" w:rsidRDefault="009F7F8A" w:rsidP="009F7F8A">
      <w:pPr>
        <w:numPr>
          <w:ilvl w:val="0"/>
          <w:numId w:val="30"/>
        </w:numPr>
        <w:overflowPunct w:val="0"/>
        <w:autoSpaceDE w:val="0"/>
        <w:autoSpaceDN w:val="0"/>
        <w:adjustRightInd w:val="0"/>
        <w:textAlignment w:val="baseline"/>
        <w:rPr>
          <w:rFonts w:eastAsia="SimSun"/>
        </w:rPr>
      </w:pPr>
      <w:r w:rsidRPr="00C07B2E">
        <w:rPr>
          <w:rFonts w:eastAsia="SimSun"/>
        </w:rPr>
        <w:t>В момент инфузии ГСК введение других препаратов не проводится.</w:t>
      </w:r>
    </w:p>
    <w:p w14:paraId="641DDAFB" w14:textId="77777777" w:rsidR="009F7F8A" w:rsidRPr="00C07B2E" w:rsidRDefault="009F7F8A" w:rsidP="009F7F8A">
      <w:pPr>
        <w:numPr>
          <w:ilvl w:val="0"/>
          <w:numId w:val="30"/>
        </w:numPr>
        <w:overflowPunct w:val="0"/>
        <w:autoSpaceDE w:val="0"/>
        <w:autoSpaceDN w:val="0"/>
        <w:adjustRightInd w:val="0"/>
        <w:textAlignment w:val="baseline"/>
        <w:rPr>
          <w:rFonts w:eastAsia="SimSun"/>
        </w:rPr>
      </w:pPr>
      <w:r w:rsidRPr="00C07B2E">
        <w:rPr>
          <w:rFonts w:eastAsia="SimSun"/>
        </w:rPr>
        <w:t>В момент введения ГСК запрещено проведение плазмафереза и/или гемодиализа.</w:t>
      </w:r>
    </w:p>
    <w:p w14:paraId="6866CBF0" w14:textId="77777777" w:rsidR="009F7F8A" w:rsidRPr="00C07B2E" w:rsidRDefault="009F7F8A" w:rsidP="009F7F8A">
      <w:pPr>
        <w:ind w:firstLine="709"/>
        <w:rPr>
          <w:rFonts w:eastAsia="SimSun"/>
        </w:rPr>
      </w:pPr>
      <w:r w:rsidRPr="00C07B2E">
        <w:rPr>
          <w:rFonts w:eastAsia="SimSun"/>
        </w:rPr>
        <w:t>При необходимости проведения плазмафереза и/или гемодиализа инфузия ГСК выполняется до и/или через сутки после завершения этих процедур.</w:t>
      </w:r>
    </w:p>
    <w:p w14:paraId="4AAAA096" w14:textId="77777777" w:rsidR="009F7F8A" w:rsidRPr="00C07B2E" w:rsidRDefault="009F7F8A" w:rsidP="009F7F8A">
      <w:pPr>
        <w:ind w:firstLine="709"/>
        <w:rPr>
          <w:rFonts w:eastAsia="SimSun"/>
        </w:rPr>
      </w:pPr>
      <w:r w:rsidRPr="00C07B2E">
        <w:rPr>
          <w:rFonts w:eastAsia="SimSun"/>
        </w:rPr>
        <w:t xml:space="preserve">За 2–3 ч до алло-ТГСК рекомендуется проводить инфузионную терапию (коллоидными и кристаллоидными растворами в объеме 500-1500 мл) в случае использования криоконсервированных ГСК. </w:t>
      </w:r>
    </w:p>
    <w:p w14:paraId="0EDF71A3" w14:textId="77777777" w:rsidR="009F7F8A" w:rsidRPr="00C07B2E" w:rsidRDefault="009F7F8A" w:rsidP="009F7F8A">
      <w:pPr>
        <w:ind w:firstLine="709"/>
        <w:rPr>
          <w:rFonts w:eastAsia="SimSun"/>
        </w:rPr>
      </w:pPr>
      <w:r w:rsidRPr="00C07B2E">
        <w:rPr>
          <w:rFonts w:eastAsia="SimSun"/>
        </w:rPr>
        <w:lastRenderedPageBreak/>
        <w:t xml:space="preserve">За 30 мин до введения ГСК, при наличии реакций на трансфузию компонентов крови в анамнезе, должна быть использована премедикация антигистаминными препаратами и/или нестероиднымии противовоспалительными препаратами препаратами и/или метилпреднизолоном (если в предыдущие сутки использовали метилпреднизолон). </w:t>
      </w:r>
    </w:p>
    <w:p w14:paraId="2D173735" w14:textId="77777777" w:rsidR="009F7F8A" w:rsidRPr="00C07B2E" w:rsidRDefault="009F7F8A" w:rsidP="009F7F8A">
      <w:pPr>
        <w:ind w:firstLine="709"/>
        <w:rPr>
          <w:rFonts w:eastAsia="SimSun"/>
        </w:rPr>
      </w:pPr>
      <w:r w:rsidRPr="00C07B2E">
        <w:rPr>
          <w:rFonts w:eastAsia="SimSun"/>
        </w:rPr>
        <w:t xml:space="preserve">При любой несовместимости между донором и реципиентом по системе АВ0 возможно введение метилпреднизолона в дозе 60 мг перед введением ГСК. </w:t>
      </w:r>
    </w:p>
    <w:p w14:paraId="6EADC08C" w14:textId="77777777" w:rsidR="009F7F8A" w:rsidRPr="00C07B2E" w:rsidRDefault="009F7F8A" w:rsidP="009F7F8A">
      <w:pPr>
        <w:ind w:firstLine="709"/>
        <w:rPr>
          <w:rFonts w:eastAsia="SimSun"/>
        </w:rPr>
      </w:pPr>
      <w:r w:rsidRPr="00C07B2E">
        <w:rPr>
          <w:rFonts w:eastAsia="SimSun"/>
        </w:rPr>
        <w:t>После получения из лаборатории мешка с ГСК производится его осмотр: указание Ф. И. О. пациента или донора (в зависимости от применяемых в центре требований к маркировке), даты рождения и группы крови, наличие внешних повреждений и/или посторонних примесей в мешке (сгустки, фрагменты костной ткани). В случае выявления «дефектов» мешок возвращается в лабораторию для их устранения.</w:t>
      </w:r>
    </w:p>
    <w:p w14:paraId="1AC0A1F7" w14:textId="77777777" w:rsidR="009F7F8A" w:rsidRPr="00C07B2E" w:rsidRDefault="009F7F8A" w:rsidP="009F7F8A">
      <w:pPr>
        <w:rPr>
          <w:rFonts w:eastAsia="SimSun"/>
        </w:rPr>
      </w:pPr>
    </w:p>
    <w:p w14:paraId="6B1231CE" w14:textId="77777777" w:rsidR="009F7F8A" w:rsidRPr="00985050" w:rsidRDefault="009F7F8A" w:rsidP="009F7F8A">
      <w:pPr>
        <w:rPr>
          <w:rFonts w:eastAsia="SimSun"/>
          <w:i/>
          <w:u w:val="single"/>
        </w:rPr>
      </w:pPr>
      <w:bookmarkStart w:id="104" w:name="_Toc44401131"/>
      <w:r w:rsidRPr="00985050">
        <w:rPr>
          <w:rFonts w:eastAsia="SimSun"/>
          <w:i/>
          <w:u w:val="single"/>
        </w:rPr>
        <w:t>Инфузия ГСК</w:t>
      </w:r>
      <w:bookmarkEnd w:id="104"/>
    </w:p>
    <w:p w14:paraId="340DAB11" w14:textId="77777777" w:rsidR="009F7F8A" w:rsidRPr="00C07B2E" w:rsidRDefault="009F7F8A" w:rsidP="009F7F8A">
      <w:pPr>
        <w:ind w:firstLine="709"/>
        <w:rPr>
          <w:rFonts w:eastAsia="SimSun"/>
        </w:rPr>
      </w:pPr>
      <w:r w:rsidRPr="00C07B2E">
        <w:rPr>
          <w:rFonts w:eastAsia="SimSun"/>
        </w:rPr>
        <w:t xml:space="preserve">Для первого введения выбирают мешок с максимальной клеточностью. При манипуляциях с мешком запрещается использовать металлические инструменты (зажимы, пинцеты и др.). В случае использования криоконсервированных ГСК их предварительно размораживают на водяной бане или программном размораживателе при температуре 37˚С. После разморозки врач проверяет, что в мешке отсутствуют остаточные фрагменты льда, после чего прокалывает мешок с использованием системы для инфузии. Система для инфузии должна иметь фильтр размером от 150–260 микрон (обычная система для инфузии крови имеет фильтр в 175 микрон). </w:t>
      </w:r>
    </w:p>
    <w:p w14:paraId="0B686F24" w14:textId="77777777" w:rsidR="009F7F8A" w:rsidRPr="00C07B2E" w:rsidRDefault="009F7F8A" w:rsidP="009F7F8A">
      <w:pPr>
        <w:ind w:firstLine="709"/>
        <w:rPr>
          <w:rFonts w:eastAsia="SimSun"/>
        </w:rPr>
      </w:pPr>
      <w:r w:rsidRPr="00C07B2E">
        <w:rPr>
          <w:rFonts w:eastAsia="SimSun"/>
        </w:rPr>
        <w:t>В случае развития гемолиза инфузия ГСК из следующего мешка не проводится. Инфузии ГСК из следующих мешков возобновляют после хотя бы частичного купирования лизиса эритроцитов. После завершения инфузии ход ЦВК, который был использован для трансплантации, промывают физиологическим раствором. Далее пациент находится под пристальным наблюдением медицинского персонала. По показаниям возможно наблюдение анестезиолога-реаниматолога и/или постоянный мониторинг витальных показателей с помощью прикроватного монитора состояния пациента. Через 2 ч после завершения инфузии выполняют биохимическое исследование крови (оценка сывороточной концентрации К</w:t>
      </w:r>
      <w:r w:rsidRPr="00C07B2E">
        <w:rPr>
          <w:rFonts w:eastAsia="SimSun"/>
          <w:vertAlign w:val="superscript"/>
        </w:rPr>
        <w:t>+</w:t>
      </w:r>
      <w:r w:rsidRPr="00C07B2E">
        <w:rPr>
          <w:rFonts w:eastAsia="SimSun"/>
        </w:rPr>
        <w:t xml:space="preserve">). </w:t>
      </w:r>
    </w:p>
    <w:p w14:paraId="407C61E3" w14:textId="77777777" w:rsidR="009F7F8A" w:rsidRDefault="009F7F8A" w:rsidP="009F7F8A">
      <w:pPr>
        <w:rPr>
          <w:rFonts w:eastAsia="SimSun"/>
        </w:rPr>
      </w:pPr>
      <w:bookmarkStart w:id="105" w:name="_Toc44401132"/>
    </w:p>
    <w:p w14:paraId="7EC428F0" w14:textId="77777777" w:rsidR="009F7F8A" w:rsidRPr="00470D3D" w:rsidRDefault="009F7F8A" w:rsidP="009F7F8A">
      <w:pPr>
        <w:rPr>
          <w:rFonts w:eastAsia="SimSun"/>
          <w:b/>
        </w:rPr>
      </w:pPr>
      <w:r>
        <w:rPr>
          <w:rFonts w:eastAsia="SimSun"/>
          <w:b/>
        </w:rPr>
        <w:t>5.</w:t>
      </w:r>
      <w:r w:rsidRPr="00470D3D">
        <w:rPr>
          <w:rFonts w:eastAsia="SimSun"/>
          <w:b/>
        </w:rPr>
        <w:t xml:space="preserve"> Протокол внутривенного введения антитимоцитарного глобулина</w:t>
      </w:r>
      <w:bookmarkEnd w:id="105"/>
    </w:p>
    <w:p w14:paraId="46637978" w14:textId="77777777" w:rsidR="009F7F8A" w:rsidRPr="00985050" w:rsidRDefault="009F7F8A" w:rsidP="009F7F8A">
      <w:pPr>
        <w:rPr>
          <w:rFonts w:eastAsia="SimSun"/>
          <w:i/>
          <w:u w:val="single"/>
        </w:rPr>
      </w:pPr>
      <w:bookmarkStart w:id="106" w:name="_Toc44401134"/>
      <w:r w:rsidRPr="00985050">
        <w:rPr>
          <w:rFonts w:eastAsia="SimSun"/>
          <w:i/>
          <w:u w:val="single"/>
        </w:rPr>
        <w:t>Подготовка к введению</w:t>
      </w:r>
      <w:bookmarkEnd w:id="106"/>
      <w:r w:rsidRPr="00985050">
        <w:rPr>
          <w:rFonts w:eastAsia="SimSun"/>
          <w:i/>
          <w:u w:val="single"/>
        </w:rPr>
        <w:t xml:space="preserve"> </w:t>
      </w:r>
    </w:p>
    <w:p w14:paraId="7137DB37" w14:textId="77777777" w:rsidR="009F7F8A" w:rsidRPr="00C07B2E" w:rsidRDefault="009F7F8A" w:rsidP="009F7F8A">
      <w:pPr>
        <w:ind w:firstLine="709"/>
        <w:rPr>
          <w:rFonts w:eastAsia="SimSun"/>
        </w:rPr>
      </w:pPr>
      <w:r w:rsidRPr="00C07B2E">
        <w:rPr>
          <w:rFonts w:eastAsia="SimSun"/>
        </w:rPr>
        <w:t xml:space="preserve">Убедитесь, что вы информированы обо всех аллергических реакциях пациента. Перед началом введения препарата АТГ настоятельно рекомендуется проведение пробы с </w:t>
      </w:r>
      <w:r w:rsidRPr="00C07B2E">
        <w:rPr>
          <w:rFonts w:eastAsia="SimSun"/>
        </w:rPr>
        <w:lastRenderedPageBreak/>
        <w:t xml:space="preserve">этим препаратом. Несмотря на то, что чувствительность и специфичность этого теста клинически не доказаны и его положительный результат не повлияет на введение препарата, проведение тестов рекомендовано для оценки вероятности развития анафилактической реакции на его введение. </w:t>
      </w:r>
    </w:p>
    <w:p w14:paraId="06E1B908" w14:textId="77777777" w:rsidR="009F7F8A" w:rsidRDefault="009F7F8A" w:rsidP="009F7F8A">
      <w:pPr>
        <w:rPr>
          <w:rFonts w:eastAsia="SimSun"/>
        </w:rPr>
      </w:pPr>
      <w:bookmarkStart w:id="107" w:name="_Toc44401135"/>
    </w:p>
    <w:p w14:paraId="1C8418B0" w14:textId="77777777" w:rsidR="009F7F8A" w:rsidRPr="00985050" w:rsidRDefault="009F7F8A" w:rsidP="009F7F8A">
      <w:pPr>
        <w:rPr>
          <w:rFonts w:eastAsia="SimSun"/>
          <w:i/>
          <w:u w:val="single"/>
        </w:rPr>
      </w:pPr>
      <w:r w:rsidRPr="00985050">
        <w:rPr>
          <w:rFonts w:eastAsia="SimSun"/>
          <w:i/>
          <w:u w:val="single"/>
        </w:rPr>
        <w:t>Методика проведения пробы</w:t>
      </w:r>
      <w:bookmarkEnd w:id="107"/>
      <w:r w:rsidRPr="00985050">
        <w:rPr>
          <w:rFonts w:eastAsia="SimSun"/>
          <w:i/>
          <w:u w:val="single"/>
        </w:rPr>
        <w:t xml:space="preserve"> </w:t>
      </w:r>
    </w:p>
    <w:p w14:paraId="12B3D4EF" w14:textId="77777777" w:rsidR="009F7F8A" w:rsidRPr="00C07B2E" w:rsidRDefault="009F7F8A" w:rsidP="009F7F8A">
      <w:pPr>
        <w:ind w:firstLine="709"/>
        <w:rPr>
          <w:rFonts w:eastAsia="SimSun"/>
        </w:rPr>
      </w:pPr>
      <w:r w:rsidRPr="00C07B2E">
        <w:rPr>
          <w:rFonts w:eastAsia="SimSun"/>
        </w:rPr>
        <w:t>На внутренней стороне предплечья, отступив на 5 см от лучезапястного сустава, проводится укол в кожу на глубину 1–1,5 мм через каплю неразведенного препарата. Для этого используют инъекционные иглы для в/к вливаний, имеющие ограничитель глубины. Если через 20 мин после накалывания кожи не происходит образования папулы или волдыря, следует продолжить тестирование путем в/к инъекции: кожу сгибательной поверхности предплечья или на спине обрабатывают 70% спиртом после чего туберкулиновым или инсулиновым шприцем вводят 0,02 мл препарата, разведенного 0,9% раствором натрия хлорида для инъекций в концентрации 1:1000 (по объему) с одновременной контрольной инъекцией 0,9% раствора натрия хлорида для инъекций в том же объеме на расстоянии 5 см. Оценка результатов производится через 20 мин. Образование волдыря в месте введения препарата диаметром, превышающим на 3 мм и более диаметр волдыря в месте контрольной инъекции с 0,9% раствора натрия хлорида, а также положительный накожный тест свидетельствуют о повышенной чувствительности к препарату и вероятности развития системной аллергической реакции при его в/в введении.</w:t>
      </w:r>
    </w:p>
    <w:p w14:paraId="17FC82C2" w14:textId="77777777" w:rsidR="009F7F8A" w:rsidRDefault="009F7F8A" w:rsidP="009F7F8A">
      <w:pPr>
        <w:rPr>
          <w:rFonts w:eastAsia="SimSun"/>
        </w:rPr>
      </w:pPr>
      <w:bookmarkStart w:id="108" w:name="_Toc44401136"/>
    </w:p>
    <w:p w14:paraId="4D310D37" w14:textId="77777777" w:rsidR="009F7F8A" w:rsidRPr="00985050" w:rsidRDefault="009F7F8A" w:rsidP="009F7F8A">
      <w:pPr>
        <w:rPr>
          <w:rFonts w:eastAsia="SimSun"/>
          <w:i/>
          <w:u w:val="single"/>
        </w:rPr>
      </w:pPr>
      <w:r w:rsidRPr="00985050">
        <w:rPr>
          <w:rFonts w:eastAsia="SimSun"/>
          <w:i/>
          <w:u w:val="single"/>
        </w:rPr>
        <w:t>Инфузия лошадиного АТГ</w:t>
      </w:r>
      <w:bookmarkEnd w:id="108"/>
      <w:r w:rsidRPr="00985050">
        <w:rPr>
          <w:rFonts w:eastAsia="SimSun"/>
          <w:i/>
          <w:u w:val="single"/>
        </w:rPr>
        <w:t xml:space="preserve"> </w:t>
      </w:r>
    </w:p>
    <w:p w14:paraId="6DD4CE6B" w14:textId="77777777" w:rsidR="009F7F8A" w:rsidRPr="00C07B2E" w:rsidRDefault="009F7F8A" w:rsidP="009F7F8A">
      <w:pPr>
        <w:ind w:firstLine="709"/>
        <w:rPr>
          <w:rFonts w:eastAsia="SimSun"/>
        </w:rPr>
      </w:pPr>
      <w:r w:rsidRPr="00C07B2E">
        <w:rPr>
          <w:rFonts w:eastAsia="SimSun"/>
        </w:rPr>
        <w:t>С целью снижения вероятности выпадения осадка суточная доза препарата АТГ делится на 2 приблизительно равные дозы. Рекомендуется подбирать дозы, кратные 250 мг (1 ампуле). Например, вес пациента 75 кг. Суточная доза 750 мг: утренняя — 500 мг, вечерняя — 250 мг.</w:t>
      </w:r>
    </w:p>
    <w:p w14:paraId="17FFDE1A" w14:textId="77777777" w:rsidR="009F7F8A" w:rsidRPr="00C07B2E" w:rsidRDefault="009F7F8A" w:rsidP="009F7F8A">
      <w:pPr>
        <w:ind w:firstLine="709"/>
        <w:rPr>
          <w:rFonts w:eastAsia="SimSun"/>
        </w:rPr>
      </w:pPr>
      <w:r w:rsidRPr="00C07B2E">
        <w:rPr>
          <w:rFonts w:eastAsia="SimSun"/>
        </w:rPr>
        <w:t>Каждая доза препарата разводится на 0,9% растворе хлорида натрия в объеме 500 мл. Время введения каждой из доз препарата АТГ составляет 6 ч:</w:t>
      </w:r>
    </w:p>
    <w:p w14:paraId="4DF84F68" w14:textId="77777777" w:rsidR="009F7F8A" w:rsidRPr="00C07B2E" w:rsidRDefault="009F7F8A" w:rsidP="009F7F8A">
      <w:pPr>
        <w:ind w:firstLine="709"/>
        <w:rPr>
          <w:rFonts w:eastAsia="SimSun"/>
        </w:rPr>
      </w:pPr>
      <w:r w:rsidRPr="00C07B2E">
        <w:rPr>
          <w:rFonts w:eastAsia="SimSun"/>
        </w:rPr>
        <w:t>Утренняя доза — 10:00–16:00.</w:t>
      </w:r>
    </w:p>
    <w:p w14:paraId="4A0B18F4" w14:textId="77777777" w:rsidR="009F7F8A" w:rsidRPr="00C07B2E" w:rsidRDefault="009F7F8A" w:rsidP="009F7F8A">
      <w:pPr>
        <w:ind w:firstLine="709"/>
        <w:rPr>
          <w:rFonts w:eastAsia="SimSun"/>
        </w:rPr>
      </w:pPr>
      <w:r w:rsidRPr="00C07B2E">
        <w:rPr>
          <w:rFonts w:eastAsia="SimSun"/>
        </w:rPr>
        <w:t>Вечерняя доза — 17:00–23:00.</w:t>
      </w:r>
    </w:p>
    <w:p w14:paraId="26C9301E" w14:textId="77777777" w:rsidR="009F7F8A" w:rsidRPr="00C07B2E" w:rsidRDefault="009F7F8A" w:rsidP="009F7F8A">
      <w:pPr>
        <w:ind w:firstLine="709"/>
        <w:rPr>
          <w:rFonts w:eastAsia="SimSun"/>
        </w:rPr>
      </w:pPr>
      <w:r w:rsidRPr="00C07B2E">
        <w:rPr>
          <w:rFonts w:eastAsia="SimSun"/>
        </w:rPr>
        <w:t>Введение препарата идет параллельно с введением метилпреднизолона в суммарной дозе 3 мг/кг (но не более 250 мг/сут). Началу инфузии препарата АТГ предшествует в/в болюсное введение 30 мг метилпреднизолона с последующей 13-часовой инфузией (с 10:00 по 23:00) оставшейся суточной дозы метилпреднизолона.</w:t>
      </w:r>
    </w:p>
    <w:p w14:paraId="0F47C2D2" w14:textId="77777777" w:rsidR="009F7F8A" w:rsidRPr="00C07B2E" w:rsidRDefault="009F7F8A" w:rsidP="009F7F8A">
      <w:pPr>
        <w:rPr>
          <w:rFonts w:eastAsia="SimSun"/>
        </w:rPr>
      </w:pPr>
    </w:p>
    <w:p w14:paraId="4F09B68C" w14:textId="77777777" w:rsidR="009F7F8A" w:rsidRPr="00985050" w:rsidRDefault="009F7F8A" w:rsidP="009F7F8A">
      <w:pPr>
        <w:rPr>
          <w:rFonts w:eastAsia="SimSun"/>
          <w:i/>
          <w:u w:val="single"/>
        </w:rPr>
      </w:pPr>
      <w:bookmarkStart w:id="109" w:name="_Toc44401137"/>
      <w:r w:rsidRPr="00985050">
        <w:rPr>
          <w:rFonts w:eastAsia="SimSun"/>
          <w:i/>
          <w:u w:val="single"/>
        </w:rPr>
        <w:lastRenderedPageBreak/>
        <w:t>Альтернативный способ введения лошадиного АТГ</w:t>
      </w:r>
      <w:bookmarkEnd w:id="109"/>
      <w:r w:rsidRPr="00985050">
        <w:rPr>
          <w:i/>
          <w:u w:val="single"/>
        </w:rPr>
        <w:t xml:space="preserve"> </w:t>
      </w:r>
    </w:p>
    <w:p w14:paraId="42AD04E8" w14:textId="77777777" w:rsidR="009F7F8A" w:rsidRPr="00C07B2E" w:rsidRDefault="009F7F8A" w:rsidP="009F7F8A">
      <w:pPr>
        <w:ind w:firstLine="709"/>
      </w:pPr>
      <w:r w:rsidRPr="00C07B2E">
        <w:t xml:space="preserve">Лошадиный АТГ разводится на 500 мл физиологического раствора.  В случае отрицательной кожной пробы проводится 12- часовая инфузия с премедикацией 1 мг/кг метилпреднизолона в\в капельно перед началом введения и через 6 часов после начала введения. В случае положительной кожной пробы доза солумедрола увеличивается до 2 мг/кг. В случае развития аллергической реакции на фоне введения введение препарата останавливается и вводится 2 мг/кг метилпреднизолона. Инфузия возобновляется с удлинением времени введения до 18 часов после разрешения симптомов аллергии. </w:t>
      </w:r>
    </w:p>
    <w:p w14:paraId="02A20F47" w14:textId="77777777" w:rsidR="009F7F8A" w:rsidRPr="00C07B2E" w:rsidRDefault="009F7F8A" w:rsidP="009F7F8A">
      <w:pPr>
        <w:rPr>
          <w:rFonts w:eastAsia="SimSun"/>
        </w:rPr>
      </w:pPr>
    </w:p>
    <w:p w14:paraId="1E30C5DA" w14:textId="77777777" w:rsidR="009F7F8A" w:rsidRPr="00985050" w:rsidRDefault="009F7F8A" w:rsidP="009F7F8A">
      <w:pPr>
        <w:rPr>
          <w:rFonts w:eastAsia="SimSun"/>
          <w:i/>
          <w:u w:val="single"/>
        </w:rPr>
      </w:pPr>
      <w:bookmarkStart w:id="110" w:name="_Toc44401138"/>
      <w:r w:rsidRPr="00985050">
        <w:rPr>
          <w:rFonts w:eastAsia="SimSun"/>
          <w:i/>
          <w:u w:val="single"/>
        </w:rPr>
        <w:t>Инфузия кроличьего АТГ</w:t>
      </w:r>
      <w:bookmarkEnd w:id="110"/>
    </w:p>
    <w:p w14:paraId="5022F25F" w14:textId="77777777" w:rsidR="009F7F8A" w:rsidRPr="00C07B2E" w:rsidRDefault="009F7F8A" w:rsidP="009F7F8A">
      <w:pPr>
        <w:ind w:firstLine="709"/>
      </w:pPr>
      <w:r w:rsidRPr="00C07B2E">
        <w:t>Тимоглобулин (кроличий антитимоцитарный глобулин) вводится в течение 2-3 дней до трансплантации в дозе 2.5 мг/кг на введение (суммарная доза 5-7.5 мг/кг). Крайне желательно, чтобы дни введения не совпадали с днями приема бусульфана, например в -2 и -1 дни. Тимоглобулин разводится на 500 мл физиологического раствора.  Кожная проба при использовании Тимоглобулина не проводится. Премедикация перед введением – метилпреднизолон 2 мг/кг в</w:t>
      </w:r>
      <w:r>
        <w:t>/</w:t>
      </w:r>
      <w:r w:rsidRPr="00C07B2E">
        <w:t xml:space="preserve">в капельно. Первая доза вводится за 6 часов. Вторая за 4 часа. В случае развития аллергической реакции на фоне введения введение препарата останавливается и вводится 2 мг/кг метилпреднизолона. Оставшееся время введения удлиняется в два раза. </w:t>
      </w:r>
    </w:p>
    <w:p w14:paraId="67B8FD80" w14:textId="77777777" w:rsidR="009F7F8A" w:rsidRPr="00C07B2E" w:rsidRDefault="009F7F8A" w:rsidP="009F7F8A">
      <w:pPr>
        <w:ind w:firstLine="709"/>
      </w:pPr>
      <w:r w:rsidRPr="00C07B2E">
        <w:t xml:space="preserve">Графалон (кроличий антитимоцитарный глобулин) вводится в течение 3 дней до трансплантации в дозе 20 мг/кг на введение (суммарная доза 60 мг/кг). Крайне желательно, чтобы дни введения не совпадали с днями приема бусульфана, например в -3, -2 и -1 дни. Графалон разводится на 500 мл физиологического раствора. Кожная проба не проводится. Премедикация перед введением – метилпреднизолон 2 мг/кг в\в капельно. Первая доза вводится за 6 часов. Вторая за 4 часа. В случае развития аллергической реакции на фоне введения введение препарата останавливается и вводится 2 мг/кг метилпреднизолона. Оставшееся время введения удлиняется в два раза.  </w:t>
      </w:r>
    </w:p>
    <w:p w14:paraId="3EE21348" w14:textId="77777777" w:rsidR="009F7F8A" w:rsidRDefault="009F7F8A" w:rsidP="009F7F8A">
      <w:pPr>
        <w:rPr>
          <w:rFonts w:eastAsia="SimSun"/>
        </w:rPr>
      </w:pPr>
      <w:bookmarkStart w:id="111" w:name="_Toc44401139"/>
    </w:p>
    <w:p w14:paraId="020A8DB2" w14:textId="77777777" w:rsidR="009F7F8A" w:rsidRPr="00470D3D" w:rsidRDefault="009F7F8A" w:rsidP="009F7F8A">
      <w:pPr>
        <w:rPr>
          <w:rFonts w:eastAsia="SimSun"/>
          <w:b/>
        </w:rPr>
      </w:pPr>
      <w:r>
        <w:rPr>
          <w:rFonts w:eastAsia="SimSun"/>
          <w:b/>
        </w:rPr>
        <w:t>5</w:t>
      </w:r>
      <w:r w:rsidRPr="00470D3D">
        <w:rPr>
          <w:rFonts w:eastAsia="SimSun"/>
          <w:b/>
        </w:rPr>
        <w:t>. Протоколы кондиционирования и профилактики РТПХ в зависимости от типа донора</w:t>
      </w:r>
      <w:bookmarkEnd w:id="111"/>
    </w:p>
    <w:p w14:paraId="69EAA5A7" w14:textId="77777777" w:rsidR="009F7F8A" w:rsidRPr="00985050" w:rsidRDefault="009F7F8A" w:rsidP="009F7F8A">
      <w:pPr>
        <w:rPr>
          <w:rFonts w:eastAsia="SimSun"/>
          <w:i/>
          <w:u w:val="single"/>
        </w:rPr>
      </w:pPr>
      <w:bookmarkStart w:id="112" w:name="_Toc44401140"/>
      <w:r>
        <w:rPr>
          <w:rFonts w:eastAsia="SimSun"/>
          <w:i/>
          <w:u w:val="single"/>
        </w:rPr>
        <w:t>5.</w:t>
      </w:r>
      <w:r w:rsidRPr="00985050">
        <w:rPr>
          <w:rFonts w:eastAsia="SimSun"/>
          <w:i/>
          <w:u w:val="single"/>
        </w:rPr>
        <w:t xml:space="preserve">1. Родственный </w:t>
      </w:r>
      <w:r w:rsidRPr="00985050">
        <w:rPr>
          <w:rFonts w:eastAsia="SimSun"/>
          <w:i/>
          <w:u w:val="single"/>
          <w:lang w:val="en-US"/>
        </w:rPr>
        <w:t>HLA</w:t>
      </w:r>
      <w:r w:rsidRPr="00985050">
        <w:rPr>
          <w:rFonts w:eastAsia="SimSun"/>
          <w:i/>
          <w:u w:val="single"/>
        </w:rPr>
        <w:t>-идентичный донор</w:t>
      </w:r>
      <w:bookmarkEnd w:id="112"/>
      <w:r w:rsidRPr="00985050">
        <w:rPr>
          <w:rFonts w:eastAsia="SimSun"/>
          <w:i/>
          <w:u w:val="single"/>
        </w:rPr>
        <w:t xml:space="preserve"> </w:t>
      </w:r>
    </w:p>
    <w:p w14:paraId="69E1D627" w14:textId="77777777" w:rsidR="009F7F8A" w:rsidRPr="00C07B2E" w:rsidRDefault="009F7F8A" w:rsidP="009F7F8A">
      <w:pPr>
        <w:rPr>
          <w:rFonts w:eastAsia="SimSun"/>
        </w:rPr>
      </w:pPr>
      <w:r w:rsidRPr="00C07B2E">
        <w:rPr>
          <w:rFonts w:eastAsia="SimSun"/>
        </w:rPr>
        <w:t xml:space="preserve">Схемы и режимы применения препаратов для кондиционирования и профилактики РТПХ указаны в Таблице </w:t>
      </w:r>
      <w:r>
        <w:rPr>
          <w:rFonts w:eastAsia="SimSun"/>
        </w:rPr>
        <w:t>5</w:t>
      </w:r>
      <w:r w:rsidRPr="00C07B2E">
        <w:rPr>
          <w:rFonts w:eastAsia="SimSun"/>
        </w:rPr>
        <w:t>.1.1</w:t>
      </w:r>
    </w:p>
    <w:p w14:paraId="17E188E3" w14:textId="77777777" w:rsidR="009F7F8A" w:rsidRPr="00C07B2E" w:rsidRDefault="009F7F8A" w:rsidP="009F7F8A">
      <w:pPr>
        <w:rPr>
          <w:rFonts w:eastAsia="SimSun"/>
        </w:rPr>
        <w:sectPr w:rsidR="009F7F8A" w:rsidRPr="00C07B2E" w:rsidSect="009F7F8A">
          <w:type w:val="continuous"/>
          <w:pgSz w:w="11907" w:h="16839" w:code="9"/>
          <w:pgMar w:top="1134" w:right="850" w:bottom="1134" w:left="1701" w:header="709" w:footer="567" w:gutter="0"/>
          <w:cols w:space="708"/>
          <w:docGrid w:linePitch="360"/>
        </w:sectPr>
      </w:pPr>
    </w:p>
    <w:p w14:paraId="424D2376" w14:textId="77777777" w:rsidR="009F7F8A" w:rsidRPr="00C07B2E" w:rsidRDefault="009F7F8A" w:rsidP="009F7F8A">
      <w:pPr>
        <w:rPr>
          <w:rFonts w:eastAsia="SimSun"/>
        </w:rPr>
      </w:pPr>
      <w:r w:rsidRPr="00C07B2E">
        <w:rPr>
          <w:rFonts w:eastAsia="SimSun"/>
        </w:rPr>
        <w:lastRenderedPageBreak/>
        <w:t xml:space="preserve">Таблица </w:t>
      </w:r>
      <w:r>
        <w:rPr>
          <w:rFonts w:eastAsia="SimSun"/>
        </w:rPr>
        <w:t>5</w:t>
      </w:r>
      <w:r w:rsidRPr="00C07B2E">
        <w:rPr>
          <w:rFonts w:eastAsia="SimSun"/>
        </w:rPr>
        <w:t xml:space="preserve">.1.1 Схемы и режимы применения препаратов для кондиционирования и профилактики РТПХ со ссылками на </w:t>
      </w:r>
      <w:r>
        <w:rPr>
          <w:rFonts w:eastAsia="SimSun"/>
        </w:rPr>
        <w:t>таблицы с описанием</w:t>
      </w:r>
    </w:p>
    <w:p w14:paraId="24564C25" w14:textId="77777777" w:rsidR="009F7F8A" w:rsidRPr="00C07B2E" w:rsidRDefault="009F7F8A" w:rsidP="009F7F8A">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809"/>
        <w:gridCol w:w="1222"/>
        <w:gridCol w:w="1659"/>
        <w:gridCol w:w="1539"/>
        <w:gridCol w:w="1713"/>
        <w:gridCol w:w="1713"/>
        <w:gridCol w:w="1713"/>
        <w:gridCol w:w="1919"/>
      </w:tblGrid>
      <w:tr w:rsidR="009F7F8A" w:rsidRPr="00C07B2E" w14:paraId="0F4CE3CC" w14:textId="77777777" w:rsidTr="009F7F8A">
        <w:trPr>
          <w:cantSplit/>
          <w:trHeight w:val="664"/>
        </w:trPr>
        <w:tc>
          <w:tcPr>
            <w:tcW w:w="1408" w:type="pct"/>
            <w:gridSpan w:val="3"/>
            <w:vMerge w:val="restart"/>
            <w:shd w:val="clear" w:color="auto" w:fill="auto"/>
            <w:vAlign w:val="center"/>
          </w:tcPr>
          <w:p w14:paraId="1DB3FEF6" w14:textId="77777777" w:rsidR="009F7F8A" w:rsidRPr="00C07B2E" w:rsidRDefault="009F7F8A" w:rsidP="009F7F8A">
            <w:pPr>
              <w:rPr>
                <w:rFonts w:eastAsia="SimSun"/>
              </w:rPr>
            </w:pPr>
            <w:r w:rsidRPr="00C07B2E">
              <w:rPr>
                <w:rFonts w:eastAsia="SimSun"/>
              </w:rPr>
              <w:t>Профилактика РТПХ</w:t>
            </w:r>
          </w:p>
        </w:tc>
        <w:tc>
          <w:tcPr>
            <w:tcW w:w="3592" w:type="pct"/>
            <w:gridSpan w:val="6"/>
            <w:shd w:val="clear" w:color="auto" w:fill="auto"/>
            <w:vAlign w:val="center"/>
          </w:tcPr>
          <w:p w14:paraId="1D48DCD7" w14:textId="77777777" w:rsidR="009F7F8A" w:rsidRPr="00C07B2E" w:rsidRDefault="009F7F8A" w:rsidP="009F7F8A">
            <w:pPr>
              <w:rPr>
                <w:rFonts w:eastAsia="SimSun"/>
              </w:rPr>
            </w:pPr>
            <w:r w:rsidRPr="00C07B2E">
              <w:rPr>
                <w:rFonts w:eastAsia="SimSun"/>
              </w:rPr>
              <w:t>Режим кондиционирования</w:t>
            </w:r>
          </w:p>
        </w:tc>
      </w:tr>
      <w:tr w:rsidR="009F7F8A" w:rsidRPr="00C07B2E" w14:paraId="6B338FD8" w14:textId="77777777" w:rsidTr="009F7F8A">
        <w:trPr>
          <w:cantSplit/>
          <w:trHeight w:val="676"/>
        </w:trPr>
        <w:tc>
          <w:tcPr>
            <w:tcW w:w="1408" w:type="pct"/>
            <w:gridSpan w:val="3"/>
            <w:vMerge/>
            <w:shd w:val="clear" w:color="auto" w:fill="auto"/>
            <w:vAlign w:val="center"/>
          </w:tcPr>
          <w:p w14:paraId="13CBCBB9" w14:textId="77777777" w:rsidR="009F7F8A" w:rsidRPr="00C07B2E" w:rsidRDefault="009F7F8A" w:rsidP="009F7F8A">
            <w:pPr>
              <w:rPr>
                <w:rFonts w:eastAsia="SimSun"/>
              </w:rPr>
            </w:pPr>
          </w:p>
        </w:tc>
        <w:tc>
          <w:tcPr>
            <w:tcW w:w="1120" w:type="pct"/>
            <w:gridSpan w:val="2"/>
            <w:shd w:val="clear" w:color="auto" w:fill="BFBFBF"/>
            <w:vAlign w:val="center"/>
          </w:tcPr>
          <w:p w14:paraId="0C533E0B" w14:textId="77777777" w:rsidR="009F7F8A" w:rsidRPr="00C07B2E" w:rsidRDefault="009F7F8A" w:rsidP="009F7F8A">
            <w:pPr>
              <w:rPr>
                <w:rFonts w:eastAsia="SimSun"/>
              </w:rPr>
            </w:pPr>
            <w:r w:rsidRPr="00C07B2E">
              <w:rPr>
                <w:rFonts w:eastAsia="SimSun"/>
                <w:lang w:val="en-US"/>
              </w:rPr>
              <w:t>Cy</w:t>
            </w:r>
            <w:r w:rsidRPr="00C07B2E">
              <w:rPr>
                <w:rFonts w:eastAsia="SimSun"/>
              </w:rPr>
              <w:t>120</w:t>
            </w:r>
          </w:p>
        </w:tc>
        <w:tc>
          <w:tcPr>
            <w:tcW w:w="600" w:type="pct"/>
            <w:shd w:val="clear" w:color="auto" w:fill="BFBFBF"/>
            <w:vAlign w:val="center"/>
          </w:tcPr>
          <w:p w14:paraId="707FEA8F" w14:textId="77777777" w:rsidR="009F7F8A" w:rsidRPr="00C07B2E" w:rsidRDefault="009F7F8A" w:rsidP="009F7F8A">
            <w:pPr>
              <w:rPr>
                <w:rFonts w:eastAsia="SimSun"/>
              </w:rPr>
            </w:pPr>
            <w:r w:rsidRPr="00C07B2E">
              <w:rPr>
                <w:rFonts w:eastAsia="SimSun"/>
                <w:lang w:val="en-US"/>
              </w:rPr>
              <w:t>Flu</w:t>
            </w:r>
            <w:r w:rsidRPr="00C07B2E">
              <w:rPr>
                <w:rFonts w:eastAsia="SimSun"/>
              </w:rPr>
              <w:t>150</w:t>
            </w:r>
          </w:p>
        </w:tc>
        <w:tc>
          <w:tcPr>
            <w:tcW w:w="1872" w:type="pct"/>
            <w:gridSpan w:val="3"/>
            <w:shd w:val="clear" w:color="auto" w:fill="BFBFBF"/>
            <w:vAlign w:val="center"/>
          </w:tcPr>
          <w:p w14:paraId="7656637C" w14:textId="77777777" w:rsidR="009F7F8A" w:rsidRPr="00C07B2E" w:rsidRDefault="009F7F8A" w:rsidP="009F7F8A">
            <w:pPr>
              <w:rPr>
                <w:rFonts w:eastAsia="SimSun"/>
              </w:rPr>
            </w:pPr>
            <w:r w:rsidRPr="00C07B2E">
              <w:rPr>
                <w:rFonts w:eastAsia="SimSun"/>
                <w:lang w:val="en-US"/>
              </w:rPr>
              <w:t>Flu</w:t>
            </w:r>
            <w:r w:rsidRPr="00C07B2E">
              <w:rPr>
                <w:rFonts w:eastAsia="SimSun"/>
              </w:rPr>
              <w:t>180</w:t>
            </w:r>
          </w:p>
        </w:tc>
      </w:tr>
      <w:tr w:rsidR="009F7F8A" w:rsidRPr="00C07B2E" w14:paraId="319B7C0D" w14:textId="77777777" w:rsidTr="009F7F8A">
        <w:trPr>
          <w:cantSplit/>
          <w:trHeight w:val="791"/>
        </w:trPr>
        <w:tc>
          <w:tcPr>
            <w:tcW w:w="1408" w:type="pct"/>
            <w:gridSpan w:val="3"/>
            <w:vMerge/>
            <w:shd w:val="clear" w:color="auto" w:fill="auto"/>
            <w:vAlign w:val="center"/>
          </w:tcPr>
          <w:p w14:paraId="34223ECA" w14:textId="77777777" w:rsidR="009F7F8A" w:rsidRPr="00C07B2E" w:rsidRDefault="009F7F8A" w:rsidP="009F7F8A">
            <w:pPr>
              <w:rPr>
                <w:rFonts w:eastAsia="SimSun"/>
              </w:rPr>
            </w:pPr>
          </w:p>
        </w:tc>
        <w:tc>
          <w:tcPr>
            <w:tcW w:w="581" w:type="pct"/>
            <w:shd w:val="clear" w:color="auto" w:fill="BFBFBF"/>
            <w:vAlign w:val="center"/>
          </w:tcPr>
          <w:p w14:paraId="20CFA5D3" w14:textId="77777777" w:rsidR="009F7F8A" w:rsidRPr="00C07B2E" w:rsidRDefault="009F7F8A" w:rsidP="009F7F8A">
            <w:pPr>
              <w:rPr>
                <w:rFonts w:eastAsia="SimSun"/>
              </w:rPr>
            </w:pPr>
            <w:r w:rsidRPr="00C07B2E">
              <w:rPr>
                <w:rFonts w:eastAsia="SimSun"/>
                <w:lang w:val="en-US"/>
              </w:rPr>
              <w:t>Bu</w:t>
            </w:r>
            <w:r w:rsidRPr="00C07B2E">
              <w:rPr>
                <w:rFonts w:eastAsia="SimSun"/>
              </w:rPr>
              <w:t>12</w:t>
            </w:r>
          </w:p>
        </w:tc>
        <w:tc>
          <w:tcPr>
            <w:tcW w:w="539" w:type="pct"/>
            <w:shd w:val="clear" w:color="auto" w:fill="BFBFBF"/>
            <w:vAlign w:val="center"/>
          </w:tcPr>
          <w:p w14:paraId="59194C58" w14:textId="77777777" w:rsidR="009F7F8A" w:rsidRPr="00C07B2E" w:rsidRDefault="009F7F8A" w:rsidP="009F7F8A">
            <w:pPr>
              <w:rPr>
                <w:rFonts w:eastAsia="SimSun"/>
              </w:rPr>
            </w:pPr>
            <w:r w:rsidRPr="00C07B2E">
              <w:rPr>
                <w:rFonts w:eastAsia="SimSun"/>
                <w:lang w:val="en-US"/>
              </w:rPr>
              <w:t>TBI</w:t>
            </w:r>
          </w:p>
        </w:tc>
        <w:tc>
          <w:tcPr>
            <w:tcW w:w="600" w:type="pct"/>
            <w:shd w:val="clear" w:color="auto" w:fill="BFBFBF"/>
            <w:vAlign w:val="center"/>
          </w:tcPr>
          <w:p w14:paraId="3A92AAC1" w14:textId="77777777" w:rsidR="009F7F8A" w:rsidRPr="00C07B2E" w:rsidRDefault="009F7F8A" w:rsidP="009F7F8A">
            <w:pPr>
              <w:rPr>
                <w:rFonts w:eastAsia="SimSun"/>
              </w:rPr>
            </w:pPr>
            <w:r w:rsidRPr="00C07B2E">
              <w:rPr>
                <w:rFonts w:eastAsia="SimSun"/>
                <w:lang w:val="en-US"/>
              </w:rPr>
              <w:t>Bu</w:t>
            </w:r>
            <w:r w:rsidRPr="00C07B2E">
              <w:rPr>
                <w:rFonts w:eastAsia="SimSun"/>
              </w:rPr>
              <w:t>12</w:t>
            </w:r>
          </w:p>
        </w:tc>
        <w:tc>
          <w:tcPr>
            <w:tcW w:w="600" w:type="pct"/>
            <w:shd w:val="clear" w:color="auto" w:fill="BFBFBF"/>
            <w:vAlign w:val="center"/>
          </w:tcPr>
          <w:p w14:paraId="27AD7F56" w14:textId="77777777" w:rsidR="009F7F8A" w:rsidRPr="00C07B2E" w:rsidRDefault="009F7F8A" w:rsidP="009F7F8A">
            <w:pPr>
              <w:rPr>
                <w:rFonts w:eastAsia="SimSun"/>
              </w:rPr>
            </w:pPr>
            <w:r w:rsidRPr="00C07B2E">
              <w:rPr>
                <w:rFonts w:eastAsia="SimSun"/>
                <w:lang w:val="en-US"/>
              </w:rPr>
              <w:t>Bu</w:t>
            </w:r>
            <w:r w:rsidRPr="00C07B2E">
              <w:rPr>
                <w:rFonts w:eastAsia="SimSun"/>
              </w:rPr>
              <w:t>12</w:t>
            </w:r>
          </w:p>
        </w:tc>
        <w:tc>
          <w:tcPr>
            <w:tcW w:w="600" w:type="pct"/>
            <w:shd w:val="clear" w:color="auto" w:fill="BFBFBF"/>
            <w:vAlign w:val="center"/>
          </w:tcPr>
          <w:p w14:paraId="45FADC2F" w14:textId="77777777" w:rsidR="009F7F8A" w:rsidRPr="00C07B2E" w:rsidRDefault="009F7F8A" w:rsidP="009F7F8A">
            <w:pPr>
              <w:rPr>
                <w:rFonts w:eastAsia="SimSun"/>
              </w:rPr>
            </w:pPr>
            <w:r w:rsidRPr="00C07B2E">
              <w:rPr>
                <w:rFonts w:eastAsia="SimSun"/>
                <w:lang w:val="en-US"/>
              </w:rPr>
              <w:t>Bu</w:t>
            </w:r>
            <w:r w:rsidRPr="00C07B2E">
              <w:rPr>
                <w:rFonts w:eastAsia="SimSun"/>
              </w:rPr>
              <w:t>14</w:t>
            </w:r>
          </w:p>
        </w:tc>
        <w:tc>
          <w:tcPr>
            <w:tcW w:w="672" w:type="pct"/>
            <w:shd w:val="clear" w:color="auto" w:fill="BFBFBF"/>
            <w:vAlign w:val="center"/>
          </w:tcPr>
          <w:p w14:paraId="43DDDE07" w14:textId="77777777" w:rsidR="009F7F8A" w:rsidRPr="00C07B2E" w:rsidRDefault="009F7F8A" w:rsidP="009F7F8A">
            <w:pPr>
              <w:rPr>
                <w:rFonts w:eastAsia="SimSun"/>
              </w:rPr>
            </w:pPr>
            <w:r w:rsidRPr="00C07B2E">
              <w:rPr>
                <w:rFonts w:eastAsia="SimSun"/>
                <w:lang w:val="en-US"/>
              </w:rPr>
              <w:t>Treo</w:t>
            </w:r>
            <w:r w:rsidRPr="00C07B2E">
              <w:rPr>
                <w:rFonts w:eastAsia="SimSun"/>
              </w:rPr>
              <w:t>42</w:t>
            </w:r>
          </w:p>
        </w:tc>
      </w:tr>
      <w:tr w:rsidR="009F7F8A" w:rsidRPr="00C07B2E" w14:paraId="622719B1" w14:textId="77777777" w:rsidTr="009F7F8A">
        <w:trPr>
          <w:cantSplit/>
          <w:trHeight w:val="1020"/>
        </w:trPr>
        <w:tc>
          <w:tcPr>
            <w:tcW w:w="697" w:type="pct"/>
            <w:shd w:val="clear" w:color="auto" w:fill="BFBFBF"/>
            <w:vAlign w:val="center"/>
          </w:tcPr>
          <w:p w14:paraId="34F2B978" w14:textId="77777777" w:rsidR="009F7F8A" w:rsidRPr="00C07B2E" w:rsidRDefault="009F7F8A" w:rsidP="009F7F8A">
            <w:pPr>
              <w:rPr>
                <w:rFonts w:eastAsia="SimSun"/>
              </w:rPr>
            </w:pPr>
            <w:r w:rsidRPr="00C07B2E">
              <w:rPr>
                <w:rFonts w:eastAsia="SimSun"/>
              </w:rPr>
              <w:t>-</w:t>
            </w:r>
          </w:p>
        </w:tc>
        <w:tc>
          <w:tcPr>
            <w:tcW w:w="283" w:type="pct"/>
            <w:shd w:val="clear" w:color="auto" w:fill="BFBFBF"/>
            <w:vAlign w:val="center"/>
          </w:tcPr>
          <w:p w14:paraId="5EC1F3A7" w14:textId="77777777" w:rsidR="009F7F8A" w:rsidRPr="00C07B2E" w:rsidRDefault="009F7F8A" w:rsidP="009F7F8A">
            <w:pPr>
              <w:rPr>
                <w:rFonts w:eastAsia="SimSun"/>
              </w:rPr>
            </w:pPr>
            <w:r w:rsidRPr="00C07B2E">
              <w:rPr>
                <w:rFonts w:eastAsia="SimSun"/>
                <w:lang w:val="en-US"/>
              </w:rPr>
              <w:t>CSA</w:t>
            </w:r>
          </w:p>
        </w:tc>
        <w:tc>
          <w:tcPr>
            <w:tcW w:w="428" w:type="pct"/>
            <w:shd w:val="clear" w:color="auto" w:fill="BFBFBF"/>
            <w:vAlign w:val="center"/>
          </w:tcPr>
          <w:p w14:paraId="51AD3D4F" w14:textId="77777777" w:rsidR="009F7F8A" w:rsidRPr="00C07B2E" w:rsidRDefault="009F7F8A" w:rsidP="009F7F8A">
            <w:pPr>
              <w:rPr>
                <w:rFonts w:eastAsia="SimSun"/>
              </w:rPr>
            </w:pPr>
            <w:r w:rsidRPr="00C07B2E">
              <w:rPr>
                <w:rFonts w:eastAsia="SimSun"/>
                <w:lang w:val="en-US"/>
              </w:rPr>
              <w:t>MTX</w:t>
            </w:r>
          </w:p>
        </w:tc>
        <w:tc>
          <w:tcPr>
            <w:tcW w:w="581" w:type="pct"/>
            <w:shd w:val="clear" w:color="auto" w:fill="auto"/>
            <w:vAlign w:val="center"/>
          </w:tcPr>
          <w:p w14:paraId="7E15F243" w14:textId="77777777" w:rsidR="009F7F8A" w:rsidRPr="00C07B2E" w:rsidRDefault="009F7F8A" w:rsidP="009F7F8A">
            <w:pPr>
              <w:rPr>
                <w:rFonts w:eastAsia="SimSun"/>
              </w:rPr>
            </w:pPr>
            <w:r>
              <w:rPr>
                <w:rFonts w:eastAsia="SimSun"/>
              </w:rPr>
              <w:t>5.</w:t>
            </w:r>
            <w:r w:rsidRPr="00C07B2E">
              <w:rPr>
                <w:rFonts w:eastAsia="SimSun"/>
              </w:rPr>
              <w:t>1.1.1</w:t>
            </w:r>
          </w:p>
        </w:tc>
        <w:tc>
          <w:tcPr>
            <w:tcW w:w="539" w:type="pct"/>
            <w:shd w:val="clear" w:color="auto" w:fill="auto"/>
            <w:vAlign w:val="center"/>
          </w:tcPr>
          <w:p w14:paraId="2AFBEA21" w14:textId="77777777" w:rsidR="009F7F8A" w:rsidRPr="00C07B2E" w:rsidRDefault="009F7F8A" w:rsidP="009F7F8A">
            <w:pPr>
              <w:rPr>
                <w:rFonts w:eastAsia="SimSun"/>
              </w:rPr>
            </w:pPr>
            <w:r>
              <w:rPr>
                <w:rFonts w:eastAsia="SimSun"/>
              </w:rPr>
              <w:t>5.</w:t>
            </w:r>
            <w:r w:rsidRPr="00C07B2E">
              <w:rPr>
                <w:rFonts w:eastAsia="SimSun"/>
              </w:rPr>
              <w:t>1.1.2</w:t>
            </w:r>
          </w:p>
        </w:tc>
        <w:tc>
          <w:tcPr>
            <w:tcW w:w="600" w:type="pct"/>
            <w:shd w:val="clear" w:color="auto" w:fill="auto"/>
            <w:vAlign w:val="center"/>
          </w:tcPr>
          <w:p w14:paraId="1D51BC26" w14:textId="77777777" w:rsidR="009F7F8A" w:rsidRPr="00C07B2E" w:rsidRDefault="009F7F8A" w:rsidP="009F7F8A">
            <w:r w:rsidRPr="00C07B2E">
              <w:rPr>
                <w:rFonts w:eastAsia="SimSun"/>
              </w:rPr>
              <w:t>-</w:t>
            </w:r>
          </w:p>
        </w:tc>
        <w:tc>
          <w:tcPr>
            <w:tcW w:w="600" w:type="pct"/>
            <w:shd w:val="clear" w:color="auto" w:fill="auto"/>
            <w:vAlign w:val="center"/>
          </w:tcPr>
          <w:p w14:paraId="63ABAE35" w14:textId="77777777" w:rsidR="009F7F8A" w:rsidRPr="00C07B2E" w:rsidRDefault="009F7F8A" w:rsidP="009F7F8A">
            <w:r w:rsidRPr="00C07B2E">
              <w:rPr>
                <w:rFonts w:eastAsia="SimSun"/>
              </w:rPr>
              <w:t>-</w:t>
            </w:r>
          </w:p>
        </w:tc>
        <w:tc>
          <w:tcPr>
            <w:tcW w:w="600" w:type="pct"/>
            <w:shd w:val="clear" w:color="auto" w:fill="auto"/>
            <w:vAlign w:val="center"/>
          </w:tcPr>
          <w:p w14:paraId="4C470E21" w14:textId="77777777" w:rsidR="009F7F8A" w:rsidRPr="00C07B2E" w:rsidRDefault="009F7F8A" w:rsidP="009F7F8A">
            <w:r w:rsidRPr="00C07B2E">
              <w:rPr>
                <w:rFonts w:eastAsia="SimSun"/>
              </w:rPr>
              <w:t>-</w:t>
            </w:r>
          </w:p>
        </w:tc>
        <w:tc>
          <w:tcPr>
            <w:tcW w:w="672" w:type="pct"/>
            <w:shd w:val="clear" w:color="auto" w:fill="auto"/>
            <w:vAlign w:val="center"/>
          </w:tcPr>
          <w:p w14:paraId="5CF5F0E3" w14:textId="77777777" w:rsidR="009F7F8A" w:rsidRPr="00C07B2E" w:rsidRDefault="009F7F8A" w:rsidP="009F7F8A">
            <w:r w:rsidRPr="00C07B2E">
              <w:rPr>
                <w:rFonts w:eastAsia="SimSun"/>
              </w:rPr>
              <w:t>-</w:t>
            </w:r>
          </w:p>
        </w:tc>
      </w:tr>
      <w:tr w:rsidR="009F7F8A" w:rsidRPr="00C07B2E" w14:paraId="3B555C0A" w14:textId="77777777" w:rsidTr="009F7F8A">
        <w:trPr>
          <w:cantSplit/>
          <w:trHeight w:val="1020"/>
        </w:trPr>
        <w:tc>
          <w:tcPr>
            <w:tcW w:w="697" w:type="pct"/>
            <w:shd w:val="clear" w:color="auto" w:fill="BFBFBF"/>
            <w:vAlign w:val="center"/>
          </w:tcPr>
          <w:p w14:paraId="1111845A" w14:textId="77777777" w:rsidR="009F7F8A" w:rsidRPr="00C07B2E" w:rsidRDefault="009F7F8A" w:rsidP="009F7F8A">
            <w:pPr>
              <w:rPr>
                <w:rFonts w:eastAsia="SimSun"/>
                <w:lang w:val="en-US"/>
              </w:rPr>
            </w:pPr>
            <w:r w:rsidRPr="00C07B2E">
              <w:rPr>
                <w:rFonts w:eastAsia="SimSun"/>
                <w:lang w:val="en-US"/>
              </w:rPr>
              <w:t>-</w:t>
            </w:r>
          </w:p>
        </w:tc>
        <w:tc>
          <w:tcPr>
            <w:tcW w:w="283" w:type="pct"/>
            <w:shd w:val="clear" w:color="auto" w:fill="BFBFBF"/>
            <w:vAlign w:val="center"/>
          </w:tcPr>
          <w:p w14:paraId="680F3D7F" w14:textId="77777777" w:rsidR="009F7F8A" w:rsidRPr="00C07B2E" w:rsidRDefault="009F7F8A" w:rsidP="009F7F8A">
            <w:pPr>
              <w:rPr>
                <w:rFonts w:eastAsia="SimSun"/>
                <w:lang w:val="en-US"/>
              </w:rPr>
            </w:pPr>
            <w:r w:rsidRPr="00C07B2E">
              <w:rPr>
                <w:rFonts w:eastAsia="SimSun"/>
                <w:lang w:val="en-US"/>
              </w:rPr>
              <w:t>Tx</w:t>
            </w:r>
          </w:p>
        </w:tc>
        <w:tc>
          <w:tcPr>
            <w:tcW w:w="428" w:type="pct"/>
            <w:shd w:val="clear" w:color="auto" w:fill="BFBFBF"/>
            <w:vAlign w:val="center"/>
          </w:tcPr>
          <w:p w14:paraId="2BB711F2" w14:textId="77777777" w:rsidR="009F7F8A" w:rsidRPr="00C07B2E" w:rsidRDefault="009F7F8A" w:rsidP="009F7F8A">
            <w:pPr>
              <w:rPr>
                <w:rFonts w:eastAsia="SimSun"/>
                <w:lang w:val="en-US"/>
              </w:rPr>
            </w:pPr>
            <w:r w:rsidRPr="00C07B2E">
              <w:rPr>
                <w:rFonts w:eastAsia="SimSun"/>
                <w:lang w:val="en-US"/>
              </w:rPr>
              <w:t>MMF30</w:t>
            </w:r>
          </w:p>
        </w:tc>
        <w:tc>
          <w:tcPr>
            <w:tcW w:w="581" w:type="pct"/>
            <w:shd w:val="clear" w:color="auto" w:fill="auto"/>
            <w:vAlign w:val="center"/>
          </w:tcPr>
          <w:p w14:paraId="29383E77" w14:textId="77777777" w:rsidR="009F7F8A" w:rsidRPr="00C07B2E" w:rsidRDefault="009F7F8A" w:rsidP="009F7F8A">
            <w:r w:rsidRPr="00C07B2E">
              <w:rPr>
                <w:rFonts w:eastAsia="SimSun"/>
              </w:rPr>
              <w:t>-</w:t>
            </w:r>
          </w:p>
        </w:tc>
        <w:tc>
          <w:tcPr>
            <w:tcW w:w="539" w:type="pct"/>
            <w:shd w:val="clear" w:color="auto" w:fill="auto"/>
            <w:vAlign w:val="center"/>
          </w:tcPr>
          <w:p w14:paraId="6DC134FE" w14:textId="77777777" w:rsidR="009F7F8A" w:rsidRPr="00C07B2E" w:rsidRDefault="009F7F8A" w:rsidP="009F7F8A">
            <w:r w:rsidRPr="00C07B2E">
              <w:rPr>
                <w:rFonts w:eastAsia="SimSun"/>
              </w:rPr>
              <w:t>-</w:t>
            </w:r>
          </w:p>
        </w:tc>
        <w:tc>
          <w:tcPr>
            <w:tcW w:w="600" w:type="pct"/>
            <w:shd w:val="clear" w:color="auto" w:fill="auto"/>
            <w:vAlign w:val="center"/>
          </w:tcPr>
          <w:p w14:paraId="281AE558" w14:textId="77777777" w:rsidR="009F7F8A" w:rsidRPr="00C07B2E" w:rsidRDefault="009F7F8A" w:rsidP="009F7F8A">
            <w:r w:rsidRPr="00C07B2E">
              <w:rPr>
                <w:rFonts w:eastAsia="SimSun"/>
              </w:rPr>
              <w:t>-</w:t>
            </w:r>
          </w:p>
        </w:tc>
        <w:tc>
          <w:tcPr>
            <w:tcW w:w="600" w:type="pct"/>
            <w:shd w:val="clear" w:color="auto" w:fill="auto"/>
            <w:vAlign w:val="center"/>
          </w:tcPr>
          <w:p w14:paraId="2ADD1831" w14:textId="77777777" w:rsidR="009F7F8A" w:rsidRPr="00C07B2E" w:rsidRDefault="009F7F8A" w:rsidP="009F7F8A">
            <w:pPr>
              <w:rPr>
                <w:rFonts w:eastAsia="SimSun"/>
                <w:lang w:val="en-US"/>
              </w:rPr>
            </w:pPr>
            <w:r>
              <w:rPr>
                <w:rFonts w:eastAsia="SimSun"/>
                <w:lang w:val="en-US"/>
              </w:rPr>
              <w:t>5.</w:t>
            </w:r>
            <w:r w:rsidRPr="00C07B2E">
              <w:rPr>
                <w:rFonts w:eastAsia="SimSun"/>
                <w:lang w:val="en-US"/>
              </w:rPr>
              <w:t>1.1.4</w:t>
            </w:r>
          </w:p>
        </w:tc>
        <w:tc>
          <w:tcPr>
            <w:tcW w:w="600" w:type="pct"/>
            <w:shd w:val="clear" w:color="auto" w:fill="auto"/>
            <w:vAlign w:val="center"/>
          </w:tcPr>
          <w:p w14:paraId="7EF5E49E" w14:textId="77777777" w:rsidR="009F7F8A" w:rsidRPr="00C07B2E" w:rsidRDefault="009F7F8A" w:rsidP="009F7F8A">
            <w:pPr>
              <w:rPr>
                <w:rFonts w:eastAsia="SimSun"/>
                <w:lang w:val="en-US"/>
              </w:rPr>
            </w:pPr>
            <w:r>
              <w:rPr>
                <w:rFonts w:eastAsia="SimSun"/>
                <w:lang w:val="en-US"/>
              </w:rPr>
              <w:t>5.</w:t>
            </w:r>
            <w:r w:rsidRPr="00C07B2E">
              <w:rPr>
                <w:rFonts w:eastAsia="SimSun"/>
                <w:lang w:val="en-US"/>
              </w:rPr>
              <w:t>1.1.11</w:t>
            </w:r>
          </w:p>
        </w:tc>
        <w:tc>
          <w:tcPr>
            <w:tcW w:w="672" w:type="pct"/>
            <w:shd w:val="clear" w:color="auto" w:fill="auto"/>
            <w:vAlign w:val="center"/>
          </w:tcPr>
          <w:p w14:paraId="3A5072EA" w14:textId="77777777" w:rsidR="009F7F8A" w:rsidRPr="00C07B2E" w:rsidRDefault="009F7F8A" w:rsidP="009F7F8A">
            <w:pPr>
              <w:rPr>
                <w:rFonts w:eastAsia="SimSun"/>
                <w:lang w:val="en-US"/>
              </w:rPr>
            </w:pPr>
            <w:r>
              <w:rPr>
                <w:rFonts w:eastAsia="SimSun"/>
                <w:lang w:val="en-US"/>
              </w:rPr>
              <w:t>5.</w:t>
            </w:r>
            <w:r w:rsidRPr="00C07B2E">
              <w:rPr>
                <w:rFonts w:eastAsia="SimSun"/>
                <w:lang w:val="en-US"/>
              </w:rPr>
              <w:t>1.1.12</w:t>
            </w:r>
          </w:p>
        </w:tc>
      </w:tr>
      <w:tr w:rsidR="009F7F8A" w:rsidRPr="00C07B2E" w14:paraId="23316D10" w14:textId="77777777" w:rsidTr="009F7F8A">
        <w:trPr>
          <w:cantSplit/>
          <w:trHeight w:val="1020"/>
        </w:trPr>
        <w:tc>
          <w:tcPr>
            <w:tcW w:w="697" w:type="pct"/>
            <w:vMerge w:val="restart"/>
            <w:shd w:val="clear" w:color="auto" w:fill="BFBFBF"/>
            <w:vAlign w:val="center"/>
          </w:tcPr>
          <w:p w14:paraId="54B8CE16" w14:textId="77777777" w:rsidR="009F7F8A" w:rsidRPr="00C07B2E" w:rsidRDefault="009F7F8A" w:rsidP="009F7F8A">
            <w:pPr>
              <w:rPr>
                <w:rFonts w:eastAsia="SimSun"/>
                <w:lang w:val="en-US"/>
              </w:rPr>
            </w:pPr>
            <w:r w:rsidRPr="00C07B2E">
              <w:rPr>
                <w:rFonts w:eastAsia="SimSun"/>
                <w:lang w:val="en-US"/>
              </w:rPr>
              <w:t>PT-Cy</w:t>
            </w:r>
          </w:p>
          <w:p w14:paraId="50C715C1" w14:textId="77777777" w:rsidR="009F7F8A" w:rsidRPr="00C07B2E" w:rsidRDefault="009F7F8A" w:rsidP="009F7F8A">
            <w:pPr>
              <w:rPr>
                <w:rFonts w:eastAsia="SimSun"/>
                <w:lang w:val="en-US"/>
              </w:rPr>
            </w:pPr>
          </w:p>
        </w:tc>
        <w:tc>
          <w:tcPr>
            <w:tcW w:w="283" w:type="pct"/>
            <w:shd w:val="clear" w:color="auto" w:fill="BFBFBF"/>
            <w:vAlign w:val="center"/>
          </w:tcPr>
          <w:p w14:paraId="009A7F4F" w14:textId="77777777" w:rsidR="009F7F8A" w:rsidRPr="00C07B2E" w:rsidRDefault="009F7F8A" w:rsidP="009F7F8A">
            <w:pPr>
              <w:rPr>
                <w:rFonts w:eastAsia="SimSun"/>
                <w:lang w:val="en-US"/>
              </w:rPr>
            </w:pPr>
            <w:r w:rsidRPr="00C07B2E">
              <w:rPr>
                <w:rFonts w:eastAsia="SimSun"/>
                <w:lang w:val="en-US"/>
              </w:rPr>
              <w:t>-</w:t>
            </w:r>
          </w:p>
        </w:tc>
        <w:tc>
          <w:tcPr>
            <w:tcW w:w="428" w:type="pct"/>
            <w:shd w:val="clear" w:color="auto" w:fill="BFBFBF"/>
            <w:vAlign w:val="center"/>
          </w:tcPr>
          <w:p w14:paraId="4212A648" w14:textId="77777777" w:rsidR="009F7F8A" w:rsidRPr="00C07B2E" w:rsidRDefault="009F7F8A" w:rsidP="009F7F8A">
            <w:pPr>
              <w:rPr>
                <w:rFonts w:eastAsia="SimSun"/>
                <w:lang w:val="en-US"/>
              </w:rPr>
            </w:pPr>
            <w:r w:rsidRPr="00C07B2E">
              <w:rPr>
                <w:rFonts w:eastAsia="SimSun"/>
                <w:lang w:val="en-US"/>
              </w:rPr>
              <w:t>-</w:t>
            </w:r>
          </w:p>
        </w:tc>
        <w:tc>
          <w:tcPr>
            <w:tcW w:w="581" w:type="pct"/>
            <w:shd w:val="clear" w:color="auto" w:fill="auto"/>
            <w:vAlign w:val="center"/>
          </w:tcPr>
          <w:p w14:paraId="6081F4EB" w14:textId="77777777" w:rsidR="009F7F8A" w:rsidRPr="00C07B2E" w:rsidRDefault="009F7F8A" w:rsidP="009F7F8A">
            <w:r w:rsidRPr="00C07B2E">
              <w:rPr>
                <w:rFonts w:eastAsia="SimSun"/>
              </w:rPr>
              <w:t>-</w:t>
            </w:r>
          </w:p>
        </w:tc>
        <w:tc>
          <w:tcPr>
            <w:tcW w:w="539" w:type="pct"/>
            <w:shd w:val="clear" w:color="auto" w:fill="auto"/>
            <w:vAlign w:val="center"/>
          </w:tcPr>
          <w:p w14:paraId="749DBBBA" w14:textId="77777777" w:rsidR="009F7F8A" w:rsidRPr="00C07B2E" w:rsidRDefault="009F7F8A" w:rsidP="009F7F8A">
            <w:r w:rsidRPr="00C07B2E">
              <w:rPr>
                <w:rFonts w:eastAsia="SimSun"/>
              </w:rPr>
              <w:t>-</w:t>
            </w:r>
          </w:p>
        </w:tc>
        <w:tc>
          <w:tcPr>
            <w:tcW w:w="600" w:type="pct"/>
            <w:shd w:val="clear" w:color="auto" w:fill="auto"/>
            <w:vAlign w:val="center"/>
          </w:tcPr>
          <w:p w14:paraId="6237BF09" w14:textId="77777777" w:rsidR="009F7F8A" w:rsidRPr="00C07B2E" w:rsidRDefault="009F7F8A" w:rsidP="009F7F8A">
            <w:r w:rsidRPr="00C07B2E">
              <w:rPr>
                <w:rFonts w:eastAsia="SimSun"/>
              </w:rPr>
              <w:t>-</w:t>
            </w:r>
          </w:p>
        </w:tc>
        <w:tc>
          <w:tcPr>
            <w:tcW w:w="600" w:type="pct"/>
            <w:shd w:val="clear" w:color="auto" w:fill="auto"/>
            <w:vAlign w:val="center"/>
          </w:tcPr>
          <w:p w14:paraId="0FA8AED7" w14:textId="77777777" w:rsidR="009F7F8A" w:rsidRPr="00C07B2E" w:rsidRDefault="009F7F8A" w:rsidP="009F7F8A">
            <w:pPr>
              <w:rPr>
                <w:rFonts w:eastAsia="SimSun"/>
                <w:lang w:val="en-US"/>
              </w:rPr>
            </w:pPr>
            <w:r>
              <w:rPr>
                <w:rFonts w:eastAsia="SimSun"/>
                <w:lang w:val="en-US"/>
              </w:rPr>
              <w:t>5.</w:t>
            </w:r>
            <w:r w:rsidRPr="00C07B2E">
              <w:rPr>
                <w:rFonts w:eastAsia="SimSun"/>
                <w:lang w:val="en-US"/>
              </w:rPr>
              <w:t>1.1.5</w:t>
            </w:r>
          </w:p>
        </w:tc>
        <w:tc>
          <w:tcPr>
            <w:tcW w:w="600" w:type="pct"/>
            <w:shd w:val="clear" w:color="auto" w:fill="auto"/>
            <w:vAlign w:val="center"/>
          </w:tcPr>
          <w:p w14:paraId="5548172A" w14:textId="77777777" w:rsidR="009F7F8A" w:rsidRPr="00C07B2E" w:rsidRDefault="009F7F8A" w:rsidP="009F7F8A">
            <w:pPr>
              <w:rPr>
                <w:rFonts w:eastAsia="SimSun"/>
                <w:lang w:val="en-US"/>
              </w:rPr>
            </w:pPr>
            <w:r>
              <w:rPr>
                <w:rFonts w:eastAsia="SimSun"/>
                <w:lang w:val="en-US"/>
              </w:rPr>
              <w:t>5.</w:t>
            </w:r>
            <w:r w:rsidRPr="00C07B2E">
              <w:rPr>
                <w:rFonts w:eastAsia="SimSun"/>
                <w:lang w:val="en-US"/>
              </w:rPr>
              <w:t>1.1.8</w:t>
            </w:r>
          </w:p>
        </w:tc>
        <w:tc>
          <w:tcPr>
            <w:tcW w:w="672" w:type="pct"/>
            <w:shd w:val="clear" w:color="auto" w:fill="auto"/>
            <w:vAlign w:val="center"/>
          </w:tcPr>
          <w:p w14:paraId="49AD94C7" w14:textId="77777777" w:rsidR="009F7F8A" w:rsidRPr="00C07B2E" w:rsidRDefault="009F7F8A" w:rsidP="009F7F8A">
            <w:r w:rsidRPr="00C07B2E">
              <w:rPr>
                <w:rFonts w:eastAsia="SimSun"/>
              </w:rPr>
              <w:t>-</w:t>
            </w:r>
          </w:p>
        </w:tc>
      </w:tr>
      <w:tr w:rsidR="009F7F8A" w:rsidRPr="00C07B2E" w14:paraId="0F1A5A57" w14:textId="77777777" w:rsidTr="009F7F8A">
        <w:trPr>
          <w:cantSplit/>
          <w:trHeight w:val="1020"/>
        </w:trPr>
        <w:tc>
          <w:tcPr>
            <w:tcW w:w="697" w:type="pct"/>
            <w:vMerge/>
            <w:shd w:val="clear" w:color="auto" w:fill="BFBFBF"/>
            <w:vAlign w:val="center"/>
          </w:tcPr>
          <w:p w14:paraId="3A31BF54" w14:textId="77777777" w:rsidR="009F7F8A" w:rsidRPr="00C07B2E" w:rsidRDefault="009F7F8A" w:rsidP="009F7F8A">
            <w:pPr>
              <w:rPr>
                <w:rFonts w:eastAsia="SimSun"/>
                <w:lang w:val="en-US"/>
              </w:rPr>
            </w:pPr>
          </w:p>
        </w:tc>
        <w:tc>
          <w:tcPr>
            <w:tcW w:w="283" w:type="pct"/>
            <w:vMerge w:val="restart"/>
            <w:shd w:val="clear" w:color="auto" w:fill="BFBFBF"/>
            <w:vAlign w:val="center"/>
          </w:tcPr>
          <w:p w14:paraId="2185BC0E" w14:textId="77777777" w:rsidR="009F7F8A" w:rsidRPr="00C07B2E" w:rsidRDefault="009F7F8A" w:rsidP="009F7F8A">
            <w:pPr>
              <w:rPr>
                <w:rFonts w:eastAsia="SimSun"/>
              </w:rPr>
            </w:pPr>
            <w:r w:rsidRPr="00C07B2E">
              <w:rPr>
                <w:rFonts w:eastAsia="SimSun"/>
                <w:lang w:val="en-US"/>
              </w:rPr>
              <w:t>CSA</w:t>
            </w:r>
          </w:p>
          <w:p w14:paraId="228C23F4" w14:textId="77777777" w:rsidR="009F7F8A" w:rsidRPr="00C07B2E" w:rsidRDefault="009F7F8A" w:rsidP="009F7F8A">
            <w:pPr>
              <w:rPr>
                <w:rFonts w:eastAsia="SimSun"/>
              </w:rPr>
            </w:pPr>
          </w:p>
        </w:tc>
        <w:tc>
          <w:tcPr>
            <w:tcW w:w="428" w:type="pct"/>
            <w:shd w:val="clear" w:color="auto" w:fill="BFBFBF"/>
            <w:vAlign w:val="center"/>
          </w:tcPr>
          <w:p w14:paraId="754C0A53" w14:textId="77777777" w:rsidR="009F7F8A" w:rsidRPr="00C07B2E" w:rsidRDefault="009F7F8A" w:rsidP="009F7F8A">
            <w:pPr>
              <w:rPr>
                <w:rFonts w:eastAsia="SimSun"/>
              </w:rPr>
            </w:pPr>
            <w:r w:rsidRPr="00C07B2E">
              <w:rPr>
                <w:rFonts w:eastAsia="SimSun"/>
                <w:lang w:val="en-US"/>
              </w:rPr>
              <w:t>MMF30</w:t>
            </w:r>
          </w:p>
        </w:tc>
        <w:tc>
          <w:tcPr>
            <w:tcW w:w="581" w:type="pct"/>
            <w:shd w:val="clear" w:color="auto" w:fill="auto"/>
            <w:vAlign w:val="center"/>
          </w:tcPr>
          <w:p w14:paraId="01350552" w14:textId="77777777" w:rsidR="009F7F8A" w:rsidRPr="00C07B2E" w:rsidRDefault="009F7F8A" w:rsidP="009F7F8A">
            <w:r w:rsidRPr="00C07B2E">
              <w:rPr>
                <w:rFonts w:eastAsia="SimSun"/>
              </w:rPr>
              <w:t>-</w:t>
            </w:r>
          </w:p>
        </w:tc>
        <w:tc>
          <w:tcPr>
            <w:tcW w:w="539" w:type="pct"/>
            <w:shd w:val="clear" w:color="auto" w:fill="auto"/>
            <w:vAlign w:val="center"/>
          </w:tcPr>
          <w:p w14:paraId="6A19D54E" w14:textId="77777777" w:rsidR="009F7F8A" w:rsidRPr="00C07B2E" w:rsidRDefault="009F7F8A" w:rsidP="009F7F8A">
            <w:r w:rsidRPr="00C07B2E">
              <w:rPr>
                <w:rFonts w:eastAsia="SimSun"/>
              </w:rPr>
              <w:t>-</w:t>
            </w:r>
          </w:p>
        </w:tc>
        <w:tc>
          <w:tcPr>
            <w:tcW w:w="600" w:type="pct"/>
            <w:shd w:val="clear" w:color="auto" w:fill="auto"/>
            <w:vAlign w:val="center"/>
          </w:tcPr>
          <w:p w14:paraId="7C190C37" w14:textId="77777777" w:rsidR="009F7F8A" w:rsidRPr="00C07B2E" w:rsidRDefault="009F7F8A" w:rsidP="009F7F8A">
            <w:r w:rsidRPr="00C07B2E">
              <w:rPr>
                <w:rFonts w:eastAsia="SimSun"/>
              </w:rPr>
              <w:t>-</w:t>
            </w:r>
          </w:p>
        </w:tc>
        <w:tc>
          <w:tcPr>
            <w:tcW w:w="600" w:type="pct"/>
            <w:shd w:val="clear" w:color="auto" w:fill="auto"/>
            <w:vAlign w:val="center"/>
          </w:tcPr>
          <w:p w14:paraId="67F6A173" w14:textId="77777777" w:rsidR="009F7F8A" w:rsidRPr="00C07B2E" w:rsidRDefault="009F7F8A" w:rsidP="009F7F8A">
            <w:pPr>
              <w:rPr>
                <w:rFonts w:eastAsia="SimSun"/>
                <w:lang w:val="en-US"/>
              </w:rPr>
            </w:pPr>
            <w:r>
              <w:rPr>
                <w:rFonts w:eastAsia="SimSun"/>
                <w:lang w:val="en-US"/>
              </w:rPr>
              <w:t>5.</w:t>
            </w:r>
            <w:r w:rsidRPr="00C07B2E">
              <w:rPr>
                <w:rFonts w:eastAsia="SimSun"/>
                <w:lang w:val="en-US"/>
              </w:rPr>
              <w:t>1.1.7</w:t>
            </w:r>
          </w:p>
        </w:tc>
        <w:tc>
          <w:tcPr>
            <w:tcW w:w="600" w:type="pct"/>
            <w:shd w:val="clear" w:color="auto" w:fill="auto"/>
            <w:vAlign w:val="center"/>
          </w:tcPr>
          <w:p w14:paraId="7B9CA233" w14:textId="77777777" w:rsidR="009F7F8A" w:rsidRPr="00C07B2E" w:rsidRDefault="009F7F8A" w:rsidP="009F7F8A">
            <w:pPr>
              <w:rPr>
                <w:rFonts w:eastAsia="SimSun"/>
                <w:lang w:val="en-US"/>
              </w:rPr>
            </w:pPr>
            <w:r>
              <w:rPr>
                <w:rFonts w:eastAsia="SimSun"/>
                <w:lang w:val="en-US"/>
              </w:rPr>
              <w:t>5.</w:t>
            </w:r>
            <w:r w:rsidRPr="00C07B2E">
              <w:rPr>
                <w:rFonts w:eastAsia="SimSun"/>
                <w:lang w:val="en-US"/>
              </w:rPr>
              <w:t>1.1.10</w:t>
            </w:r>
          </w:p>
        </w:tc>
        <w:tc>
          <w:tcPr>
            <w:tcW w:w="672" w:type="pct"/>
            <w:shd w:val="clear" w:color="auto" w:fill="auto"/>
            <w:vAlign w:val="center"/>
          </w:tcPr>
          <w:p w14:paraId="43076E2C" w14:textId="77777777" w:rsidR="009F7F8A" w:rsidRPr="00C07B2E" w:rsidRDefault="009F7F8A" w:rsidP="009F7F8A">
            <w:r w:rsidRPr="00C07B2E">
              <w:rPr>
                <w:rFonts w:eastAsia="SimSun"/>
              </w:rPr>
              <w:t>-</w:t>
            </w:r>
          </w:p>
        </w:tc>
      </w:tr>
      <w:tr w:rsidR="009F7F8A" w:rsidRPr="00C07B2E" w14:paraId="1F320C50" w14:textId="77777777" w:rsidTr="009F7F8A">
        <w:trPr>
          <w:cantSplit/>
          <w:trHeight w:val="1020"/>
        </w:trPr>
        <w:tc>
          <w:tcPr>
            <w:tcW w:w="697" w:type="pct"/>
            <w:vMerge/>
            <w:shd w:val="clear" w:color="auto" w:fill="BFBFBF"/>
            <w:vAlign w:val="center"/>
          </w:tcPr>
          <w:p w14:paraId="0108729B" w14:textId="77777777" w:rsidR="009F7F8A" w:rsidRPr="00C07B2E" w:rsidRDefault="009F7F8A" w:rsidP="009F7F8A">
            <w:pPr>
              <w:rPr>
                <w:rFonts w:eastAsia="SimSun"/>
                <w:lang w:val="en-US"/>
              </w:rPr>
            </w:pPr>
          </w:p>
        </w:tc>
        <w:tc>
          <w:tcPr>
            <w:tcW w:w="283" w:type="pct"/>
            <w:vMerge/>
            <w:shd w:val="clear" w:color="auto" w:fill="BFBFBF"/>
            <w:vAlign w:val="center"/>
          </w:tcPr>
          <w:p w14:paraId="3C216439" w14:textId="77777777" w:rsidR="009F7F8A" w:rsidRPr="00C07B2E" w:rsidRDefault="009F7F8A" w:rsidP="009F7F8A">
            <w:pPr>
              <w:rPr>
                <w:rFonts w:eastAsia="SimSun"/>
                <w:lang w:val="en-US"/>
              </w:rPr>
            </w:pPr>
          </w:p>
        </w:tc>
        <w:tc>
          <w:tcPr>
            <w:tcW w:w="428" w:type="pct"/>
            <w:shd w:val="clear" w:color="auto" w:fill="BFBFBF"/>
            <w:vAlign w:val="center"/>
          </w:tcPr>
          <w:p w14:paraId="680EB639" w14:textId="77777777" w:rsidR="009F7F8A" w:rsidRPr="00C07B2E" w:rsidRDefault="009F7F8A" w:rsidP="009F7F8A">
            <w:pPr>
              <w:rPr>
                <w:rFonts w:eastAsia="SimSun"/>
                <w:lang w:val="en-US"/>
              </w:rPr>
            </w:pPr>
            <w:r w:rsidRPr="00C07B2E">
              <w:rPr>
                <w:rFonts w:eastAsia="SimSun"/>
                <w:lang w:val="en-US"/>
              </w:rPr>
              <w:t>MMF45</w:t>
            </w:r>
          </w:p>
        </w:tc>
        <w:tc>
          <w:tcPr>
            <w:tcW w:w="581" w:type="pct"/>
            <w:shd w:val="clear" w:color="auto" w:fill="auto"/>
            <w:vAlign w:val="center"/>
          </w:tcPr>
          <w:p w14:paraId="17719402" w14:textId="77777777" w:rsidR="009F7F8A" w:rsidRPr="00C07B2E" w:rsidRDefault="009F7F8A" w:rsidP="009F7F8A">
            <w:r w:rsidRPr="00C07B2E">
              <w:rPr>
                <w:rFonts w:eastAsia="SimSun"/>
              </w:rPr>
              <w:t>-</w:t>
            </w:r>
          </w:p>
        </w:tc>
        <w:tc>
          <w:tcPr>
            <w:tcW w:w="539" w:type="pct"/>
            <w:shd w:val="clear" w:color="auto" w:fill="auto"/>
            <w:vAlign w:val="center"/>
          </w:tcPr>
          <w:p w14:paraId="7B47C865" w14:textId="77777777" w:rsidR="009F7F8A" w:rsidRPr="00C07B2E" w:rsidRDefault="009F7F8A" w:rsidP="009F7F8A">
            <w:r w:rsidRPr="00C07B2E">
              <w:rPr>
                <w:rFonts w:eastAsia="SimSun"/>
              </w:rPr>
              <w:t>-</w:t>
            </w:r>
          </w:p>
        </w:tc>
        <w:tc>
          <w:tcPr>
            <w:tcW w:w="600" w:type="pct"/>
            <w:shd w:val="clear" w:color="auto" w:fill="auto"/>
            <w:vAlign w:val="center"/>
          </w:tcPr>
          <w:p w14:paraId="0BDFC953" w14:textId="77777777" w:rsidR="009F7F8A" w:rsidRPr="00C07B2E" w:rsidRDefault="009F7F8A" w:rsidP="009F7F8A">
            <w:pPr>
              <w:rPr>
                <w:rFonts w:eastAsia="SimSun"/>
                <w:lang w:val="en-US"/>
              </w:rPr>
            </w:pPr>
            <w:r>
              <w:rPr>
                <w:rFonts w:eastAsia="SimSun"/>
              </w:rPr>
              <w:t>5.</w:t>
            </w:r>
            <w:r w:rsidRPr="00C07B2E">
              <w:rPr>
                <w:rFonts w:eastAsia="SimSun"/>
              </w:rPr>
              <w:t>1.1.</w:t>
            </w:r>
            <w:r w:rsidRPr="00C07B2E">
              <w:rPr>
                <w:rFonts w:eastAsia="SimSun"/>
                <w:lang w:val="en-US"/>
              </w:rPr>
              <w:t>3</w:t>
            </w:r>
          </w:p>
        </w:tc>
        <w:tc>
          <w:tcPr>
            <w:tcW w:w="600" w:type="pct"/>
            <w:shd w:val="clear" w:color="auto" w:fill="auto"/>
            <w:vAlign w:val="center"/>
          </w:tcPr>
          <w:p w14:paraId="233B27BB" w14:textId="77777777" w:rsidR="009F7F8A" w:rsidRPr="00C07B2E" w:rsidRDefault="009F7F8A" w:rsidP="009F7F8A">
            <w:r w:rsidRPr="00C07B2E">
              <w:rPr>
                <w:rFonts w:eastAsia="SimSun"/>
              </w:rPr>
              <w:t>-</w:t>
            </w:r>
          </w:p>
        </w:tc>
        <w:tc>
          <w:tcPr>
            <w:tcW w:w="600" w:type="pct"/>
            <w:shd w:val="clear" w:color="auto" w:fill="auto"/>
            <w:vAlign w:val="center"/>
          </w:tcPr>
          <w:p w14:paraId="2F6FFBB7" w14:textId="77777777" w:rsidR="009F7F8A" w:rsidRPr="00C07B2E" w:rsidRDefault="009F7F8A" w:rsidP="009F7F8A">
            <w:r w:rsidRPr="00C07B2E">
              <w:rPr>
                <w:rFonts w:eastAsia="SimSun"/>
              </w:rPr>
              <w:t>-</w:t>
            </w:r>
          </w:p>
        </w:tc>
        <w:tc>
          <w:tcPr>
            <w:tcW w:w="672" w:type="pct"/>
            <w:shd w:val="clear" w:color="auto" w:fill="auto"/>
            <w:vAlign w:val="center"/>
          </w:tcPr>
          <w:p w14:paraId="76185998" w14:textId="77777777" w:rsidR="009F7F8A" w:rsidRPr="00C07B2E" w:rsidRDefault="009F7F8A" w:rsidP="009F7F8A">
            <w:r w:rsidRPr="00C07B2E">
              <w:rPr>
                <w:rFonts w:eastAsia="SimSun"/>
              </w:rPr>
              <w:t>-</w:t>
            </w:r>
          </w:p>
        </w:tc>
      </w:tr>
      <w:tr w:rsidR="009F7F8A" w:rsidRPr="00C07B2E" w14:paraId="67C45737" w14:textId="77777777" w:rsidTr="009F7F8A">
        <w:trPr>
          <w:cantSplit/>
          <w:trHeight w:val="1020"/>
        </w:trPr>
        <w:tc>
          <w:tcPr>
            <w:tcW w:w="697" w:type="pct"/>
            <w:vMerge/>
            <w:shd w:val="clear" w:color="auto" w:fill="BFBFBF"/>
            <w:vAlign w:val="center"/>
          </w:tcPr>
          <w:p w14:paraId="5E0F28B6" w14:textId="77777777" w:rsidR="009F7F8A" w:rsidRPr="00C07B2E" w:rsidRDefault="009F7F8A" w:rsidP="009F7F8A">
            <w:pPr>
              <w:rPr>
                <w:rFonts w:eastAsia="SimSun"/>
                <w:lang w:val="en-US"/>
              </w:rPr>
            </w:pPr>
          </w:p>
        </w:tc>
        <w:tc>
          <w:tcPr>
            <w:tcW w:w="283" w:type="pct"/>
            <w:shd w:val="clear" w:color="auto" w:fill="BFBFBF"/>
            <w:vAlign w:val="center"/>
          </w:tcPr>
          <w:p w14:paraId="0699AB2F" w14:textId="77777777" w:rsidR="009F7F8A" w:rsidRPr="00C07B2E" w:rsidRDefault="009F7F8A" w:rsidP="009F7F8A">
            <w:pPr>
              <w:rPr>
                <w:rFonts w:eastAsia="SimSun"/>
                <w:lang w:val="en-US"/>
              </w:rPr>
            </w:pPr>
            <w:r w:rsidRPr="00C07B2E">
              <w:rPr>
                <w:rFonts w:eastAsia="SimSun"/>
                <w:lang w:val="en-US"/>
              </w:rPr>
              <w:t>Tx</w:t>
            </w:r>
          </w:p>
        </w:tc>
        <w:tc>
          <w:tcPr>
            <w:tcW w:w="428" w:type="pct"/>
            <w:shd w:val="clear" w:color="auto" w:fill="BFBFBF"/>
            <w:vAlign w:val="center"/>
          </w:tcPr>
          <w:p w14:paraId="5048CE1D" w14:textId="77777777" w:rsidR="009F7F8A" w:rsidRPr="00C07B2E" w:rsidRDefault="009F7F8A" w:rsidP="009F7F8A">
            <w:pPr>
              <w:rPr>
                <w:rFonts w:eastAsia="SimSun"/>
                <w:lang w:val="en-US"/>
              </w:rPr>
            </w:pPr>
            <w:r w:rsidRPr="00C07B2E">
              <w:rPr>
                <w:rFonts w:eastAsia="SimSun"/>
                <w:lang w:val="en-US"/>
              </w:rPr>
              <w:t>MMF30</w:t>
            </w:r>
          </w:p>
        </w:tc>
        <w:tc>
          <w:tcPr>
            <w:tcW w:w="581" w:type="pct"/>
            <w:shd w:val="clear" w:color="auto" w:fill="auto"/>
            <w:vAlign w:val="center"/>
          </w:tcPr>
          <w:p w14:paraId="1418168A" w14:textId="77777777" w:rsidR="009F7F8A" w:rsidRPr="00C07B2E" w:rsidRDefault="009F7F8A" w:rsidP="009F7F8A">
            <w:r w:rsidRPr="00C07B2E">
              <w:rPr>
                <w:rFonts w:eastAsia="SimSun"/>
              </w:rPr>
              <w:t>-</w:t>
            </w:r>
          </w:p>
        </w:tc>
        <w:tc>
          <w:tcPr>
            <w:tcW w:w="539" w:type="pct"/>
            <w:shd w:val="clear" w:color="auto" w:fill="auto"/>
            <w:vAlign w:val="center"/>
          </w:tcPr>
          <w:p w14:paraId="7B25641A" w14:textId="77777777" w:rsidR="009F7F8A" w:rsidRPr="00C07B2E" w:rsidRDefault="009F7F8A" w:rsidP="009F7F8A">
            <w:r w:rsidRPr="00C07B2E">
              <w:rPr>
                <w:rFonts w:eastAsia="SimSun"/>
              </w:rPr>
              <w:t>-</w:t>
            </w:r>
          </w:p>
        </w:tc>
        <w:tc>
          <w:tcPr>
            <w:tcW w:w="600" w:type="pct"/>
            <w:shd w:val="clear" w:color="auto" w:fill="auto"/>
            <w:vAlign w:val="center"/>
          </w:tcPr>
          <w:p w14:paraId="647E2D95" w14:textId="77777777" w:rsidR="009F7F8A" w:rsidRPr="00C07B2E" w:rsidRDefault="009F7F8A" w:rsidP="009F7F8A">
            <w:r w:rsidRPr="00C07B2E">
              <w:rPr>
                <w:rFonts w:eastAsia="SimSun"/>
              </w:rPr>
              <w:t>-</w:t>
            </w:r>
          </w:p>
        </w:tc>
        <w:tc>
          <w:tcPr>
            <w:tcW w:w="600" w:type="pct"/>
            <w:shd w:val="clear" w:color="auto" w:fill="auto"/>
            <w:vAlign w:val="center"/>
          </w:tcPr>
          <w:p w14:paraId="57A79BF2" w14:textId="77777777" w:rsidR="009F7F8A" w:rsidRPr="00C07B2E" w:rsidRDefault="009F7F8A" w:rsidP="009F7F8A">
            <w:pPr>
              <w:rPr>
                <w:rFonts w:eastAsia="SimSun"/>
              </w:rPr>
            </w:pPr>
            <w:r>
              <w:rPr>
                <w:rFonts w:eastAsia="SimSun"/>
                <w:lang w:val="en-US"/>
              </w:rPr>
              <w:t>5.</w:t>
            </w:r>
            <w:r w:rsidRPr="00C07B2E">
              <w:rPr>
                <w:rFonts w:eastAsia="SimSun"/>
                <w:lang w:val="en-US"/>
              </w:rPr>
              <w:t>1.1.6</w:t>
            </w:r>
          </w:p>
        </w:tc>
        <w:tc>
          <w:tcPr>
            <w:tcW w:w="600" w:type="pct"/>
            <w:shd w:val="clear" w:color="auto" w:fill="auto"/>
            <w:vAlign w:val="center"/>
          </w:tcPr>
          <w:p w14:paraId="5416858E" w14:textId="77777777" w:rsidR="009F7F8A" w:rsidRPr="00C07B2E" w:rsidRDefault="009F7F8A" w:rsidP="009F7F8A">
            <w:pPr>
              <w:rPr>
                <w:rFonts w:eastAsia="SimSun"/>
                <w:lang w:val="en-US"/>
              </w:rPr>
            </w:pPr>
            <w:r>
              <w:rPr>
                <w:rFonts w:eastAsia="SimSun"/>
                <w:lang w:val="en-US"/>
              </w:rPr>
              <w:t>5.</w:t>
            </w:r>
            <w:r w:rsidRPr="00C07B2E">
              <w:rPr>
                <w:rFonts w:eastAsia="SimSun"/>
                <w:lang w:val="en-US"/>
              </w:rPr>
              <w:t>1.1.9</w:t>
            </w:r>
          </w:p>
        </w:tc>
        <w:tc>
          <w:tcPr>
            <w:tcW w:w="672" w:type="pct"/>
            <w:shd w:val="clear" w:color="auto" w:fill="auto"/>
            <w:vAlign w:val="center"/>
          </w:tcPr>
          <w:p w14:paraId="7F0E6EFA" w14:textId="77777777" w:rsidR="009F7F8A" w:rsidRPr="00C07B2E" w:rsidRDefault="009F7F8A" w:rsidP="009F7F8A">
            <w:r w:rsidRPr="00C07B2E">
              <w:rPr>
                <w:rFonts w:eastAsia="SimSun"/>
              </w:rPr>
              <w:t>-</w:t>
            </w:r>
          </w:p>
        </w:tc>
      </w:tr>
    </w:tbl>
    <w:p w14:paraId="7252D67C" w14:textId="77777777" w:rsidR="009F7F8A" w:rsidRPr="00C07B2E" w:rsidRDefault="009F7F8A" w:rsidP="009F7F8A">
      <w:pPr>
        <w:rPr>
          <w:rFonts w:eastAsia="SimSun"/>
        </w:rPr>
        <w:sectPr w:rsidR="009F7F8A" w:rsidRPr="00C07B2E" w:rsidSect="009F7F8A">
          <w:type w:val="continuous"/>
          <w:pgSz w:w="16839" w:h="11907" w:orient="landscape" w:code="9"/>
          <w:pgMar w:top="1134" w:right="850" w:bottom="1134" w:left="1701" w:header="709" w:footer="567" w:gutter="0"/>
          <w:cols w:space="708"/>
          <w:docGrid w:linePitch="360"/>
        </w:sectPr>
      </w:pPr>
    </w:p>
    <w:p w14:paraId="6EFB3666" w14:textId="77777777" w:rsidR="009F7F8A" w:rsidRPr="00C07B2E" w:rsidRDefault="009F7F8A" w:rsidP="009F7F8A">
      <w:pPr>
        <w:rPr>
          <w:rFonts w:eastAsia="SimSun"/>
        </w:rPr>
      </w:pPr>
      <w:bookmarkStart w:id="113" w:name="_Toc44401144"/>
      <w:r>
        <w:rPr>
          <w:rFonts w:eastAsia="SimSun"/>
        </w:rPr>
        <w:lastRenderedPageBreak/>
        <w:t>Таблица</w:t>
      </w:r>
      <w:r w:rsidRPr="00C07B2E">
        <w:rPr>
          <w:rFonts w:eastAsia="SimSun"/>
        </w:rPr>
        <w:t xml:space="preserve"> </w:t>
      </w:r>
      <w:r>
        <w:rPr>
          <w:rFonts w:eastAsia="SimSun"/>
        </w:rPr>
        <w:t>5</w:t>
      </w:r>
      <w:r w:rsidRPr="00C07B2E">
        <w:rPr>
          <w:rFonts w:eastAsia="SimSun"/>
        </w:rPr>
        <w:t>.1.1.1 – Bu12+Cy120 / CSA+MTX</w:t>
      </w:r>
      <w:bookmarkEnd w:id="113"/>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1417"/>
        <w:gridCol w:w="1418"/>
        <w:gridCol w:w="1701"/>
        <w:gridCol w:w="2268"/>
      </w:tblGrid>
      <w:tr w:rsidR="009F7F8A" w:rsidRPr="00C07B2E" w14:paraId="3F3B757A" w14:textId="77777777" w:rsidTr="009F7F8A">
        <w:trPr>
          <w:cantSplit/>
          <w:trHeight w:val="20"/>
          <w:tblHeader/>
        </w:trPr>
        <w:tc>
          <w:tcPr>
            <w:tcW w:w="709" w:type="dxa"/>
            <w:vAlign w:val="center"/>
          </w:tcPr>
          <w:p w14:paraId="3662E1DD" w14:textId="77777777" w:rsidR="009F7F8A" w:rsidRPr="00C07B2E" w:rsidRDefault="009F7F8A" w:rsidP="009F7F8A">
            <w:pPr>
              <w:ind w:left="57" w:right="57"/>
              <w:rPr>
                <w:rFonts w:eastAsia="SimSun"/>
              </w:rPr>
            </w:pPr>
            <w:bookmarkStart w:id="114" w:name="_Hlk513908710"/>
          </w:p>
        </w:tc>
        <w:tc>
          <w:tcPr>
            <w:tcW w:w="1843" w:type="dxa"/>
            <w:vAlign w:val="center"/>
          </w:tcPr>
          <w:p w14:paraId="0A7FAA0A" w14:textId="77777777" w:rsidR="009F7F8A" w:rsidRPr="00C07B2E" w:rsidRDefault="009F7F8A" w:rsidP="009F7F8A">
            <w:pPr>
              <w:ind w:left="57" w:right="57"/>
              <w:rPr>
                <w:rFonts w:eastAsia="SimSun"/>
              </w:rPr>
            </w:pPr>
            <w:r w:rsidRPr="00C07B2E">
              <w:rPr>
                <w:rFonts w:eastAsia="SimSun"/>
              </w:rPr>
              <w:t>Препарат</w:t>
            </w:r>
          </w:p>
        </w:tc>
        <w:tc>
          <w:tcPr>
            <w:tcW w:w="1417" w:type="dxa"/>
            <w:vAlign w:val="center"/>
          </w:tcPr>
          <w:p w14:paraId="5EAAF16F" w14:textId="77777777" w:rsidR="009F7F8A" w:rsidRPr="00C07B2E" w:rsidRDefault="009F7F8A" w:rsidP="009F7F8A">
            <w:pPr>
              <w:ind w:left="57" w:right="57"/>
              <w:rPr>
                <w:rFonts w:eastAsia="SimSun"/>
              </w:rPr>
            </w:pPr>
            <w:r w:rsidRPr="00C07B2E">
              <w:rPr>
                <w:rFonts w:eastAsia="SimSun"/>
              </w:rPr>
              <w:t>Суточная доза</w:t>
            </w:r>
          </w:p>
        </w:tc>
        <w:tc>
          <w:tcPr>
            <w:tcW w:w="1418" w:type="dxa"/>
            <w:vAlign w:val="center"/>
          </w:tcPr>
          <w:p w14:paraId="5EFD2B2E" w14:textId="77777777" w:rsidR="009F7F8A" w:rsidRPr="00C07B2E" w:rsidRDefault="009F7F8A" w:rsidP="009F7F8A">
            <w:pPr>
              <w:ind w:left="57" w:right="57"/>
              <w:rPr>
                <w:rFonts w:eastAsia="SimSun"/>
              </w:rPr>
            </w:pPr>
            <w:r w:rsidRPr="00C07B2E">
              <w:rPr>
                <w:rFonts w:eastAsia="SimSun"/>
              </w:rPr>
              <w:t>Курсовая доза</w:t>
            </w:r>
          </w:p>
        </w:tc>
        <w:tc>
          <w:tcPr>
            <w:tcW w:w="1701" w:type="dxa"/>
            <w:vAlign w:val="center"/>
          </w:tcPr>
          <w:p w14:paraId="316E6738" w14:textId="77777777" w:rsidR="009F7F8A" w:rsidRPr="00C07B2E" w:rsidRDefault="009F7F8A" w:rsidP="009F7F8A">
            <w:pPr>
              <w:ind w:left="57" w:right="57"/>
              <w:rPr>
                <w:rFonts w:eastAsia="SimSun"/>
              </w:rPr>
            </w:pPr>
            <w:r w:rsidRPr="00C07B2E">
              <w:rPr>
                <w:rFonts w:eastAsia="SimSun"/>
              </w:rPr>
              <w:t>Дни введения</w:t>
            </w:r>
          </w:p>
        </w:tc>
        <w:tc>
          <w:tcPr>
            <w:tcW w:w="2268" w:type="dxa"/>
            <w:vAlign w:val="center"/>
          </w:tcPr>
          <w:p w14:paraId="737A8B35" w14:textId="77777777" w:rsidR="009F7F8A" w:rsidRPr="00C07B2E" w:rsidRDefault="009F7F8A" w:rsidP="009F7F8A">
            <w:pPr>
              <w:ind w:left="57" w:right="57"/>
              <w:rPr>
                <w:rFonts w:eastAsia="SimSun"/>
              </w:rPr>
            </w:pPr>
            <w:r w:rsidRPr="00C07B2E">
              <w:rPr>
                <w:rFonts w:eastAsia="SimSun"/>
              </w:rPr>
              <w:t>Порядок введения</w:t>
            </w:r>
          </w:p>
        </w:tc>
      </w:tr>
      <w:tr w:rsidR="009F7F8A" w:rsidRPr="00C07B2E" w14:paraId="74484428" w14:textId="77777777" w:rsidTr="009F7F8A">
        <w:trPr>
          <w:cantSplit/>
          <w:trHeight w:val="20"/>
        </w:trPr>
        <w:tc>
          <w:tcPr>
            <w:tcW w:w="709" w:type="dxa"/>
            <w:vMerge w:val="restart"/>
            <w:textDirection w:val="btLr"/>
            <w:vAlign w:val="center"/>
          </w:tcPr>
          <w:p w14:paraId="6716A1A9" w14:textId="77777777" w:rsidR="009F7F8A" w:rsidRPr="00C07B2E" w:rsidRDefault="009F7F8A" w:rsidP="009F7F8A">
            <w:pPr>
              <w:ind w:left="57" w:right="57"/>
              <w:rPr>
                <w:rFonts w:eastAsia="SimSun"/>
              </w:rPr>
            </w:pPr>
            <w:r w:rsidRPr="00C07B2E">
              <w:rPr>
                <w:rFonts w:eastAsia="SimSun"/>
              </w:rPr>
              <w:t>Кондиционирование</w:t>
            </w:r>
          </w:p>
        </w:tc>
        <w:tc>
          <w:tcPr>
            <w:tcW w:w="1843" w:type="dxa"/>
            <w:vAlign w:val="center"/>
          </w:tcPr>
          <w:p w14:paraId="6A44B027" w14:textId="77777777" w:rsidR="009F7F8A" w:rsidRPr="00C07B2E" w:rsidRDefault="009F7F8A" w:rsidP="009F7F8A">
            <w:pPr>
              <w:ind w:left="57" w:right="57"/>
              <w:rPr>
                <w:rFonts w:eastAsia="SimSun"/>
              </w:rPr>
            </w:pPr>
            <w:r w:rsidRPr="00C07B2E">
              <w:rPr>
                <w:rFonts w:eastAsia="SimSun"/>
              </w:rPr>
              <w:t>Бусульфан</w:t>
            </w:r>
          </w:p>
        </w:tc>
        <w:tc>
          <w:tcPr>
            <w:tcW w:w="1417" w:type="dxa"/>
            <w:vAlign w:val="center"/>
          </w:tcPr>
          <w:p w14:paraId="6826A740" w14:textId="77777777" w:rsidR="009F7F8A" w:rsidRPr="00C07B2E" w:rsidRDefault="009F7F8A" w:rsidP="009F7F8A">
            <w:pPr>
              <w:ind w:left="57" w:right="57"/>
              <w:rPr>
                <w:rFonts w:eastAsia="SimSun"/>
              </w:rPr>
            </w:pPr>
            <w:r w:rsidRPr="00C07B2E">
              <w:rPr>
                <w:rFonts w:eastAsia="SimSun"/>
              </w:rPr>
              <w:t>4 мг/кг</w:t>
            </w:r>
          </w:p>
        </w:tc>
        <w:tc>
          <w:tcPr>
            <w:tcW w:w="1418" w:type="dxa"/>
            <w:vAlign w:val="center"/>
          </w:tcPr>
          <w:p w14:paraId="2DEB2F59" w14:textId="77777777" w:rsidR="009F7F8A" w:rsidRPr="00C07B2E" w:rsidRDefault="009F7F8A" w:rsidP="009F7F8A">
            <w:pPr>
              <w:ind w:left="57" w:right="57"/>
              <w:rPr>
                <w:rFonts w:eastAsia="SimSun"/>
              </w:rPr>
            </w:pPr>
            <w:r w:rsidRPr="00C07B2E">
              <w:rPr>
                <w:rFonts w:eastAsia="SimSun"/>
                <w:lang w:val="en-US"/>
              </w:rPr>
              <w:t>12</w:t>
            </w:r>
            <w:r w:rsidRPr="00C07B2E">
              <w:rPr>
                <w:rFonts w:eastAsia="SimSun"/>
              </w:rPr>
              <w:t xml:space="preserve"> мг/кг</w:t>
            </w:r>
          </w:p>
        </w:tc>
        <w:tc>
          <w:tcPr>
            <w:tcW w:w="1701" w:type="dxa"/>
            <w:vAlign w:val="center"/>
          </w:tcPr>
          <w:p w14:paraId="32842ECB" w14:textId="77777777" w:rsidR="009F7F8A" w:rsidRPr="00C07B2E" w:rsidRDefault="009F7F8A" w:rsidP="009F7F8A">
            <w:pPr>
              <w:ind w:left="57" w:right="57"/>
              <w:rPr>
                <w:rFonts w:eastAsia="SimSun"/>
              </w:rPr>
            </w:pPr>
            <w:r w:rsidRPr="00C07B2E">
              <w:rPr>
                <w:rFonts w:eastAsia="SimSun"/>
                <w:lang w:val="en-US"/>
              </w:rPr>
              <w:t>C</w:t>
            </w:r>
            <w:r w:rsidRPr="00C07B2E">
              <w:rPr>
                <w:rFonts w:eastAsia="SimSun"/>
              </w:rPr>
              <w:t xml:space="preserve"> –6 по –4 день </w:t>
            </w:r>
          </w:p>
        </w:tc>
        <w:tc>
          <w:tcPr>
            <w:tcW w:w="2268" w:type="dxa"/>
            <w:vAlign w:val="center"/>
          </w:tcPr>
          <w:p w14:paraId="1403E3D6" w14:textId="77777777" w:rsidR="009F7F8A" w:rsidRPr="00985050" w:rsidRDefault="009F7F8A" w:rsidP="009F7F8A">
            <w:pPr>
              <w:ind w:left="57" w:right="57"/>
              <w:rPr>
                <w:rFonts w:eastAsia="SimSun"/>
              </w:rPr>
            </w:pPr>
            <w:r w:rsidRPr="00985050">
              <w:rPr>
                <w:rFonts w:eastAsia="SimSun"/>
              </w:rPr>
              <w:t>Внутрь, суммарная суточная доза разделяется на 4 приема с интервалом 6 часов.</w:t>
            </w:r>
          </w:p>
        </w:tc>
      </w:tr>
      <w:tr w:rsidR="009F7F8A" w:rsidRPr="00C07B2E" w14:paraId="56EFFFD9" w14:textId="77777777" w:rsidTr="009F7F8A">
        <w:trPr>
          <w:cantSplit/>
          <w:trHeight w:val="1207"/>
        </w:trPr>
        <w:tc>
          <w:tcPr>
            <w:tcW w:w="709" w:type="dxa"/>
            <w:vMerge/>
            <w:vAlign w:val="center"/>
          </w:tcPr>
          <w:p w14:paraId="136BB44F" w14:textId="77777777" w:rsidR="009F7F8A" w:rsidRPr="00985050" w:rsidRDefault="009F7F8A" w:rsidP="009F7F8A">
            <w:pPr>
              <w:ind w:left="57" w:right="57"/>
              <w:rPr>
                <w:rFonts w:eastAsia="SimSun"/>
              </w:rPr>
            </w:pPr>
          </w:p>
        </w:tc>
        <w:tc>
          <w:tcPr>
            <w:tcW w:w="1843" w:type="dxa"/>
            <w:vAlign w:val="center"/>
          </w:tcPr>
          <w:p w14:paraId="25F10541" w14:textId="77777777" w:rsidR="009F7F8A" w:rsidRPr="00C07B2E" w:rsidRDefault="009F7F8A" w:rsidP="009F7F8A">
            <w:pPr>
              <w:ind w:left="57" w:right="57"/>
              <w:rPr>
                <w:rFonts w:eastAsia="SimSun"/>
              </w:rPr>
            </w:pPr>
            <w:r w:rsidRPr="00C07B2E">
              <w:rPr>
                <w:rFonts w:eastAsia="SimSun"/>
              </w:rPr>
              <w:t>Циклофосфамид</w:t>
            </w:r>
          </w:p>
        </w:tc>
        <w:tc>
          <w:tcPr>
            <w:tcW w:w="1417" w:type="dxa"/>
            <w:vAlign w:val="center"/>
          </w:tcPr>
          <w:p w14:paraId="2A635E30" w14:textId="77777777" w:rsidR="009F7F8A" w:rsidRPr="00C07B2E" w:rsidRDefault="009F7F8A" w:rsidP="009F7F8A">
            <w:pPr>
              <w:ind w:left="57" w:right="57"/>
              <w:rPr>
                <w:rFonts w:eastAsia="SimSun"/>
              </w:rPr>
            </w:pPr>
            <w:r w:rsidRPr="00C07B2E">
              <w:rPr>
                <w:rFonts w:eastAsia="SimSun"/>
              </w:rPr>
              <w:t>60 мг/кг</w:t>
            </w:r>
          </w:p>
        </w:tc>
        <w:tc>
          <w:tcPr>
            <w:tcW w:w="1418" w:type="dxa"/>
            <w:vAlign w:val="center"/>
          </w:tcPr>
          <w:p w14:paraId="41212D88" w14:textId="77777777" w:rsidR="009F7F8A" w:rsidRPr="00C07B2E" w:rsidRDefault="009F7F8A" w:rsidP="009F7F8A">
            <w:pPr>
              <w:ind w:left="57" w:right="57"/>
              <w:rPr>
                <w:rFonts w:eastAsia="SimSun"/>
              </w:rPr>
            </w:pPr>
            <w:r w:rsidRPr="00C07B2E">
              <w:rPr>
                <w:rFonts w:eastAsia="SimSun"/>
              </w:rPr>
              <w:t>120 мг/кг</w:t>
            </w:r>
          </w:p>
        </w:tc>
        <w:tc>
          <w:tcPr>
            <w:tcW w:w="1701" w:type="dxa"/>
            <w:vAlign w:val="center"/>
          </w:tcPr>
          <w:p w14:paraId="30DC88EF" w14:textId="77777777" w:rsidR="009F7F8A" w:rsidRPr="00C07B2E" w:rsidRDefault="009F7F8A" w:rsidP="009F7F8A">
            <w:pPr>
              <w:ind w:left="57" w:right="57"/>
              <w:rPr>
                <w:rFonts w:eastAsia="SimSun"/>
              </w:rPr>
            </w:pPr>
            <w:r w:rsidRPr="00C07B2E">
              <w:rPr>
                <w:rFonts w:eastAsia="SimSun"/>
                <w:lang w:val="en-US"/>
              </w:rPr>
              <w:t>–3, –2 дни</w:t>
            </w:r>
            <w:r w:rsidRPr="00C07B2E">
              <w:rPr>
                <w:rFonts w:eastAsia="SimSun"/>
              </w:rPr>
              <w:t xml:space="preserve"> </w:t>
            </w:r>
          </w:p>
        </w:tc>
        <w:tc>
          <w:tcPr>
            <w:tcW w:w="2268" w:type="dxa"/>
            <w:vAlign w:val="center"/>
          </w:tcPr>
          <w:p w14:paraId="177DFA17" w14:textId="77777777" w:rsidR="009F7F8A" w:rsidRPr="00985050" w:rsidRDefault="009F7F8A" w:rsidP="009F7F8A">
            <w:pPr>
              <w:ind w:left="57" w:right="57"/>
              <w:rPr>
                <w:rFonts w:eastAsia="SimSun"/>
              </w:rPr>
            </w:pPr>
            <w:r w:rsidRPr="00985050">
              <w:rPr>
                <w:rFonts w:eastAsia="SimSun"/>
              </w:rPr>
              <w:t xml:space="preserve">В/в, в течение 2 ч  </w:t>
            </w:r>
          </w:p>
        </w:tc>
      </w:tr>
      <w:tr w:rsidR="009F7F8A" w:rsidRPr="00C07B2E" w14:paraId="702783A6" w14:textId="77777777" w:rsidTr="009F7F8A">
        <w:trPr>
          <w:cantSplit/>
          <w:trHeight w:val="20"/>
        </w:trPr>
        <w:tc>
          <w:tcPr>
            <w:tcW w:w="709" w:type="dxa"/>
            <w:vMerge w:val="restart"/>
            <w:textDirection w:val="btLr"/>
            <w:vAlign w:val="center"/>
          </w:tcPr>
          <w:p w14:paraId="50370A36" w14:textId="77777777" w:rsidR="009F7F8A" w:rsidRPr="00C07B2E" w:rsidRDefault="009F7F8A" w:rsidP="009F7F8A">
            <w:pPr>
              <w:ind w:left="57" w:right="57"/>
              <w:rPr>
                <w:rFonts w:eastAsia="SimSun"/>
              </w:rPr>
            </w:pPr>
            <w:r w:rsidRPr="00C07B2E">
              <w:rPr>
                <w:rFonts w:eastAsia="SimSun"/>
              </w:rPr>
              <w:t>Профилактика РТПХ</w:t>
            </w:r>
          </w:p>
        </w:tc>
        <w:tc>
          <w:tcPr>
            <w:tcW w:w="1843" w:type="dxa"/>
            <w:vAlign w:val="center"/>
          </w:tcPr>
          <w:p w14:paraId="6A8FA669" w14:textId="77777777" w:rsidR="009F7F8A" w:rsidRPr="00C07B2E" w:rsidRDefault="009F7F8A" w:rsidP="009F7F8A">
            <w:pPr>
              <w:ind w:left="57" w:right="57"/>
              <w:rPr>
                <w:rFonts w:eastAsia="SimSun"/>
              </w:rPr>
            </w:pPr>
            <w:r w:rsidRPr="00C07B2E">
              <w:rPr>
                <w:rFonts w:eastAsia="SimSun"/>
              </w:rPr>
              <w:t xml:space="preserve">Циклоспорин </w:t>
            </w:r>
          </w:p>
        </w:tc>
        <w:tc>
          <w:tcPr>
            <w:tcW w:w="1417" w:type="dxa"/>
            <w:vAlign w:val="center"/>
          </w:tcPr>
          <w:p w14:paraId="23F00075" w14:textId="77777777" w:rsidR="009F7F8A" w:rsidRPr="00C07B2E" w:rsidRDefault="009F7F8A" w:rsidP="009F7F8A">
            <w:pPr>
              <w:ind w:left="57" w:right="57"/>
              <w:rPr>
                <w:rFonts w:eastAsia="SimSun"/>
              </w:rPr>
            </w:pPr>
            <w:r w:rsidRPr="00C07B2E">
              <w:rPr>
                <w:rFonts w:eastAsia="SimSun"/>
              </w:rPr>
              <w:t>3 мг/кг</w:t>
            </w:r>
          </w:p>
        </w:tc>
        <w:tc>
          <w:tcPr>
            <w:tcW w:w="1418" w:type="dxa"/>
            <w:vAlign w:val="center"/>
          </w:tcPr>
          <w:p w14:paraId="494E5B13" w14:textId="77777777" w:rsidR="009F7F8A" w:rsidRPr="00C07B2E" w:rsidRDefault="009F7F8A" w:rsidP="009F7F8A">
            <w:pPr>
              <w:ind w:left="57" w:right="57"/>
              <w:rPr>
                <w:rFonts w:eastAsia="SimSun"/>
                <w:lang w:val="en-US"/>
              </w:rPr>
            </w:pPr>
            <w:r w:rsidRPr="00C07B2E">
              <w:rPr>
                <w:rFonts w:eastAsia="SimSun"/>
                <w:lang w:val="en-US"/>
              </w:rPr>
              <w:t>–</w:t>
            </w:r>
          </w:p>
        </w:tc>
        <w:tc>
          <w:tcPr>
            <w:tcW w:w="1701" w:type="dxa"/>
            <w:vAlign w:val="center"/>
          </w:tcPr>
          <w:p w14:paraId="5E08C82F" w14:textId="77777777" w:rsidR="009F7F8A" w:rsidRPr="00C07B2E" w:rsidRDefault="009F7F8A" w:rsidP="009F7F8A">
            <w:pPr>
              <w:ind w:left="57" w:right="57"/>
              <w:rPr>
                <w:rFonts w:eastAsia="SimSun"/>
              </w:rPr>
            </w:pPr>
            <w:r w:rsidRPr="00C07B2E">
              <w:rPr>
                <w:rFonts w:eastAsia="SimSun"/>
              </w:rPr>
              <w:t>С –1 дня по +90 день, затем постепенное снижение к +180 дню</w:t>
            </w:r>
          </w:p>
        </w:tc>
        <w:tc>
          <w:tcPr>
            <w:tcW w:w="2268" w:type="dxa"/>
            <w:vAlign w:val="center"/>
          </w:tcPr>
          <w:p w14:paraId="11F49C94" w14:textId="77777777" w:rsidR="009F7F8A" w:rsidRPr="00985050" w:rsidRDefault="009F7F8A" w:rsidP="009F7F8A">
            <w:pPr>
              <w:ind w:left="57" w:right="57"/>
              <w:rPr>
                <w:rFonts w:eastAsia="SimSun"/>
              </w:rPr>
            </w:pPr>
            <w:r w:rsidRPr="00C07B2E">
              <w:rPr>
                <w:rFonts w:eastAsia="SimSun"/>
              </w:rPr>
              <w:t xml:space="preserve">В/в, 5-часовая инфузия 2 раза/сут. </w:t>
            </w:r>
            <w:r w:rsidRPr="00985050">
              <w:rPr>
                <w:rFonts w:eastAsia="SimSun"/>
              </w:rPr>
              <w:t>Перевод на прием внутрь при условии восстановления лейкоцитов &gt;</w:t>
            </w:r>
            <w:r w:rsidRPr="00C07B2E">
              <w:rPr>
                <w:rFonts w:eastAsia="SimSun"/>
                <w:lang w:val="en-US"/>
              </w:rPr>
              <w:t> </w:t>
            </w:r>
            <w:r w:rsidRPr="00985050">
              <w:rPr>
                <w:rFonts w:eastAsia="SimSun"/>
              </w:rPr>
              <w:t>1</w:t>
            </w:r>
            <w:r w:rsidRPr="00C07B2E">
              <w:rPr>
                <w:rFonts w:eastAsia="SimSun"/>
                <w:lang w:val="en-US"/>
              </w:rPr>
              <w:t> </w:t>
            </w:r>
            <w:r>
              <w:rPr>
                <w:rFonts w:eastAsia="SimSun"/>
              </w:rPr>
              <w:t>х</w:t>
            </w:r>
            <w:r w:rsidRPr="00C07B2E">
              <w:rPr>
                <w:rFonts w:eastAsia="SimSun"/>
                <w:lang w:val="en-US"/>
              </w:rPr>
              <w:t> </w:t>
            </w:r>
            <w:r w:rsidRPr="00985050">
              <w:rPr>
                <w:rFonts w:eastAsia="SimSun"/>
              </w:rPr>
              <w:t>10</w:t>
            </w:r>
            <w:r w:rsidRPr="00985050">
              <w:rPr>
                <w:rFonts w:eastAsia="SimSun"/>
                <w:vertAlign w:val="superscript"/>
              </w:rPr>
              <w:t>9</w:t>
            </w:r>
            <w:r w:rsidRPr="00985050">
              <w:rPr>
                <w:rFonts w:eastAsia="SimSun"/>
              </w:rPr>
              <w:t xml:space="preserve">/л, при отсутствии тошноты, рвоты, диареи и возможности приема внутрь.; Концентрация 150-350 нг/мл  </w:t>
            </w:r>
          </w:p>
        </w:tc>
      </w:tr>
      <w:tr w:rsidR="009F7F8A" w:rsidRPr="00C07B2E" w14:paraId="57BAF525" w14:textId="77777777" w:rsidTr="009F7F8A">
        <w:trPr>
          <w:cantSplit/>
          <w:trHeight w:val="20"/>
        </w:trPr>
        <w:tc>
          <w:tcPr>
            <w:tcW w:w="709" w:type="dxa"/>
            <w:vMerge/>
          </w:tcPr>
          <w:p w14:paraId="36F265C0" w14:textId="77777777" w:rsidR="009F7F8A" w:rsidRPr="00985050" w:rsidRDefault="009F7F8A" w:rsidP="009F7F8A">
            <w:pPr>
              <w:ind w:left="57" w:right="57"/>
              <w:rPr>
                <w:rFonts w:eastAsia="SimSun"/>
              </w:rPr>
            </w:pPr>
          </w:p>
        </w:tc>
        <w:tc>
          <w:tcPr>
            <w:tcW w:w="1843" w:type="dxa"/>
            <w:vMerge w:val="restart"/>
            <w:vAlign w:val="center"/>
          </w:tcPr>
          <w:p w14:paraId="0C3646B4" w14:textId="77777777" w:rsidR="009F7F8A" w:rsidRPr="00C07B2E" w:rsidRDefault="009F7F8A" w:rsidP="009F7F8A">
            <w:pPr>
              <w:ind w:left="57" w:right="57"/>
              <w:rPr>
                <w:rFonts w:eastAsia="SimSun"/>
              </w:rPr>
            </w:pPr>
            <w:r w:rsidRPr="00C07B2E">
              <w:rPr>
                <w:rFonts w:eastAsia="SimSun"/>
              </w:rPr>
              <w:t>Метотрексат</w:t>
            </w:r>
          </w:p>
        </w:tc>
        <w:tc>
          <w:tcPr>
            <w:tcW w:w="1417" w:type="dxa"/>
            <w:vAlign w:val="center"/>
          </w:tcPr>
          <w:p w14:paraId="1943139A" w14:textId="77777777" w:rsidR="009F7F8A" w:rsidRPr="00C07B2E" w:rsidRDefault="009F7F8A" w:rsidP="009F7F8A">
            <w:pPr>
              <w:ind w:left="57" w:right="57"/>
              <w:rPr>
                <w:rFonts w:eastAsia="SimSun"/>
              </w:rPr>
            </w:pPr>
            <w:r w:rsidRPr="00C07B2E">
              <w:rPr>
                <w:rFonts w:eastAsia="SimSun"/>
              </w:rPr>
              <w:t>15 мг/м</w:t>
            </w:r>
            <w:r w:rsidRPr="00C07B2E">
              <w:rPr>
                <w:rFonts w:eastAsia="SimSun"/>
                <w:vertAlign w:val="superscript"/>
              </w:rPr>
              <w:t>2</w:t>
            </w:r>
          </w:p>
        </w:tc>
        <w:tc>
          <w:tcPr>
            <w:tcW w:w="1418" w:type="dxa"/>
            <w:vAlign w:val="center"/>
          </w:tcPr>
          <w:p w14:paraId="3D53B4DE" w14:textId="77777777" w:rsidR="009F7F8A" w:rsidRPr="00C07B2E" w:rsidRDefault="009F7F8A" w:rsidP="009F7F8A">
            <w:pPr>
              <w:ind w:left="57" w:right="57"/>
              <w:rPr>
                <w:rFonts w:eastAsia="SimSun"/>
              </w:rPr>
            </w:pPr>
            <w:r w:rsidRPr="00C07B2E">
              <w:rPr>
                <w:rFonts w:eastAsia="SimSun"/>
                <w:lang w:val="en-US"/>
              </w:rPr>
              <w:t>–</w:t>
            </w:r>
          </w:p>
        </w:tc>
        <w:tc>
          <w:tcPr>
            <w:tcW w:w="1701" w:type="dxa"/>
            <w:vAlign w:val="center"/>
          </w:tcPr>
          <w:p w14:paraId="4F4E6BC9" w14:textId="77777777" w:rsidR="009F7F8A" w:rsidRPr="00C07B2E" w:rsidRDefault="009F7F8A" w:rsidP="009F7F8A">
            <w:pPr>
              <w:ind w:left="57" w:right="57"/>
              <w:rPr>
                <w:rFonts w:eastAsia="SimSun"/>
              </w:rPr>
            </w:pPr>
            <w:r w:rsidRPr="00C07B2E">
              <w:rPr>
                <w:rFonts w:eastAsia="SimSun"/>
              </w:rPr>
              <w:t>+1 день</w:t>
            </w:r>
          </w:p>
        </w:tc>
        <w:tc>
          <w:tcPr>
            <w:tcW w:w="2268" w:type="dxa"/>
            <w:vAlign w:val="center"/>
          </w:tcPr>
          <w:p w14:paraId="0E89CE45" w14:textId="77777777" w:rsidR="009F7F8A" w:rsidRPr="00C07B2E" w:rsidRDefault="009F7F8A" w:rsidP="009F7F8A">
            <w:pPr>
              <w:ind w:left="57" w:right="57"/>
              <w:rPr>
                <w:rFonts w:eastAsia="SimSun"/>
              </w:rPr>
            </w:pPr>
            <w:r w:rsidRPr="00C07B2E">
              <w:rPr>
                <w:rFonts w:eastAsia="SimSun"/>
              </w:rPr>
              <w:t>В/в, в 20 мл физ. р-ра</w:t>
            </w:r>
            <w:bookmarkStart w:id="115" w:name="OLE_LINK12"/>
            <w:bookmarkStart w:id="116" w:name="OLE_LINK13"/>
            <w:r w:rsidRPr="00C07B2E">
              <w:rPr>
                <w:rFonts w:eastAsia="SimSun"/>
              </w:rPr>
              <w:t xml:space="preserve"> </w:t>
            </w:r>
            <w:bookmarkEnd w:id="115"/>
            <w:bookmarkEnd w:id="116"/>
            <w:r w:rsidRPr="00C07B2E">
              <w:rPr>
                <w:rFonts w:eastAsia="SimSun"/>
              </w:rPr>
              <w:t xml:space="preserve"> </w:t>
            </w:r>
          </w:p>
        </w:tc>
      </w:tr>
      <w:tr w:rsidR="009F7F8A" w:rsidRPr="00C07B2E" w14:paraId="61E91F88" w14:textId="77777777" w:rsidTr="009F7F8A">
        <w:trPr>
          <w:cantSplit/>
          <w:trHeight w:val="464"/>
        </w:trPr>
        <w:tc>
          <w:tcPr>
            <w:tcW w:w="709" w:type="dxa"/>
            <w:vMerge/>
          </w:tcPr>
          <w:p w14:paraId="3A5B829B" w14:textId="77777777" w:rsidR="009F7F8A" w:rsidRPr="00C07B2E" w:rsidRDefault="009F7F8A" w:rsidP="009F7F8A">
            <w:pPr>
              <w:ind w:left="57" w:right="57"/>
              <w:rPr>
                <w:rFonts w:eastAsia="SimSun"/>
              </w:rPr>
            </w:pPr>
          </w:p>
        </w:tc>
        <w:tc>
          <w:tcPr>
            <w:tcW w:w="1843" w:type="dxa"/>
            <w:vMerge/>
            <w:vAlign w:val="center"/>
          </w:tcPr>
          <w:p w14:paraId="63AE38F1" w14:textId="77777777" w:rsidR="009F7F8A" w:rsidRPr="00C07B2E" w:rsidRDefault="009F7F8A" w:rsidP="009F7F8A">
            <w:pPr>
              <w:ind w:left="57" w:right="57"/>
              <w:rPr>
                <w:rFonts w:eastAsia="SimSun"/>
              </w:rPr>
            </w:pPr>
          </w:p>
        </w:tc>
        <w:tc>
          <w:tcPr>
            <w:tcW w:w="1417" w:type="dxa"/>
            <w:vAlign w:val="center"/>
          </w:tcPr>
          <w:p w14:paraId="2DCB5E14" w14:textId="77777777" w:rsidR="009F7F8A" w:rsidRPr="00C07B2E" w:rsidRDefault="009F7F8A" w:rsidP="009F7F8A">
            <w:pPr>
              <w:ind w:left="57" w:right="57"/>
              <w:rPr>
                <w:rFonts w:eastAsia="SimSun"/>
              </w:rPr>
            </w:pPr>
            <w:r w:rsidRPr="00C07B2E">
              <w:rPr>
                <w:rFonts w:eastAsia="SimSun"/>
              </w:rPr>
              <w:t>10 мг/м</w:t>
            </w:r>
            <w:r w:rsidRPr="00C07B2E">
              <w:rPr>
                <w:rFonts w:eastAsia="SimSun"/>
                <w:vertAlign w:val="superscript"/>
              </w:rPr>
              <w:t>2</w:t>
            </w:r>
          </w:p>
        </w:tc>
        <w:tc>
          <w:tcPr>
            <w:tcW w:w="1418" w:type="dxa"/>
            <w:vAlign w:val="center"/>
          </w:tcPr>
          <w:p w14:paraId="6DE4E7A6" w14:textId="77777777" w:rsidR="009F7F8A" w:rsidRPr="00C07B2E" w:rsidRDefault="009F7F8A" w:rsidP="009F7F8A">
            <w:pPr>
              <w:ind w:left="57" w:right="57"/>
              <w:rPr>
                <w:rFonts w:eastAsia="SimSun"/>
              </w:rPr>
            </w:pPr>
            <w:r w:rsidRPr="00C07B2E">
              <w:rPr>
                <w:rFonts w:eastAsia="SimSun"/>
                <w:lang w:val="en-US"/>
              </w:rPr>
              <w:t>–</w:t>
            </w:r>
          </w:p>
        </w:tc>
        <w:tc>
          <w:tcPr>
            <w:tcW w:w="1701" w:type="dxa"/>
            <w:vAlign w:val="center"/>
          </w:tcPr>
          <w:p w14:paraId="0197C8F7" w14:textId="77777777" w:rsidR="009F7F8A" w:rsidRPr="00C07B2E" w:rsidRDefault="009F7F8A" w:rsidP="009F7F8A">
            <w:pPr>
              <w:ind w:left="57" w:right="57"/>
              <w:rPr>
                <w:rFonts w:eastAsia="SimSun"/>
              </w:rPr>
            </w:pPr>
            <w:r w:rsidRPr="00C07B2E">
              <w:rPr>
                <w:rFonts w:eastAsia="SimSun"/>
              </w:rPr>
              <w:t>+3, +6, +11 дни</w:t>
            </w:r>
          </w:p>
        </w:tc>
        <w:tc>
          <w:tcPr>
            <w:tcW w:w="2268" w:type="dxa"/>
            <w:vAlign w:val="center"/>
          </w:tcPr>
          <w:p w14:paraId="3705505F" w14:textId="77777777" w:rsidR="009F7F8A" w:rsidRPr="00C07B2E" w:rsidRDefault="009F7F8A" w:rsidP="009F7F8A">
            <w:pPr>
              <w:ind w:left="57" w:right="57"/>
              <w:rPr>
                <w:rFonts w:eastAsia="SimSun"/>
              </w:rPr>
            </w:pPr>
            <w:r w:rsidRPr="00C07B2E">
              <w:rPr>
                <w:rFonts w:eastAsia="SimSun"/>
              </w:rPr>
              <w:t xml:space="preserve">В/в, в 20 мл физ. р-ра  </w:t>
            </w:r>
          </w:p>
        </w:tc>
      </w:tr>
      <w:bookmarkEnd w:id="114"/>
    </w:tbl>
    <w:p w14:paraId="476B939A" w14:textId="77777777" w:rsidR="009F7F8A" w:rsidRPr="00C07B2E" w:rsidRDefault="009F7F8A" w:rsidP="009F7F8A">
      <w:pPr>
        <w:rPr>
          <w:rFonts w:eastAsia="SimSun"/>
        </w:rPr>
      </w:pPr>
    </w:p>
    <w:p w14:paraId="050A43B4" w14:textId="77777777" w:rsidR="009F7F8A" w:rsidRPr="00C07B2E" w:rsidRDefault="009F7F8A" w:rsidP="009F7F8A">
      <w:pPr>
        <w:rPr>
          <w:rFonts w:eastAsia="SimSun"/>
        </w:rPr>
      </w:pPr>
      <w:bookmarkStart w:id="117" w:name="_Toc44401145"/>
      <w:r w:rsidRPr="00042499">
        <w:rPr>
          <w:rFonts w:eastAsia="SimSun"/>
        </w:rPr>
        <w:t>Таблица</w:t>
      </w:r>
      <w:r w:rsidRPr="00C07B2E">
        <w:rPr>
          <w:rFonts w:eastAsia="SimSun"/>
        </w:rPr>
        <w:t xml:space="preserve"> </w:t>
      </w:r>
      <w:r>
        <w:rPr>
          <w:rFonts w:eastAsia="SimSun"/>
        </w:rPr>
        <w:t>5</w:t>
      </w:r>
      <w:r w:rsidRPr="00C07B2E">
        <w:rPr>
          <w:rFonts w:eastAsia="SimSun"/>
        </w:rPr>
        <w:t>.1.1.2  – TBI+Cy120 / CSA+MTX</w:t>
      </w:r>
      <w:bookmarkEnd w:id="117"/>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1921"/>
        <w:gridCol w:w="1303"/>
        <w:gridCol w:w="1375"/>
        <w:gridCol w:w="1688"/>
        <w:gridCol w:w="2172"/>
      </w:tblGrid>
      <w:tr w:rsidR="009F7F8A" w:rsidRPr="00C07B2E" w14:paraId="361DFDCC" w14:textId="77777777" w:rsidTr="009F7F8A">
        <w:trPr>
          <w:cantSplit/>
          <w:trHeight w:val="20"/>
          <w:tblHeader/>
        </w:trPr>
        <w:tc>
          <w:tcPr>
            <w:tcW w:w="376" w:type="pct"/>
            <w:vAlign w:val="center"/>
          </w:tcPr>
          <w:p w14:paraId="75D4122D" w14:textId="77777777" w:rsidR="009F7F8A" w:rsidRPr="00C07B2E" w:rsidRDefault="009F7F8A" w:rsidP="009F7F8A">
            <w:pPr>
              <w:rPr>
                <w:rFonts w:eastAsia="SimSun"/>
              </w:rPr>
            </w:pPr>
          </w:p>
        </w:tc>
        <w:tc>
          <w:tcPr>
            <w:tcW w:w="1027" w:type="pct"/>
            <w:vAlign w:val="center"/>
          </w:tcPr>
          <w:p w14:paraId="63CA349E" w14:textId="77777777" w:rsidR="009F7F8A" w:rsidRPr="00C07B2E" w:rsidRDefault="009F7F8A" w:rsidP="009F7F8A">
            <w:pPr>
              <w:rPr>
                <w:rFonts w:eastAsia="SimSun"/>
              </w:rPr>
            </w:pPr>
            <w:r w:rsidRPr="00C07B2E">
              <w:rPr>
                <w:rFonts w:eastAsia="SimSun"/>
              </w:rPr>
              <w:t>Препарат</w:t>
            </w:r>
          </w:p>
        </w:tc>
        <w:tc>
          <w:tcPr>
            <w:tcW w:w="718" w:type="pct"/>
            <w:vAlign w:val="center"/>
          </w:tcPr>
          <w:p w14:paraId="5F517D5E" w14:textId="77777777" w:rsidR="009F7F8A" w:rsidRPr="00C07B2E" w:rsidRDefault="009F7F8A" w:rsidP="009F7F8A">
            <w:pPr>
              <w:rPr>
                <w:rFonts w:eastAsia="SimSun"/>
              </w:rPr>
            </w:pPr>
            <w:r w:rsidRPr="00C07B2E">
              <w:rPr>
                <w:rFonts w:eastAsia="SimSun"/>
              </w:rPr>
              <w:t>Суточная доза</w:t>
            </w:r>
          </w:p>
        </w:tc>
        <w:tc>
          <w:tcPr>
            <w:tcW w:w="757" w:type="pct"/>
            <w:vAlign w:val="center"/>
          </w:tcPr>
          <w:p w14:paraId="54437589" w14:textId="77777777" w:rsidR="009F7F8A" w:rsidRPr="00C07B2E" w:rsidRDefault="009F7F8A" w:rsidP="009F7F8A">
            <w:pPr>
              <w:rPr>
                <w:rFonts w:eastAsia="SimSun"/>
              </w:rPr>
            </w:pPr>
            <w:r w:rsidRPr="00C07B2E">
              <w:rPr>
                <w:rFonts w:eastAsia="SimSun"/>
              </w:rPr>
              <w:t>Курсовая доза</w:t>
            </w:r>
          </w:p>
        </w:tc>
        <w:tc>
          <w:tcPr>
            <w:tcW w:w="928" w:type="pct"/>
            <w:vAlign w:val="center"/>
          </w:tcPr>
          <w:p w14:paraId="3B00E24F" w14:textId="77777777" w:rsidR="009F7F8A" w:rsidRPr="00C07B2E" w:rsidRDefault="009F7F8A" w:rsidP="009F7F8A">
            <w:pPr>
              <w:rPr>
                <w:rFonts w:eastAsia="SimSun"/>
              </w:rPr>
            </w:pPr>
            <w:r w:rsidRPr="00C07B2E">
              <w:rPr>
                <w:rFonts w:eastAsia="SimSun"/>
              </w:rPr>
              <w:t>Дни введения</w:t>
            </w:r>
          </w:p>
        </w:tc>
        <w:tc>
          <w:tcPr>
            <w:tcW w:w="1193" w:type="pct"/>
            <w:vAlign w:val="center"/>
          </w:tcPr>
          <w:p w14:paraId="2BF6CCDD" w14:textId="77777777" w:rsidR="009F7F8A" w:rsidRPr="00C07B2E" w:rsidRDefault="009F7F8A" w:rsidP="009F7F8A">
            <w:pPr>
              <w:rPr>
                <w:rFonts w:eastAsia="SimSun"/>
              </w:rPr>
            </w:pPr>
            <w:r w:rsidRPr="00C07B2E">
              <w:rPr>
                <w:rFonts w:eastAsia="SimSun"/>
              </w:rPr>
              <w:t>Порядок введения</w:t>
            </w:r>
          </w:p>
        </w:tc>
      </w:tr>
      <w:tr w:rsidR="009F7F8A" w:rsidRPr="00C07B2E" w14:paraId="5AECECCC" w14:textId="77777777" w:rsidTr="009F7F8A">
        <w:trPr>
          <w:cantSplit/>
          <w:trHeight w:val="20"/>
        </w:trPr>
        <w:tc>
          <w:tcPr>
            <w:tcW w:w="376" w:type="pct"/>
            <w:vMerge w:val="restart"/>
            <w:textDirection w:val="btLr"/>
            <w:vAlign w:val="center"/>
          </w:tcPr>
          <w:p w14:paraId="379E47D6" w14:textId="77777777" w:rsidR="009F7F8A" w:rsidRPr="00C07B2E" w:rsidRDefault="009F7F8A" w:rsidP="009F7F8A">
            <w:pPr>
              <w:rPr>
                <w:rFonts w:eastAsia="SimSun"/>
              </w:rPr>
            </w:pPr>
            <w:r w:rsidRPr="00C07B2E">
              <w:rPr>
                <w:rFonts w:eastAsia="SimSun"/>
              </w:rPr>
              <w:t>Кондиционирование</w:t>
            </w:r>
          </w:p>
        </w:tc>
        <w:tc>
          <w:tcPr>
            <w:tcW w:w="1027" w:type="pct"/>
            <w:vAlign w:val="center"/>
          </w:tcPr>
          <w:p w14:paraId="4E36B695" w14:textId="77777777" w:rsidR="009F7F8A" w:rsidRPr="00C07B2E" w:rsidRDefault="009F7F8A" w:rsidP="009F7F8A">
            <w:pPr>
              <w:rPr>
                <w:rFonts w:eastAsia="SimSun"/>
              </w:rPr>
            </w:pPr>
            <w:r w:rsidRPr="00C07B2E">
              <w:rPr>
                <w:rFonts w:eastAsia="SimSun"/>
              </w:rPr>
              <w:t>ТТО</w:t>
            </w:r>
          </w:p>
        </w:tc>
        <w:tc>
          <w:tcPr>
            <w:tcW w:w="718" w:type="pct"/>
            <w:vAlign w:val="center"/>
          </w:tcPr>
          <w:p w14:paraId="240743CE" w14:textId="77777777" w:rsidR="009F7F8A" w:rsidRPr="00C07B2E" w:rsidRDefault="009F7F8A" w:rsidP="009F7F8A">
            <w:pPr>
              <w:rPr>
                <w:rFonts w:eastAsia="SimSun"/>
              </w:rPr>
            </w:pPr>
            <w:r w:rsidRPr="00C07B2E">
              <w:rPr>
                <w:rFonts w:eastAsia="SimSun"/>
              </w:rPr>
              <w:t>4 Гр</w:t>
            </w:r>
          </w:p>
        </w:tc>
        <w:tc>
          <w:tcPr>
            <w:tcW w:w="757" w:type="pct"/>
            <w:vAlign w:val="center"/>
          </w:tcPr>
          <w:p w14:paraId="45C0E8DD" w14:textId="77777777" w:rsidR="009F7F8A" w:rsidRPr="00C07B2E" w:rsidRDefault="009F7F8A" w:rsidP="009F7F8A">
            <w:pPr>
              <w:rPr>
                <w:rFonts w:eastAsia="SimSun"/>
              </w:rPr>
            </w:pPr>
            <w:r w:rsidRPr="00C07B2E">
              <w:rPr>
                <w:rFonts w:eastAsia="SimSun"/>
                <w:lang w:val="en-US"/>
              </w:rPr>
              <w:t>12</w:t>
            </w:r>
            <w:r w:rsidRPr="00C07B2E">
              <w:rPr>
                <w:rFonts w:eastAsia="SimSun"/>
              </w:rPr>
              <w:t xml:space="preserve"> Гр</w:t>
            </w:r>
          </w:p>
        </w:tc>
        <w:tc>
          <w:tcPr>
            <w:tcW w:w="928" w:type="pct"/>
            <w:vAlign w:val="center"/>
          </w:tcPr>
          <w:p w14:paraId="14B23483" w14:textId="77777777" w:rsidR="009F7F8A" w:rsidRPr="00C07B2E" w:rsidRDefault="009F7F8A" w:rsidP="009F7F8A">
            <w:pPr>
              <w:rPr>
                <w:rFonts w:eastAsia="SimSun"/>
              </w:rPr>
            </w:pPr>
            <w:r w:rsidRPr="00C07B2E">
              <w:rPr>
                <w:rFonts w:eastAsia="SimSun"/>
                <w:lang w:val="en-US"/>
              </w:rPr>
              <w:t>C</w:t>
            </w:r>
            <w:r w:rsidRPr="00C07B2E">
              <w:rPr>
                <w:rFonts w:eastAsia="SimSun"/>
              </w:rPr>
              <w:t xml:space="preserve"> –3 по –1 день </w:t>
            </w:r>
          </w:p>
        </w:tc>
        <w:tc>
          <w:tcPr>
            <w:tcW w:w="1193" w:type="pct"/>
            <w:vAlign w:val="center"/>
          </w:tcPr>
          <w:p w14:paraId="13955158" w14:textId="77777777" w:rsidR="009F7F8A" w:rsidRPr="00C07B2E" w:rsidRDefault="009F7F8A" w:rsidP="009F7F8A">
            <w:pPr>
              <w:rPr>
                <w:rFonts w:eastAsia="SimSun"/>
              </w:rPr>
            </w:pPr>
            <w:r w:rsidRPr="00C07B2E">
              <w:rPr>
                <w:rFonts w:eastAsia="SimSun"/>
              </w:rPr>
              <w:t>6 фракций по 2 Гр 2 раза в день в течение 3-х дней  с экранированием легких.</w:t>
            </w:r>
          </w:p>
          <w:p w14:paraId="625E68F2" w14:textId="77777777" w:rsidR="009F7F8A" w:rsidRPr="00C07B2E" w:rsidRDefault="009F7F8A" w:rsidP="009F7F8A">
            <w:pPr>
              <w:rPr>
                <w:rFonts w:eastAsia="SimSun"/>
              </w:rPr>
            </w:pPr>
          </w:p>
        </w:tc>
      </w:tr>
      <w:tr w:rsidR="009F7F8A" w:rsidRPr="00C07B2E" w14:paraId="43871402" w14:textId="77777777" w:rsidTr="009F7F8A">
        <w:trPr>
          <w:cantSplit/>
          <w:trHeight w:val="1207"/>
        </w:trPr>
        <w:tc>
          <w:tcPr>
            <w:tcW w:w="376" w:type="pct"/>
            <w:vMerge/>
            <w:vAlign w:val="center"/>
          </w:tcPr>
          <w:p w14:paraId="4E4522A1" w14:textId="77777777" w:rsidR="009F7F8A" w:rsidRPr="00C07B2E" w:rsidRDefault="009F7F8A" w:rsidP="009F7F8A">
            <w:pPr>
              <w:rPr>
                <w:rFonts w:eastAsia="SimSun"/>
              </w:rPr>
            </w:pPr>
          </w:p>
        </w:tc>
        <w:tc>
          <w:tcPr>
            <w:tcW w:w="1027" w:type="pct"/>
            <w:vAlign w:val="center"/>
          </w:tcPr>
          <w:p w14:paraId="4D4E5021" w14:textId="77777777" w:rsidR="009F7F8A" w:rsidRPr="00C07B2E" w:rsidRDefault="009F7F8A" w:rsidP="009F7F8A">
            <w:pPr>
              <w:rPr>
                <w:rFonts w:eastAsia="SimSun"/>
              </w:rPr>
            </w:pPr>
            <w:r w:rsidRPr="00C07B2E">
              <w:rPr>
                <w:rFonts w:eastAsia="SimSun"/>
              </w:rPr>
              <w:t>Циклофосфамид</w:t>
            </w:r>
          </w:p>
        </w:tc>
        <w:tc>
          <w:tcPr>
            <w:tcW w:w="718" w:type="pct"/>
            <w:vAlign w:val="center"/>
          </w:tcPr>
          <w:p w14:paraId="5064F36E" w14:textId="77777777" w:rsidR="009F7F8A" w:rsidRPr="00C07B2E" w:rsidRDefault="009F7F8A" w:rsidP="009F7F8A">
            <w:pPr>
              <w:rPr>
                <w:rFonts w:eastAsia="SimSun"/>
              </w:rPr>
            </w:pPr>
            <w:r w:rsidRPr="00C07B2E">
              <w:rPr>
                <w:rFonts w:eastAsia="SimSun"/>
              </w:rPr>
              <w:t>60 мг/кг</w:t>
            </w:r>
          </w:p>
        </w:tc>
        <w:tc>
          <w:tcPr>
            <w:tcW w:w="757" w:type="pct"/>
            <w:vAlign w:val="center"/>
          </w:tcPr>
          <w:p w14:paraId="4BDB9CF3" w14:textId="77777777" w:rsidR="009F7F8A" w:rsidRPr="00C07B2E" w:rsidRDefault="009F7F8A" w:rsidP="009F7F8A">
            <w:pPr>
              <w:rPr>
                <w:rFonts w:eastAsia="SimSun"/>
              </w:rPr>
            </w:pPr>
            <w:r w:rsidRPr="00C07B2E">
              <w:rPr>
                <w:rFonts w:eastAsia="SimSun"/>
              </w:rPr>
              <w:t>120 мг/кг</w:t>
            </w:r>
          </w:p>
        </w:tc>
        <w:tc>
          <w:tcPr>
            <w:tcW w:w="928" w:type="pct"/>
            <w:vAlign w:val="center"/>
          </w:tcPr>
          <w:p w14:paraId="4320F5E3" w14:textId="77777777" w:rsidR="009F7F8A" w:rsidRPr="00C07B2E" w:rsidRDefault="009F7F8A" w:rsidP="009F7F8A">
            <w:pPr>
              <w:rPr>
                <w:rFonts w:eastAsia="SimSun"/>
              </w:rPr>
            </w:pPr>
            <w:r w:rsidRPr="00C07B2E">
              <w:rPr>
                <w:rFonts w:eastAsia="SimSun"/>
                <w:lang w:val="en-US"/>
              </w:rPr>
              <w:t>–</w:t>
            </w:r>
            <w:r w:rsidRPr="00C07B2E">
              <w:rPr>
                <w:rFonts w:eastAsia="SimSun"/>
              </w:rPr>
              <w:t>6</w:t>
            </w:r>
            <w:r w:rsidRPr="00C07B2E">
              <w:rPr>
                <w:rFonts w:eastAsia="SimSun"/>
                <w:lang w:val="en-US"/>
              </w:rPr>
              <w:t>, –</w:t>
            </w:r>
            <w:r w:rsidRPr="00C07B2E">
              <w:rPr>
                <w:rFonts w:eastAsia="SimSun"/>
              </w:rPr>
              <w:t>5</w:t>
            </w:r>
            <w:r w:rsidRPr="00C07B2E">
              <w:rPr>
                <w:rFonts w:eastAsia="SimSun"/>
                <w:lang w:val="en-US"/>
              </w:rPr>
              <w:t xml:space="preserve"> дни</w:t>
            </w:r>
            <w:r w:rsidRPr="00C07B2E">
              <w:rPr>
                <w:rFonts w:eastAsia="SimSun"/>
              </w:rPr>
              <w:t xml:space="preserve"> </w:t>
            </w:r>
          </w:p>
        </w:tc>
        <w:tc>
          <w:tcPr>
            <w:tcW w:w="1193" w:type="pct"/>
            <w:vAlign w:val="center"/>
          </w:tcPr>
          <w:p w14:paraId="6285D69C" w14:textId="77777777" w:rsidR="009F7F8A" w:rsidRPr="00C07B2E" w:rsidRDefault="009F7F8A" w:rsidP="009F7F8A">
            <w:pPr>
              <w:rPr>
                <w:rFonts w:eastAsia="SimSun"/>
              </w:rPr>
            </w:pPr>
            <w:r w:rsidRPr="00C07B2E">
              <w:rPr>
                <w:rFonts w:eastAsia="SimSun"/>
              </w:rPr>
              <w:t xml:space="preserve">В/в, в течение 2 ч </w:t>
            </w:r>
          </w:p>
        </w:tc>
      </w:tr>
      <w:tr w:rsidR="009F7F8A" w:rsidRPr="00C07B2E" w14:paraId="62ABE3EE" w14:textId="77777777" w:rsidTr="009F7F8A">
        <w:trPr>
          <w:cantSplit/>
          <w:trHeight w:val="20"/>
        </w:trPr>
        <w:tc>
          <w:tcPr>
            <w:tcW w:w="376" w:type="pct"/>
            <w:vMerge w:val="restart"/>
            <w:textDirection w:val="btLr"/>
            <w:vAlign w:val="center"/>
          </w:tcPr>
          <w:p w14:paraId="30177BCD" w14:textId="77777777" w:rsidR="009F7F8A" w:rsidRPr="00C07B2E" w:rsidRDefault="009F7F8A" w:rsidP="009F7F8A">
            <w:pPr>
              <w:rPr>
                <w:rFonts w:eastAsia="SimSun"/>
              </w:rPr>
            </w:pPr>
            <w:r w:rsidRPr="00C07B2E">
              <w:rPr>
                <w:rFonts w:eastAsia="SimSun"/>
              </w:rPr>
              <w:t>Профилактика РТПХ</w:t>
            </w:r>
          </w:p>
        </w:tc>
        <w:tc>
          <w:tcPr>
            <w:tcW w:w="1027" w:type="pct"/>
            <w:vAlign w:val="center"/>
          </w:tcPr>
          <w:p w14:paraId="0FF5309B" w14:textId="77777777" w:rsidR="009F7F8A" w:rsidRPr="00C07B2E" w:rsidRDefault="009F7F8A" w:rsidP="009F7F8A">
            <w:pPr>
              <w:rPr>
                <w:rFonts w:eastAsia="SimSun"/>
              </w:rPr>
            </w:pPr>
            <w:r w:rsidRPr="00C07B2E">
              <w:rPr>
                <w:rFonts w:eastAsia="SimSun"/>
              </w:rPr>
              <w:t xml:space="preserve">Циклоспорин </w:t>
            </w:r>
          </w:p>
        </w:tc>
        <w:tc>
          <w:tcPr>
            <w:tcW w:w="718" w:type="pct"/>
            <w:vAlign w:val="center"/>
          </w:tcPr>
          <w:p w14:paraId="4C566893" w14:textId="77777777" w:rsidR="009F7F8A" w:rsidRPr="00C07B2E" w:rsidRDefault="009F7F8A" w:rsidP="009F7F8A">
            <w:pPr>
              <w:rPr>
                <w:rFonts w:eastAsia="SimSun"/>
              </w:rPr>
            </w:pPr>
            <w:r w:rsidRPr="00C07B2E">
              <w:rPr>
                <w:rFonts w:eastAsia="SimSun"/>
              </w:rPr>
              <w:t>3 мг/кг</w:t>
            </w:r>
          </w:p>
        </w:tc>
        <w:tc>
          <w:tcPr>
            <w:tcW w:w="757" w:type="pct"/>
            <w:vAlign w:val="center"/>
          </w:tcPr>
          <w:p w14:paraId="29F6A712" w14:textId="77777777" w:rsidR="009F7F8A" w:rsidRPr="00C07B2E" w:rsidRDefault="009F7F8A" w:rsidP="009F7F8A">
            <w:pPr>
              <w:rPr>
                <w:rFonts w:eastAsia="SimSun"/>
                <w:lang w:val="en-US"/>
              </w:rPr>
            </w:pPr>
            <w:r w:rsidRPr="00C07B2E">
              <w:rPr>
                <w:rFonts w:eastAsia="SimSun"/>
                <w:lang w:val="en-US"/>
              </w:rPr>
              <w:t>–</w:t>
            </w:r>
          </w:p>
        </w:tc>
        <w:tc>
          <w:tcPr>
            <w:tcW w:w="928" w:type="pct"/>
            <w:vAlign w:val="center"/>
          </w:tcPr>
          <w:p w14:paraId="767424F1" w14:textId="77777777" w:rsidR="009F7F8A" w:rsidRPr="00C07B2E" w:rsidRDefault="009F7F8A" w:rsidP="009F7F8A">
            <w:pPr>
              <w:rPr>
                <w:rFonts w:eastAsia="SimSun"/>
              </w:rPr>
            </w:pPr>
            <w:r w:rsidRPr="00C07B2E">
              <w:rPr>
                <w:rFonts w:eastAsia="SimSun"/>
              </w:rPr>
              <w:t>С –1 дня по +90 день, затем постепенное снижение к +180 дню</w:t>
            </w:r>
          </w:p>
        </w:tc>
        <w:tc>
          <w:tcPr>
            <w:tcW w:w="1193" w:type="pct"/>
            <w:vAlign w:val="center"/>
          </w:tcPr>
          <w:p w14:paraId="60BA35B9" w14:textId="77777777" w:rsidR="009F7F8A" w:rsidRPr="00985050" w:rsidRDefault="009F7F8A" w:rsidP="009F7F8A">
            <w:pPr>
              <w:rPr>
                <w:rFonts w:eastAsia="SimSun"/>
              </w:rPr>
            </w:pPr>
            <w:r w:rsidRPr="00C07B2E">
              <w:rPr>
                <w:rFonts w:eastAsia="SimSun"/>
              </w:rPr>
              <w:t xml:space="preserve">В/в, 5-часовая инфузия 2 раза/сут. </w:t>
            </w:r>
            <w:r w:rsidRPr="00985050">
              <w:rPr>
                <w:rFonts w:eastAsia="SimSun"/>
              </w:rPr>
              <w:t>Перевод на прием внутрь при условии восстановления лейкоцитов &gt;</w:t>
            </w:r>
            <w:r w:rsidRPr="00C07B2E">
              <w:rPr>
                <w:rFonts w:eastAsia="SimSun"/>
                <w:lang w:val="en-US"/>
              </w:rPr>
              <w:t> </w:t>
            </w:r>
            <w:r w:rsidRPr="00985050">
              <w:rPr>
                <w:rFonts w:eastAsia="SimSun"/>
              </w:rPr>
              <w:t>1</w:t>
            </w:r>
            <w:r w:rsidRPr="00C07B2E">
              <w:rPr>
                <w:rFonts w:eastAsia="SimSun"/>
                <w:lang w:val="en-US"/>
              </w:rPr>
              <w:t> </w:t>
            </w:r>
            <w:r>
              <w:rPr>
                <w:rFonts w:eastAsia="SimSun"/>
              </w:rPr>
              <w:t>х</w:t>
            </w:r>
            <w:r w:rsidRPr="00C07B2E">
              <w:rPr>
                <w:rFonts w:eastAsia="SimSun"/>
                <w:lang w:val="en-US"/>
              </w:rPr>
              <w:t> </w:t>
            </w:r>
            <w:r w:rsidRPr="00985050">
              <w:rPr>
                <w:rFonts w:eastAsia="SimSun"/>
              </w:rPr>
              <w:t>10</w:t>
            </w:r>
            <w:r w:rsidRPr="00985050">
              <w:rPr>
                <w:rFonts w:eastAsia="SimSun"/>
                <w:vertAlign w:val="superscript"/>
              </w:rPr>
              <w:t>9</w:t>
            </w:r>
            <w:r w:rsidRPr="00985050">
              <w:rPr>
                <w:rFonts w:eastAsia="SimSun"/>
              </w:rPr>
              <w:t xml:space="preserve">/л, при отсутствии тошноты, рвоты, диареи и возможности приема внутрь.; Концентрация 150-350 нг/мл  </w:t>
            </w:r>
          </w:p>
        </w:tc>
      </w:tr>
      <w:tr w:rsidR="009F7F8A" w:rsidRPr="00C07B2E" w14:paraId="1D60A1BD" w14:textId="77777777" w:rsidTr="009F7F8A">
        <w:trPr>
          <w:cantSplit/>
          <w:trHeight w:val="20"/>
        </w:trPr>
        <w:tc>
          <w:tcPr>
            <w:tcW w:w="376" w:type="pct"/>
            <w:vMerge/>
          </w:tcPr>
          <w:p w14:paraId="7754069C" w14:textId="77777777" w:rsidR="009F7F8A" w:rsidRPr="00985050" w:rsidRDefault="009F7F8A" w:rsidP="009F7F8A">
            <w:pPr>
              <w:rPr>
                <w:rFonts w:eastAsia="SimSun"/>
              </w:rPr>
            </w:pPr>
          </w:p>
        </w:tc>
        <w:tc>
          <w:tcPr>
            <w:tcW w:w="1027" w:type="pct"/>
            <w:vMerge w:val="restart"/>
            <w:vAlign w:val="center"/>
          </w:tcPr>
          <w:p w14:paraId="6D8E971D" w14:textId="77777777" w:rsidR="009F7F8A" w:rsidRPr="00C07B2E" w:rsidRDefault="009F7F8A" w:rsidP="009F7F8A">
            <w:pPr>
              <w:rPr>
                <w:rFonts w:eastAsia="SimSun"/>
              </w:rPr>
            </w:pPr>
            <w:r w:rsidRPr="00C07B2E">
              <w:rPr>
                <w:rFonts w:eastAsia="SimSun"/>
              </w:rPr>
              <w:t>Метотрексат</w:t>
            </w:r>
          </w:p>
        </w:tc>
        <w:tc>
          <w:tcPr>
            <w:tcW w:w="718" w:type="pct"/>
            <w:vAlign w:val="center"/>
          </w:tcPr>
          <w:p w14:paraId="12482AE6" w14:textId="77777777" w:rsidR="009F7F8A" w:rsidRPr="00C07B2E" w:rsidRDefault="009F7F8A" w:rsidP="009F7F8A">
            <w:pPr>
              <w:rPr>
                <w:rFonts w:eastAsia="SimSun"/>
              </w:rPr>
            </w:pPr>
            <w:r w:rsidRPr="00C07B2E">
              <w:rPr>
                <w:rFonts w:eastAsia="SimSun"/>
              </w:rPr>
              <w:t>15 мг/м</w:t>
            </w:r>
            <w:r w:rsidRPr="00C07B2E">
              <w:rPr>
                <w:rFonts w:eastAsia="SimSun"/>
                <w:vertAlign w:val="superscript"/>
              </w:rPr>
              <w:t>2</w:t>
            </w:r>
          </w:p>
        </w:tc>
        <w:tc>
          <w:tcPr>
            <w:tcW w:w="757" w:type="pct"/>
            <w:vAlign w:val="center"/>
          </w:tcPr>
          <w:p w14:paraId="75A27AAA" w14:textId="77777777" w:rsidR="009F7F8A" w:rsidRPr="00C07B2E" w:rsidRDefault="009F7F8A" w:rsidP="009F7F8A">
            <w:pPr>
              <w:rPr>
                <w:rFonts w:eastAsia="SimSun"/>
              </w:rPr>
            </w:pPr>
            <w:r w:rsidRPr="00C07B2E">
              <w:rPr>
                <w:rFonts w:eastAsia="SimSun"/>
                <w:lang w:val="en-US"/>
              </w:rPr>
              <w:t>–</w:t>
            </w:r>
          </w:p>
        </w:tc>
        <w:tc>
          <w:tcPr>
            <w:tcW w:w="928" w:type="pct"/>
            <w:vAlign w:val="center"/>
          </w:tcPr>
          <w:p w14:paraId="7548C60A" w14:textId="77777777" w:rsidR="009F7F8A" w:rsidRPr="00C07B2E" w:rsidRDefault="009F7F8A" w:rsidP="009F7F8A">
            <w:pPr>
              <w:rPr>
                <w:rFonts w:eastAsia="SimSun"/>
              </w:rPr>
            </w:pPr>
            <w:r w:rsidRPr="00C07B2E">
              <w:rPr>
                <w:rFonts w:eastAsia="SimSun"/>
              </w:rPr>
              <w:t>+1 день</w:t>
            </w:r>
          </w:p>
        </w:tc>
        <w:tc>
          <w:tcPr>
            <w:tcW w:w="1193" w:type="pct"/>
            <w:vAlign w:val="center"/>
          </w:tcPr>
          <w:p w14:paraId="03E25843" w14:textId="77777777" w:rsidR="009F7F8A" w:rsidRPr="00C07B2E" w:rsidRDefault="009F7F8A" w:rsidP="009F7F8A">
            <w:pPr>
              <w:rPr>
                <w:rFonts w:eastAsia="SimSun"/>
              </w:rPr>
            </w:pPr>
            <w:r w:rsidRPr="00C07B2E">
              <w:rPr>
                <w:rFonts w:eastAsia="SimSun"/>
              </w:rPr>
              <w:t>В/в, в 20 мл физ. р-ра</w:t>
            </w:r>
          </w:p>
        </w:tc>
      </w:tr>
      <w:tr w:rsidR="009F7F8A" w:rsidRPr="00C07B2E" w14:paraId="68118F3B" w14:textId="77777777" w:rsidTr="009F7F8A">
        <w:trPr>
          <w:cantSplit/>
          <w:trHeight w:val="464"/>
        </w:trPr>
        <w:tc>
          <w:tcPr>
            <w:tcW w:w="376" w:type="pct"/>
            <w:vMerge/>
          </w:tcPr>
          <w:p w14:paraId="1F298742" w14:textId="77777777" w:rsidR="009F7F8A" w:rsidRPr="00C07B2E" w:rsidRDefault="009F7F8A" w:rsidP="009F7F8A">
            <w:pPr>
              <w:rPr>
                <w:rFonts w:eastAsia="SimSun"/>
              </w:rPr>
            </w:pPr>
          </w:p>
        </w:tc>
        <w:tc>
          <w:tcPr>
            <w:tcW w:w="1027" w:type="pct"/>
            <w:vMerge/>
            <w:vAlign w:val="center"/>
          </w:tcPr>
          <w:p w14:paraId="1736C047" w14:textId="77777777" w:rsidR="009F7F8A" w:rsidRPr="00C07B2E" w:rsidRDefault="009F7F8A" w:rsidP="009F7F8A">
            <w:pPr>
              <w:rPr>
                <w:rFonts w:eastAsia="SimSun"/>
              </w:rPr>
            </w:pPr>
          </w:p>
        </w:tc>
        <w:tc>
          <w:tcPr>
            <w:tcW w:w="718" w:type="pct"/>
            <w:vAlign w:val="center"/>
          </w:tcPr>
          <w:p w14:paraId="2A7B1A58" w14:textId="77777777" w:rsidR="009F7F8A" w:rsidRPr="00C07B2E" w:rsidRDefault="009F7F8A" w:rsidP="009F7F8A">
            <w:pPr>
              <w:rPr>
                <w:rFonts w:eastAsia="SimSun"/>
              </w:rPr>
            </w:pPr>
            <w:r w:rsidRPr="00C07B2E">
              <w:rPr>
                <w:rFonts w:eastAsia="SimSun"/>
              </w:rPr>
              <w:t>10 мг/м</w:t>
            </w:r>
            <w:r w:rsidRPr="00C07B2E">
              <w:rPr>
                <w:rFonts w:eastAsia="SimSun"/>
                <w:vertAlign w:val="superscript"/>
              </w:rPr>
              <w:t>2</w:t>
            </w:r>
          </w:p>
        </w:tc>
        <w:tc>
          <w:tcPr>
            <w:tcW w:w="757" w:type="pct"/>
            <w:vAlign w:val="center"/>
          </w:tcPr>
          <w:p w14:paraId="4FAE5E6F" w14:textId="77777777" w:rsidR="009F7F8A" w:rsidRPr="00C07B2E" w:rsidRDefault="009F7F8A" w:rsidP="009F7F8A">
            <w:pPr>
              <w:rPr>
                <w:rFonts w:eastAsia="SimSun"/>
              </w:rPr>
            </w:pPr>
            <w:r w:rsidRPr="00C07B2E">
              <w:rPr>
                <w:rFonts w:eastAsia="SimSun"/>
                <w:lang w:val="en-US"/>
              </w:rPr>
              <w:t>–</w:t>
            </w:r>
          </w:p>
        </w:tc>
        <w:tc>
          <w:tcPr>
            <w:tcW w:w="928" w:type="pct"/>
            <w:vAlign w:val="center"/>
          </w:tcPr>
          <w:p w14:paraId="6F69B890" w14:textId="77777777" w:rsidR="009F7F8A" w:rsidRPr="00C07B2E" w:rsidRDefault="009F7F8A" w:rsidP="009F7F8A">
            <w:pPr>
              <w:rPr>
                <w:rFonts w:eastAsia="SimSun"/>
              </w:rPr>
            </w:pPr>
            <w:r w:rsidRPr="00C07B2E">
              <w:rPr>
                <w:rFonts w:eastAsia="SimSun"/>
              </w:rPr>
              <w:t>+3, +6, +11 дни</w:t>
            </w:r>
          </w:p>
        </w:tc>
        <w:tc>
          <w:tcPr>
            <w:tcW w:w="1193" w:type="pct"/>
            <w:vAlign w:val="center"/>
          </w:tcPr>
          <w:p w14:paraId="45DA7043" w14:textId="77777777" w:rsidR="009F7F8A" w:rsidRPr="00C07B2E" w:rsidRDefault="009F7F8A" w:rsidP="009F7F8A">
            <w:pPr>
              <w:rPr>
                <w:rFonts w:eastAsia="SimSun"/>
              </w:rPr>
            </w:pPr>
            <w:r w:rsidRPr="00C07B2E">
              <w:rPr>
                <w:rFonts w:eastAsia="SimSun"/>
              </w:rPr>
              <w:t xml:space="preserve">В/в, в 20 мл физ. р-ра </w:t>
            </w:r>
          </w:p>
        </w:tc>
      </w:tr>
    </w:tbl>
    <w:p w14:paraId="04B0C2EC" w14:textId="77777777" w:rsidR="009F7F8A" w:rsidRPr="00C07B2E" w:rsidRDefault="009F7F8A" w:rsidP="009F7F8A">
      <w:pPr>
        <w:rPr>
          <w:rFonts w:eastAsia="SimSun"/>
        </w:rPr>
      </w:pPr>
    </w:p>
    <w:p w14:paraId="0C328E36" w14:textId="77777777" w:rsidR="009F7F8A" w:rsidRPr="00C07B2E" w:rsidRDefault="009F7F8A" w:rsidP="009F7F8A">
      <w:pPr>
        <w:rPr>
          <w:rFonts w:eastAsia="SimSun"/>
        </w:rPr>
      </w:pPr>
      <w:bookmarkStart w:id="118" w:name="_Toc44401146"/>
      <w:r w:rsidRPr="00042499">
        <w:rPr>
          <w:rFonts w:eastAsia="SimSun"/>
        </w:rPr>
        <w:t>Таблица</w:t>
      </w:r>
      <w:r w:rsidRPr="00C07B2E">
        <w:rPr>
          <w:rFonts w:eastAsia="SimSun"/>
        </w:rPr>
        <w:t xml:space="preserve"> </w:t>
      </w:r>
      <w:r>
        <w:rPr>
          <w:rFonts w:eastAsia="SimSun"/>
        </w:rPr>
        <w:t>5</w:t>
      </w:r>
      <w:r w:rsidRPr="00C07B2E">
        <w:rPr>
          <w:rFonts w:eastAsia="SimSun"/>
        </w:rPr>
        <w:t>.1.1.3  – Flu150+Bu12 / PT-Cy+CSA+MMF45</w:t>
      </w:r>
      <w:bookmarkEnd w:id="118"/>
    </w:p>
    <w:tbl>
      <w:tblPr>
        <w:tblW w:w="9356" w:type="dxa"/>
        <w:tblInd w:w="108" w:type="dxa"/>
        <w:tblLayout w:type="fixed"/>
        <w:tblCellMar>
          <w:left w:w="10" w:type="dxa"/>
          <w:right w:w="10" w:type="dxa"/>
        </w:tblCellMar>
        <w:tblLook w:val="0000" w:firstRow="0" w:lastRow="0" w:firstColumn="0" w:lastColumn="0" w:noHBand="0" w:noVBand="0"/>
      </w:tblPr>
      <w:tblGrid>
        <w:gridCol w:w="709"/>
        <w:gridCol w:w="1843"/>
        <w:gridCol w:w="1417"/>
        <w:gridCol w:w="1418"/>
        <w:gridCol w:w="1701"/>
        <w:gridCol w:w="2268"/>
      </w:tblGrid>
      <w:tr w:rsidR="009F7F8A" w:rsidRPr="00C07B2E" w14:paraId="6E7E47D5" w14:textId="77777777" w:rsidTr="009F7F8A">
        <w:trPr>
          <w:cantSplit/>
          <w:trHeight w:val="20"/>
          <w:tblHeader/>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86631F" w14:textId="77777777" w:rsidR="009F7F8A" w:rsidRPr="00470D3D" w:rsidRDefault="009F7F8A" w:rsidP="009F7F8A">
            <w:pPr>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9543E6" w14:textId="77777777" w:rsidR="009F7F8A" w:rsidRPr="00C07B2E" w:rsidRDefault="009F7F8A" w:rsidP="009F7F8A">
            <w:r w:rsidRPr="00C07B2E">
              <w:rPr>
                <w:rFonts w:eastAsia="SimSun"/>
              </w:rPr>
              <w:t>Препарат</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5AABC4" w14:textId="77777777" w:rsidR="009F7F8A" w:rsidRPr="00C07B2E" w:rsidRDefault="009F7F8A" w:rsidP="009F7F8A">
            <w:r w:rsidRPr="00C07B2E">
              <w:rPr>
                <w:rFonts w:eastAsia="SimSun"/>
              </w:rPr>
              <w:t>Суточная доза</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7C568C" w14:textId="77777777" w:rsidR="009F7F8A" w:rsidRPr="00C07B2E" w:rsidRDefault="009F7F8A" w:rsidP="009F7F8A">
            <w:r w:rsidRPr="00C07B2E">
              <w:rPr>
                <w:rFonts w:eastAsia="SimSun"/>
              </w:rPr>
              <w:t>Курсовая доза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10F241" w14:textId="77777777" w:rsidR="009F7F8A" w:rsidRPr="00C07B2E" w:rsidRDefault="009F7F8A" w:rsidP="009F7F8A">
            <w:r w:rsidRPr="00C07B2E">
              <w:rPr>
                <w:rFonts w:eastAsia="SimSun"/>
              </w:rPr>
              <w:t>Дни введения</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2A86B4" w14:textId="77777777" w:rsidR="009F7F8A" w:rsidRPr="00C07B2E" w:rsidRDefault="009F7F8A" w:rsidP="009F7F8A">
            <w:r w:rsidRPr="00C07B2E">
              <w:rPr>
                <w:rFonts w:eastAsia="SimSun"/>
              </w:rPr>
              <w:t>Порядок введения</w:t>
            </w:r>
          </w:p>
        </w:tc>
      </w:tr>
      <w:tr w:rsidR="009F7F8A" w:rsidRPr="00C07B2E" w14:paraId="726B6884" w14:textId="77777777" w:rsidTr="009F7F8A">
        <w:trPr>
          <w:cantSplit/>
          <w:trHeight w:val="20"/>
        </w:trPr>
        <w:tc>
          <w:tcPr>
            <w:tcW w:w="7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7D96A92A" w14:textId="77777777" w:rsidR="009F7F8A" w:rsidRPr="00C07B2E" w:rsidRDefault="009F7F8A" w:rsidP="009F7F8A">
            <w:r w:rsidRPr="00C07B2E">
              <w:rPr>
                <w:rFonts w:eastAsia="SimSun"/>
              </w:rPr>
              <w:t>Кондиционирование</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E4BAF4" w14:textId="77777777" w:rsidR="009F7F8A" w:rsidRPr="00C07B2E" w:rsidRDefault="009F7F8A" w:rsidP="009F7F8A">
            <w:r w:rsidRPr="00C07B2E">
              <w:rPr>
                <w:rFonts w:eastAsia="SimSun"/>
              </w:rPr>
              <w:t>Флударабин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E4DE82" w14:textId="77777777" w:rsidR="009F7F8A" w:rsidRPr="00C07B2E" w:rsidRDefault="009F7F8A" w:rsidP="009F7F8A">
            <w:r w:rsidRPr="00C07B2E">
              <w:t>30 мг/м</w:t>
            </w:r>
            <w:r w:rsidRPr="00C07B2E">
              <w:rPr>
                <w:vertAlign w:val="superscript"/>
              </w:rPr>
              <w:t>2</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390016" w14:textId="77777777" w:rsidR="009F7F8A" w:rsidRPr="00C07B2E" w:rsidRDefault="009F7F8A" w:rsidP="009F7F8A">
            <w:r w:rsidRPr="00C07B2E">
              <w:t>150 мг/м</w:t>
            </w:r>
            <w:r w:rsidRPr="00C07B2E">
              <w:rPr>
                <w:vertAlign w:val="superscript"/>
              </w:rPr>
              <w:t>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C5242F" w14:textId="77777777" w:rsidR="009F7F8A" w:rsidRPr="00C07B2E" w:rsidRDefault="009F7F8A" w:rsidP="009F7F8A">
            <w:r w:rsidRPr="00C07B2E">
              <w:rPr>
                <w:rFonts w:eastAsia="SimSun"/>
              </w:rPr>
              <w:t xml:space="preserve">С </w:t>
            </w:r>
            <w:r w:rsidRPr="00C07B2E">
              <w:rPr>
                <w:rFonts w:eastAsia="SimSun"/>
                <w:lang w:val="en-US"/>
              </w:rPr>
              <w:t>–</w:t>
            </w:r>
            <w:r w:rsidRPr="00C07B2E">
              <w:rPr>
                <w:rFonts w:eastAsia="SimSun"/>
              </w:rPr>
              <w:t xml:space="preserve">6 по </w:t>
            </w:r>
            <w:r w:rsidRPr="00C07B2E">
              <w:rPr>
                <w:rFonts w:eastAsia="SimSun"/>
                <w:lang w:val="en-US"/>
              </w:rPr>
              <w:t>–</w:t>
            </w:r>
            <w:r w:rsidRPr="00C07B2E">
              <w:rPr>
                <w:rFonts w:eastAsia="SimSun"/>
              </w:rPr>
              <w:t>2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09F0E6" w14:textId="77777777" w:rsidR="009F7F8A" w:rsidRPr="00C07B2E" w:rsidRDefault="009F7F8A" w:rsidP="009F7F8A">
            <w:r w:rsidRPr="00C07B2E">
              <w:rPr>
                <w:rFonts w:eastAsia="SimSun"/>
              </w:rPr>
              <w:t>В/в, в течение 30 - 60 мин</w:t>
            </w:r>
          </w:p>
        </w:tc>
      </w:tr>
      <w:tr w:rsidR="009F7F8A" w:rsidRPr="00C07B2E" w14:paraId="01A8391D" w14:textId="77777777" w:rsidTr="009F7F8A">
        <w:trPr>
          <w:cantSplit/>
          <w:trHeight w:val="2123"/>
        </w:trPr>
        <w:tc>
          <w:tcPr>
            <w:tcW w:w="7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957C4D" w14:textId="77777777" w:rsidR="009F7F8A" w:rsidRPr="00C07B2E" w:rsidRDefault="009F7F8A" w:rsidP="009F7F8A"/>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CE62A1" w14:textId="77777777" w:rsidR="009F7F8A" w:rsidRPr="00C07B2E" w:rsidRDefault="009F7F8A" w:rsidP="009F7F8A">
            <w:r w:rsidRPr="00C07B2E">
              <w:rPr>
                <w:rFonts w:eastAsia="SimSun"/>
              </w:rPr>
              <w:t>Бусульфан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AA66FF" w14:textId="77777777" w:rsidR="009F7F8A" w:rsidRPr="00C07B2E" w:rsidRDefault="009F7F8A" w:rsidP="009F7F8A">
            <w:r w:rsidRPr="00C07B2E">
              <w:rPr>
                <w:rFonts w:eastAsia="SimSun"/>
              </w:rPr>
              <w:t>4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3E1A6D" w14:textId="77777777" w:rsidR="009F7F8A" w:rsidRPr="00C07B2E" w:rsidRDefault="009F7F8A" w:rsidP="009F7F8A">
            <w:r w:rsidRPr="00C07B2E">
              <w:rPr>
                <w:rFonts w:eastAsia="SimSun"/>
              </w:rPr>
              <w:t>12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88C6F9" w14:textId="77777777" w:rsidR="009F7F8A" w:rsidRPr="00C07B2E" w:rsidRDefault="009F7F8A" w:rsidP="009F7F8A">
            <w:r w:rsidRPr="00C07B2E">
              <w:rPr>
                <w:rFonts w:eastAsia="SimSun"/>
                <w:lang w:val="en-US"/>
              </w:rPr>
              <w:t>-5, –4</w:t>
            </w:r>
            <w:r w:rsidRPr="00C07B2E">
              <w:rPr>
                <w:rFonts w:eastAsia="SimSun"/>
              </w:rPr>
              <w:t xml:space="preserve">, </w:t>
            </w:r>
            <w:r w:rsidRPr="00C07B2E">
              <w:rPr>
                <w:rFonts w:eastAsia="SimSun"/>
                <w:lang w:val="en-US"/>
              </w:rPr>
              <w:t>–3</w:t>
            </w:r>
            <w:r w:rsidRPr="00C07B2E">
              <w:rPr>
                <w:rFonts w:eastAsia="SimSun"/>
              </w:rPr>
              <w:t xml:space="preserve">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463691" w14:textId="77777777" w:rsidR="009F7F8A" w:rsidRPr="00C07B2E" w:rsidRDefault="009F7F8A" w:rsidP="009F7F8A">
            <w:r w:rsidRPr="00C07B2E">
              <w:rPr>
                <w:rFonts w:eastAsia="SimSun"/>
              </w:rPr>
              <w:t>Внутрь, суммарная суточная доза разделяется на 4 приема с интервалом 6 часов.</w:t>
            </w:r>
          </w:p>
        </w:tc>
      </w:tr>
      <w:tr w:rsidR="009F7F8A" w:rsidRPr="00C07B2E" w14:paraId="52CDCAB5" w14:textId="77777777" w:rsidTr="009F7F8A">
        <w:trPr>
          <w:cantSplit/>
          <w:trHeight w:val="20"/>
        </w:trPr>
        <w:tc>
          <w:tcPr>
            <w:tcW w:w="7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2DA3B83F" w14:textId="77777777" w:rsidR="009F7F8A" w:rsidRPr="00C07B2E" w:rsidRDefault="009F7F8A" w:rsidP="009F7F8A">
            <w:r w:rsidRPr="00C07B2E">
              <w:rPr>
                <w:rFonts w:eastAsia="SimSun"/>
              </w:rPr>
              <w:t>Профилактика РТПХ</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E010E4" w14:textId="77777777" w:rsidR="009F7F8A" w:rsidRPr="00C07B2E" w:rsidRDefault="009F7F8A" w:rsidP="009F7F8A">
            <w:r w:rsidRPr="00C07B2E">
              <w:rPr>
                <w:rFonts w:eastAsia="SimSun"/>
              </w:rPr>
              <w:t>Циклоспорин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F4F586" w14:textId="77777777" w:rsidR="009F7F8A" w:rsidRPr="00C07B2E" w:rsidRDefault="009F7F8A" w:rsidP="009F7F8A">
            <w:r w:rsidRPr="00C07B2E">
              <w:rPr>
                <w:rFonts w:eastAsia="SimSun"/>
              </w:rPr>
              <w:t>3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7BED1F" w14:textId="77777777" w:rsidR="009F7F8A" w:rsidRPr="00C07B2E" w:rsidRDefault="009F7F8A" w:rsidP="009F7F8A">
            <w:r w:rsidRPr="00C07B2E">
              <w:rPr>
                <w:rFonts w:eastAsia="SimSun"/>
                <w:lang w:val="en-US"/>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449720" w14:textId="77777777" w:rsidR="009F7F8A" w:rsidRPr="00C07B2E" w:rsidRDefault="009F7F8A" w:rsidP="009F7F8A">
            <w:r w:rsidRPr="00C07B2E">
              <w:t>С +5 по +90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6690CD" w14:textId="77777777" w:rsidR="009F7F8A" w:rsidRPr="000F445E" w:rsidRDefault="009F7F8A" w:rsidP="009F7F8A">
            <w:r w:rsidRPr="00C07B2E">
              <w:rPr>
                <w:rFonts w:eastAsia="SimSun"/>
              </w:rPr>
              <w:t xml:space="preserve">В/в, 5-часовая инфузия 2 раза/сут. </w:t>
            </w:r>
            <w:r w:rsidRPr="000F445E">
              <w:rPr>
                <w:rFonts w:eastAsia="SimSun"/>
              </w:rPr>
              <w:t>Перевод на прием внутрь при условии восстановления лейкоцитов &gt; 1</w:t>
            </w:r>
            <w:r w:rsidRPr="00C07B2E">
              <w:rPr>
                <w:rFonts w:eastAsia="SimSun"/>
              </w:rPr>
              <w:t> </w:t>
            </w:r>
            <w:r>
              <w:rPr>
                <w:rFonts w:eastAsia="SimSun"/>
              </w:rPr>
              <w:t>х</w:t>
            </w:r>
            <w:r w:rsidRPr="000F445E">
              <w:rPr>
                <w:rFonts w:eastAsia="SimSun"/>
              </w:rPr>
              <w:t xml:space="preserve"> 10</w:t>
            </w:r>
            <w:r w:rsidRPr="000F445E">
              <w:rPr>
                <w:rFonts w:eastAsia="SimSun"/>
                <w:vertAlign w:val="superscript"/>
              </w:rPr>
              <w:t>9</w:t>
            </w:r>
            <w:r w:rsidRPr="000F445E">
              <w:rPr>
                <w:rFonts w:eastAsia="SimSun"/>
              </w:rPr>
              <w:t>/л, при отсутствии тошноты, рвоты, диареи и возможности приема внутрь. Концентрация 150-350</w:t>
            </w:r>
            <w:r>
              <w:rPr>
                <w:rFonts w:eastAsia="SimSun"/>
              </w:rPr>
              <w:t xml:space="preserve"> </w:t>
            </w:r>
            <w:r w:rsidRPr="000F445E">
              <w:rPr>
                <w:rFonts w:eastAsia="SimSun"/>
              </w:rPr>
              <w:t>пг/мл.</w:t>
            </w:r>
          </w:p>
        </w:tc>
      </w:tr>
      <w:tr w:rsidR="009F7F8A" w:rsidRPr="00C07B2E" w14:paraId="4960A731" w14:textId="77777777" w:rsidTr="009F7F8A">
        <w:trPr>
          <w:cantSplit/>
          <w:trHeight w:val="20"/>
        </w:trPr>
        <w:tc>
          <w:tcPr>
            <w:tcW w:w="7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E67179" w14:textId="77777777" w:rsidR="009F7F8A" w:rsidRPr="00C07B2E" w:rsidRDefault="009F7F8A" w:rsidP="009F7F8A"/>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9C0221" w14:textId="77777777" w:rsidR="009F7F8A" w:rsidRPr="00C07B2E" w:rsidRDefault="009F7F8A" w:rsidP="009F7F8A">
            <w:r w:rsidRPr="00C07B2E">
              <w:rPr>
                <w:rFonts w:eastAsia="SimSun"/>
              </w:rPr>
              <w:t>Микофенолата мофетил</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0A774C" w14:textId="77777777" w:rsidR="009F7F8A" w:rsidRPr="00C07B2E" w:rsidRDefault="009F7F8A" w:rsidP="009F7F8A">
            <w:r w:rsidRPr="00C07B2E">
              <w:t>45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8F40C6" w14:textId="77777777" w:rsidR="009F7F8A" w:rsidRPr="00C07B2E" w:rsidRDefault="009F7F8A" w:rsidP="009F7F8A">
            <w:r w:rsidRPr="00C07B2E">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B4E58A" w14:textId="77777777" w:rsidR="009F7F8A" w:rsidRPr="00C07B2E" w:rsidRDefault="009F7F8A" w:rsidP="009F7F8A">
            <w:r w:rsidRPr="00C07B2E">
              <w:t>С +5 по +30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D6B167" w14:textId="77777777" w:rsidR="009F7F8A" w:rsidRPr="000F445E" w:rsidRDefault="009F7F8A" w:rsidP="009F7F8A">
            <w:r w:rsidRPr="000F445E">
              <w:rPr>
                <w:rFonts w:eastAsia="SimSun"/>
              </w:rPr>
              <w:t>Внутрь, суммарная суточная доза разделяется на 2- 4 приема (не более 3</w:t>
            </w:r>
            <w:r>
              <w:rPr>
                <w:rFonts w:eastAsia="SimSun"/>
              </w:rPr>
              <w:t xml:space="preserve"> </w:t>
            </w:r>
            <w:r w:rsidRPr="000F445E">
              <w:rPr>
                <w:rFonts w:eastAsia="SimSun"/>
              </w:rPr>
              <w:t>г/сут)</w:t>
            </w:r>
          </w:p>
        </w:tc>
      </w:tr>
      <w:tr w:rsidR="009F7F8A" w:rsidRPr="00C07B2E" w14:paraId="3AEDBD74" w14:textId="77777777" w:rsidTr="009F7F8A">
        <w:trPr>
          <w:cantSplit/>
          <w:trHeight w:val="464"/>
        </w:trPr>
        <w:tc>
          <w:tcPr>
            <w:tcW w:w="7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FAD680" w14:textId="77777777" w:rsidR="009F7F8A" w:rsidRPr="00C07B2E" w:rsidRDefault="009F7F8A" w:rsidP="009F7F8A"/>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039BDC" w14:textId="77777777" w:rsidR="009F7F8A" w:rsidRPr="00C07B2E" w:rsidRDefault="009F7F8A" w:rsidP="009F7F8A">
            <w:r w:rsidRPr="00C07B2E">
              <w:rPr>
                <w:rFonts w:eastAsia="SimSun"/>
              </w:rPr>
              <w:t>Циклофосфамид</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7EF29C" w14:textId="77777777" w:rsidR="009F7F8A" w:rsidRPr="00C07B2E" w:rsidRDefault="009F7F8A" w:rsidP="009F7F8A">
            <w:r w:rsidRPr="00C07B2E">
              <w:rPr>
                <w:rFonts w:eastAsia="SimSun"/>
              </w:rPr>
              <w:t>50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2DFA2D" w14:textId="77777777" w:rsidR="009F7F8A" w:rsidRPr="00C07B2E" w:rsidRDefault="009F7F8A" w:rsidP="009F7F8A">
            <w:r w:rsidRPr="00C07B2E">
              <w:rPr>
                <w:rFonts w:eastAsia="SimSun"/>
              </w:rPr>
              <w:t>100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E37BD5" w14:textId="77777777" w:rsidR="009F7F8A" w:rsidRPr="00C07B2E" w:rsidRDefault="009F7F8A" w:rsidP="009F7F8A">
            <w:r w:rsidRPr="00C07B2E">
              <w:rPr>
                <w:rFonts w:eastAsia="SimSun"/>
              </w:rPr>
              <w:t>+3, +4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125FAF" w14:textId="77777777" w:rsidR="009F7F8A" w:rsidRPr="00C07B2E" w:rsidRDefault="009F7F8A" w:rsidP="009F7F8A">
            <w:r w:rsidRPr="00C07B2E">
              <w:rPr>
                <w:rFonts w:eastAsia="SimSun"/>
              </w:rPr>
              <w:t xml:space="preserve">В/в, в течение 2 ч  </w:t>
            </w:r>
          </w:p>
        </w:tc>
      </w:tr>
    </w:tbl>
    <w:p w14:paraId="4D89CECD" w14:textId="77777777" w:rsidR="009F7F8A" w:rsidRPr="00C07B2E" w:rsidRDefault="009F7F8A" w:rsidP="009F7F8A">
      <w:pPr>
        <w:rPr>
          <w:rFonts w:eastAsia="SimSun"/>
        </w:rPr>
      </w:pPr>
    </w:p>
    <w:p w14:paraId="3ACF6923" w14:textId="77777777" w:rsidR="009F7F8A" w:rsidRPr="00C07B2E" w:rsidRDefault="009F7F8A" w:rsidP="009F7F8A">
      <w:pPr>
        <w:rPr>
          <w:rFonts w:eastAsia="SimSun"/>
        </w:rPr>
      </w:pPr>
      <w:bookmarkStart w:id="119" w:name="_Toc44401147"/>
      <w:r w:rsidRPr="00042499">
        <w:rPr>
          <w:rFonts w:eastAsia="SimSun"/>
        </w:rPr>
        <w:t>Таблица</w:t>
      </w:r>
      <w:r w:rsidRPr="00C07B2E">
        <w:rPr>
          <w:rFonts w:eastAsia="SimSun"/>
        </w:rPr>
        <w:t xml:space="preserve"> </w:t>
      </w:r>
      <w:r>
        <w:rPr>
          <w:rFonts w:eastAsia="SimSun"/>
        </w:rPr>
        <w:t>5</w:t>
      </w:r>
      <w:r w:rsidRPr="00C07B2E">
        <w:rPr>
          <w:rFonts w:eastAsia="SimSun"/>
        </w:rPr>
        <w:t>.1.1.4  – Flu180+Bu12 / Tx+MMF30</w:t>
      </w:r>
      <w:bookmarkEnd w:id="119"/>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1417"/>
        <w:gridCol w:w="1418"/>
        <w:gridCol w:w="1701"/>
        <w:gridCol w:w="2268"/>
      </w:tblGrid>
      <w:tr w:rsidR="009F7F8A" w:rsidRPr="00C07B2E" w14:paraId="5FD0DA1F" w14:textId="77777777" w:rsidTr="009F7F8A">
        <w:trPr>
          <w:cantSplit/>
          <w:trHeight w:val="20"/>
          <w:tblHeader/>
          <w:jc w:val="right"/>
        </w:trPr>
        <w:tc>
          <w:tcPr>
            <w:tcW w:w="709" w:type="dxa"/>
            <w:vAlign w:val="center"/>
          </w:tcPr>
          <w:p w14:paraId="42013550" w14:textId="77777777" w:rsidR="009F7F8A" w:rsidRPr="00C07B2E" w:rsidRDefault="009F7F8A" w:rsidP="009F7F8A">
            <w:pPr>
              <w:rPr>
                <w:rFonts w:eastAsia="SimSun"/>
              </w:rPr>
            </w:pPr>
          </w:p>
        </w:tc>
        <w:tc>
          <w:tcPr>
            <w:tcW w:w="1843" w:type="dxa"/>
            <w:vAlign w:val="center"/>
          </w:tcPr>
          <w:p w14:paraId="4367107C" w14:textId="77777777" w:rsidR="009F7F8A" w:rsidRPr="00C07B2E" w:rsidRDefault="009F7F8A" w:rsidP="009F7F8A">
            <w:pPr>
              <w:rPr>
                <w:rFonts w:eastAsia="SimSun"/>
              </w:rPr>
            </w:pPr>
            <w:r w:rsidRPr="00C07B2E">
              <w:rPr>
                <w:rFonts w:eastAsia="SimSun"/>
              </w:rPr>
              <w:t>Препарат</w:t>
            </w:r>
          </w:p>
        </w:tc>
        <w:tc>
          <w:tcPr>
            <w:tcW w:w="1417" w:type="dxa"/>
            <w:vAlign w:val="center"/>
          </w:tcPr>
          <w:p w14:paraId="63F03764" w14:textId="77777777" w:rsidR="009F7F8A" w:rsidRPr="00C07B2E" w:rsidRDefault="009F7F8A" w:rsidP="009F7F8A">
            <w:pPr>
              <w:rPr>
                <w:rFonts w:eastAsia="SimSun"/>
              </w:rPr>
            </w:pPr>
            <w:r w:rsidRPr="00C07B2E">
              <w:rPr>
                <w:rFonts w:eastAsia="SimSun"/>
              </w:rPr>
              <w:t>Суточная доза</w:t>
            </w:r>
          </w:p>
        </w:tc>
        <w:tc>
          <w:tcPr>
            <w:tcW w:w="1418" w:type="dxa"/>
            <w:vAlign w:val="center"/>
          </w:tcPr>
          <w:p w14:paraId="1189E913" w14:textId="77777777" w:rsidR="009F7F8A" w:rsidRPr="00C07B2E" w:rsidRDefault="009F7F8A" w:rsidP="009F7F8A">
            <w:pPr>
              <w:rPr>
                <w:rFonts w:eastAsia="SimSun"/>
              </w:rPr>
            </w:pPr>
            <w:r w:rsidRPr="00C07B2E">
              <w:rPr>
                <w:rFonts w:eastAsia="SimSun"/>
              </w:rPr>
              <w:t>Курсовая доза</w:t>
            </w:r>
          </w:p>
        </w:tc>
        <w:tc>
          <w:tcPr>
            <w:tcW w:w="1701" w:type="dxa"/>
            <w:vAlign w:val="center"/>
          </w:tcPr>
          <w:p w14:paraId="72BF2709" w14:textId="77777777" w:rsidR="009F7F8A" w:rsidRPr="00C07B2E" w:rsidRDefault="009F7F8A" w:rsidP="009F7F8A">
            <w:pPr>
              <w:rPr>
                <w:rFonts w:eastAsia="SimSun"/>
              </w:rPr>
            </w:pPr>
            <w:r w:rsidRPr="00C07B2E">
              <w:rPr>
                <w:rFonts w:eastAsia="SimSun"/>
              </w:rPr>
              <w:t>Дни введения</w:t>
            </w:r>
          </w:p>
        </w:tc>
        <w:tc>
          <w:tcPr>
            <w:tcW w:w="2268" w:type="dxa"/>
            <w:vAlign w:val="center"/>
          </w:tcPr>
          <w:p w14:paraId="2A4979C2" w14:textId="77777777" w:rsidR="009F7F8A" w:rsidRPr="00C07B2E" w:rsidRDefault="009F7F8A" w:rsidP="009F7F8A">
            <w:pPr>
              <w:rPr>
                <w:rFonts w:eastAsia="SimSun"/>
              </w:rPr>
            </w:pPr>
            <w:r w:rsidRPr="00C07B2E">
              <w:rPr>
                <w:rFonts w:eastAsia="SimSun"/>
              </w:rPr>
              <w:t>Порядок введения</w:t>
            </w:r>
          </w:p>
        </w:tc>
      </w:tr>
      <w:tr w:rsidR="009F7F8A" w:rsidRPr="00C07B2E" w14:paraId="2739CF6F" w14:textId="77777777" w:rsidTr="009F7F8A">
        <w:trPr>
          <w:cantSplit/>
          <w:trHeight w:val="20"/>
          <w:jc w:val="right"/>
        </w:trPr>
        <w:tc>
          <w:tcPr>
            <w:tcW w:w="709" w:type="dxa"/>
            <w:vMerge w:val="restart"/>
            <w:textDirection w:val="btLr"/>
            <w:vAlign w:val="center"/>
          </w:tcPr>
          <w:p w14:paraId="6A4CBE83" w14:textId="77777777" w:rsidR="009F7F8A" w:rsidRPr="00C07B2E" w:rsidRDefault="009F7F8A" w:rsidP="009F7F8A">
            <w:pPr>
              <w:rPr>
                <w:rFonts w:eastAsia="SimSun"/>
              </w:rPr>
            </w:pPr>
            <w:r w:rsidRPr="00C07B2E">
              <w:rPr>
                <w:rFonts w:eastAsia="SimSun"/>
              </w:rPr>
              <w:t>Кондиционирование</w:t>
            </w:r>
          </w:p>
        </w:tc>
        <w:tc>
          <w:tcPr>
            <w:tcW w:w="1843" w:type="dxa"/>
            <w:vAlign w:val="center"/>
          </w:tcPr>
          <w:p w14:paraId="1D358CF8" w14:textId="77777777" w:rsidR="009F7F8A" w:rsidRPr="00C07B2E" w:rsidRDefault="009F7F8A" w:rsidP="009F7F8A">
            <w:pPr>
              <w:rPr>
                <w:rFonts w:eastAsia="SimSun"/>
              </w:rPr>
            </w:pPr>
            <w:r w:rsidRPr="00C07B2E">
              <w:rPr>
                <w:rFonts w:eastAsia="SimSun"/>
              </w:rPr>
              <w:t xml:space="preserve">Флударабин </w:t>
            </w:r>
          </w:p>
        </w:tc>
        <w:tc>
          <w:tcPr>
            <w:tcW w:w="1417" w:type="dxa"/>
            <w:vAlign w:val="center"/>
          </w:tcPr>
          <w:p w14:paraId="2A6DD6B8" w14:textId="77777777" w:rsidR="009F7F8A" w:rsidRPr="00C07B2E" w:rsidRDefault="009F7F8A" w:rsidP="009F7F8A">
            <w:pPr>
              <w:rPr>
                <w:rFonts w:eastAsia="SimSun"/>
              </w:rPr>
            </w:pPr>
            <w:r w:rsidRPr="00C07B2E">
              <w:rPr>
                <w:rFonts w:eastAsia="SimSun"/>
              </w:rPr>
              <w:t>30 мг/</w:t>
            </w:r>
            <w:r w:rsidRPr="000F445E">
              <w:rPr>
                <w:rFonts w:eastAsia="SimSun"/>
              </w:rPr>
              <w:t>м</w:t>
            </w:r>
            <w:r w:rsidRPr="000F445E">
              <w:rPr>
                <w:rFonts w:eastAsia="SimSun"/>
                <w:vertAlign w:val="superscript"/>
              </w:rPr>
              <w:t>2</w:t>
            </w:r>
          </w:p>
        </w:tc>
        <w:tc>
          <w:tcPr>
            <w:tcW w:w="1418" w:type="dxa"/>
            <w:vAlign w:val="center"/>
          </w:tcPr>
          <w:p w14:paraId="52D31567" w14:textId="77777777" w:rsidR="009F7F8A" w:rsidRPr="00C07B2E" w:rsidRDefault="009F7F8A" w:rsidP="009F7F8A">
            <w:pPr>
              <w:rPr>
                <w:rFonts w:eastAsia="SimSun"/>
              </w:rPr>
            </w:pPr>
            <w:r w:rsidRPr="00C07B2E">
              <w:rPr>
                <w:rFonts w:eastAsia="SimSun"/>
              </w:rPr>
              <w:t>180 мг/м</w:t>
            </w:r>
            <w:r w:rsidRPr="000F445E">
              <w:rPr>
                <w:rFonts w:eastAsia="SimSun"/>
                <w:vertAlign w:val="superscript"/>
              </w:rPr>
              <w:t>2</w:t>
            </w:r>
          </w:p>
        </w:tc>
        <w:tc>
          <w:tcPr>
            <w:tcW w:w="1701" w:type="dxa"/>
            <w:vAlign w:val="center"/>
          </w:tcPr>
          <w:p w14:paraId="06E8F1FA" w14:textId="77777777" w:rsidR="009F7F8A" w:rsidRPr="00C07B2E" w:rsidRDefault="009F7F8A" w:rsidP="009F7F8A">
            <w:pPr>
              <w:rPr>
                <w:rFonts w:eastAsia="SimSun"/>
              </w:rPr>
            </w:pPr>
            <w:r w:rsidRPr="00C07B2E">
              <w:rPr>
                <w:rFonts w:eastAsia="SimSun"/>
              </w:rPr>
              <w:t>С -7 дня по -2 день</w:t>
            </w:r>
          </w:p>
        </w:tc>
        <w:tc>
          <w:tcPr>
            <w:tcW w:w="2268" w:type="dxa"/>
            <w:vAlign w:val="center"/>
          </w:tcPr>
          <w:p w14:paraId="3197CA54" w14:textId="77777777" w:rsidR="009F7F8A" w:rsidRPr="00C07B2E" w:rsidRDefault="009F7F8A" w:rsidP="009F7F8A">
            <w:pPr>
              <w:rPr>
                <w:rFonts w:eastAsia="SimSun"/>
              </w:rPr>
            </w:pPr>
            <w:r w:rsidRPr="00C07B2E">
              <w:rPr>
                <w:rFonts w:eastAsia="SimSun"/>
              </w:rPr>
              <w:t>В/в, в течение 30 - 60 мин</w:t>
            </w:r>
          </w:p>
        </w:tc>
      </w:tr>
      <w:tr w:rsidR="009F7F8A" w:rsidRPr="00C07B2E" w14:paraId="2483AE64" w14:textId="77777777" w:rsidTr="009F7F8A">
        <w:trPr>
          <w:cantSplit/>
          <w:trHeight w:val="1207"/>
          <w:jc w:val="right"/>
        </w:trPr>
        <w:tc>
          <w:tcPr>
            <w:tcW w:w="709" w:type="dxa"/>
            <w:vMerge/>
            <w:vAlign w:val="center"/>
          </w:tcPr>
          <w:p w14:paraId="6FD7A3C6" w14:textId="77777777" w:rsidR="009F7F8A" w:rsidRPr="00C07B2E" w:rsidRDefault="009F7F8A" w:rsidP="009F7F8A">
            <w:pPr>
              <w:rPr>
                <w:rFonts w:eastAsia="SimSun"/>
              </w:rPr>
            </w:pPr>
          </w:p>
        </w:tc>
        <w:tc>
          <w:tcPr>
            <w:tcW w:w="1843" w:type="dxa"/>
            <w:vAlign w:val="center"/>
          </w:tcPr>
          <w:p w14:paraId="3EB2C396" w14:textId="77777777" w:rsidR="009F7F8A" w:rsidRPr="00C07B2E" w:rsidRDefault="009F7F8A" w:rsidP="009F7F8A">
            <w:pPr>
              <w:rPr>
                <w:rFonts w:eastAsia="SimSun"/>
              </w:rPr>
            </w:pPr>
            <w:r w:rsidRPr="00C07B2E">
              <w:rPr>
                <w:rFonts w:eastAsia="SimSun"/>
              </w:rPr>
              <w:t>Бусульфан</w:t>
            </w:r>
          </w:p>
        </w:tc>
        <w:tc>
          <w:tcPr>
            <w:tcW w:w="1417" w:type="dxa"/>
            <w:vAlign w:val="center"/>
          </w:tcPr>
          <w:p w14:paraId="6B06379E" w14:textId="77777777" w:rsidR="009F7F8A" w:rsidRPr="00C07B2E" w:rsidRDefault="009F7F8A" w:rsidP="009F7F8A">
            <w:pPr>
              <w:rPr>
                <w:rFonts w:eastAsia="SimSun"/>
              </w:rPr>
            </w:pPr>
            <w:r w:rsidRPr="00C07B2E">
              <w:rPr>
                <w:rFonts w:eastAsia="SimSun"/>
              </w:rPr>
              <w:t xml:space="preserve">4 мг/кг </w:t>
            </w:r>
          </w:p>
        </w:tc>
        <w:tc>
          <w:tcPr>
            <w:tcW w:w="1418" w:type="dxa"/>
            <w:vAlign w:val="center"/>
          </w:tcPr>
          <w:p w14:paraId="68909857" w14:textId="77777777" w:rsidR="009F7F8A" w:rsidRPr="00C07B2E" w:rsidRDefault="009F7F8A" w:rsidP="009F7F8A">
            <w:pPr>
              <w:rPr>
                <w:rFonts w:eastAsia="SimSun"/>
              </w:rPr>
            </w:pPr>
            <w:r w:rsidRPr="00C07B2E">
              <w:rPr>
                <w:rFonts w:eastAsia="SimSun"/>
                <w:lang w:val="en-US"/>
              </w:rPr>
              <w:t>12</w:t>
            </w:r>
            <w:r w:rsidRPr="00C07B2E">
              <w:rPr>
                <w:rFonts w:eastAsia="SimSun"/>
              </w:rPr>
              <w:t xml:space="preserve"> мг/кг </w:t>
            </w:r>
          </w:p>
        </w:tc>
        <w:tc>
          <w:tcPr>
            <w:tcW w:w="1701" w:type="dxa"/>
            <w:vAlign w:val="center"/>
          </w:tcPr>
          <w:p w14:paraId="0E3129D6" w14:textId="77777777" w:rsidR="009F7F8A" w:rsidRPr="00C07B2E" w:rsidRDefault="009F7F8A" w:rsidP="009F7F8A">
            <w:pPr>
              <w:rPr>
                <w:rFonts w:eastAsia="SimSun"/>
              </w:rPr>
            </w:pPr>
            <w:r w:rsidRPr="00C07B2E">
              <w:rPr>
                <w:rFonts w:eastAsia="SimSun"/>
              </w:rPr>
              <w:t>С -</w:t>
            </w:r>
            <w:r w:rsidRPr="00C07B2E">
              <w:rPr>
                <w:rFonts w:eastAsia="SimSun"/>
                <w:lang w:val="en-US"/>
              </w:rPr>
              <w:t>5</w:t>
            </w:r>
            <w:r w:rsidRPr="00C07B2E">
              <w:rPr>
                <w:rFonts w:eastAsia="SimSun"/>
              </w:rPr>
              <w:t xml:space="preserve"> дня по -3 день</w:t>
            </w:r>
          </w:p>
        </w:tc>
        <w:tc>
          <w:tcPr>
            <w:tcW w:w="2268" w:type="dxa"/>
            <w:vAlign w:val="center"/>
          </w:tcPr>
          <w:p w14:paraId="0F1E9D42" w14:textId="77777777" w:rsidR="009F7F8A" w:rsidRPr="00C07B2E" w:rsidRDefault="009F7F8A" w:rsidP="009F7F8A">
            <w:pPr>
              <w:rPr>
                <w:rFonts w:eastAsia="SimSun"/>
              </w:rPr>
            </w:pPr>
            <w:r w:rsidRPr="00C07B2E">
              <w:rPr>
                <w:rFonts w:eastAsia="SimSun"/>
              </w:rPr>
              <w:t xml:space="preserve">Внутрь, суммарная суточная доза разделяется на 4 приема с интервалом 6 часов. </w:t>
            </w:r>
          </w:p>
        </w:tc>
      </w:tr>
      <w:tr w:rsidR="009F7F8A" w:rsidRPr="00C07B2E" w14:paraId="31D171C5" w14:textId="77777777" w:rsidTr="009F7F8A">
        <w:trPr>
          <w:cantSplit/>
          <w:trHeight w:val="1498"/>
          <w:jc w:val="right"/>
        </w:trPr>
        <w:tc>
          <w:tcPr>
            <w:tcW w:w="709" w:type="dxa"/>
            <w:vMerge w:val="restart"/>
            <w:textDirection w:val="btLr"/>
            <w:vAlign w:val="center"/>
          </w:tcPr>
          <w:p w14:paraId="6AC5FBC1" w14:textId="77777777" w:rsidR="009F7F8A" w:rsidRPr="00C07B2E" w:rsidRDefault="009F7F8A" w:rsidP="009F7F8A">
            <w:pPr>
              <w:rPr>
                <w:rFonts w:eastAsia="SimSun"/>
              </w:rPr>
            </w:pPr>
            <w:r w:rsidRPr="00C07B2E">
              <w:rPr>
                <w:rFonts w:eastAsia="SimSun"/>
              </w:rPr>
              <w:t>Профилактика РТПХ</w:t>
            </w:r>
          </w:p>
        </w:tc>
        <w:tc>
          <w:tcPr>
            <w:tcW w:w="1843" w:type="dxa"/>
            <w:vAlign w:val="center"/>
          </w:tcPr>
          <w:p w14:paraId="48581B9D" w14:textId="77777777" w:rsidR="009F7F8A" w:rsidRPr="00C07B2E" w:rsidRDefault="009F7F8A" w:rsidP="009F7F8A">
            <w:pPr>
              <w:rPr>
                <w:rFonts w:eastAsia="SimSun"/>
              </w:rPr>
            </w:pPr>
            <w:r w:rsidRPr="00C07B2E">
              <w:rPr>
                <w:rFonts w:eastAsia="SimSun"/>
              </w:rPr>
              <w:t xml:space="preserve">Такролимус </w:t>
            </w:r>
          </w:p>
        </w:tc>
        <w:tc>
          <w:tcPr>
            <w:tcW w:w="1417" w:type="dxa"/>
            <w:vAlign w:val="center"/>
          </w:tcPr>
          <w:p w14:paraId="772843A7" w14:textId="77777777" w:rsidR="009F7F8A" w:rsidRPr="00C07B2E" w:rsidRDefault="009F7F8A" w:rsidP="009F7F8A">
            <w:pPr>
              <w:rPr>
                <w:rFonts w:eastAsia="SimSun"/>
              </w:rPr>
            </w:pPr>
            <w:r w:rsidRPr="00C07B2E">
              <w:rPr>
                <w:rFonts w:eastAsia="SimSun"/>
              </w:rPr>
              <w:t>0,03 мг/кг</w:t>
            </w:r>
          </w:p>
        </w:tc>
        <w:tc>
          <w:tcPr>
            <w:tcW w:w="1418" w:type="dxa"/>
            <w:vAlign w:val="center"/>
          </w:tcPr>
          <w:p w14:paraId="5EB853E7" w14:textId="77777777" w:rsidR="009F7F8A" w:rsidRPr="00C07B2E" w:rsidRDefault="009F7F8A" w:rsidP="009F7F8A">
            <w:pPr>
              <w:rPr>
                <w:rFonts w:eastAsia="SimSun"/>
              </w:rPr>
            </w:pPr>
            <w:r w:rsidRPr="00C07B2E">
              <w:rPr>
                <w:rFonts w:eastAsia="SimSun"/>
                <w:lang w:val="en-US"/>
              </w:rPr>
              <w:t>–</w:t>
            </w:r>
          </w:p>
        </w:tc>
        <w:tc>
          <w:tcPr>
            <w:tcW w:w="1701" w:type="dxa"/>
            <w:vAlign w:val="center"/>
          </w:tcPr>
          <w:p w14:paraId="6077B708" w14:textId="77777777" w:rsidR="009F7F8A" w:rsidRPr="00C07B2E" w:rsidRDefault="009F7F8A" w:rsidP="009F7F8A">
            <w:pPr>
              <w:rPr>
                <w:rFonts w:eastAsia="SimSun"/>
              </w:rPr>
            </w:pPr>
            <w:r w:rsidRPr="00C07B2E">
              <w:rPr>
                <w:rFonts w:eastAsia="SimSun"/>
              </w:rPr>
              <w:t xml:space="preserve">С </w:t>
            </w:r>
            <w:r w:rsidRPr="00C07B2E">
              <w:rPr>
                <w:rFonts w:eastAsia="SimSun"/>
                <w:lang w:val="en-US"/>
              </w:rPr>
              <w:t>-1</w:t>
            </w:r>
            <w:r w:rsidRPr="00C07B2E">
              <w:rPr>
                <w:rFonts w:eastAsia="SimSun"/>
              </w:rPr>
              <w:t xml:space="preserve"> дня длительно </w:t>
            </w:r>
          </w:p>
        </w:tc>
        <w:tc>
          <w:tcPr>
            <w:tcW w:w="2268" w:type="dxa"/>
            <w:vAlign w:val="center"/>
          </w:tcPr>
          <w:p w14:paraId="6BB5A03F" w14:textId="77777777" w:rsidR="009F7F8A" w:rsidRPr="000F445E" w:rsidRDefault="009F7F8A" w:rsidP="009F7F8A">
            <w:pPr>
              <w:rPr>
                <w:rFonts w:eastAsia="SimSun"/>
              </w:rPr>
            </w:pPr>
            <w:r w:rsidRPr="00C07B2E">
              <w:rPr>
                <w:rFonts w:eastAsia="SimSun"/>
              </w:rPr>
              <w:t xml:space="preserve">В/в инфузия в течение 24 ч с последующей коррекцией суточной дозы по концентрации. </w:t>
            </w:r>
            <w:r w:rsidRPr="000F445E">
              <w:rPr>
                <w:rFonts w:eastAsia="SimSun"/>
              </w:rPr>
              <w:t>Перевод на прием внутрь при условии восстановления лейкоцитов &gt; 1</w:t>
            </w:r>
            <w:r w:rsidRPr="00C07B2E">
              <w:rPr>
                <w:rFonts w:eastAsia="SimSun"/>
              </w:rPr>
              <w:t> </w:t>
            </w:r>
            <w:r>
              <w:rPr>
                <w:rFonts w:eastAsia="SimSun"/>
              </w:rPr>
              <w:t xml:space="preserve">х </w:t>
            </w:r>
            <w:r w:rsidRPr="000F445E">
              <w:rPr>
                <w:rFonts w:eastAsia="SimSun"/>
              </w:rPr>
              <w:t>10</w:t>
            </w:r>
            <w:r w:rsidRPr="000F445E">
              <w:rPr>
                <w:rFonts w:eastAsia="SimSun"/>
                <w:vertAlign w:val="superscript"/>
              </w:rPr>
              <w:t>9</w:t>
            </w:r>
            <w:r w:rsidRPr="000F445E">
              <w:rPr>
                <w:rFonts w:eastAsia="SimSun"/>
              </w:rPr>
              <w:t xml:space="preserve">/л, при отсутствии тошноты, рвоты, диареи и возможности приема внутрь. Концентрация </w:t>
            </w:r>
            <w:r w:rsidRPr="00C07B2E">
              <w:rPr>
                <w:rFonts w:eastAsia="SimSun"/>
                <w:lang w:val="en-US"/>
              </w:rPr>
              <w:t>Tx</w:t>
            </w:r>
            <w:r w:rsidRPr="000F445E">
              <w:rPr>
                <w:rFonts w:eastAsia="SimSun"/>
              </w:rPr>
              <w:t xml:space="preserve"> 5-15 нг/мл.    </w:t>
            </w:r>
          </w:p>
        </w:tc>
      </w:tr>
      <w:tr w:rsidR="009F7F8A" w:rsidRPr="00C07B2E" w14:paraId="41E39397" w14:textId="77777777" w:rsidTr="009F7F8A">
        <w:trPr>
          <w:cantSplit/>
          <w:trHeight w:val="2381"/>
          <w:jc w:val="right"/>
        </w:trPr>
        <w:tc>
          <w:tcPr>
            <w:tcW w:w="709" w:type="dxa"/>
            <w:vMerge/>
            <w:textDirection w:val="btLr"/>
            <w:vAlign w:val="center"/>
          </w:tcPr>
          <w:p w14:paraId="4B066729" w14:textId="77777777" w:rsidR="009F7F8A" w:rsidRPr="000F445E" w:rsidRDefault="009F7F8A" w:rsidP="009F7F8A">
            <w:pPr>
              <w:rPr>
                <w:rFonts w:eastAsia="SimSun"/>
              </w:rPr>
            </w:pPr>
          </w:p>
        </w:tc>
        <w:tc>
          <w:tcPr>
            <w:tcW w:w="1843" w:type="dxa"/>
            <w:vAlign w:val="center"/>
          </w:tcPr>
          <w:p w14:paraId="4FB06C81" w14:textId="77777777" w:rsidR="009F7F8A" w:rsidRPr="00C07B2E" w:rsidRDefault="009F7F8A" w:rsidP="009F7F8A">
            <w:pPr>
              <w:rPr>
                <w:rFonts w:eastAsia="SimSun"/>
              </w:rPr>
            </w:pPr>
            <w:r w:rsidRPr="00C07B2E">
              <w:rPr>
                <w:rFonts w:eastAsia="SimSun"/>
              </w:rPr>
              <w:t>Микофенолата мофетил</w:t>
            </w:r>
          </w:p>
        </w:tc>
        <w:tc>
          <w:tcPr>
            <w:tcW w:w="1417" w:type="dxa"/>
            <w:vAlign w:val="center"/>
          </w:tcPr>
          <w:p w14:paraId="3E3F7E2F" w14:textId="77777777" w:rsidR="009F7F8A" w:rsidRPr="00C07B2E" w:rsidRDefault="009F7F8A" w:rsidP="009F7F8A">
            <w:pPr>
              <w:rPr>
                <w:rFonts w:eastAsia="SimSun"/>
              </w:rPr>
            </w:pPr>
            <w:r w:rsidRPr="00C07B2E">
              <w:rPr>
                <w:rFonts w:eastAsia="SimSun"/>
              </w:rPr>
              <w:t xml:space="preserve">30 мг/кг </w:t>
            </w:r>
          </w:p>
        </w:tc>
        <w:tc>
          <w:tcPr>
            <w:tcW w:w="1418" w:type="dxa"/>
            <w:vAlign w:val="center"/>
          </w:tcPr>
          <w:p w14:paraId="24D8AB71" w14:textId="77777777" w:rsidR="009F7F8A" w:rsidRPr="00C07B2E" w:rsidRDefault="009F7F8A" w:rsidP="009F7F8A">
            <w:pPr>
              <w:rPr>
                <w:rFonts w:eastAsia="SimSun"/>
              </w:rPr>
            </w:pPr>
            <w:r w:rsidRPr="00C07B2E">
              <w:rPr>
                <w:rFonts w:eastAsia="SimSun"/>
              </w:rPr>
              <w:t>–</w:t>
            </w:r>
          </w:p>
        </w:tc>
        <w:tc>
          <w:tcPr>
            <w:tcW w:w="1701" w:type="dxa"/>
            <w:vAlign w:val="center"/>
          </w:tcPr>
          <w:p w14:paraId="2735C3C7" w14:textId="77777777" w:rsidR="009F7F8A" w:rsidRPr="00C07B2E" w:rsidRDefault="009F7F8A" w:rsidP="009F7F8A">
            <w:pPr>
              <w:rPr>
                <w:rFonts w:eastAsia="SimSun"/>
              </w:rPr>
            </w:pPr>
            <w:r w:rsidRPr="00C07B2E">
              <w:rPr>
                <w:rFonts w:eastAsia="SimSun"/>
              </w:rPr>
              <w:t xml:space="preserve">С </w:t>
            </w:r>
            <w:r w:rsidRPr="00C07B2E">
              <w:rPr>
                <w:rFonts w:eastAsia="SimSun"/>
                <w:lang w:val="en-US"/>
              </w:rPr>
              <w:t>-1</w:t>
            </w:r>
            <w:r w:rsidRPr="00C07B2E">
              <w:rPr>
                <w:rFonts w:eastAsia="SimSun"/>
              </w:rPr>
              <w:t xml:space="preserve"> дня по +3</w:t>
            </w:r>
            <w:r w:rsidRPr="00C07B2E">
              <w:rPr>
                <w:rFonts w:eastAsia="SimSun"/>
                <w:lang w:val="en-US"/>
              </w:rPr>
              <w:t>0</w:t>
            </w:r>
            <w:r w:rsidRPr="00C07B2E">
              <w:rPr>
                <w:rFonts w:eastAsia="SimSun"/>
              </w:rPr>
              <w:t xml:space="preserve"> день </w:t>
            </w:r>
          </w:p>
        </w:tc>
        <w:tc>
          <w:tcPr>
            <w:tcW w:w="2268" w:type="dxa"/>
            <w:vAlign w:val="center"/>
          </w:tcPr>
          <w:p w14:paraId="54A465D6" w14:textId="77777777" w:rsidR="009F7F8A" w:rsidRPr="00C07B2E" w:rsidRDefault="009F7F8A" w:rsidP="009F7F8A">
            <w:pPr>
              <w:ind w:right="-138"/>
              <w:rPr>
                <w:rFonts w:eastAsia="SimSun"/>
              </w:rPr>
            </w:pPr>
            <w:r w:rsidRPr="00C07B2E">
              <w:rPr>
                <w:rFonts w:eastAsia="SimSun"/>
              </w:rPr>
              <w:t>Внутрь, суммарная суточная доза разделяется на 2- 4 приема (не более 3г/сут)</w:t>
            </w:r>
          </w:p>
        </w:tc>
      </w:tr>
    </w:tbl>
    <w:p w14:paraId="52A1E152" w14:textId="77777777" w:rsidR="009F7F8A" w:rsidRPr="00C07B2E" w:rsidRDefault="009F7F8A" w:rsidP="009F7F8A">
      <w:pPr>
        <w:rPr>
          <w:rFonts w:eastAsia="SimSun"/>
        </w:rPr>
        <w:sectPr w:rsidR="009F7F8A" w:rsidRPr="00C07B2E" w:rsidSect="009F7F8A">
          <w:type w:val="continuous"/>
          <w:pgSz w:w="11907" w:h="16839" w:code="9"/>
          <w:pgMar w:top="1134" w:right="850" w:bottom="1134" w:left="1701" w:header="709" w:footer="567" w:gutter="0"/>
          <w:cols w:space="708"/>
          <w:docGrid w:linePitch="360"/>
        </w:sectPr>
      </w:pPr>
    </w:p>
    <w:p w14:paraId="274DDBFC" w14:textId="77777777" w:rsidR="009F7F8A" w:rsidRDefault="009F7F8A" w:rsidP="009F7F8A">
      <w:pPr>
        <w:rPr>
          <w:rFonts w:eastAsia="SimSun"/>
        </w:rPr>
      </w:pPr>
      <w:bookmarkStart w:id="120" w:name="_Toc44401148"/>
    </w:p>
    <w:p w14:paraId="70FD1A2D" w14:textId="77777777" w:rsidR="009F7F8A" w:rsidRPr="00C07B2E" w:rsidRDefault="009F7F8A" w:rsidP="009F7F8A">
      <w:pPr>
        <w:rPr>
          <w:rFonts w:eastAsia="SimSun"/>
        </w:rPr>
      </w:pPr>
      <w:r w:rsidRPr="00042499">
        <w:rPr>
          <w:rFonts w:eastAsia="SimSun"/>
        </w:rPr>
        <w:lastRenderedPageBreak/>
        <w:t>Таблица</w:t>
      </w:r>
      <w:r w:rsidRPr="00C07B2E">
        <w:rPr>
          <w:rFonts w:eastAsia="SimSun"/>
        </w:rPr>
        <w:t xml:space="preserve"> </w:t>
      </w:r>
      <w:r>
        <w:rPr>
          <w:rFonts w:eastAsia="SimSun"/>
        </w:rPr>
        <w:t>5</w:t>
      </w:r>
      <w:r w:rsidRPr="00C07B2E">
        <w:rPr>
          <w:rFonts w:eastAsia="SimSun"/>
        </w:rPr>
        <w:t>.1.1.5  – Flu180+Bu12 / PT-Cy</w:t>
      </w:r>
      <w:bookmarkEnd w:id="120"/>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843"/>
        <w:gridCol w:w="1417"/>
        <w:gridCol w:w="1337"/>
        <w:gridCol w:w="1701"/>
        <w:gridCol w:w="2268"/>
      </w:tblGrid>
      <w:tr w:rsidR="009F7F8A" w:rsidRPr="00C07B2E" w14:paraId="42B2E703" w14:textId="77777777" w:rsidTr="009F7F8A">
        <w:trPr>
          <w:cantSplit/>
          <w:trHeight w:val="20"/>
          <w:tblHeader/>
        </w:trPr>
        <w:tc>
          <w:tcPr>
            <w:tcW w:w="959" w:type="dxa"/>
            <w:vAlign w:val="center"/>
          </w:tcPr>
          <w:p w14:paraId="38E22310" w14:textId="77777777" w:rsidR="009F7F8A" w:rsidRPr="00980822" w:rsidRDefault="009F7F8A" w:rsidP="009F7F8A">
            <w:pPr>
              <w:ind w:firstLine="98"/>
              <w:rPr>
                <w:rFonts w:eastAsia="SimSun"/>
              </w:rPr>
            </w:pPr>
          </w:p>
        </w:tc>
        <w:tc>
          <w:tcPr>
            <w:tcW w:w="1843" w:type="dxa"/>
            <w:vAlign w:val="center"/>
          </w:tcPr>
          <w:p w14:paraId="5667FA3F" w14:textId="77777777" w:rsidR="009F7F8A" w:rsidRPr="00C07B2E" w:rsidRDefault="009F7F8A" w:rsidP="009F7F8A">
            <w:pPr>
              <w:ind w:firstLine="98"/>
              <w:rPr>
                <w:rFonts w:eastAsia="SimSun"/>
              </w:rPr>
            </w:pPr>
            <w:r w:rsidRPr="00C07B2E">
              <w:rPr>
                <w:rFonts w:eastAsia="SimSun"/>
              </w:rPr>
              <w:t>Препарат</w:t>
            </w:r>
          </w:p>
        </w:tc>
        <w:tc>
          <w:tcPr>
            <w:tcW w:w="1417" w:type="dxa"/>
            <w:vAlign w:val="center"/>
          </w:tcPr>
          <w:p w14:paraId="6DF83021" w14:textId="77777777" w:rsidR="009F7F8A" w:rsidRPr="00C07B2E" w:rsidRDefault="009F7F8A" w:rsidP="009F7F8A">
            <w:pPr>
              <w:ind w:firstLine="98"/>
              <w:rPr>
                <w:rFonts w:eastAsia="SimSun"/>
              </w:rPr>
            </w:pPr>
            <w:r w:rsidRPr="00C07B2E">
              <w:rPr>
                <w:rFonts w:eastAsia="SimSun"/>
              </w:rPr>
              <w:t>Суточная доза</w:t>
            </w:r>
          </w:p>
        </w:tc>
        <w:tc>
          <w:tcPr>
            <w:tcW w:w="1337" w:type="dxa"/>
            <w:vAlign w:val="center"/>
          </w:tcPr>
          <w:p w14:paraId="655B5BBF" w14:textId="77777777" w:rsidR="009F7F8A" w:rsidRPr="00C07B2E" w:rsidRDefault="009F7F8A" w:rsidP="009F7F8A">
            <w:pPr>
              <w:ind w:firstLine="98"/>
              <w:rPr>
                <w:rFonts w:eastAsia="SimSun"/>
              </w:rPr>
            </w:pPr>
            <w:r w:rsidRPr="00C07B2E">
              <w:rPr>
                <w:rFonts w:eastAsia="SimSun"/>
              </w:rPr>
              <w:t>Курсовая доза</w:t>
            </w:r>
          </w:p>
        </w:tc>
        <w:tc>
          <w:tcPr>
            <w:tcW w:w="1701" w:type="dxa"/>
            <w:vAlign w:val="center"/>
          </w:tcPr>
          <w:p w14:paraId="7CDB8EAB" w14:textId="77777777" w:rsidR="009F7F8A" w:rsidRPr="00C07B2E" w:rsidRDefault="009F7F8A" w:rsidP="009F7F8A">
            <w:pPr>
              <w:ind w:firstLine="98"/>
              <w:rPr>
                <w:rFonts w:eastAsia="SimSun"/>
              </w:rPr>
            </w:pPr>
            <w:r w:rsidRPr="00C07B2E">
              <w:rPr>
                <w:rFonts w:eastAsia="SimSun"/>
              </w:rPr>
              <w:t>Дни введения</w:t>
            </w:r>
          </w:p>
        </w:tc>
        <w:tc>
          <w:tcPr>
            <w:tcW w:w="2268" w:type="dxa"/>
            <w:vAlign w:val="center"/>
          </w:tcPr>
          <w:p w14:paraId="0DFD1FA0" w14:textId="77777777" w:rsidR="009F7F8A" w:rsidRPr="00C07B2E" w:rsidRDefault="009F7F8A" w:rsidP="009F7F8A">
            <w:pPr>
              <w:ind w:firstLine="98"/>
              <w:rPr>
                <w:rFonts w:eastAsia="SimSun"/>
              </w:rPr>
            </w:pPr>
            <w:r w:rsidRPr="00C07B2E">
              <w:rPr>
                <w:rFonts w:eastAsia="SimSun"/>
              </w:rPr>
              <w:t>Порядок введения</w:t>
            </w:r>
          </w:p>
        </w:tc>
      </w:tr>
      <w:tr w:rsidR="009F7F8A" w:rsidRPr="00C07B2E" w14:paraId="7A06F9F4" w14:textId="77777777" w:rsidTr="009F7F8A">
        <w:trPr>
          <w:cantSplit/>
          <w:trHeight w:val="20"/>
        </w:trPr>
        <w:tc>
          <w:tcPr>
            <w:tcW w:w="959" w:type="dxa"/>
            <w:vMerge w:val="restart"/>
            <w:textDirection w:val="btLr"/>
            <w:vAlign w:val="center"/>
          </w:tcPr>
          <w:p w14:paraId="6455262B" w14:textId="77777777" w:rsidR="009F7F8A" w:rsidRPr="00C07B2E" w:rsidRDefault="009F7F8A" w:rsidP="009F7F8A">
            <w:pPr>
              <w:ind w:firstLine="98"/>
              <w:rPr>
                <w:rFonts w:eastAsia="SimSun"/>
              </w:rPr>
            </w:pPr>
            <w:r w:rsidRPr="00C07B2E">
              <w:rPr>
                <w:rFonts w:eastAsia="SimSun"/>
              </w:rPr>
              <w:t>Кондиционирование</w:t>
            </w:r>
          </w:p>
        </w:tc>
        <w:tc>
          <w:tcPr>
            <w:tcW w:w="1843" w:type="dxa"/>
            <w:vAlign w:val="center"/>
          </w:tcPr>
          <w:p w14:paraId="31A635C9" w14:textId="77777777" w:rsidR="009F7F8A" w:rsidRPr="00C07B2E" w:rsidRDefault="009F7F8A" w:rsidP="009F7F8A">
            <w:pPr>
              <w:ind w:firstLine="98"/>
              <w:rPr>
                <w:rFonts w:eastAsia="SimSun"/>
              </w:rPr>
            </w:pPr>
            <w:r w:rsidRPr="00C07B2E">
              <w:rPr>
                <w:rFonts w:eastAsia="SimSun"/>
              </w:rPr>
              <w:t xml:space="preserve">Флударабин </w:t>
            </w:r>
          </w:p>
        </w:tc>
        <w:tc>
          <w:tcPr>
            <w:tcW w:w="1417" w:type="dxa"/>
            <w:vAlign w:val="center"/>
          </w:tcPr>
          <w:p w14:paraId="506A24A7" w14:textId="77777777" w:rsidR="009F7F8A" w:rsidRPr="00C07B2E" w:rsidRDefault="009F7F8A" w:rsidP="009F7F8A">
            <w:pPr>
              <w:ind w:firstLine="98"/>
              <w:rPr>
                <w:rFonts w:eastAsia="SimSun"/>
              </w:rPr>
            </w:pPr>
            <w:r w:rsidRPr="00C07B2E">
              <w:rPr>
                <w:rFonts w:eastAsia="SimSun"/>
              </w:rPr>
              <w:t>30 мг/м</w:t>
            </w:r>
            <w:r w:rsidRPr="000F445E">
              <w:rPr>
                <w:rFonts w:eastAsia="SimSun"/>
                <w:vertAlign w:val="superscript"/>
              </w:rPr>
              <w:t>2</w:t>
            </w:r>
          </w:p>
        </w:tc>
        <w:tc>
          <w:tcPr>
            <w:tcW w:w="1337" w:type="dxa"/>
            <w:vAlign w:val="center"/>
          </w:tcPr>
          <w:p w14:paraId="130D0332" w14:textId="77777777" w:rsidR="009F7F8A" w:rsidRPr="00C07B2E" w:rsidRDefault="009F7F8A" w:rsidP="009F7F8A">
            <w:pPr>
              <w:ind w:firstLine="98"/>
              <w:rPr>
                <w:rFonts w:eastAsia="SimSun"/>
              </w:rPr>
            </w:pPr>
            <w:r w:rsidRPr="00C07B2E">
              <w:rPr>
                <w:rFonts w:eastAsia="SimSun"/>
              </w:rPr>
              <w:t>180 мг/м</w:t>
            </w:r>
            <w:r w:rsidRPr="000F445E">
              <w:rPr>
                <w:rFonts w:eastAsia="SimSun"/>
                <w:vertAlign w:val="superscript"/>
              </w:rPr>
              <w:t>2</w:t>
            </w:r>
          </w:p>
        </w:tc>
        <w:tc>
          <w:tcPr>
            <w:tcW w:w="1701" w:type="dxa"/>
            <w:vAlign w:val="center"/>
          </w:tcPr>
          <w:p w14:paraId="7540578C" w14:textId="77777777" w:rsidR="009F7F8A" w:rsidRPr="00C07B2E" w:rsidRDefault="009F7F8A" w:rsidP="009F7F8A">
            <w:pPr>
              <w:ind w:firstLine="98"/>
              <w:rPr>
                <w:rFonts w:eastAsia="SimSun"/>
              </w:rPr>
            </w:pPr>
            <w:r w:rsidRPr="00C07B2E">
              <w:rPr>
                <w:rFonts w:eastAsia="SimSun"/>
              </w:rPr>
              <w:t>С -7 дня по -2 день</w:t>
            </w:r>
          </w:p>
        </w:tc>
        <w:tc>
          <w:tcPr>
            <w:tcW w:w="2268" w:type="dxa"/>
            <w:vAlign w:val="center"/>
          </w:tcPr>
          <w:p w14:paraId="406B9384" w14:textId="77777777" w:rsidR="009F7F8A" w:rsidRPr="00C07B2E" w:rsidRDefault="009F7F8A" w:rsidP="009F7F8A">
            <w:pPr>
              <w:ind w:firstLine="98"/>
              <w:rPr>
                <w:rFonts w:eastAsia="SimSun"/>
              </w:rPr>
            </w:pPr>
            <w:r w:rsidRPr="00C07B2E">
              <w:rPr>
                <w:rFonts w:eastAsia="SimSun"/>
              </w:rPr>
              <w:t>В/в, в течение 30 - 60 мин</w:t>
            </w:r>
          </w:p>
        </w:tc>
      </w:tr>
      <w:tr w:rsidR="009F7F8A" w:rsidRPr="00C07B2E" w14:paraId="45CB5761" w14:textId="77777777" w:rsidTr="009F7F8A">
        <w:trPr>
          <w:cantSplit/>
          <w:trHeight w:val="1207"/>
        </w:trPr>
        <w:tc>
          <w:tcPr>
            <w:tcW w:w="959" w:type="dxa"/>
            <w:vMerge/>
            <w:vAlign w:val="center"/>
          </w:tcPr>
          <w:p w14:paraId="78AFFF05" w14:textId="77777777" w:rsidR="009F7F8A" w:rsidRPr="00C07B2E" w:rsidRDefault="009F7F8A" w:rsidP="009F7F8A">
            <w:pPr>
              <w:ind w:firstLine="98"/>
              <w:rPr>
                <w:rFonts w:eastAsia="SimSun"/>
              </w:rPr>
            </w:pPr>
          </w:p>
        </w:tc>
        <w:tc>
          <w:tcPr>
            <w:tcW w:w="1843" w:type="dxa"/>
            <w:vAlign w:val="center"/>
          </w:tcPr>
          <w:p w14:paraId="12D76CEA" w14:textId="77777777" w:rsidR="009F7F8A" w:rsidRPr="00C07B2E" w:rsidRDefault="009F7F8A" w:rsidP="009F7F8A">
            <w:pPr>
              <w:ind w:firstLine="98"/>
              <w:rPr>
                <w:rFonts w:eastAsia="SimSun"/>
              </w:rPr>
            </w:pPr>
            <w:r w:rsidRPr="00C07B2E">
              <w:rPr>
                <w:rFonts w:eastAsia="SimSun"/>
              </w:rPr>
              <w:t>Бусульфан</w:t>
            </w:r>
          </w:p>
        </w:tc>
        <w:tc>
          <w:tcPr>
            <w:tcW w:w="1417" w:type="dxa"/>
            <w:vAlign w:val="center"/>
          </w:tcPr>
          <w:p w14:paraId="6D79F77D" w14:textId="77777777" w:rsidR="009F7F8A" w:rsidRPr="00C07B2E" w:rsidRDefault="009F7F8A" w:rsidP="009F7F8A">
            <w:pPr>
              <w:ind w:firstLine="98"/>
              <w:rPr>
                <w:rFonts w:eastAsia="SimSun"/>
              </w:rPr>
            </w:pPr>
            <w:r w:rsidRPr="00C07B2E">
              <w:rPr>
                <w:rFonts w:eastAsia="SimSun"/>
              </w:rPr>
              <w:t xml:space="preserve">4 мг/кг </w:t>
            </w:r>
          </w:p>
        </w:tc>
        <w:tc>
          <w:tcPr>
            <w:tcW w:w="1337" w:type="dxa"/>
            <w:vAlign w:val="center"/>
          </w:tcPr>
          <w:p w14:paraId="7B18763C" w14:textId="77777777" w:rsidR="009F7F8A" w:rsidRPr="00C07B2E" w:rsidRDefault="009F7F8A" w:rsidP="009F7F8A">
            <w:pPr>
              <w:ind w:firstLine="98"/>
              <w:rPr>
                <w:rFonts w:eastAsia="SimSun"/>
              </w:rPr>
            </w:pPr>
            <w:r w:rsidRPr="00C07B2E">
              <w:rPr>
                <w:rFonts w:eastAsia="SimSun"/>
                <w:lang w:val="en-US"/>
              </w:rPr>
              <w:t>12</w:t>
            </w:r>
            <w:r w:rsidRPr="00C07B2E">
              <w:rPr>
                <w:rFonts w:eastAsia="SimSun"/>
              </w:rPr>
              <w:t xml:space="preserve"> мг/кг </w:t>
            </w:r>
          </w:p>
        </w:tc>
        <w:tc>
          <w:tcPr>
            <w:tcW w:w="1701" w:type="dxa"/>
            <w:vAlign w:val="center"/>
          </w:tcPr>
          <w:p w14:paraId="747CD780" w14:textId="77777777" w:rsidR="009F7F8A" w:rsidRPr="00C07B2E" w:rsidRDefault="009F7F8A" w:rsidP="009F7F8A">
            <w:pPr>
              <w:ind w:firstLine="98"/>
              <w:rPr>
                <w:rFonts w:eastAsia="SimSun"/>
              </w:rPr>
            </w:pPr>
            <w:r w:rsidRPr="00C07B2E">
              <w:rPr>
                <w:rFonts w:eastAsia="SimSun"/>
              </w:rPr>
              <w:t>С -5 дня по -3 день</w:t>
            </w:r>
          </w:p>
        </w:tc>
        <w:tc>
          <w:tcPr>
            <w:tcW w:w="2268" w:type="dxa"/>
            <w:vAlign w:val="center"/>
          </w:tcPr>
          <w:p w14:paraId="74644581" w14:textId="77777777" w:rsidR="009F7F8A" w:rsidRPr="00C07B2E" w:rsidRDefault="009F7F8A" w:rsidP="009F7F8A">
            <w:pPr>
              <w:ind w:firstLine="98"/>
              <w:rPr>
                <w:rFonts w:eastAsia="SimSun"/>
              </w:rPr>
            </w:pPr>
            <w:r w:rsidRPr="00C07B2E">
              <w:rPr>
                <w:rFonts w:eastAsia="SimSun"/>
              </w:rPr>
              <w:t>Внутрь, суммарная суточная доза разделяется на 4 приема с интервалом 6 часов.</w:t>
            </w:r>
          </w:p>
        </w:tc>
      </w:tr>
      <w:tr w:rsidR="009F7F8A" w:rsidRPr="00C07B2E" w14:paraId="1CB32707" w14:textId="77777777" w:rsidTr="009F7F8A">
        <w:trPr>
          <w:cantSplit/>
          <w:trHeight w:val="1498"/>
        </w:trPr>
        <w:tc>
          <w:tcPr>
            <w:tcW w:w="959" w:type="dxa"/>
            <w:textDirection w:val="btLr"/>
            <w:vAlign w:val="center"/>
          </w:tcPr>
          <w:p w14:paraId="24E40546" w14:textId="77777777" w:rsidR="009F7F8A" w:rsidRPr="00C07B2E" w:rsidRDefault="009F7F8A" w:rsidP="009F7F8A">
            <w:pPr>
              <w:ind w:firstLine="98"/>
              <w:rPr>
                <w:rFonts w:eastAsia="SimSun"/>
              </w:rPr>
            </w:pPr>
            <w:r w:rsidRPr="00C07B2E">
              <w:rPr>
                <w:rFonts w:eastAsia="SimSun"/>
              </w:rPr>
              <w:t>Профилактика РТПХ</w:t>
            </w:r>
          </w:p>
        </w:tc>
        <w:tc>
          <w:tcPr>
            <w:tcW w:w="1843" w:type="dxa"/>
            <w:vAlign w:val="center"/>
          </w:tcPr>
          <w:p w14:paraId="5AAB0A85" w14:textId="77777777" w:rsidR="009F7F8A" w:rsidRPr="00C07B2E" w:rsidRDefault="009F7F8A" w:rsidP="009F7F8A">
            <w:pPr>
              <w:ind w:firstLine="98"/>
              <w:rPr>
                <w:rFonts w:eastAsia="SimSun"/>
              </w:rPr>
            </w:pPr>
            <w:r w:rsidRPr="00C07B2E">
              <w:rPr>
                <w:rFonts w:eastAsia="SimSun"/>
              </w:rPr>
              <w:t>Циклофосфамид</w:t>
            </w:r>
          </w:p>
        </w:tc>
        <w:tc>
          <w:tcPr>
            <w:tcW w:w="1417" w:type="dxa"/>
            <w:vAlign w:val="center"/>
          </w:tcPr>
          <w:p w14:paraId="6EBF8414" w14:textId="77777777" w:rsidR="009F7F8A" w:rsidRPr="00C07B2E" w:rsidRDefault="009F7F8A" w:rsidP="009F7F8A">
            <w:pPr>
              <w:ind w:firstLine="98"/>
              <w:rPr>
                <w:rFonts w:eastAsia="SimSun"/>
              </w:rPr>
            </w:pPr>
            <w:r w:rsidRPr="00C07B2E">
              <w:rPr>
                <w:rFonts w:eastAsia="SimSun"/>
              </w:rPr>
              <w:t>50 мг/кг</w:t>
            </w:r>
          </w:p>
        </w:tc>
        <w:tc>
          <w:tcPr>
            <w:tcW w:w="1337" w:type="dxa"/>
            <w:vAlign w:val="center"/>
          </w:tcPr>
          <w:p w14:paraId="443AE575" w14:textId="77777777" w:rsidR="009F7F8A" w:rsidRPr="00C07B2E" w:rsidRDefault="009F7F8A" w:rsidP="009F7F8A">
            <w:pPr>
              <w:ind w:firstLine="98"/>
              <w:rPr>
                <w:rFonts w:eastAsia="SimSun"/>
              </w:rPr>
            </w:pPr>
            <w:r w:rsidRPr="00C07B2E">
              <w:rPr>
                <w:rFonts w:eastAsia="SimSun"/>
              </w:rPr>
              <w:t>100 мг/кг</w:t>
            </w:r>
          </w:p>
        </w:tc>
        <w:tc>
          <w:tcPr>
            <w:tcW w:w="1701" w:type="dxa"/>
            <w:vAlign w:val="center"/>
          </w:tcPr>
          <w:p w14:paraId="22818C74" w14:textId="77777777" w:rsidR="009F7F8A" w:rsidRPr="00C07B2E" w:rsidRDefault="009F7F8A" w:rsidP="009F7F8A">
            <w:pPr>
              <w:ind w:firstLine="98"/>
              <w:rPr>
                <w:rFonts w:eastAsia="SimSun"/>
              </w:rPr>
            </w:pPr>
            <w:r w:rsidRPr="00C07B2E">
              <w:rPr>
                <w:rFonts w:eastAsia="SimSun"/>
              </w:rPr>
              <w:t>С +3 дня по +4 день</w:t>
            </w:r>
          </w:p>
        </w:tc>
        <w:tc>
          <w:tcPr>
            <w:tcW w:w="2268" w:type="dxa"/>
            <w:vAlign w:val="center"/>
          </w:tcPr>
          <w:p w14:paraId="5EF5F489" w14:textId="77777777" w:rsidR="009F7F8A" w:rsidRPr="00C07B2E" w:rsidRDefault="009F7F8A" w:rsidP="009F7F8A">
            <w:pPr>
              <w:ind w:firstLine="98"/>
              <w:rPr>
                <w:rFonts w:eastAsia="SimSun"/>
              </w:rPr>
            </w:pPr>
            <w:r w:rsidRPr="00C07B2E">
              <w:rPr>
                <w:rFonts w:eastAsia="SimSun"/>
              </w:rPr>
              <w:t xml:space="preserve">В/в, в течение 2 ч  </w:t>
            </w:r>
          </w:p>
        </w:tc>
      </w:tr>
    </w:tbl>
    <w:p w14:paraId="1FED09AB" w14:textId="77777777" w:rsidR="009F7F8A" w:rsidRPr="00C07B2E" w:rsidRDefault="009F7F8A" w:rsidP="009F7F8A">
      <w:pPr>
        <w:rPr>
          <w:rFonts w:eastAsia="SimSun"/>
        </w:rPr>
      </w:pPr>
    </w:p>
    <w:p w14:paraId="63989B98" w14:textId="77777777" w:rsidR="009F7F8A" w:rsidRPr="00C07B2E" w:rsidRDefault="009F7F8A" w:rsidP="009F7F8A">
      <w:pPr>
        <w:rPr>
          <w:rFonts w:eastAsia="SimSun"/>
        </w:rPr>
      </w:pPr>
      <w:r w:rsidRPr="00C07B2E">
        <w:rPr>
          <w:rFonts w:eastAsia="SimSun"/>
        </w:rPr>
        <w:tab/>
      </w:r>
    </w:p>
    <w:p w14:paraId="7095F214" w14:textId="77777777" w:rsidR="009F7F8A" w:rsidRPr="00C07B2E" w:rsidRDefault="009F7F8A" w:rsidP="009F7F8A">
      <w:pPr>
        <w:rPr>
          <w:rFonts w:eastAsia="SimSun"/>
        </w:rPr>
      </w:pPr>
      <w:bookmarkStart w:id="121" w:name="_Toc44401149"/>
      <w:r w:rsidRPr="00042499">
        <w:rPr>
          <w:rFonts w:eastAsia="SimSun"/>
        </w:rPr>
        <w:t>Таблица</w:t>
      </w:r>
      <w:r w:rsidRPr="00C07B2E">
        <w:rPr>
          <w:rFonts w:eastAsia="SimSun"/>
        </w:rPr>
        <w:t xml:space="preserve"> </w:t>
      </w:r>
      <w:r>
        <w:rPr>
          <w:rFonts w:eastAsia="SimSun"/>
        </w:rPr>
        <w:t>5</w:t>
      </w:r>
      <w:r w:rsidRPr="00C07B2E">
        <w:rPr>
          <w:rFonts w:eastAsia="SimSun"/>
        </w:rPr>
        <w:t>.1.1.6  – Flu180+Bu12 / PT-Cy+Tx+MMF30</w:t>
      </w:r>
      <w:bookmarkEnd w:id="121"/>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9F7F8A" w:rsidRPr="00C07B2E" w14:paraId="7CE4BF34" w14:textId="77777777" w:rsidTr="009F7F8A">
        <w:trPr>
          <w:cantSplit/>
          <w:trHeight w:val="20"/>
          <w:tblHeader/>
        </w:trPr>
        <w:tc>
          <w:tcPr>
            <w:tcW w:w="993" w:type="dxa"/>
            <w:vAlign w:val="center"/>
          </w:tcPr>
          <w:p w14:paraId="4374DDA1" w14:textId="77777777" w:rsidR="009F7F8A" w:rsidRPr="00470D3D" w:rsidRDefault="009F7F8A" w:rsidP="009F7F8A">
            <w:pPr>
              <w:rPr>
                <w:rFonts w:eastAsia="SimSun"/>
              </w:rPr>
            </w:pPr>
          </w:p>
        </w:tc>
        <w:tc>
          <w:tcPr>
            <w:tcW w:w="1843" w:type="dxa"/>
            <w:vAlign w:val="center"/>
          </w:tcPr>
          <w:p w14:paraId="756746C5" w14:textId="77777777" w:rsidR="009F7F8A" w:rsidRPr="00C07B2E" w:rsidRDefault="009F7F8A" w:rsidP="009F7F8A">
            <w:pPr>
              <w:rPr>
                <w:rFonts w:eastAsia="SimSun"/>
              </w:rPr>
            </w:pPr>
            <w:r w:rsidRPr="00C07B2E">
              <w:rPr>
                <w:rFonts w:eastAsia="SimSun"/>
              </w:rPr>
              <w:t>Препарат</w:t>
            </w:r>
          </w:p>
        </w:tc>
        <w:tc>
          <w:tcPr>
            <w:tcW w:w="1417" w:type="dxa"/>
            <w:vAlign w:val="center"/>
          </w:tcPr>
          <w:p w14:paraId="1612F93E" w14:textId="77777777" w:rsidR="009F7F8A" w:rsidRPr="00C07B2E" w:rsidRDefault="009F7F8A" w:rsidP="009F7F8A">
            <w:pPr>
              <w:rPr>
                <w:rFonts w:eastAsia="SimSun"/>
              </w:rPr>
            </w:pPr>
            <w:r w:rsidRPr="00C07B2E">
              <w:rPr>
                <w:rFonts w:eastAsia="SimSun"/>
              </w:rPr>
              <w:t>Суточная доза</w:t>
            </w:r>
          </w:p>
        </w:tc>
        <w:tc>
          <w:tcPr>
            <w:tcW w:w="1418" w:type="dxa"/>
            <w:vAlign w:val="center"/>
          </w:tcPr>
          <w:p w14:paraId="70F074CB" w14:textId="77777777" w:rsidR="009F7F8A" w:rsidRPr="00C07B2E" w:rsidRDefault="009F7F8A" w:rsidP="009F7F8A">
            <w:pPr>
              <w:rPr>
                <w:rFonts w:eastAsia="SimSun"/>
              </w:rPr>
            </w:pPr>
            <w:r w:rsidRPr="00C07B2E">
              <w:rPr>
                <w:rFonts w:eastAsia="SimSun"/>
              </w:rPr>
              <w:t>Курсовая доза</w:t>
            </w:r>
          </w:p>
        </w:tc>
        <w:tc>
          <w:tcPr>
            <w:tcW w:w="1701" w:type="dxa"/>
            <w:vAlign w:val="center"/>
          </w:tcPr>
          <w:p w14:paraId="53BD9591" w14:textId="77777777" w:rsidR="009F7F8A" w:rsidRPr="00C07B2E" w:rsidRDefault="009F7F8A" w:rsidP="009F7F8A">
            <w:pPr>
              <w:rPr>
                <w:rFonts w:eastAsia="SimSun"/>
              </w:rPr>
            </w:pPr>
            <w:r w:rsidRPr="00C07B2E">
              <w:rPr>
                <w:rFonts w:eastAsia="SimSun"/>
              </w:rPr>
              <w:t>Дни введения</w:t>
            </w:r>
          </w:p>
        </w:tc>
        <w:tc>
          <w:tcPr>
            <w:tcW w:w="2268" w:type="dxa"/>
            <w:vAlign w:val="center"/>
          </w:tcPr>
          <w:p w14:paraId="2B1FC567" w14:textId="77777777" w:rsidR="009F7F8A" w:rsidRPr="00C07B2E" w:rsidRDefault="009F7F8A" w:rsidP="009F7F8A">
            <w:pPr>
              <w:rPr>
                <w:rFonts w:eastAsia="SimSun"/>
              </w:rPr>
            </w:pPr>
            <w:r w:rsidRPr="00C07B2E">
              <w:rPr>
                <w:rFonts w:eastAsia="SimSun"/>
              </w:rPr>
              <w:t>Порядок введения</w:t>
            </w:r>
          </w:p>
        </w:tc>
      </w:tr>
      <w:tr w:rsidR="009F7F8A" w:rsidRPr="00C07B2E" w14:paraId="6449040F" w14:textId="77777777" w:rsidTr="009F7F8A">
        <w:trPr>
          <w:cantSplit/>
          <w:trHeight w:val="20"/>
        </w:trPr>
        <w:tc>
          <w:tcPr>
            <w:tcW w:w="993" w:type="dxa"/>
            <w:vMerge w:val="restart"/>
            <w:textDirection w:val="btLr"/>
            <w:vAlign w:val="center"/>
          </w:tcPr>
          <w:p w14:paraId="6E883655" w14:textId="77777777" w:rsidR="009F7F8A" w:rsidRPr="00C07B2E" w:rsidRDefault="009F7F8A" w:rsidP="009F7F8A">
            <w:pPr>
              <w:rPr>
                <w:rFonts w:eastAsia="SimSun"/>
              </w:rPr>
            </w:pPr>
            <w:r w:rsidRPr="00C07B2E">
              <w:rPr>
                <w:rFonts w:eastAsia="SimSun"/>
              </w:rPr>
              <w:t>Кондиционирование</w:t>
            </w:r>
          </w:p>
        </w:tc>
        <w:tc>
          <w:tcPr>
            <w:tcW w:w="1843" w:type="dxa"/>
            <w:vAlign w:val="center"/>
          </w:tcPr>
          <w:p w14:paraId="7A99523D" w14:textId="77777777" w:rsidR="009F7F8A" w:rsidRPr="00C07B2E" w:rsidRDefault="009F7F8A" w:rsidP="009F7F8A">
            <w:pPr>
              <w:rPr>
                <w:rFonts w:eastAsia="SimSun"/>
              </w:rPr>
            </w:pPr>
            <w:r w:rsidRPr="00C07B2E">
              <w:rPr>
                <w:rFonts w:eastAsia="SimSun"/>
              </w:rPr>
              <w:t xml:space="preserve">Флударабин </w:t>
            </w:r>
          </w:p>
        </w:tc>
        <w:tc>
          <w:tcPr>
            <w:tcW w:w="1417" w:type="dxa"/>
            <w:vAlign w:val="center"/>
          </w:tcPr>
          <w:p w14:paraId="66F4D5A2" w14:textId="77777777" w:rsidR="009F7F8A" w:rsidRPr="00C07B2E" w:rsidRDefault="009F7F8A" w:rsidP="009F7F8A">
            <w:pPr>
              <w:rPr>
                <w:rFonts w:eastAsia="SimSun"/>
              </w:rPr>
            </w:pPr>
            <w:r w:rsidRPr="00C07B2E">
              <w:rPr>
                <w:rFonts w:eastAsia="SimSun"/>
              </w:rPr>
              <w:t>30 мг/м</w:t>
            </w:r>
            <w:r w:rsidRPr="000F445E">
              <w:rPr>
                <w:rFonts w:eastAsia="SimSun"/>
                <w:vertAlign w:val="superscript"/>
              </w:rPr>
              <w:t>2</w:t>
            </w:r>
          </w:p>
        </w:tc>
        <w:tc>
          <w:tcPr>
            <w:tcW w:w="1418" w:type="dxa"/>
            <w:vAlign w:val="center"/>
          </w:tcPr>
          <w:p w14:paraId="59B4A235" w14:textId="77777777" w:rsidR="009F7F8A" w:rsidRPr="00C07B2E" w:rsidRDefault="009F7F8A" w:rsidP="009F7F8A">
            <w:pPr>
              <w:rPr>
                <w:rFonts w:eastAsia="SimSun"/>
              </w:rPr>
            </w:pPr>
            <w:r w:rsidRPr="00C07B2E">
              <w:rPr>
                <w:rFonts w:eastAsia="SimSun"/>
              </w:rPr>
              <w:t>180 мг/м</w:t>
            </w:r>
            <w:r w:rsidRPr="000F445E">
              <w:rPr>
                <w:rFonts w:eastAsia="SimSun"/>
                <w:vertAlign w:val="superscript"/>
              </w:rPr>
              <w:t>2</w:t>
            </w:r>
          </w:p>
        </w:tc>
        <w:tc>
          <w:tcPr>
            <w:tcW w:w="1701" w:type="dxa"/>
            <w:vAlign w:val="center"/>
          </w:tcPr>
          <w:p w14:paraId="01BFBCD9" w14:textId="77777777" w:rsidR="009F7F8A" w:rsidRPr="00C07B2E" w:rsidRDefault="009F7F8A" w:rsidP="009F7F8A">
            <w:pPr>
              <w:rPr>
                <w:rFonts w:eastAsia="SimSun"/>
              </w:rPr>
            </w:pPr>
            <w:r w:rsidRPr="00C07B2E">
              <w:rPr>
                <w:rFonts w:eastAsia="SimSun"/>
              </w:rPr>
              <w:t>С -7 дня по -2 день</w:t>
            </w:r>
          </w:p>
        </w:tc>
        <w:tc>
          <w:tcPr>
            <w:tcW w:w="2268" w:type="dxa"/>
            <w:vAlign w:val="center"/>
          </w:tcPr>
          <w:p w14:paraId="33BC9265" w14:textId="77777777" w:rsidR="009F7F8A" w:rsidRPr="00C07B2E" w:rsidRDefault="009F7F8A" w:rsidP="009F7F8A">
            <w:pPr>
              <w:rPr>
                <w:rFonts w:eastAsia="SimSun"/>
              </w:rPr>
            </w:pPr>
            <w:r w:rsidRPr="00C07B2E">
              <w:rPr>
                <w:rFonts w:eastAsia="SimSun"/>
              </w:rPr>
              <w:t>В/в, в течение 30 - 60 мин</w:t>
            </w:r>
          </w:p>
        </w:tc>
      </w:tr>
      <w:tr w:rsidR="009F7F8A" w:rsidRPr="00C07B2E" w14:paraId="04153D6A" w14:textId="77777777" w:rsidTr="009F7F8A">
        <w:trPr>
          <w:cantSplit/>
          <w:trHeight w:val="1207"/>
        </w:trPr>
        <w:tc>
          <w:tcPr>
            <w:tcW w:w="993" w:type="dxa"/>
            <w:vMerge/>
            <w:vAlign w:val="center"/>
          </w:tcPr>
          <w:p w14:paraId="602D9C59" w14:textId="77777777" w:rsidR="009F7F8A" w:rsidRPr="00C07B2E" w:rsidRDefault="009F7F8A" w:rsidP="009F7F8A">
            <w:pPr>
              <w:rPr>
                <w:rFonts w:eastAsia="SimSun"/>
              </w:rPr>
            </w:pPr>
          </w:p>
        </w:tc>
        <w:tc>
          <w:tcPr>
            <w:tcW w:w="1843" w:type="dxa"/>
            <w:vAlign w:val="center"/>
          </w:tcPr>
          <w:p w14:paraId="50D3E78F" w14:textId="77777777" w:rsidR="009F7F8A" w:rsidRPr="00C07B2E" w:rsidRDefault="009F7F8A" w:rsidP="009F7F8A">
            <w:pPr>
              <w:rPr>
                <w:rFonts w:eastAsia="SimSun"/>
              </w:rPr>
            </w:pPr>
            <w:r w:rsidRPr="00C07B2E">
              <w:rPr>
                <w:rFonts w:eastAsia="SimSun"/>
              </w:rPr>
              <w:t>Бусульфан</w:t>
            </w:r>
          </w:p>
        </w:tc>
        <w:tc>
          <w:tcPr>
            <w:tcW w:w="1417" w:type="dxa"/>
            <w:vAlign w:val="center"/>
          </w:tcPr>
          <w:p w14:paraId="6C6741FF" w14:textId="77777777" w:rsidR="009F7F8A" w:rsidRPr="00C07B2E" w:rsidRDefault="009F7F8A" w:rsidP="009F7F8A">
            <w:pPr>
              <w:rPr>
                <w:rFonts w:eastAsia="SimSun"/>
              </w:rPr>
            </w:pPr>
            <w:r w:rsidRPr="00C07B2E">
              <w:rPr>
                <w:rFonts w:eastAsia="SimSun"/>
              </w:rPr>
              <w:t xml:space="preserve">4 мг/кг </w:t>
            </w:r>
          </w:p>
        </w:tc>
        <w:tc>
          <w:tcPr>
            <w:tcW w:w="1418" w:type="dxa"/>
            <w:vAlign w:val="center"/>
          </w:tcPr>
          <w:p w14:paraId="505BC6CD" w14:textId="77777777" w:rsidR="009F7F8A" w:rsidRPr="00C07B2E" w:rsidRDefault="009F7F8A" w:rsidP="009F7F8A">
            <w:pPr>
              <w:rPr>
                <w:rFonts w:eastAsia="SimSun"/>
              </w:rPr>
            </w:pPr>
            <w:r w:rsidRPr="00C07B2E">
              <w:rPr>
                <w:rFonts w:eastAsia="SimSun"/>
                <w:lang w:val="en-US"/>
              </w:rPr>
              <w:t>1</w:t>
            </w:r>
            <w:r w:rsidRPr="00C07B2E">
              <w:rPr>
                <w:rFonts w:eastAsia="SimSun"/>
              </w:rPr>
              <w:t xml:space="preserve">2мг/кг </w:t>
            </w:r>
          </w:p>
        </w:tc>
        <w:tc>
          <w:tcPr>
            <w:tcW w:w="1701" w:type="dxa"/>
            <w:vAlign w:val="center"/>
          </w:tcPr>
          <w:p w14:paraId="6BE6875A" w14:textId="77777777" w:rsidR="009F7F8A" w:rsidRPr="00C07B2E" w:rsidRDefault="009F7F8A" w:rsidP="009F7F8A">
            <w:pPr>
              <w:rPr>
                <w:rFonts w:eastAsia="SimSun"/>
              </w:rPr>
            </w:pPr>
            <w:r w:rsidRPr="00C07B2E">
              <w:rPr>
                <w:rFonts w:eastAsia="SimSun"/>
              </w:rPr>
              <w:t>С -</w:t>
            </w:r>
            <w:r w:rsidRPr="00C07B2E">
              <w:rPr>
                <w:rFonts w:eastAsia="SimSun"/>
                <w:lang w:val="en-US"/>
              </w:rPr>
              <w:t>5</w:t>
            </w:r>
            <w:r w:rsidRPr="00C07B2E">
              <w:rPr>
                <w:rFonts w:eastAsia="SimSun"/>
              </w:rPr>
              <w:t xml:space="preserve"> дня по -3 день</w:t>
            </w:r>
          </w:p>
        </w:tc>
        <w:tc>
          <w:tcPr>
            <w:tcW w:w="2268" w:type="dxa"/>
            <w:vAlign w:val="center"/>
          </w:tcPr>
          <w:p w14:paraId="05E38295" w14:textId="77777777" w:rsidR="009F7F8A" w:rsidRPr="00C07B2E" w:rsidRDefault="009F7F8A" w:rsidP="009F7F8A">
            <w:pPr>
              <w:rPr>
                <w:rFonts w:eastAsia="SimSun"/>
              </w:rPr>
            </w:pPr>
            <w:r w:rsidRPr="00C07B2E">
              <w:rPr>
                <w:rFonts w:eastAsia="SimSun"/>
              </w:rPr>
              <w:t>Внутрь, суммарная суточная доза разделяется на 4 приема с интервалом 6 часов.</w:t>
            </w:r>
          </w:p>
        </w:tc>
      </w:tr>
      <w:tr w:rsidR="009F7F8A" w:rsidRPr="00C07B2E" w14:paraId="73FF906D" w14:textId="77777777" w:rsidTr="009F7F8A">
        <w:trPr>
          <w:cantSplit/>
          <w:trHeight w:val="1498"/>
        </w:trPr>
        <w:tc>
          <w:tcPr>
            <w:tcW w:w="993" w:type="dxa"/>
            <w:vMerge w:val="restart"/>
            <w:textDirection w:val="btLr"/>
            <w:vAlign w:val="center"/>
          </w:tcPr>
          <w:p w14:paraId="3DE1B039" w14:textId="77777777" w:rsidR="009F7F8A" w:rsidRPr="00C07B2E" w:rsidRDefault="009F7F8A" w:rsidP="009F7F8A">
            <w:pPr>
              <w:rPr>
                <w:rFonts w:eastAsia="SimSun"/>
              </w:rPr>
            </w:pPr>
            <w:r w:rsidRPr="00C07B2E">
              <w:rPr>
                <w:rFonts w:eastAsia="SimSun"/>
              </w:rPr>
              <w:t>Профилактика РТПХ</w:t>
            </w:r>
          </w:p>
        </w:tc>
        <w:tc>
          <w:tcPr>
            <w:tcW w:w="1843" w:type="dxa"/>
            <w:vAlign w:val="center"/>
          </w:tcPr>
          <w:p w14:paraId="163254B3" w14:textId="77777777" w:rsidR="009F7F8A" w:rsidRPr="00C07B2E" w:rsidRDefault="009F7F8A" w:rsidP="009F7F8A">
            <w:pPr>
              <w:rPr>
                <w:rFonts w:eastAsia="SimSun"/>
              </w:rPr>
            </w:pPr>
            <w:r w:rsidRPr="00C07B2E">
              <w:rPr>
                <w:rFonts w:eastAsia="SimSun"/>
              </w:rPr>
              <w:t>Циклофосфамид</w:t>
            </w:r>
          </w:p>
        </w:tc>
        <w:tc>
          <w:tcPr>
            <w:tcW w:w="1417" w:type="dxa"/>
            <w:vAlign w:val="center"/>
          </w:tcPr>
          <w:p w14:paraId="23E81046" w14:textId="77777777" w:rsidR="009F7F8A" w:rsidRPr="00C07B2E" w:rsidRDefault="009F7F8A" w:rsidP="009F7F8A">
            <w:pPr>
              <w:rPr>
                <w:rFonts w:eastAsia="SimSun"/>
              </w:rPr>
            </w:pPr>
            <w:r w:rsidRPr="00C07B2E">
              <w:rPr>
                <w:rFonts w:eastAsia="SimSun"/>
              </w:rPr>
              <w:t>50 мг/кг</w:t>
            </w:r>
          </w:p>
        </w:tc>
        <w:tc>
          <w:tcPr>
            <w:tcW w:w="1418" w:type="dxa"/>
            <w:vAlign w:val="center"/>
          </w:tcPr>
          <w:p w14:paraId="18C51E94" w14:textId="77777777" w:rsidR="009F7F8A" w:rsidRPr="00C07B2E" w:rsidRDefault="009F7F8A" w:rsidP="009F7F8A">
            <w:pPr>
              <w:rPr>
                <w:rFonts w:eastAsia="SimSun"/>
              </w:rPr>
            </w:pPr>
            <w:r w:rsidRPr="00C07B2E">
              <w:rPr>
                <w:rFonts w:eastAsia="SimSun"/>
              </w:rPr>
              <w:t>100 мг/кг</w:t>
            </w:r>
          </w:p>
        </w:tc>
        <w:tc>
          <w:tcPr>
            <w:tcW w:w="1701" w:type="dxa"/>
            <w:vAlign w:val="center"/>
          </w:tcPr>
          <w:p w14:paraId="5D32E2BD" w14:textId="77777777" w:rsidR="009F7F8A" w:rsidRPr="00C07B2E" w:rsidRDefault="009F7F8A" w:rsidP="009F7F8A">
            <w:pPr>
              <w:rPr>
                <w:rFonts w:eastAsia="SimSun"/>
              </w:rPr>
            </w:pPr>
            <w:r w:rsidRPr="00C07B2E">
              <w:rPr>
                <w:rFonts w:eastAsia="SimSun"/>
              </w:rPr>
              <w:t>С +3 дня по +4 день</w:t>
            </w:r>
          </w:p>
        </w:tc>
        <w:tc>
          <w:tcPr>
            <w:tcW w:w="2268" w:type="dxa"/>
            <w:vAlign w:val="center"/>
          </w:tcPr>
          <w:p w14:paraId="043157BD" w14:textId="77777777" w:rsidR="009F7F8A" w:rsidRPr="00C07B2E" w:rsidRDefault="009F7F8A" w:rsidP="009F7F8A">
            <w:pPr>
              <w:rPr>
                <w:rFonts w:eastAsia="SimSun"/>
              </w:rPr>
            </w:pPr>
            <w:r w:rsidRPr="00C07B2E">
              <w:rPr>
                <w:rFonts w:eastAsia="SimSun"/>
              </w:rPr>
              <w:t xml:space="preserve">В/в, в течение 2 ч  </w:t>
            </w:r>
          </w:p>
        </w:tc>
      </w:tr>
      <w:tr w:rsidR="009F7F8A" w:rsidRPr="00C07B2E" w14:paraId="597973BC" w14:textId="77777777" w:rsidTr="009F7F8A">
        <w:trPr>
          <w:cantSplit/>
          <w:trHeight w:val="958"/>
        </w:trPr>
        <w:tc>
          <w:tcPr>
            <w:tcW w:w="993" w:type="dxa"/>
            <w:vMerge/>
            <w:textDirection w:val="btLr"/>
            <w:vAlign w:val="center"/>
          </w:tcPr>
          <w:p w14:paraId="2E548A3A" w14:textId="77777777" w:rsidR="009F7F8A" w:rsidRPr="00C07B2E" w:rsidRDefault="009F7F8A" w:rsidP="009F7F8A">
            <w:pPr>
              <w:rPr>
                <w:rFonts w:eastAsia="SimSun"/>
              </w:rPr>
            </w:pPr>
          </w:p>
        </w:tc>
        <w:tc>
          <w:tcPr>
            <w:tcW w:w="1843" w:type="dxa"/>
            <w:vAlign w:val="center"/>
          </w:tcPr>
          <w:p w14:paraId="7C47AACF" w14:textId="77777777" w:rsidR="009F7F8A" w:rsidRPr="00C07B2E" w:rsidRDefault="009F7F8A" w:rsidP="009F7F8A">
            <w:pPr>
              <w:rPr>
                <w:rFonts w:eastAsia="SimSun"/>
              </w:rPr>
            </w:pPr>
            <w:r w:rsidRPr="00C07B2E">
              <w:rPr>
                <w:rFonts w:eastAsia="SimSun"/>
              </w:rPr>
              <w:t xml:space="preserve">Такролимус </w:t>
            </w:r>
          </w:p>
        </w:tc>
        <w:tc>
          <w:tcPr>
            <w:tcW w:w="1417" w:type="dxa"/>
            <w:vAlign w:val="center"/>
          </w:tcPr>
          <w:p w14:paraId="6470BBF0" w14:textId="77777777" w:rsidR="009F7F8A" w:rsidRPr="00C07B2E" w:rsidRDefault="009F7F8A" w:rsidP="009F7F8A">
            <w:pPr>
              <w:rPr>
                <w:rFonts w:eastAsia="SimSun"/>
              </w:rPr>
            </w:pPr>
            <w:r w:rsidRPr="00C07B2E">
              <w:rPr>
                <w:rFonts w:eastAsia="SimSun"/>
              </w:rPr>
              <w:t>0,03 мг/кг</w:t>
            </w:r>
          </w:p>
        </w:tc>
        <w:tc>
          <w:tcPr>
            <w:tcW w:w="1418" w:type="dxa"/>
            <w:vAlign w:val="center"/>
          </w:tcPr>
          <w:p w14:paraId="53E6C007" w14:textId="77777777" w:rsidR="009F7F8A" w:rsidRPr="00C07B2E" w:rsidRDefault="009F7F8A" w:rsidP="009F7F8A">
            <w:pPr>
              <w:rPr>
                <w:rFonts w:eastAsia="SimSun"/>
              </w:rPr>
            </w:pPr>
            <w:r w:rsidRPr="00C07B2E">
              <w:rPr>
                <w:rFonts w:eastAsia="SimSun"/>
                <w:lang w:val="en-US"/>
              </w:rPr>
              <w:t>–</w:t>
            </w:r>
          </w:p>
        </w:tc>
        <w:tc>
          <w:tcPr>
            <w:tcW w:w="1701" w:type="dxa"/>
            <w:vAlign w:val="center"/>
          </w:tcPr>
          <w:p w14:paraId="56619E37" w14:textId="77777777" w:rsidR="009F7F8A" w:rsidRPr="00C07B2E" w:rsidRDefault="009F7F8A" w:rsidP="009F7F8A">
            <w:pPr>
              <w:rPr>
                <w:rFonts w:eastAsia="SimSun"/>
              </w:rPr>
            </w:pPr>
            <w:r w:rsidRPr="00C07B2E">
              <w:rPr>
                <w:rFonts w:eastAsia="SimSun"/>
              </w:rPr>
              <w:t xml:space="preserve">С +5 дня длительно </w:t>
            </w:r>
          </w:p>
        </w:tc>
        <w:tc>
          <w:tcPr>
            <w:tcW w:w="2268" w:type="dxa"/>
            <w:vAlign w:val="center"/>
          </w:tcPr>
          <w:p w14:paraId="79FF7D5E" w14:textId="77777777" w:rsidR="009F7F8A" w:rsidRPr="000F445E" w:rsidRDefault="009F7F8A" w:rsidP="009F7F8A">
            <w:pPr>
              <w:rPr>
                <w:rFonts w:eastAsia="SimSun"/>
              </w:rPr>
            </w:pPr>
            <w:r w:rsidRPr="00C07B2E">
              <w:rPr>
                <w:rFonts w:eastAsia="SimSun"/>
              </w:rPr>
              <w:t xml:space="preserve">В/в инфузия в течение 24 ч с последующей коррекцией суточной дозы по концентрации. </w:t>
            </w:r>
            <w:r w:rsidRPr="000F445E">
              <w:rPr>
                <w:rFonts w:eastAsia="SimSun"/>
              </w:rPr>
              <w:t>Перевод на прием внутрь при условии восстановления лейкоцитов &gt; 1</w:t>
            </w:r>
            <w:r>
              <w:rPr>
                <w:rFonts w:eastAsia="SimSun"/>
              </w:rPr>
              <w:t xml:space="preserve">х </w:t>
            </w:r>
            <w:r w:rsidRPr="000F445E">
              <w:rPr>
                <w:rFonts w:eastAsia="SimSun"/>
              </w:rPr>
              <w:t>10</w:t>
            </w:r>
            <w:r w:rsidRPr="000F445E">
              <w:rPr>
                <w:rFonts w:eastAsia="SimSun"/>
                <w:vertAlign w:val="superscript"/>
              </w:rPr>
              <w:t>9</w:t>
            </w:r>
            <w:r w:rsidRPr="000F445E">
              <w:rPr>
                <w:rFonts w:eastAsia="SimSun"/>
              </w:rPr>
              <w:t xml:space="preserve">/л, при отсутствии тошноты, рвоты, диареи и возможности приема внутрь. Концентрация </w:t>
            </w:r>
            <w:r w:rsidRPr="00C07B2E">
              <w:rPr>
                <w:rFonts w:eastAsia="SimSun"/>
              </w:rPr>
              <w:t>Tx</w:t>
            </w:r>
            <w:r w:rsidRPr="000F445E">
              <w:rPr>
                <w:rFonts w:eastAsia="SimSun"/>
              </w:rPr>
              <w:t xml:space="preserve"> 5-15 нг/мл.   </w:t>
            </w:r>
          </w:p>
        </w:tc>
      </w:tr>
      <w:tr w:rsidR="009F7F8A" w:rsidRPr="00C07B2E" w14:paraId="53B6B2DB" w14:textId="77777777" w:rsidTr="009F7F8A">
        <w:trPr>
          <w:cantSplit/>
          <w:trHeight w:val="1861"/>
        </w:trPr>
        <w:tc>
          <w:tcPr>
            <w:tcW w:w="993" w:type="dxa"/>
            <w:vMerge/>
            <w:textDirection w:val="btLr"/>
            <w:vAlign w:val="center"/>
          </w:tcPr>
          <w:p w14:paraId="2359E56A" w14:textId="77777777" w:rsidR="009F7F8A" w:rsidRPr="000F445E" w:rsidRDefault="009F7F8A" w:rsidP="009F7F8A">
            <w:pPr>
              <w:rPr>
                <w:rFonts w:eastAsia="SimSun"/>
              </w:rPr>
            </w:pPr>
          </w:p>
        </w:tc>
        <w:tc>
          <w:tcPr>
            <w:tcW w:w="1843" w:type="dxa"/>
            <w:vAlign w:val="center"/>
          </w:tcPr>
          <w:p w14:paraId="4AC2DF7C" w14:textId="77777777" w:rsidR="009F7F8A" w:rsidRPr="00C07B2E" w:rsidRDefault="009F7F8A" w:rsidP="009F7F8A">
            <w:pPr>
              <w:rPr>
                <w:rFonts w:eastAsia="SimSun"/>
              </w:rPr>
            </w:pPr>
            <w:r w:rsidRPr="00C07B2E">
              <w:rPr>
                <w:rFonts w:eastAsia="SimSun"/>
              </w:rPr>
              <w:t>Микофенолата мофетил</w:t>
            </w:r>
          </w:p>
        </w:tc>
        <w:tc>
          <w:tcPr>
            <w:tcW w:w="1417" w:type="dxa"/>
            <w:vAlign w:val="center"/>
          </w:tcPr>
          <w:p w14:paraId="310478EE" w14:textId="77777777" w:rsidR="009F7F8A" w:rsidRPr="00C07B2E" w:rsidRDefault="009F7F8A" w:rsidP="009F7F8A">
            <w:pPr>
              <w:rPr>
                <w:rFonts w:eastAsia="SimSun"/>
              </w:rPr>
            </w:pPr>
            <w:r w:rsidRPr="00C07B2E">
              <w:rPr>
                <w:rFonts w:eastAsia="SimSun"/>
              </w:rPr>
              <w:t xml:space="preserve">30 мг/кг </w:t>
            </w:r>
          </w:p>
        </w:tc>
        <w:tc>
          <w:tcPr>
            <w:tcW w:w="1418" w:type="dxa"/>
            <w:vAlign w:val="center"/>
          </w:tcPr>
          <w:p w14:paraId="13A016FC" w14:textId="77777777" w:rsidR="009F7F8A" w:rsidRPr="00C07B2E" w:rsidRDefault="009F7F8A" w:rsidP="009F7F8A">
            <w:pPr>
              <w:rPr>
                <w:rFonts w:eastAsia="SimSun"/>
              </w:rPr>
            </w:pPr>
            <w:r w:rsidRPr="00C07B2E">
              <w:rPr>
                <w:rFonts w:eastAsia="SimSun"/>
              </w:rPr>
              <w:t>–</w:t>
            </w:r>
          </w:p>
        </w:tc>
        <w:tc>
          <w:tcPr>
            <w:tcW w:w="1701" w:type="dxa"/>
            <w:vAlign w:val="center"/>
          </w:tcPr>
          <w:p w14:paraId="7F9E70D3" w14:textId="77777777" w:rsidR="009F7F8A" w:rsidRPr="00C07B2E" w:rsidRDefault="009F7F8A" w:rsidP="009F7F8A">
            <w:pPr>
              <w:rPr>
                <w:rFonts w:eastAsia="SimSun"/>
              </w:rPr>
            </w:pPr>
            <w:r w:rsidRPr="00C07B2E">
              <w:rPr>
                <w:rFonts w:eastAsia="SimSun"/>
              </w:rPr>
              <w:t xml:space="preserve">С +5 дня по +35 день </w:t>
            </w:r>
          </w:p>
        </w:tc>
        <w:tc>
          <w:tcPr>
            <w:tcW w:w="2268" w:type="dxa"/>
            <w:vAlign w:val="center"/>
          </w:tcPr>
          <w:p w14:paraId="7C5B4017" w14:textId="77777777" w:rsidR="009F7F8A" w:rsidRPr="00C07B2E" w:rsidRDefault="009F7F8A" w:rsidP="009F7F8A">
            <w:pPr>
              <w:rPr>
                <w:rFonts w:eastAsia="SimSun"/>
              </w:rPr>
            </w:pPr>
            <w:r w:rsidRPr="00C07B2E">
              <w:rPr>
                <w:rFonts w:eastAsia="SimSun"/>
              </w:rPr>
              <w:t>Внутрь, суммарная суточная доза разделяется на 2- 4 приема (не более 3г/сут).</w:t>
            </w:r>
          </w:p>
        </w:tc>
      </w:tr>
    </w:tbl>
    <w:p w14:paraId="22F8692E" w14:textId="77777777" w:rsidR="009F7F8A" w:rsidRPr="00C07B2E" w:rsidRDefault="009F7F8A" w:rsidP="009F7F8A">
      <w:pPr>
        <w:rPr>
          <w:rFonts w:eastAsia="SimSun"/>
        </w:rPr>
      </w:pPr>
    </w:p>
    <w:p w14:paraId="2EE7D996" w14:textId="77777777" w:rsidR="009F7F8A" w:rsidRPr="00C07B2E" w:rsidRDefault="009F7F8A" w:rsidP="009F7F8A">
      <w:pPr>
        <w:rPr>
          <w:rFonts w:eastAsia="SimSun"/>
        </w:rPr>
      </w:pPr>
      <w:bookmarkStart w:id="122" w:name="_Toc44401150"/>
      <w:r w:rsidRPr="00042499">
        <w:rPr>
          <w:rFonts w:eastAsia="SimSun"/>
        </w:rPr>
        <w:t>Таблица</w:t>
      </w:r>
      <w:r w:rsidRPr="00C07B2E">
        <w:rPr>
          <w:rFonts w:eastAsia="SimSun"/>
        </w:rPr>
        <w:t xml:space="preserve"> </w:t>
      </w:r>
      <w:r>
        <w:rPr>
          <w:rFonts w:eastAsia="SimSun"/>
        </w:rPr>
        <w:t>5</w:t>
      </w:r>
      <w:r w:rsidRPr="00C07B2E">
        <w:rPr>
          <w:rFonts w:eastAsia="SimSun"/>
        </w:rPr>
        <w:t>.1.1.7  – Flu180+Bu12 / PT-Cy+CSA+MMF30</w:t>
      </w:r>
      <w:bookmarkEnd w:id="1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
        <w:gridCol w:w="1921"/>
        <w:gridCol w:w="1305"/>
        <w:gridCol w:w="1400"/>
        <w:gridCol w:w="1653"/>
        <w:gridCol w:w="2172"/>
      </w:tblGrid>
      <w:tr w:rsidR="009F7F8A" w:rsidRPr="00C07B2E" w14:paraId="1E898434" w14:textId="77777777" w:rsidTr="009F7F8A">
        <w:trPr>
          <w:cantSplit/>
          <w:trHeight w:val="20"/>
          <w:tblHeader/>
        </w:trPr>
        <w:tc>
          <w:tcPr>
            <w:tcW w:w="484" w:type="pct"/>
            <w:vAlign w:val="center"/>
          </w:tcPr>
          <w:p w14:paraId="0F931B19" w14:textId="77777777" w:rsidR="009F7F8A" w:rsidRPr="00470D3D" w:rsidRDefault="009F7F8A" w:rsidP="009F7F8A">
            <w:pPr>
              <w:rPr>
                <w:rFonts w:eastAsia="SimSun"/>
              </w:rPr>
            </w:pPr>
          </w:p>
        </w:tc>
        <w:tc>
          <w:tcPr>
            <w:tcW w:w="1003" w:type="pct"/>
            <w:vAlign w:val="center"/>
          </w:tcPr>
          <w:p w14:paraId="19834C20" w14:textId="77777777" w:rsidR="009F7F8A" w:rsidRPr="00C07B2E" w:rsidRDefault="009F7F8A" w:rsidP="009F7F8A">
            <w:pPr>
              <w:rPr>
                <w:rFonts w:eastAsia="SimSun"/>
              </w:rPr>
            </w:pPr>
            <w:r w:rsidRPr="00C07B2E">
              <w:rPr>
                <w:rFonts w:eastAsia="SimSun"/>
              </w:rPr>
              <w:t>Препарат</w:t>
            </w:r>
          </w:p>
        </w:tc>
        <w:tc>
          <w:tcPr>
            <w:tcW w:w="703" w:type="pct"/>
            <w:vAlign w:val="center"/>
          </w:tcPr>
          <w:p w14:paraId="5D0C2A62" w14:textId="77777777" w:rsidR="009F7F8A" w:rsidRPr="00C07B2E" w:rsidRDefault="009F7F8A" w:rsidP="009F7F8A">
            <w:pPr>
              <w:rPr>
                <w:rFonts w:eastAsia="SimSun"/>
              </w:rPr>
            </w:pPr>
            <w:r w:rsidRPr="00C07B2E">
              <w:rPr>
                <w:rFonts w:eastAsia="SimSun"/>
              </w:rPr>
              <w:t>Суточная доза</w:t>
            </w:r>
          </w:p>
        </w:tc>
        <w:tc>
          <w:tcPr>
            <w:tcW w:w="754" w:type="pct"/>
            <w:vAlign w:val="center"/>
          </w:tcPr>
          <w:p w14:paraId="36C2EBBC" w14:textId="77777777" w:rsidR="009F7F8A" w:rsidRPr="00C07B2E" w:rsidRDefault="009F7F8A" w:rsidP="009F7F8A">
            <w:pPr>
              <w:rPr>
                <w:rFonts w:eastAsia="SimSun"/>
              </w:rPr>
            </w:pPr>
            <w:r w:rsidRPr="00C07B2E">
              <w:rPr>
                <w:rFonts w:eastAsia="SimSun"/>
              </w:rPr>
              <w:t>Курсовая доза</w:t>
            </w:r>
          </w:p>
        </w:tc>
        <w:tc>
          <w:tcPr>
            <w:tcW w:w="889" w:type="pct"/>
            <w:vAlign w:val="center"/>
          </w:tcPr>
          <w:p w14:paraId="6EDA67FB" w14:textId="77777777" w:rsidR="009F7F8A" w:rsidRPr="00C07B2E" w:rsidRDefault="009F7F8A" w:rsidP="009F7F8A">
            <w:pPr>
              <w:rPr>
                <w:rFonts w:eastAsia="SimSun"/>
              </w:rPr>
            </w:pPr>
            <w:r w:rsidRPr="00C07B2E">
              <w:rPr>
                <w:rFonts w:eastAsia="SimSun"/>
              </w:rPr>
              <w:t>Дни введения</w:t>
            </w:r>
          </w:p>
        </w:tc>
        <w:tc>
          <w:tcPr>
            <w:tcW w:w="1167" w:type="pct"/>
            <w:vAlign w:val="center"/>
          </w:tcPr>
          <w:p w14:paraId="4BD3FC79" w14:textId="77777777" w:rsidR="009F7F8A" w:rsidRPr="00C07B2E" w:rsidRDefault="009F7F8A" w:rsidP="009F7F8A">
            <w:pPr>
              <w:rPr>
                <w:rFonts w:eastAsia="SimSun"/>
              </w:rPr>
            </w:pPr>
            <w:r w:rsidRPr="00C07B2E">
              <w:rPr>
                <w:rFonts w:eastAsia="SimSun"/>
              </w:rPr>
              <w:t>Порядок введения</w:t>
            </w:r>
          </w:p>
        </w:tc>
      </w:tr>
      <w:tr w:rsidR="009F7F8A" w:rsidRPr="00C07B2E" w14:paraId="4B2FD8D5" w14:textId="77777777" w:rsidTr="009F7F8A">
        <w:trPr>
          <w:cantSplit/>
          <w:trHeight w:val="20"/>
        </w:trPr>
        <w:tc>
          <w:tcPr>
            <w:tcW w:w="484" w:type="pct"/>
            <w:vMerge w:val="restart"/>
            <w:textDirection w:val="btLr"/>
            <w:vAlign w:val="center"/>
          </w:tcPr>
          <w:p w14:paraId="1CA174FE" w14:textId="77777777" w:rsidR="009F7F8A" w:rsidRPr="00C07B2E" w:rsidRDefault="009F7F8A" w:rsidP="009F7F8A">
            <w:pPr>
              <w:rPr>
                <w:rFonts w:eastAsia="SimSun"/>
              </w:rPr>
            </w:pPr>
            <w:r w:rsidRPr="00C07B2E">
              <w:rPr>
                <w:rFonts w:eastAsia="SimSun"/>
              </w:rPr>
              <w:t>Кондиционирование</w:t>
            </w:r>
          </w:p>
        </w:tc>
        <w:tc>
          <w:tcPr>
            <w:tcW w:w="1003" w:type="pct"/>
            <w:vAlign w:val="center"/>
          </w:tcPr>
          <w:p w14:paraId="7911ED4A" w14:textId="77777777" w:rsidR="009F7F8A" w:rsidRPr="00C07B2E" w:rsidRDefault="009F7F8A" w:rsidP="009F7F8A">
            <w:pPr>
              <w:rPr>
                <w:rFonts w:eastAsia="SimSun"/>
              </w:rPr>
            </w:pPr>
            <w:r w:rsidRPr="00C07B2E">
              <w:rPr>
                <w:rFonts w:eastAsia="SimSun"/>
              </w:rPr>
              <w:t xml:space="preserve">Флударабин </w:t>
            </w:r>
          </w:p>
        </w:tc>
        <w:tc>
          <w:tcPr>
            <w:tcW w:w="703" w:type="pct"/>
            <w:vAlign w:val="center"/>
          </w:tcPr>
          <w:p w14:paraId="3FC938DA" w14:textId="77777777" w:rsidR="009F7F8A" w:rsidRPr="00C07B2E" w:rsidRDefault="009F7F8A" w:rsidP="009F7F8A">
            <w:pPr>
              <w:rPr>
                <w:rFonts w:eastAsia="SimSun"/>
              </w:rPr>
            </w:pPr>
            <w:r w:rsidRPr="00C07B2E">
              <w:rPr>
                <w:rFonts w:eastAsia="SimSun"/>
              </w:rPr>
              <w:t>30 мг/м</w:t>
            </w:r>
            <w:r w:rsidRPr="000F445E">
              <w:rPr>
                <w:rFonts w:eastAsia="SimSun"/>
                <w:vertAlign w:val="superscript"/>
              </w:rPr>
              <w:t>2</w:t>
            </w:r>
          </w:p>
        </w:tc>
        <w:tc>
          <w:tcPr>
            <w:tcW w:w="754" w:type="pct"/>
            <w:vAlign w:val="center"/>
          </w:tcPr>
          <w:p w14:paraId="2596DE89" w14:textId="77777777" w:rsidR="009F7F8A" w:rsidRPr="00C07B2E" w:rsidRDefault="009F7F8A" w:rsidP="009F7F8A">
            <w:pPr>
              <w:rPr>
                <w:rFonts w:eastAsia="SimSun"/>
              </w:rPr>
            </w:pPr>
            <w:r w:rsidRPr="00C07B2E">
              <w:rPr>
                <w:rFonts w:eastAsia="SimSun"/>
              </w:rPr>
              <w:t>180 мг/м</w:t>
            </w:r>
            <w:r w:rsidRPr="000F445E">
              <w:rPr>
                <w:rFonts w:eastAsia="SimSun"/>
                <w:vertAlign w:val="superscript"/>
              </w:rPr>
              <w:t>2</w:t>
            </w:r>
          </w:p>
        </w:tc>
        <w:tc>
          <w:tcPr>
            <w:tcW w:w="889" w:type="pct"/>
            <w:vAlign w:val="center"/>
          </w:tcPr>
          <w:p w14:paraId="27E3F15B" w14:textId="77777777" w:rsidR="009F7F8A" w:rsidRPr="00C07B2E" w:rsidRDefault="009F7F8A" w:rsidP="009F7F8A">
            <w:pPr>
              <w:rPr>
                <w:rFonts w:eastAsia="SimSun"/>
              </w:rPr>
            </w:pPr>
            <w:r w:rsidRPr="00C07B2E">
              <w:rPr>
                <w:rFonts w:eastAsia="SimSun"/>
              </w:rPr>
              <w:t>С -7 дня по -2 день</w:t>
            </w:r>
          </w:p>
        </w:tc>
        <w:tc>
          <w:tcPr>
            <w:tcW w:w="1167" w:type="pct"/>
            <w:vAlign w:val="center"/>
          </w:tcPr>
          <w:p w14:paraId="6EAF03C0" w14:textId="77777777" w:rsidR="009F7F8A" w:rsidRPr="00C07B2E" w:rsidRDefault="009F7F8A" w:rsidP="009F7F8A">
            <w:pPr>
              <w:rPr>
                <w:rFonts w:eastAsia="SimSun"/>
              </w:rPr>
            </w:pPr>
            <w:r w:rsidRPr="00C07B2E">
              <w:rPr>
                <w:rFonts w:eastAsia="SimSun"/>
              </w:rPr>
              <w:t>В/в, в течение 30 - 60 мин</w:t>
            </w:r>
          </w:p>
        </w:tc>
      </w:tr>
      <w:tr w:rsidR="009F7F8A" w:rsidRPr="00C07B2E" w14:paraId="37AE72A7" w14:textId="77777777" w:rsidTr="009F7F8A">
        <w:trPr>
          <w:cantSplit/>
          <w:trHeight w:val="1207"/>
        </w:trPr>
        <w:tc>
          <w:tcPr>
            <w:tcW w:w="484" w:type="pct"/>
            <w:vMerge/>
            <w:vAlign w:val="center"/>
          </w:tcPr>
          <w:p w14:paraId="059E356E" w14:textId="77777777" w:rsidR="009F7F8A" w:rsidRPr="00C07B2E" w:rsidRDefault="009F7F8A" w:rsidP="009F7F8A">
            <w:pPr>
              <w:rPr>
                <w:rFonts w:eastAsia="SimSun"/>
              </w:rPr>
            </w:pPr>
          </w:p>
        </w:tc>
        <w:tc>
          <w:tcPr>
            <w:tcW w:w="1003" w:type="pct"/>
            <w:vAlign w:val="center"/>
          </w:tcPr>
          <w:p w14:paraId="21746C78" w14:textId="77777777" w:rsidR="009F7F8A" w:rsidRPr="00C07B2E" w:rsidRDefault="009F7F8A" w:rsidP="009F7F8A">
            <w:pPr>
              <w:rPr>
                <w:rFonts w:eastAsia="SimSun"/>
              </w:rPr>
            </w:pPr>
            <w:r w:rsidRPr="00C07B2E">
              <w:rPr>
                <w:rFonts w:eastAsia="SimSun"/>
              </w:rPr>
              <w:t>Бусульфан</w:t>
            </w:r>
          </w:p>
        </w:tc>
        <w:tc>
          <w:tcPr>
            <w:tcW w:w="703" w:type="pct"/>
            <w:vAlign w:val="center"/>
          </w:tcPr>
          <w:p w14:paraId="0A71F138" w14:textId="77777777" w:rsidR="009F7F8A" w:rsidRPr="00C07B2E" w:rsidRDefault="009F7F8A" w:rsidP="009F7F8A">
            <w:pPr>
              <w:rPr>
                <w:rFonts w:eastAsia="SimSun"/>
              </w:rPr>
            </w:pPr>
            <w:r w:rsidRPr="00C07B2E">
              <w:rPr>
                <w:rFonts w:eastAsia="SimSun"/>
              </w:rPr>
              <w:t xml:space="preserve">4 мг/кг </w:t>
            </w:r>
          </w:p>
        </w:tc>
        <w:tc>
          <w:tcPr>
            <w:tcW w:w="754" w:type="pct"/>
            <w:vAlign w:val="center"/>
          </w:tcPr>
          <w:p w14:paraId="503F989B" w14:textId="77777777" w:rsidR="009F7F8A" w:rsidRPr="00C07B2E" w:rsidRDefault="009F7F8A" w:rsidP="009F7F8A">
            <w:pPr>
              <w:rPr>
                <w:rFonts w:eastAsia="SimSun"/>
              </w:rPr>
            </w:pPr>
            <w:r w:rsidRPr="00C07B2E">
              <w:rPr>
                <w:rFonts w:eastAsia="SimSun"/>
                <w:lang w:val="en-US"/>
              </w:rPr>
              <w:t>12</w:t>
            </w:r>
            <w:r w:rsidRPr="00C07B2E">
              <w:rPr>
                <w:rFonts w:eastAsia="SimSun"/>
              </w:rPr>
              <w:t xml:space="preserve"> мг/кг </w:t>
            </w:r>
          </w:p>
        </w:tc>
        <w:tc>
          <w:tcPr>
            <w:tcW w:w="889" w:type="pct"/>
            <w:vAlign w:val="center"/>
          </w:tcPr>
          <w:p w14:paraId="32CE530B" w14:textId="77777777" w:rsidR="009F7F8A" w:rsidRPr="00C07B2E" w:rsidRDefault="009F7F8A" w:rsidP="009F7F8A">
            <w:pPr>
              <w:rPr>
                <w:rFonts w:eastAsia="SimSun"/>
              </w:rPr>
            </w:pPr>
            <w:r w:rsidRPr="00C07B2E">
              <w:rPr>
                <w:rFonts w:eastAsia="SimSun"/>
              </w:rPr>
              <w:t>С -</w:t>
            </w:r>
            <w:r w:rsidRPr="00C07B2E">
              <w:rPr>
                <w:rFonts w:eastAsia="SimSun"/>
                <w:lang w:val="en-US"/>
              </w:rPr>
              <w:t>5</w:t>
            </w:r>
            <w:r w:rsidRPr="00C07B2E">
              <w:rPr>
                <w:rFonts w:eastAsia="SimSun"/>
              </w:rPr>
              <w:t xml:space="preserve"> дня по -3 день</w:t>
            </w:r>
          </w:p>
        </w:tc>
        <w:tc>
          <w:tcPr>
            <w:tcW w:w="1167" w:type="pct"/>
            <w:vAlign w:val="center"/>
          </w:tcPr>
          <w:p w14:paraId="30549394" w14:textId="77777777" w:rsidR="009F7F8A" w:rsidRPr="00C07B2E" w:rsidRDefault="009F7F8A" w:rsidP="009F7F8A">
            <w:pPr>
              <w:rPr>
                <w:rFonts w:eastAsia="SimSun"/>
              </w:rPr>
            </w:pPr>
            <w:r w:rsidRPr="00C07B2E">
              <w:rPr>
                <w:rFonts w:eastAsia="SimSun"/>
              </w:rPr>
              <w:t>Внутрь, суммарная суточная доза разделяется на 4 приема с интервалом 6 часов.</w:t>
            </w:r>
          </w:p>
        </w:tc>
      </w:tr>
      <w:tr w:rsidR="009F7F8A" w:rsidRPr="00C07B2E" w14:paraId="352F8EF8" w14:textId="77777777" w:rsidTr="009F7F8A">
        <w:trPr>
          <w:cantSplit/>
          <w:trHeight w:val="1498"/>
        </w:trPr>
        <w:tc>
          <w:tcPr>
            <w:tcW w:w="484" w:type="pct"/>
            <w:vMerge w:val="restart"/>
            <w:textDirection w:val="btLr"/>
            <w:vAlign w:val="center"/>
          </w:tcPr>
          <w:p w14:paraId="3A713AFF" w14:textId="77777777" w:rsidR="009F7F8A" w:rsidRPr="00C07B2E" w:rsidRDefault="009F7F8A" w:rsidP="009F7F8A">
            <w:pPr>
              <w:rPr>
                <w:rFonts w:eastAsia="SimSun"/>
              </w:rPr>
            </w:pPr>
            <w:r w:rsidRPr="00C07B2E">
              <w:rPr>
                <w:rFonts w:eastAsia="SimSun"/>
              </w:rPr>
              <w:t>Профилактика РТПХ</w:t>
            </w:r>
          </w:p>
        </w:tc>
        <w:tc>
          <w:tcPr>
            <w:tcW w:w="1003" w:type="pct"/>
            <w:vAlign w:val="center"/>
          </w:tcPr>
          <w:p w14:paraId="24F129AC" w14:textId="77777777" w:rsidR="009F7F8A" w:rsidRPr="00C07B2E" w:rsidRDefault="009F7F8A" w:rsidP="009F7F8A">
            <w:pPr>
              <w:rPr>
                <w:rFonts w:eastAsia="SimSun"/>
              </w:rPr>
            </w:pPr>
            <w:r w:rsidRPr="00C07B2E">
              <w:rPr>
                <w:rFonts w:eastAsia="SimSun"/>
              </w:rPr>
              <w:t>Циклофосфамид</w:t>
            </w:r>
          </w:p>
        </w:tc>
        <w:tc>
          <w:tcPr>
            <w:tcW w:w="703" w:type="pct"/>
            <w:vAlign w:val="center"/>
          </w:tcPr>
          <w:p w14:paraId="52D86793" w14:textId="77777777" w:rsidR="009F7F8A" w:rsidRPr="00C07B2E" w:rsidRDefault="009F7F8A" w:rsidP="009F7F8A">
            <w:pPr>
              <w:rPr>
                <w:rFonts w:eastAsia="SimSun"/>
              </w:rPr>
            </w:pPr>
            <w:r w:rsidRPr="00C07B2E">
              <w:rPr>
                <w:rFonts w:eastAsia="SimSun"/>
              </w:rPr>
              <w:t>50 мг/кг</w:t>
            </w:r>
          </w:p>
        </w:tc>
        <w:tc>
          <w:tcPr>
            <w:tcW w:w="754" w:type="pct"/>
            <w:vAlign w:val="center"/>
          </w:tcPr>
          <w:p w14:paraId="530A662A" w14:textId="77777777" w:rsidR="009F7F8A" w:rsidRPr="00C07B2E" w:rsidRDefault="009F7F8A" w:rsidP="009F7F8A">
            <w:pPr>
              <w:rPr>
                <w:rFonts w:eastAsia="SimSun"/>
              </w:rPr>
            </w:pPr>
            <w:r w:rsidRPr="00C07B2E">
              <w:rPr>
                <w:rFonts w:eastAsia="SimSun"/>
              </w:rPr>
              <w:t>100 мг/кг</w:t>
            </w:r>
          </w:p>
        </w:tc>
        <w:tc>
          <w:tcPr>
            <w:tcW w:w="889" w:type="pct"/>
            <w:vAlign w:val="center"/>
          </w:tcPr>
          <w:p w14:paraId="50FE4B73" w14:textId="77777777" w:rsidR="009F7F8A" w:rsidRPr="00C07B2E" w:rsidRDefault="009F7F8A" w:rsidP="009F7F8A">
            <w:pPr>
              <w:rPr>
                <w:rFonts w:eastAsia="SimSun"/>
              </w:rPr>
            </w:pPr>
            <w:r w:rsidRPr="00C07B2E">
              <w:rPr>
                <w:rFonts w:eastAsia="SimSun"/>
              </w:rPr>
              <w:t>В +3 день  и +5 день</w:t>
            </w:r>
          </w:p>
        </w:tc>
        <w:tc>
          <w:tcPr>
            <w:tcW w:w="1167" w:type="pct"/>
            <w:vAlign w:val="center"/>
          </w:tcPr>
          <w:p w14:paraId="46A14DB9" w14:textId="77777777" w:rsidR="009F7F8A" w:rsidRPr="00C07B2E" w:rsidRDefault="009F7F8A" w:rsidP="009F7F8A">
            <w:pPr>
              <w:rPr>
                <w:rFonts w:eastAsia="SimSun"/>
              </w:rPr>
            </w:pPr>
            <w:r w:rsidRPr="00C07B2E">
              <w:rPr>
                <w:rFonts w:eastAsia="SimSun"/>
              </w:rPr>
              <w:t xml:space="preserve">В/в, в течение 2 ч  </w:t>
            </w:r>
          </w:p>
        </w:tc>
      </w:tr>
      <w:tr w:rsidR="009F7F8A" w:rsidRPr="00C07B2E" w14:paraId="4471B664" w14:textId="77777777" w:rsidTr="009F7F8A">
        <w:trPr>
          <w:cantSplit/>
          <w:trHeight w:val="958"/>
        </w:trPr>
        <w:tc>
          <w:tcPr>
            <w:tcW w:w="484" w:type="pct"/>
            <w:vMerge/>
            <w:textDirection w:val="btLr"/>
            <w:vAlign w:val="center"/>
          </w:tcPr>
          <w:p w14:paraId="7C8C94FC" w14:textId="77777777" w:rsidR="009F7F8A" w:rsidRPr="00C07B2E" w:rsidRDefault="009F7F8A" w:rsidP="009F7F8A">
            <w:pPr>
              <w:rPr>
                <w:rFonts w:eastAsia="SimSun"/>
              </w:rPr>
            </w:pPr>
          </w:p>
        </w:tc>
        <w:tc>
          <w:tcPr>
            <w:tcW w:w="1003" w:type="pct"/>
            <w:vAlign w:val="center"/>
          </w:tcPr>
          <w:p w14:paraId="383C8008" w14:textId="77777777" w:rsidR="009F7F8A" w:rsidRPr="00C07B2E" w:rsidRDefault="009F7F8A" w:rsidP="009F7F8A">
            <w:pPr>
              <w:rPr>
                <w:rFonts w:eastAsia="SimSun"/>
              </w:rPr>
            </w:pPr>
            <w:r w:rsidRPr="00C07B2E">
              <w:rPr>
                <w:rFonts w:eastAsia="SimSun"/>
              </w:rPr>
              <w:t>Микофенолата мофетил</w:t>
            </w:r>
          </w:p>
        </w:tc>
        <w:tc>
          <w:tcPr>
            <w:tcW w:w="703" w:type="pct"/>
            <w:vAlign w:val="center"/>
          </w:tcPr>
          <w:p w14:paraId="04088FBF" w14:textId="77777777" w:rsidR="009F7F8A" w:rsidRPr="00C07B2E" w:rsidRDefault="009F7F8A" w:rsidP="009F7F8A">
            <w:pPr>
              <w:rPr>
                <w:rFonts w:eastAsia="SimSun"/>
              </w:rPr>
            </w:pPr>
            <w:r w:rsidRPr="00C07B2E">
              <w:rPr>
                <w:rFonts w:eastAsia="SimSun"/>
              </w:rPr>
              <w:t xml:space="preserve">30 мг/кг </w:t>
            </w:r>
          </w:p>
        </w:tc>
        <w:tc>
          <w:tcPr>
            <w:tcW w:w="754" w:type="pct"/>
            <w:vAlign w:val="center"/>
          </w:tcPr>
          <w:p w14:paraId="577F47E2" w14:textId="77777777" w:rsidR="009F7F8A" w:rsidRPr="00C07B2E" w:rsidRDefault="009F7F8A" w:rsidP="009F7F8A">
            <w:pPr>
              <w:rPr>
                <w:rFonts w:eastAsia="SimSun"/>
              </w:rPr>
            </w:pPr>
            <w:r w:rsidRPr="00C07B2E">
              <w:rPr>
                <w:rFonts w:eastAsia="SimSun"/>
              </w:rPr>
              <w:t>–</w:t>
            </w:r>
          </w:p>
        </w:tc>
        <w:tc>
          <w:tcPr>
            <w:tcW w:w="889" w:type="pct"/>
            <w:vAlign w:val="center"/>
          </w:tcPr>
          <w:p w14:paraId="48F59D77" w14:textId="77777777" w:rsidR="009F7F8A" w:rsidRPr="00C07B2E" w:rsidRDefault="009F7F8A" w:rsidP="009F7F8A">
            <w:pPr>
              <w:rPr>
                <w:rFonts w:eastAsia="SimSun"/>
              </w:rPr>
            </w:pPr>
            <w:r w:rsidRPr="00C07B2E">
              <w:rPr>
                <w:rFonts w:eastAsia="SimSun"/>
              </w:rPr>
              <w:t xml:space="preserve">С +1 дня по +28 день </w:t>
            </w:r>
          </w:p>
        </w:tc>
        <w:tc>
          <w:tcPr>
            <w:tcW w:w="1167" w:type="pct"/>
            <w:vAlign w:val="center"/>
          </w:tcPr>
          <w:p w14:paraId="11A6BB72" w14:textId="77777777" w:rsidR="009F7F8A" w:rsidRPr="000F445E" w:rsidRDefault="009F7F8A" w:rsidP="009F7F8A">
            <w:pPr>
              <w:rPr>
                <w:rFonts w:eastAsia="SimSun"/>
              </w:rPr>
            </w:pPr>
            <w:r w:rsidRPr="000F445E">
              <w:rPr>
                <w:rFonts w:eastAsia="SimSun"/>
              </w:rPr>
              <w:t>Внутрь, суммарная суточная доза разделяется на 2- 4 приема (не более 3</w:t>
            </w:r>
            <w:r>
              <w:rPr>
                <w:rFonts w:eastAsia="SimSun"/>
              </w:rPr>
              <w:t xml:space="preserve"> </w:t>
            </w:r>
            <w:r w:rsidRPr="000F445E">
              <w:rPr>
                <w:rFonts w:eastAsia="SimSun"/>
              </w:rPr>
              <w:t>г/сут).</w:t>
            </w:r>
          </w:p>
        </w:tc>
      </w:tr>
      <w:tr w:rsidR="009F7F8A" w:rsidRPr="000F445E" w14:paraId="2B3C3915" w14:textId="77777777" w:rsidTr="009F7F8A">
        <w:trPr>
          <w:cantSplit/>
          <w:trHeight w:val="958"/>
        </w:trPr>
        <w:tc>
          <w:tcPr>
            <w:tcW w:w="484" w:type="pct"/>
            <w:vMerge/>
            <w:textDirection w:val="btLr"/>
            <w:vAlign w:val="center"/>
          </w:tcPr>
          <w:p w14:paraId="596EFA16" w14:textId="77777777" w:rsidR="009F7F8A" w:rsidRPr="000F445E" w:rsidRDefault="009F7F8A" w:rsidP="009F7F8A">
            <w:pPr>
              <w:rPr>
                <w:rFonts w:eastAsia="SimSun"/>
              </w:rPr>
            </w:pPr>
          </w:p>
        </w:tc>
        <w:tc>
          <w:tcPr>
            <w:tcW w:w="1003" w:type="pct"/>
            <w:vAlign w:val="center"/>
          </w:tcPr>
          <w:p w14:paraId="117CFD14" w14:textId="77777777" w:rsidR="009F7F8A" w:rsidRPr="00C07B2E" w:rsidRDefault="009F7F8A" w:rsidP="009F7F8A">
            <w:pPr>
              <w:rPr>
                <w:rFonts w:eastAsia="SimSun"/>
              </w:rPr>
            </w:pPr>
            <w:r w:rsidRPr="00C07B2E">
              <w:rPr>
                <w:rFonts w:eastAsia="SimSun"/>
              </w:rPr>
              <w:t>Циклоспорин А</w:t>
            </w:r>
          </w:p>
        </w:tc>
        <w:tc>
          <w:tcPr>
            <w:tcW w:w="703" w:type="pct"/>
            <w:vAlign w:val="center"/>
          </w:tcPr>
          <w:p w14:paraId="0305AF01" w14:textId="77777777" w:rsidR="009F7F8A" w:rsidRPr="00C07B2E" w:rsidRDefault="009F7F8A" w:rsidP="009F7F8A">
            <w:pPr>
              <w:rPr>
                <w:rFonts w:eastAsia="SimSun"/>
              </w:rPr>
            </w:pPr>
            <w:r w:rsidRPr="00C07B2E">
              <w:rPr>
                <w:rFonts w:eastAsia="SimSun"/>
              </w:rPr>
              <w:t>3  мг/кг</w:t>
            </w:r>
          </w:p>
        </w:tc>
        <w:tc>
          <w:tcPr>
            <w:tcW w:w="754" w:type="pct"/>
            <w:vAlign w:val="center"/>
          </w:tcPr>
          <w:p w14:paraId="0C175876" w14:textId="77777777" w:rsidR="009F7F8A" w:rsidRPr="00C07B2E" w:rsidRDefault="009F7F8A" w:rsidP="009F7F8A">
            <w:pPr>
              <w:rPr>
                <w:rFonts w:eastAsia="SimSun"/>
              </w:rPr>
            </w:pPr>
            <w:r w:rsidRPr="00C07B2E">
              <w:rPr>
                <w:rFonts w:eastAsia="SimSun"/>
              </w:rPr>
              <w:t>-</w:t>
            </w:r>
          </w:p>
        </w:tc>
        <w:tc>
          <w:tcPr>
            <w:tcW w:w="889" w:type="pct"/>
            <w:vAlign w:val="center"/>
          </w:tcPr>
          <w:p w14:paraId="76A968F4" w14:textId="77777777" w:rsidR="009F7F8A" w:rsidRPr="00C07B2E" w:rsidRDefault="009F7F8A" w:rsidP="009F7F8A">
            <w:pPr>
              <w:rPr>
                <w:rFonts w:eastAsia="SimSun"/>
              </w:rPr>
            </w:pPr>
            <w:r w:rsidRPr="00C07B2E">
              <w:rPr>
                <w:rFonts w:eastAsia="SimSun"/>
              </w:rPr>
              <w:t xml:space="preserve">С -1 дня по +100 день </w:t>
            </w:r>
          </w:p>
        </w:tc>
        <w:tc>
          <w:tcPr>
            <w:tcW w:w="1167" w:type="pct"/>
            <w:vAlign w:val="center"/>
          </w:tcPr>
          <w:p w14:paraId="5C2C516A" w14:textId="77777777" w:rsidR="009F7F8A" w:rsidRPr="000F445E" w:rsidRDefault="009F7F8A" w:rsidP="009F7F8A">
            <w:pPr>
              <w:rPr>
                <w:rFonts w:eastAsia="SimSun"/>
              </w:rPr>
            </w:pPr>
            <w:r w:rsidRPr="00C07B2E">
              <w:rPr>
                <w:rFonts w:eastAsia="SimSun"/>
              </w:rPr>
              <w:t xml:space="preserve">В/в, 5-часовая инфузия 2 раза/сут. </w:t>
            </w:r>
            <w:r w:rsidRPr="000F445E">
              <w:rPr>
                <w:rFonts w:eastAsia="SimSun"/>
              </w:rPr>
              <w:t>Перевод на прием внутрь при условии восстановления лейкоцитов &gt; 1</w:t>
            </w:r>
            <w:r>
              <w:rPr>
                <w:rFonts w:eastAsia="SimSun"/>
              </w:rPr>
              <w:t xml:space="preserve"> х </w:t>
            </w:r>
            <w:r w:rsidRPr="000F445E">
              <w:rPr>
                <w:rFonts w:eastAsia="SimSun"/>
              </w:rPr>
              <w:t>10</w:t>
            </w:r>
            <w:r w:rsidRPr="000F445E">
              <w:rPr>
                <w:rFonts w:eastAsia="SimSun"/>
                <w:vertAlign w:val="superscript"/>
              </w:rPr>
              <w:t>9</w:t>
            </w:r>
            <w:r w:rsidRPr="000F445E">
              <w:rPr>
                <w:rFonts w:eastAsia="SimSun"/>
              </w:rPr>
              <w:t>/л, при отсутствии тошноты, рвоты, диареи и возможности приема внутрь. Концентрация 150-350</w:t>
            </w:r>
            <w:r>
              <w:rPr>
                <w:rFonts w:eastAsia="SimSun"/>
              </w:rPr>
              <w:t xml:space="preserve"> </w:t>
            </w:r>
            <w:r w:rsidRPr="000F445E">
              <w:rPr>
                <w:rFonts w:eastAsia="SimSun"/>
              </w:rPr>
              <w:t>пг/мл.</w:t>
            </w:r>
          </w:p>
        </w:tc>
      </w:tr>
    </w:tbl>
    <w:p w14:paraId="4066B1D9" w14:textId="77777777" w:rsidR="009F7F8A" w:rsidRPr="00C07B2E" w:rsidRDefault="009F7F8A" w:rsidP="009F7F8A">
      <w:pPr>
        <w:rPr>
          <w:rFonts w:eastAsia="SimSun"/>
        </w:rPr>
      </w:pPr>
    </w:p>
    <w:p w14:paraId="3EC195CB" w14:textId="77777777" w:rsidR="009F7F8A" w:rsidRPr="00C07B2E" w:rsidRDefault="009F7F8A" w:rsidP="009F7F8A">
      <w:pPr>
        <w:rPr>
          <w:rFonts w:eastAsia="SimSun"/>
        </w:rPr>
      </w:pPr>
      <w:bookmarkStart w:id="123" w:name="_Toc44401151"/>
      <w:r w:rsidRPr="00042499">
        <w:rPr>
          <w:rFonts w:eastAsia="SimSun"/>
        </w:rPr>
        <w:t>Таблица</w:t>
      </w:r>
      <w:r w:rsidRPr="00C07B2E">
        <w:rPr>
          <w:rFonts w:eastAsia="SimSun"/>
        </w:rPr>
        <w:t xml:space="preserve"> </w:t>
      </w:r>
      <w:r>
        <w:rPr>
          <w:rFonts w:eastAsia="SimSun"/>
        </w:rPr>
        <w:t>5</w:t>
      </w:r>
      <w:r w:rsidRPr="00C07B2E">
        <w:rPr>
          <w:rFonts w:eastAsia="SimSun"/>
        </w:rPr>
        <w:t>.1.1.8  – Flu180+Bu14 / PT-Cy</w:t>
      </w:r>
      <w:bookmarkEnd w:id="12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09"/>
        <w:gridCol w:w="1417"/>
        <w:gridCol w:w="1418"/>
        <w:gridCol w:w="1701"/>
        <w:gridCol w:w="2268"/>
      </w:tblGrid>
      <w:tr w:rsidR="009F7F8A" w:rsidRPr="00C07B2E" w14:paraId="07EC190C" w14:textId="77777777" w:rsidTr="009F7F8A">
        <w:trPr>
          <w:cantSplit/>
          <w:trHeight w:val="20"/>
          <w:tblHeader/>
        </w:trPr>
        <w:tc>
          <w:tcPr>
            <w:tcW w:w="993" w:type="dxa"/>
            <w:vAlign w:val="center"/>
          </w:tcPr>
          <w:p w14:paraId="239C5CEC" w14:textId="77777777" w:rsidR="009F7F8A" w:rsidRPr="00C07B2E" w:rsidRDefault="009F7F8A" w:rsidP="009F7F8A">
            <w:pPr>
              <w:rPr>
                <w:rFonts w:eastAsia="SimSun"/>
              </w:rPr>
            </w:pPr>
          </w:p>
        </w:tc>
        <w:tc>
          <w:tcPr>
            <w:tcW w:w="1809" w:type="dxa"/>
            <w:vAlign w:val="center"/>
          </w:tcPr>
          <w:p w14:paraId="40A58AD9" w14:textId="77777777" w:rsidR="009F7F8A" w:rsidRPr="00C07B2E" w:rsidRDefault="009F7F8A" w:rsidP="009F7F8A">
            <w:pPr>
              <w:rPr>
                <w:rFonts w:eastAsia="SimSun"/>
              </w:rPr>
            </w:pPr>
            <w:r w:rsidRPr="00C07B2E">
              <w:rPr>
                <w:rFonts w:eastAsia="SimSun"/>
              </w:rPr>
              <w:t>Препарат</w:t>
            </w:r>
          </w:p>
        </w:tc>
        <w:tc>
          <w:tcPr>
            <w:tcW w:w="1417" w:type="dxa"/>
            <w:vAlign w:val="center"/>
          </w:tcPr>
          <w:p w14:paraId="29CC7AC1" w14:textId="77777777" w:rsidR="009F7F8A" w:rsidRPr="00C07B2E" w:rsidRDefault="009F7F8A" w:rsidP="009F7F8A">
            <w:pPr>
              <w:rPr>
                <w:rFonts w:eastAsia="SimSun"/>
              </w:rPr>
            </w:pPr>
            <w:r w:rsidRPr="00C07B2E">
              <w:rPr>
                <w:rFonts w:eastAsia="SimSun"/>
              </w:rPr>
              <w:t>Суточная доза</w:t>
            </w:r>
          </w:p>
        </w:tc>
        <w:tc>
          <w:tcPr>
            <w:tcW w:w="1418" w:type="dxa"/>
            <w:vAlign w:val="center"/>
          </w:tcPr>
          <w:p w14:paraId="248E0260" w14:textId="77777777" w:rsidR="009F7F8A" w:rsidRPr="00C07B2E" w:rsidRDefault="009F7F8A" w:rsidP="009F7F8A">
            <w:pPr>
              <w:rPr>
                <w:rFonts w:eastAsia="SimSun"/>
              </w:rPr>
            </w:pPr>
            <w:r w:rsidRPr="00C07B2E">
              <w:rPr>
                <w:rFonts w:eastAsia="SimSun"/>
              </w:rPr>
              <w:t>Курсовая доза</w:t>
            </w:r>
          </w:p>
        </w:tc>
        <w:tc>
          <w:tcPr>
            <w:tcW w:w="1701" w:type="dxa"/>
            <w:vAlign w:val="center"/>
          </w:tcPr>
          <w:p w14:paraId="76FDE28E" w14:textId="77777777" w:rsidR="009F7F8A" w:rsidRPr="00C07B2E" w:rsidRDefault="009F7F8A" w:rsidP="009F7F8A">
            <w:pPr>
              <w:rPr>
                <w:rFonts w:eastAsia="SimSun"/>
              </w:rPr>
            </w:pPr>
            <w:r w:rsidRPr="00C07B2E">
              <w:rPr>
                <w:rFonts w:eastAsia="SimSun"/>
              </w:rPr>
              <w:t>Дни введения</w:t>
            </w:r>
          </w:p>
        </w:tc>
        <w:tc>
          <w:tcPr>
            <w:tcW w:w="2268" w:type="dxa"/>
            <w:vAlign w:val="center"/>
          </w:tcPr>
          <w:p w14:paraId="04E95EF2" w14:textId="77777777" w:rsidR="009F7F8A" w:rsidRPr="00C07B2E" w:rsidRDefault="009F7F8A" w:rsidP="009F7F8A">
            <w:pPr>
              <w:rPr>
                <w:rFonts w:eastAsia="SimSun"/>
              </w:rPr>
            </w:pPr>
            <w:r w:rsidRPr="00C07B2E">
              <w:rPr>
                <w:rFonts w:eastAsia="SimSun"/>
              </w:rPr>
              <w:t>Порядок введения</w:t>
            </w:r>
          </w:p>
        </w:tc>
      </w:tr>
      <w:tr w:rsidR="009F7F8A" w:rsidRPr="00C07B2E" w14:paraId="11D34512" w14:textId="77777777" w:rsidTr="009F7F8A">
        <w:trPr>
          <w:cantSplit/>
          <w:trHeight w:val="20"/>
        </w:trPr>
        <w:tc>
          <w:tcPr>
            <w:tcW w:w="993" w:type="dxa"/>
            <w:vMerge w:val="restart"/>
            <w:textDirection w:val="btLr"/>
            <w:vAlign w:val="center"/>
          </w:tcPr>
          <w:p w14:paraId="07899E81" w14:textId="77777777" w:rsidR="009F7F8A" w:rsidRPr="00C07B2E" w:rsidRDefault="009F7F8A" w:rsidP="009F7F8A">
            <w:pPr>
              <w:rPr>
                <w:rFonts w:eastAsia="SimSun"/>
              </w:rPr>
            </w:pPr>
            <w:r w:rsidRPr="00C07B2E">
              <w:rPr>
                <w:rFonts w:eastAsia="SimSun"/>
              </w:rPr>
              <w:t>Кондиционирование</w:t>
            </w:r>
          </w:p>
        </w:tc>
        <w:tc>
          <w:tcPr>
            <w:tcW w:w="1809" w:type="dxa"/>
            <w:vAlign w:val="center"/>
          </w:tcPr>
          <w:p w14:paraId="459276BB" w14:textId="77777777" w:rsidR="009F7F8A" w:rsidRPr="00C07B2E" w:rsidRDefault="009F7F8A" w:rsidP="009F7F8A">
            <w:pPr>
              <w:rPr>
                <w:rFonts w:eastAsia="SimSun"/>
              </w:rPr>
            </w:pPr>
            <w:r w:rsidRPr="00C07B2E">
              <w:rPr>
                <w:rFonts w:eastAsia="SimSun"/>
              </w:rPr>
              <w:t xml:space="preserve">Флударабин </w:t>
            </w:r>
          </w:p>
        </w:tc>
        <w:tc>
          <w:tcPr>
            <w:tcW w:w="1417" w:type="dxa"/>
            <w:vAlign w:val="center"/>
          </w:tcPr>
          <w:p w14:paraId="1EE1C2CC" w14:textId="77777777" w:rsidR="009F7F8A" w:rsidRPr="00C07B2E" w:rsidRDefault="009F7F8A" w:rsidP="009F7F8A">
            <w:pPr>
              <w:rPr>
                <w:rFonts w:eastAsia="SimSun"/>
              </w:rPr>
            </w:pPr>
            <w:r w:rsidRPr="00C07B2E">
              <w:rPr>
                <w:rFonts w:eastAsia="SimSun"/>
              </w:rPr>
              <w:t>30 мг/м</w:t>
            </w:r>
            <w:r w:rsidRPr="000F445E">
              <w:rPr>
                <w:rFonts w:eastAsia="SimSun"/>
                <w:vertAlign w:val="superscript"/>
              </w:rPr>
              <w:t>2</w:t>
            </w:r>
          </w:p>
        </w:tc>
        <w:tc>
          <w:tcPr>
            <w:tcW w:w="1418" w:type="dxa"/>
            <w:vAlign w:val="center"/>
          </w:tcPr>
          <w:p w14:paraId="55FABDF0" w14:textId="77777777" w:rsidR="009F7F8A" w:rsidRPr="00C07B2E" w:rsidRDefault="009F7F8A" w:rsidP="009F7F8A">
            <w:pPr>
              <w:rPr>
                <w:rFonts w:eastAsia="SimSun"/>
              </w:rPr>
            </w:pPr>
            <w:r w:rsidRPr="00C07B2E">
              <w:rPr>
                <w:rFonts w:eastAsia="SimSun"/>
              </w:rPr>
              <w:t>180 мг/м</w:t>
            </w:r>
            <w:r w:rsidRPr="000F445E">
              <w:rPr>
                <w:rFonts w:eastAsia="SimSun"/>
                <w:vertAlign w:val="superscript"/>
              </w:rPr>
              <w:t>2</w:t>
            </w:r>
          </w:p>
        </w:tc>
        <w:tc>
          <w:tcPr>
            <w:tcW w:w="1701" w:type="dxa"/>
            <w:vAlign w:val="center"/>
          </w:tcPr>
          <w:p w14:paraId="0F557203" w14:textId="77777777" w:rsidR="009F7F8A" w:rsidRPr="00C07B2E" w:rsidRDefault="009F7F8A" w:rsidP="009F7F8A">
            <w:pPr>
              <w:rPr>
                <w:rFonts w:eastAsia="SimSun"/>
              </w:rPr>
            </w:pPr>
            <w:r w:rsidRPr="00C07B2E">
              <w:rPr>
                <w:rFonts w:eastAsia="SimSun"/>
              </w:rPr>
              <w:t>С -7 дня по -2 день</w:t>
            </w:r>
          </w:p>
        </w:tc>
        <w:tc>
          <w:tcPr>
            <w:tcW w:w="2268" w:type="dxa"/>
            <w:vAlign w:val="center"/>
          </w:tcPr>
          <w:p w14:paraId="5C039E0D" w14:textId="77777777" w:rsidR="009F7F8A" w:rsidRPr="00C07B2E" w:rsidRDefault="009F7F8A" w:rsidP="009F7F8A">
            <w:pPr>
              <w:rPr>
                <w:rFonts w:eastAsia="SimSun"/>
              </w:rPr>
            </w:pPr>
            <w:r w:rsidRPr="00C07B2E">
              <w:rPr>
                <w:rFonts w:eastAsia="SimSun"/>
              </w:rPr>
              <w:t>В/в, в течение 30 - 60 мин</w:t>
            </w:r>
          </w:p>
        </w:tc>
      </w:tr>
      <w:tr w:rsidR="009F7F8A" w:rsidRPr="00C07B2E" w14:paraId="40FD9B3A" w14:textId="77777777" w:rsidTr="009F7F8A">
        <w:trPr>
          <w:cantSplit/>
          <w:trHeight w:val="1207"/>
        </w:trPr>
        <w:tc>
          <w:tcPr>
            <w:tcW w:w="993" w:type="dxa"/>
            <w:vMerge/>
            <w:vAlign w:val="center"/>
          </w:tcPr>
          <w:p w14:paraId="710D900A" w14:textId="77777777" w:rsidR="009F7F8A" w:rsidRPr="00C07B2E" w:rsidRDefault="009F7F8A" w:rsidP="009F7F8A">
            <w:pPr>
              <w:rPr>
                <w:rFonts w:eastAsia="SimSun"/>
              </w:rPr>
            </w:pPr>
          </w:p>
        </w:tc>
        <w:tc>
          <w:tcPr>
            <w:tcW w:w="1809" w:type="dxa"/>
            <w:vAlign w:val="center"/>
          </w:tcPr>
          <w:p w14:paraId="305BBAEE" w14:textId="77777777" w:rsidR="009F7F8A" w:rsidRPr="00C07B2E" w:rsidRDefault="009F7F8A" w:rsidP="009F7F8A">
            <w:pPr>
              <w:rPr>
                <w:rFonts w:eastAsia="SimSun"/>
              </w:rPr>
            </w:pPr>
            <w:r w:rsidRPr="00C07B2E">
              <w:rPr>
                <w:rFonts w:eastAsia="SimSun"/>
              </w:rPr>
              <w:t>Бусульфан</w:t>
            </w:r>
          </w:p>
        </w:tc>
        <w:tc>
          <w:tcPr>
            <w:tcW w:w="1417" w:type="dxa"/>
            <w:vAlign w:val="center"/>
          </w:tcPr>
          <w:p w14:paraId="4A1F1A7F" w14:textId="77777777" w:rsidR="009F7F8A" w:rsidRPr="00C07B2E" w:rsidRDefault="009F7F8A" w:rsidP="009F7F8A">
            <w:pPr>
              <w:rPr>
                <w:rFonts w:eastAsia="SimSun"/>
              </w:rPr>
            </w:pPr>
            <w:r w:rsidRPr="00C07B2E">
              <w:rPr>
                <w:rFonts w:eastAsia="SimSun"/>
              </w:rPr>
              <w:t xml:space="preserve">4 мг/кг </w:t>
            </w:r>
          </w:p>
        </w:tc>
        <w:tc>
          <w:tcPr>
            <w:tcW w:w="1418" w:type="dxa"/>
            <w:vAlign w:val="center"/>
          </w:tcPr>
          <w:p w14:paraId="26485267" w14:textId="77777777" w:rsidR="009F7F8A" w:rsidRPr="00C07B2E" w:rsidRDefault="009F7F8A" w:rsidP="009F7F8A">
            <w:pPr>
              <w:rPr>
                <w:rFonts w:eastAsia="SimSun"/>
              </w:rPr>
            </w:pPr>
            <w:r w:rsidRPr="00C07B2E">
              <w:rPr>
                <w:rFonts w:eastAsia="SimSun"/>
                <w:lang w:val="en-US"/>
              </w:rPr>
              <w:t>14</w:t>
            </w:r>
            <w:r w:rsidRPr="00C07B2E">
              <w:rPr>
                <w:rFonts w:eastAsia="SimSun"/>
              </w:rPr>
              <w:t xml:space="preserve"> мг/кг </w:t>
            </w:r>
          </w:p>
        </w:tc>
        <w:tc>
          <w:tcPr>
            <w:tcW w:w="1701" w:type="dxa"/>
            <w:vAlign w:val="center"/>
          </w:tcPr>
          <w:p w14:paraId="3F8E1235" w14:textId="77777777" w:rsidR="009F7F8A" w:rsidRPr="00C07B2E" w:rsidRDefault="009F7F8A" w:rsidP="009F7F8A">
            <w:pPr>
              <w:rPr>
                <w:rFonts w:eastAsia="SimSun"/>
              </w:rPr>
            </w:pPr>
            <w:r w:rsidRPr="00C07B2E">
              <w:rPr>
                <w:rFonts w:eastAsia="SimSun"/>
              </w:rPr>
              <w:t>С -</w:t>
            </w:r>
            <w:r w:rsidRPr="00C07B2E">
              <w:rPr>
                <w:rFonts w:eastAsia="SimSun"/>
                <w:lang w:val="en-US"/>
              </w:rPr>
              <w:t>6</w:t>
            </w:r>
            <w:r w:rsidRPr="00C07B2E">
              <w:rPr>
                <w:rFonts w:eastAsia="SimSun"/>
              </w:rPr>
              <w:t xml:space="preserve"> дня по -3 день</w:t>
            </w:r>
          </w:p>
        </w:tc>
        <w:tc>
          <w:tcPr>
            <w:tcW w:w="2268" w:type="dxa"/>
            <w:vAlign w:val="center"/>
          </w:tcPr>
          <w:p w14:paraId="485D5E75" w14:textId="77777777" w:rsidR="009F7F8A" w:rsidRPr="00C07B2E" w:rsidRDefault="009F7F8A" w:rsidP="009F7F8A">
            <w:pPr>
              <w:rPr>
                <w:rFonts w:eastAsia="SimSun"/>
              </w:rPr>
            </w:pPr>
            <w:r w:rsidRPr="00C07B2E">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C07B2E" w14:paraId="01842725" w14:textId="77777777" w:rsidTr="009F7F8A">
        <w:trPr>
          <w:cantSplit/>
          <w:trHeight w:val="1498"/>
        </w:trPr>
        <w:tc>
          <w:tcPr>
            <w:tcW w:w="993" w:type="dxa"/>
            <w:textDirection w:val="btLr"/>
            <w:vAlign w:val="center"/>
          </w:tcPr>
          <w:p w14:paraId="5C38C90D" w14:textId="77777777" w:rsidR="009F7F8A" w:rsidRPr="00C07B2E" w:rsidRDefault="009F7F8A" w:rsidP="009F7F8A">
            <w:pPr>
              <w:rPr>
                <w:rFonts w:eastAsia="SimSun"/>
              </w:rPr>
            </w:pPr>
            <w:r w:rsidRPr="00C07B2E">
              <w:rPr>
                <w:rFonts w:eastAsia="SimSun"/>
              </w:rPr>
              <w:t>Профилактика РТПХ</w:t>
            </w:r>
          </w:p>
        </w:tc>
        <w:tc>
          <w:tcPr>
            <w:tcW w:w="1809" w:type="dxa"/>
            <w:vAlign w:val="center"/>
          </w:tcPr>
          <w:p w14:paraId="0985CE6B" w14:textId="77777777" w:rsidR="009F7F8A" w:rsidRPr="00C07B2E" w:rsidRDefault="009F7F8A" w:rsidP="009F7F8A">
            <w:pPr>
              <w:rPr>
                <w:rFonts w:eastAsia="SimSun"/>
              </w:rPr>
            </w:pPr>
            <w:r w:rsidRPr="00C07B2E">
              <w:rPr>
                <w:rFonts w:eastAsia="SimSun"/>
              </w:rPr>
              <w:t>Циклофосфамид</w:t>
            </w:r>
          </w:p>
        </w:tc>
        <w:tc>
          <w:tcPr>
            <w:tcW w:w="1417" w:type="dxa"/>
            <w:vAlign w:val="center"/>
          </w:tcPr>
          <w:p w14:paraId="6D4C986A" w14:textId="77777777" w:rsidR="009F7F8A" w:rsidRPr="00C07B2E" w:rsidRDefault="009F7F8A" w:rsidP="009F7F8A">
            <w:pPr>
              <w:rPr>
                <w:rFonts w:eastAsia="SimSun"/>
              </w:rPr>
            </w:pPr>
            <w:r w:rsidRPr="00C07B2E">
              <w:rPr>
                <w:rFonts w:eastAsia="SimSun"/>
              </w:rPr>
              <w:t>50 мг/кг</w:t>
            </w:r>
          </w:p>
        </w:tc>
        <w:tc>
          <w:tcPr>
            <w:tcW w:w="1418" w:type="dxa"/>
            <w:vAlign w:val="center"/>
          </w:tcPr>
          <w:p w14:paraId="2E800788" w14:textId="77777777" w:rsidR="009F7F8A" w:rsidRPr="00C07B2E" w:rsidRDefault="009F7F8A" w:rsidP="009F7F8A">
            <w:pPr>
              <w:rPr>
                <w:rFonts w:eastAsia="SimSun"/>
              </w:rPr>
            </w:pPr>
            <w:r w:rsidRPr="00C07B2E">
              <w:rPr>
                <w:rFonts w:eastAsia="SimSun"/>
              </w:rPr>
              <w:t>100 мг/кг</w:t>
            </w:r>
          </w:p>
        </w:tc>
        <w:tc>
          <w:tcPr>
            <w:tcW w:w="1701" w:type="dxa"/>
            <w:vAlign w:val="center"/>
          </w:tcPr>
          <w:p w14:paraId="00ADAAFA" w14:textId="77777777" w:rsidR="009F7F8A" w:rsidRPr="00C07B2E" w:rsidRDefault="009F7F8A" w:rsidP="009F7F8A">
            <w:pPr>
              <w:rPr>
                <w:rFonts w:eastAsia="SimSun"/>
              </w:rPr>
            </w:pPr>
            <w:r w:rsidRPr="00C07B2E">
              <w:rPr>
                <w:rFonts w:eastAsia="SimSun"/>
              </w:rPr>
              <w:t>С +3 дня по +4 день</w:t>
            </w:r>
          </w:p>
        </w:tc>
        <w:tc>
          <w:tcPr>
            <w:tcW w:w="2268" w:type="dxa"/>
            <w:vAlign w:val="center"/>
          </w:tcPr>
          <w:p w14:paraId="2184DFA3" w14:textId="77777777" w:rsidR="009F7F8A" w:rsidRPr="00C07B2E" w:rsidRDefault="009F7F8A" w:rsidP="009F7F8A">
            <w:pPr>
              <w:rPr>
                <w:rFonts w:eastAsia="SimSun"/>
              </w:rPr>
            </w:pPr>
            <w:r w:rsidRPr="00C07B2E">
              <w:rPr>
                <w:rFonts w:eastAsia="SimSun"/>
              </w:rPr>
              <w:t xml:space="preserve">В/в, в течение 2 ч  </w:t>
            </w:r>
          </w:p>
        </w:tc>
      </w:tr>
    </w:tbl>
    <w:p w14:paraId="45DE5486" w14:textId="77777777" w:rsidR="009F7F8A" w:rsidRPr="00C07B2E" w:rsidRDefault="009F7F8A" w:rsidP="009F7F8A">
      <w:pPr>
        <w:rPr>
          <w:rFonts w:eastAsia="SimSun"/>
        </w:rPr>
      </w:pPr>
    </w:p>
    <w:p w14:paraId="7D5D82F7" w14:textId="77777777" w:rsidR="009F7F8A" w:rsidRPr="00C07B2E" w:rsidRDefault="009F7F8A" w:rsidP="009F7F8A">
      <w:pPr>
        <w:rPr>
          <w:rFonts w:eastAsia="SimSun"/>
        </w:rPr>
      </w:pPr>
      <w:bookmarkStart w:id="124" w:name="_Toc44401152"/>
      <w:r w:rsidRPr="00042499">
        <w:rPr>
          <w:rFonts w:eastAsia="SimSun"/>
        </w:rPr>
        <w:t>Таблица</w:t>
      </w:r>
      <w:r w:rsidRPr="00C07B2E">
        <w:rPr>
          <w:rFonts w:eastAsia="SimSun"/>
        </w:rPr>
        <w:t xml:space="preserve"> </w:t>
      </w:r>
      <w:r>
        <w:rPr>
          <w:rFonts w:eastAsia="SimSun"/>
        </w:rPr>
        <w:t>5</w:t>
      </w:r>
      <w:r w:rsidRPr="00C07B2E">
        <w:rPr>
          <w:rFonts w:eastAsia="SimSun"/>
        </w:rPr>
        <w:t>.1.1.9 – Flu180+Bu14 / PT-Cy+Tx+MMF30</w:t>
      </w:r>
      <w:bookmarkEnd w:id="12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09"/>
        <w:gridCol w:w="1417"/>
        <w:gridCol w:w="1418"/>
        <w:gridCol w:w="1701"/>
        <w:gridCol w:w="2268"/>
      </w:tblGrid>
      <w:tr w:rsidR="009F7F8A" w:rsidRPr="00C07B2E" w14:paraId="39BF9C4B" w14:textId="77777777" w:rsidTr="009F7F8A">
        <w:trPr>
          <w:cantSplit/>
          <w:trHeight w:val="20"/>
          <w:tblHeader/>
        </w:trPr>
        <w:tc>
          <w:tcPr>
            <w:tcW w:w="993" w:type="dxa"/>
            <w:vAlign w:val="center"/>
          </w:tcPr>
          <w:p w14:paraId="0776291B" w14:textId="77777777" w:rsidR="009F7F8A" w:rsidRPr="00470D3D" w:rsidRDefault="009F7F8A" w:rsidP="009F7F8A">
            <w:pPr>
              <w:rPr>
                <w:rFonts w:eastAsia="SimSun"/>
              </w:rPr>
            </w:pPr>
          </w:p>
        </w:tc>
        <w:tc>
          <w:tcPr>
            <w:tcW w:w="1809" w:type="dxa"/>
            <w:vAlign w:val="center"/>
          </w:tcPr>
          <w:p w14:paraId="5B13AF86" w14:textId="77777777" w:rsidR="009F7F8A" w:rsidRPr="00C07B2E" w:rsidRDefault="009F7F8A" w:rsidP="009F7F8A">
            <w:pPr>
              <w:rPr>
                <w:rFonts w:eastAsia="SimSun"/>
              </w:rPr>
            </w:pPr>
            <w:r w:rsidRPr="00C07B2E">
              <w:rPr>
                <w:rFonts w:eastAsia="SimSun"/>
              </w:rPr>
              <w:t>Препарат</w:t>
            </w:r>
          </w:p>
        </w:tc>
        <w:tc>
          <w:tcPr>
            <w:tcW w:w="1417" w:type="dxa"/>
            <w:vAlign w:val="center"/>
          </w:tcPr>
          <w:p w14:paraId="1D4182CC" w14:textId="77777777" w:rsidR="009F7F8A" w:rsidRPr="00C07B2E" w:rsidRDefault="009F7F8A" w:rsidP="009F7F8A">
            <w:pPr>
              <w:rPr>
                <w:rFonts w:eastAsia="SimSun"/>
              </w:rPr>
            </w:pPr>
            <w:r w:rsidRPr="00C07B2E">
              <w:rPr>
                <w:rFonts w:eastAsia="SimSun"/>
              </w:rPr>
              <w:t>Суточная доза</w:t>
            </w:r>
          </w:p>
        </w:tc>
        <w:tc>
          <w:tcPr>
            <w:tcW w:w="1418" w:type="dxa"/>
            <w:vAlign w:val="center"/>
          </w:tcPr>
          <w:p w14:paraId="75437AC9" w14:textId="77777777" w:rsidR="009F7F8A" w:rsidRPr="00C07B2E" w:rsidRDefault="009F7F8A" w:rsidP="009F7F8A">
            <w:pPr>
              <w:rPr>
                <w:rFonts w:eastAsia="SimSun"/>
              </w:rPr>
            </w:pPr>
            <w:r w:rsidRPr="00C07B2E">
              <w:rPr>
                <w:rFonts w:eastAsia="SimSun"/>
              </w:rPr>
              <w:t>Курсовая доза</w:t>
            </w:r>
          </w:p>
        </w:tc>
        <w:tc>
          <w:tcPr>
            <w:tcW w:w="1701" w:type="dxa"/>
            <w:vAlign w:val="center"/>
          </w:tcPr>
          <w:p w14:paraId="38CA7771" w14:textId="77777777" w:rsidR="009F7F8A" w:rsidRPr="00C07B2E" w:rsidRDefault="009F7F8A" w:rsidP="009F7F8A">
            <w:pPr>
              <w:rPr>
                <w:rFonts w:eastAsia="SimSun"/>
              </w:rPr>
            </w:pPr>
            <w:r w:rsidRPr="00C07B2E">
              <w:rPr>
                <w:rFonts w:eastAsia="SimSun"/>
              </w:rPr>
              <w:t>Дни введения</w:t>
            </w:r>
          </w:p>
        </w:tc>
        <w:tc>
          <w:tcPr>
            <w:tcW w:w="2268" w:type="dxa"/>
            <w:vAlign w:val="center"/>
          </w:tcPr>
          <w:p w14:paraId="4A54FECB" w14:textId="77777777" w:rsidR="009F7F8A" w:rsidRPr="00C07B2E" w:rsidRDefault="009F7F8A" w:rsidP="009F7F8A">
            <w:pPr>
              <w:rPr>
                <w:rFonts w:eastAsia="SimSun"/>
              </w:rPr>
            </w:pPr>
            <w:r w:rsidRPr="00C07B2E">
              <w:rPr>
                <w:rFonts w:eastAsia="SimSun"/>
              </w:rPr>
              <w:t>Порядок введения</w:t>
            </w:r>
          </w:p>
        </w:tc>
      </w:tr>
      <w:tr w:rsidR="009F7F8A" w:rsidRPr="00C07B2E" w14:paraId="66618C8F" w14:textId="77777777" w:rsidTr="009F7F8A">
        <w:trPr>
          <w:cantSplit/>
          <w:trHeight w:val="20"/>
        </w:trPr>
        <w:tc>
          <w:tcPr>
            <w:tcW w:w="993" w:type="dxa"/>
            <w:vMerge w:val="restart"/>
            <w:textDirection w:val="btLr"/>
            <w:vAlign w:val="center"/>
          </w:tcPr>
          <w:p w14:paraId="06DBCE54" w14:textId="77777777" w:rsidR="009F7F8A" w:rsidRPr="00C07B2E" w:rsidRDefault="009F7F8A" w:rsidP="009F7F8A">
            <w:pPr>
              <w:rPr>
                <w:rFonts w:eastAsia="SimSun"/>
              </w:rPr>
            </w:pPr>
            <w:r w:rsidRPr="00C07B2E">
              <w:rPr>
                <w:rFonts w:eastAsia="SimSun"/>
              </w:rPr>
              <w:t>Кондиционирование</w:t>
            </w:r>
          </w:p>
        </w:tc>
        <w:tc>
          <w:tcPr>
            <w:tcW w:w="1809" w:type="dxa"/>
            <w:vAlign w:val="center"/>
          </w:tcPr>
          <w:p w14:paraId="39872144" w14:textId="77777777" w:rsidR="009F7F8A" w:rsidRPr="00C07B2E" w:rsidRDefault="009F7F8A" w:rsidP="009F7F8A">
            <w:pPr>
              <w:rPr>
                <w:rFonts w:eastAsia="SimSun"/>
              </w:rPr>
            </w:pPr>
            <w:r w:rsidRPr="00C07B2E">
              <w:rPr>
                <w:rFonts w:eastAsia="SimSun"/>
              </w:rPr>
              <w:t xml:space="preserve">Флударабин </w:t>
            </w:r>
          </w:p>
        </w:tc>
        <w:tc>
          <w:tcPr>
            <w:tcW w:w="1417" w:type="dxa"/>
            <w:vAlign w:val="center"/>
          </w:tcPr>
          <w:p w14:paraId="101402C0" w14:textId="77777777" w:rsidR="009F7F8A" w:rsidRPr="00C07B2E" w:rsidRDefault="009F7F8A" w:rsidP="009F7F8A">
            <w:pPr>
              <w:rPr>
                <w:rFonts w:eastAsia="SimSun"/>
              </w:rPr>
            </w:pPr>
            <w:r w:rsidRPr="00C07B2E">
              <w:rPr>
                <w:rFonts w:eastAsia="SimSun"/>
              </w:rPr>
              <w:t>30 мг/м</w:t>
            </w:r>
            <w:r w:rsidRPr="000F445E">
              <w:rPr>
                <w:rFonts w:eastAsia="SimSun"/>
                <w:vertAlign w:val="superscript"/>
              </w:rPr>
              <w:t>2</w:t>
            </w:r>
          </w:p>
        </w:tc>
        <w:tc>
          <w:tcPr>
            <w:tcW w:w="1418" w:type="dxa"/>
            <w:vAlign w:val="center"/>
          </w:tcPr>
          <w:p w14:paraId="6ABA3971" w14:textId="77777777" w:rsidR="009F7F8A" w:rsidRPr="00C07B2E" w:rsidRDefault="009F7F8A" w:rsidP="009F7F8A">
            <w:pPr>
              <w:rPr>
                <w:rFonts w:eastAsia="SimSun"/>
              </w:rPr>
            </w:pPr>
            <w:r w:rsidRPr="00C07B2E">
              <w:rPr>
                <w:rFonts w:eastAsia="SimSun"/>
              </w:rPr>
              <w:t>180 мг/м</w:t>
            </w:r>
            <w:r w:rsidRPr="000F445E">
              <w:rPr>
                <w:rFonts w:eastAsia="SimSun"/>
                <w:vertAlign w:val="superscript"/>
              </w:rPr>
              <w:t>2</w:t>
            </w:r>
          </w:p>
        </w:tc>
        <w:tc>
          <w:tcPr>
            <w:tcW w:w="1701" w:type="dxa"/>
            <w:vAlign w:val="center"/>
          </w:tcPr>
          <w:p w14:paraId="053A9F03" w14:textId="77777777" w:rsidR="009F7F8A" w:rsidRPr="00C07B2E" w:rsidRDefault="009F7F8A" w:rsidP="009F7F8A">
            <w:pPr>
              <w:rPr>
                <w:rFonts w:eastAsia="SimSun"/>
              </w:rPr>
            </w:pPr>
            <w:r w:rsidRPr="00C07B2E">
              <w:rPr>
                <w:rFonts w:eastAsia="SimSun"/>
              </w:rPr>
              <w:t>С -7 дня по -2 день</w:t>
            </w:r>
          </w:p>
        </w:tc>
        <w:tc>
          <w:tcPr>
            <w:tcW w:w="2268" w:type="dxa"/>
            <w:vAlign w:val="center"/>
          </w:tcPr>
          <w:p w14:paraId="34F2EC57" w14:textId="77777777" w:rsidR="009F7F8A" w:rsidRPr="00C07B2E" w:rsidRDefault="009F7F8A" w:rsidP="009F7F8A">
            <w:pPr>
              <w:rPr>
                <w:rFonts w:eastAsia="SimSun"/>
              </w:rPr>
            </w:pPr>
            <w:r w:rsidRPr="00C07B2E">
              <w:rPr>
                <w:rFonts w:eastAsia="SimSun"/>
              </w:rPr>
              <w:t>В/в, в течение 30 - 60 мин</w:t>
            </w:r>
          </w:p>
        </w:tc>
      </w:tr>
      <w:tr w:rsidR="009F7F8A" w:rsidRPr="00C07B2E" w14:paraId="77B83722" w14:textId="77777777" w:rsidTr="009F7F8A">
        <w:trPr>
          <w:cantSplit/>
          <w:trHeight w:val="1207"/>
        </w:trPr>
        <w:tc>
          <w:tcPr>
            <w:tcW w:w="993" w:type="dxa"/>
            <w:vMerge/>
            <w:vAlign w:val="center"/>
          </w:tcPr>
          <w:p w14:paraId="475A4AAD" w14:textId="77777777" w:rsidR="009F7F8A" w:rsidRPr="00C07B2E" w:rsidRDefault="009F7F8A" w:rsidP="009F7F8A">
            <w:pPr>
              <w:rPr>
                <w:rFonts w:eastAsia="SimSun"/>
              </w:rPr>
            </w:pPr>
          </w:p>
        </w:tc>
        <w:tc>
          <w:tcPr>
            <w:tcW w:w="1809" w:type="dxa"/>
            <w:vAlign w:val="center"/>
          </w:tcPr>
          <w:p w14:paraId="6DEFAAEF" w14:textId="77777777" w:rsidR="009F7F8A" w:rsidRPr="00C07B2E" w:rsidRDefault="009F7F8A" w:rsidP="009F7F8A">
            <w:pPr>
              <w:rPr>
                <w:rFonts w:eastAsia="SimSun"/>
              </w:rPr>
            </w:pPr>
            <w:r w:rsidRPr="00C07B2E">
              <w:rPr>
                <w:rFonts w:eastAsia="SimSun"/>
              </w:rPr>
              <w:t>Бусульфан</w:t>
            </w:r>
          </w:p>
        </w:tc>
        <w:tc>
          <w:tcPr>
            <w:tcW w:w="1417" w:type="dxa"/>
            <w:vAlign w:val="center"/>
          </w:tcPr>
          <w:p w14:paraId="1E7D75BB" w14:textId="77777777" w:rsidR="009F7F8A" w:rsidRPr="00C07B2E" w:rsidRDefault="009F7F8A" w:rsidP="009F7F8A">
            <w:pPr>
              <w:rPr>
                <w:rFonts w:eastAsia="SimSun"/>
              </w:rPr>
            </w:pPr>
            <w:r w:rsidRPr="00C07B2E">
              <w:rPr>
                <w:rFonts w:eastAsia="SimSun"/>
              </w:rPr>
              <w:t xml:space="preserve">4 мг/кг </w:t>
            </w:r>
          </w:p>
        </w:tc>
        <w:tc>
          <w:tcPr>
            <w:tcW w:w="1418" w:type="dxa"/>
            <w:vAlign w:val="center"/>
          </w:tcPr>
          <w:p w14:paraId="4E1A57C8" w14:textId="77777777" w:rsidR="009F7F8A" w:rsidRPr="00C07B2E" w:rsidRDefault="009F7F8A" w:rsidP="009F7F8A">
            <w:pPr>
              <w:rPr>
                <w:rFonts w:eastAsia="SimSun"/>
              </w:rPr>
            </w:pPr>
            <w:r w:rsidRPr="00C07B2E">
              <w:rPr>
                <w:rFonts w:eastAsia="SimSun"/>
                <w:lang w:val="en-US"/>
              </w:rPr>
              <w:t>1</w:t>
            </w:r>
            <w:r w:rsidRPr="00C07B2E">
              <w:rPr>
                <w:rFonts w:eastAsia="SimSun"/>
              </w:rPr>
              <w:t xml:space="preserve">4мг/кг </w:t>
            </w:r>
          </w:p>
        </w:tc>
        <w:tc>
          <w:tcPr>
            <w:tcW w:w="1701" w:type="dxa"/>
            <w:vAlign w:val="center"/>
          </w:tcPr>
          <w:p w14:paraId="63A66D1E" w14:textId="77777777" w:rsidR="009F7F8A" w:rsidRPr="00C07B2E" w:rsidRDefault="009F7F8A" w:rsidP="009F7F8A">
            <w:pPr>
              <w:rPr>
                <w:rFonts w:eastAsia="SimSun"/>
              </w:rPr>
            </w:pPr>
            <w:r w:rsidRPr="00C07B2E">
              <w:rPr>
                <w:rFonts w:eastAsia="SimSun"/>
              </w:rPr>
              <w:t>С -6 дня по -3 день</w:t>
            </w:r>
          </w:p>
        </w:tc>
        <w:tc>
          <w:tcPr>
            <w:tcW w:w="2268" w:type="dxa"/>
            <w:vAlign w:val="center"/>
          </w:tcPr>
          <w:p w14:paraId="02B51376" w14:textId="77777777" w:rsidR="009F7F8A" w:rsidRPr="00C07B2E" w:rsidRDefault="009F7F8A" w:rsidP="009F7F8A">
            <w:pPr>
              <w:rPr>
                <w:rFonts w:eastAsia="SimSun"/>
              </w:rPr>
            </w:pPr>
            <w:r w:rsidRPr="00C07B2E">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C07B2E" w14:paraId="681248F4" w14:textId="77777777" w:rsidTr="009F7F8A">
        <w:trPr>
          <w:cantSplit/>
          <w:trHeight w:val="622"/>
        </w:trPr>
        <w:tc>
          <w:tcPr>
            <w:tcW w:w="993" w:type="dxa"/>
            <w:vMerge w:val="restart"/>
            <w:textDirection w:val="btLr"/>
            <w:vAlign w:val="center"/>
          </w:tcPr>
          <w:p w14:paraId="71280611" w14:textId="77777777" w:rsidR="009F7F8A" w:rsidRPr="00C07B2E" w:rsidRDefault="009F7F8A" w:rsidP="009F7F8A">
            <w:pPr>
              <w:rPr>
                <w:rFonts w:eastAsia="SimSun"/>
              </w:rPr>
            </w:pPr>
            <w:r w:rsidRPr="00C07B2E">
              <w:rPr>
                <w:rFonts w:eastAsia="SimSun"/>
              </w:rPr>
              <w:t>Профилактика РТПХ</w:t>
            </w:r>
          </w:p>
        </w:tc>
        <w:tc>
          <w:tcPr>
            <w:tcW w:w="1809" w:type="dxa"/>
            <w:vAlign w:val="center"/>
          </w:tcPr>
          <w:p w14:paraId="277DAE8B" w14:textId="77777777" w:rsidR="009F7F8A" w:rsidRPr="00C07B2E" w:rsidRDefault="009F7F8A" w:rsidP="009F7F8A">
            <w:pPr>
              <w:rPr>
                <w:rFonts w:eastAsia="SimSun"/>
              </w:rPr>
            </w:pPr>
            <w:r w:rsidRPr="00C07B2E">
              <w:rPr>
                <w:rFonts w:eastAsia="SimSun"/>
              </w:rPr>
              <w:t>Циклофосфамид</w:t>
            </w:r>
          </w:p>
        </w:tc>
        <w:tc>
          <w:tcPr>
            <w:tcW w:w="1417" w:type="dxa"/>
            <w:vAlign w:val="center"/>
          </w:tcPr>
          <w:p w14:paraId="1B9DC16C" w14:textId="77777777" w:rsidR="009F7F8A" w:rsidRPr="00C07B2E" w:rsidRDefault="009F7F8A" w:rsidP="009F7F8A">
            <w:pPr>
              <w:rPr>
                <w:rFonts w:eastAsia="SimSun"/>
              </w:rPr>
            </w:pPr>
            <w:r w:rsidRPr="00C07B2E">
              <w:rPr>
                <w:rFonts w:eastAsia="SimSun"/>
              </w:rPr>
              <w:t>50 мг/кг</w:t>
            </w:r>
          </w:p>
        </w:tc>
        <w:tc>
          <w:tcPr>
            <w:tcW w:w="1418" w:type="dxa"/>
            <w:vAlign w:val="center"/>
          </w:tcPr>
          <w:p w14:paraId="0E12052F" w14:textId="77777777" w:rsidR="009F7F8A" w:rsidRPr="00C07B2E" w:rsidRDefault="009F7F8A" w:rsidP="009F7F8A">
            <w:pPr>
              <w:rPr>
                <w:rFonts w:eastAsia="SimSun"/>
              </w:rPr>
            </w:pPr>
            <w:r w:rsidRPr="00C07B2E">
              <w:rPr>
                <w:rFonts w:eastAsia="SimSun"/>
              </w:rPr>
              <w:t>100 мг/кг</w:t>
            </w:r>
          </w:p>
        </w:tc>
        <w:tc>
          <w:tcPr>
            <w:tcW w:w="1701" w:type="dxa"/>
            <w:vAlign w:val="center"/>
          </w:tcPr>
          <w:p w14:paraId="645D9159" w14:textId="77777777" w:rsidR="009F7F8A" w:rsidRPr="00C07B2E" w:rsidRDefault="009F7F8A" w:rsidP="009F7F8A">
            <w:pPr>
              <w:rPr>
                <w:rFonts w:eastAsia="SimSun"/>
              </w:rPr>
            </w:pPr>
            <w:r w:rsidRPr="00C07B2E">
              <w:rPr>
                <w:rFonts w:eastAsia="SimSun"/>
              </w:rPr>
              <w:t>С +3 дня по +4 день</w:t>
            </w:r>
          </w:p>
        </w:tc>
        <w:tc>
          <w:tcPr>
            <w:tcW w:w="2268" w:type="dxa"/>
            <w:vAlign w:val="center"/>
          </w:tcPr>
          <w:p w14:paraId="749DE2CA" w14:textId="77777777" w:rsidR="009F7F8A" w:rsidRPr="00C07B2E" w:rsidRDefault="009F7F8A" w:rsidP="009F7F8A">
            <w:pPr>
              <w:rPr>
                <w:rFonts w:eastAsia="SimSun"/>
              </w:rPr>
            </w:pPr>
            <w:r w:rsidRPr="00C07B2E">
              <w:rPr>
                <w:rFonts w:eastAsia="SimSun"/>
              </w:rPr>
              <w:t xml:space="preserve">В/в, в течение 2 ч  </w:t>
            </w:r>
          </w:p>
        </w:tc>
      </w:tr>
      <w:tr w:rsidR="009F7F8A" w:rsidRPr="00C07B2E" w14:paraId="4E8AEFF5" w14:textId="77777777" w:rsidTr="009F7F8A">
        <w:trPr>
          <w:cantSplit/>
          <w:trHeight w:val="958"/>
        </w:trPr>
        <w:tc>
          <w:tcPr>
            <w:tcW w:w="993" w:type="dxa"/>
            <w:vMerge/>
            <w:textDirection w:val="btLr"/>
            <w:vAlign w:val="center"/>
          </w:tcPr>
          <w:p w14:paraId="2085B64C" w14:textId="77777777" w:rsidR="009F7F8A" w:rsidRPr="00C07B2E" w:rsidRDefault="009F7F8A" w:rsidP="009F7F8A">
            <w:pPr>
              <w:rPr>
                <w:rFonts w:eastAsia="SimSun"/>
              </w:rPr>
            </w:pPr>
          </w:p>
        </w:tc>
        <w:tc>
          <w:tcPr>
            <w:tcW w:w="1809" w:type="dxa"/>
            <w:vAlign w:val="center"/>
          </w:tcPr>
          <w:p w14:paraId="44AF4C8A" w14:textId="77777777" w:rsidR="009F7F8A" w:rsidRPr="00C07B2E" w:rsidRDefault="009F7F8A" w:rsidP="009F7F8A">
            <w:pPr>
              <w:rPr>
                <w:rFonts w:eastAsia="SimSun"/>
              </w:rPr>
            </w:pPr>
            <w:r w:rsidRPr="00C07B2E">
              <w:rPr>
                <w:rFonts w:eastAsia="SimSun"/>
              </w:rPr>
              <w:t xml:space="preserve">Такролимус </w:t>
            </w:r>
          </w:p>
        </w:tc>
        <w:tc>
          <w:tcPr>
            <w:tcW w:w="1417" w:type="dxa"/>
            <w:vAlign w:val="center"/>
          </w:tcPr>
          <w:p w14:paraId="14181630" w14:textId="77777777" w:rsidR="009F7F8A" w:rsidRPr="00C07B2E" w:rsidRDefault="009F7F8A" w:rsidP="009F7F8A">
            <w:pPr>
              <w:rPr>
                <w:rFonts w:eastAsia="SimSun"/>
              </w:rPr>
            </w:pPr>
            <w:r w:rsidRPr="00C07B2E">
              <w:rPr>
                <w:rFonts w:eastAsia="SimSun"/>
              </w:rPr>
              <w:t>0,03 мг/кг</w:t>
            </w:r>
          </w:p>
        </w:tc>
        <w:tc>
          <w:tcPr>
            <w:tcW w:w="1418" w:type="dxa"/>
            <w:vAlign w:val="center"/>
          </w:tcPr>
          <w:p w14:paraId="7B17F0EC" w14:textId="77777777" w:rsidR="009F7F8A" w:rsidRPr="00C07B2E" w:rsidRDefault="009F7F8A" w:rsidP="009F7F8A">
            <w:pPr>
              <w:rPr>
                <w:rFonts w:eastAsia="SimSun"/>
              </w:rPr>
            </w:pPr>
            <w:r w:rsidRPr="00C07B2E">
              <w:rPr>
                <w:rFonts w:eastAsia="SimSun"/>
                <w:lang w:val="en-US"/>
              </w:rPr>
              <w:t>–</w:t>
            </w:r>
          </w:p>
        </w:tc>
        <w:tc>
          <w:tcPr>
            <w:tcW w:w="1701" w:type="dxa"/>
            <w:vAlign w:val="center"/>
          </w:tcPr>
          <w:p w14:paraId="6082847E" w14:textId="77777777" w:rsidR="009F7F8A" w:rsidRPr="00C07B2E" w:rsidRDefault="009F7F8A" w:rsidP="009F7F8A">
            <w:pPr>
              <w:rPr>
                <w:rFonts w:eastAsia="SimSun"/>
              </w:rPr>
            </w:pPr>
            <w:r w:rsidRPr="00C07B2E">
              <w:rPr>
                <w:rFonts w:eastAsia="SimSun"/>
              </w:rPr>
              <w:t xml:space="preserve">С +5 дня длительно </w:t>
            </w:r>
          </w:p>
        </w:tc>
        <w:tc>
          <w:tcPr>
            <w:tcW w:w="2268" w:type="dxa"/>
            <w:vAlign w:val="center"/>
          </w:tcPr>
          <w:p w14:paraId="0A21D23C" w14:textId="77777777" w:rsidR="009F7F8A" w:rsidRPr="000F445E" w:rsidRDefault="009F7F8A" w:rsidP="009F7F8A">
            <w:pPr>
              <w:rPr>
                <w:rFonts w:eastAsia="SimSun"/>
              </w:rPr>
            </w:pPr>
            <w:r w:rsidRPr="00C07B2E">
              <w:rPr>
                <w:rFonts w:eastAsia="SimSun"/>
              </w:rPr>
              <w:t xml:space="preserve">В/в инфузия в течение 24 ч с последующей коррекцией суточной дозы по концентрации. </w:t>
            </w:r>
            <w:r w:rsidRPr="000F445E">
              <w:rPr>
                <w:rFonts w:eastAsia="SimSun"/>
              </w:rPr>
              <w:t>Перевод на прием внутрь при условии восстановления лейкоцитов &gt; 1</w:t>
            </w:r>
            <w:r>
              <w:rPr>
                <w:rFonts w:eastAsia="SimSun"/>
              </w:rPr>
              <w:t xml:space="preserve"> х </w:t>
            </w:r>
            <w:r w:rsidRPr="000F445E">
              <w:rPr>
                <w:rFonts w:eastAsia="SimSun"/>
              </w:rPr>
              <w:t>10</w:t>
            </w:r>
            <w:r w:rsidRPr="000F445E">
              <w:rPr>
                <w:rFonts w:eastAsia="SimSun"/>
                <w:vertAlign w:val="superscript"/>
              </w:rPr>
              <w:t>9</w:t>
            </w:r>
            <w:r w:rsidRPr="000F445E">
              <w:rPr>
                <w:rFonts w:eastAsia="SimSun"/>
              </w:rPr>
              <w:t xml:space="preserve">/л, при отсутствии тошноты, рвоты, диареи и возможности приема внутрь. Концентрация </w:t>
            </w:r>
            <w:r w:rsidRPr="00C07B2E">
              <w:rPr>
                <w:rFonts w:eastAsia="SimSun"/>
              </w:rPr>
              <w:t>Tx</w:t>
            </w:r>
            <w:r w:rsidRPr="000F445E">
              <w:rPr>
                <w:rFonts w:eastAsia="SimSun"/>
              </w:rPr>
              <w:t xml:space="preserve"> 5-15 нг/мл.    </w:t>
            </w:r>
          </w:p>
        </w:tc>
      </w:tr>
      <w:tr w:rsidR="009F7F8A" w:rsidRPr="00C07B2E" w14:paraId="41A264E9" w14:textId="77777777" w:rsidTr="009F7F8A">
        <w:trPr>
          <w:cantSplit/>
          <w:trHeight w:val="986"/>
        </w:trPr>
        <w:tc>
          <w:tcPr>
            <w:tcW w:w="993" w:type="dxa"/>
            <w:vMerge/>
            <w:textDirection w:val="btLr"/>
            <w:vAlign w:val="center"/>
          </w:tcPr>
          <w:p w14:paraId="432471A1" w14:textId="77777777" w:rsidR="009F7F8A" w:rsidRPr="000F445E" w:rsidRDefault="009F7F8A" w:rsidP="009F7F8A">
            <w:pPr>
              <w:rPr>
                <w:rFonts w:eastAsia="SimSun"/>
              </w:rPr>
            </w:pPr>
          </w:p>
        </w:tc>
        <w:tc>
          <w:tcPr>
            <w:tcW w:w="1809" w:type="dxa"/>
            <w:vAlign w:val="center"/>
          </w:tcPr>
          <w:p w14:paraId="68280F58" w14:textId="77777777" w:rsidR="009F7F8A" w:rsidRPr="00C07B2E" w:rsidRDefault="009F7F8A" w:rsidP="009F7F8A">
            <w:pPr>
              <w:rPr>
                <w:rFonts w:eastAsia="SimSun"/>
              </w:rPr>
            </w:pPr>
            <w:r w:rsidRPr="00C07B2E">
              <w:rPr>
                <w:rFonts w:eastAsia="SimSun"/>
              </w:rPr>
              <w:t>Микофенолата мофетил</w:t>
            </w:r>
          </w:p>
        </w:tc>
        <w:tc>
          <w:tcPr>
            <w:tcW w:w="1417" w:type="dxa"/>
            <w:vAlign w:val="center"/>
          </w:tcPr>
          <w:p w14:paraId="63E18559" w14:textId="77777777" w:rsidR="009F7F8A" w:rsidRPr="00C07B2E" w:rsidRDefault="009F7F8A" w:rsidP="009F7F8A">
            <w:pPr>
              <w:rPr>
                <w:rFonts w:eastAsia="SimSun"/>
              </w:rPr>
            </w:pPr>
            <w:r w:rsidRPr="00C07B2E">
              <w:rPr>
                <w:rFonts w:eastAsia="SimSun"/>
              </w:rPr>
              <w:t xml:space="preserve">30 мг/кг </w:t>
            </w:r>
          </w:p>
        </w:tc>
        <w:tc>
          <w:tcPr>
            <w:tcW w:w="1418" w:type="dxa"/>
            <w:vAlign w:val="center"/>
          </w:tcPr>
          <w:p w14:paraId="5DC59420" w14:textId="77777777" w:rsidR="009F7F8A" w:rsidRPr="00C07B2E" w:rsidRDefault="009F7F8A" w:rsidP="009F7F8A">
            <w:pPr>
              <w:rPr>
                <w:rFonts w:eastAsia="SimSun"/>
              </w:rPr>
            </w:pPr>
            <w:r w:rsidRPr="00C07B2E">
              <w:rPr>
                <w:rFonts w:eastAsia="SimSun"/>
              </w:rPr>
              <w:t>–</w:t>
            </w:r>
          </w:p>
        </w:tc>
        <w:tc>
          <w:tcPr>
            <w:tcW w:w="1701" w:type="dxa"/>
            <w:vAlign w:val="center"/>
          </w:tcPr>
          <w:p w14:paraId="7FD085EF" w14:textId="77777777" w:rsidR="009F7F8A" w:rsidRPr="00C07B2E" w:rsidRDefault="009F7F8A" w:rsidP="009F7F8A">
            <w:pPr>
              <w:rPr>
                <w:rFonts w:eastAsia="SimSun"/>
              </w:rPr>
            </w:pPr>
            <w:r w:rsidRPr="00C07B2E">
              <w:rPr>
                <w:rFonts w:eastAsia="SimSun"/>
              </w:rPr>
              <w:t xml:space="preserve">С +5 дня по +35 день </w:t>
            </w:r>
          </w:p>
        </w:tc>
        <w:tc>
          <w:tcPr>
            <w:tcW w:w="2268" w:type="dxa"/>
            <w:vAlign w:val="center"/>
          </w:tcPr>
          <w:p w14:paraId="7DAF1AC1" w14:textId="77777777" w:rsidR="009F7F8A" w:rsidRPr="00C07B2E" w:rsidRDefault="009F7F8A" w:rsidP="009F7F8A">
            <w:pPr>
              <w:rPr>
                <w:rFonts w:eastAsia="SimSun"/>
              </w:rPr>
            </w:pPr>
            <w:r w:rsidRPr="00C07B2E">
              <w:rPr>
                <w:rFonts w:eastAsia="SimSun"/>
              </w:rPr>
              <w:t>Внутрь, суммарная суточная доза разделяется на 2- 4 приема (не более 3г/сут).</w:t>
            </w:r>
          </w:p>
        </w:tc>
      </w:tr>
    </w:tbl>
    <w:p w14:paraId="0E060FCC" w14:textId="77777777" w:rsidR="009F7F8A" w:rsidRPr="00C07B2E" w:rsidRDefault="009F7F8A" w:rsidP="009F7F8A">
      <w:pPr>
        <w:rPr>
          <w:rFonts w:eastAsia="SimSun"/>
        </w:rPr>
      </w:pPr>
    </w:p>
    <w:p w14:paraId="1998ADB9" w14:textId="77777777" w:rsidR="009F7F8A" w:rsidRPr="00C07B2E" w:rsidRDefault="009F7F8A" w:rsidP="009F7F8A">
      <w:pPr>
        <w:rPr>
          <w:rFonts w:eastAsia="SimSun"/>
        </w:rPr>
      </w:pPr>
      <w:bookmarkStart w:id="125" w:name="_Toc44401153"/>
      <w:r w:rsidRPr="00042499">
        <w:rPr>
          <w:rFonts w:eastAsia="SimSun"/>
        </w:rPr>
        <w:t>Таблица</w:t>
      </w:r>
      <w:r w:rsidRPr="00C07B2E">
        <w:rPr>
          <w:rFonts w:eastAsia="SimSun"/>
        </w:rPr>
        <w:t xml:space="preserve"> </w:t>
      </w:r>
      <w:r>
        <w:rPr>
          <w:rFonts w:eastAsia="SimSun"/>
        </w:rPr>
        <w:t>5</w:t>
      </w:r>
      <w:r w:rsidRPr="00C07B2E">
        <w:rPr>
          <w:rFonts w:eastAsia="SimSun"/>
        </w:rPr>
        <w:t>.1.1.10  – Flu180+Bu14 / PT-Cy+CSA+MMF30</w:t>
      </w:r>
      <w:bookmarkEnd w:id="12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810"/>
        <w:gridCol w:w="1417"/>
        <w:gridCol w:w="1418"/>
        <w:gridCol w:w="1701"/>
        <w:gridCol w:w="2268"/>
      </w:tblGrid>
      <w:tr w:rsidR="009F7F8A" w:rsidRPr="00C07B2E" w14:paraId="3E197DA4" w14:textId="77777777" w:rsidTr="009F7F8A">
        <w:trPr>
          <w:cantSplit/>
          <w:trHeight w:val="20"/>
          <w:tblHeader/>
        </w:trPr>
        <w:tc>
          <w:tcPr>
            <w:tcW w:w="992" w:type="dxa"/>
            <w:vAlign w:val="center"/>
          </w:tcPr>
          <w:p w14:paraId="114D56EB" w14:textId="77777777" w:rsidR="009F7F8A" w:rsidRPr="00470D3D" w:rsidRDefault="009F7F8A" w:rsidP="009F7F8A">
            <w:pPr>
              <w:rPr>
                <w:rFonts w:eastAsia="SimSun"/>
              </w:rPr>
            </w:pPr>
          </w:p>
        </w:tc>
        <w:tc>
          <w:tcPr>
            <w:tcW w:w="1810" w:type="dxa"/>
            <w:vAlign w:val="center"/>
          </w:tcPr>
          <w:p w14:paraId="5F0C3E80" w14:textId="77777777" w:rsidR="009F7F8A" w:rsidRPr="00C07B2E" w:rsidRDefault="009F7F8A" w:rsidP="009F7F8A">
            <w:pPr>
              <w:rPr>
                <w:rFonts w:eastAsia="SimSun"/>
              </w:rPr>
            </w:pPr>
            <w:r w:rsidRPr="00C07B2E">
              <w:rPr>
                <w:rFonts w:eastAsia="SimSun"/>
              </w:rPr>
              <w:t>Препарат</w:t>
            </w:r>
          </w:p>
        </w:tc>
        <w:tc>
          <w:tcPr>
            <w:tcW w:w="1417" w:type="dxa"/>
            <w:vAlign w:val="center"/>
          </w:tcPr>
          <w:p w14:paraId="73C69920" w14:textId="77777777" w:rsidR="009F7F8A" w:rsidRPr="00C07B2E" w:rsidRDefault="009F7F8A" w:rsidP="009F7F8A">
            <w:pPr>
              <w:rPr>
                <w:rFonts w:eastAsia="SimSun"/>
              </w:rPr>
            </w:pPr>
            <w:r w:rsidRPr="00C07B2E">
              <w:rPr>
                <w:rFonts w:eastAsia="SimSun"/>
              </w:rPr>
              <w:t>Суточная доза</w:t>
            </w:r>
          </w:p>
        </w:tc>
        <w:tc>
          <w:tcPr>
            <w:tcW w:w="1418" w:type="dxa"/>
            <w:vAlign w:val="center"/>
          </w:tcPr>
          <w:p w14:paraId="24ED5EA8" w14:textId="77777777" w:rsidR="009F7F8A" w:rsidRPr="00C07B2E" w:rsidRDefault="009F7F8A" w:rsidP="009F7F8A">
            <w:pPr>
              <w:rPr>
                <w:rFonts w:eastAsia="SimSun"/>
              </w:rPr>
            </w:pPr>
            <w:r w:rsidRPr="00C07B2E">
              <w:rPr>
                <w:rFonts w:eastAsia="SimSun"/>
              </w:rPr>
              <w:t>Курсовая доза</w:t>
            </w:r>
          </w:p>
        </w:tc>
        <w:tc>
          <w:tcPr>
            <w:tcW w:w="1701" w:type="dxa"/>
            <w:vAlign w:val="center"/>
          </w:tcPr>
          <w:p w14:paraId="41551A97" w14:textId="77777777" w:rsidR="009F7F8A" w:rsidRPr="00C07B2E" w:rsidRDefault="009F7F8A" w:rsidP="009F7F8A">
            <w:pPr>
              <w:rPr>
                <w:rFonts w:eastAsia="SimSun"/>
              </w:rPr>
            </w:pPr>
            <w:r w:rsidRPr="00C07B2E">
              <w:rPr>
                <w:rFonts w:eastAsia="SimSun"/>
              </w:rPr>
              <w:t>Дни введения</w:t>
            </w:r>
          </w:p>
        </w:tc>
        <w:tc>
          <w:tcPr>
            <w:tcW w:w="2268" w:type="dxa"/>
            <w:vAlign w:val="center"/>
          </w:tcPr>
          <w:p w14:paraId="78E9D83C" w14:textId="77777777" w:rsidR="009F7F8A" w:rsidRPr="00C07B2E" w:rsidRDefault="009F7F8A" w:rsidP="009F7F8A">
            <w:pPr>
              <w:rPr>
                <w:rFonts w:eastAsia="SimSun"/>
              </w:rPr>
            </w:pPr>
            <w:r w:rsidRPr="00C07B2E">
              <w:rPr>
                <w:rFonts w:eastAsia="SimSun"/>
              </w:rPr>
              <w:t>Порядок введения</w:t>
            </w:r>
          </w:p>
        </w:tc>
      </w:tr>
      <w:tr w:rsidR="009F7F8A" w:rsidRPr="00C07B2E" w14:paraId="0D54355F" w14:textId="77777777" w:rsidTr="009F7F8A">
        <w:trPr>
          <w:cantSplit/>
          <w:trHeight w:val="20"/>
        </w:trPr>
        <w:tc>
          <w:tcPr>
            <w:tcW w:w="992" w:type="dxa"/>
            <w:vMerge w:val="restart"/>
            <w:textDirection w:val="btLr"/>
            <w:vAlign w:val="center"/>
          </w:tcPr>
          <w:p w14:paraId="72F5E28E" w14:textId="77777777" w:rsidR="009F7F8A" w:rsidRPr="00C07B2E" w:rsidRDefault="009F7F8A" w:rsidP="009F7F8A">
            <w:pPr>
              <w:rPr>
                <w:rFonts w:eastAsia="SimSun"/>
              </w:rPr>
            </w:pPr>
            <w:r w:rsidRPr="00C07B2E">
              <w:rPr>
                <w:rFonts w:eastAsia="SimSun"/>
              </w:rPr>
              <w:t>Кондиционирование</w:t>
            </w:r>
          </w:p>
        </w:tc>
        <w:tc>
          <w:tcPr>
            <w:tcW w:w="1810" w:type="dxa"/>
            <w:vAlign w:val="center"/>
          </w:tcPr>
          <w:p w14:paraId="5E014397" w14:textId="77777777" w:rsidR="009F7F8A" w:rsidRPr="00C07B2E" w:rsidRDefault="009F7F8A" w:rsidP="009F7F8A">
            <w:pPr>
              <w:rPr>
                <w:rFonts w:eastAsia="SimSun"/>
              </w:rPr>
            </w:pPr>
            <w:r w:rsidRPr="00C07B2E">
              <w:rPr>
                <w:rFonts w:eastAsia="SimSun"/>
              </w:rPr>
              <w:t xml:space="preserve">Флударабин </w:t>
            </w:r>
          </w:p>
        </w:tc>
        <w:tc>
          <w:tcPr>
            <w:tcW w:w="1417" w:type="dxa"/>
            <w:vAlign w:val="center"/>
          </w:tcPr>
          <w:p w14:paraId="718AE82C" w14:textId="77777777" w:rsidR="009F7F8A" w:rsidRPr="00C07B2E" w:rsidRDefault="009F7F8A" w:rsidP="009F7F8A">
            <w:pPr>
              <w:rPr>
                <w:rFonts w:eastAsia="SimSun"/>
              </w:rPr>
            </w:pPr>
            <w:r w:rsidRPr="00C07B2E">
              <w:rPr>
                <w:rFonts w:eastAsia="SimSun"/>
              </w:rPr>
              <w:t>30 мг/м</w:t>
            </w:r>
            <w:r w:rsidRPr="000F445E">
              <w:rPr>
                <w:rFonts w:eastAsia="SimSun"/>
                <w:vertAlign w:val="superscript"/>
              </w:rPr>
              <w:t>2</w:t>
            </w:r>
          </w:p>
        </w:tc>
        <w:tc>
          <w:tcPr>
            <w:tcW w:w="1418" w:type="dxa"/>
            <w:vAlign w:val="center"/>
          </w:tcPr>
          <w:p w14:paraId="78F9C489" w14:textId="77777777" w:rsidR="009F7F8A" w:rsidRPr="00C07B2E" w:rsidRDefault="009F7F8A" w:rsidP="009F7F8A">
            <w:pPr>
              <w:rPr>
                <w:rFonts w:eastAsia="SimSun"/>
              </w:rPr>
            </w:pPr>
            <w:r w:rsidRPr="00C07B2E">
              <w:rPr>
                <w:rFonts w:eastAsia="SimSun"/>
              </w:rPr>
              <w:t>180 мг/м</w:t>
            </w:r>
            <w:r w:rsidRPr="000F445E">
              <w:rPr>
                <w:rFonts w:eastAsia="SimSun"/>
                <w:vertAlign w:val="superscript"/>
              </w:rPr>
              <w:t>2</w:t>
            </w:r>
          </w:p>
        </w:tc>
        <w:tc>
          <w:tcPr>
            <w:tcW w:w="1701" w:type="dxa"/>
            <w:vAlign w:val="center"/>
          </w:tcPr>
          <w:p w14:paraId="20F5B2FC" w14:textId="77777777" w:rsidR="009F7F8A" w:rsidRPr="00C07B2E" w:rsidRDefault="009F7F8A" w:rsidP="009F7F8A">
            <w:pPr>
              <w:rPr>
                <w:rFonts w:eastAsia="SimSun"/>
              </w:rPr>
            </w:pPr>
            <w:r w:rsidRPr="00C07B2E">
              <w:rPr>
                <w:rFonts w:eastAsia="SimSun"/>
              </w:rPr>
              <w:t>С -7 дня по -2 день</w:t>
            </w:r>
          </w:p>
        </w:tc>
        <w:tc>
          <w:tcPr>
            <w:tcW w:w="2268" w:type="dxa"/>
            <w:vAlign w:val="center"/>
          </w:tcPr>
          <w:p w14:paraId="0CE020BA" w14:textId="77777777" w:rsidR="009F7F8A" w:rsidRPr="00C07B2E" w:rsidRDefault="009F7F8A" w:rsidP="009F7F8A">
            <w:pPr>
              <w:rPr>
                <w:rFonts w:eastAsia="SimSun"/>
              </w:rPr>
            </w:pPr>
            <w:r w:rsidRPr="00C07B2E">
              <w:rPr>
                <w:rFonts w:eastAsia="SimSun"/>
              </w:rPr>
              <w:t>В/в, в течение 30 - 60 мин</w:t>
            </w:r>
          </w:p>
        </w:tc>
      </w:tr>
      <w:tr w:rsidR="009F7F8A" w:rsidRPr="00C07B2E" w14:paraId="767F0201" w14:textId="77777777" w:rsidTr="009F7F8A">
        <w:trPr>
          <w:cantSplit/>
          <w:trHeight w:val="1207"/>
        </w:trPr>
        <w:tc>
          <w:tcPr>
            <w:tcW w:w="992" w:type="dxa"/>
            <w:vMerge/>
            <w:vAlign w:val="center"/>
          </w:tcPr>
          <w:p w14:paraId="72904105" w14:textId="77777777" w:rsidR="009F7F8A" w:rsidRPr="00C07B2E" w:rsidRDefault="009F7F8A" w:rsidP="009F7F8A">
            <w:pPr>
              <w:rPr>
                <w:rFonts w:eastAsia="SimSun"/>
              </w:rPr>
            </w:pPr>
          </w:p>
        </w:tc>
        <w:tc>
          <w:tcPr>
            <w:tcW w:w="1810" w:type="dxa"/>
            <w:vAlign w:val="center"/>
          </w:tcPr>
          <w:p w14:paraId="231B4FE9" w14:textId="77777777" w:rsidR="009F7F8A" w:rsidRPr="00C07B2E" w:rsidRDefault="009F7F8A" w:rsidP="009F7F8A">
            <w:pPr>
              <w:rPr>
                <w:rFonts w:eastAsia="SimSun"/>
              </w:rPr>
            </w:pPr>
            <w:r w:rsidRPr="00C07B2E">
              <w:rPr>
                <w:rFonts w:eastAsia="SimSun"/>
              </w:rPr>
              <w:t>Бусульфан</w:t>
            </w:r>
          </w:p>
        </w:tc>
        <w:tc>
          <w:tcPr>
            <w:tcW w:w="1417" w:type="dxa"/>
            <w:vAlign w:val="center"/>
          </w:tcPr>
          <w:p w14:paraId="69D5511E" w14:textId="77777777" w:rsidR="009F7F8A" w:rsidRPr="00C07B2E" w:rsidRDefault="009F7F8A" w:rsidP="009F7F8A">
            <w:pPr>
              <w:rPr>
                <w:rFonts w:eastAsia="SimSun"/>
              </w:rPr>
            </w:pPr>
            <w:r w:rsidRPr="00C07B2E">
              <w:rPr>
                <w:rFonts w:eastAsia="SimSun"/>
              </w:rPr>
              <w:t xml:space="preserve">4 мг/кг </w:t>
            </w:r>
          </w:p>
        </w:tc>
        <w:tc>
          <w:tcPr>
            <w:tcW w:w="1418" w:type="dxa"/>
            <w:vAlign w:val="center"/>
          </w:tcPr>
          <w:p w14:paraId="3795E3EF" w14:textId="77777777" w:rsidR="009F7F8A" w:rsidRPr="00C07B2E" w:rsidRDefault="009F7F8A" w:rsidP="009F7F8A">
            <w:pPr>
              <w:rPr>
                <w:rFonts w:eastAsia="SimSun"/>
              </w:rPr>
            </w:pPr>
            <w:r w:rsidRPr="00C07B2E">
              <w:rPr>
                <w:rFonts w:eastAsia="SimSun"/>
                <w:lang w:val="en-US"/>
              </w:rPr>
              <w:t>14</w:t>
            </w:r>
            <w:r w:rsidRPr="00C07B2E">
              <w:rPr>
                <w:rFonts w:eastAsia="SimSun"/>
              </w:rPr>
              <w:t xml:space="preserve"> мг/кг </w:t>
            </w:r>
          </w:p>
        </w:tc>
        <w:tc>
          <w:tcPr>
            <w:tcW w:w="1701" w:type="dxa"/>
            <w:vAlign w:val="center"/>
          </w:tcPr>
          <w:p w14:paraId="0C562138" w14:textId="77777777" w:rsidR="009F7F8A" w:rsidRPr="00C07B2E" w:rsidRDefault="009F7F8A" w:rsidP="009F7F8A">
            <w:pPr>
              <w:rPr>
                <w:rFonts w:eastAsia="SimSun"/>
              </w:rPr>
            </w:pPr>
            <w:r w:rsidRPr="00C07B2E">
              <w:rPr>
                <w:rFonts w:eastAsia="SimSun"/>
              </w:rPr>
              <w:t>С -</w:t>
            </w:r>
            <w:r w:rsidRPr="00C07B2E">
              <w:rPr>
                <w:rFonts w:eastAsia="SimSun"/>
                <w:lang w:val="en-US"/>
              </w:rPr>
              <w:t>6</w:t>
            </w:r>
            <w:r w:rsidRPr="00C07B2E">
              <w:rPr>
                <w:rFonts w:eastAsia="SimSun"/>
              </w:rPr>
              <w:t xml:space="preserve"> дня по -3 день</w:t>
            </w:r>
          </w:p>
        </w:tc>
        <w:tc>
          <w:tcPr>
            <w:tcW w:w="2268" w:type="dxa"/>
            <w:vAlign w:val="center"/>
          </w:tcPr>
          <w:p w14:paraId="5F450934" w14:textId="77777777" w:rsidR="009F7F8A" w:rsidRPr="00C07B2E" w:rsidRDefault="009F7F8A" w:rsidP="009F7F8A">
            <w:pPr>
              <w:rPr>
                <w:rFonts w:eastAsia="SimSun"/>
              </w:rPr>
            </w:pPr>
            <w:r w:rsidRPr="00C07B2E">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C07B2E" w14:paraId="0F02BBB8" w14:textId="77777777" w:rsidTr="009F7F8A">
        <w:trPr>
          <w:cantSplit/>
          <w:trHeight w:val="424"/>
        </w:trPr>
        <w:tc>
          <w:tcPr>
            <w:tcW w:w="992" w:type="dxa"/>
            <w:vMerge w:val="restart"/>
            <w:textDirection w:val="btLr"/>
            <w:vAlign w:val="center"/>
          </w:tcPr>
          <w:p w14:paraId="017CD2B5" w14:textId="77777777" w:rsidR="009F7F8A" w:rsidRPr="00C07B2E" w:rsidRDefault="009F7F8A" w:rsidP="009F7F8A">
            <w:pPr>
              <w:rPr>
                <w:rFonts w:eastAsia="SimSun"/>
              </w:rPr>
            </w:pPr>
            <w:r w:rsidRPr="00C07B2E">
              <w:rPr>
                <w:rFonts w:eastAsia="SimSun"/>
              </w:rPr>
              <w:t>Профилактика РТПХ</w:t>
            </w:r>
          </w:p>
        </w:tc>
        <w:tc>
          <w:tcPr>
            <w:tcW w:w="1810" w:type="dxa"/>
            <w:vAlign w:val="center"/>
          </w:tcPr>
          <w:p w14:paraId="2CAC246D" w14:textId="77777777" w:rsidR="009F7F8A" w:rsidRPr="00C07B2E" w:rsidRDefault="009F7F8A" w:rsidP="009F7F8A">
            <w:pPr>
              <w:rPr>
                <w:rFonts w:eastAsia="SimSun"/>
              </w:rPr>
            </w:pPr>
            <w:r w:rsidRPr="00C07B2E">
              <w:rPr>
                <w:rFonts w:eastAsia="SimSun"/>
              </w:rPr>
              <w:t>Циклофосфамид</w:t>
            </w:r>
          </w:p>
        </w:tc>
        <w:tc>
          <w:tcPr>
            <w:tcW w:w="1417" w:type="dxa"/>
            <w:vAlign w:val="center"/>
          </w:tcPr>
          <w:p w14:paraId="62FE25B1" w14:textId="77777777" w:rsidR="009F7F8A" w:rsidRPr="00C07B2E" w:rsidRDefault="009F7F8A" w:rsidP="009F7F8A">
            <w:pPr>
              <w:rPr>
                <w:rFonts w:eastAsia="SimSun"/>
              </w:rPr>
            </w:pPr>
            <w:r w:rsidRPr="00C07B2E">
              <w:rPr>
                <w:rFonts w:eastAsia="SimSun"/>
              </w:rPr>
              <w:t>50 мг/кг</w:t>
            </w:r>
          </w:p>
        </w:tc>
        <w:tc>
          <w:tcPr>
            <w:tcW w:w="1418" w:type="dxa"/>
            <w:vAlign w:val="center"/>
          </w:tcPr>
          <w:p w14:paraId="4AF8D034" w14:textId="77777777" w:rsidR="009F7F8A" w:rsidRPr="00C07B2E" w:rsidRDefault="009F7F8A" w:rsidP="009F7F8A">
            <w:pPr>
              <w:rPr>
                <w:rFonts w:eastAsia="SimSun"/>
              </w:rPr>
            </w:pPr>
            <w:r w:rsidRPr="00C07B2E">
              <w:rPr>
                <w:rFonts w:eastAsia="SimSun"/>
              </w:rPr>
              <w:t>100 мг/кг</w:t>
            </w:r>
          </w:p>
        </w:tc>
        <w:tc>
          <w:tcPr>
            <w:tcW w:w="1701" w:type="dxa"/>
            <w:vAlign w:val="center"/>
          </w:tcPr>
          <w:p w14:paraId="46583567" w14:textId="77777777" w:rsidR="009F7F8A" w:rsidRPr="00C07B2E" w:rsidRDefault="009F7F8A" w:rsidP="009F7F8A">
            <w:pPr>
              <w:rPr>
                <w:rFonts w:eastAsia="SimSun"/>
              </w:rPr>
            </w:pPr>
            <w:r w:rsidRPr="00C07B2E">
              <w:rPr>
                <w:rFonts w:eastAsia="SimSun"/>
              </w:rPr>
              <w:t>В +3 день  и +5 день</w:t>
            </w:r>
          </w:p>
        </w:tc>
        <w:tc>
          <w:tcPr>
            <w:tcW w:w="2268" w:type="dxa"/>
            <w:vAlign w:val="center"/>
          </w:tcPr>
          <w:p w14:paraId="41059A71" w14:textId="77777777" w:rsidR="009F7F8A" w:rsidRPr="00C07B2E" w:rsidRDefault="009F7F8A" w:rsidP="009F7F8A">
            <w:pPr>
              <w:rPr>
                <w:rFonts w:eastAsia="SimSun"/>
              </w:rPr>
            </w:pPr>
            <w:r w:rsidRPr="00C07B2E">
              <w:rPr>
                <w:rFonts w:eastAsia="SimSun"/>
              </w:rPr>
              <w:t xml:space="preserve">В/в, в течение 2 ч  </w:t>
            </w:r>
          </w:p>
        </w:tc>
      </w:tr>
      <w:tr w:rsidR="009F7F8A" w:rsidRPr="00C07B2E" w14:paraId="1C852C23" w14:textId="77777777" w:rsidTr="009F7F8A">
        <w:trPr>
          <w:cantSplit/>
          <w:trHeight w:val="958"/>
        </w:trPr>
        <w:tc>
          <w:tcPr>
            <w:tcW w:w="992" w:type="dxa"/>
            <w:vMerge/>
            <w:textDirection w:val="btLr"/>
            <w:vAlign w:val="center"/>
          </w:tcPr>
          <w:p w14:paraId="76E82D13" w14:textId="77777777" w:rsidR="009F7F8A" w:rsidRPr="00C07B2E" w:rsidRDefault="009F7F8A" w:rsidP="009F7F8A">
            <w:pPr>
              <w:rPr>
                <w:rFonts w:eastAsia="SimSun"/>
              </w:rPr>
            </w:pPr>
          </w:p>
        </w:tc>
        <w:tc>
          <w:tcPr>
            <w:tcW w:w="1810" w:type="dxa"/>
            <w:vAlign w:val="center"/>
          </w:tcPr>
          <w:p w14:paraId="44162AB0" w14:textId="77777777" w:rsidR="009F7F8A" w:rsidRPr="00C07B2E" w:rsidRDefault="009F7F8A" w:rsidP="009F7F8A">
            <w:pPr>
              <w:rPr>
                <w:rFonts w:eastAsia="SimSun"/>
              </w:rPr>
            </w:pPr>
            <w:r w:rsidRPr="00C07B2E">
              <w:rPr>
                <w:rFonts w:eastAsia="SimSun"/>
              </w:rPr>
              <w:t>Микофенолата мофетил</w:t>
            </w:r>
          </w:p>
        </w:tc>
        <w:tc>
          <w:tcPr>
            <w:tcW w:w="1417" w:type="dxa"/>
            <w:vAlign w:val="center"/>
          </w:tcPr>
          <w:p w14:paraId="21707449" w14:textId="77777777" w:rsidR="009F7F8A" w:rsidRPr="00C07B2E" w:rsidRDefault="009F7F8A" w:rsidP="009F7F8A">
            <w:pPr>
              <w:rPr>
                <w:rFonts w:eastAsia="SimSun"/>
              </w:rPr>
            </w:pPr>
            <w:r w:rsidRPr="00C07B2E">
              <w:rPr>
                <w:rFonts w:eastAsia="SimSun"/>
              </w:rPr>
              <w:t xml:space="preserve">30 мг/кг </w:t>
            </w:r>
          </w:p>
        </w:tc>
        <w:tc>
          <w:tcPr>
            <w:tcW w:w="1418" w:type="dxa"/>
            <w:vAlign w:val="center"/>
          </w:tcPr>
          <w:p w14:paraId="7229DFE5" w14:textId="77777777" w:rsidR="009F7F8A" w:rsidRPr="00C07B2E" w:rsidRDefault="009F7F8A" w:rsidP="009F7F8A">
            <w:pPr>
              <w:rPr>
                <w:rFonts w:eastAsia="SimSun"/>
              </w:rPr>
            </w:pPr>
            <w:r w:rsidRPr="00C07B2E">
              <w:rPr>
                <w:rFonts w:eastAsia="SimSun"/>
              </w:rPr>
              <w:t>–</w:t>
            </w:r>
          </w:p>
        </w:tc>
        <w:tc>
          <w:tcPr>
            <w:tcW w:w="1701" w:type="dxa"/>
            <w:vAlign w:val="center"/>
          </w:tcPr>
          <w:p w14:paraId="4B7F4A0E" w14:textId="77777777" w:rsidR="009F7F8A" w:rsidRPr="00C07B2E" w:rsidRDefault="009F7F8A" w:rsidP="009F7F8A">
            <w:pPr>
              <w:rPr>
                <w:rFonts w:eastAsia="SimSun"/>
              </w:rPr>
            </w:pPr>
            <w:r w:rsidRPr="00C07B2E">
              <w:rPr>
                <w:rFonts w:eastAsia="SimSun"/>
              </w:rPr>
              <w:t xml:space="preserve">С +1 дня по +28 день </w:t>
            </w:r>
          </w:p>
        </w:tc>
        <w:tc>
          <w:tcPr>
            <w:tcW w:w="2268" w:type="dxa"/>
            <w:vAlign w:val="center"/>
          </w:tcPr>
          <w:p w14:paraId="6D48CA48" w14:textId="77777777" w:rsidR="009F7F8A" w:rsidRPr="00C07B2E" w:rsidRDefault="009F7F8A" w:rsidP="009F7F8A">
            <w:pPr>
              <w:rPr>
                <w:rFonts w:eastAsia="SimSun"/>
              </w:rPr>
            </w:pPr>
            <w:r w:rsidRPr="00C07B2E">
              <w:rPr>
                <w:rFonts w:eastAsia="SimSun"/>
              </w:rPr>
              <w:t>Внутрь, суммарная суточная доза разделяется на 2- 4 приема (не более 3г/сут).</w:t>
            </w:r>
          </w:p>
        </w:tc>
      </w:tr>
      <w:tr w:rsidR="009F7F8A" w:rsidRPr="000F445E" w14:paraId="525E2E2F" w14:textId="77777777" w:rsidTr="009F7F8A">
        <w:trPr>
          <w:cantSplit/>
          <w:trHeight w:val="958"/>
        </w:trPr>
        <w:tc>
          <w:tcPr>
            <w:tcW w:w="992" w:type="dxa"/>
            <w:vMerge/>
            <w:textDirection w:val="btLr"/>
            <w:vAlign w:val="center"/>
          </w:tcPr>
          <w:p w14:paraId="3BFAF77B" w14:textId="77777777" w:rsidR="009F7F8A" w:rsidRPr="00C07B2E" w:rsidRDefault="009F7F8A" w:rsidP="009F7F8A">
            <w:pPr>
              <w:rPr>
                <w:rFonts w:eastAsia="SimSun"/>
              </w:rPr>
            </w:pPr>
          </w:p>
        </w:tc>
        <w:tc>
          <w:tcPr>
            <w:tcW w:w="1810" w:type="dxa"/>
            <w:vAlign w:val="center"/>
          </w:tcPr>
          <w:p w14:paraId="25F50F70" w14:textId="77777777" w:rsidR="009F7F8A" w:rsidRPr="00C07B2E" w:rsidRDefault="009F7F8A" w:rsidP="009F7F8A">
            <w:pPr>
              <w:rPr>
                <w:rFonts w:eastAsia="SimSun"/>
              </w:rPr>
            </w:pPr>
            <w:r w:rsidRPr="00C07B2E">
              <w:rPr>
                <w:rFonts w:eastAsia="SimSun"/>
              </w:rPr>
              <w:t>Циклоспорин А</w:t>
            </w:r>
          </w:p>
        </w:tc>
        <w:tc>
          <w:tcPr>
            <w:tcW w:w="1417" w:type="dxa"/>
            <w:vAlign w:val="center"/>
          </w:tcPr>
          <w:p w14:paraId="455E08CA" w14:textId="77777777" w:rsidR="009F7F8A" w:rsidRPr="00C07B2E" w:rsidRDefault="009F7F8A" w:rsidP="009F7F8A">
            <w:pPr>
              <w:rPr>
                <w:rFonts w:eastAsia="SimSun"/>
              </w:rPr>
            </w:pPr>
            <w:r w:rsidRPr="00C07B2E">
              <w:rPr>
                <w:rFonts w:eastAsia="SimSun"/>
              </w:rPr>
              <w:t>3 мг/кг</w:t>
            </w:r>
          </w:p>
        </w:tc>
        <w:tc>
          <w:tcPr>
            <w:tcW w:w="1418" w:type="dxa"/>
            <w:vAlign w:val="center"/>
          </w:tcPr>
          <w:p w14:paraId="438403B3" w14:textId="77777777" w:rsidR="009F7F8A" w:rsidRPr="00C07B2E" w:rsidRDefault="009F7F8A" w:rsidP="009F7F8A">
            <w:pPr>
              <w:rPr>
                <w:rFonts w:eastAsia="SimSun"/>
              </w:rPr>
            </w:pPr>
            <w:r w:rsidRPr="00C07B2E">
              <w:rPr>
                <w:rFonts w:eastAsia="SimSun"/>
              </w:rPr>
              <w:t>-</w:t>
            </w:r>
          </w:p>
        </w:tc>
        <w:tc>
          <w:tcPr>
            <w:tcW w:w="1701" w:type="dxa"/>
            <w:vAlign w:val="center"/>
          </w:tcPr>
          <w:p w14:paraId="3A8ECD75" w14:textId="77777777" w:rsidR="009F7F8A" w:rsidRPr="00C07B2E" w:rsidRDefault="009F7F8A" w:rsidP="009F7F8A">
            <w:pPr>
              <w:rPr>
                <w:rFonts w:eastAsia="SimSun"/>
              </w:rPr>
            </w:pPr>
            <w:r w:rsidRPr="00C07B2E">
              <w:rPr>
                <w:rFonts w:eastAsia="SimSun"/>
              </w:rPr>
              <w:t xml:space="preserve">С -1 дня по +100 день </w:t>
            </w:r>
          </w:p>
        </w:tc>
        <w:tc>
          <w:tcPr>
            <w:tcW w:w="2268" w:type="dxa"/>
            <w:vAlign w:val="center"/>
          </w:tcPr>
          <w:p w14:paraId="136CDCC5" w14:textId="77777777" w:rsidR="009F7F8A" w:rsidRPr="000F445E" w:rsidRDefault="009F7F8A" w:rsidP="009F7F8A">
            <w:pPr>
              <w:rPr>
                <w:rFonts w:eastAsia="SimSun"/>
              </w:rPr>
            </w:pPr>
            <w:r w:rsidRPr="00C07B2E">
              <w:rPr>
                <w:rFonts w:eastAsia="SimSun"/>
              </w:rPr>
              <w:t xml:space="preserve">В/в, 5-часовая инфузия 2 раза/сут. </w:t>
            </w:r>
            <w:r w:rsidRPr="000F445E">
              <w:rPr>
                <w:rFonts w:eastAsia="SimSun"/>
              </w:rPr>
              <w:t>Перевод на прием внутрь при условии восстановления лейкоцитов &gt; 1</w:t>
            </w:r>
            <w:r>
              <w:rPr>
                <w:rFonts w:eastAsia="SimSun"/>
              </w:rPr>
              <w:t>х 1</w:t>
            </w:r>
            <w:r w:rsidRPr="000F445E">
              <w:rPr>
                <w:rFonts w:eastAsia="SimSun"/>
              </w:rPr>
              <w:t>0</w:t>
            </w:r>
            <w:r w:rsidRPr="000F445E">
              <w:rPr>
                <w:rFonts w:eastAsia="SimSun"/>
                <w:vertAlign w:val="superscript"/>
              </w:rPr>
              <w:t>9</w:t>
            </w:r>
            <w:r w:rsidRPr="000F445E">
              <w:rPr>
                <w:rFonts w:eastAsia="SimSun"/>
              </w:rPr>
              <w:t>/л, при отсутствии тошноты, рвоты, диареи и возможности приема внутрь. Концентрация 150-350пг/мл.</w:t>
            </w:r>
          </w:p>
        </w:tc>
      </w:tr>
    </w:tbl>
    <w:p w14:paraId="021E98E5" w14:textId="77777777" w:rsidR="009F7F8A" w:rsidRPr="00C07B2E" w:rsidRDefault="009F7F8A" w:rsidP="009F7F8A">
      <w:pPr>
        <w:rPr>
          <w:rFonts w:eastAsia="SimSun"/>
        </w:rPr>
      </w:pPr>
    </w:p>
    <w:p w14:paraId="6ADC382B" w14:textId="77777777" w:rsidR="009F7F8A" w:rsidRPr="00C07B2E" w:rsidRDefault="009F7F8A" w:rsidP="009F7F8A">
      <w:pPr>
        <w:rPr>
          <w:rFonts w:eastAsia="SimSun"/>
        </w:rPr>
      </w:pPr>
      <w:bookmarkStart w:id="126" w:name="_Toc44401154"/>
      <w:r w:rsidRPr="00042499">
        <w:rPr>
          <w:rFonts w:eastAsia="SimSun"/>
        </w:rPr>
        <w:t>Таблица</w:t>
      </w:r>
      <w:r w:rsidRPr="00C07B2E">
        <w:rPr>
          <w:rFonts w:eastAsia="SimSun"/>
        </w:rPr>
        <w:t xml:space="preserve"> </w:t>
      </w:r>
      <w:r>
        <w:rPr>
          <w:rFonts w:eastAsia="SimSun"/>
        </w:rPr>
        <w:t>5</w:t>
      </w:r>
      <w:r w:rsidRPr="00C07B2E">
        <w:rPr>
          <w:rFonts w:eastAsia="SimSun"/>
        </w:rPr>
        <w:t>.1.1.11  – Flu180+Bu14 / Tx+MMF30</w:t>
      </w:r>
      <w:bookmarkEnd w:id="12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09"/>
        <w:gridCol w:w="1417"/>
        <w:gridCol w:w="1418"/>
        <w:gridCol w:w="1701"/>
        <w:gridCol w:w="2268"/>
      </w:tblGrid>
      <w:tr w:rsidR="009F7F8A" w:rsidRPr="00C07B2E" w14:paraId="5095E43B" w14:textId="77777777" w:rsidTr="009F7F8A">
        <w:trPr>
          <w:cantSplit/>
          <w:trHeight w:val="20"/>
          <w:tblHeader/>
        </w:trPr>
        <w:tc>
          <w:tcPr>
            <w:tcW w:w="993" w:type="dxa"/>
            <w:vAlign w:val="center"/>
          </w:tcPr>
          <w:p w14:paraId="1D63C58F" w14:textId="77777777" w:rsidR="009F7F8A" w:rsidRPr="00C07B2E" w:rsidRDefault="009F7F8A" w:rsidP="009F7F8A">
            <w:pPr>
              <w:rPr>
                <w:rFonts w:eastAsia="SimSun"/>
              </w:rPr>
            </w:pPr>
          </w:p>
        </w:tc>
        <w:tc>
          <w:tcPr>
            <w:tcW w:w="1809" w:type="dxa"/>
            <w:vAlign w:val="center"/>
          </w:tcPr>
          <w:p w14:paraId="179EB3C7" w14:textId="77777777" w:rsidR="009F7F8A" w:rsidRPr="00C07B2E" w:rsidRDefault="009F7F8A" w:rsidP="009F7F8A">
            <w:pPr>
              <w:rPr>
                <w:rFonts w:eastAsia="SimSun"/>
              </w:rPr>
            </w:pPr>
            <w:r w:rsidRPr="00C07B2E">
              <w:rPr>
                <w:rFonts w:eastAsia="SimSun"/>
              </w:rPr>
              <w:t>Препарат</w:t>
            </w:r>
          </w:p>
        </w:tc>
        <w:tc>
          <w:tcPr>
            <w:tcW w:w="1417" w:type="dxa"/>
            <w:vAlign w:val="center"/>
          </w:tcPr>
          <w:p w14:paraId="3E638EF1" w14:textId="77777777" w:rsidR="009F7F8A" w:rsidRPr="00C07B2E" w:rsidRDefault="009F7F8A" w:rsidP="009F7F8A">
            <w:pPr>
              <w:rPr>
                <w:rFonts w:eastAsia="SimSun"/>
              </w:rPr>
            </w:pPr>
            <w:r w:rsidRPr="00C07B2E">
              <w:rPr>
                <w:rFonts w:eastAsia="SimSun"/>
              </w:rPr>
              <w:t>Суточная доза</w:t>
            </w:r>
          </w:p>
        </w:tc>
        <w:tc>
          <w:tcPr>
            <w:tcW w:w="1418" w:type="dxa"/>
            <w:vAlign w:val="center"/>
          </w:tcPr>
          <w:p w14:paraId="0C6F8F7E" w14:textId="77777777" w:rsidR="009F7F8A" w:rsidRPr="00C07B2E" w:rsidRDefault="009F7F8A" w:rsidP="009F7F8A">
            <w:pPr>
              <w:rPr>
                <w:rFonts w:eastAsia="SimSun"/>
              </w:rPr>
            </w:pPr>
            <w:r w:rsidRPr="00C07B2E">
              <w:rPr>
                <w:rFonts w:eastAsia="SimSun"/>
              </w:rPr>
              <w:t>Курсовая доза</w:t>
            </w:r>
          </w:p>
        </w:tc>
        <w:tc>
          <w:tcPr>
            <w:tcW w:w="1701" w:type="dxa"/>
            <w:vAlign w:val="center"/>
          </w:tcPr>
          <w:p w14:paraId="2EE08361" w14:textId="77777777" w:rsidR="009F7F8A" w:rsidRPr="00C07B2E" w:rsidRDefault="009F7F8A" w:rsidP="009F7F8A">
            <w:pPr>
              <w:rPr>
                <w:rFonts w:eastAsia="SimSun"/>
              </w:rPr>
            </w:pPr>
            <w:r w:rsidRPr="00C07B2E">
              <w:rPr>
                <w:rFonts w:eastAsia="SimSun"/>
              </w:rPr>
              <w:t>Дни введения</w:t>
            </w:r>
          </w:p>
        </w:tc>
        <w:tc>
          <w:tcPr>
            <w:tcW w:w="2268" w:type="dxa"/>
            <w:vAlign w:val="center"/>
          </w:tcPr>
          <w:p w14:paraId="761CF953" w14:textId="77777777" w:rsidR="009F7F8A" w:rsidRPr="00C07B2E" w:rsidRDefault="009F7F8A" w:rsidP="009F7F8A">
            <w:pPr>
              <w:rPr>
                <w:rFonts w:eastAsia="SimSun"/>
              </w:rPr>
            </w:pPr>
            <w:r w:rsidRPr="00C07B2E">
              <w:rPr>
                <w:rFonts w:eastAsia="SimSun"/>
              </w:rPr>
              <w:t>Порядок введения</w:t>
            </w:r>
          </w:p>
        </w:tc>
      </w:tr>
      <w:tr w:rsidR="009F7F8A" w:rsidRPr="00C07B2E" w14:paraId="1297F107" w14:textId="77777777" w:rsidTr="009F7F8A">
        <w:trPr>
          <w:cantSplit/>
          <w:trHeight w:val="20"/>
        </w:trPr>
        <w:tc>
          <w:tcPr>
            <w:tcW w:w="993" w:type="dxa"/>
            <w:vMerge w:val="restart"/>
            <w:textDirection w:val="btLr"/>
            <w:vAlign w:val="center"/>
          </w:tcPr>
          <w:p w14:paraId="216187AC" w14:textId="77777777" w:rsidR="009F7F8A" w:rsidRPr="00C07B2E" w:rsidRDefault="009F7F8A" w:rsidP="009F7F8A">
            <w:pPr>
              <w:rPr>
                <w:rFonts w:eastAsia="SimSun"/>
              </w:rPr>
            </w:pPr>
            <w:r w:rsidRPr="00C07B2E">
              <w:rPr>
                <w:rFonts w:eastAsia="SimSun"/>
              </w:rPr>
              <w:t>Кондиционирование</w:t>
            </w:r>
          </w:p>
        </w:tc>
        <w:tc>
          <w:tcPr>
            <w:tcW w:w="1809" w:type="dxa"/>
            <w:vAlign w:val="center"/>
          </w:tcPr>
          <w:p w14:paraId="359E9BF7" w14:textId="77777777" w:rsidR="009F7F8A" w:rsidRPr="00C07B2E" w:rsidRDefault="009F7F8A" w:rsidP="009F7F8A">
            <w:pPr>
              <w:rPr>
                <w:rFonts w:eastAsia="SimSun"/>
              </w:rPr>
            </w:pPr>
            <w:r w:rsidRPr="00C07B2E">
              <w:rPr>
                <w:rFonts w:eastAsia="SimSun"/>
              </w:rPr>
              <w:t xml:space="preserve">Флударабин </w:t>
            </w:r>
          </w:p>
        </w:tc>
        <w:tc>
          <w:tcPr>
            <w:tcW w:w="1417" w:type="dxa"/>
            <w:vAlign w:val="center"/>
          </w:tcPr>
          <w:p w14:paraId="20D21B57" w14:textId="77777777" w:rsidR="009F7F8A" w:rsidRPr="00C07B2E" w:rsidRDefault="009F7F8A" w:rsidP="009F7F8A">
            <w:pPr>
              <w:rPr>
                <w:rFonts w:eastAsia="SimSun"/>
              </w:rPr>
            </w:pPr>
            <w:r w:rsidRPr="00C07B2E">
              <w:rPr>
                <w:rFonts w:eastAsia="SimSun"/>
              </w:rPr>
              <w:t>30 мг/м</w:t>
            </w:r>
            <w:r w:rsidRPr="000F445E">
              <w:rPr>
                <w:rFonts w:eastAsia="SimSun"/>
                <w:vertAlign w:val="superscript"/>
              </w:rPr>
              <w:t>2</w:t>
            </w:r>
          </w:p>
        </w:tc>
        <w:tc>
          <w:tcPr>
            <w:tcW w:w="1418" w:type="dxa"/>
            <w:vAlign w:val="center"/>
          </w:tcPr>
          <w:p w14:paraId="376F8C75" w14:textId="77777777" w:rsidR="009F7F8A" w:rsidRPr="00C07B2E" w:rsidRDefault="009F7F8A" w:rsidP="009F7F8A">
            <w:pPr>
              <w:rPr>
                <w:rFonts w:eastAsia="SimSun"/>
              </w:rPr>
            </w:pPr>
            <w:r w:rsidRPr="00C07B2E">
              <w:rPr>
                <w:rFonts w:eastAsia="SimSun"/>
              </w:rPr>
              <w:t>180 мг/м</w:t>
            </w:r>
            <w:r w:rsidRPr="000F445E">
              <w:rPr>
                <w:rFonts w:eastAsia="SimSun"/>
                <w:vertAlign w:val="superscript"/>
              </w:rPr>
              <w:t>2</w:t>
            </w:r>
          </w:p>
        </w:tc>
        <w:tc>
          <w:tcPr>
            <w:tcW w:w="1701" w:type="dxa"/>
            <w:vAlign w:val="center"/>
          </w:tcPr>
          <w:p w14:paraId="4D6C32A7" w14:textId="77777777" w:rsidR="009F7F8A" w:rsidRPr="00C07B2E" w:rsidRDefault="009F7F8A" w:rsidP="009F7F8A">
            <w:pPr>
              <w:rPr>
                <w:rFonts w:eastAsia="SimSun"/>
              </w:rPr>
            </w:pPr>
            <w:r w:rsidRPr="00C07B2E">
              <w:rPr>
                <w:rFonts w:eastAsia="SimSun"/>
              </w:rPr>
              <w:t>С -7 дня по -2 день</w:t>
            </w:r>
          </w:p>
        </w:tc>
        <w:tc>
          <w:tcPr>
            <w:tcW w:w="2268" w:type="dxa"/>
            <w:vAlign w:val="center"/>
          </w:tcPr>
          <w:p w14:paraId="4AE01BD1" w14:textId="77777777" w:rsidR="009F7F8A" w:rsidRPr="00C07B2E" w:rsidRDefault="009F7F8A" w:rsidP="009F7F8A">
            <w:pPr>
              <w:rPr>
                <w:rFonts w:eastAsia="SimSun"/>
              </w:rPr>
            </w:pPr>
            <w:r w:rsidRPr="00C07B2E">
              <w:rPr>
                <w:rFonts w:eastAsia="SimSun"/>
              </w:rPr>
              <w:t>В/в, в течение 30 - 60 мин</w:t>
            </w:r>
          </w:p>
        </w:tc>
      </w:tr>
      <w:tr w:rsidR="009F7F8A" w:rsidRPr="00C07B2E" w14:paraId="6ED46B7A" w14:textId="77777777" w:rsidTr="009F7F8A">
        <w:trPr>
          <w:cantSplit/>
          <w:trHeight w:val="1207"/>
        </w:trPr>
        <w:tc>
          <w:tcPr>
            <w:tcW w:w="993" w:type="dxa"/>
            <w:vMerge/>
            <w:vAlign w:val="center"/>
          </w:tcPr>
          <w:p w14:paraId="6A0653AF" w14:textId="77777777" w:rsidR="009F7F8A" w:rsidRPr="00C07B2E" w:rsidRDefault="009F7F8A" w:rsidP="009F7F8A">
            <w:pPr>
              <w:rPr>
                <w:rFonts w:eastAsia="SimSun"/>
              </w:rPr>
            </w:pPr>
          </w:p>
        </w:tc>
        <w:tc>
          <w:tcPr>
            <w:tcW w:w="1809" w:type="dxa"/>
            <w:vAlign w:val="center"/>
          </w:tcPr>
          <w:p w14:paraId="0FC55EFB" w14:textId="77777777" w:rsidR="009F7F8A" w:rsidRPr="00C07B2E" w:rsidRDefault="009F7F8A" w:rsidP="009F7F8A">
            <w:pPr>
              <w:rPr>
                <w:rFonts w:eastAsia="SimSun"/>
              </w:rPr>
            </w:pPr>
            <w:r w:rsidRPr="00C07B2E">
              <w:rPr>
                <w:rFonts w:eastAsia="SimSun"/>
              </w:rPr>
              <w:t>Бусульфан</w:t>
            </w:r>
          </w:p>
        </w:tc>
        <w:tc>
          <w:tcPr>
            <w:tcW w:w="1417" w:type="dxa"/>
            <w:vAlign w:val="center"/>
          </w:tcPr>
          <w:p w14:paraId="21D98712" w14:textId="77777777" w:rsidR="009F7F8A" w:rsidRPr="00C07B2E" w:rsidRDefault="009F7F8A" w:rsidP="009F7F8A">
            <w:pPr>
              <w:rPr>
                <w:rFonts w:eastAsia="SimSun"/>
              </w:rPr>
            </w:pPr>
            <w:r w:rsidRPr="00C07B2E">
              <w:rPr>
                <w:rFonts w:eastAsia="SimSun"/>
              </w:rPr>
              <w:t xml:space="preserve">4 мг/кг </w:t>
            </w:r>
          </w:p>
        </w:tc>
        <w:tc>
          <w:tcPr>
            <w:tcW w:w="1418" w:type="dxa"/>
            <w:vAlign w:val="center"/>
          </w:tcPr>
          <w:p w14:paraId="311F86BF" w14:textId="77777777" w:rsidR="009F7F8A" w:rsidRPr="00C07B2E" w:rsidRDefault="009F7F8A" w:rsidP="009F7F8A">
            <w:pPr>
              <w:rPr>
                <w:rFonts w:eastAsia="SimSun"/>
              </w:rPr>
            </w:pPr>
            <w:r w:rsidRPr="00C07B2E">
              <w:rPr>
                <w:rFonts w:eastAsia="SimSun"/>
                <w:lang w:val="en-US"/>
              </w:rPr>
              <w:t>14</w:t>
            </w:r>
            <w:r w:rsidRPr="00C07B2E">
              <w:rPr>
                <w:rFonts w:eastAsia="SimSun"/>
              </w:rPr>
              <w:t xml:space="preserve"> мг/кг </w:t>
            </w:r>
          </w:p>
        </w:tc>
        <w:tc>
          <w:tcPr>
            <w:tcW w:w="1701" w:type="dxa"/>
            <w:vAlign w:val="center"/>
          </w:tcPr>
          <w:p w14:paraId="2181129F" w14:textId="77777777" w:rsidR="009F7F8A" w:rsidRPr="00C07B2E" w:rsidRDefault="009F7F8A" w:rsidP="009F7F8A">
            <w:pPr>
              <w:rPr>
                <w:rFonts w:eastAsia="SimSun"/>
              </w:rPr>
            </w:pPr>
            <w:r w:rsidRPr="00C07B2E">
              <w:rPr>
                <w:rFonts w:eastAsia="SimSun"/>
              </w:rPr>
              <w:t>С -</w:t>
            </w:r>
            <w:r w:rsidRPr="00C07B2E">
              <w:rPr>
                <w:rFonts w:eastAsia="SimSun"/>
                <w:lang w:val="en-US"/>
              </w:rPr>
              <w:t>6</w:t>
            </w:r>
            <w:r w:rsidRPr="00C07B2E">
              <w:rPr>
                <w:rFonts w:eastAsia="SimSun"/>
              </w:rPr>
              <w:t xml:space="preserve"> дня по -3 день</w:t>
            </w:r>
          </w:p>
        </w:tc>
        <w:tc>
          <w:tcPr>
            <w:tcW w:w="2268" w:type="dxa"/>
            <w:vAlign w:val="center"/>
          </w:tcPr>
          <w:p w14:paraId="6FB4314E" w14:textId="77777777" w:rsidR="009F7F8A" w:rsidRPr="00C07B2E" w:rsidRDefault="009F7F8A" w:rsidP="009F7F8A">
            <w:pPr>
              <w:rPr>
                <w:rFonts w:eastAsia="SimSun"/>
              </w:rPr>
            </w:pPr>
            <w:r w:rsidRPr="00C07B2E">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0F445E" w14:paraId="77EA0878" w14:textId="77777777" w:rsidTr="009F7F8A">
        <w:trPr>
          <w:cantSplit/>
          <w:trHeight w:val="1498"/>
        </w:trPr>
        <w:tc>
          <w:tcPr>
            <w:tcW w:w="993" w:type="dxa"/>
            <w:vMerge w:val="restart"/>
            <w:textDirection w:val="btLr"/>
            <w:vAlign w:val="center"/>
          </w:tcPr>
          <w:p w14:paraId="662C281F" w14:textId="77777777" w:rsidR="009F7F8A" w:rsidRPr="00C07B2E" w:rsidRDefault="009F7F8A" w:rsidP="009F7F8A">
            <w:pPr>
              <w:rPr>
                <w:rFonts w:eastAsia="SimSun"/>
              </w:rPr>
            </w:pPr>
            <w:r w:rsidRPr="00C07B2E">
              <w:rPr>
                <w:rFonts w:eastAsia="SimSun"/>
              </w:rPr>
              <w:lastRenderedPageBreak/>
              <w:t>Профилактика РТПХ</w:t>
            </w:r>
          </w:p>
        </w:tc>
        <w:tc>
          <w:tcPr>
            <w:tcW w:w="1809" w:type="dxa"/>
            <w:vAlign w:val="center"/>
          </w:tcPr>
          <w:p w14:paraId="470C1064" w14:textId="77777777" w:rsidR="009F7F8A" w:rsidRPr="00C07B2E" w:rsidRDefault="009F7F8A" w:rsidP="009F7F8A">
            <w:pPr>
              <w:rPr>
                <w:rFonts w:eastAsia="SimSun"/>
              </w:rPr>
            </w:pPr>
            <w:r w:rsidRPr="00C07B2E">
              <w:rPr>
                <w:rFonts w:eastAsia="SimSun"/>
              </w:rPr>
              <w:t xml:space="preserve">Такролимус </w:t>
            </w:r>
          </w:p>
        </w:tc>
        <w:tc>
          <w:tcPr>
            <w:tcW w:w="1417" w:type="dxa"/>
            <w:vAlign w:val="center"/>
          </w:tcPr>
          <w:p w14:paraId="34DDB215" w14:textId="77777777" w:rsidR="009F7F8A" w:rsidRPr="00C07B2E" w:rsidRDefault="009F7F8A" w:rsidP="009F7F8A">
            <w:pPr>
              <w:rPr>
                <w:rFonts w:eastAsia="SimSun"/>
              </w:rPr>
            </w:pPr>
            <w:r w:rsidRPr="00C07B2E">
              <w:rPr>
                <w:rFonts w:eastAsia="SimSun"/>
              </w:rPr>
              <w:t>0,03 мг/кг</w:t>
            </w:r>
          </w:p>
        </w:tc>
        <w:tc>
          <w:tcPr>
            <w:tcW w:w="1418" w:type="dxa"/>
            <w:vAlign w:val="center"/>
          </w:tcPr>
          <w:p w14:paraId="38059CBB" w14:textId="77777777" w:rsidR="009F7F8A" w:rsidRPr="00C07B2E" w:rsidRDefault="009F7F8A" w:rsidP="009F7F8A">
            <w:pPr>
              <w:rPr>
                <w:rFonts w:eastAsia="SimSun"/>
              </w:rPr>
            </w:pPr>
            <w:r w:rsidRPr="00C07B2E">
              <w:rPr>
                <w:rFonts w:eastAsia="SimSun"/>
              </w:rPr>
              <w:t>–</w:t>
            </w:r>
          </w:p>
        </w:tc>
        <w:tc>
          <w:tcPr>
            <w:tcW w:w="1701" w:type="dxa"/>
            <w:vAlign w:val="center"/>
          </w:tcPr>
          <w:p w14:paraId="4A5A8840" w14:textId="77777777" w:rsidR="009F7F8A" w:rsidRPr="00C07B2E" w:rsidRDefault="009F7F8A" w:rsidP="009F7F8A">
            <w:pPr>
              <w:rPr>
                <w:rFonts w:eastAsia="SimSun"/>
              </w:rPr>
            </w:pPr>
            <w:r w:rsidRPr="00C07B2E">
              <w:rPr>
                <w:rFonts w:eastAsia="SimSun"/>
              </w:rPr>
              <w:t xml:space="preserve">С +5 дня длительно </w:t>
            </w:r>
          </w:p>
        </w:tc>
        <w:tc>
          <w:tcPr>
            <w:tcW w:w="2268" w:type="dxa"/>
            <w:vAlign w:val="center"/>
          </w:tcPr>
          <w:p w14:paraId="0E29E2AF" w14:textId="77777777" w:rsidR="009F7F8A" w:rsidRPr="000F445E" w:rsidRDefault="009F7F8A" w:rsidP="009F7F8A">
            <w:pPr>
              <w:rPr>
                <w:rFonts w:eastAsia="SimSun"/>
              </w:rPr>
            </w:pPr>
            <w:r w:rsidRPr="00C07B2E">
              <w:rPr>
                <w:rFonts w:eastAsia="SimSun"/>
              </w:rPr>
              <w:t xml:space="preserve">В/в инфузия в течение 24 ч с последующей коррекцией суточной дозы по концентрации. </w:t>
            </w:r>
            <w:r w:rsidRPr="000F445E">
              <w:rPr>
                <w:rFonts w:eastAsia="SimSun"/>
              </w:rPr>
              <w:t xml:space="preserve">Перевод на прием внутрь при условии восстановления лейкоцитов &gt; 1 </w:t>
            </w:r>
            <w:r>
              <w:rPr>
                <w:rFonts w:eastAsia="SimSun"/>
              </w:rPr>
              <w:t xml:space="preserve">х </w:t>
            </w:r>
            <w:r w:rsidRPr="000F445E">
              <w:rPr>
                <w:rFonts w:eastAsia="SimSun"/>
              </w:rPr>
              <w:t>10</w:t>
            </w:r>
            <w:r w:rsidRPr="000F445E">
              <w:rPr>
                <w:rFonts w:eastAsia="SimSun"/>
                <w:vertAlign w:val="superscript"/>
              </w:rPr>
              <w:t>9</w:t>
            </w:r>
            <w:r w:rsidRPr="000F445E">
              <w:rPr>
                <w:rFonts w:eastAsia="SimSun"/>
              </w:rPr>
              <w:t xml:space="preserve">/л, при отсутствии тошноты, рвоты, диареи и возможности приема внутрь. Концентрация </w:t>
            </w:r>
            <w:r w:rsidRPr="00C07B2E">
              <w:rPr>
                <w:rFonts w:eastAsia="SimSun"/>
              </w:rPr>
              <w:t>Tx</w:t>
            </w:r>
            <w:r w:rsidRPr="000F445E">
              <w:rPr>
                <w:rFonts w:eastAsia="SimSun"/>
              </w:rPr>
              <w:t xml:space="preserve"> 5-15 нг/мл.    </w:t>
            </w:r>
          </w:p>
        </w:tc>
      </w:tr>
      <w:tr w:rsidR="009F7F8A" w:rsidRPr="00C07B2E" w14:paraId="5E5FDCEB" w14:textId="77777777" w:rsidTr="009F7F8A">
        <w:trPr>
          <w:cantSplit/>
          <w:trHeight w:val="805"/>
        </w:trPr>
        <w:tc>
          <w:tcPr>
            <w:tcW w:w="993" w:type="dxa"/>
            <w:vMerge/>
            <w:textDirection w:val="btLr"/>
            <w:vAlign w:val="center"/>
          </w:tcPr>
          <w:p w14:paraId="6853ECEF" w14:textId="77777777" w:rsidR="009F7F8A" w:rsidRPr="000F445E" w:rsidRDefault="009F7F8A" w:rsidP="009F7F8A">
            <w:pPr>
              <w:rPr>
                <w:rFonts w:eastAsia="SimSun"/>
              </w:rPr>
            </w:pPr>
          </w:p>
        </w:tc>
        <w:tc>
          <w:tcPr>
            <w:tcW w:w="1809" w:type="dxa"/>
            <w:vAlign w:val="center"/>
          </w:tcPr>
          <w:p w14:paraId="76B58B13" w14:textId="77777777" w:rsidR="009F7F8A" w:rsidRPr="00C07B2E" w:rsidRDefault="009F7F8A" w:rsidP="009F7F8A">
            <w:pPr>
              <w:rPr>
                <w:rFonts w:eastAsia="SimSun"/>
              </w:rPr>
            </w:pPr>
            <w:r w:rsidRPr="00C07B2E">
              <w:rPr>
                <w:rFonts w:eastAsia="SimSun"/>
              </w:rPr>
              <w:t>Микофенолата мофетил</w:t>
            </w:r>
          </w:p>
        </w:tc>
        <w:tc>
          <w:tcPr>
            <w:tcW w:w="1417" w:type="dxa"/>
            <w:vAlign w:val="center"/>
          </w:tcPr>
          <w:p w14:paraId="2DA55A94" w14:textId="77777777" w:rsidR="009F7F8A" w:rsidRPr="00C07B2E" w:rsidRDefault="009F7F8A" w:rsidP="009F7F8A">
            <w:pPr>
              <w:rPr>
                <w:rFonts w:eastAsia="SimSun"/>
              </w:rPr>
            </w:pPr>
            <w:r w:rsidRPr="00C07B2E">
              <w:rPr>
                <w:rFonts w:eastAsia="SimSun"/>
              </w:rPr>
              <w:t xml:space="preserve">30 мг/кг </w:t>
            </w:r>
          </w:p>
        </w:tc>
        <w:tc>
          <w:tcPr>
            <w:tcW w:w="1418" w:type="dxa"/>
            <w:vAlign w:val="center"/>
          </w:tcPr>
          <w:p w14:paraId="3B90B137" w14:textId="77777777" w:rsidR="009F7F8A" w:rsidRPr="00C07B2E" w:rsidRDefault="009F7F8A" w:rsidP="009F7F8A">
            <w:pPr>
              <w:rPr>
                <w:rFonts w:eastAsia="SimSun"/>
              </w:rPr>
            </w:pPr>
            <w:r w:rsidRPr="00C07B2E">
              <w:rPr>
                <w:rFonts w:eastAsia="SimSun"/>
              </w:rPr>
              <w:t>–</w:t>
            </w:r>
          </w:p>
        </w:tc>
        <w:tc>
          <w:tcPr>
            <w:tcW w:w="1701" w:type="dxa"/>
            <w:vAlign w:val="center"/>
          </w:tcPr>
          <w:p w14:paraId="38EB4F77" w14:textId="77777777" w:rsidR="009F7F8A" w:rsidRPr="00C07B2E" w:rsidRDefault="009F7F8A" w:rsidP="009F7F8A">
            <w:pPr>
              <w:rPr>
                <w:rFonts w:eastAsia="SimSun"/>
              </w:rPr>
            </w:pPr>
            <w:r w:rsidRPr="00C07B2E">
              <w:rPr>
                <w:rFonts w:eastAsia="SimSun"/>
              </w:rPr>
              <w:t xml:space="preserve">С +5 дня по +35 день </w:t>
            </w:r>
          </w:p>
        </w:tc>
        <w:tc>
          <w:tcPr>
            <w:tcW w:w="2268" w:type="dxa"/>
            <w:vAlign w:val="center"/>
          </w:tcPr>
          <w:p w14:paraId="365462D2" w14:textId="77777777" w:rsidR="009F7F8A" w:rsidRPr="000F445E" w:rsidRDefault="009F7F8A" w:rsidP="009F7F8A">
            <w:pPr>
              <w:rPr>
                <w:rFonts w:eastAsia="SimSun"/>
              </w:rPr>
            </w:pPr>
            <w:r w:rsidRPr="000F445E">
              <w:rPr>
                <w:rFonts w:eastAsia="SimSun"/>
              </w:rPr>
              <w:t>Внутрь, суммарная суточная доза разделяется на 2- 4 приема (не более 3</w:t>
            </w:r>
            <w:r>
              <w:rPr>
                <w:rFonts w:eastAsia="SimSun"/>
              </w:rPr>
              <w:t xml:space="preserve"> </w:t>
            </w:r>
            <w:r w:rsidRPr="000F445E">
              <w:rPr>
                <w:rFonts w:eastAsia="SimSun"/>
              </w:rPr>
              <w:t>г/сут).</w:t>
            </w:r>
          </w:p>
        </w:tc>
      </w:tr>
    </w:tbl>
    <w:p w14:paraId="1EAAF9EA" w14:textId="77777777" w:rsidR="009F7F8A" w:rsidRPr="00C07B2E" w:rsidRDefault="009F7F8A" w:rsidP="009F7F8A">
      <w:pPr>
        <w:rPr>
          <w:rFonts w:eastAsia="SimSun"/>
        </w:rPr>
      </w:pPr>
    </w:p>
    <w:p w14:paraId="204257FB" w14:textId="77777777" w:rsidR="009F7F8A" w:rsidRPr="00C07B2E" w:rsidRDefault="009F7F8A" w:rsidP="009F7F8A">
      <w:pPr>
        <w:rPr>
          <w:rFonts w:eastAsia="SimSun"/>
        </w:rPr>
      </w:pPr>
      <w:bookmarkStart w:id="127" w:name="_Toc44401155"/>
      <w:r w:rsidRPr="00042499">
        <w:rPr>
          <w:rFonts w:eastAsia="SimSun"/>
        </w:rPr>
        <w:t>Таблица</w:t>
      </w:r>
      <w:r w:rsidRPr="00C07B2E">
        <w:rPr>
          <w:rFonts w:eastAsia="SimSun"/>
        </w:rPr>
        <w:t xml:space="preserve"> </w:t>
      </w:r>
      <w:r>
        <w:rPr>
          <w:rFonts w:eastAsia="SimSun"/>
        </w:rPr>
        <w:t>5</w:t>
      </w:r>
      <w:r w:rsidRPr="00C07B2E">
        <w:rPr>
          <w:rFonts w:eastAsia="SimSun"/>
        </w:rPr>
        <w:t>.1.1.12  – Flu180+Treo42 / PT-Cy+Tx+MMF30</w:t>
      </w:r>
      <w:bookmarkEnd w:id="12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701"/>
        <w:gridCol w:w="1417"/>
        <w:gridCol w:w="1418"/>
        <w:gridCol w:w="1701"/>
        <w:gridCol w:w="2268"/>
      </w:tblGrid>
      <w:tr w:rsidR="009F7F8A" w:rsidRPr="00C07B2E" w14:paraId="5F081447" w14:textId="77777777" w:rsidTr="009F7F8A">
        <w:trPr>
          <w:cantSplit/>
          <w:trHeight w:val="20"/>
          <w:tblHeader/>
        </w:trPr>
        <w:tc>
          <w:tcPr>
            <w:tcW w:w="1101" w:type="dxa"/>
            <w:vAlign w:val="center"/>
          </w:tcPr>
          <w:p w14:paraId="2C360716" w14:textId="77777777" w:rsidR="009F7F8A" w:rsidRPr="00470D3D" w:rsidRDefault="009F7F8A" w:rsidP="009F7F8A">
            <w:pPr>
              <w:rPr>
                <w:rFonts w:eastAsia="SimSun"/>
              </w:rPr>
            </w:pPr>
          </w:p>
        </w:tc>
        <w:tc>
          <w:tcPr>
            <w:tcW w:w="1701" w:type="dxa"/>
            <w:vAlign w:val="center"/>
          </w:tcPr>
          <w:p w14:paraId="2FBA94BC" w14:textId="77777777" w:rsidR="009F7F8A" w:rsidRPr="00C07B2E" w:rsidRDefault="009F7F8A" w:rsidP="009F7F8A">
            <w:pPr>
              <w:rPr>
                <w:rFonts w:eastAsia="SimSun"/>
              </w:rPr>
            </w:pPr>
            <w:r w:rsidRPr="00C07B2E">
              <w:rPr>
                <w:rFonts w:eastAsia="SimSun"/>
              </w:rPr>
              <w:t>Препарат</w:t>
            </w:r>
          </w:p>
        </w:tc>
        <w:tc>
          <w:tcPr>
            <w:tcW w:w="1417" w:type="dxa"/>
            <w:vAlign w:val="center"/>
          </w:tcPr>
          <w:p w14:paraId="23E8BD8D" w14:textId="77777777" w:rsidR="009F7F8A" w:rsidRPr="00C07B2E" w:rsidRDefault="009F7F8A" w:rsidP="009F7F8A">
            <w:pPr>
              <w:rPr>
                <w:rFonts w:eastAsia="SimSun"/>
              </w:rPr>
            </w:pPr>
            <w:r w:rsidRPr="00C07B2E">
              <w:rPr>
                <w:rFonts w:eastAsia="SimSun"/>
              </w:rPr>
              <w:t>Суточная доза</w:t>
            </w:r>
          </w:p>
        </w:tc>
        <w:tc>
          <w:tcPr>
            <w:tcW w:w="1418" w:type="dxa"/>
            <w:vAlign w:val="center"/>
          </w:tcPr>
          <w:p w14:paraId="32BC881D" w14:textId="77777777" w:rsidR="009F7F8A" w:rsidRPr="00C07B2E" w:rsidRDefault="009F7F8A" w:rsidP="009F7F8A">
            <w:pPr>
              <w:rPr>
                <w:rFonts w:eastAsia="SimSun"/>
              </w:rPr>
            </w:pPr>
            <w:r w:rsidRPr="00C07B2E">
              <w:rPr>
                <w:rFonts w:eastAsia="SimSun"/>
              </w:rPr>
              <w:t>Курсовая доза</w:t>
            </w:r>
          </w:p>
        </w:tc>
        <w:tc>
          <w:tcPr>
            <w:tcW w:w="1701" w:type="dxa"/>
            <w:vAlign w:val="center"/>
          </w:tcPr>
          <w:p w14:paraId="05BE9BBA" w14:textId="77777777" w:rsidR="009F7F8A" w:rsidRPr="00C07B2E" w:rsidRDefault="009F7F8A" w:rsidP="009F7F8A">
            <w:pPr>
              <w:rPr>
                <w:rFonts w:eastAsia="SimSun"/>
              </w:rPr>
            </w:pPr>
            <w:r w:rsidRPr="00C07B2E">
              <w:rPr>
                <w:rFonts w:eastAsia="SimSun"/>
              </w:rPr>
              <w:t>Дни введения</w:t>
            </w:r>
          </w:p>
        </w:tc>
        <w:tc>
          <w:tcPr>
            <w:tcW w:w="2268" w:type="dxa"/>
            <w:vAlign w:val="center"/>
          </w:tcPr>
          <w:p w14:paraId="7C68E437" w14:textId="77777777" w:rsidR="009F7F8A" w:rsidRPr="00C07B2E" w:rsidRDefault="009F7F8A" w:rsidP="009F7F8A">
            <w:pPr>
              <w:rPr>
                <w:rFonts w:eastAsia="SimSun"/>
              </w:rPr>
            </w:pPr>
            <w:r w:rsidRPr="00C07B2E">
              <w:rPr>
                <w:rFonts w:eastAsia="SimSun"/>
              </w:rPr>
              <w:t>Порядок введения</w:t>
            </w:r>
          </w:p>
        </w:tc>
      </w:tr>
      <w:tr w:rsidR="009F7F8A" w:rsidRPr="00C07B2E" w14:paraId="6417703A" w14:textId="77777777" w:rsidTr="009F7F8A">
        <w:trPr>
          <w:cantSplit/>
          <w:trHeight w:val="20"/>
        </w:trPr>
        <w:tc>
          <w:tcPr>
            <w:tcW w:w="1101" w:type="dxa"/>
            <w:vMerge w:val="restart"/>
            <w:textDirection w:val="btLr"/>
            <w:vAlign w:val="center"/>
          </w:tcPr>
          <w:p w14:paraId="53FEE333" w14:textId="77777777" w:rsidR="009F7F8A" w:rsidRPr="00C07B2E" w:rsidRDefault="009F7F8A" w:rsidP="009F7F8A">
            <w:pPr>
              <w:rPr>
                <w:rFonts w:eastAsia="SimSun"/>
              </w:rPr>
            </w:pPr>
            <w:r w:rsidRPr="00C07B2E">
              <w:rPr>
                <w:rFonts w:eastAsia="SimSun"/>
              </w:rPr>
              <w:t>Кондиционирование</w:t>
            </w:r>
          </w:p>
        </w:tc>
        <w:tc>
          <w:tcPr>
            <w:tcW w:w="1701" w:type="dxa"/>
            <w:vAlign w:val="center"/>
          </w:tcPr>
          <w:p w14:paraId="745EFB95" w14:textId="77777777" w:rsidR="009F7F8A" w:rsidRPr="00C07B2E" w:rsidRDefault="009F7F8A" w:rsidP="009F7F8A">
            <w:pPr>
              <w:rPr>
                <w:rFonts w:eastAsia="SimSun"/>
              </w:rPr>
            </w:pPr>
            <w:r w:rsidRPr="00C07B2E">
              <w:rPr>
                <w:rFonts w:eastAsia="SimSun"/>
              </w:rPr>
              <w:t xml:space="preserve">Флударабин </w:t>
            </w:r>
          </w:p>
        </w:tc>
        <w:tc>
          <w:tcPr>
            <w:tcW w:w="1417" w:type="dxa"/>
            <w:vAlign w:val="center"/>
          </w:tcPr>
          <w:p w14:paraId="7AE67E15" w14:textId="77777777" w:rsidR="009F7F8A" w:rsidRPr="000F445E" w:rsidRDefault="009F7F8A" w:rsidP="009F7F8A">
            <w:pPr>
              <w:rPr>
                <w:rFonts w:eastAsia="SimSun"/>
              </w:rPr>
            </w:pPr>
            <w:r w:rsidRPr="00C07B2E">
              <w:rPr>
                <w:rFonts w:eastAsia="SimSun"/>
              </w:rPr>
              <w:t>30 мг/м</w:t>
            </w:r>
            <w:r w:rsidRPr="000F445E">
              <w:rPr>
                <w:rFonts w:eastAsia="SimSun"/>
                <w:vertAlign w:val="superscript"/>
              </w:rPr>
              <w:t>2</w:t>
            </w:r>
          </w:p>
        </w:tc>
        <w:tc>
          <w:tcPr>
            <w:tcW w:w="1418" w:type="dxa"/>
            <w:vAlign w:val="center"/>
          </w:tcPr>
          <w:p w14:paraId="777FEEAD" w14:textId="77777777" w:rsidR="009F7F8A" w:rsidRPr="00C07B2E" w:rsidRDefault="009F7F8A" w:rsidP="009F7F8A">
            <w:pPr>
              <w:rPr>
                <w:rFonts w:eastAsia="SimSun"/>
              </w:rPr>
            </w:pPr>
            <w:r w:rsidRPr="00C07B2E">
              <w:rPr>
                <w:rFonts w:eastAsia="SimSun"/>
              </w:rPr>
              <w:t>180 мг/м</w:t>
            </w:r>
            <w:r w:rsidRPr="005659AA">
              <w:rPr>
                <w:rFonts w:eastAsia="SimSun"/>
                <w:vertAlign w:val="superscript"/>
              </w:rPr>
              <w:t>2</w:t>
            </w:r>
          </w:p>
        </w:tc>
        <w:tc>
          <w:tcPr>
            <w:tcW w:w="1701" w:type="dxa"/>
            <w:vAlign w:val="center"/>
          </w:tcPr>
          <w:p w14:paraId="01F45737" w14:textId="77777777" w:rsidR="009F7F8A" w:rsidRPr="00C07B2E" w:rsidRDefault="009F7F8A" w:rsidP="009F7F8A">
            <w:pPr>
              <w:rPr>
                <w:rFonts w:eastAsia="SimSun"/>
              </w:rPr>
            </w:pPr>
            <w:r w:rsidRPr="00C07B2E">
              <w:rPr>
                <w:rFonts w:eastAsia="SimSun"/>
              </w:rPr>
              <w:t>С -7 дня по -2 день</w:t>
            </w:r>
          </w:p>
        </w:tc>
        <w:tc>
          <w:tcPr>
            <w:tcW w:w="2268" w:type="dxa"/>
            <w:vAlign w:val="center"/>
          </w:tcPr>
          <w:p w14:paraId="15C28FE8" w14:textId="77777777" w:rsidR="009F7F8A" w:rsidRPr="006A31EC" w:rsidRDefault="009F7F8A" w:rsidP="009F7F8A">
            <w:pPr>
              <w:rPr>
                <w:rFonts w:eastAsia="SimSun"/>
              </w:rPr>
            </w:pPr>
            <w:r w:rsidRPr="006A31EC">
              <w:rPr>
                <w:rFonts w:eastAsia="SimSun"/>
              </w:rPr>
              <w:t>В/в, в течение 30 - 60 мин</w:t>
            </w:r>
          </w:p>
        </w:tc>
      </w:tr>
      <w:tr w:rsidR="009F7F8A" w:rsidRPr="00C07B2E" w14:paraId="44C9637E" w14:textId="77777777" w:rsidTr="009F7F8A">
        <w:trPr>
          <w:cantSplit/>
          <w:trHeight w:val="778"/>
        </w:trPr>
        <w:tc>
          <w:tcPr>
            <w:tcW w:w="1101" w:type="dxa"/>
            <w:vMerge/>
            <w:vAlign w:val="center"/>
          </w:tcPr>
          <w:p w14:paraId="723953B5" w14:textId="77777777" w:rsidR="009F7F8A" w:rsidRPr="006A31EC" w:rsidRDefault="009F7F8A" w:rsidP="009F7F8A">
            <w:pPr>
              <w:rPr>
                <w:rFonts w:eastAsia="SimSun"/>
              </w:rPr>
            </w:pPr>
          </w:p>
        </w:tc>
        <w:tc>
          <w:tcPr>
            <w:tcW w:w="1701" w:type="dxa"/>
            <w:vAlign w:val="center"/>
          </w:tcPr>
          <w:p w14:paraId="1C4D4383" w14:textId="77777777" w:rsidR="009F7F8A" w:rsidRPr="00C07B2E" w:rsidRDefault="009F7F8A" w:rsidP="009F7F8A">
            <w:pPr>
              <w:rPr>
                <w:rFonts w:eastAsia="SimSun"/>
              </w:rPr>
            </w:pPr>
            <w:r w:rsidRPr="00C07B2E">
              <w:rPr>
                <w:rFonts w:eastAsia="SimSun"/>
              </w:rPr>
              <w:t xml:space="preserve">Треосульфан </w:t>
            </w:r>
          </w:p>
        </w:tc>
        <w:tc>
          <w:tcPr>
            <w:tcW w:w="1417" w:type="dxa"/>
            <w:vAlign w:val="center"/>
          </w:tcPr>
          <w:p w14:paraId="5B23BCB3" w14:textId="77777777" w:rsidR="009F7F8A" w:rsidRPr="00C07B2E" w:rsidRDefault="009F7F8A" w:rsidP="009F7F8A">
            <w:pPr>
              <w:rPr>
                <w:rFonts w:eastAsia="SimSun"/>
              </w:rPr>
            </w:pPr>
            <w:r w:rsidRPr="00C07B2E">
              <w:rPr>
                <w:rFonts w:eastAsia="SimSun"/>
              </w:rPr>
              <w:t>14 г/кг</w:t>
            </w:r>
          </w:p>
        </w:tc>
        <w:tc>
          <w:tcPr>
            <w:tcW w:w="1418" w:type="dxa"/>
            <w:vAlign w:val="center"/>
          </w:tcPr>
          <w:p w14:paraId="050AFD24" w14:textId="77777777" w:rsidR="009F7F8A" w:rsidRPr="00C07B2E" w:rsidRDefault="009F7F8A" w:rsidP="009F7F8A">
            <w:pPr>
              <w:rPr>
                <w:rFonts w:eastAsia="SimSun"/>
              </w:rPr>
            </w:pPr>
            <w:r w:rsidRPr="00C07B2E">
              <w:rPr>
                <w:rFonts w:eastAsia="SimSun"/>
              </w:rPr>
              <w:t>42 г/кг</w:t>
            </w:r>
          </w:p>
        </w:tc>
        <w:tc>
          <w:tcPr>
            <w:tcW w:w="1701" w:type="dxa"/>
            <w:vAlign w:val="center"/>
          </w:tcPr>
          <w:p w14:paraId="119E06F4" w14:textId="77777777" w:rsidR="009F7F8A" w:rsidRPr="00C07B2E" w:rsidRDefault="009F7F8A" w:rsidP="009F7F8A">
            <w:pPr>
              <w:rPr>
                <w:rFonts w:eastAsia="SimSun"/>
              </w:rPr>
            </w:pPr>
            <w:r w:rsidRPr="00C07B2E">
              <w:rPr>
                <w:rFonts w:eastAsia="SimSun"/>
              </w:rPr>
              <w:t xml:space="preserve">С -5 дня по -3 день </w:t>
            </w:r>
          </w:p>
        </w:tc>
        <w:tc>
          <w:tcPr>
            <w:tcW w:w="2268" w:type="dxa"/>
            <w:vAlign w:val="center"/>
          </w:tcPr>
          <w:p w14:paraId="767D6CF1" w14:textId="77777777" w:rsidR="009F7F8A" w:rsidRPr="006A31EC" w:rsidRDefault="009F7F8A" w:rsidP="009F7F8A">
            <w:pPr>
              <w:rPr>
                <w:rFonts w:eastAsia="SimSun"/>
              </w:rPr>
            </w:pPr>
            <w:r w:rsidRPr="006A31EC">
              <w:rPr>
                <w:rFonts w:eastAsia="SimSun"/>
              </w:rPr>
              <w:t xml:space="preserve">В/в инфуия, в течение 2 часов </w:t>
            </w:r>
          </w:p>
        </w:tc>
      </w:tr>
      <w:tr w:rsidR="009F7F8A" w:rsidRPr="005659AA" w14:paraId="03B1A966" w14:textId="77777777" w:rsidTr="009F7F8A">
        <w:trPr>
          <w:cantSplit/>
          <w:trHeight w:val="1498"/>
        </w:trPr>
        <w:tc>
          <w:tcPr>
            <w:tcW w:w="1101" w:type="dxa"/>
            <w:vMerge w:val="restart"/>
            <w:textDirection w:val="btLr"/>
            <w:vAlign w:val="center"/>
          </w:tcPr>
          <w:p w14:paraId="7CFAC20B" w14:textId="77777777" w:rsidR="009F7F8A" w:rsidRPr="00C07B2E" w:rsidRDefault="009F7F8A" w:rsidP="009F7F8A">
            <w:pPr>
              <w:rPr>
                <w:rFonts w:eastAsia="SimSun"/>
              </w:rPr>
            </w:pPr>
            <w:r w:rsidRPr="00C07B2E">
              <w:rPr>
                <w:rFonts w:eastAsia="SimSun"/>
              </w:rPr>
              <w:lastRenderedPageBreak/>
              <w:t>Профилактика РТПХ</w:t>
            </w:r>
          </w:p>
        </w:tc>
        <w:tc>
          <w:tcPr>
            <w:tcW w:w="1701" w:type="dxa"/>
            <w:vAlign w:val="center"/>
          </w:tcPr>
          <w:p w14:paraId="3AF32811" w14:textId="77777777" w:rsidR="009F7F8A" w:rsidRPr="00C07B2E" w:rsidRDefault="009F7F8A" w:rsidP="009F7F8A">
            <w:pPr>
              <w:rPr>
                <w:rFonts w:eastAsia="SimSun"/>
              </w:rPr>
            </w:pPr>
            <w:r w:rsidRPr="00C07B2E">
              <w:rPr>
                <w:rFonts w:eastAsia="SimSun"/>
              </w:rPr>
              <w:t xml:space="preserve">Такролимус </w:t>
            </w:r>
          </w:p>
        </w:tc>
        <w:tc>
          <w:tcPr>
            <w:tcW w:w="1417" w:type="dxa"/>
            <w:vAlign w:val="center"/>
          </w:tcPr>
          <w:p w14:paraId="1D54E89F" w14:textId="77777777" w:rsidR="009F7F8A" w:rsidRPr="00C07B2E" w:rsidRDefault="009F7F8A" w:rsidP="009F7F8A">
            <w:pPr>
              <w:rPr>
                <w:rFonts w:eastAsia="SimSun"/>
              </w:rPr>
            </w:pPr>
            <w:r w:rsidRPr="00C07B2E">
              <w:rPr>
                <w:rFonts w:eastAsia="SimSun"/>
              </w:rPr>
              <w:t>0,03 мг/кг</w:t>
            </w:r>
          </w:p>
        </w:tc>
        <w:tc>
          <w:tcPr>
            <w:tcW w:w="1418" w:type="dxa"/>
            <w:vAlign w:val="center"/>
          </w:tcPr>
          <w:p w14:paraId="5D6CEA6F" w14:textId="77777777" w:rsidR="009F7F8A" w:rsidRPr="00C07B2E" w:rsidRDefault="009F7F8A" w:rsidP="009F7F8A">
            <w:pPr>
              <w:rPr>
                <w:rFonts w:eastAsia="SimSun"/>
              </w:rPr>
            </w:pPr>
            <w:r w:rsidRPr="00C07B2E">
              <w:rPr>
                <w:rFonts w:eastAsia="SimSun"/>
                <w:lang w:val="en-US"/>
              </w:rPr>
              <w:t>–</w:t>
            </w:r>
          </w:p>
        </w:tc>
        <w:tc>
          <w:tcPr>
            <w:tcW w:w="1701" w:type="dxa"/>
            <w:vAlign w:val="center"/>
          </w:tcPr>
          <w:p w14:paraId="366A99E3" w14:textId="77777777" w:rsidR="009F7F8A" w:rsidRPr="00C07B2E" w:rsidRDefault="009F7F8A" w:rsidP="009F7F8A">
            <w:pPr>
              <w:rPr>
                <w:rFonts w:eastAsia="SimSun"/>
              </w:rPr>
            </w:pPr>
            <w:r w:rsidRPr="00C07B2E">
              <w:rPr>
                <w:rFonts w:eastAsia="SimSun"/>
              </w:rPr>
              <w:t xml:space="preserve">С +5 дня длительно </w:t>
            </w:r>
          </w:p>
        </w:tc>
        <w:tc>
          <w:tcPr>
            <w:tcW w:w="2268" w:type="dxa"/>
            <w:vAlign w:val="center"/>
          </w:tcPr>
          <w:p w14:paraId="329E7315" w14:textId="77777777" w:rsidR="009F7F8A" w:rsidRPr="005659AA" w:rsidRDefault="009F7F8A" w:rsidP="009F7F8A">
            <w:pPr>
              <w:rPr>
                <w:rFonts w:eastAsia="SimSun"/>
              </w:rPr>
            </w:pPr>
            <w:r w:rsidRPr="006A31EC">
              <w:rPr>
                <w:rFonts w:eastAsia="SimSun"/>
              </w:rPr>
              <w:t xml:space="preserve">В/в инфузия в течение 24 ч с последующей коррекцией суточной дозы по концентрации. Перевод на прием внутрь при условии восстановления лейкоцитов &gt; 1 </w:t>
            </w:r>
            <w:r>
              <w:rPr>
                <w:rFonts w:eastAsia="SimSun"/>
              </w:rPr>
              <w:t xml:space="preserve">х </w:t>
            </w:r>
            <w:r w:rsidRPr="006A31EC">
              <w:rPr>
                <w:rFonts w:eastAsia="SimSun"/>
              </w:rPr>
              <w:t>10</w:t>
            </w:r>
            <w:r w:rsidRPr="006A31EC">
              <w:rPr>
                <w:rFonts w:eastAsia="SimSun"/>
                <w:vertAlign w:val="superscript"/>
              </w:rPr>
              <w:t>9</w:t>
            </w:r>
            <w:r w:rsidRPr="006A31EC">
              <w:rPr>
                <w:rFonts w:eastAsia="SimSun"/>
              </w:rPr>
              <w:t xml:space="preserve">/л, при отсутствии тошноты, рвоты, диареи и возможности приема внутрь. </w:t>
            </w:r>
            <w:r w:rsidRPr="005659AA">
              <w:rPr>
                <w:rFonts w:eastAsia="SimSun"/>
              </w:rPr>
              <w:t xml:space="preserve">Концентрация </w:t>
            </w:r>
            <w:r w:rsidRPr="00C07B2E">
              <w:rPr>
                <w:rFonts w:eastAsia="SimSun"/>
              </w:rPr>
              <w:t>Tx</w:t>
            </w:r>
            <w:r w:rsidRPr="005659AA">
              <w:rPr>
                <w:rFonts w:eastAsia="SimSun"/>
              </w:rPr>
              <w:t xml:space="preserve"> 5-15 нг/мл.    </w:t>
            </w:r>
          </w:p>
        </w:tc>
      </w:tr>
      <w:tr w:rsidR="009F7F8A" w:rsidRPr="00C07B2E" w14:paraId="35BA3373" w14:textId="77777777" w:rsidTr="009F7F8A">
        <w:trPr>
          <w:cantSplit/>
          <w:trHeight w:val="858"/>
        </w:trPr>
        <w:tc>
          <w:tcPr>
            <w:tcW w:w="1101" w:type="dxa"/>
            <w:vMerge/>
            <w:textDirection w:val="btLr"/>
            <w:vAlign w:val="center"/>
          </w:tcPr>
          <w:p w14:paraId="51BC6D71" w14:textId="77777777" w:rsidR="009F7F8A" w:rsidRPr="005659AA" w:rsidRDefault="009F7F8A" w:rsidP="009F7F8A">
            <w:pPr>
              <w:rPr>
                <w:rFonts w:eastAsia="SimSun"/>
              </w:rPr>
            </w:pPr>
          </w:p>
        </w:tc>
        <w:tc>
          <w:tcPr>
            <w:tcW w:w="1701" w:type="dxa"/>
            <w:vAlign w:val="center"/>
          </w:tcPr>
          <w:p w14:paraId="44BF7B84" w14:textId="77777777" w:rsidR="009F7F8A" w:rsidRPr="00C07B2E" w:rsidRDefault="009F7F8A" w:rsidP="009F7F8A">
            <w:pPr>
              <w:rPr>
                <w:rFonts w:eastAsia="SimSun"/>
              </w:rPr>
            </w:pPr>
            <w:r w:rsidRPr="00C07B2E">
              <w:rPr>
                <w:rFonts w:eastAsia="SimSun"/>
              </w:rPr>
              <w:t>Микофенолата мофетил</w:t>
            </w:r>
          </w:p>
        </w:tc>
        <w:tc>
          <w:tcPr>
            <w:tcW w:w="1417" w:type="dxa"/>
            <w:vAlign w:val="center"/>
          </w:tcPr>
          <w:p w14:paraId="00F24D46" w14:textId="77777777" w:rsidR="009F7F8A" w:rsidRPr="00C07B2E" w:rsidRDefault="009F7F8A" w:rsidP="009F7F8A">
            <w:pPr>
              <w:rPr>
                <w:rFonts w:eastAsia="SimSun"/>
              </w:rPr>
            </w:pPr>
            <w:r w:rsidRPr="00C07B2E">
              <w:rPr>
                <w:rFonts w:eastAsia="SimSun"/>
                <w:lang w:val="en-US"/>
              </w:rPr>
              <w:t>30</w:t>
            </w:r>
            <w:r w:rsidRPr="00C07B2E">
              <w:rPr>
                <w:rFonts w:eastAsia="SimSun"/>
              </w:rPr>
              <w:t xml:space="preserve"> мг/кг </w:t>
            </w:r>
          </w:p>
        </w:tc>
        <w:tc>
          <w:tcPr>
            <w:tcW w:w="1418" w:type="dxa"/>
            <w:vAlign w:val="center"/>
          </w:tcPr>
          <w:p w14:paraId="6A8B337E" w14:textId="77777777" w:rsidR="009F7F8A" w:rsidRPr="00C07B2E" w:rsidRDefault="009F7F8A" w:rsidP="009F7F8A">
            <w:pPr>
              <w:rPr>
                <w:rFonts w:eastAsia="SimSun"/>
              </w:rPr>
            </w:pPr>
            <w:r w:rsidRPr="00C07B2E">
              <w:rPr>
                <w:rFonts w:eastAsia="SimSun"/>
              </w:rPr>
              <w:t>–</w:t>
            </w:r>
          </w:p>
        </w:tc>
        <w:tc>
          <w:tcPr>
            <w:tcW w:w="1701" w:type="dxa"/>
            <w:vAlign w:val="center"/>
          </w:tcPr>
          <w:p w14:paraId="79436A66" w14:textId="77777777" w:rsidR="009F7F8A" w:rsidRPr="00C07B2E" w:rsidRDefault="009F7F8A" w:rsidP="009F7F8A">
            <w:pPr>
              <w:rPr>
                <w:rFonts w:eastAsia="SimSun"/>
              </w:rPr>
            </w:pPr>
            <w:r w:rsidRPr="00C07B2E">
              <w:rPr>
                <w:rFonts w:eastAsia="SimSun"/>
              </w:rPr>
              <w:t xml:space="preserve">С +5 дня по +35 день </w:t>
            </w:r>
          </w:p>
        </w:tc>
        <w:tc>
          <w:tcPr>
            <w:tcW w:w="2268" w:type="dxa"/>
            <w:vAlign w:val="center"/>
          </w:tcPr>
          <w:p w14:paraId="2A55B980" w14:textId="77777777" w:rsidR="009F7F8A" w:rsidRPr="005659AA" w:rsidRDefault="009F7F8A" w:rsidP="009F7F8A">
            <w:pPr>
              <w:rPr>
                <w:rFonts w:eastAsia="SimSun"/>
              </w:rPr>
            </w:pPr>
            <w:r w:rsidRPr="005659AA">
              <w:rPr>
                <w:rFonts w:eastAsia="SimSun"/>
              </w:rPr>
              <w:t>Внутрь, суммарная суточная доза разделяется на 2- 4 приема (не более 3</w:t>
            </w:r>
            <w:r>
              <w:rPr>
                <w:rFonts w:eastAsia="SimSun"/>
              </w:rPr>
              <w:t xml:space="preserve"> </w:t>
            </w:r>
            <w:r w:rsidRPr="005659AA">
              <w:rPr>
                <w:rFonts w:eastAsia="SimSun"/>
              </w:rPr>
              <w:t>г/сут).</w:t>
            </w:r>
          </w:p>
        </w:tc>
      </w:tr>
      <w:tr w:rsidR="009F7F8A" w:rsidRPr="00C07B2E" w14:paraId="2195A470" w14:textId="77777777" w:rsidTr="009F7F8A">
        <w:trPr>
          <w:cantSplit/>
          <w:trHeight w:val="472"/>
        </w:trPr>
        <w:tc>
          <w:tcPr>
            <w:tcW w:w="1101" w:type="dxa"/>
            <w:vMerge/>
            <w:textDirection w:val="btLr"/>
            <w:vAlign w:val="center"/>
          </w:tcPr>
          <w:p w14:paraId="43549559" w14:textId="77777777" w:rsidR="009F7F8A" w:rsidRPr="005659AA" w:rsidRDefault="009F7F8A" w:rsidP="009F7F8A">
            <w:pPr>
              <w:rPr>
                <w:rFonts w:eastAsia="SimSun"/>
              </w:rPr>
            </w:pPr>
          </w:p>
        </w:tc>
        <w:tc>
          <w:tcPr>
            <w:tcW w:w="1701" w:type="dxa"/>
            <w:vAlign w:val="center"/>
          </w:tcPr>
          <w:p w14:paraId="1EF2579E" w14:textId="77777777" w:rsidR="009F7F8A" w:rsidRPr="00C07B2E" w:rsidRDefault="009F7F8A" w:rsidP="009F7F8A">
            <w:pPr>
              <w:rPr>
                <w:rFonts w:eastAsia="SimSun"/>
              </w:rPr>
            </w:pPr>
            <w:r w:rsidRPr="00C07B2E">
              <w:rPr>
                <w:rFonts w:eastAsia="SimSun"/>
              </w:rPr>
              <w:t xml:space="preserve">Циклофосфамид </w:t>
            </w:r>
          </w:p>
        </w:tc>
        <w:tc>
          <w:tcPr>
            <w:tcW w:w="1417" w:type="dxa"/>
            <w:vAlign w:val="center"/>
          </w:tcPr>
          <w:p w14:paraId="52180B89" w14:textId="77777777" w:rsidR="009F7F8A" w:rsidRPr="00C07B2E" w:rsidRDefault="009F7F8A" w:rsidP="009F7F8A">
            <w:pPr>
              <w:rPr>
                <w:rFonts w:eastAsia="SimSun"/>
              </w:rPr>
            </w:pPr>
            <w:r w:rsidRPr="00C07B2E">
              <w:rPr>
                <w:rFonts w:eastAsia="SimSun"/>
              </w:rPr>
              <w:t xml:space="preserve">50 мг/кг </w:t>
            </w:r>
          </w:p>
        </w:tc>
        <w:tc>
          <w:tcPr>
            <w:tcW w:w="1418" w:type="dxa"/>
            <w:vAlign w:val="center"/>
          </w:tcPr>
          <w:p w14:paraId="7F7F5704" w14:textId="77777777" w:rsidR="009F7F8A" w:rsidRPr="00C07B2E" w:rsidRDefault="009F7F8A" w:rsidP="009F7F8A">
            <w:pPr>
              <w:rPr>
                <w:rFonts w:eastAsia="SimSun"/>
              </w:rPr>
            </w:pPr>
            <w:r w:rsidRPr="00C07B2E">
              <w:rPr>
                <w:rFonts w:eastAsia="SimSun"/>
              </w:rPr>
              <w:t>100 мг/кг</w:t>
            </w:r>
          </w:p>
        </w:tc>
        <w:tc>
          <w:tcPr>
            <w:tcW w:w="1701" w:type="dxa"/>
            <w:vAlign w:val="center"/>
          </w:tcPr>
          <w:p w14:paraId="533A22E6" w14:textId="77777777" w:rsidR="009F7F8A" w:rsidRPr="00C07B2E" w:rsidRDefault="009F7F8A" w:rsidP="009F7F8A">
            <w:pPr>
              <w:rPr>
                <w:rFonts w:eastAsia="SimSun"/>
              </w:rPr>
            </w:pPr>
            <w:r w:rsidRPr="00C07B2E">
              <w:rPr>
                <w:rFonts w:eastAsia="SimSun"/>
              </w:rPr>
              <w:t>С +3 дня по +4 день</w:t>
            </w:r>
          </w:p>
        </w:tc>
        <w:tc>
          <w:tcPr>
            <w:tcW w:w="2268" w:type="dxa"/>
            <w:vAlign w:val="center"/>
          </w:tcPr>
          <w:p w14:paraId="7859A180" w14:textId="77777777" w:rsidR="009F7F8A" w:rsidRPr="00C07B2E" w:rsidRDefault="009F7F8A" w:rsidP="009F7F8A">
            <w:pPr>
              <w:rPr>
                <w:rFonts w:eastAsia="SimSun"/>
              </w:rPr>
            </w:pPr>
            <w:r w:rsidRPr="00C07B2E">
              <w:rPr>
                <w:rFonts w:eastAsia="SimSun"/>
              </w:rPr>
              <w:t xml:space="preserve">В/в, в течение 2 ч  </w:t>
            </w:r>
          </w:p>
        </w:tc>
      </w:tr>
    </w:tbl>
    <w:p w14:paraId="04D216C3" w14:textId="77777777" w:rsidR="009F7F8A" w:rsidRPr="00C07B2E" w:rsidRDefault="009F7F8A" w:rsidP="009F7F8A">
      <w:pPr>
        <w:rPr>
          <w:rFonts w:eastAsia="SimSun"/>
        </w:rPr>
        <w:sectPr w:rsidR="009F7F8A" w:rsidRPr="00C07B2E" w:rsidSect="009F7F8A">
          <w:type w:val="continuous"/>
          <w:pgSz w:w="11907" w:h="16839" w:code="9"/>
          <w:pgMar w:top="1134" w:right="850" w:bottom="1134" w:left="1701" w:header="709" w:footer="567" w:gutter="0"/>
          <w:cols w:space="708"/>
          <w:docGrid w:linePitch="360"/>
        </w:sectPr>
      </w:pPr>
    </w:p>
    <w:p w14:paraId="0ABFE18D" w14:textId="77777777" w:rsidR="009F7F8A" w:rsidRDefault="009F7F8A" w:rsidP="009F7F8A">
      <w:pPr>
        <w:rPr>
          <w:rFonts w:eastAsia="SimSun"/>
        </w:rPr>
      </w:pPr>
      <w:bookmarkStart w:id="128" w:name="_Toc44401156"/>
    </w:p>
    <w:bookmarkEnd w:id="128"/>
    <w:p w14:paraId="7E3CA63A" w14:textId="77777777" w:rsidR="009F7F8A" w:rsidRPr="00C07B2E" w:rsidRDefault="009F7F8A" w:rsidP="009F7F8A">
      <w:pPr>
        <w:rPr>
          <w:rFonts w:eastAsia="SimSun"/>
        </w:rPr>
      </w:pPr>
      <w:r w:rsidRPr="00C07B2E">
        <w:rPr>
          <w:rFonts w:eastAsia="SimSun"/>
        </w:rPr>
        <w:t>Схемы и режимы применения препаратов для кондиционирования и профилактики РТПХ</w:t>
      </w:r>
      <w:r>
        <w:rPr>
          <w:rFonts w:eastAsia="SimSun"/>
        </w:rPr>
        <w:t xml:space="preserve"> при проведении </w:t>
      </w:r>
      <w:r w:rsidRPr="006A31EC">
        <w:rPr>
          <w:rFonts w:eastAsia="SimSun"/>
          <w:b/>
          <w:u w:val="single"/>
        </w:rPr>
        <w:t>аллоТГСК в режиме пониженной интенсивности</w:t>
      </w:r>
      <w:r w:rsidRPr="00C07B2E">
        <w:rPr>
          <w:rFonts w:eastAsia="SimSun"/>
        </w:rPr>
        <w:t xml:space="preserve"> указаны в Таблице </w:t>
      </w:r>
      <w:r>
        <w:rPr>
          <w:rFonts w:eastAsia="SimSun"/>
        </w:rPr>
        <w:t>5.</w:t>
      </w:r>
      <w:r w:rsidRPr="00C07B2E">
        <w:rPr>
          <w:rFonts w:eastAsia="SimSun"/>
        </w:rPr>
        <w:t>1.2</w:t>
      </w:r>
    </w:p>
    <w:p w14:paraId="77C1EE43" w14:textId="77777777" w:rsidR="009F7F8A" w:rsidRPr="00C07B2E" w:rsidRDefault="009F7F8A" w:rsidP="009F7F8A">
      <w:pPr>
        <w:rPr>
          <w:rFonts w:eastAsia="SimSun"/>
        </w:rPr>
        <w:sectPr w:rsidR="009F7F8A" w:rsidRPr="00C07B2E" w:rsidSect="009F7F8A">
          <w:footerReference w:type="default" r:id="rId11"/>
          <w:type w:val="continuous"/>
          <w:pgSz w:w="11907" w:h="16839" w:code="9"/>
          <w:pgMar w:top="1134" w:right="850" w:bottom="1134" w:left="1701" w:header="709" w:footer="567" w:gutter="0"/>
          <w:cols w:space="708"/>
          <w:docGrid w:linePitch="360"/>
        </w:sectPr>
      </w:pPr>
    </w:p>
    <w:p w14:paraId="65DE6F75" w14:textId="77777777" w:rsidR="009F7F8A" w:rsidRPr="00C07B2E" w:rsidRDefault="009F7F8A" w:rsidP="009F7F8A">
      <w:pPr>
        <w:rPr>
          <w:rFonts w:eastAsia="SimSun"/>
        </w:rPr>
      </w:pPr>
      <w:r w:rsidRPr="00C07B2E">
        <w:rPr>
          <w:rFonts w:eastAsia="SimSun"/>
        </w:rPr>
        <w:lastRenderedPageBreak/>
        <w:t xml:space="preserve">Таблица </w:t>
      </w:r>
      <w:r>
        <w:rPr>
          <w:rFonts w:eastAsia="SimSun"/>
        </w:rPr>
        <w:t>5.</w:t>
      </w:r>
      <w:r w:rsidRPr="00C07B2E">
        <w:rPr>
          <w:rFonts w:eastAsia="SimSun"/>
        </w:rPr>
        <w:t xml:space="preserve">1.2 Схемы и режимы применения препаратов для кондиционирования и профилактики РТПХ со ссылками на </w:t>
      </w:r>
      <w:r>
        <w:rPr>
          <w:rFonts w:eastAsia="SimSun"/>
        </w:rPr>
        <w:t>таблицы с описанием</w:t>
      </w:r>
    </w:p>
    <w:p w14:paraId="2166C3BB" w14:textId="77777777" w:rsidR="009F7F8A" w:rsidRPr="00C07B2E" w:rsidRDefault="009F7F8A" w:rsidP="009F7F8A">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808"/>
        <w:gridCol w:w="742"/>
        <w:gridCol w:w="1136"/>
        <w:gridCol w:w="959"/>
        <w:gridCol w:w="931"/>
        <w:gridCol w:w="959"/>
        <w:gridCol w:w="839"/>
        <w:gridCol w:w="839"/>
        <w:gridCol w:w="959"/>
        <w:gridCol w:w="960"/>
        <w:gridCol w:w="1143"/>
        <w:gridCol w:w="1260"/>
        <w:gridCol w:w="960"/>
        <w:gridCol w:w="949"/>
      </w:tblGrid>
      <w:tr w:rsidR="009F7F8A" w:rsidRPr="006A31EC" w14:paraId="4B9FAD53" w14:textId="77777777" w:rsidTr="009F7F8A">
        <w:trPr>
          <w:cantSplit/>
          <w:trHeight w:val="381"/>
        </w:trPr>
        <w:tc>
          <w:tcPr>
            <w:tcW w:w="1237" w:type="pct"/>
            <w:gridSpan w:val="4"/>
            <w:vMerge w:val="restart"/>
            <w:shd w:val="clear" w:color="auto" w:fill="auto"/>
            <w:vAlign w:val="center"/>
          </w:tcPr>
          <w:p w14:paraId="7E6FA9CE" w14:textId="77777777" w:rsidR="009F7F8A" w:rsidRPr="006A31EC" w:rsidRDefault="009F7F8A" w:rsidP="009F7F8A">
            <w:pPr>
              <w:rPr>
                <w:rFonts w:eastAsia="SimSun"/>
                <w:sz w:val="22"/>
              </w:rPr>
            </w:pPr>
            <w:r w:rsidRPr="006A31EC">
              <w:rPr>
                <w:rFonts w:eastAsia="SimSun"/>
                <w:sz w:val="22"/>
              </w:rPr>
              <w:t>Профилактика РТПХ</w:t>
            </w:r>
          </w:p>
        </w:tc>
        <w:tc>
          <w:tcPr>
            <w:tcW w:w="3763" w:type="pct"/>
            <w:gridSpan w:val="11"/>
          </w:tcPr>
          <w:p w14:paraId="1CD251FA" w14:textId="77777777" w:rsidR="009F7F8A" w:rsidRPr="006A31EC" w:rsidRDefault="009F7F8A" w:rsidP="009F7F8A">
            <w:pPr>
              <w:rPr>
                <w:rFonts w:eastAsia="SimSun"/>
                <w:sz w:val="22"/>
              </w:rPr>
            </w:pPr>
            <w:r w:rsidRPr="006A31EC">
              <w:rPr>
                <w:rFonts w:eastAsia="SimSun"/>
                <w:sz w:val="22"/>
              </w:rPr>
              <w:t>Режим кондиционирования</w:t>
            </w:r>
          </w:p>
        </w:tc>
      </w:tr>
      <w:tr w:rsidR="009F7F8A" w:rsidRPr="006A31EC" w14:paraId="53B8A208" w14:textId="77777777" w:rsidTr="009F7F8A">
        <w:trPr>
          <w:cantSplit/>
          <w:trHeight w:val="400"/>
        </w:trPr>
        <w:tc>
          <w:tcPr>
            <w:tcW w:w="1237" w:type="pct"/>
            <w:gridSpan w:val="4"/>
            <w:vMerge/>
            <w:shd w:val="clear" w:color="auto" w:fill="auto"/>
            <w:vAlign w:val="center"/>
          </w:tcPr>
          <w:p w14:paraId="47C92A42" w14:textId="77777777" w:rsidR="009F7F8A" w:rsidRPr="006A31EC" w:rsidRDefault="009F7F8A" w:rsidP="009F7F8A">
            <w:pPr>
              <w:rPr>
                <w:rFonts w:eastAsia="SimSun"/>
                <w:sz w:val="22"/>
                <w:lang w:val="en-US"/>
              </w:rPr>
            </w:pPr>
          </w:p>
        </w:tc>
        <w:tc>
          <w:tcPr>
            <w:tcW w:w="337" w:type="pct"/>
            <w:shd w:val="clear" w:color="auto" w:fill="D9D9D9"/>
            <w:vAlign w:val="center"/>
          </w:tcPr>
          <w:p w14:paraId="0B670F67" w14:textId="77777777" w:rsidR="009F7F8A" w:rsidRPr="006A31EC" w:rsidRDefault="009F7F8A" w:rsidP="009F7F8A">
            <w:pPr>
              <w:rPr>
                <w:rFonts w:eastAsia="SimSun"/>
                <w:sz w:val="22"/>
              </w:rPr>
            </w:pPr>
            <w:r w:rsidRPr="006A31EC">
              <w:rPr>
                <w:rFonts w:eastAsia="SimSun"/>
                <w:sz w:val="22"/>
                <w:lang w:val="en-US"/>
              </w:rPr>
              <w:t>Flu</w:t>
            </w:r>
            <w:r w:rsidRPr="006A31EC">
              <w:rPr>
                <w:rFonts w:eastAsia="SimSun"/>
                <w:sz w:val="22"/>
              </w:rPr>
              <w:t>90</w:t>
            </w:r>
          </w:p>
        </w:tc>
        <w:tc>
          <w:tcPr>
            <w:tcW w:w="312" w:type="pct"/>
            <w:shd w:val="clear" w:color="auto" w:fill="D9D9D9"/>
            <w:vAlign w:val="center"/>
          </w:tcPr>
          <w:p w14:paraId="0BC6ABB4" w14:textId="77777777" w:rsidR="009F7F8A" w:rsidRPr="006A31EC" w:rsidRDefault="009F7F8A" w:rsidP="009F7F8A">
            <w:pPr>
              <w:rPr>
                <w:rFonts w:eastAsia="SimSun"/>
                <w:sz w:val="22"/>
                <w:lang w:val="en-US"/>
              </w:rPr>
            </w:pPr>
            <w:r w:rsidRPr="006A31EC">
              <w:rPr>
                <w:rFonts w:eastAsia="SimSun"/>
                <w:sz w:val="22"/>
                <w:lang w:val="en-US"/>
              </w:rPr>
              <w:t>Flu10</w:t>
            </w:r>
            <w:r w:rsidRPr="006A31EC">
              <w:rPr>
                <w:rFonts w:eastAsia="SimSun"/>
                <w:sz w:val="22"/>
              </w:rPr>
              <w:t>0</w:t>
            </w:r>
          </w:p>
        </w:tc>
        <w:tc>
          <w:tcPr>
            <w:tcW w:w="337" w:type="pct"/>
            <w:shd w:val="clear" w:color="auto" w:fill="D9D9D9"/>
            <w:vAlign w:val="center"/>
          </w:tcPr>
          <w:p w14:paraId="5FB5BE3A" w14:textId="77777777" w:rsidR="009F7F8A" w:rsidRPr="006A31EC" w:rsidRDefault="009F7F8A" w:rsidP="009F7F8A">
            <w:pPr>
              <w:rPr>
                <w:rFonts w:eastAsia="SimSun"/>
                <w:sz w:val="22"/>
              </w:rPr>
            </w:pPr>
            <w:r w:rsidRPr="006A31EC">
              <w:rPr>
                <w:rFonts w:eastAsia="SimSun"/>
                <w:sz w:val="22"/>
                <w:lang w:val="en-US"/>
              </w:rPr>
              <w:t>Flu1</w:t>
            </w:r>
            <w:r w:rsidRPr="006A31EC">
              <w:rPr>
                <w:rFonts w:eastAsia="SimSun"/>
                <w:sz w:val="22"/>
              </w:rPr>
              <w:t>20</w:t>
            </w:r>
          </w:p>
        </w:tc>
        <w:tc>
          <w:tcPr>
            <w:tcW w:w="1264" w:type="pct"/>
            <w:gridSpan w:val="4"/>
            <w:shd w:val="clear" w:color="auto" w:fill="D9D9D9"/>
            <w:vAlign w:val="center"/>
          </w:tcPr>
          <w:p w14:paraId="5A4FACDB" w14:textId="77777777" w:rsidR="009F7F8A" w:rsidRPr="006A31EC" w:rsidRDefault="009F7F8A" w:rsidP="009F7F8A">
            <w:pPr>
              <w:rPr>
                <w:rFonts w:eastAsia="SimSun"/>
                <w:sz w:val="22"/>
              </w:rPr>
            </w:pPr>
            <w:r w:rsidRPr="006A31EC">
              <w:rPr>
                <w:rFonts w:eastAsia="SimSun"/>
                <w:sz w:val="22"/>
                <w:lang w:val="en-US"/>
              </w:rPr>
              <w:t>Flu150</w:t>
            </w:r>
          </w:p>
        </w:tc>
        <w:tc>
          <w:tcPr>
            <w:tcW w:w="1515" w:type="pct"/>
            <w:gridSpan w:val="4"/>
            <w:shd w:val="clear" w:color="auto" w:fill="D9D9D9"/>
            <w:vAlign w:val="center"/>
          </w:tcPr>
          <w:p w14:paraId="3DA73C14" w14:textId="77777777" w:rsidR="009F7F8A" w:rsidRPr="006A31EC" w:rsidRDefault="009F7F8A" w:rsidP="009F7F8A">
            <w:pPr>
              <w:rPr>
                <w:rFonts w:eastAsia="SimSun"/>
                <w:sz w:val="22"/>
                <w:lang w:val="en-US"/>
              </w:rPr>
            </w:pPr>
            <w:r w:rsidRPr="006A31EC">
              <w:rPr>
                <w:rFonts w:eastAsia="SimSun"/>
                <w:sz w:val="22"/>
                <w:lang w:val="en-US"/>
              </w:rPr>
              <w:t>Flu180</w:t>
            </w:r>
          </w:p>
        </w:tc>
      </w:tr>
      <w:tr w:rsidR="009F7F8A" w:rsidRPr="006A31EC" w14:paraId="4DFFD82C" w14:textId="77777777" w:rsidTr="009F7F8A">
        <w:trPr>
          <w:cantSplit/>
          <w:trHeight w:val="351"/>
        </w:trPr>
        <w:tc>
          <w:tcPr>
            <w:tcW w:w="1237" w:type="pct"/>
            <w:gridSpan w:val="4"/>
            <w:vMerge/>
            <w:shd w:val="clear" w:color="auto" w:fill="auto"/>
            <w:vAlign w:val="center"/>
          </w:tcPr>
          <w:p w14:paraId="6D2CF3C8" w14:textId="77777777" w:rsidR="009F7F8A" w:rsidRPr="006A31EC" w:rsidRDefault="009F7F8A" w:rsidP="009F7F8A">
            <w:pPr>
              <w:rPr>
                <w:rFonts w:eastAsia="SimSun"/>
                <w:sz w:val="22"/>
                <w:lang w:val="en-US"/>
              </w:rPr>
            </w:pPr>
          </w:p>
        </w:tc>
        <w:tc>
          <w:tcPr>
            <w:tcW w:w="337" w:type="pct"/>
            <w:shd w:val="clear" w:color="auto" w:fill="D9D9D9"/>
            <w:vAlign w:val="center"/>
          </w:tcPr>
          <w:p w14:paraId="7091288E" w14:textId="77777777" w:rsidR="009F7F8A" w:rsidRPr="006A31EC" w:rsidRDefault="009F7F8A" w:rsidP="009F7F8A">
            <w:pPr>
              <w:rPr>
                <w:rFonts w:eastAsia="SimSun"/>
                <w:sz w:val="22"/>
                <w:lang w:val="en-US"/>
              </w:rPr>
            </w:pPr>
            <w:r w:rsidRPr="006A31EC">
              <w:rPr>
                <w:rFonts w:eastAsia="SimSun"/>
                <w:sz w:val="22"/>
                <w:lang w:val="en-US"/>
              </w:rPr>
              <w:t>Benda</w:t>
            </w:r>
          </w:p>
        </w:tc>
        <w:tc>
          <w:tcPr>
            <w:tcW w:w="312" w:type="pct"/>
            <w:shd w:val="clear" w:color="auto" w:fill="D9D9D9"/>
            <w:vAlign w:val="center"/>
          </w:tcPr>
          <w:p w14:paraId="0BCDB4D1" w14:textId="77777777" w:rsidR="009F7F8A" w:rsidRPr="006A31EC" w:rsidRDefault="009F7F8A" w:rsidP="009F7F8A">
            <w:pPr>
              <w:rPr>
                <w:rFonts w:eastAsia="SimSun"/>
                <w:sz w:val="22"/>
                <w:lang w:val="en-US"/>
              </w:rPr>
            </w:pPr>
            <w:r w:rsidRPr="006A31EC">
              <w:rPr>
                <w:rFonts w:eastAsia="SimSun"/>
                <w:sz w:val="22"/>
                <w:lang w:val="en-US"/>
              </w:rPr>
              <w:t>Cy100</w:t>
            </w:r>
          </w:p>
        </w:tc>
        <w:tc>
          <w:tcPr>
            <w:tcW w:w="337" w:type="pct"/>
            <w:shd w:val="clear" w:color="auto" w:fill="D9D9D9"/>
            <w:vAlign w:val="center"/>
          </w:tcPr>
          <w:p w14:paraId="6D9E78AF" w14:textId="77777777" w:rsidR="009F7F8A" w:rsidRPr="006A31EC" w:rsidRDefault="009F7F8A" w:rsidP="009F7F8A">
            <w:pPr>
              <w:rPr>
                <w:rFonts w:eastAsia="SimSun"/>
                <w:sz w:val="22"/>
                <w:lang w:val="en-US"/>
              </w:rPr>
            </w:pPr>
            <w:r w:rsidRPr="006A31EC">
              <w:rPr>
                <w:rFonts w:eastAsia="SimSun"/>
                <w:sz w:val="22"/>
                <w:lang w:val="en-US"/>
              </w:rPr>
              <w:t>Cy2000</w:t>
            </w:r>
          </w:p>
        </w:tc>
        <w:tc>
          <w:tcPr>
            <w:tcW w:w="590" w:type="pct"/>
            <w:gridSpan w:val="2"/>
            <w:shd w:val="clear" w:color="auto" w:fill="D9D9D9"/>
            <w:vAlign w:val="center"/>
          </w:tcPr>
          <w:p w14:paraId="7388CBB4" w14:textId="77777777" w:rsidR="009F7F8A" w:rsidRPr="006A31EC" w:rsidRDefault="009F7F8A" w:rsidP="009F7F8A">
            <w:pPr>
              <w:rPr>
                <w:rFonts w:eastAsia="SimSun"/>
                <w:sz w:val="22"/>
                <w:lang w:val="en-US"/>
              </w:rPr>
            </w:pPr>
            <w:r w:rsidRPr="006A31EC">
              <w:rPr>
                <w:rFonts w:eastAsia="SimSun"/>
                <w:sz w:val="22"/>
                <w:lang w:val="en-US"/>
              </w:rPr>
              <w:t>Bu8</w:t>
            </w:r>
          </w:p>
        </w:tc>
        <w:tc>
          <w:tcPr>
            <w:tcW w:w="337" w:type="pct"/>
            <w:shd w:val="clear" w:color="auto" w:fill="D9D9D9"/>
            <w:vAlign w:val="center"/>
          </w:tcPr>
          <w:p w14:paraId="61FBBB97" w14:textId="77777777" w:rsidR="009F7F8A" w:rsidRPr="006A31EC" w:rsidRDefault="009F7F8A" w:rsidP="009F7F8A">
            <w:pPr>
              <w:rPr>
                <w:rFonts w:eastAsia="SimSun"/>
                <w:sz w:val="22"/>
                <w:lang w:val="en-US"/>
              </w:rPr>
            </w:pPr>
            <w:r w:rsidRPr="006A31EC">
              <w:rPr>
                <w:rFonts w:eastAsia="SimSun"/>
                <w:sz w:val="22"/>
                <w:lang w:val="en-US"/>
              </w:rPr>
              <w:t>-</w:t>
            </w:r>
          </w:p>
        </w:tc>
        <w:tc>
          <w:tcPr>
            <w:tcW w:w="337" w:type="pct"/>
            <w:shd w:val="clear" w:color="auto" w:fill="D9D9D9"/>
            <w:vAlign w:val="center"/>
          </w:tcPr>
          <w:p w14:paraId="11586BCC" w14:textId="77777777" w:rsidR="009F7F8A" w:rsidRPr="006A31EC" w:rsidRDefault="009F7F8A" w:rsidP="009F7F8A">
            <w:pPr>
              <w:rPr>
                <w:rFonts w:eastAsia="SimSun"/>
                <w:sz w:val="22"/>
                <w:lang w:val="en-US"/>
              </w:rPr>
            </w:pPr>
            <w:r w:rsidRPr="006A31EC">
              <w:rPr>
                <w:rFonts w:eastAsia="SimSun"/>
                <w:sz w:val="22"/>
                <w:lang w:val="en-US"/>
              </w:rPr>
              <w:t>-</w:t>
            </w:r>
          </w:p>
        </w:tc>
        <w:tc>
          <w:tcPr>
            <w:tcW w:w="401" w:type="pct"/>
            <w:shd w:val="clear" w:color="auto" w:fill="D9D9D9"/>
            <w:vAlign w:val="center"/>
          </w:tcPr>
          <w:p w14:paraId="082C1FB8" w14:textId="77777777" w:rsidR="009F7F8A" w:rsidRPr="006A31EC" w:rsidRDefault="009F7F8A" w:rsidP="009F7F8A">
            <w:pPr>
              <w:rPr>
                <w:rFonts w:eastAsia="SimSun"/>
                <w:sz w:val="22"/>
                <w:lang w:val="en-US"/>
              </w:rPr>
            </w:pPr>
            <w:r w:rsidRPr="006A31EC">
              <w:rPr>
                <w:rFonts w:eastAsia="SimSun"/>
                <w:sz w:val="22"/>
                <w:lang w:val="en-US"/>
              </w:rPr>
              <w:t>Bu8</w:t>
            </w:r>
          </w:p>
        </w:tc>
        <w:tc>
          <w:tcPr>
            <w:tcW w:w="442" w:type="pct"/>
            <w:shd w:val="clear" w:color="auto" w:fill="D9D9D9"/>
            <w:vAlign w:val="center"/>
          </w:tcPr>
          <w:p w14:paraId="1FC98893" w14:textId="77777777" w:rsidR="009F7F8A" w:rsidRPr="006A31EC" w:rsidRDefault="009F7F8A" w:rsidP="009F7F8A">
            <w:pPr>
              <w:rPr>
                <w:rFonts w:eastAsia="SimSun"/>
                <w:sz w:val="22"/>
                <w:lang w:val="en-US"/>
              </w:rPr>
            </w:pPr>
            <w:r w:rsidRPr="006A31EC">
              <w:rPr>
                <w:rFonts w:eastAsia="SimSun"/>
                <w:sz w:val="22"/>
                <w:lang w:val="en-US"/>
              </w:rPr>
              <w:t>Bu10</w:t>
            </w:r>
          </w:p>
        </w:tc>
        <w:tc>
          <w:tcPr>
            <w:tcW w:w="337" w:type="pct"/>
            <w:shd w:val="clear" w:color="auto" w:fill="D9D9D9"/>
            <w:vAlign w:val="center"/>
          </w:tcPr>
          <w:p w14:paraId="118921C2" w14:textId="77777777" w:rsidR="009F7F8A" w:rsidRPr="006A31EC" w:rsidRDefault="009F7F8A" w:rsidP="009F7F8A">
            <w:pPr>
              <w:rPr>
                <w:rFonts w:eastAsia="SimSun"/>
                <w:sz w:val="22"/>
                <w:lang w:val="en-US"/>
              </w:rPr>
            </w:pPr>
            <w:r w:rsidRPr="006A31EC">
              <w:rPr>
                <w:rFonts w:eastAsia="SimSun"/>
                <w:sz w:val="22"/>
                <w:lang w:val="en-US"/>
              </w:rPr>
              <w:t>Cy</w:t>
            </w:r>
            <w:r w:rsidRPr="006A31EC">
              <w:rPr>
                <w:rFonts w:eastAsia="SimSun"/>
                <w:sz w:val="22"/>
              </w:rPr>
              <w:t>12</w:t>
            </w:r>
            <w:r w:rsidRPr="006A31EC">
              <w:rPr>
                <w:rFonts w:eastAsia="SimSun"/>
                <w:sz w:val="22"/>
                <w:lang w:val="en-US"/>
              </w:rPr>
              <w:t>00</w:t>
            </w:r>
          </w:p>
        </w:tc>
        <w:tc>
          <w:tcPr>
            <w:tcW w:w="337" w:type="pct"/>
            <w:shd w:val="clear" w:color="auto" w:fill="D9D9D9"/>
            <w:vAlign w:val="center"/>
          </w:tcPr>
          <w:p w14:paraId="54E0C559" w14:textId="77777777" w:rsidR="009F7F8A" w:rsidRPr="006A31EC" w:rsidRDefault="009F7F8A" w:rsidP="009F7F8A">
            <w:pPr>
              <w:rPr>
                <w:rFonts w:eastAsia="SimSun"/>
                <w:sz w:val="22"/>
                <w:lang w:val="en-US"/>
              </w:rPr>
            </w:pPr>
            <w:r w:rsidRPr="006A31EC">
              <w:rPr>
                <w:rFonts w:eastAsia="SimSun"/>
                <w:sz w:val="22"/>
                <w:lang w:val="en-US"/>
              </w:rPr>
              <w:t>Mel100</w:t>
            </w:r>
          </w:p>
        </w:tc>
      </w:tr>
      <w:tr w:rsidR="009F7F8A" w:rsidRPr="006A31EC" w14:paraId="409B0C35" w14:textId="77777777" w:rsidTr="009F7F8A">
        <w:trPr>
          <w:cantSplit/>
          <w:trHeight w:val="354"/>
        </w:trPr>
        <w:tc>
          <w:tcPr>
            <w:tcW w:w="1237" w:type="pct"/>
            <w:gridSpan w:val="4"/>
            <w:vMerge/>
            <w:shd w:val="clear" w:color="auto" w:fill="auto"/>
            <w:vAlign w:val="center"/>
          </w:tcPr>
          <w:p w14:paraId="6B14FEF3" w14:textId="77777777" w:rsidR="009F7F8A" w:rsidRPr="006A31EC" w:rsidRDefault="009F7F8A" w:rsidP="009F7F8A">
            <w:pPr>
              <w:rPr>
                <w:rFonts w:eastAsia="SimSun"/>
                <w:sz w:val="22"/>
                <w:lang w:val="en-US"/>
              </w:rPr>
            </w:pPr>
          </w:p>
        </w:tc>
        <w:tc>
          <w:tcPr>
            <w:tcW w:w="337" w:type="pct"/>
            <w:shd w:val="clear" w:color="auto" w:fill="D9D9D9"/>
            <w:vAlign w:val="center"/>
          </w:tcPr>
          <w:p w14:paraId="1F85B0DB" w14:textId="77777777" w:rsidR="009F7F8A" w:rsidRPr="006A31EC" w:rsidRDefault="009F7F8A" w:rsidP="009F7F8A">
            <w:pPr>
              <w:rPr>
                <w:rFonts w:eastAsia="SimSun"/>
                <w:sz w:val="22"/>
                <w:lang w:val="en-US"/>
              </w:rPr>
            </w:pPr>
            <w:r w:rsidRPr="006A31EC">
              <w:rPr>
                <w:rFonts w:eastAsia="SimSun"/>
                <w:sz w:val="22"/>
                <w:lang w:val="en-US"/>
              </w:rPr>
              <w:t>-</w:t>
            </w:r>
          </w:p>
        </w:tc>
        <w:tc>
          <w:tcPr>
            <w:tcW w:w="312" w:type="pct"/>
            <w:shd w:val="clear" w:color="auto" w:fill="D9D9D9"/>
          </w:tcPr>
          <w:p w14:paraId="66DE8FB5" w14:textId="77777777" w:rsidR="009F7F8A" w:rsidRPr="006A31EC" w:rsidRDefault="009F7F8A" w:rsidP="009F7F8A">
            <w:pPr>
              <w:rPr>
                <w:rFonts w:eastAsia="SimSun"/>
                <w:sz w:val="22"/>
                <w:lang w:val="en-US"/>
              </w:rPr>
            </w:pPr>
          </w:p>
        </w:tc>
        <w:tc>
          <w:tcPr>
            <w:tcW w:w="337" w:type="pct"/>
            <w:shd w:val="clear" w:color="auto" w:fill="D9D9D9"/>
            <w:vAlign w:val="center"/>
          </w:tcPr>
          <w:p w14:paraId="033BFDE8" w14:textId="77777777" w:rsidR="009F7F8A" w:rsidRPr="006A31EC" w:rsidRDefault="009F7F8A" w:rsidP="009F7F8A">
            <w:pPr>
              <w:rPr>
                <w:rFonts w:eastAsia="SimSun"/>
                <w:sz w:val="22"/>
                <w:lang w:val="en-US"/>
              </w:rPr>
            </w:pPr>
            <w:r w:rsidRPr="006A31EC">
              <w:rPr>
                <w:rFonts w:eastAsia="SimSun"/>
                <w:sz w:val="22"/>
                <w:lang w:val="en-US"/>
              </w:rPr>
              <w:t>Mel 140</w:t>
            </w:r>
          </w:p>
        </w:tc>
        <w:tc>
          <w:tcPr>
            <w:tcW w:w="295" w:type="pct"/>
            <w:shd w:val="clear" w:color="auto" w:fill="D9D9D9"/>
          </w:tcPr>
          <w:p w14:paraId="2F885705" w14:textId="77777777" w:rsidR="009F7F8A" w:rsidRPr="006A31EC" w:rsidRDefault="009F7F8A" w:rsidP="009F7F8A">
            <w:pPr>
              <w:rPr>
                <w:rFonts w:eastAsia="SimSun"/>
                <w:sz w:val="22"/>
                <w:lang w:val="en-US"/>
              </w:rPr>
            </w:pPr>
            <w:r w:rsidRPr="006A31EC">
              <w:rPr>
                <w:rFonts w:eastAsia="SimSun"/>
                <w:sz w:val="22"/>
                <w:lang w:val="en-US"/>
              </w:rPr>
              <w:t>-</w:t>
            </w:r>
          </w:p>
        </w:tc>
        <w:tc>
          <w:tcPr>
            <w:tcW w:w="295" w:type="pct"/>
            <w:shd w:val="clear" w:color="auto" w:fill="D9D9D9"/>
            <w:vAlign w:val="center"/>
          </w:tcPr>
          <w:p w14:paraId="1C7F14F7" w14:textId="77777777" w:rsidR="009F7F8A" w:rsidRPr="006A31EC" w:rsidRDefault="009F7F8A" w:rsidP="009F7F8A">
            <w:pPr>
              <w:rPr>
                <w:rFonts w:eastAsia="SimSun"/>
                <w:sz w:val="22"/>
                <w:lang w:val="en-US"/>
              </w:rPr>
            </w:pPr>
            <w:r w:rsidRPr="006A31EC">
              <w:rPr>
                <w:rFonts w:eastAsia="SimSun"/>
                <w:sz w:val="22"/>
                <w:lang w:val="en-US"/>
              </w:rPr>
              <w:t>Thio</w:t>
            </w:r>
          </w:p>
        </w:tc>
        <w:tc>
          <w:tcPr>
            <w:tcW w:w="337" w:type="pct"/>
            <w:shd w:val="clear" w:color="auto" w:fill="D9D9D9"/>
            <w:vAlign w:val="center"/>
          </w:tcPr>
          <w:p w14:paraId="52541069" w14:textId="77777777" w:rsidR="009F7F8A" w:rsidRPr="006A31EC" w:rsidRDefault="009F7F8A" w:rsidP="009F7F8A">
            <w:pPr>
              <w:rPr>
                <w:rFonts w:eastAsia="SimSun"/>
                <w:sz w:val="22"/>
                <w:lang w:val="en-US"/>
              </w:rPr>
            </w:pPr>
            <w:r w:rsidRPr="006A31EC">
              <w:rPr>
                <w:rFonts w:eastAsia="SimSun"/>
                <w:sz w:val="22"/>
                <w:lang w:val="en-US"/>
              </w:rPr>
              <w:t>Treo36</w:t>
            </w:r>
          </w:p>
        </w:tc>
        <w:tc>
          <w:tcPr>
            <w:tcW w:w="337" w:type="pct"/>
            <w:shd w:val="clear" w:color="auto" w:fill="D9D9D9"/>
            <w:vAlign w:val="center"/>
          </w:tcPr>
          <w:p w14:paraId="7E066D53" w14:textId="77777777" w:rsidR="009F7F8A" w:rsidRPr="006A31EC" w:rsidRDefault="009F7F8A" w:rsidP="009F7F8A">
            <w:pPr>
              <w:rPr>
                <w:rFonts w:eastAsia="SimSun"/>
                <w:sz w:val="22"/>
                <w:lang w:val="en-US"/>
              </w:rPr>
            </w:pPr>
            <w:r w:rsidRPr="006A31EC">
              <w:rPr>
                <w:rFonts w:eastAsia="SimSun"/>
                <w:sz w:val="22"/>
                <w:lang w:val="en-US"/>
              </w:rPr>
              <w:t>Thio</w:t>
            </w:r>
          </w:p>
        </w:tc>
        <w:tc>
          <w:tcPr>
            <w:tcW w:w="401" w:type="pct"/>
            <w:shd w:val="clear" w:color="auto" w:fill="D9D9D9"/>
            <w:vAlign w:val="center"/>
          </w:tcPr>
          <w:p w14:paraId="579CF98B" w14:textId="77777777" w:rsidR="009F7F8A" w:rsidRPr="006A31EC" w:rsidRDefault="009F7F8A" w:rsidP="009F7F8A">
            <w:pPr>
              <w:rPr>
                <w:rFonts w:eastAsia="SimSun"/>
                <w:sz w:val="22"/>
                <w:lang w:val="en-US"/>
              </w:rPr>
            </w:pPr>
            <w:r w:rsidRPr="006A31EC">
              <w:rPr>
                <w:rFonts w:eastAsia="SimSun"/>
                <w:sz w:val="22"/>
                <w:lang w:val="en-US"/>
              </w:rPr>
              <w:t>-</w:t>
            </w:r>
          </w:p>
        </w:tc>
        <w:tc>
          <w:tcPr>
            <w:tcW w:w="442" w:type="pct"/>
            <w:shd w:val="clear" w:color="auto" w:fill="D9D9D9"/>
            <w:vAlign w:val="center"/>
          </w:tcPr>
          <w:p w14:paraId="3C1E3505" w14:textId="77777777" w:rsidR="009F7F8A" w:rsidRPr="006A31EC" w:rsidRDefault="009F7F8A" w:rsidP="009F7F8A">
            <w:pPr>
              <w:rPr>
                <w:rFonts w:eastAsia="SimSun"/>
                <w:sz w:val="22"/>
                <w:lang w:val="en-US"/>
              </w:rPr>
            </w:pPr>
            <w:r w:rsidRPr="006A31EC">
              <w:rPr>
                <w:rFonts w:eastAsia="SimSun"/>
                <w:sz w:val="22"/>
                <w:lang w:val="en-US"/>
              </w:rPr>
              <w:t>-</w:t>
            </w:r>
          </w:p>
        </w:tc>
        <w:tc>
          <w:tcPr>
            <w:tcW w:w="337" w:type="pct"/>
            <w:shd w:val="clear" w:color="auto" w:fill="D9D9D9"/>
            <w:vAlign w:val="center"/>
          </w:tcPr>
          <w:p w14:paraId="6DE4CD64" w14:textId="77777777" w:rsidR="009F7F8A" w:rsidRPr="006A31EC" w:rsidRDefault="009F7F8A" w:rsidP="009F7F8A">
            <w:pPr>
              <w:rPr>
                <w:rFonts w:eastAsia="SimSun"/>
                <w:sz w:val="22"/>
                <w:lang w:val="en-US"/>
              </w:rPr>
            </w:pPr>
            <w:r w:rsidRPr="006A31EC">
              <w:rPr>
                <w:rFonts w:eastAsia="SimSun"/>
                <w:sz w:val="22"/>
                <w:lang w:val="en-US"/>
              </w:rPr>
              <w:t>-</w:t>
            </w:r>
          </w:p>
        </w:tc>
        <w:tc>
          <w:tcPr>
            <w:tcW w:w="337" w:type="pct"/>
            <w:shd w:val="clear" w:color="auto" w:fill="D9D9D9"/>
          </w:tcPr>
          <w:p w14:paraId="7DA86797" w14:textId="77777777" w:rsidR="009F7F8A" w:rsidRPr="006A31EC" w:rsidRDefault="009F7F8A" w:rsidP="009F7F8A">
            <w:pPr>
              <w:rPr>
                <w:rFonts w:eastAsia="SimSun"/>
                <w:sz w:val="22"/>
                <w:lang w:val="en-US"/>
              </w:rPr>
            </w:pPr>
          </w:p>
        </w:tc>
      </w:tr>
      <w:tr w:rsidR="009F7F8A" w:rsidRPr="006A31EC" w14:paraId="2B6CE593" w14:textId="77777777" w:rsidTr="009F7F8A">
        <w:trPr>
          <w:cantSplit/>
          <w:trHeight w:val="624"/>
        </w:trPr>
        <w:tc>
          <w:tcPr>
            <w:tcW w:w="293" w:type="pct"/>
            <w:vMerge w:val="restart"/>
            <w:shd w:val="clear" w:color="auto" w:fill="D9D9D9"/>
            <w:vAlign w:val="center"/>
          </w:tcPr>
          <w:p w14:paraId="17302CF1" w14:textId="77777777" w:rsidR="009F7F8A" w:rsidRPr="006A31EC" w:rsidRDefault="009F7F8A" w:rsidP="009F7F8A">
            <w:pPr>
              <w:rPr>
                <w:rFonts w:eastAsia="SimSun"/>
                <w:sz w:val="22"/>
                <w:lang w:val="en-US"/>
              </w:rPr>
            </w:pPr>
            <w:r w:rsidRPr="006A31EC">
              <w:rPr>
                <w:rFonts w:eastAsia="SimSun"/>
                <w:sz w:val="22"/>
                <w:lang w:val="en-US"/>
              </w:rPr>
              <w:t>hATG</w:t>
            </w:r>
          </w:p>
        </w:tc>
        <w:tc>
          <w:tcPr>
            <w:tcW w:w="284" w:type="pct"/>
            <w:vMerge w:val="restart"/>
            <w:shd w:val="clear" w:color="auto" w:fill="D9D9D9"/>
            <w:vAlign w:val="center"/>
          </w:tcPr>
          <w:p w14:paraId="2E38CB4E" w14:textId="77777777" w:rsidR="009F7F8A" w:rsidRPr="006A31EC" w:rsidRDefault="009F7F8A" w:rsidP="009F7F8A">
            <w:pPr>
              <w:rPr>
                <w:rFonts w:eastAsia="SimSun"/>
                <w:sz w:val="22"/>
                <w:lang w:val="en-US"/>
              </w:rPr>
            </w:pPr>
            <w:r w:rsidRPr="006A31EC">
              <w:rPr>
                <w:rFonts w:eastAsia="SimSun"/>
                <w:sz w:val="22"/>
                <w:lang w:val="en-US"/>
              </w:rPr>
              <w:t>CSA</w:t>
            </w:r>
          </w:p>
        </w:tc>
        <w:tc>
          <w:tcPr>
            <w:tcW w:w="261" w:type="pct"/>
            <w:vMerge w:val="restart"/>
            <w:shd w:val="clear" w:color="auto" w:fill="D9D9D9"/>
            <w:vAlign w:val="center"/>
          </w:tcPr>
          <w:p w14:paraId="53DC3A30" w14:textId="77777777" w:rsidR="009F7F8A" w:rsidRPr="006A31EC" w:rsidRDefault="009F7F8A" w:rsidP="009F7F8A">
            <w:pPr>
              <w:rPr>
                <w:rFonts w:eastAsia="SimSun"/>
                <w:sz w:val="22"/>
                <w:lang w:val="en-US"/>
              </w:rPr>
            </w:pPr>
            <w:r w:rsidRPr="006A31EC">
              <w:rPr>
                <w:rFonts w:eastAsia="SimSun"/>
                <w:sz w:val="22"/>
                <w:lang w:val="en-US"/>
              </w:rPr>
              <w:t>MTX</w:t>
            </w:r>
          </w:p>
        </w:tc>
        <w:tc>
          <w:tcPr>
            <w:tcW w:w="398" w:type="pct"/>
            <w:shd w:val="clear" w:color="auto" w:fill="D9D9D9"/>
            <w:vAlign w:val="center"/>
          </w:tcPr>
          <w:p w14:paraId="42B12EE3" w14:textId="77777777" w:rsidR="009F7F8A" w:rsidRPr="006A31EC" w:rsidRDefault="009F7F8A" w:rsidP="009F7F8A">
            <w:pPr>
              <w:rPr>
                <w:rFonts w:eastAsia="SimSun"/>
                <w:sz w:val="22"/>
                <w:lang w:val="en-US"/>
              </w:rPr>
            </w:pPr>
            <w:r w:rsidRPr="006A31EC">
              <w:rPr>
                <w:rFonts w:eastAsia="SimSun"/>
                <w:sz w:val="22"/>
                <w:lang w:val="en-US"/>
              </w:rPr>
              <w:t>-</w:t>
            </w:r>
          </w:p>
        </w:tc>
        <w:tc>
          <w:tcPr>
            <w:tcW w:w="337" w:type="pct"/>
            <w:shd w:val="clear" w:color="auto" w:fill="auto"/>
            <w:vAlign w:val="center"/>
          </w:tcPr>
          <w:p w14:paraId="22608013" w14:textId="77777777" w:rsidR="009F7F8A" w:rsidRPr="006A31EC" w:rsidRDefault="009F7F8A" w:rsidP="009F7F8A">
            <w:pPr>
              <w:rPr>
                <w:rFonts w:eastAsia="SimSun"/>
                <w:sz w:val="22"/>
                <w:lang w:val="en-US"/>
              </w:rPr>
            </w:pPr>
          </w:p>
        </w:tc>
        <w:tc>
          <w:tcPr>
            <w:tcW w:w="312" w:type="pct"/>
            <w:vAlign w:val="center"/>
          </w:tcPr>
          <w:p w14:paraId="6B1E28EC" w14:textId="77777777" w:rsidR="009F7F8A" w:rsidRPr="006A31EC" w:rsidRDefault="009F7F8A" w:rsidP="009F7F8A">
            <w:pPr>
              <w:rPr>
                <w:rFonts w:eastAsia="SimSun"/>
                <w:sz w:val="22"/>
              </w:rPr>
            </w:pPr>
            <w:r w:rsidRPr="006A31EC">
              <w:rPr>
                <w:rFonts w:eastAsia="SimSun"/>
                <w:sz w:val="22"/>
                <w:lang w:val="en-US"/>
              </w:rPr>
              <w:t>5.1.2.</w:t>
            </w:r>
            <w:r w:rsidRPr="006A31EC">
              <w:rPr>
                <w:rFonts w:eastAsia="SimSun"/>
                <w:sz w:val="22"/>
              </w:rPr>
              <w:t>18</w:t>
            </w:r>
          </w:p>
        </w:tc>
        <w:tc>
          <w:tcPr>
            <w:tcW w:w="337" w:type="pct"/>
            <w:shd w:val="clear" w:color="auto" w:fill="auto"/>
            <w:vAlign w:val="center"/>
          </w:tcPr>
          <w:p w14:paraId="7F14E5A2" w14:textId="77777777" w:rsidR="009F7F8A" w:rsidRPr="006A31EC" w:rsidRDefault="009F7F8A" w:rsidP="009F7F8A">
            <w:pPr>
              <w:rPr>
                <w:rFonts w:eastAsia="SimSun"/>
                <w:sz w:val="22"/>
                <w:lang w:val="en-US"/>
              </w:rPr>
            </w:pPr>
          </w:p>
        </w:tc>
        <w:tc>
          <w:tcPr>
            <w:tcW w:w="295" w:type="pct"/>
            <w:shd w:val="clear" w:color="auto" w:fill="auto"/>
            <w:vAlign w:val="center"/>
          </w:tcPr>
          <w:p w14:paraId="5FBA7A73" w14:textId="77777777" w:rsidR="009F7F8A" w:rsidRPr="006A31EC" w:rsidRDefault="009F7F8A" w:rsidP="009F7F8A">
            <w:pPr>
              <w:rPr>
                <w:rFonts w:eastAsia="SimSun"/>
                <w:sz w:val="22"/>
                <w:lang w:val="en-US"/>
              </w:rPr>
            </w:pPr>
          </w:p>
        </w:tc>
        <w:tc>
          <w:tcPr>
            <w:tcW w:w="295" w:type="pct"/>
            <w:shd w:val="clear" w:color="auto" w:fill="auto"/>
            <w:vAlign w:val="center"/>
          </w:tcPr>
          <w:p w14:paraId="0FF87EB3" w14:textId="77777777" w:rsidR="009F7F8A" w:rsidRPr="006A31EC" w:rsidRDefault="009F7F8A" w:rsidP="009F7F8A">
            <w:pPr>
              <w:rPr>
                <w:rFonts w:eastAsia="SimSun"/>
                <w:sz w:val="22"/>
                <w:lang w:val="en-US"/>
              </w:rPr>
            </w:pPr>
          </w:p>
        </w:tc>
        <w:tc>
          <w:tcPr>
            <w:tcW w:w="337" w:type="pct"/>
            <w:shd w:val="clear" w:color="auto" w:fill="auto"/>
            <w:vAlign w:val="center"/>
          </w:tcPr>
          <w:p w14:paraId="4B21423D" w14:textId="77777777" w:rsidR="009F7F8A" w:rsidRPr="006A31EC" w:rsidRDefault="009F7F8A" w:rsidP="009F7F8A">
            <w:pPr>
              <w:rPr>
                <w:rFonts w:eastAsia="SimSun"/>
                <w:sz w:val="22"/>
                <w:lang w:val="en-US"/>
              </w:rPr>
            </w:pPr>
          </w:p>
        </w:tc>
        <w:tc>
          <w:tcPr>
            <w:tcW w:w="337" w:type="pct"/>
            <w:shd w:val="clear" w:color="auto" w:fill="auto"/>
            <w:vAlign w:val="center"/>
          </w:tcPr>
          <w:p w14:paraId="55F6F440" w14:textId="77777777" w:rsidR="009F7F8A" w:rsidRPr="006A31EC" w:rsidRDefault="009F7F8A" w:rsidP="009F7F8A">
            <w:pPr>
              <w:rPr>
                <w:sz w:val="22"/>
              </w:rPr>
            </w:pPr>
          </w:p>
        </w:tc>
        <w:tc>
          <w:tcPr>
            <w:tcW w:w="401" w:type="pct"/>
            <w:shd w:val="clear" w:color="auto" w:fill="auto"/>
            <w:vAlign w:val="center"/>
          </w:tcPr>
          <w:p w14:paraId="7E053022" w14:textId="77777777" w:rsidR="009F7F8A" w:rsidRPr="006A31EC" w:rsidRDefault="009F7F8A" w:rsidP="009F7F8A">
            <w:pPr>
              <w:rPr>
                <w:sz w:val="22"/>
              </w:rPr>
            </w:pPr>
          </w:p>
        </w:tc>
        <w:tc>
          <w:tcPr>
            <w:tcW w:w="442" w:type="pct"/>
            <w:shd w:val="clear" w:color="auto" w:fill="auto"/>
            <w:vAlign w:val="center"/>
          </w:tcPr>
          <w:p w14:paraId="28149658" w14:textId="77777777" w:rsidR="009F7F8A" w:rsidRPr="006A31EC" w:rsidRDefault="009F7F8A" w:rsidP="009F7F8A">
            <w:pPr>
              <w:rPr>
                <w:rFonts w:eastAsia="SimSun"/>
                <w:sz w:val="22"/>
                <w:lang w:val="en-US"/>
              </w:rPr>
            </w:pPr>
          </w:p>
        </w:tc>
        <w:tc>
          <w:tcPr>
            <w:tcW w:w="337" w:type="pct"/>
            <w:shd w:val="clear" w:color="auto" w:fill="auto"/>
            <w:vAlign w:val="center"/>
          </w:tcPr>
          <w:p w14:paraId="38D8698A" w14:textId="77777777" w:rsidR="009F7F8A" w:rsidRPr="006A31EC" w:rsidRDefault="009F7F8A" w:rsidP="009F7F8A">
            <w:pPr>
              <w:rPr>
                <w:rFonts w:eastAsia="SimSun"/>
                <w:sz w:val="22"/>
                <w:lang w:val="en-US"/>
              </w:rPr>
            </w:pPr>
          </w:p>
        </w:tc>
        <w:tc>
          <w:tcPr>
            <w:tcW w:w="337" w:type="pct"/>
          </w:tcPr>
          <w:p w14:paraId="6155961E" w14:textId="77777777" w:rsidR="009F7F8A" w:rsidRPr="006A31EC" w:rsidRDefault="009F7F8A" w:rsidP="009F7F8A">
            <w:pPr>
              <w:rPr>
                <w:rFonts w:eastAsia="SimSun"/>
                <w:sz w:val="22"/>
                <w:lang w:val="en-US"/>
              </w:rPr>
            </w:pPr>
          </w:p>
        </w:tc>
      </w:tr>
      <w:tr w:rsidR="009F7F8A" w:rsidRPr="006A31EC" w14:paraId="112AAE2D" w14:textId="77777777" w:rsidTr="009F7F8A">
        <w:trPr>
          <w:cantSplit/>
          <w:trHeight w:val="624"/>
        </w:trPr>
        <w:tc>
          <w:tcPr>
            <w:tcW w:w="293" w:type="pct"/>
            <w:vMerge/>
            <w:shd w:val="clear" w:color="auto" w:fill="D9D9D9"/>
            <w:vAlign w:val="center"/>
          </w:tcPr>
          <w:p w14:paraId="0BB008BB" w14:textId="77777777" w:rsidR="009F7F8A" w:rsidRPr="006A31EC" w:rsidRDefault="009F7F8A" w:rsidP="009F7F8A">
            <w:pPr>
              <w:rPr>
                <w:rFonts w:eastAsia="SimSun"/>
                <w:sz w:val="22"/>
                <w:lang w:val="en-US"/>
              </w:rPr>
            </w:pPr>
          </w:p>
        </w:tc>
        <w:tc>
          <w:tcPr>
            <w:tcW w:w="284" w:type="pct"/>
            <w:vMerge/>
            <w:shd w:val="clear" w:color="auto" w:fill="D9D9D9"/>
            <w:vAlign w:val="center"/>
          </w:tcPr>
          <w:p w14:paraId="7B4B969E" w14:textId="77777777" w:rsidR="009F7F8A" w:rsidRPr="006A31EC" w:rsidRDefault="009F7F8A" w:rsidP="009F7F8A">
            <w:pPr>
              <w:rPr>
                <w:rFonts w:eastAsia="SimSun"/>
                <w:sz w:val="22"/>
                <w:lang w:val="en-US"/>
              </w:rPr>
            </w:pPr>
          </w:p>
        </w:tc>
        <w:tc>
          <w:tcPr>
            <w:tcW w:w="261" w:type="pct"/>
            <w:vMerge/>
            <w:shd w:val="clear" w:color="auto" w:fill="D9D9D9"/>
            <w:vAlign w:val="center"/>
          </w:tcPr>
          <w:p w14:paraId="1DDE1D71" w14:textId="77777777" w:rsidR="009F7F8A" w:rsidRPr="006A31EC" w:rsidRDefault="009F7F8A" w:rsidP="009F7F8A">
            <w:pPr>
              <w:rPr>
                <w:rFonts w:eastAsia="SimSun"/>
                <w:sz w:val="22"/>
                <w:lang w:val="en-US"/>
              </w:rPr>
            </w:pPr>
          </w:p>
        </w:tc>
        <w:tc>
          <w:tcPr>
            <w:tcW w:w="398" w:type="pct"/>
            <w:shd w:val="clear" w:color="auto" w:fill="D9D9D9"/>
            <w:vAlign w:val="center"/>
          </w:tcPr>
          <w:p w14:paraId="6D1C3D35" w14:textId="77777777" w:rsidR="009F7F8A" w:rsidRPr="006A31EC" w:rsidRDefault="009F7F8A" w:rsidP="009F7F8A">
            <w:pPr>
              <w:rPr>
                <w:rFonts w:eastAsia="SimSun"/>
                <w:sz w:val="22"/>
                <w:lang w:val="en-US"/>
              </w:rPr>
            </w:pPr>
            <w:r w:rsidRPr="006A31EC">
              <w:rPr>
                <w:rFonts w:eastAsia="SimSun"/>
                <w:sz w:val="22"/>
                <w:lang w:val="en-US"/>
              </w:rPr>
              <w:t>MMF30</w:t>
            </w:r>
          </w:p>
        </w:tc>
        <w:tc>
          <w:tcPr>
            <w:tcW w:w="337" w:type="pct"/>
            <w:shd w:val="clear" w:color="auto" w:fill="auto"/>
            <w:vAlign w:val="center"/>
          </w:tcPr>
          <w:p w14:paraId="6F650D31" w14:textId="77777777" w:rsidR="009F7F8A" w:rsidRPr="006A31EC" w:rsidRDefault="009F7F8A" w:rsidP="009F7F8A">
            <w:pPr>
              <w:rPr>
                <w:sz w:val="22"/>
              </w:rPr>
            </w:pPr>
            <w:r w:rsidRPr="006A31EC">
              <w:rPr>
                <w:rFonts w:eastAsia="SimSun"/>
                <w:sz w:val="22"/>
                <w:lang w:val="en-US"/>
              </w:rPr>
              <w:t>-</w:t>
            </w:r>
          </w:p>
        </w:tc>
        <w:tc>
          <w:tcPr>
            <w:tcW w:w="312" w:type="pct"/>
          </w:tcPr>
          <w:p w14:paraId="12B80338" w14:textId="77777777" w:rsidR="009F7F8A" w:rsidRPr="006A31EC" w:rsidRDefault="009F7F8A" w:rsidP="009F7F8A">
            <w:pPr>
              <w:rPr>
                <w:rFonts w:eastAsia="SimSun"/>
                <w:sz w:val="22"/>
                <w:lang w:val="en-US"/>
              </w:rPr>
            </w:pPr>
          </w:p>
        </w:tc>
        <w:tc>
          <w:tcPr>
            <w:tcW w:w="337" w:type="pct"/>
            <w:shd w:val="clear" w:color="auto" w:fill="auto"/>
            <w:vAlign w:val="center"/>
          </w:tcPr>
          <w:p w14:paraId="38603CE8"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5F0D67A5"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204E1D34" w14:textId="77777777" w:rsidR="009F7F8A" w:rsidRPr="006A31EC" w:rsidRDefault="009F7F8A" w:rsidP="009F7F8A">
            <w:pPr>
              <w:rPr>
                <w:rFonts w:eastAsia="SimSun"/>
                <w:sz w:val="22"/>
                <w:lang w:val="en-US"/>
              </w:rPr>
            </w:pPr>
            <w:r w:rsidRPr="006A31EC">
              <w:rPr>
                <w:rFonts w:eastAsia="SimSun"/>
                <w:sz w:val="22"/>
                <w:lang w:val="en-US"/>
              </w:rPr>
              <w:t>5.1.2.1</w:t>
            </w:r>
          </w:p>
        </w:tc>
        <w:tc>
          <w:tcPr>
            <w:tcW w:w="337" w:type="pct"/>
            <w:shd w:val="clear" w:color="auto" w:fill="auto"/>
            <w:vAlign w:val="center"/>
          </w:tcPr>
          <w:p w14:paraId="6FC31BD2"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2B0F2F84" w14:textId="77777777" w:rsidR="009F7F8A" w:rsidRPr="006A31EC" w:rsidRDefault="009F7F8A" w:rsidP="009F7F8A">
            <w:pPr>
              <w:rPr>
                <w:sz w:val="22"/>
              </w:rPr>
            </w:pPr>
          </w:p>
        </w:tc>
        <w:tc>
          <w:tcPr>
            <w:tcW w:w="401" w:type="pct"/>
            <w:shd w:val="clear" w:color="auto" w:fill="auto"/>
            <w:vAlign w:val="center"/>
          </w:tcPr>
          <w:p w14:paraId="009EA7E9" w14:textId="77777777" w:rsidR="009F7F8A" w:rsidRPr="006A31EC" w:rsidRDefault="009F7F8A" w:rsidP="009F7F8A">
            <w:pPr>
              <w:rPr>
                <w:sz w:val="22"/>
              </w:rPr>
            </w:pPr>
            <w:r w:rsidRPr="006A31EC">
              <w:rPr>
                <w:sz w:val="22"/>
              </w:rPr>
              <w:t>5.1.2.5</w:t>
            </w:r>
          </w:p>
        </w:tc>
        <w:tc>
          <w:tcPr>
            <w:tcW w:w="442" w:type="pct"/>
            <w:shd w:val="clear" w:color="auto" w:fill="auto"/>
            <w:vAlign w:val="center"/>
          </w:tcPr>
          <w:p w14:paraId="619C37A9"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41103A11" w14:textId="77777777" w:rsidR="009F7F8A" w:rsidRPr="006A31EC" w:rsidRDefault="009F7F8A" w:rsidP="009F7F8A">
            <w:pPr>
              <w:rPr>
                <w:sz w:val="22"/>
              </w:rPr>
            </w:pPr>
            <w:r w:rsidRPr="006A31EC">
              <w:rPr>
                <w:rFonts w:eastAsia="SimSun"/>
                <w:sz w:val="22"/>
                <w:lang w:val="en-US"/>
              </w:rPr>
              <w:t>-</w:t>
            </w:r>
          </w:p>
        </w:tc>
        <w:tc>
          <w:tcPr>
            <w:tcW w:w="337" w:type="pct"/>
          </w:tcPr>
          <w:p w14:paraId="26908428" w14:textId="77777777" w:rsidR="009F7F8A" w:rsidRPr="006A31EC" w:rsidRDefault="009F7F8A" w:rsidP="009F7F8A">
            <w:pPr>
              <w:rPr>
                <w:rFonts w:eastAsia="SimSun"/>
                <w:sz w:val="22"/>
                <w:lang w:val="en-US"/>
              </w:rPr>
            </w:pPr>
          </w:p>
        </w:tc>
      </w:tr>
      <w:tr w:rsidR="009F7F8A" w:rsidRPr="006A31EC" w14:paraId="2520F2E5" w14:textId="77777777" w:rsidTr="009F7F8A">
        <w:trPr>
          <w:cantSplit/>
          <w:trHeight w:val="624"/>
        </w:trPr>
        <w:tc>
          <w:tcPr>
            <w:tcW w:w="293" w:type="pct"/>
            <w:vMerge/>
            <w:shd w:val="clear" w:color="auto" w:fill="D9D9D9"/>
            <w:vAlign w:val="center"/>
          </w:tcPr>
          <w:p w14:paraId="2D68BE4E" w14:textId="77777777" w:rsidR="009F7F8A" w:rsidRPr="006A31EC" w:rsidRDefault="009F7F8A" w:rsidP="009F7F8A">
            <w:pPr>
              <w:rPr>
                <w:rFonts w:eastAsia="SimSun"/>
                <w:sz w:val="22"/>
                <w:lang w:val="en-US"/>
              </w:rPr>
            </w:pPr>
          </w:p>
        </w:tc>
        <w:tc>
          <w:tcPr>
            <w:tcW w:w="284" w:type="pct"/>
            <w:shd w:val="clear" w:color="auto" w:fill="D9D9D9"/>
            <w:vAlign w:val="center"/>
          </w:tcPr>
          <w:p w14:paraId="26597487" w14:textId="77777777" w:rsidR="009F7F8A" w:rsidRPr="006A31EC" w:rsidRDefault="009F7F8A" w:rsidP="009F7F8A">
            <w:pPr>
              <w:rPr>
                <w:rFonts w:eastAsia="SimSun"/>
                <w:sz w:val="22"/>
                <w:lang w:val="en-US"/>
              </w:rPr>
            </w:pPr>
            <w:r w:rsidRPr="006A31EC">
              <w:rPr>
                <w:rFonts w:eastAsia="SimSun"/>
                <w:sz w:val="22"/>
                <w:lang w:val="en-US"/>
              </w:rPr>
              <w:t>Tx</w:t>
            </w:r>
          </w:p>
        </w:tc>
        <w:tc>
          <w:tcPr>
            <w:tcW w:w="261" w:type="pct"/>
            <w:shd w:val="clear" w:color="auto" w:fill="D9D9D9"/>
            <w:vAlign w:val="center"/>
          </w:tcPr>
          <w:p w14:paraId="50D82FBD" w14:textId="77777777" w:rsidR="009F7F8A" w:rsidRPr="006A31EC" w:rsidRDefault="009F7F8A" w:rsidP="009F7F8A">
            <w:pPr>
              <w:rPr>
                <w:rFonts w:eastAsia="SimSun"/>
                <w:sz w:val="22"/>
                <w:lang w:val="en-US"/>
              </w:rPr>
            </w:pPr>
            <w:r w:rsidRPr="006A31EC">
              <w:rPr>
                <w:rFonts w:eastAsia="SimSun"/>
                <w:sz w:val="22"/>
                <w:lang w:val="en-US"/>
              </w:rPr>
              <w:t>-</w:t>
            </w:r>
          </w:p>
        </w:tc>
        <w:tc>
          <w:tcPr>
            <w:tcW w:w="398" w:type="pct"/>
            <w:shd w:val="clear" w:color="auto" w:fill="D9D9D9"/>
            <w:vAlign w:val="center"/>
          </w:tcPr>
          <w:p w14:paraId="10AC578E" w14:textId="77777777" w:rsidR="009F7F8A" w:rsidRPr="006A31EC" w:rsidRDefault="009F7F8A" w:rsidP="009F7F8A">
            <w:pPr>
              <w:rPr>
                <w:rFonts w:eastAsia="SimSun"/>
                <w:sz w:val="22"/>
                <w:lang w:val="en-US"/>
              </w:rPr>
            </w:pPr>
            <w:r w:rsidRPr="006A31EC">
              <w:rPr>
                <w:rFonts w:eastAsia="SimSun"/>
                <w:sz w:val="22"/>
                <w:lang w:val="en-US"/>
              </w:rPr>
              <w:t>MMF30</w:t>
            </w:r>
          </w:p>
        </w:tc>
        <w:tc>
          <w:tcPr>
            <w:tcW w:w="337" w:type="pct"/>
            <w:shd w:val="clear" w:color="auto" w:fill="auto"/>
            <w:vAlign w:val="center"/>
          </w:tcPr>
          <w:p w14:paraId="3EA799A9" w14:textId="77777777" w:rsidR="009F7F8A" w:rsidRPr="006A31EC" w:rsidRDefault="009F7F8A" w:rsidP="009F7F8A">
            <w:pPr>
              <w:rPr>
                <w:sz w:val="22"/>
              </w:rPr>
            </w:pPr>
            <w:r w:rsidRPr="006A31EC">
              <w:rPr>
                <w:rFonts w:eastAsia="SimSun"/>
                <w:sz w:val="22"/>
                <w:lang w:val="en-US"/>
              </w:rPr>
              <w:t>-</w:t>
            </w:r>
          </w:p>
        </w:tc>
        <w:tc>
          <w:tcPr>
            <w:tcW w:w="312" w:type="pct"/>
          </w:tcPr>
          <w:p w14:paraId="3EBEAF47" w14:textId="77777777" w:rsidR="009F7F8A" w:rsidRPr="006A31EC" w:rsidRDefault="009F7F8A" w:rsidP="009F7F8A">
            <w:pPr>
              <w:rPr>
                <w:rFonts w:eastAsia="SimSun"/>
                <w:sz w:val="22"/>
                <w:lang w:val="en-US"/>
              </w:rPr>
            </w:pPr>
          </w:p>
        </w:tc>
        <w:tc>
          <w:tcPr>
            <w:tcW w:w="337" w:type="pct"/>
            <w:shd w:val="clear" w:color="auto" w:fill="auto"/>
            <w:vAlign w:val="center"/>
          </w:tcPr>
          <w:p w14:paraId="34570A30"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0A2EB3A6"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3CAEA379"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12C22D54"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3E51B739" w14:textId="77777777" w:rsidR="009F7F8A" w:rsidRPr="006A31EC" w:rsidRDefault="009F7F8A" w:rsidP="009F7F8A">
            <w:pPr>
              <w:rPr>
                <w:sz w:val="22"/>
              </w:rPr>
            </w:pPr>
            <w:r w:rsidRPr="006A31EC">
              <w:rPr>
                <w:sz w:val="22"/>
              </w:rPr>
              <w:t>5.1.2.21</w:t>
            </w:r>
          </w:p>
        </w:tc>
        <w:tc>
          <w:tcPr>
            <w:tcW w:w="401" w:type="pct"/>
            <w:shd w:val="clear" w:color="auto" w:fill="auto"/>
            <w:vAlign w:val="center"/>
          </w:tcPr>
          <w:p w14:paraId="5FEED907" w14:textId="77777777" w:rsidR="009F7F8A" w:rsidRPr="006A31EC" w:rsidRDefault="009F7F8A" w:rsidP="009F7F8A">
            <w:pPr>
              <w:rPr>
                <w:sz w:val="22"/>
              </w:rPr>
            </w:pPr>
            <w:r w:rsidRPr="006A31EC">
              <w:rPr>
                <w:rFonts w:eastAsia="SimSun"/>
                <w:sz w:val="22"/>
                <w:lang w:val="en-US"/>
              </w:rPr>
              <w:t>-</w:t>
            </w:r>
          </w:p>
        </w:tc>
        <w:tc>
          <w:tcPr>
            <w:tcW w:w="442" w:type="pct"/>
            <w:shd w:val="clear" w:color="auto" w:fill="auto"/>
            <w:vAlign w:val="center"/>
          </w:tcPr>
          <w:p w14:paraId="6908BAC8"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0EF27150" w14:textId="77777777" w:rsidR="009F7F8A" w:rsidRPr="006A31EC" w:rsidRDefault="009F7F8A" w:rsidP="009F7F8A">
            <w:pPr>
              <w:rPr>
                <w:rFonts w:eastAsia="SimSun"/>
                <w:sz w:val="22"/>
              </w:rPr>
            </w:pPr>
            <w:r w:rsidRPr="006A31EC">
              <w:rPr>
                <w:rFonts w:eastAsia="SimSun"/>
                <w:sz w:val="22"/>
                <w:lang w:val="en-US"/>
              </w:rPr>
              <w:t>5.1.2.2</w:t>
            </w:r>
            <w:r w:rsidRPr="006A31EC">
              <w:rPr>
                <w:rFonts w:eastAsia="SimSun"/>
                <w:sz w:val="22"/>
              </w:rPr>
              <w:t>2</w:t>
            </w:r>
          </w:p>
        </w:tc>
        <w:tc>
          <w:tcPr>
            <w:tcW w:w="337" w:type="pct"/>
          </w:tcPr>
          <w:p w14:paraId="05F1B7B3" w14:textId="77777777" w:rsidR="009F7F8A" w:rsidRPr="006A31EC" w:rsidRDefault="009F7F8A" w:rsidP="009F7F8A">
            <w:pPr>
              <w:rPr>
                <w:rFonts w:eastAsia="SimSun"/>
                <w:sz w:val="22"/>
                <w:lang w:val="en-US"/>
              </w:rPr>
            </w:pPr>
          </w:p>
        </w:tc>
      </w:tr>
      <w:tr w:rsidR="009F7F8A" w:rsidRPr="006A31EC" w14:paraId="02EDDC0B" w14:textId="77777777" w:rsidTr="009F7F8A">
        <w:trPr>
          <w:cantSplit/>
          <w:trHeight w:val="624"/>
        </w:trPr>
        <w:tc>
          <w:tcPr>
            <w:tcW w:w="293" w:type="pct"/>
            <w:vMerge w:val="restart"/>
            <w:shd w:val="clear" w:color="auto" w:fill="D9D9D9"/>
            <w:vAlign w:val="center"/>
          </w:tcPr>
          <w:p w14:paraId="7C12FCC0" w14:textId="77777777" w:rsidR="009F7F8A" w:rsidRPr="006A31EC" w:rsidRDefault="009F7F8A" w:rsidP="009F7F8A">
            <w:pPr>
              <w:rPr>
                <w:rFonts w:eastAsia="SimSun"/>
                <w:sz w:val="22"/>
                <w:lang w:val="en-US"/>
              </w:rPr>
            </w:pPr>
            <w:r w:rsidRPr="006A31EC">
              <w:rPr>
                <w:rFonts w:eastAsia="SimSun"/>
                <w:sz w:val="22"/>
                <w:lang w:val="en-US"/>
              </w:rPr>
              <w:t>rATG</w:t>
            </w:r>
          </w:p>
        </w:tc>
        <w:tc>
          <w:tcPr>
            <w:tcW w:w="284" w:type="pct"/>
            <w:shd w:val="clear" w:color="auto" w:fill="D9D9D9"/>
            <w:vAlign w:val="center"/>
          </w:tcPr>
          <w:p w14:paraId="7F774F7A" w14:textId="77777777" w:rsidR="009F7F8A" w:rsidRPr="006A31EC" w:rsidRDefault="009F7F8A" w:rsidP="009F7F8A">
            <w:pPr>
              <w:rPr>
                <w:rFonts w:eastAsia="SimSun"/>
                <w:sz w:val="22"/>
                <w:lang w:val="en-US"/>
              </w:rPr>
            </w:pPr>
            <w:r w:rsidRPr="006A31EC">
              <w:rPr>
                <w:rFonts w:eastAsia="SimSun"/>
                <w:sz w:val="22"/>
                <w:lang w:val="en-US"/>
              </w:rPr>
              <w:t>CSA</w:t>
            </w:r>
          </w:p>
        </w:tc>
        <w:tc>
          <w:tcPr>
            <w:tcW w:w="261" w:type="pct"/>
            <w:shd w:val="clear" w:color="auto" w:fill="D9D9D9"/>
            <w:vAlign w:val="center"/>
          </w:tcPr>
          <w:p w14:paraId="1F30F3BB" w14:textId="77777777" w:rsidR="009F7F8A" w:rsidRPr="006A31EC" w:rsidRDefault="009F7F8A" w:rsidP="009F7F8A">
            <w:pPr>
              <w:rPr>
                <w:rFonts w:eastAsia="SimSun"/>
                <w:sz w:val="22"/>
                <w:lang w:val="en-US"/>
              </w:rPr>
            </w:pPr>
            <w:r w:rsidRPr="006A31EC">
              <w:rPr>
                <w:rFonts w:eastAsia="SimSun"/>
                <w:sz w:val="22"/>
                <w:lang w:val="en-US"/>
              </w:rPr>
              <w:t>MTX</w:t>
            </w:r>
          </w:p>
        </w:tc>
        <w:tc>
          <w:tcPr>
            <w:tcW w:w="398" w:type="pct"/>
            <w:shd w:val="clear" w:color="auto" w:fill="D9D9D9"/>
            <w:vAlign w:val="center"/>
          </w:tcPr>
          <w:p w14:paraId="340322E1" w14:textId="77777777" w:rsidR="009F7F8A" w:rsidRPr="006A31EC" w:rsidRDefault="009F7F8A" w:rsidP="009F7F8A">
            <w:pPr>
              <w:rPr>
                <w:rFonts w:eastAsia="SimSun"/>
                <w:sz w:val="22"/>
                <w:lang w:val="en-US"/>
              </w:rPr>
            </w:pPr>
            <w:r w:rsidRPr="006A31EC">
              <w:rPr>
                <w:rFonts w:eastAsia="SimSun"/>
                <w:sz w:val="22"/>
                <w:lang w:val="en-US"/>
              </w:rPr>
              <w:t>MMF30</w:t>
            </w:r>
          </w:p>
        </w:tc>
        <w:tc>
          <w:tcPr>
            <w:tcW w:w="337" w:type="pct"/>
            <w:shd w:val="clear" w:color="auto" w:fill="auto"/>
            <w:vAlign w:val="center"/>
          </w:tcPr>
          <w:p w14:paraId="775DD253" w14:textId="77777777" w:rsidR="009F7F8A" w:rsidRPr="006A31EC" w:rsidRDefault="009F7F8A" w:rsidP="009F7F8A">
            <w:pPr>
              <w:rPr>
                <w:sz w:val="22"/>
              </w:rPr>
            </w:pPr>
            <w:r w:rsidRPr="006A31EC">
              <w:rPr>
                <w:rFonts w:eastAsia="SimSun"/>
                <w:sz w:val="22"/>
                <w:lang w:val="en-US"/>
              </w:rPr>
              <w:t>-</w:t>
            </w:r>
          </w:p>
        </w:tc>
        <w:tc>
          <w:tcPr>
            <w:tcW w:w="312" w:type="pct"/>
          </w:tcPr>
          <w:p w14:paraId="655AAA05" w14:textId="77777777" w:rsidR="009F7F8A" w:rsidRPr="006A31EC" w:rsidRDefault="009F7F8A" w:rsidP="009F7F8A">
            <w:pPr>
              <w:rPr>
                <w:rFonts w:eastAsia="SimSun"/>
                <w:sz w:val="22"/>
                <w:lang w:val="en-US"/>
              </w:rPr>
            </w:pPr>
          </w:p>
        </w:tc>
        <w:tc>
          <w:tcPr>
            <w:tcW w:w="337" w:type="pct"/>
            <w:shd w:val="clear" w:color="auto" w:fill="auto"/>
            <w:vAlign w:val="center"/>
          </w:tcPr>
          <w:p w14:paraId="623962FF"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4E97C107"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2ED51511" w14:textId="77777777" w:rsidR="009F7F8A" w:rsidRPr="006A31EC" w:rsidRDefault="009F7F8A" w:rsidP="009F7F8A">
            <w:pPr>
              <w:rPr>
                <w:rFonts w:eastAsia="SimSun"/>
                <w:sz w:val="22"/>
                <w:lang w:val="en-US"/>
              </w:rPr>
            </w:pPr>
            <w:r w:rsidRPr="006A31EC">
              <w:rPr>
                <w:rFonts w:eastAsia="SimSun"/>
                <w:sz w:val="22"/>
                <w:lang w:val="en-US"/>
              </w:rPr>
              <w:t>5.1.2.2</w:t>
            </w:r>
          </w:p>
        </w:tc>
        <w:tc>
          <w:tcPr>
            <w:tcW w:w="337" w:type="pct"/>
            <w:shd w:val="clear" w:color="auto" w:fill="auto"/>
            <w:vAlign w:val="center"/>
          </w:tcPr>
          <w:p w14:paraId="3F95F9C1"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779B2D03" w14:textId="77777777" w:rsidR="009F7F8A" w:rsidRPr="006A31EC" w:rsidRDefault="009F7F8A" w:rsidP="009F7F8A">
            <w:pPr>
              <w:rPr>
                <w:rFonts w:eastAsia="SimSun"/>
                <w:sz w:val="22"/>
              </w:rPr>
            </w:pPr>
            <w:r w:rsidRPr="006A31EC">
              <w:rPr>
                <w:rFonts w:eastAsia="SimSun"/>
                <w:sz w:val="22"/>
                <w:lang w:val="en-US"/>
              </w:rPr>
              <w:t>-</w:t>
            </w:r>
          </w:p>
        </w:tc>
        <w:tc>
          <w:tcPr>
            <w:tcW w:w="401" w:type="pct"/>
            <w:shd w:val="clear" w:color="auto" w:fill="auto"/>
            <w:vAlign w:val="center"/>
          </w:tcPr>
          <w:p w14:paraId="171ACC5F" w14:textId="77777777" w:rsidR="009F7F8A" w:rsidRPr="006A31EC" w:rsidRDefault="009F7F8A" w:rsidP="009F7F8A">
            <w:pPr>
              <w:rPr>
                <w:rFonts w:eastAsia="SimSun"/>
                <w:sz w:val="22"/>
                <w:lang w:val="en-US"/>
              </w:rPr>
            </w:pPr>
            <w:r w:rsidRPr="006A31EC">
              <w:rPr>
                <w:rFonts w:eastAsia="SimSun"/>
                <w:sz w:val="22"/>
                <w:lang w:val="en-US"/>
              </w:rPr>
              <w:t>5.1.2.6</w:t>
            </w:r>
          </w:p>
        </w:tc>
        <w:tc>
          <w:tcPr>
            <w:tcW w:w="442" w:type="pct"/>
            <w:shd w:val="clear" w:color="auto" w:fill="auto"/>
            <w:vAlign w:val="center"/>
          </w:tcPr>
          <w:p w14:paraId="7A1F0AC9"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13EDBCA7" w14:textId="77777777" w:rsidR="009F7F8A" w:rsidRPr="006A31EC" w:rsidRDefault="009F7F8A" w:rsidP="009F7F8A">
            <w:pPr>
              <w:rPr>
                <w:sz w:val="22"/>
              </w:rPr>
            </w:pPr>
            <w:r w:rsidRPr="006A31EC">
              <w:rPr>
                <w:rFonts w:eastAsia="SimSun"/>
                <w:sz w:val="22"/>
                <w:lang w:val="en-US"/>
              </w:rPr>
              <w:t>-</w:t>
            </w:r>
          </w:p>
        </w:tc>
        <w:tc>
          <w:tcPr>
            <w:tcW w:w="337" w:type="pct"/>
          </w:tcPr>
          <w:p w14:paraId="226B216B" w14:textId="77777777" w:rsidR="009F7F8A" w:rsidRPr="006A31EC" w:rsidRDefault="009F7F8A" w:rsidP="009F7F8A">
            <w:pPr>
              <w:rPr>
                <w:rFonts w:eastAsia="SimSun"/>
                <w:sz w:val="22"/>
                <w:lang w:val="en-US"/>
              </w:rPr>
            </w:pPr>
          </w:p>
        </w:tc>
      </w:tr>
      <w:tr w:rsidR="009F7F8A" w:rsidRPr="006A31EC" w14:paraId="3849C06B" w14:textId="77777777" w:rsidTr="009F7F8A">
        <w:trPr>
          <w:cantSplit/>
          <w:trHeight w:val="624"/>
        </w:trPr>
        <w:tc>
          <w:tcPr>
            <w:tcW w:w="293" w:type="pct"/>
            <w:vMerge/>
            <w:shd w:val="clear" w:color="auto" w:fill="D9D9D9"/>
            <w:vAlign w:val="center"/>
          </w:tcPr>
          <w:p w14:paraId="7A1F411F" w14:textId="77777777" w:rsidR="009F7F8A" w:rsidRPr="006A31EC" w:rsidRDefault="009F7F8A" w:rsidP="009F7F8A">
            <w:pPr>
              <w:rPr>
                <w:rFonts w:eastAsia="SimSun"/>
                <w:sz w:val="22"/>
                <w:lang w:val="en-US"/>
              </w:rPr>
            </w:pPr>
          </w:p>
        </w:tc>
        <w:tc>
          <w:tcPr>
            <w:tcW w:w="284" w:type="pct"/>
            <w:shd w:val="clear" w:color="auto" w:fill="D9D9D9"/>
            <w:vAlign w:val="center"/>
          </w:tcPr>
          <w:p w14:paraId="1C124C22" w14:textId="77777777" w:rsidR="009F7F8A" w:rsidRPr="006A31EC" w:rsidRDefault="009F7F8A" w:rsidP="009F7F8A">
            <w:pPr>
              <w:rPr>
                <w:rFonts w:eastAsia="SimSun"/>
                <w:sz w:val="22"/>
                <w:lang w:val="en-US"/>
              </w:rPr>
            </w:pPr>
            <w:r w:rsidRPr="006A31EC">
              <w:rPr>
                <w:rFonts w:eastAsia="SimSun"/>
                <w:sz w:val="22"/>
                <w:lang w:val="en-US"/>
              </w:rPr>
              <w:t>Tx</w:t>
            </w:r>
          </w:p>
        </w:tc>
        <w:tc>
          <w:tcPr>
            <w:tcW w:w="261" w:type="pct"/>
            <w:shd w:val="clear" w:color="auto" w:fill="D9D9D9"/>
            <w:vAlign w:val="center"/>
          </w:tcPr>
          <w:p w14:paraId="04FF874D" w14:textId="77777777" w:rsidR="009F7F8A" w:rsidRPr="006A31EC" w:rsidRDefault="009F7F8A" w:rsidP="009F7F8A">
            <w:pPr>
              <w:rPr>
                <w:rFonts w:eastAsia="SimSun"/>
                <w:sz w:val="22"/>
                <w:lang w:val="en-US"/>
              </w:rPr>
            </w:pPr>
            <w:r w:rsidRPr="006A31EC">
              <w:rPr>
                <w:rFonts w:eastAsia="SimSun"/>
                <w:sz w:val="22"/>
                <w:lang w:val="en-US"/>
              </w:rPr>
              <w:t>-</w:t>
            </w:r>
          </w:p>
        </w:tc>
        <w:tc>
          <w:tcPr>
            <w:tcW w:w="398" w:type="pct"/>
            <w:shd w:val="clear" w:color="auto" w:fill="D9D9D9"/>
            <w:vAlign w:val="center"/>
          </w:tcPr>
          <w:p w14:paraId="59F64B5F" w14:textId="77777777" w:rsidR="009F7F8A" w:rsidRPr="006A31EC" w:rsidRDefault="009F7F8A" w:rsidP="009F7F8A">
            <w:pPr>
              <w:rPr>
                <w:rFonts w:eastAsia="SimSun"/>
                <w:sz w:val="22"/>
              </w:rPr>
            </w:pPr>
            <w:r w:rsidRPr="006A31EC">
              <w:rPr>
                <w:rFonts w:eastAsia="SimSun"/>
                <w:sz w:val="22"/>
                <w:lang w:val="en-US"/>
              </w:rPr>
              <w:t>MMF30</w:t>
            </w:r>
          </w:p>
        </w:tc>
        <w:tc>
          <w:tcPr>
            <w:tcW w:w="337" w:type="pct"/>
            <w:shd w:val="clear" w:color="auto" w:fill="auto"/>
            <w:vAlign w:val="center"/>
          </w:tcPr>
          <w:p w14:paraId="58B65067" w14:textId="77777777" w:rsidR="009F7F8A" w:rsidRPr="006A31EC" w:rsidRDefault="009F7F8A" w:rsidP="009F7F8A">
            <w:pPr>
              <w:rPr>
                <w:sz w:val="22"/>
              </w:rPr>
            </w:pPr>
            <w:r w:rsidRPr="006A31EC">
              <w:rPr>
                <w:rFonts w:eastAsia="SimSun"/>
                <w:sz w:val="22"/>
                <w:lang w:val="en-US"/>
              </w:rPr>
              <w:t>-</w:t>
            </w:r>
          </w:p>
        </w:tc>
        <w:tc>
          <w:tcPr>
            <w:tcW w:w="312" w:type="pct"/>
          </w:tcPr>
          <w:p w14:paraId="653777E7" w14:textId="77777777" w:rsidR="009F7F8A" w:rsidRPr="006A31EC" w:rsidRDefault="009F7F8A" w:rsidP="009F7F8A">
            <w:pPr>
              <w:rPr>
                <w:rFonts w:eastAsia="SimSun"/>
                <w:sz w:val="22"/>
                <w:lang w:val="en-US"/>
              </w:rPr>
            </w:pPr>
          </w:p>
        </w:tc>
        <w:tc>
          <w:tcPr>
            <w:tcW w:w="337" w:type="pct"/>
            <w:shd w:val="clear" w:color="auto" w:fill="auto"/>
            <w:vAlign w:val="center"/>
          </w:tcPr>
          <w:p w14:paraId="1BFFB5C2"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3BEC88FA"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7C4FACD1"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17A5D181"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4F62F3D7" w14:textId="77777777" w:rsidR="009F7F8A" w:rsidRPr="006A31EC" w:rsidRDefault="009F7F8A" w:rsidP="009F7F8A">
            <w:pPr>
              <w:rPr>
                <w:sz w:val="22"/>
              </w:rPr>
            </w:pPr>
            <w:r w:rsidRPr="006A31EC">
              <w:rPr>
                <w:rFonts w:eastAsia="SimSun"/>
                <w:sz w:val="22"/>
                <w:lang w:val="en-US"/>
              </w:rPr>
              <w:t>-</w:t>
            </w:r>
          </w:p>
        </w:tc>
        <w:tc>
          <w:tcPr>
            <w:tcW w:w="401" w:type="pct"/>
            <w:shd w:val="clear" w:color="auto" w:fill="auto"/>
            <w:vAlign w:val="center"/>
          </w:tcPr>
          <w:p w14:paraId="22315EDE" w14:textId="77777777" w:rsidR="009F7F8A" w:rsidRPr="006A31EC" w:rsidRDefault="009F7F8A" w:rsidP="009F7F8A">
            <w:pPr>
              <w:rPr>
                <w:sz w:val="22"/>
              </w:rPr>
            </w:pPr>
            <w:r w:rsidRPr="006A31EC">
              <w:rPr>
                <w:rFonts w:eastAsia="SimSun"/>
                <w:sz w:val="22"/>
                <w:lang w:val="en-US"/>
              </w:rPr>
              <w:t>-</w:t>
            </w:r>
          </w:p>
        </w:tc>
        <w:tc>
          <w:tcPr>
            <w:tcW w:w="442" w:type="pct"/>
            <w:shd w:val="clear" w:color="auto" w:fill="auto"/>
            <w:vAlign w:val="center"/>
          </w:tcPr>
          <w:p w14:paraId="5B11235E"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3B86BA3F" w14:textId="77777777" w:rsidR="009F7F8A" w:rsidRPr="006A31EC" w:rsidRDefault="009F7F8A" w:rsidP="009F7F8A">
            <w:pPr>
              <w:rPr>
                <w:rFonts w:eastAsia="SimSun"/>
                <w:sz w:val="22"/>
              </w:rPr>
            </w:pPr>
            <w:r w:rsidRPr="006A31EC">
              <w:rPr>
                <w:rFonts w:eastAsia="SimSun"/>
                <w:sz w:val="22"/>
                <w:lang w:val="en-US"/>
              </w:rPr>
              <w:t>5.1.2.2</w:t>
            </w:r>
            <w:r w:rsidRPr="006A31EC">
              <w:rPr>
                <w:rFonts w:eastAsia="SimSun"/>
                <w:sz w:val="22"/>
              </w:rPr>
              <w:t>3</w:t>
            </w:r>
          </w:p>
        </w:tc>
        <w:tc>
          <w:tcPr>
            <w:tcW w:w="337" w:type="pct"/>
          </w:tcPr>
          <w:p w14:paraId="3AA3C859" w14:textId="77777777" w:rsidR="009F7F8A" w:rsidRPr="006A31EC" w:rsidRDefault="009F7F8A" w:rsidP="009F7F8A">
            <w:pPr>
              <w:rPr>
                <w:rFonts w:eastAsia="SimSun"/>
                <w:sz w:val="22"/>
                <w:lang w:val="en-US"/>
              </w:rPr>
            </w:pPr>
          </w:p>
        </w:tc>
      </w:tr>
      <w:tr w:rsidR="009F7F8A" w:rsidRPr="006A31EC" w14:paraId="37EC8C5C" w14:textId="77777777" w:rsidTr="009F7F8A">
        <w:trPr>
          <w:cantSplit/>
          <w:trHeight w:val="624"/>
        </w:trPr>
        <w:tc>
          <w:tcPr>
            <w:tcW w:w="293" w:type="pct"/>
            <w:vMerge w:val="restart"/>
            <w:shd w:val="clear" w:color="auto" w:fill="D9D9D9"/>
            <w:vAlign w:val="center"/>
          </w:tcPr>
          <w:p w14:paraId="0067AAA8" w14:textId="77777777" w:rsidR="009F7F8A" w:rsidRPr="006A31EC" w:rsidRDefault="009F7F8A" w:rsidP="009F7F8A">
            <w:pPr>
              <w:rPr>
                <w:rFonts w:eastAsia="SimSun"/>
                <w:sz w:val="22"/>
                <w:lang w:val="en-US"/>
              </w:rPr>
            </w:pPr>
            <w:r w:rsidRPr="006A31EC">
              <w:rPr>
                <w:rFonts w:eastAsia="SimSun"/>
                <w:sz w:val="22"/>
                <w:lang w:val="en-US"/>
              </w:rPr>
              <w:t>PT-Cy</w:t>
            </w:r>
          </w:p>
          <w:p w14:paraId="240AA415" w14:textId="77777777" w:rsidR="009F7F8A" w:rsidRPr="006A31EC" w:rsidRDefault="009F7F8A" w:rsidP="009F7F8A">
            <w:pPr>
              <w:rPr>
                <w:rFonts w:eastAsia="SimSun"/>
                <w:sz w:val="22"/>
                <w:lang w:val="en-US"/>
              </w:rPr>
            </w:pPr>
          </w:p>
        </w:tc>
        <w:tc>
          <w:tcPr>
            <w:tcW w:w="284" w:type="pct"/>
            <w:shd w:val="clear" w:color="auto" w:fill="D9D9D9"/>
            <w:vAlign w:val="center"/>
          </w:tcPr>
          <w:p w14:paraId="4745842F" w14:textId="77777777" w:rsidR="009F7F8A" w:rsidRPr="006A31EC" w:rsidRDefault="009F7F8A" w:rsidP="009F7F8A">
            <w:pPr>
              <w:rPr>
                <w:rFonts w:eastAsia="SimSun"/>
                <w:sz w:val="22"/>
                <w:lang w:val="en-US"/>
              </w:rPr>
            </w:pPr>
            <w:r w:rsidRPr="006A31EC">
              <w:rPr>
                <w:rFonts w:eastAsia="SimSun"/>
                <w:sz w:val="22"/>
                <w:lang w:val="en-US"/>
              </w:rPr>
              <w:t>-</w:t>
            </w:r>
          </w:p>
        </w:tc>
        <w:tc>
          <w:tcPr>
            <w:tcW w:w="261" w:type="pct"/>
            <w:shd w:val="clear" w:color="auto" w:fill="D9D9D9"/>
            <w:vAlign w:val="center"/>
          </w:tcPr>
          <w:p w14:paraId="50ECDD09" w14:textId="77777777" w:rsidR="009F7F8A" w:rsidRPr="006A31EC" w:rsidRDefault="009F7F8A" w:rsidP="009F7F8A">
            <w:pPr>
              <w:rPr>
                <w:rFonts w:eastAsia="SimSun"/>
                <w:sz w:val="22"/>
                <w:lang w:val="en-US"/>
              </w:rPr>
            </w:pPr>
            <w:r w:rsidRPr="006A31EC">
              <w:rPr>
                <w:rFonts w:eastAsia="SimSun"/>
                <w:sz w:val="22"/>
                <w:lang w:val="en-US"/>
              </w:rPr>
              <w:t>-</w:t>
            </w:r>
          </w:p>
        </w:tc>
        <w:tc>
          <w:tcPr>
            <w:tcW w:w="398" w:type="pct"/>
            <w:shd w:val="clear" w:color="auto" w:fill="D9D9D9"/>
            <w:vAlign w:val="center"/>
          </w:tcPr>
          <w:p w14:paraId="29E87392" w14:textId="77777777" w:rsidR="009F7F8A" w:rsidRPr="006A31EC" w:rsidRDefault="009F7F8A" w:rsidP="009F7F8A">
            <w:pPr>
              <w:rPr>
                <w:rFonts w:eastAsia="SimSun"/>
                <w:sz w:val="22"/>
                <w:lang w:val="en-US"/>
              </w:rPr>
            </w:pPr>
            <w:r w:rsidRPr="006A31EC">
              <w:rPr>
                <w:rFonts w:eastAsia="SimSun"/>
                <w:sz w:val="22"/>
                <w:lang w:val="en-US"/>
              </w:rPr>
              <w:t>-</w:t>
            </w:r>
          </w:p>
        </w:tc>
        <w:tc>
          <w:tcPr>
            <w:tcW w:w="337" w:type="pct"/>
            <w:shd w:val="clear" w:color="auto" w:fill="auto"/>
            <w:vAlign w:val="center"/>
          </w:tcPr>
          <w:p w14:paraId="55A65E96" w14:textId="77777777" w:rsidR="009F7F8A" w:rsidRPr="006A31EC" w:rsidRDefault="009F7F8A" w:rsidP="009F7F8A">
            <w:pPr>
              <w:rPr>
                <w:rFonts w:eastAsia="SimSun"/>
                <w:sz w:val="22"/>
                <w:lang w:val="en-US"/>
              </w:rPr>
            </w:pPr>
            <w:r w:rsidRPr="006A31EC">
              <w:rPr>
                <w:rFonts w:eastAsia="SimSun"/>
                <w:sz w:val="22"/>
                <w:lang w:val="en-US"/>
              </w:rPr>
              <w:t>5.1.2.17</w:t>
            </w:r>
          </w:p>
        </w:tc>
        <w:tc>
          <w:tcPr>
            <w:tcW w:w="312" w:type="pct"/>
          </w:tcPr>
          <w:p w14:paraId="6A878352" w14:textId="77777777" w:rsidR="009F7F8A" w:rsidRPr="006A31EC" w:rsidRDefault="009F7F8A" w:rsidP="009F7F8A">
            <w:pPr>
              <w:rPr>
                <w:rFonts w:eastAsia="SimSun"/>
                <w:sz w:val="22"/>
                <w:lang w:val="en-US"/>
              </w:rPr>
            </w:pPr>
          </w:p>
        </w:tc>
        <w:tc>
          <w:tcPr>
            <w:tcW w:w="337" w:type="pct"/>
            <w:shd w:val="clear" w:color="auto" w:fill="auto"/>
            <w:vAlign w:val="center"/>
          </w:tcPr>
          <w:p w14:paraId="6BC5D107"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1EF0FD7E"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1E399FAB"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23AF353F"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139A685D" w14:textId="77777777" w:rsidR="009F7F8A" w:rsidRPr="006A31EC" w:rsidRDefault="009F7F8A" w:rsidP="009F7F8A">
            <w:pPr>
              <w:rPr>
                <w:sz w:val="22"/>
              </w:rPr>
            </w:pPr>
            <w:r w:rsidRPr="006A31EC">
              <w:rPr>
                <w:rFonts w:eastAsia="SimSun"/>
                <w:sz w:val="22"/>
                <w:lang w:val="en-US"/>
              </w:rPr>
              <w:t>-</w:t>
            </w:r>
          </w:p>
        </w:tc>
        <w:tc>
          <w:tcPr>
            <w:tcW w:w="401" w:type="pct"/>
            <w:shd w:val="clear" w:color="auto" w:fill="auto"/>
            <w:vAlign w:val="center"/>
          </w:tcPr>
          <w:p w14:paraId="25A26D49" w14:textId="77777777" w:rsidR="009F7F8A" w:rsidRPr="006A31EC" w:rsidRDefault="009F7F8A" w:rsidP="009F7F8A">
            <w:pPr>
              <w:rPr>
                <w:rFonts w:eastAsia="SimSun"/>
                <w:sz w:val="22"/>
                <w:lang w:val="en-US"/>
              </w:rPr>
            </w:pPr>
            <w:r w:rsidRPr="006A31EC">
              <w:rPr>
                <w:rFonts w:eastAsia="SimSun"/>
                <w:sz w:val="22"/>
                <w:lang w:val="en-US"/>
              </w:rPr>
              <w:t>5.1.2.8</w:t>
            </w:r>
          </w:p>
        </w:tc>
        <w:tc>
          <w:tcPr>
            <w:tcW w:w="442" w:type="pct"/>
            <w:shd w:val="clear" w:color="auto" w:fill="auto"/>
            <w:vAlign w:val="center"/>
          </w:tcPr>
          <w:p w14:paraId="63475785" w14:textId="77777777" w:rsidR="009F7F8A" w:rsidRPr="006A31EC" w:rsidRDefault="009F7F8A" w:rsidP="009F7F8A">
            <w:pPr>
              <w:rPr>
                <w:rFonts w:eastAsia="SimSun"/>
                <w:sz w:val="22"/>
                <w:lang w:val="en-US"/>
              </w:rPr>
            </w:pPr>
            <w:r w:rsidRPr="006A31EC">
              <w:rPr>
                <w:rFonts w:eastAsia="SimSun"/>
                <w:sz w:val="22"/>
                <w:lang w:val="en-US"/>
              </w:rPr>
              <w:t>5.1.2.13</w:t>
            </w:r>
          </w:p>
        </w:tc>
        <w:tc>
          <w:tcPr>
            <w:tcW w:w="337" w:type="pct"/>
            <w:shd w:val="clear" w:color="auto" w:fill="auto"/>
            <w:vAlign w:val="center"/>
          </w:tcPr>
          <w:p w14:paraId="42F56687" w14:textId="77777777" w:rsidR="009F7F8A" w:rsidRPr="006A31EC" w:rsidRDefault="009F7F8A" w:rsidP="009F7F8A">
            <w:pPr>
              <w:rPr>
                <w:sz w:val="22"/>
              </w:rPr>
            </w:pPr>
            <w:r w:rsidRPr="006A31EC">
              <w:rPr>
                <w:rFonts w:eastAsia="SimSun"/>
                <w:sz w:val="22"/>
                <w:lang w:val="en-US"/>
              </w:rPr>
              <w:t>-</w:t>
            </w:r>
          </w:p>
        </w:tc>
        <w:tc>
          <w:tcPr>
            <w:tcW w:w="337" w:type="pct"/>
          </w:tcPr>
          <w:p w14:paraId="5B6B2162" w14:textId="77777777" w:rsidR="009F7F8A" w:rsidRPr="006A31EC" w:rsidRDefault="009F7F8A" w:rsidP="009F7F8A">
            <w:pPr>
              <w:rPr>
                <w:rFonts w:eastAsia="SimSun"/>
                <w:sz w:val="22"/>
                <w:lang w:val="en-US"/>
              </w:rPr>
            </w:pPr>
          </w:p>
        </w:tc>
      </w:tr>
      <w:tr w:rsidR="009F7F8A" w:rsidRPr="006A31EC" w14:paraId="572D3479" w14:textId="77777777" w:rsidTr="009F7F8A">
        <w:trPr>
          <w:cantSplit/>
          <w:trHeight w:val="624"/>
        </w:trPr>
        <w:tc>
          <w:tcPr>
            <w:tcW w:w="293" w:type="pct"/>
            <w:vMerge/>
            <w:shd w:val="clear" w:color="auto" w:fill="D9D9D9"/>
            <w:vAlign w:val="center"/>
          </w:tcPr>
          <w:p w14:paraId="08D18482" w14:textId="77777777" w:rsidR="009F7F8A" w:rsidRPr="006A31EC" w:rsidRDefault="009F7F8A" w:rsidP="009F7F8A">
            <w:pPr>
              <w:rPr>
                <w:rFonts w:eastAsia="SimSun"/>
                <w:sz w:val="22"/>
                <w:lang w:val="en-US"/>
              </w:rPr>
            </w:pPr>
          </w:p>
        </w:tc>
        <w:tc>
          <w:tcPr>
            <w:tcW w:w="284" w:type="pct"/>
            <w:vMerge w:val="restart"/>
            <w:shd w:val="clear" w:color="auto" w:fill="D9D9D9"/>
            <w:vAlign w:val="center"/>
          </w:tcPr>
          <w:p w14:paraId="68D535F5" w14:textId="77777777" w:rsidR="009F7F8A" w:rsidRPr="006A31EC" w:rsidRDefault="009F7F8A" w:rsidP="009F7F8A">
            <w:pPr>
              <w:rPr>
                <w:rFonts w:eastAsia="SimSun"/>
                <w:sz w:val="22"/>
              </w:rPr>
            </w:pPr>
            <w:r w:rsidRPr="006A31EC">
              <w:rPr>
                <w:rFonts w:eastAsia="SimSun"/>
                <w:sz w:val="22"/>
                <w:lang w:val="en-US"/>
              </w:rPr>
              <w:t>CSA</w:t>
            </w:r>
          </w:p>
          <w:p w14:paraId="5683E3D3" w14:textId="77777777" w:rsidR="009F7F8A" w:rsidRPr="006A31EC" w:rsidRDefault="009F7F8A" w:rsidP="009F7F8A">
            <w:pPr>
              <w:rPr>
                <w:rFonts w:eastAsia="SimSun"/>
                <w:sz w:val="22"/>
              </w:rPr>
            </w:pPr>
          </w:p>
        </w:tc>
        <w:tc>
          <w:tcPr>
            <w:tcW w:w="261" w:type="pct"/>
            <w:shd w:val="clear" w:color="auto" w:fill="D9D9D9"/>
            <w:vAlign w:val="center"/>
          </w:tcPr>
          <w:p w14:paraId="1CC7FE1B" w14:textId="77777777" w:rsidR="009F7F8A" w:rsidRPr="006A31EC" w:rsidRDefault="009F7F8A" w:rsidP="009F7F8A">
            <w:pPr>
              <w:rPr>
                <w:rFonts w:eastAsia="SimSun"/>
                <w:sz w:val="22"/>
                <w:lang w:val="en-US"/>
              </w:rPr>
            </w:pPr>
            <w:r w:rsidRPr="006A31EC">
              <w:rPr>
                <w:rFonts w:eastAsia="SimSun"/>
                <w:sz w:val="22"/>
                <w:lang w:val="en-US"/>
              </w:rPr>
              <w:t>-</w:t>
            </w:r>
          </w:p>
        </w:tc>
        <w:tc>
          <w:tcPr>
            <w:tcW w:w="398" w:type="pct"/>
            <w:shd w:val="clear" w:color="auto" w:fill="D9D9D9"/>
            <w:vAlign w:val="center"/>
          </w:tcPr>
          <w:p w14:paraId="3F6C0D3A" w14:textId="77777777" w:rsidR="009F7F8A" w:rsidRPr="006A31EC" w:rsidRDefault="009F7F8A" w:rsidP="009F7F8A">
            <w:pPr>
              <w:rPr>
                <w:rFonts w:eastAsia="SimSun"/>
                <w:sz w:val="22"/>
              </w:rPr>
            </w:pPr>
            <w:r w:rsidRPr="006A31EC">
              <w:rPr>
                <w:rFonts w:eastAsia="SimSun"/>
                <w:sz w:val="22"/>
                <w:lang w:val="en-US"/>
              </w:rPr>
              <w:t>MMF30</w:t>
            </w:r>
          </w:p>
        </w:tc>
        <w:tc>
          <w:tcPr>
            <w:tcW w:w="337" w:type="pct"/>
            <w:shd w:val="clear" w:color="auto" w:fill="auto"/>
            <w:vAlign w:val="center"/>
          </w:tcPr>
          <w:p w14:paraId="2F44457C" w14:textId="77777777" w:rsidR="009F7F8A" w:rsidRPr="006A31EC" w:rsidRDefault="009F7F8A" w:rsidP="009F7F8A">
            <w:pPr>
              <w:rPr>
                <w:sz w:val="22"/>
              </w:rPr>
            </w:pPr>
            <w:r w:rsidRPr="006A31EC">
              <w:rPr>
                <w:rFonts w:eastAsia="SimSun"/>
                <w:sz w:val="22"/>
                <w:lang w:val="en-US"/>
              </w:rPr>
              <w:t>-</w:t>
            </w:r>
          </w:p>
        </w:tc>
        <w:tc>
          <w:tcPr>
            <w:tcW w:w="312" w:type="pct"/>
          </w:tcPr>
          <w:p w14:paraId="692A7099" w14:textId="77777777" w:rsidR="009F7F8A" w:rsidRPr="006A31EC" w:rsidRDefault="009F7F8A" w:rsidP="009F7F8A">
            <w:pPr>
              <w:rPr>
                <w:rFonts w:eastAsia="SimSun"/>
                <w:sz w:val="22"/>
                <w:lang w:val="en-US"/>
              </w:rPr>
            </w:pPr>
          </w:p>
        </w:tc>
        <w:tc>
          <w:tcPr>
            <w:tcW w:w="337" w:type="pct"/>
            <w:shd w:val="clear" w:color="auto" w:fill="auto"/>
            <w:vAlign w:val="center"/>
          </w:tcPr>
          <w:p w14:paraId="1C2E9386"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41DE2B69"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033429AC" w14:textId="77777777" w:rsidR="009F7F8A" w:rsidRPr="006A31EC" w:rsidRDefault="009F7F8A" w:rsidP="009F7F8A">
            <w:pPr>
              <w:rPr>
                <w:sz w:val="22"/>
              </w:rPr>
            </w:pPr>
            <w:r w:rsidRPr="006A31EC">
              <w:rPr>
                <w:rFonts w:eastAsia="SimSun"/>
                <w:sz w:val="22"/>
                <w:lang w:val="en-US"/>
              </w:rPr>
              <w:t>5.1.2.4</w:t>
            </w:r>
          </w:p>
        </w:tc>
        <w:tc>
          <w:tcPr>
            <w:tcW w:w="337" w:type="pct"/>
            <w:shd w:val="clear" w:color="auto" w:fill="auto"/>
            <w:vAlign w:val="center"/>
          </w:tcPr>
          <w:p w14:paraId="032F6CC0" w14:textId="77777777" w:rsidR="009F7F8A" w:rsidRPr="006A31EC" w:rsidRDefault="009F7F8A" w:rsidP="009F7F8A">
            <w:pPr>
              <w:rPr>
                <w:sz w:val="22"/>
              </w:rPr>
            </w:pPr>
            <w:r w:rsidRPr="006A31EC">
              <w:rPr>
                <w:sz w:val="22"/>
              </w:rPr>
              <w:t>5.1.2.20</w:t>
            </w:r>
          </w:p>
        </w:tc>
        <w:tc>
          <w:tcPr>
            <w:tcW w:w="337" w:type="pct"/>
            <w:shd w:val="clear" w:color="auto" w:fill="auto"/>
            <w:vAlign w:val="center"/>
          </w:tcPr>
          <w:p w14:paraId="4D6BBD3F" w14:textId="77777777" w:rsidR="009F7F8A" w:rsidRPr="006A31EC" w:rsidRDefault="009F7F8A" w:rsidP="009F7F8A">
            <w:pPr>
              <w:rPr>
                <w:sz w:val="22"/>
              </w:rPr>
            </w:pPr>
            <w:r w:rsidRPr="006A31EC">
              <w:rPr>
                <w:rFonts w:eastAsia="SimSun"/>
                <w:sz w:val="22"/>
                <w:lang w:val="en-US"/>
              </w:rPr>
              <w:t>-</w:t>
            </w:r>
          </w:p>
        </w:tc>
        <w:tc>
          <w:tcPr>
            <w:tcW w:w="401" w:type="pct"/>
            <w:shd w:val="clear" w:color="auto" w:fill="auto"/>
            <w:vAlign w:val="center"/>
          </w:tcPr>
          <w:p w14:paraId="3947ECE7" w14:textId="77777777" w:rsidR="009F7F8A" w:rsidRPr="006A31EC" w:rsidRDefault="009F7F8A" w:rsidP="009F7F8A">
            <w:pPr>
              <w:rPr>
                <w:rFonts w:eastAsia="SimSun"/>
                <w:sz w:val="22"/>
                <w:lang w:val="en-US"/>
              </w:rPr>
            </w:pPr>
            <w:r w:rsidRPr="006A31EC">
              <w:rPr>
                <w:rFonts w:eastAsia="SimSun"/>
                <w:sz w:val="22"/>
                <w:lang w:val="en-US"/>
              </w:rPr>
              <w:t>5.1.2.7/11</w:t>
            </w:r>
          </w:p>
        </w:tc>
        <w:tc>
          <w:tcPr>
            <w:tcW w:w="442" w:type="pct"/>
            <w:shd w:val="clear" w:color="auto" w:fill="auto"/>
            <w:vAlign w:val="center"/>
          </w:tcPr>
          <w:p w14:paraId="17583602"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2E1CA745" w14:textId="77777777" w:rsidR="009F7F8A" w:rsidRPr="006A31EC" w:rsidRDefault="009F7F8A" w:rsidP="009F7F8A">
            <w:pPr>
              <w:rPr>
                <w:sz w:val="22"/>
              </w:rPr>
            </w:pPr>
            <w:r w:rsidRPr="006A31EC">
              <w:rPr>
                <w:rFonts w:eastAsia="SimSun"/>
                <w:sz w:val="22"/>
                <w:lang w:val="en-US"/>
              </w:rPr>
              <w:t>-</w:t>
            </w:r>
          </w:p>
        </w:tc>
        <w:tc>
          <w:tcPr>
            <w:tcW w:w="337" w:type="pct"/>
          </w:tcPr>
          <w:p w14:paraId="1C49D2EB" w14:textId="77777777" w:rsidR="009F7F8A" w:rsidRPr="006A31EC" w:rsidRDefault="009F7F8A" w:rsidP="009F7F8A">
            <w:pPr>
              <w:rPr>
                <w:rFonts w:eastAsia="SimSun"/>
                <w:sz w:val="22"/>
                <w:lang w:val="en-US"/>
              </w:rPr>
            </w:pPr>
          </w:p>
        </w:tc>
      </w:tr>
      <w:tr w:rsidR="009F7F8A" w:rsidRPr="006A31EC" w14:paraId="2E5BA46B" w14:textId="77777777" w:rsidTr="009F7F8A">
        <w:trPr>
          <w:cantSplit/>
          <w:trHeight w:val="624"/>
        </w:trPr>
        <w:tc>
          <w:tcPr>
            <w:tcW w:w="293" w:type="pct"/>
            <w:vMerge/>
            <w:shd w:val="clear" w:color="auto" w:fill="D9D9D9"/>
            <w:vAlign w:val="center"/>
          </w:tcPr>
          <w:p w14:paraId="7C42DB26" w14:textId="77777777" w:rsidR="009F7F8A" w:rsidRPr="006A31EC" w:rsidRDefault="009F7F8A" w:rsidP="009F7F8A">
            <w:pPr>
              <w:rPr>
                <w:rFonts w:eastAsia="SimSun"/>
                <w:sz w:val="22"/>
                <w:lang w:val="en-US"/>
              </w:rPr>
            </w:pPr>
          </w:p>
        </w:tc>
        <w:tc>
          <w:tcPr>
            <w:tcW w:w="284" w:type="pct"/>
            <w:vMerge/>
            <w:shd w:val="clear" w:color="auto" w:fill="D9D9D9"/>
            <w:vAlign w:val="center"/>
          </w:tcPr>
          <w:p w14:paraId="2BDE2ECD" w14:textId="77777777" w:rsidR="009F7F8A" w:rsidRPr="006A31EC" w:rsidRDefault="009F7F8A" w:rsidP="009F7F8A">
            <w:pPr>
              <w:rPr>
                <w:rFonts w:eastAsia="SimSun"/>
                <w:sz w:val="22"/>
                <w:lang w:val="en-US"/>
              </w:rPr>
            </w:pPr>
          </w:p>
        </w:tc>
        <w:tc>
          <w:tcPr>
            <w:tcW w:w="261" w:type="pct"/>
            <w:shd w:val="clear" w:color="auto" w:fill="D9D9D9"/>
            <w:vAlign w:val="center"/>
          </w:tcPr>
          <w:p w14:paraId="05B63AD4" w14:textId="77777777" w:rsidR="009F7F8A" w:rsidRPr="006A31EC" w:rsidRDefault="009F7F8A" w:rsidP="009F7F8A">
            <w:pPr>
              <w:rPr>
                <w:rFonts w:eastAsia="SimSun"/>
                <w:sz w:val="22"/>
                <w:lang w:val="en-US"/>
              </w:rPr>
            </w:pPr>
            <w:r w:rsidRPr="006A31EC">
              <w:rPr>
                <w:rFonts w:eastAsia="SimSun"/>
                <w:sz w:val="22"/>
                <w:lang w:val="en-US"/>
              </w:rPr>
              <w:t>-</w:t>
            </w:r>
          </w:p>
        </w:tc>
        <w:tc>
          <w:tcPr>
            <w:tcW w:w="398" w:type="pct"/>
            <w:shd w:val="clear" w:color="auto" w:fill="D9D9D9"/>
            <w:vAlign w:val="center"/>
          </w:tcPr>
          <w:p w14:paraId="3AFB8E03" w14:textId="77777777" w:rsidR="009F7F8A" w:rsidRPr="006A31EC" w:rsidRDefault="009F7F8A" w:rsidP="009F7F8A">
            <w:pPr>
              <w:rPr>
                <w:rFonts w:eastAsia="SimSun"/>
                <w:sz w:val="22"/>
                <w:lang w:val="en-US"/>
              </w:rPr>
            </w:pPr>
            <w:r w:rsidRPr="006A31EC">
              <w:rPr>
                <w:rFonts w:eastAsia="SimSun"/>
                <w:sz w:val="22"/>
                <w:lang w:val="en-US"/>
              </w:rPr>
              <w:t>MMF45</w:t>
            </w:r>
          </w:p>
        </w:tc>
        <w:tc>
          <w:tcPr>
            <w:tcW w:w="337" w:type="pct"/>
            <w:shd w:val="clear" w:color="auto" w:fill="auto"/>
            <w:vAlign w:val="center"/>
          </w:tcPr>
          <w:p w14:paraId="5F83EF5E" w14:textId="77777777" w:rsidR="009F7F8A" w:rsidRPr="006A31EC" w:rsidRDefault="009F7F8A" w:rsidP="009F7F8A">
            <w:pPr>
              <w:rPr>
                <w:rFonts w:eastAsia="SimSun"/>
                <w:sz w:val="22"/>
              </w:rPr>
            </w:pPr>
            <w:r w:rsidRPr="006A31EC">
              <w:rPr>
                <w:rFonts w:eastAsia="SimSun"/>
                <w:sz w:val="22"/>
                <w:lang w:val="en-US"/>
              </w:rPr>
              <w:t>-</w:t>
            </w:r>
          </w:p>
        </w:tc>
        <w:tc>
          <w:tcPr>
            <w:tcW w:w="312" w:type="pct"/>
          </w:tcPr>
          <w:p w14:paraId="6382C0AA" w14:textId="77777777" w:rsidR="009F7F8A" w:rsidRPr="006A31EC" w:rsidRDefault="009F7F8A" w:rsidP="009F7F8A">
            <w:pPr>
              <w:rPr>
                <w:rFonts w:eastAsia="SimSun"/>
                <w:sz w:val="22"/>
                <w:lang w:val="en-US"/>
              </w:rPr>
            </w:pPr>
          </w:p>
        </w:tc>
        <w:tc>
          <w:tcPr>
            <w:tcW w:w="337" w:type="pct"/>
            <w:shd w:val="clear" w:color="auto" w:fill="auto"/>
            <w:vAlign w:val="center"/>
          </w:tcPr>
          <w:p w14:paraId="2A261998" w14:textId="77777777" w:rsidR="009F7F8A" w:rsidRPr="006A31EC" w:rsidRDefault="009F7F8A" w:rsidP="009F7F8A">
            <w:pPr>
              <w:rPr>
                <w:rFonts w:eastAsia="SimSun"/>
                <w:sz w:val="22"/>
              </w:rPr>
            </w:pPr>
            <w:r w:rsidRPr="006A31EC">
              <w:rPr>
                <w:rFonts w:eastAsia="SimSun"/>
                <w:sz w:val="22"/>
                <w:lang w:val="en-US"/>
              </w:rPr>
              <w:t>5.1.2.1</w:t>
            </w:r>
            <w:r w:rsidRPr="006A31EC">
              <w:rPr>
                <w:rFonts w:eastAsia="SimSun"/>
                <w:sz w:val="22"/>
              </w:rPr>
              <w:t>9</w:t>
            </w:r>
          </w:p>
        </w:tc>
        <w:tc>
          <w:tcPr>
            <w:tcW w:w="295" w:type="pct"/>
            <w:shd w:val="clear" w:color="auto" w:fill="auto"/>
            <w:vAlign w:val="center"/>
          </w:tcPr>
          <w:p w14:paraId="12B09BE9" w14:textId="77777777" w:rsidR="009F7F8A" w:rsidRPr="006A31EC" w:rsidRDefault="009F7F8A" w:rsidP="009F7F8A">
            <w:pPr>
              <w:rPr>
                <w:sz w:val="22"/>
              </w:rPr>
            </w:pPr>
            <w:r w:rsidRPr="006A31EC">
              <w:rPr>
                <w:rFonts w:eastAsia="SimSun"/>
                <w:sz w:val="22"/>
                <w:lang w:val="en-US"/>
              </w:rPr>
              <w:t>5.1.2.3</w:t>
            </w:r>
          </w:p>
        </w:tc>
        <w:tc>
          <w:tcPr>
            <w:tcW w:w="295" w:type="pct"/>
            <w:shd w:val="clear" w:color="auto" w:fill="auto"/>
            <w:vAlign w:val="center"/>
          </w:tcPr>
          <w:p w14:paraId="1C59FC42"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432F35CF"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05302B22" w14:textId="77777777" w:rsidR="009F7F8A" w:rsidRPr="006A31EC" w:rsidRDefault="009F7F8A" w:rsidP="009F7F8A">
            <w:pPr>
              <w:rPr>
                <w:sz w:val="22"/>
              </w:rPr>
            </w:pPr>
            <w:r w:rsidRPr="006A31EC">
              <w:rPr>
                <w:rFonts w:eastAsia="SimSun"/>
                <w:sz w:val="22"/>
                <w:lang w:val="en-US"/>
              </w:rPr>
              <w:t>-</w:t>
            </w:r>
          </w:p>
        </w:tc>
        <w:tc>
          <w:tcPr>
            <w:tcW w:w="401" w:type="pct"/>
            <w:shd w:val="clear" w:color="auto" w:fill="auto"/>
            <w:vAlign w:val="center"/>
          </w:tcPr>
          <w:p w14:paraId="23F35E2B" w14:textId="77777777" w:rsidR="009F7F8A" w:rsidRPr="006A31EC" w:rsidRDefault="009F7F8A" w:rsidP="009F7F8A">
            <w:pPr>
              <w:rPr>
                <w:sz w:val="22"/>
              </w:rPr>
            </w:pPr>
            <w:r w:rsidRPr="006A31EC">
              <w:rPr>
                <w:rFonts w:eastAsia="SimSun"/>
                <w:sz w:val="22"/>
                <w:lang w:val="en-US"/>
              </w:rPr>
              <w:t>-</w:t>
            </w:r>
          </w:p>
        </w:tc>
        <w:tc>
          <w:tcPr>
            <w:tcW w:w="442" w:type="pct"/>
            <w:shd w:val="clear" w:color="auto" w:fill="auto"/>
            <w:vAlign w:val="center"/>
          </w:tcPr>
          <w:p w14:paraId="4A704E8B"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518209CE" w14:textId="77777777" w:rsidR="009F7F8A" w:rsidRPr="006A31EC" w:rsidRDefault="009F7F8A" w:rsidP="009F7F8A">
            <w:pPr>
              <w:rPr>
                <w:sz w:val="22"/>
              </w:rPr>
            </w:pPr>
            <w:r w:rsidRPr="006A31EC">
              <w:rPr>
                <w:rFonts w:eastAsia="SimSun"/>
                <w:sz w:val="22"/>
                <w:lang w:val="en-US"/>
              </w:rPr>
              <w:t>-</w:t>
            </w:r>
          </w:p>
        </w:tc>
        <w:tc>
          <w:tcPr>
            <w:tcW w:w="337" w:type="pct"/>
          </w:tcPr>
          <w:p w14:paraId="04BEFF7A" w14:textId="77777777" w:rsidR="009F7F8A" w:rsidRPr="006A31EC" w:rsidRDefault="009F7F8A" w:rsidP="009F7F8A">
            <w:pPr>
              <w:rPr>
                <w:rFonts w:eastAsia="SimSun"/>
                <w:sz w:val="22"/>
                <w:lang w:val="en-US"/>
              </w:rPr>
            </w:pPr>
          </w:p>
        </w:tc>
      </w:tr>
      <w:tr w:rsidR="009F7F8A" w:rsidRPr="006A31EC" w14:paraId="5C6BB50B" w14:textId="77777777" w:rsidTr="009F7F8A">
        <w:trPr>
          <w:cantSplit/>
          <w:trHeight w:val="624"/>
        </w:trPr>
        <w:tc>
          <w:tcPr>
            <w:tcW w:w="293" w:type="pct"/>
            <w:vMerge/>
            <w:shd w:val="clear" w:color="auto" w:fill="D9D9D9"/>
            <w:vAlign w:val="center"/>
          </w:tcPr>
          <w:p w14:paraId="0CBF6016" w14:textId="77777777" w:rsidR="009F7F8A" w:rsidRPr="006A31EC" w:rsidRDefault="009F7F8A" w:rsidP="009F7F8A">
            <w:pPr>
              <w:rPr>
                <w:rFonts w:eastAsia="SimSun"/>
                <w:sz w:val="22"/>
                <w:lang w:val="en-US"/>
              </w:rPr>
            </w:pPr>
          </w:p>
        </w:tc>
        <w:tc>
          <w:tcPr>
            <w:tcW w:w="284" w:type="pct"/>
            <w:shd w:val="clear" w:color="auto" w:fill="D9D9D9"/>
            <w:vAlign w:val="center"/>
          </w:tcPr>
          <w:p w14:paraId="24D5DCD9" w14:textId="77777777" w:rsidR="009F7F8A" w:rsidRPr="006A31EC" w:rsidRDefault="009F7F8A" w:rsidP="009F7F8A">
            <w:pPr>
              <w:rPr>
                <w:rFonts w:eastAsia="SimSun"/>
                <w:sz w:val="22"/>
                <w:lang w:val="en-US"/>
              </w:rPr>
            </w:pPr>
            <w:r w:rsidRPr="006A31EC">
              <w:rPr>
                <w:rFonts w:eastAsia="SimSun"/>
                <w:sz w:val="22"/>
                <w:lang w:val="en-US"/>
              </w:rPr>
              <w:t>Tx</w:t>
            </w:r>
          </w:p>
        </w:tc>
        <w:tc>
          <w:tcPr>
            <w:tcW w:w="261" w:type="pct"/>
            <w:shd w:val="clear" w:color="auto" w:fill="D9D9D9"/>
            <w:vAlign w:val="center"/>
          </w:tcPr>
          <w:p w14:paraId="3B8634CB" w14:textId="77777777" w:rsidR="009F7F8A" w:rsidRPr="006A31EC" w:rsidRDefault="009F7F8A" w:rsidP="009F7F8A">
            <w:pPr>
              <w:rPr>
                <w:rFonts w:eastAsia="SimSun"/>
                <w:sz w:val="22"/>
                <w:lang w:val="en-US"/>
              </w:rPr>
            </w:pPr>
            <w:r w:rsidRPr="006A31EC">
              <w:rPr>
                <w:rFonts w:eastAsia="SimSun"/>
                <w:sz w:val="22"/>
                <w:lang w:val="en-US"/>
              </w:rPr>
              <w:t>-</w:t>
            </w:r>
          </w:p>
        </w:tc>
        <w:tc>
          <w:tcPr>
            <w:tcW w:w="398" w:type="pct"/>
            <w:shd w:val="clear" w:color="auto" w:fill="D9D9D9"/>
            <w:vAlign w:val="center"/>
          </w:tcPr>
          <w:p w14:paraId="26A41FEC" w14:textId="77777777" w:rsidR="009F7F8A" w:rsidRPr="006A31EC" w:rsidRDefault="009F7F8A" w:rsidP="009F7F8A">
            <w:pPr>
              <w:rPr>
                <w:rFonts w:eastAsia="SimSun"/>
                <w:sz w:val="22"/>
                <w:lang w:val="en-US"/>
              </w:rPr>
            </w:pPr>
            <w:r w:rsidRPr="006A31EC">
              <w:rPr>
                <w:rFonts w:eastAsia="SimSun"/>
                <w:sz w:val="22"/>
                <w:lang w:val="en-US"/>
              </w:rPr>
              <w:t>MMF30</w:t>
            </w:r>
          </w:p>
        </w:tc>
        <w:tc>
          <w:tcPr>
            <w:tcW w:w="337" w:type="pct"/>
            <w:shd w:val="clear" w:color="auto" w:fill="auto"/>
            <w:vAlign w:val="center"/>
          </w:tcPr>
          <w:p w14:paraId="016961DA" w14:textId="77777777" w:rsidR="009F7F8A" w:rsidRPr="006A31EC" w:rsidRDefault="009F7F8A" w:rsidP="009F7F8A">
            <w:pPr>
              <w:rPr>
                <w:rFonts w:eastAsia="SimSun"/>
                <w:sz w:val="22"/>
                <w:lang w:val="en-US"/>
              </w:rPr>
            </w:pPr>
            <w:r w:rsidRPr="006A31EC">
              <w:rPr>
                <w:rFonts w:eastAsia="SimSun"/>
                <w:sz w:val="22"/>
                <w:lang w:val="en-US"/>
              </w:rPr>
              <w:t>5.1.2.16</w:t>
            </w:r>
          </w:p>
        </w:tc>
        <w:tc>
          <w:tcPr>
            <w:tcW w:w="312" w:type="pct"/>
          </w:tcPr>
          <w:p w14:paraId="42DB95C0" w14:textId="77777777" w:rsidR="009F7F8A" w:rsidRPr="006A31EC" w:rsidRDefault="009F7F8A" w:rsidP="009F7F8A">
            <w:pPr>
              <w:rPr>
                <w:rFonts w:eastAsia="SimSun"/>
                <w:sz w:val="22"/>
                <w:lang w:val="en-US"/>
              </w:rPr>
            </w:pPr>
          </w:p>
        </w:tc>
        <w:tc>
          <w:tcPr>
            <w:tcW w:w="337" w:type="pct"/>
            <w:shd w:val="clear" w:color="auto" w:fill="auto"/>
            <w:vAlign w:val="center"/>
          </w:tcPr>
          <w:p w14:paraId="7D0CD15F"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6FC92105"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1204B23B"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59364D2F"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133BF66B" w14:textId="77777777" w:rsidR="009F7F8A" w:rsidRPr="006A31EC" w:rsidRDefault="009F7F8A" w:rsidP="009F7F8A">
            <w:pPr>
              <w:rPr>
                <w:sz w:val="22"/>
              </w:rPr>
            </w:pPr>
            <w:r w:rsidRPr="006A31EC">
              <w:rPr>
                <w:rFonts w:eastAsia="SimSun"/>
                <w:sz w:val="22"/>
                <w:lang w:val="en-US"/>
              </w:rPr>
              <w:t>-</w:t>
            </w:r>
          </w:p>
        </w:tc>
        <w:tc>
          <w:tcPr>
            <w:tcW w:w="401" w:type="pct"/>
            <w:shd w:val="clear" w:color="auto" w:fill="auto"/>
            <w:vAlign w:val="center"/>
          </w:tcPr>
          <w:p w14:paraId="7E692163" w14:textId="77777777" w:rsidR="009F7F8A" w:rsidRPr="006A31EC" w:rsidRDefault="009F7F8A" w:rsidP="009F7F8A">
            <w:pPr>
              <w:rPr>
                <w:rFonts w:eastAsia="SimSun"/>
                <w:sz w:val="22"/>
                <w:lang w:val="en-US"/>
              </w:rPr>
            </w:pPr>
            <w:r w:rsidRPr="006A31EC">
              <w:rPr>
                <w:rFonts w:eastAsia="SimSun"/>
                <w:sz w:val="22"/>
                <w:lang w:val="en-US"/>
              </w:rPr>
              <w:t>5.1.2.9</w:t>
            </w:r>
          </w:p>
        </w:tc>
        <w:tc>
          <w:tcPr>
            <w:tcW w:w="442" w:type="pct"/>
            <w:shd w:val="clear" w:color="auto" w:fill="auto"/>
            <w:vAlign w:val="center"/>
          </w:tcPr>
          <w:p w14:paraId="2232CDD9" w14:textId="77777777" w:rsidR="009F7F8A" w:rsidRPr="006A31EC" w:rsidRDefault="009F7F8A" w:rsidP="009F7F8A">
            <w:pPr>
              <w:rPr>
                <w:rFonts w:eastAsia="SimSun"/>
                <w:sz w:val="22"/>
                <w:lang w:val="en-US"/>
              </w:rPr>
            </w:pPr>
            <w:r w:rsidRPr="006A31EC">
              <w:rPr>
                <w:rFonts w:eastAsia="SimSun"/>
                <w:sz w:val="22"/>
                <w:lang w:val="en-US"/>
              </w:rPr>
              <w:t>5.1.2.14</w:t>
            </w:r>
          </w:p>
        </w:tc>
        <w:tc>
          <w:tcPr>
            <w:tcW w:w="337" w:type="pct"/>
            <w:shd w:val="clear" w:color="auto" w:fill="auto"/>
            <w:vAlign w:val="center"/>
          </w:tcPr>
          <w:p w14:paraId="120FD37A" w14:textId="77777777" w:rsidR="009F7F8A" w:rsidRPr="006A31EC" w:rsidRDefault="009F7F8A" w:rsidP="009F7F8A">
            <w:pPr>
              <w:rPr>
                <w:sz w:val="22"/>
              </w:rPr>
            </w:pPr>
            <w:r w:rsidRPr="006A31EC">
              <w:rPr>
                <w:rFonts w:eastAsia="SimSun"/>
                <w:sz w:val="22"/>
              </w:rPr>
              <w:t xml:space="preserve">      </w:t>
            </w:r>
            <w:r w:rsidRPr="006A31EC">
              <w:rPr>
                <w:rFonts w:eastAsia="SimSun"/>
                <w:sz w:val="22"/>
                <w:lang w:val="en-US"/>
              </w:rPr>
              <w:t>-</w:t>
            </w:r>
          </w:p>
        </w:tc>
        <w:tc>
          <w:tcPr>
            <w:tcW w:w="337" w:type="pct"/>
          </w:tcPr>
          <w:p w14:paraId="0430BA67" w14:textId="77777777" w:rsidR="009F7F8A" w:rsidRPr="006A31EC" w:rsidRDefault="009F7F8A" w:rsidP="009F7F8A">
            <w:pPr>
              <w:rPr>
                <w:rFonts w:eastAsia="SimSun"/>
                <w:sz w:val="22"/>
              </w:rPr>
            </w:pPr>
            <w:r w:rsidRPr="006A31EC">
              <w:rPr>
                <w:rFonts w:eastAsia="SimSun"/>
                <w:sz w:val="22"/>
                <w:lang w:val="en-US"/>
              </w:rPr>
              <w:t>5.1.2.2</w:t>
            </w:r>
            <w:r w:rsidRPr="006A31EC">
              <w:rPr>
                <w:rFonts w:eastAsia="SimSun"/>
                <w:sz w:val="22"/>
              </w:rPr>
              <w:t>4</w:t>
            </w:r>
          </w:p>
        </w:tc>
      </w:tr>
      <w:tr w:rsidR="009F7F8A" w:rsidRPr="006A31EC" w14:paraId="1616CE89" w14:textId="77777777" w:rsidTr="009F7F8A">
        <w:trPr>
          <w:cantSplit/>
          <w:trHeight w:val="624"/>
        </w:trPr>
        <w:tc>
          <w:tcPr>
            <w:tcW w:w="293" w:type="pct"/>
            <w:vMerge/>
            <w:shd w:val="clear" w:color="auto" w:fill="D9D9D9"/>
            <w:vAlign w:val="center"/>
          </w:tcPr>
          <w:p w14:paraId="2B0D469B" w14:textId="77777777" w:rsidR="009F7F8A" w:rsidRPr="006A31EC" w:rsidRDefault="009F7F8A" w:rsidP="009F7F8A">
            <w:pPr>
              <w:rPr>
                <w:rFonts w:eastAsia="SimSun"/>
                <w:sz w:val="22"/>
                <w:lang w:val="en-US"/>
              </w:rPr>
            </w:pPr>
          </w:p>
        </w:tc>
        <w:tc>
          <w:tcPr>
            <w:tcW w:w="284" w:type="pct"/>
            <w:shd w:val="clear" w:color="auto" w:fill="D9D9D9"/>
            <w:vAlign w:val="center"/>
          </w:tcPr>
          <w:p w14:paraId="375A7975" w14:textId="77777777" w:rsidR="009F7F8A" w:rsidRPr="006A31EC" w:rsidRDefault="009F7F8A" w:rsidP="009F7F8A">
            <w:pPr>
              <w:rPr>
                <w:rFonts w:eastAsia="SimSun"/>
                <w:sz w:val="22"/>
                <w:lang w:val="en-US"/>
              </w:rPr>
            </w:pPr>
            <w:r w:rsidRPr="006A31EC">
              <w:rPr>
                <w:rFonts w:eastAsia="SimSun"/>
                <w:sz w:val="22"/>
                <w:lang w:val="en-US"/>
              </w:rPr>
              <w:t>Ruxo</w:t>
            </w:r>
          </w:p>
        </w:tc>
        <w:tc>
          <w:tcPr>
            <w:tcW w:w="261" w:type="pct"/>
            <w:shd w:val="clear" w:color="auto" w:fill="D9D9D9"/>
            <w:vAlign w:val="center"/>
          </w:tcPr>
          <w:p w14:paraId="24F24C7B" w14:textId="77777777" w:rsidR="009F7F8A" w:rsidRPr="006A31EC" w:rsidRDefault="009F7F8A" w:rsidP="009F7F8A">
            <w:pPr>
              <w:rPr>
                <w:rFonts w:eastAsia="SimSun"/>
                <w:sz w:val="22"/>
                <w:lang w:val="en-US"/>
              </w:rPr>
            </w:pPr>
            <w:r w:rsidRPr="006A31EC">
              <w:rPr>
                <w:rFonts w:eastAsia="SimSun"/>
                <w:sz w:val="22"/>
                <w:lang w:val="en-US"/>
              </w:rPr>
              <w:t>-</w:t>
            </w:r>
          </w:p>
        </w:tc>
        <w:tc>
          <w:tcPr>
            <w:tcW w:w="398" w:type="pct"/>
            <w:shd w:val="clear" w:color="auto" w:fill="D9D9D9"/>
            <w:vAlign w:val="center"/>
          </w:tcPr>
          <w:p w14:paraId="7E6CCF64" w14:textId="77777777" w:rsidR="009F7F8A" w:rsidRPr="006A31EC" w:rsidRDefault="009F7F8A" w:rsidP="009F7F8A">
            <w:pPr>
              <w:rPr>
                <w:rFonts w:eastAsia="SimSun"/>
                <w:sz w:val="22"/>
                <w:lang w:val="en-US"/>
              </w:rPr>
            </w:pPr>
            <w:r w:rsidRPr="006A31EC">
              <w:rPr>
                <w:rFonts w:eastAsia="SimSun"/>
                <w:sz w:val="22"/>
                <w:lang w:val="en-US"/>
              </w:rPr>
              <w:t>-</w:t>
            </w:r>
          </w:p>
        </w:tc>
        <w:tc>
          <w:tcPr>
            <w:tcW w:w="337" w:type="pct"/>
            <w:shd w:val="clear" w:color="auto" w:fill="auto"/>
            <w:vAlign w:val="center"/>
          </w:tcPr>
          <w:p w14:paraId="2F5D1ED3" w14:textId="77777777" w:rsidR="009F7F8A" w:rsidRPr="006A31EC" w:rsidRDefault="009F7F8A" w:rsidP="009F7F8A">
            <w:pPr>
              <w:rPr>
                <w:sz w:val="22"/>
              </w:rPr>
            </w:pPr>
            <w:r w:rsidRPr="006A31EC">
              <w:rPr>
                <w:rFonts w:eastAsia="SimSun"/>
                <w:sz w:val="22"/>
                <w:lang w:val="en-US"/>
              </w:rPr>
              <w:t>-</w:t>
            </w:r>
          </w:p>
        </w:tc>
        <w:tc>
          <w:tcPr>
            <w:tcW w:w="312" w:type="pct"/>
          </w:tcPr>
          <w:p w14:paraId="227442EB" w14:textId="77777777" w:rsidR="009F7F8A" w:rsidRPr="006A31EC" w:rsidRDefault="009F7F8A" w:rsidP="009F7F8A">
            <w:pPr>
              <w:rPr>
                <w:rFonts w:eastAsia="SimSun"/>
                <w:sz w:val="22"/>
                <w:lang w:val="en-US"/>
              </w:rPr>
            </w:pPr>
          </w:p>
        </w:tc>
        <w:tc>
          <w:tcPr>
            <w:tcW w:w="337" w:type="pct"/>
            <w:shd w:val="clear" w:color="auto" w:fill="auto"/>
            <w:vAlign w:val="center"/>
          </w:tcPr>
          <w:p w14:paraId="61380909"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3DBF8C0A"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786C3971"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6AE48DC6"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5D1FCA28" w14:textId="77777777" w:rsidR="009F7F8A" w:rsidRPr="006A31EC" w:rsidRDefault="009F7F8A" w:rsidP="009F7F8A">
            <w:pPr>
              <w:rPr>
                <w:sz w:val="22"/>
              </w:rPr>
            </w:pPr>
            <w:r w:rsidRPr="006A31EC">
              <w:rPr>
                <w:rFonts w:eastAsia="SimSun"/>
                <w:sz w:val="22"/>
                <w:lang w:val="en-US"/>
              </w:rPr>
              <w:t>-</w:t>
            </w:r>
          </w:p>
        </w:tc>
        <w:tc>
          <w:tcPr>
            <w:tcW w:w="401" w:type="pct"/>
            <w:shd w:val="clear" w:color="auto" w:fill="auto"/>
            <w:vAlign w:val="center"/>
          </w:tcPr>
          <w:p w14:paraId="279B49A8" w14:textId="77777777" w:rsidR="009F7F8A" w:rsidRPr="006A31EC" w:rsidRDefault="009F7F8A" w:rsidP="009F7F8A">
            <w:pPr>
              <w:rPr>
                <w:rFonts w:eastAsia="SimSun"/>
                <w:sz w:val="22"/>
              </w:rPr>
            </w:pPr>
          </w:p>
        </w:tc>
        <w:tc>
          <w:tcPr>
            <w:tcW w:w="442" w:type="pct"/>
            <w:shd w:val="clear" w:color="auto" w:fill="auto"/>
            <w:vAlign w:val="center"/>
          </w:tcPr>
          <w:p w14:paraId="0B6585CE" w14:textId="77777777" w:rsidR="009F7F8A" w:rsidRPr="006A31EC" w:rsidRDefault="009F7F8A" w:rsidP="009F7F8A">
            <w:pPr>
              <w:rPr>
                <w:rFonts w:eastAsia="SimSun"/>
                <w:sz w:val="22"/>
                <w:lang w:val="en-US"/>
              </w:rPr>
            </w:pPr>
            <w:r w:rsidRPr="006A31EC">
              <w:rPr>
                <w:rFonts w:eastAsia="SimSun"/>
                <w:sz w:val="22"/>
                <w:lang w:val="en-US"/>
              </w:rPr>
              <w:t>5.1.2.12/15</w:t>
            </w:r>
          </w:p>
        </w:tc>
        <w:tc>
          <w:tcPr>
            <w:tcW w:w="337" w:type="pct"/>
            <w:shd w:val="clear" w:color="auto" w:fill="auto"/>
            <w:vAlign w:val="center"/>
          </w:tcPr>
          <w:p w14:paraId="50CAE629" w14:textId="77777777" w:rsidR="009F7F8A" w:rsidRPr="006A31EC" w:rsidRDefault="009F7F8A" w:rsidP="009F7F8A">
            <w:pPr>
              <w:rPr>
                <w:sz w:val="22"/>
              </w:rPr>
            </w:pPr>
            <w:r w:rsidRPr="006A31EC">
              <w:rPr>
                <w:rFonts w:eastAsia="SimSun"/>
                <w:sz w:val="22"/>
                <w:lang w:val="en-US"/>
              </w:rPr>
              <w:t>-</w:t>
            </w:r>
          </w:p>
        </w:tc>
        <w:tc>
          <w:tcPr>
            <w:tcW w:w="337" w:type="pct"/>
          </w:tcPr>
          <w:p w14:paraId="12EC80D3" w14:textId="77777777" w:rsidR="009F7F8A" w:rsidRPr="006A31EC" w:rsidRDefault="009F7F8A" w:rsidP="009F7F8A">
            <w:pPr>
              <w:rPr>
                <w:rFonts w:eastAsia="SimSun"/>
                <w:sz w:val="22"/>
                <w:lang w:val="en-US"/>
              </w:rPr>
            </w:pPr>
          </w:p>
        </w:tc>
      </w:tr>
      <w:tr w:rsidR="009F7F8A" w:rsidRPr="006A31EC" w14:paraId="44E3AF2D" w14:textId="77777777" w:rsidTr="009F7F8A">
        <w:trPr>
          <w:cantSplit/>
          <w:trHeight w:val="624"/>
        </w:trPr>
        <w:tc>
          <w:tcPr>
            <w:tcW w:w="293" w:type="pct"/>
            <w:shd w:val="clear" w:color="auto" w:fill="D9D9D9"/>
            <w:vAlign w:val="center"/>
          </w:tcPr>
          <w:p w14:paraId="03FE13DF" w14:textId="77777777" w:rsidR="009F7F8A" w:rsidRPr="006A31EC" w:rsidRDefault="009F7F8A" w:rsidP="009F7F8A">
            <w:pPr>
              <w:rPr>
                <w:rFonts w:eastAsia="SimSun"/>
                <w:sz w:val="22"/>
                <w:lang w:val="en-US"/>
              </w:rPr>
            </w:pPr>
            <w:r w:rsidRPr="006A31EC">
              <w:rPr>
                <w:rFonts w:eastAsia="SimSun"/>
                <w:sz w:val="22"/>
                <w:lang w:val="en-US"/>
              </w:rPr>
              <w:lastRenderedPageBreak/>
              <w:t>-</w:t>
            </w:r>
          </w:p>
        </w:tc>
        <w:tc>
          <w:tcPr>
            <w:tcW w:w="284" w:type="pct"/>
            <w:shd w:val="clear" w:color="auto" w:fill="D9D9D9"/>
            <w:vAlign w:val="center"/>
          </w:tcPr>
          <w:p w14:paraId="454D0B08" w14:textId="77777777" w:rsidR="009F7F8A" w:rsidRPr="006A31EC" w:rsidRDefault="009F7F8A" w:rsidP="009F7F8A">
            <w:pPr>
              <w:rPr>
                <w:rFonts w:eastAsia="SimSun"/>
                <w:sz w:val="22"/>
                <w:lang w:val="en-US"/>
              </w:rPr>
            </w:pPr>
            <w:r w:rsidRPr="006A31EC">
              <w:rPr>
                <w:rFonts w:eastAsia="SimSun"/>
                <w:sz w:val="22"/>
                <w:lang w:val="en-US"/>
              </w:rPr>
              <w:t>Tx</w:t>
            </w:r>
          </w:p>
        </w:tc>
        <w:tc>
          <w:tcPr>
            <w:tcW w:w="261" w:type="pct"/>
            <w:shd w:val="clear" w:color="auto" w:fill="D9D9D9"/>
            <w:vAlign w:val="center"/>
          </w:tcPr>
          <w:p w14:paraId="37AD1483" w14:textId="77777777" w:rsidR="009F7F8A" w:rsidRPr="006A31EC" w:rsidRDefault="009F7F8A" w:rsidP="009F7F8A">
            <w:pPr>
              <w:rPr>
                <w:rFonts w:eastAsia="SimSun"/>
                <w:sz w:val="22"/>
                <w:lang w:val="en-US"/>
              </w:rPr>
            </w:pPr>
            <w:r w:rsidRPr="006A31EC">
              <w:rPr>
                <w:rFonts w:eastAsia="SimSun"/>
                <w:sz w:val="22"/>
                <w:lang w:val="en-US"/>
              </w:rPr>
              <w:t>-</w:t>
            </w:r>
          </w:p>
        </w:tc>
        <w:tc>
          <w:tcPr>
            <w:tcW w:w="398" w:type="pct"/>
            <w:shd w:val="clear" w:color="auto" w:fill="D9D9D9"/>
            <w:vAlign w:val="center"/>
          </w:tcPr>
          <w:p w14:paraId="05F8C0EE" w14:textId="77777777" w:rsidR="009F7F8A" w:rsidRPr="006A31EC" w:rsidRDefault="009F7F8A" w:rsidP="009F7F8A">
            <w:pPr>
              <w:rPr>
                <w:rFonts w:eastAsia="SimSun"/>
                <w:sz w:val="22"/>
                <w:lang w:val="en-US"/>
              </w:rPr>
            </w:pPr>
            <w:r w:rsidRPr="006A31EC">
              <w:rPr>
                <w:rFonts w:eastAsia="SimSun"/>
                <w:sz w:val="22"/>
                <w:lang w:val="en-US"/>
              </w:rPr>
              <w:t>MMF30</w:t>
            </w:r>
          </w:p>
        </w:tc>
        <w:tc>
          <w:tcPr>
            <w:tcW w:w="337" w:type="pct"/>
            <w:shd w:val="clear" w:color="auto" w:fill="auto"/>
            <w:vAlign w:val="center"/>
          </w:tcPr>
          <w:p w14:paraId="330E2E0C" w14:textId="77777777" w:rsidR="009F7F8A" w:rsidRPr="006A31EC" w:rsidRDefault="009F7F8A" w:rsidP="009F7F8A">
            <w:pPr>
              <w:rPr>
                <w:sz w:val="22"/>
              </w:rPr>
            </w:pPr>
            <w:r w:rsidRPr="006A31EC">
              <w:rPr>
                <w:rFonts w:eastAsia="SimSun"/>
                <w:sz w:val="22"/>
                <w:lang w:val="en-US"/>
              </w:rPr>
              <w:t>-</w:t>
            </w:r>
          </w:p>
        </w:tc>
        <w:tc>
          <w:tcPr>
            <w:tcW w:w="312" w:type="pct"/>
          </w:tcPr>
          <w:p w14:paraId="4209560E" w14:textId="77777777" w:rsidR="009F7F8A" w:rsidRPr="006A31EC" w:rsidRDefault="009F7F8A" w:rsidP="009F7F8A">
            <w:pPr>
              <w:rPr>
                <w:rFonts w:eastAsia="SimSun"/>
                <w:sz w:val="22"/>
                <w:lang w:val="en-US"/>
              </w:rPr>
            </w:pPr>
          </w:p>
        </w:tc>
        <w:tc>
          <w:tcPr>
            <w:tcW w:w="337" w:type="pct"/>
            <w:shd w:val="clear" w:color="auto" w:fill="auto"/>
            <w:vAlign w:val="center"/>
          </w:tcPr>
          <w:p w14:paraId="7B372CCD"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0EBEACE3" w14:textId="77777777" w:rsidR="009F7F8A" w:rsidRPr="006A31EC" w:rsidRDefault="009F7F8A" w:rsidP="009F7F8A">
            <w:pPr>
              <w:rPr>
                <w:sz w:val="22"/>
              </w:rPr>
            </w:pPr>
            <w:r w:rsidRPr="006A31EC">
              <w:rPr>
                <w:rFonts w:eastAsia="SimSun"/>
                <w:sz w:val="22"/>
                <w:lang w:val="en-US"/>
              </w:rPr>
              <w:t>-</w:t>
            </w:r>
          </w:p>
        </w:tc>
        <w:tc>
          <w:tcPr>
            <w:tcW w:w="295" w:type="pct"/>
            <w:shd w:val="clear" w:color="auto" w:fill="auto"/>
            <w:vAlign w:val="center"/>
          </w:tcPr>
          <w:p w14:paraId="43FB300B"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166EFCF3" w14:textId="77777777" w:rsidR="009F7F8A" w:rsidRPr="006A31EC" w:rsidRDefault="009F7F8A" w:rsidP="009F7F8A">
            <w:pPr>
              <w:rPr>
                <w:sz w:val="22"/>
              </w:rPr>
            </w:pPr>
            <w:r w:rsidRPr="006A31EC">
              <w:rPr>
                <w:rFonts w:eastAsia="SimSun"/>
                <w:sz w:val="22"/>
                <w:lang w:val="en-US"/>
              </w:rPr>
              <w:t>-</w:t>
            </w:r>
          </w:p>
        </w:tc>
        <w:tc>
          <w:tcPr>
            <w:tcW w:w="337" w:type="pct"/>
            <w:shd w:val="clear" w:color="auto" w:fill="auto"/>
            <w:vAlign w:val="center"/>
          </w:tcPr>
          <w:p w14:paraId="3AEABFC8" w14:textId="77777777" w:rsidR="009F7F8A" w:rsidRPr="006A31EC" w:rsidRDefault="009F7F8A" w:rsidP="009F7F8A">
            <w:pPr>
              <w:rPr>
                <w:sz w:val="22"/>
              </w:rPr>
            </w:pPr>
            <w:r w:rsidRPr="006A31EC">
              <w:rPr>
                <w:rFonts w:eastAsia="SimSun"/>
                <w:sz w:val="22"/>
                <w:lang w:val="en-US"/>
              </w:rPr>
              <w:t>-</w:t>
            </w:r>
          </w:p>
        </w:tc>
        <w:tc>
          <w:tcPr>
            <w:tcW w:w="401" w:type="pct"/>
            <w:shd w:val="clear" w:color="auto" w:fill="auto"/>
            <w:vAlign w:val="center"/>
          </w:tcPr>
          <w:p w14:paraId="5ACC3CC3" w14:textId="77777777" w:rsidR="009F7F8A" w:rsidRPr="006A31EC" w:rsidRDefault="009F7F8A" w:rsidP="009F7F8A">
            <w:pPr>
              <w:rPr>
                <w:rFonts w:eastAsia="SimSun"/>
                <w:sz w:val="22"/>
                <w:lang w:val="en-US"/>
              </w:rPr>
            </w:pPr>
            <w:r w:rsidRPr="006A31EC">
              <w:rPr>
                <w:rFonts w:eastAsia="SimSun"/>
                <w:sz w:val="22"/>
                <w:lang w:val="en-US"/>
              </w:rPr>
              <w:t>5.1.2.10</w:t>
            </w:r>
          </w:p>
        </w:tc>
        <w:tc>
          <w:tcPr>
            <w:tcW w:w="442" w:type="pct"/>
            <w:shd w:val="clear" w:color="auto" w:fill="auto"/>
            <w:vAlign w:val="center"/>
          </w:tcPr>
          <w:p w14:paraId="6843EE43" w14:textId="77777777" w:rsidR="009F7F8A" w:rsidRPr="006A31EC" w:rsidRDefault="009F7F8A" w:rsidP="009F7F8A">
            <w:pPr>
              <w:rPr>
                <w:rFonts w:eastAsia="SimSun"/>
                <w:sz w:val="22"/>
                <w:lang w:val="en-US"/>
              </w:rPr>
            </w:pPr>
          </w:p>
        </w:tc>
        <w:tc>
          <w:tcPr>
            <w:tcW w:w="337" w:type="pct"/>
            <w:shd w:val="clear" w:color="auto" w:fill="auto"/>
            <w:vAlign w:val="center"/>
          </w:tcPr>
          <w:p w14:paraId="11186FFC" w14:textId="77777777" w:rsidR="009F7F8A" w:rsidRPr="006A31EC" w:rsidRDefault="009F7F8A" w:rsidP="009F7F8A">
            <w:pPr>
              <w:rPr>
                <w:sz w:val="22"/>
              </w:rPr>
            </w:pPr>
            <w:r w:rsidRPr="006A31EC">
              <w:rPr>
                <w:rFonts w:eastAsia="SimSun"/>
                <w:sz w:val="22"/>
                <w:lang w:val="en-US"/>
              </w:rPr>
              <w:t>-</w:t>
            </w:r>
          </w:p>
        </w:tc>
        <w:tc>
          <w:tcPr>
            <w:tcW w:w="337" w:type="pct"/>
          </w:tcPr>
          <w:p w14:paraId="718CE2BF" w14:textId="77777777" w:rsidR="009F7F8A" w:rsidRPr="006A31EC" w:rsidRDefault="009F7F8A" w:rsidP="009F7F8A">
            <w:pPr>
              <w:rPr>
                <w:rFonts w:eastAsia="SimSun"/>
                <w:sz w:val="22"/>
                <w:lang w:val="en-US"/>
              </w:rPr>
            </w:pPr>
          </w:p>
        </w:tc>
      </w:tr>
    </w:tbl>
    <w:p w14:paraId="6DC41980" w14:textId="77777777" w:rsidR="009F7F8A" w:rsidRPr="00C07B2E" w:rsidRDefault="009F7F8A" w:rsidP="009F7F8A">
      <w:pPr>
        <w:rPr>
          <w:rFonts w:eastAsia="SimSun"/>
        </w:rPr>
        <w:sectPr w:rsidR="009F7F8A" w:rsidRPr="00C07B2E" w:rsidSect="009F7F8A">
          <w:type w:val="continuous"/>
          <w:pgSz w:w="16839" w:h="11907" w:orient="landscape" w:code="9"/>
          <w:pgMar w:top="1134" w:right="850" w:bottom="1134" w:left="1701" w:header="709" w:footer="567" w:gutter="0"/>
          <w:cols w:space="708"/>
          <w:docGrid w:linePitch="360"/>
        </w:sectPr>
      </w:pPr>
    </w:p>
    <w:p w14:paraId="171340A2" w14:textId="77777777" w:rsidR="009F7F8A" w:rsidRPr="00C07B2E" w:rsidRDefault="009F7F8A" w:rsidP="009F7F8A">
      <w:pPr>
        <w:rPr>
          <w:rFonts w:eastAsia="SimSun"/>
        </w:rPr>
      </w:pPr>
    </w:p>
    <w:p w14:paraId="58A34783" w14:textId="77777777" w:rsidR="009F7F8A" w:rsidRPr="00C07B2E" w:rsidRDefault="009F7F8A" w:rsidP="009F7F8A">
      <w:pPr>
        <w:rPr>
          <w:rFonts w:eastAsia="SimSun"/>
        </w:rPr>
      </w:pPr>
      <w:bookmarkStart w:id="129" w:name="_Toc44401159"/>
      <w:r w:rsidRPr="00042499">
        <w:rPr>
          <w:rFonts w:eastAsia="SimSun"/>
        </w:rPr>
        <w:t>Таблица</w:t>
      </w:r>
      <w:r w:rsidRPr="00C07B2E">
        <w:rPr>
          <w:rFonts w:eastAsia="SimSun"/>
        </w:rPr>
        <w:t xml:space="preserve"> </w:t>
      </w:r>
      <w:r>
        <w:rPr>
          <w:rFonts w:eastAsia="SimSun"/>
        </w:rPr>
        <w:t>5.</w:t>
      </w:r>
      <w:r w:rsidRPr="00C07B2E">
        <w:rPr>
          <w:rFonts w:eastAsia="SimSun"/>
        </w:rPr>
        <w:t>1.2.1  – Flu150+Bu8+Thio / hATG+CSA+MTX+MMF30</w:t>
      </w:r>
      <w:bookmarkEnd w:id="129"/>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9F7F8A" w:rsidRPr="00AC3044" w14:paraId="371AC4C3" w14:textId="77777777" w:rsidTr="009F7F8A">
        <w:trPr>
          <w:cantSplit/>
          <w:trHeight w:val="20"/>
          <w:tblHeader/>
        </w:trPr>
        <w:tc>
          <w:tcPr>
            <w:tcW w:w="993" w:type="dxa"/>
          </w:tcPr>
          <w:p w14:paraId="0AFB636E" w14:textId="77777777" w:rsidR="009F7F8A" w:rsidRPr="00470D3D" w:rsidRDefault="009F7F8A" w:rsidP="009F7F8A">
            <w:pPr>
              <w:rPr>
                <w:rFonts w:eastAsia="SimSun"/>
              </w:rPr>
            </w:pPr>
          </w:p>
        </w:tc>
        <w:tc>
          <w:tcPr>
            <w:tcW w:w="1843" w:type="dxa"/>
            <w:vAlign w:val="center"/>
          </w:tcPr>
          <w:p w14:paraId="69222995" w14:textId="77777777" w:rsidR="009F7F8A" w:rsidRPr="00AC3044" w:rsidRDefault="009F7F8A" w:rsidP="009F7F8A">
            <w:pPr>
              <w:rPr>
                <w:rFonts w:eastAsia="SimSun"/>
              </w:rPr>
            </w:pPr>
            <w:r w:rsidRPr="00AC3044">
              <w:rPr>
                <w:rFonts w:eastAsia="SimSun"/>
              </w:rPr>
              <w:t>Препарат</w:t>
            </w:r>
          </w:p>
        </w:tc>
        <w:tc>
          <w:tcPr>
            <w:tcW w:w="1417" w:type="dxa"/>
            <w:vAlign w:val="center"/>
          </w:tcPr>
          <w:p w14:paraId="5EA222ED"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0D22CA39"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0AB4A44F"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4F1015A2"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5B36B1F9" w14:textId="77777777" w:rsidTr="009F7F8A">
        <w:trPr>
          <w:cantSplit/>
          <w:trHeight w:val="20"/>
        </w:trPr>
        <w:tc>
          <w:tcPr>
            <w:tcW w:w="993" w:type="dxa"/>
            <w:vMerge w:val="restart"/>
            <w:textDirection w:val="btLr"/>
            <w:vAlign w:val="center"/>
          </w:tcPr>
          <w:p w14:paraId="18FB4FAC" w14:textId="77777777" w:rsidR="009F7F8A" w:rsidRPr="00AC3044" w:rsidRDefault="009F7F8A" w:rsidP="009F7F8A">
            <w:pPr>
              <w:rPr>
                <w:rFonts w:eastAsia="SimSun"/>
              </w:rPr>
            </w:pPr>
            <w:r w:rsidRPr="00AC3044">
              <w:rPr>
                <w:rFonts w:eastAsia="SimSun"/>
              </w:rPr>
              <w:t>Кондиционирование</w:t>
            </w:r>
          </w:p>
        </w:tc>
        <w:tc>
          <w:tcPr>
            <w:tcW w:w="1843" w:type="dxa"/>
            <w:vAlign w:val="center"/>
          </w:tcPr>
          <w:p w14:paraId="7C2C435C" w14:textId="77777777" w:rsidR="009F7F8A" w:rsidRPr="00AC3044" w:rsidRDefault="009F7F8A" w:rsidP="009F7F8A">
            <w:pPr>
              <w:rPr>
                <w:rFonts w:eastAsia="SimSun"/>
              </w:rPr>
            </w:pPr>
            <w:r w:rsidRPr="00AC3044">
              <w:rPr>
                <w:rFonts w:eastAsia="SimSun"/>
              </w:rPr>
              <w:t xml:space="preserve">Флударабин </w:t>
            </w:r>
          </w:p>
        </w:tc>
        <w:tc>
          <w:tcPr>
            <w:tcW w:w="1417" w:type="dxa"/>
            <w:vAlign w:val="center"/>
          </w:tcPr>
          <w:p w14:paraId="4921245F" w14:textId="77777777" w:rsidR="009F7F8A" w:rsidRPr="00AC3044" w:rsidRDefault="009F7F8A" w:rsidP="009F7F8A">
            <w:pPr>
              <w:rPr>
                <w:rFonts w:eastAsia="SimSun"/>
              </w:rPr>
            </w:pPr>
            <w:r w:rsidRPr="00AC3044">
              <w:rPr>
                <w:rFonts w:eastAsia="SimSun"/>
              </w:rPr>
              <w:t>50 мг/м</w:t>
            </w:r>
            <w:r w:rsidRPr="005659AA">
              <w:rPr>
                <w:rFonts w:eastAsia="SimSun"/>
                <w:vertAlign w:val="superscript"/>
              </w:rPr>
              <w:t>2</w:t>
            </w:r>
          </w:p>
        </w:tc>
        <w:tc>
          <w:tcPr>
            <w:tcW w:w="1418" w:type="dxa"/>
            <w:vAlign w:val="center"/>
          </w:tcPr>
          <w:p w14:paraId="177D2569" w14:textId="77777777" w:rsidR="009F7F8A" w:rsidRPr="00AC3044" w:rsidRDefault="009F7F8A" w:rsidP="009F7F8A">
            <w:pPr>
              <w:rPr>
                <w:rFonts w:eastAsia="SimSun"/>
              </w:rPr>
            </w:pPr>
            <w:r w:rsidRPr="00AC3044">
              <w:rPr>
                <w:rFonts w:eastAsia="SimSun"/>
              </w:rPr>
              <w:t>150 мг/м</w:t>
            </w:r>
            <w:r w:rsidRPr="005659AA">
              <w:rPr>
                <w:rFonts w:eastAsia="SimSun"/>
                <w:vertAlign w:val="superscript"/>
              </w:rPr>
              <w:t>2</w:t>
            </w:r>
          </w:p>
        </w:tc>
        <w:tc>
          <w:tcPr>
            <w:tcW w:w="1701" w:type="dxa"/>
            <w:vAlign w:val="center"/>
          </w:tcPr>
          <w:p w14:paraId="3710D8E7" w14:textId="77777777" w:rsidR="009F7F8A" w:rsidRPr="00AC3044" w:rsidRDefault="009F7F8A" w:rsidP="009F7F8A">
            <w:pPr>
              <w:rPr>
                <w:rFonts w:eastAsia="SimSun"/>
              </w:rPr>
            </w:pPr>
            <w:r w:rsidRPr="00AC3044">
              <w:rPr>
                <w:rFonts w:eastAsia="SimSun"/>
              </w:rPr>
              <w:t>С –4 по –2 день</w:t>
            </w:r>
          </w:p>
        </w:tc>
        <w:tc>
          <w:tcPr>
            <w:tcW w:w="2268" w:type="dxa"/>
            <w:vAlign w:val="center"/>
          </w:tcPr>
          <w:p w14:paraId="1C5DF2C2"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632F905A" w14:textId="77777777" w:rsidTr="009F7F8A">
        <w:trPr>
          <w:cantSplit/>
          <w:trHeight w:val="731"/>
        </w:trPr>
        <w:tc>
          <w:tcPr>
            <w:tcW w:w="993" w:type="dxa"/>
            <w:vMerge/>
            <w:textDirection w:val="btLr"/>
            <w:vAlign w:val="center"/>
          </w:tcPr>
          <w:p w14:paraId="5C5691D2" w14:textId="77777777" w:rsidR="009F7F8A" w:rsidRPr="00AC3044" w:rsidRDefault="009F7F8A" w:rsidP="009F7F8A">
            <w:pPr>
              <w:rPr>
                <w:rFonts w:eastAsia="SimSun"/>
              </w:rPr>
            </w:pPr>
          </w:p>
        </w:tc>
        <w:tc>
          <w:tcPr>
            <w:tcW w:w="1843" w:type="dxa"/>
            <w:vAlign w:val="center"/>
          </w:tcPr>
          <w:p w14:paraId="00250281" w14:textId="77777777" w:rsidR="009F7F8A" w:rsidRPr="00AC3044" w:rsidRDefault="009F7F8A" w:rsidP="009F7F8A">
            <w:pPr>
              <w:rPr>
                <w:rFonts w:eastAsia="SimSun"/>
              </w:rPr>
            </w:pPr>
            <w:r w:rsidRPr="00AC3044">
              <w:rPr>
                <w:rFonts w:eastAsia="SimSun"/>
              </w:rPr>
              <w:t>Бусульфан</w:t>
            </w:r>
          </w:p>
        </w:tc>
        <w:tc>
          <w:tcPr>
            <w:tcW w:w="1417" w:type="dxa"/>
            <w:vAlign w:val="center"/>
          </w:tcPr>
          <w:p w14:paraId="26DDC0D8" w14:textId="77777777" w:rsidR="009F7F8A" w:rsidRPr="00AC3044" w:rsidRDefault="009F7F8A" w:rsidP="009F7F8A">
            <w:pPr>
              <w:rPr>
                <w:rFonts w:eastAsia="SimSun"/>
              </w:rPr>
            </w:pPr>
            <w:r w:rsidRPr="00AC3044">
              <w:rPr>
                <w:rFonts w:eastAsia="SimSun"/>
              </w:rPr>
              <w:t>4 мг/кг</w:t>
            </w:r>
          </w:p>
        </w:tc>
        <w:tc>
          <w:tcPr>
            <w:tcW w:w="1418" w:type="dxa"/>
            <w:vAlign w:val="center"/>
          </w:tcPr>
          <w:p w14:paraId="243BD7DE" w14:textId="77777777" w:rsidR="009F7F8A" w:rsidRPr="00AC3044" w:rsidRDefault="009F7F8A" w:rsidP="009F7F8A">
            <w:pPr>
              <w:rPr>
                <w:rFonts w:eastAsia="SimSun"/>
              </w:rPr>
            </w:pPr>
            <w:r w:rsidRPr="00AC3044">
              <w:rPr>
                <w:rFonts w:eastAsia="SimSun"/>
              </w:rPr>
              <w:t>8 мг/кг</w:t>
            </w:r>
          </w:p>
        </w:tc>
        <w:tc>
          <w:tcPr>
            <w:tcW w:w="1701" w:type="dxa"/>
            <w:vAlign w:val="center"/>
          </w:tcPr>
          <w:p w14:paraId="26D526C2" w14:textId="77777777" w:rsidR="009F7F8A" w:rsidRPr="00AC3044" w:rsidRDefault="009F7F8A" w:rsidP="009F7F8A">
            <w:pPr>
              <w:rPr>
                <w:rFonts w:eastAsia="SimSun"/>
              </w:rPr>
            </w:pPr>
            <w:r w:rsidRPr="00AC3044">
              <w:rPr>
                <w:rFonts w:eastAsia="SimSun"/>
              </w:rPr>
              <w:t>–3, –2 дни</w:t>
            </w:r>
          </w:p>
        </w:tc>
        <w:tc>
          <w:tcPr>
            <w:tcW w:w="2268" w:type="dxa"/>
            <w:vAlign w:val="center"/>
          </w:tcPr>
          <w:p w14:paraId="5A3CA26A"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284C4807" w14:textId="77777777" w:rsidTr="009F7F8A">
        <w:trPr>
          <w:cantSplit/>
          <w:trHeight w:val="700"/>
        </w:trPr>
        <w:tc>
          <w:tcPr>
            <w:tcW w:w="993" w:type="dxa"/>
            <w:vMerge/>
            <w:textDirection w:val="btLr"/>
            <w:vAlign w:val="center"/>
          </w:tcPr>
          <w:p w14:paraId="32C1B05A" w14:textId="77777777" w:rsidR="009F7F8A" w:rsidRPr="00AC3044" w:rsidRDefault="009F7F8A" w:rsidP="009F7F8A">
            <w:pPr>
              <w:rPr>
                <w:rFonts w:eastAsia="SimSun"/>
              </w:rPr>
            </w:pPr>
          </w:p>
        </w:tc>
        <w:tc>
          <w:tcPr>
            <w:tcW w:w="1843" w:type="dxa"/>
            <w:vAlign w:val="center"/>
          </w:tcPr>
          <w:p w14:paraId="4B973680" w14:textId="77777777" w:rsidR="009F7F8A" w:rsidRPr="00AC3044" w:rsidRDefault="009F7F8A" w:rsidP="009F7F8A">
            <w:pPr>
              <w:rPr>
                <w:rFonts w:eastAsia="SimSun"/>
              </w:rPr>
            </w:pPr>
            <w:r w:rsidRPr="00AC3044">
              <w:rPr>
                <w:rFonts w:eastAsia="SimSun"/>
              </w:rPr>
              <w:t>Тиотепа</w:t>
            </w:r>
          </w:p>
        </w:tc>
        <w:tc>
          <w:tcPr>
            <w:tcW w:w="1417" w:type="dxa"/>
            <w:vAlign w:val="center"/>
          </w:tcPr>
          <w:p w14:paraId="0312A31F" w14:textId="77777777" w:rsidR="009F7F8A" w:rsidRPr="00AC3044" w:rsidRDefault="009F7F8A" w:rsidP="009F7F8A">
            <w:pPr>
              <w:rPr>
                <w:rFonts w:eastAsia="SimSun"/>
              </w:rPr>
            </w:pPr>
            <w:r w:rsidRPr="00AC3044">
              <w:rPr>
                <w:rFonts w:eastAsia="SimSun"/>
              </w:rPr>
              <w:t>5 мг/кг</w:t>
            </w:r>
          </w:p>
        </w:tc>
        <w:tc>
          <w:tcPr>
            <w:tcW w:w="1418" w:type="dxa"/>
            <w:vAlign w:val="center"/>
          </w:tcPr>
          <w:p w14:paraId="7D088ED6" w14:textId="77777777" w:rsidR="009F7F8A" w:rsidRPr="00AC3044" w:rsidRDefault="009F7F8A" w:rsidP="009F7F8A">
            <w:pPr>
              <w:rPr>
                <w:rFonts w:eastAsia="SimSun"/>
              </w:rPr>
            </w:pPr>
            <w:r w:rsidRPr="00AC3044">
              <w:rPr>
                <w:rFonts w:eastAsia="SimSun"/>
              </w:rPr>
              <w:t>10 мг/кг</w:t>
            </w:r>
          </w:p>
        </w:tc>
        <w:tc>
          <w:tcPr>
            <w:tcW w:w="1701" w:type="dxa"/>
            <w:vAlign w:val="center"/>
          </w:tcPr>
          <w:p w14:paraId="4C5C98E3" w14:textId="77777777" w:rsidR="009F7F8A" w:rsidRPr="00AC3044" w:rsidRDefault="009F7F8A" w:rsidP="009F7F8A">
            <w:pPr>
              <w:rPr>
                <w:rFonts w:eastAsia="SimSun"/>
              </w:rPr>
            </w:pPr>
            <w:r w:rsidRPr="00AC3044">
              <w:rPr>
                <w:rFonts w:eastAsia="SimSun"/>
              </w:rPr>
              <w:t>-6,-5 дни</w:t>
            </w:r>
          </w:p>
        </w:tc>
        <w:tc>
          <w:tcPr>
            <w:tcW w:w="2268" w:type="dxa"/>
            <w:vAlign w:val="center"/>
          </w:tcPr>
          <w:p w14:paraId="176211A9" w14:textId="77777777" w:rsidR="009F7F8A" w:rsidRPr="00AC3044" w:rsidRDefault="009F7F8A" w:rsidP="009F7F8A">
            <w:pPr>
              <w:rPr>
                <w:rFonts w:eastAsia="SimSun"/>
              </w:rPr>
            </w:pPr>
            <w:r w:rsidRPr="00AC3044">
              <w:rPr>
                <w:rFonts w:eastAsia="SimSun"/>
              </w:rPr>
              <w:t>В/в, в течение 2 ч</w:t>
            </w:r>
          </w:p>
        </w:tc>
      </w:tr>
      <w:tr w:rsidR="009F7F8A" w:rsidRPr="00AC3044" w14:paraId="322DD3E3" w14:textId="77777777" w:rsidTr="009F7F8A">
        <w:trPr>
          <w:cantSplit/>
          <w:trHeight w:val="20"/>
        </w:trPr>
        <w:tc>
          <w:tcPr>
            <w:tcW w:w="993" w:type="dxa"/>
            <w:vMerge w:val="restart"/>
            <w:textDirection w:val="btLr"/>
          </w:tcPr>
          <w:p w14:paraId="117400E6" w14:textId="77777777" w:rsidR="009F7F8A" w:rsidRPr="00AC3044" w:rsidRDefault="009F7F8A" w:rsidP="009F7F8A">
            <w:pPr>
              <w:rPr>
                <w:rFonts w:eastAsia="SimSun"/>
              </w:rPr>
            </w:pPr>
            <w:r w:rsidRPr="00AC3044">
              <w:rPr>
                <w:rFonts w:eastAsia="SimSun"/>
              </w:rPr>
              <w:t>Профилактика РТПХ</w:t>
            </w:r>
          </w:p>
        </w:tc>
        <w:tc>
          <w:tcPr>
            <w:tcW w:w="1843" w:type="dxa"/>
            <w:vAlign w:val="center"/>
          </w:tcPr>
          <w:p w14:paraId="2A532E8E" w14:textId="77777777" w:rsidR="009F7F8A" w:rsidRPr="00AC3044" w:rsidRDefault="009F7F8A" w:rsidP="009F7F8A">
            <w:pPr>
              <w:rPr>
                <w:rFonts w:eastAsia="SimSun"/>
              </w:rPr>
            </w:pPr>
            <w:r w:rsidRPr="00AC3044">
              <w:rPr>
                <w:rFonts w:eastAsia="SimSun"/>
              </w:rPr>
              <w:t>АТГ (лошадиный)</w:t>
            </w:r>
          </w:p>
        </w:tc>
        <w:tc>
          <w:tcPr>
            <w:tcW w:w="1417" w:type="dxa"/>
            <w:vAlign w:val="center"/>
          </w:tcPr>
          <w:p w14:paraId="542DBD80" w14:textId="77777777" w:rsidR="009F7F8A" w:rsidRPr="00AC3044" w:rsidRDefault="009F7F8A" w:rsidP="009F7F8A">
            <w:pPr>
              <w:rPr>
                <w:rFonts w:eastAsia="SimSun"/>
              </w:rPr>
            </w:pPr>
            <w:r w:rsidRPr="00AC3044">
              <w:rPr>
                <w:rFonts w:eastAsia="SimSun"/>
              </w:rPr>
              <w:t>10-15 мг/кг</w:t>
            </w:r>
          </w:p>
        </w:tc>
        <w:tc>
          <w:tcPr>
            <w:tcW w:w="1418" w:type="dxa"/>
            <w:vAlign w:val="center"/>
          </w:tcPr>
          <w:p w14:paraId="79CBAF03" w14:textId="77777777" w:rsidR="009F7F8A" w:rsidRPr="00AC3044" w:rsidRDefault="009F7F8A" w:rsidP="009F7F8A">
            <w:pPr>
              <w:rPr>
                <w:rFonts w:eastAsia="SimSun"/>
              </w:rPr>
            </w:pPr>
            <w:r w:rsidRPr="00AC3044">
              <w:rPr>
                <w:rFonts w:eastAsia="SimSun"/>
              </w:rPr>
              <w:t>40-60 мг/кг</w:t>
            </w:r>
          </w:p>
        </w:tc>
        <w:tc>
          <w:tcPr>
            <w:tcW w:w="1701" w:type="dxa"/>
            <w:vAlign w:val="center"/>
          </w:tcPr>
          <w:p w14:paraId="16060C4A" w14:textId="77777777" w:rsidR="009F7F8A" w:rsidRPr="00AC3044" w:rsidRDefault="009F7F8A" w:rsidP="009F7F8A">
            <w:pPr>
              <w:rPr>
                <w:rFonts w:eastAsia="SimSun"/>
              </w:rPr>
            </w:pPr>
            <w:r w:rsidRPr="00AC3044">
              <w:rPr>
                <w:rFonts w:eastAsia="SimSun"/>
              </w:rPr>
              <w:t>С –4 по –1 день</w:t>
            </w:r>
          </w:p>
        </w:tc>
        <w:tc>
          <w:tcPr>
            <w:tcW w:w="2268" w:type="dxa"/>
            <w:vAlign w:val="center"/>
          </w:tcPr>
          <w:p w14:paraId="011232A7" w14:textId="77777777" w:rsidR="009F7F8A" w:rsidRPr="00AC3044" w:rsidRDefault="009F7F8A" w:rsidP="009F7F8A">
            <w:pPr>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 xml:space="preserve"> «Инфузия АТГ») </w:t>
            </w:r>
          </w:p>
        </w:tc>
      </w:tr>
      <w:tr w:rsidR="009F7F8A" w:rsidRPr="00AC3044" w14:paraId="69A2D93A" w14:textId="77777777" w:rsidTr="009F7F8A">
        <w:trPr>
          <w:cantSplit/>
          <w:trHeight w:val="20"/>
        </w:trPr>
        <w:tc>
          <w:tcPr>
            <w:tcW w:w="993" w:type="dxa"/>
            <w:vMerge/>
            <w:textDirection w:val="btLr"/>
          </w:tcPr>
          <w:p w14:paraId="23266D2E" w14:textId="77777777" w:rsidR="009F7F8A" w:rsidRPr="00AC3044" w:rsidRDefault="009F7F8A" w:rsidP="009F7F8A">
            <w:pPr>
              <w:rPr>
                <w:rFonts w:eastAsia="SimSun"/>
              </w:rPr>
            </w:pPr>
          </w:p>
        </w:tc>
        <w:tc>
          <w:tcPr>
            <w:tcW w:w="1843" w:type="dxa"/>
            <w:vAlign w:val="center"/>
          </w:tcPr>
          <w:p w14:paraId="14374828" w14:textId="77777777" w:rsidR="009F7F8A" w:rsidRPr="00AC3044" w:rsidRDefault="009F7F8A" w:rsidP="009F7F8A">
            <w:pPr>
              <w:rPr>
                <w:rFonts w:eastAsia="SimSun"/>
              </w:rPr>
            </w:pPr>
            <w:r w:rsidRPr="00AC3044">
              <w:rPr>
                <w:rFonts w:eastAsia="SimSun"/>
              </w:rPr>
              <w:t>Циклоспорин</w:t>
            </w:r>
          </w:p>
        </w:tc>
        <w:tc>
          <w:tcPr>
            <w:tcW w:w="1417" w:type="dxa"/>
            <w:vAlign w:val="center"/>
          </w:tcPr>
          <w:p w14:paraId="27D7D879" w14:textId="77777777" w:rsidR="009F7F8A" w:rsidRPr="00AC3044" w:rsidRDefault="009F7F8A" w:rsidP="009F7F8A">
            <w:pPr>
              <w:rPr>
                <w:rFonts w:eastAsia="SimSun"/>
              </w:rPr>
            </w:pPr>
            <w:r w:rsidRPr="00AC3044">
              <w:rPr>
                <w:rFonts w:eastAsia="SimSun"/>
              </w:rPr>
              <w:t>3 мг/кг</w:t>
            </w:r>
          </w:p>
        </w:tc>
        <w:tc>
          <w:tcPr>
            <w:tcW w:w="1418" w:type="dxa"/>
            <w:vAlign w:val="center"/>
          </w:tcPr>
          <w:p w14:paraId="1E98630D" w14:textId="77777777" w:rsidR="009F7F8A" w:rsidRPr="00AC3044" w:rsidRDefault="009F7F8A" w:rsidP="009F7F8A">
            <w:pPr>
              <w:rPr>
                <w:rFonts w:eastAsia="SimSun"/>
              </w:rPr>
            </w:pPr>
            <w:r w:rsidRPr="00AC3044">
              <w:rPr>
                <w:rFonts w:eastAsia="SimSun"/>
              </w:rPr>
              <w:t>–</w:t>
            </w:r>
          </w:p>
        </w:tc>
        <w:tc>
          <w:tcPr>
            <w:tcW w:w="1701" w:type="dxa"/>
            <w:vAlign w:val="center"/>
          </w:tcPr>
          <w:p w14:paraId="571CB7AF" w14:textId="77777777" w:rsidR="009F7F8A" w:rsidRPr="00AC3044" w:rsidRDefault="009F7F8A" w:rsidP="009F7F8A">
            <w:pPr>
              <w:rPr>
                <w:rFonts w:eastAsia="SimSun"/>
              </w:rPr>
            </w:pPr>
            <w:r w:rsidRPr="00AC3044">
              <w:rPr>
                <w:rFonts w:eastAsia="SimSun"/>
              </w:rPr>
              <w:t>С –1 дня по +90 день, затем постепенное снижение к +180 дню</w:t>
            </w:r>
          </w:p>
        </w:tc>
        <w:tc>
          <w:tcPr>
            <w:tcW w:w="2268" w:type="dxa"/>
            <w:vAlign w:val="center"/>
          </w:tcPr>
          <w:p w14:paraId="03BFA17D"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 xml:space="preserve">х </w:t>
            </w:r>
            <w:r w:rsidRPr="00AC3044">
              <w:rPr>
                <w:rFonts w:eastAsia="SimSun"/>
              </w:rPr>
              <w:t>10</w:t>
            </w:r>
            <w:r w:rsidRPr="000C00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150-350 нг/мл  </w:t>
            </w:r>
          </w:p>
        </w:tc>
      </w:tr>
      <w:tr w:rsidR="009F7F8A" w:rsidRPr="00AC3044" w14:paraId="1559622D" w14:textId="77777777" w:rsidTr="009F7F8A">
        <w:trPr>
          <w:cantSplit/>
          <w:trHeight w:val="20"/>
        </w:trPr>
        <w:tc>
          <w:tcPr>
            <w:tcW w:w="993" w:type="dxa"/>
            <w:vMerge/>
          </w:tcPr>
          <w:p w14:paraId="27747557" w14:textId="77777777" w:rsidR="009F7F8A" w:rsidRPr="00AC3044" w:rsidRDefault="009F7F8A" w:rsidP="009F7F8A">
            <w:pPr>
              <w:rPr>
                <w:rFonts w:eastAsia="SimSun"/>
              </w:rPr>
            </w:pPr>
          </w:p>
        </w:tc>
        <w:tc>
          <w:tcPr>
            <w:tcW w:w="1843" w:type="dxa"/>
            <w:vMerge w:val="restart"/>
            <w:vAlign w:val="center"/>
          </w:tcPr>
          <w:p w14:paraId="39C65A54" w14:textId="77777777" w:rsidR="009F7F8A" w:rsidRPr="00AC3044" w:rsidRDefault="009F7F8A" w:rsidP="009F7F8A">
            <w:pPr>
              <w:rPr>
                <w:rFonts w:eastAsia="SimSun"/>
              </w:rPr>
            </w:pPr>
            <w:r w:rsidRPr="00AC3044">
              <w:rPr>
                <w:rFonts w:eastAsia="SimSun"/>
              </w:rPr>
              <w:t>Метотрексат</w:t>
            </w:r>
          </w:p>
        </w:tc>
        <w:tc>
          <w:tcPr>
            <w:tcW w:w="1417" w:type="dxa"/>
            <w:vAlign w:val="center"/>
          </w:tcPr>
          <w:p w14:paraId="09842C8C" w14:textId="77777777" w:rsidR="009F7F8A" w:rsidRPr="00AC3044" w:rsidRDefault="009F7F8A" w:rsidP="009F7F8A">
            <w:pPr>
              <w:rPr>
                <w:rFonts w:eastAsia="SimSun"/>
              </w:rPr>
            </w:pPr>
            <w:r w:rsidRPr="00AC3044">
              <w:rPr>
                <w:rFonts w:eastAsia="SimSun"/>
              </w:rPr>
              <w:t>15 мг/м</w:t>
            </w:r>
            <w:r w:rsidRPr="000C005F">
              <w:rPr>
                <w:rFonts w:eastAsia="SimSun"/>
                <w:vertAlign w:val="superscript"/>
              </w:rPr>
              <w:t>2</w:t>
            </w:r>
          </w:p>
        </w:tc>
        <w:tc>
          <w:tcPr>
            <w:tcW w:w="1418" w:type="dxa"/>
            <w:vAlign w:val="center"/>
          </w:tcPr>
          <w:p w14:paraId="2EADBD25" w14:textId="77777777" w:rsidR="009F7F8A" w:rsidRPr="00AC3044" w:rsidRDefault="009F7F8A" w:rsidP="009F7F8A">
            <w:pPr>
              <w:rPr>
                <w:rFonts w:eastAsia="SimSun"/>
              </w:rPr>
            </w:pPr>
            <w:r w:rsidRPr="00AC3044">
              <w:rPr>
                <w:rFonts w:eastAsia="SimSun"/>
              </w:rPr>
              <w:t>–</w:t>
            </w:r>
          </w:p>
        </w:tc>
        <w:tc>
          <w:tcPr>
            <w:tcW w:w="1701" w:type="dxa"/>
            <w:vAlign w:val="center"/>
          </w:tcPr>
          <w:p w14:paraId="5A3DF674" w14:textId="77777777" w:rsidR="009F7F8A" w:rsidRPr="00AC3044" w:rsidRDefault="009F7F8A" w:rsidP="009F7F8A">
            <w:pPr>
              <w:rPr>
                <w:rFonts w:eastAsia="SimSun"/>
              </w:rPr>
            </w:pPr>
            <w:r w:rsidRPr="00AC3044">
              <w:rPr>
                <w:rFonts w:eastAsia="SimSun"/>
              </w:rPr>
              <w:t>+1 день</w:t>
            </w:r>
          </w:p>
        </w:tc>
        <w:tc>
          <w:tcPr>
            <w:tcW w:w="2268" w:type="dxa"/>
            <w:vAlign w:val="center"/>
          </w:tcPr>
          <w:p w14:paraId="16249AF5"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66F60EA6" w14:textId="77777777" w:rsidTr="009F7F8A">
        <w:trPr>
          <w:cantSplit/>
          <w:trHeight w:val="464"/>
        </w:trPr>
        <w:tc>
          <w:tcPr>
            <w:tcW w:w="993" w:type="dxa"/>
            <w:vMerge/>
          </w:tcPr>
          <w:p w14:paraId="21182287" w14:textId="77777777" w:rsidR="009F7F8A" w:rsidRPr="00AC3044" w:rsidRDefault="009F7F8A" w:rsidP="009F7F8A">
            <w:pPr>
              <w:rPr>
                <w:rFonts w:eastAsia="SimSun"/>
              </w:rPr>
            </w:pPr>
          </w:p>
        </w:tc>
        <w:tc>
          <w:tcPr>
            <w:tcW w:w="1843" w:type="dxa"/>
            <w:vMerge/>
            <w:vAlign w:val="center"/>
          </w:tcPr>
          <w:p w14:paraId="35F16824" w14:textId="77777777" w:rsidR="009F7F8A" w:rsidRPr="00AC3044" w:rsidRDefault="009F7F8A" w:rsidP="009F7F8A">
            <w:pPr>
              <w:rPr>
                <w:rFonts w:eastAsia="SimSun"/>
              </w:rPr>
            </w:pPr>
          </w:p>
        </w:tc>
        <w:tc>
          <w:tcPr>
            <w:tcW w:w="1417" w:type="dxa"/>
            <w:vAlign w:val="center"/>
          </w:tcPr>
          <w:p w14:paraId="0934F16B" w14:textId="77777777" w:rsidR="009F7F8A" w:rsidRPr="00AC3044" w:rsidRDefault="009F7F8A" w:rsidP="009F7F8A">
            <w:pPr>
              <w:rPr>
                <w:rFonts w:eastAsia="SimSun"/>
              </w:rPr>
            </w:pPr>
            <w:r w:rsidRPr="00AC3044">
              <w:rPr>
                <w:rFonts w:eastAsia="SimSun"/>
              </w:rPr>
              <w:t>10 мг/м</w:t>
            </w:r>
            <w:r w:rsidRPr="000C005F">
              <w:rPr>
                <w:rFonts w:eastAsia="SimSun"/>
                <w:vertAlign w:val="superscript"/>
              </w:rPr>
              <w:t>2</w:t>
            </w:r>
          </w:p>
        </w:tc>
        <w:tc>
          <w:tcPr>
            <w:tcW w:w="1418" w:type="dxa"/>
            <w:vAlign w:val="center"/>
          </w:tcPr>
          <w:p w14:paraId="4F1E3C29" w14:textId="77777777" w:rsidR="009F7F8A" w:rsidRPr="00AC3044" w:rsidRDefault="009F7F8A" w:rsidP="009F7F8A">
            <w:pPr>
              <w:rPr>
                <w:rFonts w:eastAsia="SimSun"/>
              </w:rPr>
            </w:pPr>
            <w:r w:rsidRPr="00AC3044">
              <w:rPr>
                <w:rFonts w:eastAsia="SimSun"/>
              </w:rPr>
              <w:t>–</w:t>
            </w:r>
          </w:p>
        </w:tc>
        <w:tc>
          <w:tcPr>
            <w:tcW w:w="1701" w:type="dxa"/>
            <w:vAlign w:val="center"/>
          </w:tcPr>
          <w:p w14:paraId="55F6C3C4" w14:textId="77777777" w:rsidR="009F7F8A" w:rsidRPr="00AC3044" w:rsidRDefault="009F7F8A" w:rsidP="009F7F8A">
            <w:pPr>
              <w:rPr>
                <w:rFonts w:eastAsia="SimSun"/>
              </w:rPr>
            </w:pPr>
            <w:r w:rsidRPr="00AC3044">
              <w:rPr>
                <w:rFonts w:eastAsia="SimSun"/>
              </w:rPr>
              <w:t>+3, +6, +11 день</w:t>
            </w:r>
          </w:p>
        </w:tc>
        <w:tc>
          <w:tcPr>
            <w:tcW w:w="2268" w:type="dxa"/>
            <w:vAlign w:val="center"/>
          </w:tcPr>
          <w:p w14:paraId="76C10BFE" w14:textId="77777777" w:rsidR="009F7F8A" w:rsidRPr="00AC3044" w:rsidRDefault="009F7F8A" w:rsidP="009F7F8A">
            <w:pPr>
              <w:rPr>
                <w:rFonts w:eastAsia="SimSun"/>
              </w:rPr>
            </w:pPr>
            <w:r w:rsidRPr="00AC3044">
              <w:rPr>
                <w:rFonts w:eastAsia="SimSun"/>
              </w:rPr>
              <w:t>В/в, в 20 мл физ. р-ра</w:t>
            </w:r>
          </w:p>
        </w:tc>
      </w:tr>
      <w:tr w:rsidR="009F7F8A" w:rsidRPr="00AC3044" w14:paraId="4839C143" w14:textId="77777777" w:rsidTr="009F7F8A">
        <w:trPr>
          <w:cantSplit/>
          <w:trHeight w:val="464"/>
        </w:trPr>
        <w:tc>
          <w:tcPr>
            <w:tcW w:w="993" w:type="dxa"/>
            <w:vMerge/>
          </w:tcPr>
          <w:p w14:paraId="089CEE6B" w14:textId="77777777" w:rsidR="009F7F8A" w:rsidRPr="00AC3044" w:rsidRDefault="009F7F8A" w:rsidP="009F7F8A">
            <w:pPr>
              <w:rPr>
                <w:rFonts w:eastAsia="SimSun"/>
              </w:rPr>
            </w:pPr>
          </w:p>
        </w:tc>
        <w:tc>
          <w:tcPr>
            <w:tcW w:w="1843" w:type="dxa"/>
            <w:vMerge w:val="restart"/>
            <w:vAlign w:val="center"/>
          </w:tcPr>
          <w:p w14:paraId="077338DF" w14:textId="77777777" w:rsidR="009F7F8A" w:rsidRPr="00AC3044" w:rsidRDefault="009F7F8A" w:rsidP="009F7F8A">
            <w:pPr>
              <w:rPr>
                <w:rFonts w:eastAsia="SimSun"/>
              </w:rPr>
            </w:pPr>
            <w:r w:rsidRPr="00AC3044">
              <w:rPr>
                <w:rFonts w:eastAsia="SimSun"/>
              </w:rPr>
              <w:t>Микофенолата мофетил (только при использовании СКК)</w:t>
            </w:r>
          </w:p>
        </w:tc>
        <w:tc>
          <w:tcPr>
            <w:tcW w:w="1417" w:type="dxa"/>
            <w:vAlign w:val="center"/>
          </w:tcPr>
          <w:p w14:paraId="6A5966C0" w14:textId="77777777" w:rsidR="009F7F8A" w:rsidRPr="00AC3044" w:rsidRDefault="009F7F8A" w:rsidP="009F7F8A">
            <w:pPr>
              <w:rPr>
                <w:rFonts w:eastAsia="SimSun"/>
              </w:rPr>
            </w:pPr>
            <w:r w:rsidRPr="00AC3044">
              <w:rPr>
                <w:rFonts w:eastAsia="SimSun"/>
              </w:rPr>
              <w:t>2000 мг</w:t>
            </w:r>
          </w:p>
        </w:tc>
        <w:tc>
          <w:tcPr>
            <w:tcW w:w="1418" w:type="dxa"/>
            <w:vAlign w:val="center"/>
          </w:tcPr>
          <w:p w14:paraId="02C7C63F" w14:textId="77777777" w:rsidR="009F7F8A" w:rsidRPr="00AC3044" w:rsidRDefault="009F7F8A" w:rsidP="009F7F8A">
            <w:pPr>
              <w:rPr>
                <w:rFonts w:eastAsia="SimSun"/>
              </w:rPr>
            </w:pPr>
            <w:r w:rsidRPr="00AC3044">
              <w:rPr>
                <w:rFonts w:eastAsia="SimSun"/>
              </w:rPr>
              <w:t>–</w:t>
            </w:r>
          </w:p>
        </w:tc>
        <w:tc>
          <w:tcPr>
            <w:tcW w:w="1701" w:type="dxa"/>
            <w:vAlign w:val="center"/>
          </w:tcPr>
          <w:p w14:paraId="450D00FB" w14:textId="77777777" w:rsidR="009F7F8A" w:rsidRPr="00AC3044" w:rsidRDefault="009F7F8A" w:rsidP="009F7F8A">
            <w:pPr>
              <w:rPr>
                <w:rFonts w:eastAsia="SimSun"/>
              </w:rPr>
            </w:pPr>
            <w:r w:rsidRPr="00AC3044">
              <w:rPr>
                <w:rFonts w:eastAsia="SimSun"/>
              </w:rPr>
              <w:t>С +1 по +14 день</w:t>
            </w:r>
          </w:p>
        </w:tc>
        <w:tc>
          <w:tcPr>
            <w:tcW w:w="2268" w:type="dxa"/>
            <w:vAlign w:val="center"/>
          </w:tcPr>
          <w:p w14:paraId="1EEB6977"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3г/сут).</w:t>
            </w:r>
          </w:p>
        </w:tc>
      </w:tr>
      <w:tr w:rsidR="009F7F8A" w:rsidRPr="00AC3044" w14:paraId="71C19555" w14:textId="77777777" w:rsidTr="009F7F8A">
        <w:trPr>
          <w:cantSplit/>
          <w:trHeight w:val="464"/>
        </w:trPr>
        <w:tc>
          <w:tcPr>
            <w:tcW w:w="993" w:type="dxa"/>
            <w:vMerge/>
          </w:tcPr>
          <w:p w14:paraId="6AB808AB" w14:textId="77777777" w:rsidR="009F7F8A" w:rsidRPr="00AC3044" w:rsidRDefault="009F7F8A" w:rsidP="009F7F8A">
            <w:pPr>
              <w:rPr>
                <w:rFonts w:eastAsia="SimSun"/>
              </w:rPr>
            </w:pPr>
          </w:p>
        </w:tc>
        <w:tc>
          <w:tcPr>
            <w:tcW w:w="1843" w:type="dxa"/>
            <w:vMerge/>
            <w:vAlign w:val="center"/>
          </w:tcPr>
          <w:p w14:paraId="31318674" w14:textId="77777777" w:rsidR="009F7F8A" w:rsidRPr="00AC3044" w:rsidRDefault="009F7F8A" w:rsidP="009F7F8A">
            <w:pPr>
              <w:rPr>
                <w:rFonts w:eastAsia="SimSun"/>
              </w:rPr>
            </w:pPr>
          </w:p>
        </w:tc>
        <w:tc>
          <w:tcPr>
            <w:tcW w:w="1417" w:type="dxa"/>
            <w:vAlign w:val="center"/>
          </w:tcPr>
          <w:p w14:paraId="53FFCD0E" w14:textId="77777777" w:rsidR="009F7F8A" w:rsidRPr="00AC3044" w:rsidRDefault="009F7F8A" w:rsidP="009F7F8A">
            <w:pPr>
              <w:rPr>
                <w:rFonts w:eastAsia="SimSun"/>
              </w:rPr>
            </w:pPr>
            <w:r w:rsidRPr="00AC3044">
              <w:rPr>
                <w:rFonts w:eastAsia="SimSun"/>
              </w:rPr>
              <w:t>1000 мг</w:t>
            </w:r>
          </w:p>
        </w:tc>
        <w:tc>
          <w:tcPr>
            <w:tcW w:w="1418" w:type="dxa"/>
            <w:vAlign w:val="center"/>
          </w:tcPr>
          <w:p w14:paraId="176A85C7" w14:textId="77777777" w:rsidR="009F7F8A" w:rsidRPr="00AC3044" w:rsidRDefault="009F7F8A" w:rsidP="009F7F8A">
            <w:pPr>
              <w:rPr>
                <w:rFonts w:eastAsia="SimSun"/>
              </w:rPr>
            </w:pPr>
            <w:r w:rsidRPr="00AC3044">
              <w:rPr>
                <w:rFonts w:eastAsia="SimSun"/>
              </w:rPr>
              <w:t>–</w:t>
            </w:r>
          </w:p>
        </w:tc>
        <w:tc>
          <w:tcPr>
            <w:tcW w:w="1701" w:type="dxa"/>
            <w:vAlign w:val="center"/>
          </w:tcPr>
          <w:p w14:paraId="6C9AE826" w14:textId="77777777" w:rsidR="009F7F8A" w:rsidRPr="00AC3044" w:rsidRDefault="009F7F8A" w:rsidP="009F7F8A">
            <w:pPr>
              <w:rPr>
                <w:rFonts w:eastAsia="SimSun"/>
              </w:rPr>
            </w:pPr>
            <w:r w:rsidRPr="00AC3044">
              <w:rPr>
                <w:rFonts w:eastAsia="SimSun"/>
              </w:rPr>
              <w:t>С +15 по +90 день</w:t>
            </w:r>
          </w:p>
        </w:tc>
        <w:tc>
          <w:tcPr>
            <w:tcW w:w="2268" w:type="dxa"/>
            <w:vAlign w:val="center"/>
          </w:tcPr>
          <w:p w14:paraId="0DC8F73D"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г/сут).</w:t>
            </w:r>
          </w:p>
        </w:tc>
      </w:tr>
    </w:tbl>
    <w:p w14:paraId="2A8AC43C" w14:textId="77777777" w:rsidR="009F7F8A" w:rsidRDefault="009F7F8A" w:rsidP="009F7F8A">
      <w:pPr>
        <w:rPr>
          <w:rFonts w:eastAsia="SimSun"/>
        </w:rPr>
      </w:pPr>
      <w:bookmarkStart w:id="130" w:name="_Toc44401160"/>
    </w:p>
    <w:p w14:paraId="2896EA12"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1.2.2  – Flu150+Bu8+Thio / rATG+CSA+MTX+MMF30</w:t>
      </w:r>
      <w:bookmarkEnd w:id="130"/>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9F7F8A" w:rsidRPr="00AC3044" w14:paraId="5C02910B" w14:textId="77777777" w:rsidTr="009F7F8A">
        <w:trPr>
          <w:cantSplit/>
          <w:trHeight w:val="20"/>
          <w:tblHeader/>
        </w:trPr>
        <w:tc>
          <w:tcPr>
            <w:tcW w:w="993" w:type="dxa"/>
          </w:tcPr>
          <w:p w14:paraId="409E77D3" w14:textId="77777777" w:rsidR="009F7F8A" w:rsidRPr="00470D3D" w:rsidRDefault="009F7F8A" w:rsidP="009F7F8A">
            <w:pPr>
              <w:rPr>
                <w:rFonts w:eastAsia="SimSun"/>
              </w:rPr>
            </w:pPr>
          </w:p>
        </w:tc>
        <w:tc>
          <w:tcPr>
            <w:tcW w:w="1843" w:type="dxa"/>
            <w:vAlign w:val="center"/>
          </w:tcPr>
          <w:p w14:paraId="1A67B7D7" w14:textId="77777777" w:rsidR="009F7F8A" w:rsidRPr="00AC3044" w:rsidRDefault="009F7F8A" w:rsidP="009F7F8A">
            <w:pPr>
              <w:rPr>
                <w:rFonts w:eastAsia="SimSun"/>
              </w:rPr>
            </w:pPr>
            <w:r w:rsidRPr="00AC3044">
              <w:rPr>
                <w:rFonts w:eastAsia="SimSun"/>
              </w:rPr>
              <w:t>Препарат</w:t>
            </w:r>
          </w:p>
        </w:tc>
        <w:tc>
          <w:tcPr>
            <w:tcW w:w="1417" w:type="dxa"/>
            <w:vAlign w:val="center"/>
          </w:tcPr>
          <w:p w14:paraId="180472F2"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7DBA7E75"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769258D2"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6766561D"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0D8387C2" w14:textId="77777777" w:rsidTr="009F7F8A">
        <w:trPr>
          <w:cantSplit/>
          <w:trHeight w:val="20"/>
        </w:trPr>
        <w:tc>
          <w:tcPr>
            <w:tcW w:w="993" w:type="dxa"/>
            <w:vMerge w:val="restart"/>
            <w:textDirection w:val="btLr"/>
            <w:vAlign w:val="center"/>
          </w:tcPr>
          <w:p w14:paraId="69832C29" w14:textId="77777777" w:rsidR="009F7F8A" w:rsidRPr="00AC3044" w:rsidRDefault="009F7F8A" w:rsidP="009F7F8A">
            <w:pPr>
              <w:rPr>
                <w:rFonts w:eastAsia="SimSun"/>
              </w:rPr>
            </w:pPr>
            <w:r w:rsidRPr="00AC3044">
              <w:rPr>
                <w:rFonts w:eastAsia="SimSun"/>
              </w:rPr>
              <w:t>Кондиционирование</w:t>
            </w:r>
          </w:p>
        </w:tc>
        <w:tc>
          <w:tcPr>
            <w:tcW w:w="1843" w:type="dxa"/>
            <w:vAlign w:val="center"/>
          </w:tcPr>
          <w:p w14:paraId="68420093" w14:textId="77777777" w:rsidR="009F7F8A" w:rsidRPr="00AC3044" w:rsidRDefault="009F7F8A" w:rsidP="009F7F8A">
            <w:pPr>
              <w:rPr>
                <w:rFonts w:eastAsia="SimSun"/>
              </w:rPr>
            </w:pPr>
            <w:r w:rsidRPr="00AC3044">
              <w:rPr>
                <w:rFonts w:eastAsia="SimSun"/>
              </w:rPr>
              <w:t xml:space="preserve">Флударабин </w:t>
            </w:r>
          </w:p>
        </w:tc>
        <w:tc>
          <w:tcPr>
            <w:tcW w:w="1417" w:type="dxa"/>
            <w:vAlign w:val="center"/>
          </w:tcPr>
          <w:p w14:paraId="471D05E2" w14:textId="77777777" w:rsidR="009F7F8A" w:rsidRPr="00AC3044" w:rsidRDefault="009F7F8A" w:rsidP="009F7F8A">
            <w:pPr>
              <w:rPr>
                <w:rFonts w:eastAsia="SimSun"/>
              </w:rPr>
            </w:pPr>
            <w:r w:rsidRPr="00AC3044">
              <w:rPr>
                <w:rFonts w:eastAsia="SimSun"/>
              </w:rPr>
              <w:t>50 мг/м</w:t>
            </w:r>
            <w:r w:rsidRPr="000C005F">
              <w:rPr>
                <w:rFonts w:eastAsia="SimSun"/>
                <w:vertAlign w:val="superscript"/>
              </w:rPr>
              <w:t>2</w:t>
            </w:r>
          </w:p>
        </w:tc>
        <w:tc>
          <w:tcPr>
            <w:tcW w:w="1418" w:type="dxa"/>
            <w:vAlign w:val="center"/>
          </w:tcPr>
          <w:p w14:paraId="3F7779F5" w14:textId="77777777" w:rsidR="009F7F8A" w:rsidRPr="00AC3044" w:rsidRDefault="009F7F8A" w:rsidP="009F7F8A">
            <w:pPr>
              <w:rPr>
                <w:rFonts w:eastAsia="SimSun"/>
              </w:rPr>
            </w:pPr>
            <w:r w:rsidRPr="00AC3044">
              <w:rPr>
                <w:rFonts w:eastAsia="SimSun"/>
              </w:rPr>
              <w:t>150 мг/м</w:t>
            </w:r>
            <w:r w:rsidRPr="000C005F">
              <w:rPr>
                <w:rFonts w:eastAsia="SimSun"/>
                <w:vertAlign w:val="superscript"/>
              </w:rPr>
              <w:t>2</w:t>
            </w:r>
          </w:p>
        </w:tc>
        <w:tc>
          <w:tcPr>
            <w:tcW w:w="1701" w:type="dxa"/>
            <w:vAlign w:val="center"/>
          </w:tcPr>
          <w:p w14:paraId="658E7116" w14:textId="77777777" w:rsidR="009F7F8A" w:rsidRPr="00AC3044" w:rsidRDefault="009F7F8A" w:rsidP="009F7F8A">
            <w:pPr>
              <w:rPr>
                <w:rFonts w:eastAsia="SimSun"/>
              </w:rPr>
            </w:pPr>
            <w:r w:rsidRPr="00AC3044">
              <w:rPr>
                <w:rFonts w:eastAsia="SimSun"/>
              </w:rPr>
              <w:t>С –4 по –2 день</w:t>
            </w:r>
          </w:p>
        </w:tc>
        <w:tc>
          <w:tcPr>
            <w:tcW w:w="2268" w:type="dxa"/>
            <w:vAlign w:val="center"/>
          </w:tcPr>
          <w:p w14:paraId="249544F7"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51A1AF9B" w14:textId="77777777" w:rsidTr="009F7F8A">
        <w:trPr>
          <w:cantSplit/>
          <w:trHeight w:val="687"/>
        </w:trPr>
        <w:tc>
          <w:tcPr>
            <w:tcW w:w="993" w:type="dxa"/>
            <w:vMerge/>
            <w:textDirection w:val="btLr"/>
            <w:vAlign w:val="center"/>
          </w:tcPr>
          <w:p w14:paraId="09FBD0A8" w14:textId="77777777" w:rsidR="009F7F8A" w:rsidRPr="00AC3044" w:rsidRDefault="009F7F8A" w:rsidP="009F7F8A">
            <w:pPr>
              <w:rPr>
                <w:rFonts w:eastAsia="SimSun"/>
              </w:rPr>
            </w:pPr>
          </w:p>
        </w:tc>
        <w:tc>
          <w:tcPr>
            <w:tcW w:w="1843" w:type="dxa"/>
            <w:vAlign w:val="center"/>
          </w:tcPr>
          <w:p w14:paraId="1C8072D5" w14:textId="77777777" w:rsidR="009F7F8A" w:rsidRPr="00AC3044" w:rsidRDefault="009F7F8A" w:rsidP="009F7F8A">
            <w:pPr>
              <w:rPr>
                <w:rFonts w:eastAsia="SimSun"/>
              </w:rPr>
            </w:pPr>
            <w:r w:rsidRPr="00AC3044">
              <w:rPr>
                <w:rFonts w:eastAsia="SimSun"/>
              </w:rPr>
              <w:t>Бусульфан</w:t>
            </w:r>
          </w:p>
        </w:tc>
        <w:tc>
          <w:tcPr>
            <w:tcW w:w="1417" w:type="dxa"/>
            <w:vAlign w:val="center"/>
          </w:tcPr>
          <w:p w14:paraId="06C218E5" w14:textId="77777777" w:rsidR="009F7F8A" w:rsidRPr="00AC3044" w:rsidRDefault="009F7F8A" w:rsidP="009F7F8A">
            <w:pPr>
              <w:rPr>
                <w:rFonts w:eastAsia="SimSun"/>
              </w:rPr>
            </w:pPr>
            <w:r w:rsidRPr="00AC3044">
              <w:rPr>
                <w:rFonts w:eastAsia="SimSun"/>
              </w:rPr>
              <w:t>4 мг/кг</w:t>
            </w:r>
          </w:p>
        </w:tc>
        <w:tc>
          <w:tcPr>
            <w:tcW w:w="1418" w:type="dxa"/>
            <w:vAlign w:val="center"/>
          </w:tcPr>
          <w:p w14:paraId="5F41AF8E" w14:textId="77777777" w:rsidR="009F7F8A" w:rsidRPr="00AC3044" w:rsidRDefault="009F7F8A" w:rsidP="009F7F8A">
            <w:pPr>
              <w:rPr>
                <w:rFonts w:eastAsia="SimSun"/>
              </w:rPr>
            </w:pPr>
            <w:r w:rsidRPr="00AC3044">
              <w:rPr>
                <w:rFonts w:eastAsia="SimSun"/>
              </w:rPr>
              <w:t>8 мг/кг</w:t>
            </w:r>
          </w:p>
        </w:tc>
        <w:tc>
          <w:tcPr>
            <w:tcW w:w="1701" w:type="dxa"/>
            <w:vAlign w:val="center"/>
          </w:tcPr>
          <w:p w14:paraId="75F8B46C" w14:textId="77777777" w:rsidR="009F7F8A" w:rsidRPr="00AC3044" w:rsidRDefault="009F7F8A" w:rsidP="009F7F8A">
            <w:pPr>
              <w:rPr>
                <w:rFonts w:eastAsia="SimSun"/>
              </w:rPr>
            </w:pPr>
            <w:r w:rsidRPr="00AC3044">
              <w:rPr>
                <w:rFonts w:eastAsia="SimSun"/>
              </w:rPr>
              <w:t>–3, –2 дни</w:t>
            </w:r>
          </w:p>
        </w:tc>
        <w:tc>
          <w:tcPr>
            <w:tcW w:w="2268" w:type="dxa"/>
            <w:vAlign w:val="center"/>
          </w:tcPr>
          <w:p w14:paraId="612E8B45"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w:t>
            </w:r>
          </w:p>
        </w:tc>
      </w:tr>
      <w:tr w:rsidR="009F7F8A" w:rsidRPr="00AC3044" w14:paraId="613D7FBF" w14:textId="77777777" w:rsidTr="009F7F8A">
        <w:trPr>
          <w:cantSplit/>
          <w:trHeight w:val="697"/>
        </w:trPr>
        <w:tc>
          <w:tcPr>
            <w:tcW w:w="993" w:type="dxa"/>
            <w:vMerge/>
            <w:textDirection w:val="btLr"/>
            <w:vAlign w:val="center"/>
          </w:tcPr>
          <w:p w14:paraId="42DAA978" w14:textId="77777777" w:rsidR="009F7F8A" w:rsidRPr="00AC3044" w:rsidRDefault="009F7F8A" w:rsidP="009F7F8A">
            <w:pPr>
              <w:rPr>
                <w:rFonts w:eastAsia="SimSun"/>
              </w:rPr>
            </w:pPr>
          </w:p>
        </w:tc>
        <w:tc>
          <w:tcPr>
            <w:tcW w:w="1843" w:type="dxa"/>
            <w:vAlign w:val="center"/>
          </w:tcPr>
          <w:p w14:paraId="59A44A77" w14:textId="77777777" w:rsidR="009F7F8A" w:rsidRPr="00AC3044" w:rsidRDefault="009F7F8A" w:rsidP="009F7F8A">
            <w:pPr>
              <w:rPr>
                <w:rFonts w:eastAsia="SimSun"/>
              </w:rPr>
            </w:pPr>
            <w:r w:rsidRPr="00AC3044">
              <w:rPr>
                <w:rFonts w:eastAsia="SimSun"/>
              </w:rPr>
              <w:t>Тиотепа</w:t>
            </w:r>
          </w:p>
        </w:tc>
        <w:tc>
          <w:tcPr>
            <w:tcW w:w="1417" w:type="dxa"/>
            <w:vAlign w:val="center"/>
          </w:tcPr>
          <w:p w14:paraId="0EC9AA53" w14:textId="77777777" w:rsidR="009F7F8A" w:rsidRPr="00AC3044" w:rsidRDefault="009F7F8A" w:rsidP="009F7F8A">
            <w:pPr>
              <w:rPr>
                <w:rFonts w:eastAsia="SimSun"/>
              </w:rPr>
            </w:pPr>
            <w:r w:rsidRPr="00AC3044">
              <w:rPr>
                <w:rFonts w:eastAsia="SimSun"/>
              </w:rPr>
              <w:t>5 мг/кг</w:t>
            </w:r>
          </w:p>
        </w:tc>
        <w:tc>
          <w:tcPr>
            <w:tcW w:w="1418" w:type="dxa"/>
            <w:vAlign w:val="center"/>
          </w:tcPr>
          <w:p w14:paraId="6997E5A0" w14:textId="77777777" w:rsidR="009F7F8A" w:rsidRPr="00AC3044" w:rsidRDefault="009F7F8A" w:rsidP="009F7F8A">
            <w:pPr>
              <w:rPr>
                <w:rFonts w:eastAsia="SimSun"/>
              </w:rPr>
            </w:pPr>
            <w:r w:rsidRPr="00AC3044">
              <w:rPr>
                <w:rFonts w:eastAsia="SimSun"/>
              </w:rPr>
              <w:t>10 мг/кг</w:t>
            </w:r>
          </w:p>
        </w:tc>
        <w:tc>
          <w:tcPr>
            <w:tcW w:w="1701" w:type="dxa"/>
            <w:vAlign w:val="center"/>
          </w:tcPr>
          <w:p w14:paraId="0351232A" w14:textId="77777777" w:rsidR="009F7F8A" w:rsidRPr="00AC3044" w:rsidRDefault="009F7F8A" w:rsidP="009F7F8A">
            <w:pPr>
              <w:rPr>
                <w:rFonts w:eastAsia="SimSun"/>
              </w:rPr>
            </w:pPr>
            <w:r w:rsidRPr="00AC3044">
              <w:rPr>
                <w:rFonts w:eastAsia="SimSun"/>
              </w:rPr>
              <w:t>-6,-5 дни</w:t>
            </w:r>
          </w:p>
        </w:tc>
        <w:tc>
          <w:tcPr>
            <w:tcW w:w="2268" w:type="dxa"/>
            <w:vAlign w:val="center"/>
          </w:tcPr>
          <w:p w14:paraId="5ABEB548" w14:textId="77777777" w:rsidR="009F7F8A" w:rsidRPr="00AC3044" w:rsidRDefault="009F7F8A" w:rsidP="009F7F8A">
            <w:pPr>
              <w:rPr>
                <w:rFonts w:eastAsia="SimSun"/>
              </w:rPr>
            </w:pPr>
            <w:r w:rsidRPr="00AC3044">
              <w:rPr>
                <w:rFonts w:eastAsia="SimSun"/>
              </w:rPr>
              <w:t>В/в, в течение 2 ч</w:t>
            </w:r>
          </w:p>
        </w:tc>
      </w:tr>
      <w:tr w:rsidR="009F7F8A" w:rsidRPr="00AC3044" w14:paraId="63687C08" w14:textId="77777777" w:rsidTr="009F7F8A">
        <w:trPr>
          <w:cantSplit/>
          <w:trHeight w:val="20"/>
        </w:trPr>
        <w:tc>
          <w:tcPr>
            <w:tcW w:w="993" w:type="dxa"/>
            <w:vMerge w:val="restart"/>
            <w:textDirection w:val="btLr"/>
            <w:vAlign w:val="center"/>
          </w:tcPr>
          <w:p w14:paraId="0F5AA525" w14:textId="77777777" w:rsidR="009F7F8A" w:rsidRPr="00AC3044" w:rsidRDefault="009F7F8A" w:rsidP="009F7F8A">
            <w:pPr>
              <w:rPr>
                <w:rFonts w:eastAsia="SimSun"/>
              </w:rPr>
            </w:pPr>
            <w:r w:rsidRPr="00AC3044">
              <w:rPr>
                <w:rFonts w:eastAsia="SimSun"/>
              </w:rPr>
              <w:t>Профилактика РТПХ</w:t>
            </w:r>
          </w:p>
        </w:tc>
        <w:tc>
          <w:tcPr>
            <w:tcW w:w="1843" w:type="dxa"/>
            <w:vAlign w:val="center"/>
          </w:tcPr>
          <w:p w14:paraId="237E3F5B" w14:textId="77777777" w:rsidR="009F7F8A" w:rsidRPr="00AC3044" w:rsidRDefault="009F7F8A" w:rsidP="009F7F8A">
            <w:pPr>
              <w:rPr>
                <w:rFonts w:eastAsia="SimSun"/>
              </w:rPr>
            </w:pPr>
            <w:r w:rsidRPr="00AC3044">
              <w:rPr>
                <w:rFonts w:eastAsia="SimSun"/>
              </w:rPr>
              <w:t>АТГ (кроличий)</w:t>
            </w:r>
          </w:p>
        </w:tc>
        <w:tc>
          <w:tcPr>
            <w:tcW w:w="1417" w:type="dxa"/>
            <w:vAlign w:val="center"/>
          </w:tcPr>
          <w:p w14:paraId="3D514167" w14:textId="77777777" w:rsidR="009F7F8A" w:rsidRPr="00AC3044" w:rsidRDefault="009F7F8A" w:rsidP="009F7F8A">
            <w:pPr>
              <w:rPr>
                <w:rFonts w:eastAsia="SimSun"/>
              </w:rPr>
            </w:pPr>
            <w:r w:rsidRPr="00AC3044">
              <w:rPr>
                <w:rFonts w:eastAsia="SimSun"/>
              </w:rPr>
              <w:t>2,5 мг/кг</w:t>
            </w:r>
          </w:p>
        </w:tc>
        <w:tc>
          <w:tcPr>
            <w:tcW w:w="1418" w:type="dxa"/>
            <w:vAlign w:val="center"/>
          </w:tcPr>
          <w:p w14:paraId="7146E0DC" w14:textId="77777777" w:rsidR="009F7F8A" w:rsidRPr="00AC3044" w:rsidRDefault="009F7F8A" w:rsidP="009F7F8A">
            <w:pPr>
              <w:rPr>
                <w:rFonts w:eastAsia="SimSun"/>
              </w:rPr>
            </w:pPr>
            <w:r w:rsidRPr="00AC3044">
              <w:rPr>
                <w:rFonts w:eastAsia="SimSun"/>
              </w:rPr>
              <w:t>5- 7,5 мг/кг2</w:t>
            </w:r>
          </w:p>
        </w:tc>
        <w:tc>
          <w:tcPr>
            <w:tcW w:w="1701" w:type="dxa"/>
            <w:vAlign w:val="center"/>
          </w:tcPr>
          <w:p w14:paraId="472D4CF6" w14:textId="77777777" w:rsidR="009F7F8A" w:rsidRPr="00AC3044" w:rsidRDefault="009F7F8A" w:rsidP="009F7F8A">
            <w:pPr>
              <w:rPr>
                <w:rFonts w:eastAsia="SimSun"/>
              </w:rPr>
            </w:pPr>
            <w:r w:rsidRPr="00AC3044">
              <w:rPr>
                <w:rFonts w:eastAsia="SimSun"/>
              </w:rPr>
              <w:t>С –3 по – 2 (-1) день</w:t>
            </w:r>
          </w:p>
        </w:tc>
        <w:tc>
          <w:tcPr>
            <w:tcW w:w="2268" w:type="dxa"/>
            <w:vAlign w:val="center"/>
          </w:tcPr>
          <w:p w14:paraId="2FEE48B8" w14:textId="77777777" w:rsidR="009F7F8A" w:rsidRPr="00AC3044" w:rsidRDefault="009F7F8A" w:rsidP="009F7F8A">
            <w:pPr>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 xml:space="preserve">на 2 введения (см. «Инфузия АТГ») </w:t>
            </w:r>
          </w:p>
        </w:tc>
      </w:tr>
      <w:tr w:rsidR="009F7F8A" w:rsidRPr="00AC3044" w14:paraId="0B4DF8D8" w14:textId="77777777" w:rsidTr="009F7F8A">
        <w:trPr>
          <w:cantSplit/>
          <w:trHeight w:val="20"/>
        </w:trPr>
        <w:tc>
          <w:tcPr>
            <w:tcW w:w="993" w:type="dxa"/>
            <w:vMerge/>
            <w:textDirection w:val="btLr"/>
            <w:vAlign w:val="center"/>
          </w:tcPr>
          <w:p w14:paraId="3A6B19CC" w14:textId="77777777" w:rsidR="009F7F8A" w:rsidRPr="00AC3044" w:rsidRDefault="009F7F8A" w:rsidP="009F7F8A">
            <w:pPr>
              <w:rPr>
                <w:rFonts w:eastAsia="SimSun"/>
              </w:rPr>
            </w:pPr>
          </w:p>
        </w:tc>
        <w:tc>
          <w:tcPr>
            <w:tcW w:w="1843" w:type="dxa"/>
            <w:vAlign w:val="center"/>
          </w:tcPr>
          <w:p w14:paraId="39C96740" w14:textId="77777777" w:rsidR="009F7F8A" w:rsidRPr="00AC3044" w:rsidRDefault="009F7F8A" w:rsidP="009F7F8A">
            <w:pPr>
              <w:rPr>
                <w:rFonts w:eastAsia="SimSun"/>
              </w:rPr>
            </w:pPr>
            <w:r w:rsidRPr="00AC3044">
              <w:rPr>
                <w:rFonts w:eastAsia="SimSun"/>
              </w:rPr>
              <w:t>Циклоспорин</w:t>
            </w:r>
          </w:p>
        </w:tc>
        <w:tc>
          <w:tcPr>
            <w:tcW w:w="1417" w:type="dxa"/>
            <w:vAlign w:val="center"/>
          </w:tcPr>
          <w:p w14:paraId="7E8AC84E" w14:textId="77777777" w:rsidR="009F7F8A" w:rsidRPr="00AC3044" w:rsidRDefault="009F7F8A" w:rsidP="009F7F8A">
            <w:pPr>
              <w:rPr>
                <w:rFonts w:eastAsia="SimSun"/>
              </w:rPr>
            </w:pPr>
            <w:r w:rsidRPr="00AC3044">
              <w:rPr>
                <w:rFonts w:eastAsia="SimSun"/>
              </w:rPr>
              <w:t>3 мг/кг</w:t>
            </w:r>
          </w:p>
        </w:tc>
        <w:tc>
          <w:tcPr>
            <w:tcW w:w="1418" w:type="dxa"/>
            <w:vAlign w:val="center"/>
          </w:tcPr>
          <w:p w14:paraId="2D33522C" w14:textId="77777777" w:rsidR="009F7F8A" w:rsidRPr="00AC3044" w:rsidRDefault="009F7F8A" w:rsidP="009F7F8A">
            <w:pPr>
              <w:rPr>
                <w:rFonts w:eastAsia="SimSun"/>
              </w:rPr>
            </w:pPr>
            <w:r w:rsidRPr="00AC3044">
              <w:rPr>
                <w:rFonts w:eastAsia="SimSun"/>
              </w:rPr>
              <w:t>–</w:t>
            </w:r>
          </w:p>
        </w:tc>
        <w:tc>
          <w:tcPr>
            <w:tcW w:w="1701" w:type="dxa"/>
            <w:vAlign w:val="center"/>
          </w:tcPr>
          <w:p w14:paraId="24E422F3" w14:textId="77777777" w:rsidR="009F7F8A" w:rsidRPr="00AC3044" w:rsidRDefault="009F7F8A" w:rsidP="009F7F8A">
            <w:pPr>
              <w:rPr>
                <w:rFonts w:eastAsia="SimSun"/>
              </w:rPr>
            </w:pPr>
            <w:r w:rsidRPr="00AC3044">
              <w:rPr>
                <w:rFonts w:eastAsia="SimSun"/>
              </w:rPr>
              <w:t>С –1 дня по +90 день, затем постепенное снижение к +180 дню</w:t>
            </w:r>
          </w:p>
        </w:tc>
        <w:tc>
          <w:tcPr>
            <w:tcW w:w="2268" w:type="dxa"/>
            <w:vAlign w:val="center"/>
          </w:tcPr>
          <w:p w14:paraId="5F1D8A42"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0C00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150-350 нг/мл  </w:t>
            </w:r>
          </w:p>
        </w:tc>
      </w:tr>
      <w:tr w:rsidR="009F7F8A" w:rsidRPr="00AC3044" w14:paraId="0D9F0EC3" w14:textId="77777777" w:rsidTr="009F7F8A">
        <w:trPr>
          <w:cantSplit/>
          <w:trHeight w:val="20"/>
        </w:trPr>
        <w:tc>
          <w:tcPr>
            <w:tcW w:w="993" w:type="dxa"/>
            <w:vMerge/>
            <w:vAlign w:val="center"/>
          </w:tcPr>
          <w:p w14:paraId="49503B67" w14:textId="77777777" w:rsidR="009F7F8A" w:rsidRPr="00AC3044" w:rsidRDefault="009F7F8A" w:rsidP="009F7F8A">
            <w:pPr>
              <w:rPr>
                <w:rFonts w:eastAsia="SimSun"/>
              </w:rPr>
            </w:pPr>
          </w:p>
        </w:tc>
        <w:tc>
          <w:tcPr>
            <w:tcW w:w="1843" w:type="dxa"/>
            <w:vMerge w:val="restart"/>
            <w:vAlign w:val="center"/>
          </w:tcPr>
          <w:p w14:paraId="2603BC74" w14:textId="77777777" w:rsidR="009F7F8A" w:rsidRPr="00AC3044" w:rsidRDefault="009F7F8A" w:rsidP="009F7F8A">
            <w:pPr>
              <w:rPr>
                <w:rFonts w:eastAsia="SimSun"/>
              </w:rPr>
            </w:pPr>
            <w:r w:rsidRPr="00AC3044">
              <w:rPr>
                <w:rFonts w:eastAsia="SimSun"/>
              </w:rPr>
              <w:t>Метотрексат</w:t>
            </w:r>
          </w:p>
        </w:tc>
        <w:tc>
          <w:tcPr>
            <w:tcW w:w="1417" w:type="dxa"/>
            <w:vAlign w:val="center"/>
          </w:tcPr>
          <w:p w14:paraId="78618667" w14:textId="77777777" w:rsidR="009F7F8A" w:rsidRPr="00AC3044" w:rsidRDefault="009F7F8A" w:rsidP="009F7F8A">
            <w:pPr>
              <w:rPr>
                <w:rFonts w:eastAsia="SimSun"/>
              </w:rPr>
            </w:pPr>
            <w:r w:rsidRPr="00AC3044">
              <w:rPr>
                <w:rFonts w:eastAsia="SimSun"/>
              </w:rPr>
              <w:t>15 мг/м</w:t>
            </w:r>
            <w:r w:rsidRPr="000C005F">
              <w:rPr>
                <w:rFonts w:eastAsia="SimSun"/>
                <w:vertAlign w:val="superscript"/>
              </w:rPr>
              <w:t>2</w:t>
            </w:r>
          </w:p>
        </w:tc>
        <w:tc>
          <w:tcPr>
            <w:tcW w:w="1418" w:type="dxa"/>
            <w:vAlign w:val="center"/>
          </w:tcPr>
          <w:p w14:paraId="506E1C92" w14:textId="77777777" w:rsidR="009F7F8A" w:rsidRPr="00AC3044" w:rsidRDefault="009F7F8A" w:rsidP="009F7F8A">
            <w:pPr>
              <w:rPr>
                <w:rFonts w:eastAsia="SimSun"/>
              </w:rPr>
            </w:pPr>
            <w:r w:rsidRPr="00AC3044">
              <w:rPr>
                <w:rFonts w:eastAsia="SimSun"/>
              </w:rPr>
              <w:t>–</w:t>
            </w:r>
          </w:p>
        </w:tc>
        <w:tc>
          <w:tcPr>
            <w:tcW w:w="1701" w:type="dxa"/>
            <w:vAlign w:val="center"/>
          </w:tcPr>
          <w:p w14:paraId="2B4AF052" w14:textId="77777777" w:rsidR="009F7F8A" w:rsidRPr="00AC3044" w:rsidRDefault="009F7F8A" w:rsidP="009F7F8A">
            <w:pPr>
              <w:rPr>
                <w:rFonts w:eastAsia="SimSun"/>
              </w:rPr>
            </w:pPr>
            <w:r w:rsidRPr="00AC3044">
              <w:rPr>
                <w:rFonts w:eastAsia="SimSun"/>
              </w:rPr>
              <w:t>+1 день</w:t>
            </w:r>
          </w:p>
        </w:tc>
        <w:tc>
          <w:tcPr>
            <w:tcW w:w="2268" w:type="dxa"/>
            <w:vAlign w:val="center"/>
          </w:tcPr>
          <w:p w14:paraId="74F2471D"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19750CBF" w14:textId="77777777" w:rsidTr="009F7F8A">
        <w:trPr>
          <w:cantSplit/>
          <w:trHeight w:val="464"/>
        </w:trPr>
        <w:tc>
          <w:tcPr>
            <w:tcW w:w="993" w:type="dxa"/>
            <w:vMerge/>
            <w:vAlign w:val="center"/>
          </w:tcPr>
          <w:p w14:paraId="2A05FF9F" w14:textId="77777777" w:rsidR="009F7F8A" w:rsidRPr="00AC3044" w:rsidRDefault="009F7F8A" w:rsidP="009F7F8A">
            <w:pPr>
              <w:rPr>
                <w:rFonts w:eastAsia="SimSun"/>
              </w:rPr>
            </w:pPr>
          </w:p>
        </w:tc>
        <w:tc>
          <w:tcPr>
            <w:tcW w:w="1843" w:type="dxa"/>
            <w:vMerge/>
            <w:vAlign w:val="center"/>
          </w:tcPr>
          <w:p w14:paraId="432C33C1" w14:textId="77777777" w:rsidR="009F7F8A" w:rsidRPr="00AC3044" w:rsidRDefault="009F7F8A" w:rsidP="009F7F8A">
            <w:pPr>
              <w:rPr>
                <w:rFonts w:eastAsia="SimSun"/>
              </w:rPr>
            </w:pPr>
          </w:p>
        </w:tc>
        <w:tc>
          <w:tcPr>
            <w:tcW w:w="1417" w:type="dxa"/>
            <w:vAlign w:val="center"/>
          </w:tcPr>
          <w:p w14:paraId="11CA4769" w14:textId="77777777" w:rsidR="009F7F8A" w:rsidRPr="00AC3044" w:rsidRDefault="009F7F8A" w:rsidP="009F7F8A">
            <w:pPr>
              <w:rPr>
                <w:rFonts w:eastAsia="SimSun"/>
              </w:rPr>
            </w:pPr>
            <w:r w:rsidRPr="00AC3044">
              <w:rPr>
                <w:rFonts w:eastAsia="SimSun"/>
              </w:rPr>
              <w:t>10 мг/м</w:t>
            </w:r>
            <w:r w:rsidRPr="000C005F">
              <w:rPr>
                <w:rFonts w:eastAsia="SimSun"/>
                <w:vertAlign w:val="superscript"/>
              </w:rPr>
              <w:t>2</w:t>
            </w:r>
          </w:p>
        </w:tc>
        <w:tc>
          <w:tcPr>
            <w:tcW w:w="1418" w:type="dxa"/>
            <w:vAlign w:val="center"/>
          </w:tcPr>
          <w:p w14:paraId="182247E3" w14:textId="77777777" w:rsidR="009F7F8A" w:rsidRPr="00AC3044" w:rsidRDefault="009F7F8A" w:rsidP="009F7F8A">
            <w:pPr>
              <w:rPr>
                <w:rFonts w:eastAsia="SimSun"/>
              </w:rPr>
            </w:pPr>
            <w:r w:rsidRPr="00AC3044">
              <w:rPr>
                <w:rFonts w:eastAsia="SimSun"/>
              </w:rPr>
              <w:t>–</w:t>
            </w:r>
          </w:p>
        </w:tc>
        <w:tc>
          <w:tcPr>
            <w:tcW w:w="1701" w:type="dxa"/>
            <w:vAlign w:val="center"/>
          </w:tcPr>
          <w:p w14:paraId="762C808A" w14:textId="77777777" w:rsidR="009F7F8A" w:rsidRPr="00AC3044" w:rsidRDefault="009F7F8A" w:rsidP="009F7F8A">
            <w:pPr>
              <w:rPr>
                <w:rFonts w:eastAsia="SimSun"/>
              </w:rPr>
            </w:pPr>
            <w:r w:rsidRPr="00AC3044">
              <w:rPr>
                <w:rFonts w:eastAsia="SimSun"/>
              </w:rPr>
              <w:t>+3, +6, +11 день</w:t>
            </w:r>
          </w:p>
        </w:tc>
        <w:tc>
          <w:tcPr>
            <w:tcW w:w="2268" w:type="dxa"/>
            <w:vAlign w:val="center"/>
          </w:tcPr>
          <w:p w14:paraId="244C2D5D"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685A26FC" w14:textId="77777777" w:rsidTr="009F7F8A">
        <w:trPr>
          <w:cantSplit/>
          <w:trHeight w:val="464"/>
        </w:trPr>
        <w:tc>
          <w:tcPr>
            <w:tcW w:w="993" w:type="dxa"/>
            <w:vMerge/>
            <w:vAlign w:val="center"/>
          </w:tcPr>
          <w:p w14:paraId="3A76CB90" w14:textId="77777777" w:rsidR="009F7F8A" w:rsidRPr="00AC3044" w:rsidRDefault="009F7F8A" w:rsidP="009F7F8A">
            <w:pPr>
              <w:rPr>
                <w:rFonts w:eastAsia="SimSun"/>
              </w:rPr>
            </w:pPr>
          </w:p>
        </w:tc>
        <w:tc>
          <w:tcPr>
            <w:tcW w:w="1843" w:type="dxa"/>
            <w:vMerge w:val="restart"/>
            <w:vAlign w:val="center"/>
          </w:tcPr>
          <w:p w14:paraId="7A6C146C" w14:textId="77777777" w:rsidR="009F7F8A" w:rsidRPr="00AC3044" w:rsidRDefault="009F7F8A" w:rsidP="009F7F8A">
            <w:pPr>
              <w:rPr>
                <w:rFonts w:eastAsia="SimSun"/>
              </w:rPr>
            </w:pPr>
            <w:r w:rsidRPr="00AC3044">
              <w:rPr>
                <w:rFonts w:eastAsia="SimSun"/>
              </w:rPr>
              <w:t>Микофенолата мофетил (только при использовании СКК)</w:t>
            </w:r>
          </w:p>
        </w:tc>
        <w:tc>
          <w:tcPr>
            <w:tcW w:w="1417" w:type="dxa"/>
            <w:vAlign w:val="center"/>
          </w:tcPr>
          <w:p w14:paraId="1F586D85" w14:textId="77777777" w:rsidR="009F7F8A" w:rsidRPr="00AC3044" w:rsidRDefault="009F7F8A" w:rsidP="009F7F8A">
            <w:pPr>
              <w:rPr>
                <w:rFonts w:eastAsia="SimSun"/>
              </w:rPr>
            </w:pPr>
            <w:r w:rsidRPr="00AC3044">
              <w:rPr>
                <w:rFonts w:eastAsia="SimSun"/>
              </w:rPr>
              <w:t>2000 мг</w:t>
            </w:r>
          </w:p>
        </w:tc>
        <w:tc>
          <w:tcPr>
            <w:tcW w:w="1418" w:type="dxa"/>
            <w:vAlign w:val="center"/>
          </w:tcPr>
          <w:p w14:paraId="1E6E4B94" w14:textId="77777777" w:rsidR="009F7F8A" w:rsidRPr="00AC3044" w:rsidRDefault="009F7F8A" w:rsidP="009F7F8A">
            <w:pPr>
              <w:rPr>
                <w:rFonts w:eastAsia="SimSun"/>
              </w:rPr>
            </w:pPr>
            <w:r w:rsidRPr="00AC3044">
              <w:rPr>
                <w:rFonts w:eastAsia="SimSun"/>
              </w:rPr>
              <w:t>–</w:t>
            </w:r>
          </w:p>
        </w:tc>
        <w:tc>
          <w:tcPr>
            <w:tcW w:w="1701" w:type="dxa"/>
            <w:vAlign w:val="center"/>
          </w:tcPr>
          <w:p w14:paraId="08563274" w14:textId="77777777" w:rsidR="009F7F8A" w:rsidRPr="00AC3044" w:rsidRDefault="009F7F8A" w:rsidP="009F7F8A">
            <w:pPr>
              <w:rPr>
                <w:rFonts w:eastAsia="SimSun"/>
              </w:rPr>
            </w:pPr>
            <w:r w:rsidRPr="00AC3044">
              <w:rPr>
                <w:rFonts w:eastAsia="SimSun"/>
              </w:rPr>
              <w:t>С +1 по +14 день</w:t>
            </w:r>
          </w:p>
        </w:tc>
        <w:tc>
          <w:tcPr>
            <w:tcW w:w="2268" w:type="dxa"/>
            <w:vAlign w:val="center"/>
          </w:tcPr>
          <w:p w14:paraId="6DDA3CC4"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w:t>
            </w:r>
          </w:p>
        </w:tc>
      </w:tr>
      <w:tr w:rsidR="009F7F8A" w:rsidRPr="00AC3044" w14:paraId="4C20DA58" w14:textId="77777777" w:rsidTr="009F7F8A">
        <w:trPr>
          <w:cantSplit/>
          <w:trHeight w:val="464"/>
        </w:trPr>
        <w:tc>
          <w:tcPr>
            <w:tcW w:w="993" w:type="dxa"/>
            <w:vMerge/>
            <w:vAlign w:val="center"/>
          </w:tcPr>
          <w:p w14:paraId="65966E15" w14:textId="77777777" w:rsidR="009F7F8A" w:rsidRPr="00AC3044" w:rsidRDefault="009F7F8A" w:rsidP="009F7F8A">
            <w:pPr>
              <w:rPr>
                <w:rFonts w:eastAsia="SimSun"/>
              </w:rPr>
            </w:pPr>
          </w:p>
        </w:tc>
        <w:tc>
          <w:tcPr>
            <w:tcW w:w="1843" w:type="dxa"/>
            <w:vMerge/>
            <w:vAlign w:val="center"/>
          </w:tcPr>
          <w:p w14:paraId="570A01FB" w14:textId="77777777" w:rsidR="009F7F8A" w:rsidRPr="00AC3044" w:rsidRDefault="009F7F8A" w:rsidP="009F7F8A">
            <w:pPr>
              <w:rPr>
                <w:rFonts w:eastAsia="SimSun"/>
              </w:rPr>
            </w:pPr>
          </w:p>
        </w:tc>
        <w:tc>
          <w:tcPr>
            <w:tcW w:w="1417" w:type="dxa"/>
            <w:vAlign w:val="center"/>
          </w:tcPr>
          <w:p w14:paraId="35FAD8AB" w14:textId="77777777" w:rsidR="009F7F8A" w:rsidRPr="00AC3044" w:rsidRDefault="009F7F8A" w:rsidP="009F7F8A">
            <w:pPr>
              <w:rPr>
                <w:rFonts w:eastAsia="SimSun"/>
              </w:rPr>
            </w:pPr>
            <w:r w:rsidRPr="00AC3044">
              <w:rPr>
                <w:rFonts w:eastAsia="SimSun"/>
              </w:rPr>
              <w:t>1000 мг</w:t>
            </w:r>
          </w:p>
        </w:tc>
        <w:tc>
          <w:tcPr>
            <w:tcW w:w="1418" w:type="dxa"/>
            <w:vAlign w:val="center"/>
          </w:tcPr>
          <w:p w14:paraId="7356F3D5" w14:textId="77777777" w:rsidR="009F7F8A" w:rsidRPr="00AC3044" w:rsidRDefault="009F7F8A" w:rsidP="009F7F8A">
            <w:pPr>
              <w:rPr>
                <w:rFonts w:eastAsia="SimSun"/>
              </w:rPr>
            </w:pPr>
            <w:r w:rsidRPr="00AC3044">
              <w:rPr>
                <w:rFonts w:eastAsia="SimSun"/>
              </w:rPr>
              <w:t>–</w:t>
            </w:r>
          </w:p>
        </w:tc>
        <w:tc>
          <w:tcPr>
            <w:tcW w:w="1701" w:type="dxa"/>
            <w:vAlign w:val="center"/>
          </w:tcPr>
          <w:p w14:paraId="69D518CE" w14:textId="77777777" w:rsidR="009F7F8A" w:rsidRPr="00AC3044" w:rsidRDefault="009F7F8A" w:rsidP="009F7F8A">
            <w:pPr>
              <w:rPr>
                <w:rFonts w:eastAsia="SimSun"/>
              </w:rPr>
            </w:pPr>
            <w:r w:rsidRPr="00AC3044">
              <w:rPr>
                <w:rFonts w:eastAsia="SimSun"/>
              </w:rPr>
              <w:t>С +15 по +90 день</w:t>
            </w:r>
          </w:p>
        </w:tc>
        <w:tc>
          <w:tcPr>
            <w:tcW w:w="2268" w:type="dxa"/>
            <w:vAlign w:val="center"/>
          </w:tcPr>
          <w:p w14:paraId="2F257C5D"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w:t>
            </w:r>
          </w:p>
        </w:tc>
      </w:tr>
    </w:tbl>
    <w:p w14:paraId="236544A7" w14:textId="77777777" w:rsidR="009F7F8A" w:rsidRDefault="009F7F8A" w:rsidP="009F7F8A">
      <w:pPr>
        <w:rPr>
          <w:rFonts w:eastAsia="SimSun"/>
        </w:rPr>
      </w:pPr>
      <w:bookmarkStart w:id="131" w:name="_Toc44401161"/>
    </w:p>
    <w:p w14:paraId="7F07769B"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1.2.3 – Flu150+Bu8 / PT-Cy+CSA+MMF45</w:t>
      </w:r>
      <w:bookmarkEnd w:id="131"/>
    </w:p>
    <w:tbl>
      <w:tblPr>
        <w:tblW w:w="9640" w:type="dxa"/>
        <w:tblInd w:w="-34" w:type="dxa"/>
        <w:tblLayout w:type="fixed"/>
        <w:tblCellMar>
          <w:left w:w="10" w:type="dxa"/>
          <w:right w:w="10" w:type="dxa"/>
        </w:tblCellMar>
        <w:tblLook w:val="0000" w:firstRow="0" w:lastRow="0" w:firstColumn="0" w:lastColumn="0" w:noHBand="0" w:noVBand="0"/>
      </w:tblPr>
      <w:tblGrid>
        <w:gridCol w:w="993"/>
        <w:gridCol w:w="1843"/>
        <w:gridCol w:w="1417"/>
        <w:gridCol w:w="1418"/>
        <w:gridCol w:w="1701"/>
        <w:gridCol w:w="2268"/>
      </w:tblGrid>
      <w:tr w:rsidR="009F7F8A" w:rsidRPr="00AC3044" w14:paraId="7A5B38A8" w14:textId="77777777" w:rsidTr="009F7F8A">
        <w:trPr>
          <w:cantSplit/>
          <w:trHeight w:val="20"/>
          <w:tblHeader/>
        </w:trPr>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5E247F" w14:textId="77777777" w:rsidR="009F7F8A" w:rsidRPr="00470D3D" w:rsidRDefault="009F7F8A" w:rsidP="009F7F8A">
            <w:pPr>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AB16A6" w14:textId="77777777" w:rsidR="009F7F8A" w:rsidRPr="00AC3044" w:rsidRDefault="009F7F8A" w:rsidP="009F7F8A">
            <w:pPr>
              <w:rPr>
                <w:rFonts w:eastAsia="SimSun"/>
              </w:rPr>
            </w:pPr>
            <w:r w:rsidRPr="00AC3044">
              <w:rPr>
                <w:rFonts w:eastAsia="SimSun"/>
              </w:rPr>
              <w:t>Препарат</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90911C" w14:textId="77777777" w:rsidR="009F7F8A" w:rsidRPr="00AC3044" w:rsidRDefault="009F7F8A" w:rsidP="009F7F8A">
            <w:pPr>
              <w:rPr>
                <w:rFonts w:eastAsia="SimSun"/>
              </w:rPr>
            </w:pPr>
            <w:r w:rsidRPr="00AC3044">
              <w:rPr>
                <w:rFonts w:eastAsia="SimSun"/>
              </w:rPr>
              <w:t>Суточная доза</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1B987D" w14:textId="77777777" w:rsidR="009F7F8A" w:rsidRPr="00AC3044" w:rsidRDefault="009F7F8A" w:rsidP="009F7F8A">
            <w:pPr>
              <w:rPr>
                <w:rFonts w:eastAsia="SimSun"/>
              </w:rPr>
            </w:pPr>
            <w:r w:rsidRPr="00AC3044">
              <w:rPr>
                <w:rFonts w:eastAsia="SimSun"/>
              </w:rPr>
              <w:t>Курсовая доза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B5F1E4" w14:textId="77777777" w:rsidR="009F7F8A" w:rsidRPr="00AC3044" w:rsidRDefault="009F7F8A" w:rsidP="009F7F8A">
            <w:pPr>
              <w:rPr>
                <w:rFonts w:eastAsia="SimSun"/>
              </w:rPr>
            </w:pPr>
            <w:r w:rsidRPr="00AC3044">
              <w:rPr>
                <w:rFonts w:eastAsia="SimSun"/>
              </w:rPr>
              <w:t>Дни введения</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0D82AF"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FC1644F" w14:textId="77777777" w:rsidTr="009F7F8A">
        <w:trPr>
          <w:cantSplit/>
          <w:trHeight w:val="20"/>
        </w:trPr>
        <w:tc>
          <w:tcPr>
            <w:tcW w:w="99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18997101" w14:textId="77777777" w:rsidR="009F7F8A" w:rsidRPr="00AC3044" w:rsidRDefault="009F7F8A" w:rsidP="009F7F8A">
            <w:pPr>
              <w:rPr>
                <w:rFonts w:eastAsia="SimSun"/>
              </w:rPr>
            </w:pPr>
            <w:r w:rsidRPr="00AC3044">
              <w:rPr>
                <w:rFonts w:eastAsia="SimSun"/>
              </w:rPr>
              <w:t>Кондиционирование</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910376" w14:textId="77777777" w:rsidR="009F7F8A" w:rsidRPr="00AC3044" w:rsidRDefault="009F7F8A" w:rsidP="009F7F8A">
            <w:pPr>
              <w:rPr>
                <w:rFonts w:eastAsia="SimSun"/>
              </w:rPr>
            </w:pPr>
            <w:r w:rsidRPr="00AC3044">
              <w:rPr>
                <w:rFonts w:eastAsia="SimSun"/>
              </w:rPr>
              <w:t>Флударабин</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3EA660" w14:textId="77777777" w:rsidR="009F7F8A" w:rsidRPr="00AC3044" w:rsidRDefault="009F7F8A" w:rsidP="009F7F8A">
            <w:pPr>
              <w:rPr>
                <w:rFonts w:eastAsia="SimSun"/>
              </w:rPr>
            </w:pPr>
            <w:r w:rsidRPr="00AC3044">
              <w:rPr>
                <w:rFonts w:eastAsia="SimSun"/>
              </w:rPr>
              <w:t>30 мг/м</w:t>
            </w:r>
            <w:r w:rsidRPr="000C005F">
              <w:rPr>
                <w:rFonts w:eastAsia="SimSun"/>
                <w:vertAlign w:val="superscript"/>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8188EA" w14:textId="77777777" w:rsidR="009F7F8A" w:rsidRPr="00AC3044" w:rsidRDefault="009F7F8A" w:rsidP="009F7F8A">
            <w:pPr>
              <w:rPr>
                <w:rFonts w:eastAsia="SimSun"/>
              </w:rPr>
            </w:pPr>
            <w:r w:rsidRPr="00AC3044">
              <w:rPr>
                <w:rFonts w:eastAsia="SimSun"/>
              </w:rPr>
              <w:t>150 мг/м</w:t>
            </w:r>
            <w:r w:rsidRPr="000C005F">
              <w:rPr>
                <w:rFonts w:eastAsia="SimSun"/>
                <w:vertAlign w:val="superscript"/>
              </w:rPr>
              <w:t>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6E6341" w14:textId="77777777" w:rsidR="009F7F8A" w:rsidRPr="00AC3044" w:rsidRDefault="009F7F8A" w:rsidP="009F7F8A">
            <w:pPr>
              <w:rPr>
                <w:rFonts w:eastAsia="SimSun"/>
              </w:rPr>
            </w:pPr>
            <w:r w:rsidRPr="00AC3044">
              <w:rPr>
                <w:rFonts w:eastAsia="SimSun"/>
              </w:rPr>
              <w:t>С –6 по –2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E2A42E"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664B6C9E" w14:textId="77777777" w:rsidTr="009F7F8A">
        <w:trPr>
          <w:cantSplit/>
          <w:trHeight w:val="918"/>
        </w:trPr>
        <w:tc>
          <w:tcPr>
            <w:tcW w:w="99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4931FE3E" w14:textId="77777777" w:rsidR="009F7F8A" w:rsidRPr="00AC3044" w:rsidRDefault="009F7F8A" w:rsidP="009F7F8A">
            <w:pPr>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F37EAC" w14:textId="77777777" w:rsidR="009F7F8A" w:rsidRPr="00AC3044" w:rsidRDefault="009F7F8A" w:rsidP="009F7F8A">
            <w:pPr>
              <w:rPr>
                <w:rFonts w:eastAsia="SimSun"/>
              </w:rPr>
            </w:pPr>
            <w:r w:rsidRPr="00AC3044">
              <w:rPr>
                <w:rFonts w:eastAsia="SimSun"/>
              </w:rPr>
              <w:t>Бусульфан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4F4069" w14:textId="77777777" w:rsidR="009F7F8A" w:rsidRPr="00AC3044" w:rsidRDefault="009F7F8A" w:rsidP="009F7F8A">
            <w:pPr>
              <w:rPr>
                <w:rFonts w:eastAsia="SimSun"/>
              </w:rPr>
            </w:pPr>
            <w:r w:rsidRPr="00AC3044">
              <w:rPr>
                <w:rFonts w:eastAsia="SimSun"/>
              </w:rPr>
              <w:t>4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66D143" w14:textId="77777777" w:rsidR="009F7F8A" w:rsidRPr="00AC3044" w:rsidRDefault="009F7F8A" w:rsidP="009F7F8A">
            <w:pPr>
              <w:rPr>
                <w:rFonts w:eastAsia="SimSun"/>
              </w:rPr>
            </w:pPr>
            <w:r w:rsidRPr="00AC3044">
              <w:rPr>
                <w:rFonts w:eastAsia="SimSun"/>
              </w:rPr>
              <w:t>8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76DE5E" w14:textId="77777777" w:rsidR="009F7F8A" w:rsidRPr="00AC3044" w:rsidRDefault="009F7F8A" w:rsidP="009F7F8A">
            <w:pPr>
              <w:rPr>
                <w:rFonts w:eastAsia="SimSun"/>
              </w:rPr>
            </w:pPr>
            <w:r w:rsidRPr="00AC3044">
              <w:rPr>
                <w:rFonts w:eastAsia="SimSun"/>
              </w:rPr>
              <w:t xml:space="preserve"> –4, –3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3D8CB2"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039591D0" w14:textId="77777777" w:rsidTr="009F7F8A">
        <w:trPr>
          <w:cantSplit/>
          <w:trHeight w:val="20"/>
        </w:trPr>
        <w:tc>
          <w:tcPr>
            <w:tcW w:w="99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7692CF13" w14:textId="77777777" w:rsidR="009F7F8A" w:rsidRPr="00AC3044" w:rsidRDefault="009F7F8A" w:rsidP="009F7F8A">
            <w:pPr>
              <w:rPr>
                <w:rFonts w:eastAsia="SimSun"/>
              </w:rPr>
            </w:pPr>
            <w:r w:rsidRPr="00AC3044">
              <w:rPr>
                <w:rFonts w:eastAsia="SimSun"/>
              </w:rPr>
              <w:t>Профилактика РТПХ</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1EF865" w14:textId="77777777" w:rsidR="009F7F8A" w:rsidRPr="00AC3044" w:rsidRDefault="009F7F8A" w:rsidP="009F7F8A">
            <w:pPr>
              <w:rPr>
                <w:rFonts w:eastAsia="SimSun"/>
              </w:rPr>
            </w:pPr>
            <w:r w:rsidRPr="00AC3044">
              <w:rPr>
                <w:rFonts w:eastAsia="SimSun"/>
              </w:rPr>
              <w:t>Циклоспорин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2C3B7F" w14:textId="77777777" w:rsidR="009F7F8A" w:rsidRPr="00AC3044" w:rsidRDefault="009F7F8A" w:rsidP="009F7F8A">
            <w:pPr>
              <w:rPr>
                <w:rFonts w:eastAsia="SimSun"/>
              </w:rPr>
            </w:pPr>
            <w:r w:rsidRPr="00AC3044">
              <w:rPr>
                <w:rFonts w:eastAsia="SimSun"/>
              </w:rPr>
              <w:t>3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F333E8" w14:textId="77777777" w:rsidR="009F7F8A" w:rsidRPr="00AC3044" w:rsidRDefault="009F7F8A" w:rsidP="009F7F8A">
            <w:pPr>
              <w:rPr>
                <w:rFonts w:eastAsia="SimSun"/>
              </w:rPr>
            </w:pPr>
            <w:r w:rsidRPr="00AC3044">
              <w:rPr>
                <w:rFonts w:eastAsia="SimSun"/>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1B0AAC" w14:textId="77777777" w:rsidR="009F7F8A" w:rsidRPr="00AC3044" w:rsidRDefault="009F7F8A" w:rsidP="009F7F8A">
            <w:pPr>
              <w:rPr>
                <w:rFonts w:eastAsia="SimSun"/>
              </w:rPr>
            </w:pPr>
            <w:r w:rsidRPr="00AC3044">
              <w:rPr>
                <w:rFonts w:eastAsia="SimSun"/>
              </w:rPr>
              <w:t>С +5 по +90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753596"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0C00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4DE9E8FE" w14:textId="77777777" w:rsidTr="009F7F8A">
        <w:trPr>
          <w:cantSplit/>
          <w:trHeight w:val="20"/>
        </w:trPr>
        <w:tc>
          <w:tcPr>
            <w:tcW w:w="99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0795A2" w14:textId="77777777" w:rsidR="009F7F8A" w:rsidRPr="00AC3044" w:rsidRDefault="009F7F8A" w:rsidP="009F7F8A">
            <w:pPr>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041CC0" w14:textId="77777777" w:rsidR="009F7F8A" w:rsidRPr="00AC3044" w:rsidRDefault="009F7F8A" w:rsidP="009F7F8A">
            <w:pPr>
              <w:rPr>
                <w:rFonts w:eastAsia="SimSun"/>
              </w:rPr>
            </w:pPr>
            <w:r w:rsidRPr="00AC3044">
              <w:rPr>
                <w:rFonts w:eastAsia="SimSun"/>
              </w:rPr>
              <w:t>Микофенолата мофетил</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CFD4BB" w14:textId="77777777" w:rsidR="009F7F8A" w:rsidRPr="00AC3044" w:rsidRDefault="009F7F8A" w:rsidP="009F7F8A">
            <w:pPr>
              <w:rPr>
                <w:rFonts w:eastAsia="SimSun"/>
              </w:rPr>
            </w:pPr>
            <w:r w:rsidRPr="00AC3044">
              <w:rPr>
                <w:rFonts w:eastAsia="SimSun"/>
              </w:rPr>
              <w:t>45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20E1C0" w14:textId="77777777" w:rsidR="009F7F8A" w:rsidRPr="00AC3044" w:rsidRDefault="009F7F8A" w:rsidP="009F7F8A">
            <w:pPr>
              <w:rPr>
                <w:rFonts w:eastAsia="SimSun"/>
              </w:rPr>
            </w:pPr>
            <w:r w:rsidRPr="00AC3044">
              <w:rPr>
                <w:rFonts w:eastAsia="SimSun"/>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815818" w14:textId="77777777" w:rsidR="009F7F8A" w:rsidRPr="00AC3044" w:rsidRDefault="009F7F8A" w:rsidP="009F7F8A">
            <w:pPr>
              <w:rPr>
                <w:rFonts w:eastAsia="SimSun"/>
              </w:rPr>
            </w:pPr>
            <w:r w:rsidRPr="00AC3044">
              <w:rPr>
                <w:rFonts w:eastAsia="SimSun"/>
              </w:rPr>
              <w:t>С +5 по +30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1D6649"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(не более 3</w:t>
            </w:r>
            <w:r>
              <w:rPr>
                <w:rFonts w:eastAsia="SimSun"/>
              </w:rPr>
              <w:t xml:space="preserve"> </w:t>
            </w:r>
            <w:r w:rsidRPr="00AC3044">
              <w:rPr>
                <w:rFonts w:eastAsia="SimSun"/>
              </w:rPr>
              <w:t>г/сут)</w:t>
            </w:r>
          </w:p>
        </w:tc>
      </w:tr>
      <w:tr w:rsidR="009F7F8A" w:rsidRPr="00AC3044" w14:paraId="08B5341D" w14:textId="77777777" w:rsidTr="009F7F8A">
        <w:trPr>
          <w:cantSplit/>
          <w:trHeight w:val="464"/>
        </w:trPr>
        <w:tc>
          <w:tcPr>
            <w:tcW w:w="99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9C3663" w14:textId="77777777" w:rsidR="009F7F8A" w:rsidRPr="00AC3044" w:rsidRDefault="009F7F8A" w:rsidP="009F7F8A">
            <w:pPr>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DF2CD7" w14:textId="77777777" w:rsidR="009F7F8A" w:rsidRPr="00AC3044" w:rsidRDefault="009F7F8A" w:rsidP="009F7F8A">
            <w:pPr>
              <w:rPr>
                <w:rFonts w:eastAsia="SimSun"/>
              </w:rPr>
            </w:pPr>
            <w:r w:rsidRPr="00AC3044">
              <w:rPr>
                <w:rFonts w:eastAsia="SimSun"/>
              </w:rPr>
              <w:t>Циклофосфамид</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C7E26A" w14:textId="77777777" w:rsidR="009F7F8A" w:rsidRPr="00AC3044" w:rsidRDefault="009F7F8A" w:rsidP="009F7F8A">
            <w:pPr>
              <w:rPr>
                <w:rFonts w:eastAsia="SimSun"/>
              </w:rPr>
            </w:pPr>
            <w:r w:rsidRPr="00AC3044">
              <w:rPr>
                <w:rFonts w:eastAsia="SimSun"/>
              </w:rPr>
              <w:t>50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45B9B9" w14:textId="77777777" w:rsidR="009F7F8A" w:rsidRPr="00AC3044" w:rsidRDefault="009F7F8A" w:rsidP="009F7F8A">
            <w:pPr>
              <w:rPr>
                <w:rFonts w:eastAsia="SimSun"/>
              </w:rPr>
            </w:pPr>
            <w:r w:rsidRPr="00AC3044">
              <w:rPr>
                <w:rFonts w:eastAsia="SimSun"/>
              </w:rPr>
              <w:t>100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F2E2E8" w14:textId="77777777" w:rsidR="009F7F8A" w:rsidRPr="00AC3044" w:rsidRDefault="009F7F8A" w:rsidP="009F7F8A">
            <w:pPr>
              <w:rPr>
                <w:rFonts w:eastAsia="SimSun"/>
              </w:rPr>
            </w:pPr>
            <w:r w:rsidRPr="00AC3044">
              <w:rPr>
                <w:rFonts w:eastAsia="SimSun"/>
              </w:rPr>
              <w:t>+3, +4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F7C7B5" w14:textId="77777777" w:rsidR="009F7F8A" w:rsidRPr="00AC3044" w:rsidRDefault="009F7F8A" w:rsidP="009F7F8A">
            <w:pPr>
              <w:rPr>
                <w:rFonts w:eastAsia="SimSun"/>
              </w:rPr>
            </w:pPr>
            <w:r w:rsidRPr="00AC3044">
              <w:rPr>
                <w:rFonts w:eastAsia="SimSun"/>
              </w:rPr>
              <w:t>В/в, инфузия в течение 2 ч</w:t>
            </w:r>
          </w:p>
        </w:tc>
      </w:tr>
    </w:tbl>
    <w:p w14:paraId="2A9CE958" w14:textId="77777777" w:rsidR="009F7F8A" w:rsidRDefault="009F7F8A" w:rsidP="009F7F8A">
      <w:pPr>
        <w:rPr>
          <w:rFonts w:eastAsia="SimSun"/>
        </w:rPr>
      </w:pPr>
      <w:bookmarkStart w:id="132" w:name="_Toc44401162"/>
    </w:p>
    <w:p w14:paraId="60B0A045"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1.2.4  – Flu150+Bu8+Thio / PT-Cy+CSA+ MMF30</w:t>
      </w:r>
      <w:bookmarkEnd w:id="132"/>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9F7F8A" w:rsidRPr="00AC3044" w14:paraId="01A031AD" w14:textId="77777777" w:rsidTr="009F7F8A">
        <w:trPr>
          <w:cantSplit/>
          <w:trHeight w:val="20"/>
          <w:tblHeader/>
        </w:trPr>
        <w:tc>
          <w:tcPr>
            <w:tcW w:w="993" w:type="dxa"/>
          </w:tcPr>
          <w:p w14:paraId="730165F5" w14:textId="77777777" w:rsidR="009F7F8A" w:rsidRPr="00470D3D" w:rsidRDefault="009F7F8A" w:rsidP="009F7F8A">
            <w:pPr>
              <w:rPr>
                <w:rFonts w:eastAsia="SimSun"/>
              </w:rPr>
            </w:pPr>
          </w:p>
        </w:tc>
        <w:tc>
          <w:tcPr>
            <w:tcW w:w="1843" w:type="dxa"/>
            <w:vAlign w:val="center"/>
          </w:tcPr>
          <w:p w14:paraId="17B1619E" w14:textId="77777777" w:rsidR="009F7F8A" w:rsidRPr="00AC3044" w:rsidRDefault="009F7F8A" w:rsidP="009F7F8A">
            <w:pPr>
              <w:rPr>
                <w:rFonts w:eastAsia="SimSun"/>
              </w:rPr>
            </w:pPr>
            <w:r w:rsidRPr="00AC3044">
              <w:rPr>
                <w:rFonts w:eastAsia="SimSun"/>
              </w:rPr>
              <w:t>Препарат</w:t>
            </w:r>
          </w:p>
        </w:tc>
        <w:tc>
          <w:tcPr>
            <w:tcW w:w="1417" w:type="dxa"/>
            <w:vAlign w:val="center"/>
          </w:tcPr>
          <w:p w14:paraId="0AFA9663"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4A67F8FB"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11C784B0"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2E39FCB3"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822E731" w14:textId="77777777" w:rsidTr="009F7F8A">
        <w:trPr>
          <w:cantSplit/>
          <w:trHeight w:val="20"/>
        </w:trPr>
        <w:tc>
          <w:tcPr>
            <w:tcW w:w="993" w:type="dxa"/>
            <w:vMerge w:val="restart"/>
            <w:textDirection w:val="btLr"/>
            <w:vAlign w:val="center"/>
          </w:tcPr>
          <w:p w14:paraId="799E7ABB" w14:textId="77777777" w:rsidR="009F7F8A" w:rsidRPr="00AC3044" w:rsidRDefault="009F7F8A" w:rsidP="009F7F8A">
            <w:pPr>
              <w:rPr>
                <w:rFonts w:eastAsia="SimSun"/>
              </w:rPr>
            </w:pPr>
            <w:r w:rsidRPr="00AC3044">
              <w:rPr>
                <w:rFonts w:eastAsia="SimSun"/>
              </w:rPr>
              <w:t>Кондиционирование</w:t>
            </w:r>
          </w:p>
        </w:tc>
        <w:tc>
          <w:tcPr>
            <w:tcW w:w="1843" w:type="dxa"/>
            <w:vAlign w:val="center"/>
          </w:tcPr>
          <w:p w14:paraId="4FD763AD" w14:textId="77777777" w:rsidR="009F7F8A" w:rsidRPr="00AC3044" w:rsidRDefault="009F7F8A" w:rsidP="009F7F8A">
            <w:pPr>
              <w:rPr>
                <w:rFonts w:eastAsia="SimSun"/>
              </w:rPr>
            </w:pPr>
            <w:r w:rsidRPr="00AC3044">
              <w:rPr>
                <w:rFonts w:eastAsia="SimSun"/>
              </w:rPr>
              <w:t xml:space="preserve">Флударабин </w:t>
            </w:r>
          </w:p>
        </w:tc>
        <w:tc>
          <w:tcPr>
            <w:tcW w:w="1417" w:type="dxa"/>
            <w:vAlign w:val="center"/>
          </w:tcPr>
          <w:p w14:paraId="1517C016" w14:textId="77777777" w:rsidR="009F7F8A" w:rsidRPr="00AC3044" w:rsidRDefault="009F7F8A" w:rsidP="009F7F8A">
            <w:pPr>
              <w:rPr>
                <w:rFonts w:eastAsia="SimSun"/>
              </w:rPr>
            </w:pPr>
            <w:r w:rsidRPr="00AC3044">
              <w:rPr>
                <w:rFonts w:eastAsia="SimSun"/>
              </w:rPr>
              <w:t>50 мг/м</w:t>
            </w:r>
            <w:r w:rsidRPr="000C005F">
              <w:rPr>
                <w:rFonts w:eastAsia="SimSun"/>
                <w:vertAlign w:val="superscript"/>
              </w:rPr>
              <w:t>2</w:t>
            </w:r>
          </w:p>
        </w:tc>
        <w:tc>
          <w:tcPr>
            <w:tcW w:w="1418" w:type="dxa"/>
            <w:vAlign w:val="center"/>
          </w:tcPr>
          <w:p w14:paraId="4B30D678" w14:textId="77777777" w:rsidR="009F7F8A" w:rsidRPr="00AC3044" w:rsidRDefault="009F7F8A" w:rsidP="009F7F8A">
            <w:pPr>
              <w:rPr>
                <w:rFonts w:eastAsia="SimSun"/>
              </w:rPr>
            </w:pPr>
            <w:r w:rsidRPr="00AC3044">
              <w:rPr>
                <w:rFonts w:eastAsia="SimSun"/>
              </w:rPr>
              <w:t>150 мг/м</w:t>
            </w:r>
            <w:r w:rsidRPr="000C005F">
              <w:rPr>
                <w:rFonts w:eastAsia="SimSun"/>
                <w:vertAlign w:val="superscript"/>
              </w:rPr>
              <w:t>2</w:t>
            </w:r>
          </w:p>
        </w:tc>
        <w:tc>
          <w:tcPr>
            <w:tcW w:w="1701" w:type="dxa"/>
            <w:vAlign w:val="center"/>
          </w:tcPr>
          <w:p w14:paraId="2BA0A890" w14:textId="77777777" w:rsidR="009F7F8A" w:rsidRPr="00AC3044" w:rsidRDefault="009F7F8A" w:rsidP="009F7F8A">
            <w:pPr>
              <w:rPr>
                <w:rFonts w:eastAsia="SimSun"/>
              </w:rPr>
            </w:pPr>
            <w:r w:rsidRPr="00AC3044">
              <w:rPr>
                <w:rFonts w:eastAsia="SimSun"/>
              </w:rPr>
              <w:t>С –4 по –2 день</w:t>
            </w:r>
          </w:p>
        </w:tc>
        <w:tc>
          <w:tcPr>
            <w:tcW w:w="2268" w:type="dxa"/>
            <w:vAlign w:val="center"/>
          </w:tcPr>
          <w:p w14:paraId="4D6F7687"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79D54F4E" w14:textId="77777777" w:rsidTr="009F7F8A">
        <w:trPr>
          <w:cantSplit/>
          <w:trHeight w:val="703"/>
        </w:trPr>
        <w:tc>
          <w:tcPr>
            <w:tcW w:w="993" w:type="dxa"/>
            <w:vMerge/>
            <w:textDirection w:val="btLr"/>
            <w:vAlign w:val="center"/>
          </w:tcPr>
          <w:p w14:paraId="7E0C2DF2" w14:textId="77777777" w:rsidR="009F7F8A" w:rsidRPr="00AC3044" w:rsidRDefault="009F7F8A" w:rsidP="009F7F8A">
            <w:pPr>
              <w:rPr>
                <w:rFonts w:eastAsia="SimSun"/>
              </w:rPr>
            </w:pPr>
          </w:p>
        </w:tc>
        <w:tc>
          <w:tcPr>
            <w:tcW w:w="1843" w:type="dxa"/>
            <w:vAlign w:val="center"/>
          </w:tcPr>
          <w:p w14:paraId="344B9360" w14:textId="77777777" w:rsidR="009F7F8A" w:rsidRPr="00AC3044" w:rsidRDefault="009F7F8A" w:rsidP="009F7F8A">
            <w:pPr>
              <w:rPr>
                <w:rFonts w:eastAsia="SimSun"/>
              </w:rPr>
            </w:pPr>
            <w:r w:rsidRPr="00AC3044">
              <w:rPr>
                <w:rFonts w:eastAsia="SimSun"/>
              </w:rPr>
              <w:t>Бусульфан</w:t>
            </w:r>
          </w:p>
        </w:tc>
        <w:tc>
          <w:tcPr>
            <w:tcW w:w="1417" w:type="dxa"/>
            <w:vAlign w:val="center"/>
          </w:tcPr>
          <w:p w14:paraId="5261AA75" w14:textId="77777777" w:rsidR="009F7F8A" w:rsidRPr="00AC3044" w:rsidRDefault="009F7F8A" w:rsidP="009F7F8A">
            <w:pPr>
              <w:rPr>
                <w:rFonts w:eastAsia="SimSun"/>
              </w:rPr>
            </w:pPr>
            <w:r w:rsidRPr="00AC3044">
              <w:rPr>
                <w:rFonts w:eastAsia="SimSun"/>
              </w:rPr>
              <w:t>4 мг/кг</w:t>
            </w:r>
          </w:p>
        </w:tc>
        <w:tc>
          <w:tcPr>
            <w:tcW w:w="1418" w:type="dxa"/>
            <w:vAlign w:val="center"/>
          </w:tcPr>
          <w:p w14:paraId="07D52984" w14:textId="77777777" w:rsidR="009F7F8A" w:rsidRPr="00AC3044" w:rsidRDefault="009F7F8A" w:rsidP="009F7F8A">
            <w:pPr>
              <w:rPr>
                <w:rFonts w:eastAsia="SimSun"/>
              </w:rPr>
            </w:pPr>
            <w:r w:rsidRPr="00AC3044">
              <w:rPr>
                <w:rFonts w:eastAsia="SimSun"/>
              </w:rPr>
              <w:t>8 мг/кг</w:t>
            </w:r>
          </w:p>
        </w:tc>
        <w:tc>
          <w:tcPr>
            <w:tcW w:w="1701" w:type="dxa"/>
            <w:vAlign w:val="center"/>
          </w:tcPr>
          <w:p w14:paraId="17A66CB8" w14:textId="77777777" w:rsidR="009F7F8A" w:rsidRPr="00AC3044" w:rsidRDefault="009F7F8A" w:rsidP="009F7F8A">
            <w:pPr>
              <w:rPr>
                <w:rFonts w:eastAsia="SimSun"/>
              </w:rPr>
            </w:pPr>
            <w:r w:rsidRPr="00AC3044">
              <w:rPr>
                <w:rFonts w:eastAsia="SimSun"/>
              </w:rPr>
              <w:t>–3, –2 дни</w:t>
            </w:r>
          </w:p>
        </w:tc>
        <w:tc>
          <w:tcPr>
            <w:tcW w:w="2268" w:type="dxa"/>
            <w:vAlign w:val="center"/>
          </w:tcPr>
          <w:p w14:paraId="66A5986C"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71A5B85A" w14:textId="77777777" w:rsidTr="009F7F8A">
        <w:trPr>
          <w:cantSplit/>
          <w:trHeight w:val="704"/>
        </w:trPr>
        <w:tc>
          <w:tcPr>
            <w:tcW w:w="993" w:type="dxa"/>
            <w:vMerge/>
            <w:textDirection w:val="btLr"/>
            <w:vAlign w:val="center"/>
          </w:tcPr>
          <w:p w14:paraId="07506F02" w14:textId="77777777" w:rsidR="009F7F8A" w:rsidRPr="00AC3044" w:rsidRDefault="009F7F8A" w:rsidP="009F7F8A">
            <w:pPr>
              <w:rPr>
                <w:rFonts w:eastAsia="SimSun"/>
              </w:rPr>
            </w:pPr>
          </w:p>
        </w:tc>
        <w:tc>
          <w:tcPr>
            <w:tcW w:w="1843" w:type="dxa"/>
            <w:vAlign w:val="center"/>
          </w:tcPr>
          <w:p w14:paraId="33BF4305" w14:textId="77777777" w:rsidR="009F7F8A" w:rsidRPr="00AC3044" w:rsidRDefault="009F7F8A" w:rsidP="009F7F8A">
            <w:pPr>
              <w:rPr>
                <w:rFonts w:eastAsia="SimSun"/>
              </w:rPr>
            </w:pPr>
            <w:r w:rsidRPr="00AC3044">
              <w:rPr>
                <w:rFonts w:eastAsia="SimSun"/>
              </w:rPr>
              <w:t>Тиотепа</w:t>
            </w:r>
          </w:p>
        </w:tc>
        <w:tc>
          <w:tcPr>
            <w:tcW w:w="1417" w:type="dxa"/>
            <w:vAlign w:val="center"/>
          </w:tcPr>
          <w:p w14:paraId="4B7ADF7F" w14:textId="77777777" w:rsidR="009F7F8A" w:rsidRPr="00AC3044" w:rsidRDefault="009F7F8A" w:rsidP="009F7F8A">
            <w:pPr>
              <w:rPr>
                <w:rFonts w:eastAsia="SimSun"/>
              </w:rPr>
            </w:pPr>
            <w:r w:rsidRPr="00AC3044">
              <w:rPr>
                <w:rFonts w:eastAsia="SimSun"/>
              </w:rPr>
              <w:t>5 мг/кг</w:t>
            </w:r>
          </w:p>
        </w:tc>
        <w:tc>
          <w:tcPr>
            <w:tcW w:w="1418" w:type="dxa"/>
            <w:vAlign w:val="center"/>
          </w:tcPr>
          <w:p w14:paraId="43DCEC52" w14:textId="77777777" w:rsidR="009F7F8A" w:rsidRPr="00AC3044" w:rsidRDefault="009F7F8A" w:rsidP="009F7F8A">
            <w:pPr>
              <w:rPr>
                <w:rFonts w:eastAsia="SimSun"/>
              </w:rPr>
            </w:pPr>
            <w:r w:rsidRPr="00AC3044">
              <w:rPr>
                <w:rFonts w:eastAsia="SimSun"/>
              </w:rPr>
              <w:t>10 мг/кг</w:t>
            </w:r>
          </w:p>
        </w:tc>
        <w:tc>
          <w:tcPr>
            <w:tcW w:w="1701" w:type="dxa"/>
            <w:vAlign w:val="center"/>
          </w:tcPr>
          <w:p w14:paraId="0D62CFD2" w14:textId="77777777" w:rsidR="009F7F8A" w:rsidRPr="00AC3044" w:rsidRDefault="009F7F8A" w:rsidP="009F7F8A">
            <w:pPr>
              <w:rPr>
                <w:rFonts w:eastAsia="SimSun"/>
              </w:rPr>
            </w:pPr>
            <w:r w:rsidRPr="00AC3044">
              <w:rPr>
                <w:rFonts w:eastAsia="SimSun"/>
              </w:rPr>
              <w:t>-6,-5 дни</w:t>
            </w:r>
          </w:p>
        </w:tc>
        <w:tc>
          <w:tcPr>
            <w:tcW w:w="2268" w:type="dxa"/>
            <w:vAlign w:val="center"/>
          </w:tcPr>
          <w:p w14:paraId="22CB7073" w14:textId="77777777" w:rsidR="009F7F8A" w:rsidRPr="00AC3044" w:rsidRDefault="009F7F8A" w:rsidP="009F7F8A">
            <w:pPr>
              <w:rPr>
                <w:rFonts w:eastAsia="SimSun"/>
              </w:rPr>
            </w:pPr>
            <w:r w:rsidRPr="00AC3044">
              <w:rPr>
                <w:rFonts w:eastAsia="SimSun"/>
              </w:rPr>
              <w:t>В/в, в течение 2 ч.</w:t>
            </w:r>
          </w:p>
        </w:tc>
      </w:tr>
      <w:tr w:rsidR="009F7F8A" w:rsidRPr="00AC3044" w14:paraId="5AB5B040" w14:textId="77777777" w:rsidTr="009F7F8A">
        <w:trPr>
          <w:cantSplit/>
          <w:trHeight w:val="20"/>
        </w:trPr>
        <w:tc>
          <w:tcPr>
            <w:tcW w:w="993" w:type="dxa"/>
            <w:vMerge w:val="restart"/>
            <w:textDirection w:val="btLr"/>
            <w:vAlign w:val="center"/>
          </w:tcPr>
          <w:p w14:paraId="7D9E46F5" w14:textId="77777777" w:rsidR="009F7F8A" w:rsidRPr="00AC3044" w:rsidRDefault="009F7F8A" w:rsidP="009F7F8A">
            <w:pPr>
              <w:rPr>
                <w:rFonts w:eastAsia="SimSun"/>
              </w:rPr>
            </w:pPr>
            <w:r w:rsidRPr="00AC3044">
              <w:rPr>
                <w:rFonts w:eastAsia="SimSun"/>
              </w:rPr>
              <w:t>Профилактика РТПХ</w:t>
            </w:r>
          </w:p>
        </w:tc>
        <w:tc>
          <w:tcPr>
            <w:tcW w:w="1843" w:type="dxa"/>
            <w:vAlign w:val="center"/>
          </w:tcPr>
          <w:p w14:paraId="3C15255B" w14:textId="77777777" w:rsidR="009F7F8A" w:rsidRPr="00AC3044" w:rsidRDefault="009F7F8A" w:rsidP="009F7F8A">
            <w:pPr>
              <w:rPr>
                <w:rFonts w:eastAsia="SimSun"/>
              </w:rPr>
            </w:pPr>
            <w:r w:rsidRPr="00AC3044">
              <w:rPr>
                <w:rFonts w:eastAsia="SimSun"/>
              </w:rPr>
              <w:t>Циклофосфамид</w:t>
            </w:r>
          </w:p>
        </w:tc>
        <w:tc>
          <w:tcPr>
            <w:tcW w:w="1417" w:type="dxa"/>
            <w:vAlign w:val="center"/>
          </w:tcPr>
          <w:p w14:paraId="1246F3BF"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47019824"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233667EF" w14:textId="77777777" w:rsidR="009F7F8A" w:rsidRPr="00AC3044" w:rsidRDefault="009F7F8A" w:rsidP="009F7F8A">
            <w:pPr>
              <w:rPr>
                <w:rFonts w:eastAsia="SimSun"/>
              </w:rPr>
            </w:pPr>
            <w:r w:rsidRPr="00AC3044">
              <w:rPr>
                <w:rFonts w:eastAsia="SimSun"/>
              </w:rPr>
              <w:t xml:space="preserve">+3,+4 дни </w:t>
            </w:r>
          </w:p>
        </w:tc>
        <w:tc>
          <w:tcPr>
            <w:tcW w:w="2268" w:type="dxa"/>
            <w:vAlign w:val="center"/>
          </w:tcPr>
          <w:p w14:paraId="793E00E8" w14:textId="77777777" w:rsidR="009F7F8A" w:rsidRPr="00AC3044" w:rsidRDefault="009F7F8A" w:rsidP="009F7F8A">
            <w:pPr>
              <w:rPr>
                <w:rFonts w:eastAsia="SimSun"/>
              </w:rPr>
            </w:pPr>
            <w:r w:rsidRPr="00AC3044">
              <w:rPr>
                <w:rFonts w:eastAsia="SimSun"/>
              </w:rPr>
              <w:t xml:space="preserve">В/в, в течение 2 ч </w:t>
            </w:r>
          </w:p>
        </w:tc>
      </w:tr>
      <w:tr w:rsidR="009F7F8A" w:rsidRPr="00AC3044" w14:paraId="50543EB2" w14:textId="77777777" w:rsidTr="009F7F8A">
        <w:trPr>
          <w:cantSplit/>
          <w:trHeight w:val="20"/>
        </w:trPr>
        <w:tc>
          <w:tcPr>
            <w:tcW w:w="993" w:type="dxa"/>
            <w:vMerge/>
            <w:textDirection w:val="btLr"/>
          </w:tcPr>
          <w:p w14:paraId="07377DB7" w14:textId="77777777" w:rsidR="009F7F8A" w:rsidRPr="00AC3044" w:rsidRDefault="009F7F8A" w:rsidP="009F7F8A">
            <w:pPr>
              <w:rPr>
                <w:rFonts w:eastAsia="SimSun"/>
              </w:rPr>
            </w:pPr>
          </w:p>
        </w:tc>
        <w:tc>
          <w:tcPr>
            <w:tcW w:w="1843" w:type="dxa"/>
            <w:vAlign w:val="center"/>
          </w:tcPr>
          <w:p w14:paraId="76DE8F9F" w14:textId="77777777" w:rsidR="009F7F8A" w:rsidRPr="00AC3044" w:rsidRDefault="009F7F8A" w:rsidP="009F7F8A">
            <w:pPr>
              <w:rPr>
                <w:rFonts w:eastAsia="SimSun"/>
              </w:rPr>
            </w:pPr>
            <w:r w:rsidRPr="00AC3044">
              <w:rPr>
                <w:rFonts w:eastAsia="SimSun"/>
              </w:rPr>
              <w:t>Циклоспорин</w:t>
            </w:r>
          </w:p>
        </w:tc>
        <w:tc>
          <w:tcPr>
            <w:tcW w:w="1417" w:type="dxa"/>
            <w:vAlign w:val="center"/>
          </w:tcPr>
          <w:p w14:paraId="5338C52A" w14:textId="77777777" w:rsidR="009F7F8A" w:rsidRPr="00AC3044" w:rsidRDefault="009F7F8A" w:rsidP="009F7F8A">
            <w:pPr>
              <w:rPr>
                <w:rFonts w:eastAsia="SimSun"/>
              </w:rPr>
            </w:pPr>
            <w:r w:rsidRPr="00AC3044">
              <w:rPr>
                <w:rFonts w:eastAsia="SimSun"/>
              </w:rPr>
              <w:t>3 мг/кг</w:t>
            </w:r>
          </w:p>
        </w:tc>
        <w:tc>
          <w:tcPr>
            <w:tcW w:w="1418" w:type="dxa"/>
            <w:vAlign w:val="center"/>
          </w:tcPr>
          <w:p w14:paraId="43F0C695" w14:textId="77777777" w:rsidR="009F7F8A" w:rsidRPr="00AC3044" w:rsidRDefault="009F7F8A" w:rsidP="009F7F8A">
            <w:pPr>
              <w:rPr>
                <w:rFonts w:eastAsia="SimSun"/>
              </w:rPr>
            </w:pPr>
            <w:r w:rsidRPr="00AC3044">
              <w:rPr>
                <w:rFonts w:eastAsia="SimSun"/>
              </w:rPr>
              <w:t>–</w:t>
            </w:r>
          </w:p>
        </w:tc>
        <w:tc>
          <w:tcPr>
            <w:tcW w:w="1701" w:type="dxa"/>
            <w:vAlign w:val="center"/>
          </w:tcPr>
          <w:p w14:paraId="06FF124E" w14:textId="77777777" w:rsidR="009F7F8A" w:rsidRPr="00AC3044" w:rsidRDefault="009F7F8A" w:rsidP="009F7F8A">
            <w:pPr>
              <w:rPr>
                <w:rFonts w:eastAsia="SimSun"/>
              </w:rPr>
            </w:pPr>
            <w:r w:rsidRPr="00AC3044">
              <w:rPr>
                <w:rFonts w:eastAsia="SimSun"/>
              </w:rPr>
              <w:t>С +5 по +60 день, затем постепенное снижение к +100 дню</w:t>
            </w:r>
          </w:p>
        </w:tc>
        <w:tc>
          <w:tcPr>
            <w:tcW w:w="2268" w:type="dxa"/>
            <w:vAlign w:val="center"/>
          </w:tcPr>
          <w:p w14:paraId="026DFB74"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0C00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150-350 нг/мл  </w:t>
            </w:r>
          </w:p>
        </w:tc>
      </w:tr>
      <w:tr w:rsidR="009F7F8A" w:rsidRPr="00AC3044" w14:paraId="37D286B9" w14:textId="77777777" w:rsidTr="009F7F8A">
        <w:trPr>
          <w:cantSplit/>
          <w:trHeight w:val="464"/>
        </w:trPr>
        <w:tc>
          <w:tcPr>
            <w:tcW w:w="993" w:type="dxa"/>
            <w:vMerge/>
          </w:tcPr>
          <w:p w14:paraId="4AF61D4A" w14:textId="77777777" w:rsidR="009F7F8A" w:rsidRPr="00AC3044" w:rsidRDefault="009F7F8A" w:rsidP="009F7F8A">
            <w:pPr>
              <w:rPr>
                <w:rFonts w:eastAsia="SimSun"/>
              </w:rPr>
            </w:pPr>
          </w:p>
        </w:tc>
        <w:tc>
          <w:tcPr>
            <w:tcW w:w="1843" w:type="dxa"/>
            <w:vAlign w:val="center"/>
          </w:tcPr>
          <w:p w14:paraId="5ECE7C91" w14:textId="77777777" w:rsidR="009F7F8A" w:rsidRPr="00AC3044" w:rsidRDefault="009F7F8A" w:rsidP="009F7F8A">
            <w:pPr>
              <w:rPr>
                <w:rFonts w:eastAsia="SimSun"/>
              </w:rPr>
            </w:pPr>
            <w:r w:rsidRPr="00AC3044">
              <w:rPr>
                <w:rFonts w:eastAsia="SimSun"/>
              </w:rPr>
              <w:t>Микофенолата мофетил</w:t>
            </w:r>
          </w:p>
        </w:tc>
        <w:tc>
          <w:tcPr>
            <w:tcW w:w="1417" w:type="dxa"/>
            <w:vAlign w:val="center"/>
          </w:tcPr>
          <w:p w14:paraId="328DBAF7" w14:textId="77777777" w:rsidR="009F7F8A" w:rsidRPr="00AC3044" w:rsidRDefault="009F7F8A" w:rsidP="009F7F8A">
            <w:pPr>
              <w:rPr>
                <w:rFonts w:eastAsia="SimSun"/>
              </w:rPr>
            </w:pPr>
            <w:r w:rsidRPr="00AC3044">
              <w:rPr>
                <w:rFonts w:eastAsia="SimSun"/>
              </w:rPr>
              <w:t>30 мг/кг</w:t>
            </w:r>
          </w:p>
        </w:tc>
        <w:tc>
          <w:tcPr>
            <w:tcW w:w="1418" w:type="dxa"/>
            <w:vAlign w:val="center"/>
          </w:tcPr>
          <w:p w14:paraId="024A6BFA" w14:textId="77777777" w:rsidR="009F7F8A" w:rsidRPr="00AC3044" w:rsidRDefault="009F7F8A" w:rsidP="009F7F8A">
            <w:pPr>
              <w:rPr>
                <w:rFonts w:eastAsia="SimSun"/>
              </w:rPr>
            </w:pPr>
            <w:r w:rsidRPr="00AC3044">
              <w:rPr>
                <w:rFonts w:eastAsia="SimSun"/>
              </w:rPr>
              <w:t>–</w:t>
            </w:r>
          </w:p>
        </w:tc>
        <w:tc>
          <w:tcPr>
            <w:tcW w:w="1701" w:type="dxa"/>
            <w:vAlign w:val="center"/>
          </w:tcPr>
          <w:p w14:paraId="7C1D0BEA" w14:textId="77777777" w:rsidR="009F7F8A" w:rsidRPr="00AC3044" w:rsidRDefault="009F7F8A" w:rsidP="009F7F8A">
            <w:pPr>
              <w:rPr>
                <w:rFonts w:eastAsia="SimSun"/>
              </w:rPr>
            </w:pPr>
            <w:r w:rsidRPr="00AC3044">
              <w:rPr>
                <w:rFonts w:eastAsia="SimSun"/>
              </w:rPr>
              <w:t>С +5 по +30 день</w:t>
            </w:r>
          </w:p>
        </w:tc>
        <w:tc>
          <w:tcPr>
            <w:tcW w:w="2268" w:type="dxa"/>
            <w:vAlign w:val="center"/>
          </w:tcPr>
          <w:p w14:paraId="015F15C3"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г/сут).</w:t>
            </w:r>
          </w:p>
        </w:tc>
      </w:tr>
    </w:tbl>
    <w:p w14:paraId="2287397B" w14:textId="77777777" w:rsidR="009F7F8A" w:rsidRPr="00C07B2E" w:rsidRDefault="009F7F8A" w:rsidP="009F7F8A">
      <w:pPr>
        <w:rPr>
          <w:rFonts w:eastAsia="SimSun"/>
        </w:rPr>
      </w:pPr>
    </w:p>
    <w:p w14:paraId="38B4F38F" w14:textId="77777777" w:rsidR="009F7F8A" w:rsidRPr="00C07B2E" w:rsidRDefault="009F7F8A" w:rsidP="009F7F8A">
      <w:pPr>
        <w:rPr>
          <w:rFonts w:eastAsia="SimSun"/>
        </w:rPr>
      </w:pPr>
      <w:bookmarkStart w:id="133" w:name="_Toc44401163"/>
      <w:r w:rsidRPr="00042499">
        <w:rPr>
          <w:rFonts w:eastAsia="SimSun"/>
        </w:rPr>
        <w:t>Таблица</w:t>
      </w:r>
      <w:r w:rsidRPr="00C07B2E">
        <w:rPr>
          <w:rFonts w:eastAsia="SimSun"/>
        </w:rPr>
        <w:t xml:space="preserve"> </w:t>
      </w:r>
      <w:r>
        <w:rPr>
          <w:rFonts w:eastAsia="SimSun"/>
        </w:rPr>
        <w:t>5.</w:t>
      </w:r>
      <w:r w:rsidRPr="00C07B2E">
        <w:rPr>
          <w:rFonts w:eastAsia="SimSun"/>
        </w:rPr>
        <w:t>1.2.5  – Flu180+Bu8 / hATG+CSA+MTX+MMF30</w:t>
      </w:r>
      <w:bookmarkEnd w:id="133"/>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9F7F8A" w:rsidRPr="00AC3044" w14:paraId="182CCCD5" w14:textId="77777777" w:rsidTr="009F7F8A">
        <w:trPr>
          <w:cantSplit/>
          <w:trHeight w:val="20"/>
          <w:tblHeader/>
        </w:trPr>
        <w:tc>
          <w:tcPr>
            <w:tcW w:w="993" w:type="dxa"/>
          </w:tcPr>
          <w:p w14:paraId="10F0808E" w14:textId="77777777" w:rsidR="009F7F8A" w:rsidRPr="00470D3D" w:rsidRDefault="009F7F8A" w:rsidP="009F7F8A">
            <w:pPr>
              <w:rPr>
                <w:rFonts w:eastAsia="SimSun"/>
              </w:rPr>
            </w:pPr>
          </w:p>
        </w:tc>
        <w:tc>
          <w:tcPr>
            <w:tcW w:w="1843" w:type="dxa"/>
            <w:vAlign w:val="center"/>
          </w:tcPr>
          <w:p w14:paraId="758085A0" w14:textId="77777777" w:rsidR="009F7F8A" w:rsidRPr="00AC3044" w:rsidRDefault="009F7F8A" w:rsidP="009F7F8A">
            <w:pPr>
              <w:rPr>
                <w:rFonts w:eastAsia="SimSun"/>
              </w:rPr>
            </w:pPr>
            <w:r w:rsidRPr="00AC3044">
              <w:rPr>
                <w:rFonts w:eastAsia="SimSun"/>
              </w:rPr>
              <w:t>Препарат</w:t>
            </w:r>
          </w:p>
        </w:tc>
        <w:tc>
          <w:tcPr>
            <w:tcW w:w="1417" w:type="dxa"/>
            <w:vAlign w:val="center"/>
          </w:tcPr>
          <w:p w14:paraId="5E93343F"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50484F18"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010F2F61"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3E993FAE"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39161BCC" w14:textId="77777777" w:rsidTr="009F7F8A">
        <w:trPr>
          <w:cantSplit/>
          <w:trHeight w:val="20"/>
        </w:trPr>
        <w:tc>
          <w:tcPr>
            <w:tcW w:w="993" w:type="dxa"/>
            <w:vMerge w:val="restart"/>
            <w:textDirection w:val="btLr"/>
            <w:vAlign w:val="center"/>
          </w:tcPr>
          <w:p w14:paraId="09BAC56C" w14:textId="77777777" w:rsidR="009F7F8A" w:rsidRPr="00AC3044" w:rsidRDefault="009F7F8A" w:rsidP="009F7F8A">
            <w:pPr>
              <w:rPr>
                <w:rFonts w:eastAsia="SimSun"/>
              </w:rPr>
            </w:pPr>
            <w:r w:rsidRPr="00AC3044">
              <w:rPr>
                <w:rFonts w:eastAsia="SimSun"/>
              </w:rPr>
              <w:t>Кондиционирование</w:t>
            </w:r>
          </w:p>
        </w:tc>
        <w:tc>
          <w:tcPr>
            <w:tcW w:w="1843" w:type="dxa"/>
            <w:vAlign w:val="center"/>
          </w:tcPr>
          <w:p w14:paraId="5D3482FE" w14:textId="77777777" w:rsidR="009F7F8A" w:rsidRPr="00AC3044" w:rsidRDefault="009F7F8A" w:rsidP="009F7F8A">
            <w:pPr>
              <w:rPr>
                <w:rFonts w:eastAsia="SimSun"/>
              </w:rPr>
            </w:pPr>
            <w:r w:rsidRPr="00AC3044">
              <w:rPr>
                <w:rFonts w:eastAsia="SimSun"/>
              </w:rPr>
              <w:t xml:space="preserve">Флударабин </w:t>
            </w:r>
          </w:p>
        </w:tc>
        <w:tc>
          <w:tcPr>
            <w:tcW w:w="1417" w:type="dxa"/>
            <w:vAlign w:val="center"/>
          </w:tcPr>
          <w:p w14:paraId="42924468" w14:textId="77777777" w:rsidR="009F7F8A" w:rsidRPr="00AC3044" w:rsidRDefault="009F7F8A" w:rsidP="009F7F8A">
            <w:pPr>
              <w:rPr>
                <w:rFonts w:eastAsia="SimSun"/>
              </w:rPr>
            </w:pPr>
            <w:r w:rsidRPr="00AC3044">
              <w:rPr>
                <w:rFonts w:eastAsia="SimSun"/>
              </w:rPr>
              <w:t>30 мг/м</w:t>
            </w:r>
            <w:r w:rsidRPr="000C005F">
              <w:rPr>
                <w:rFonts w:eastAsia="SimSun"/>
                <w:vertAlign w:val="superscript"/>
              </w:rPr>
              <w:t>2</w:t>
            </w:r>
          </w:p>
        </w:tc>
        <w:tc>
          <w:tcPr>
            <w:tcW w:w="1418" w:type="dxa"/>
            <w:vAlign w:val="center"/>
          </w:tcPr>
          <w:p w14:paraId="00572679" w14:textId="77777777" w:rsidR="009F7F8A" w:rsidRPr="00AC3044" w:rsidRDefault="009F7F8A" w:rsidP="009F7F8A">
            <w:pPr>
              <w:rPr>
                <w:rFonts w:eastAsia="SimSun"/>
              </w:rPr>
            </w:pPr>
            <w:r w:rsidRPr="00AC3044">
              <w:rPr>
                <w:rFonts w:eastAsia="SimSun"/>
              </w:rPr>
              <w:t>180 мг/м</w:t>
            </w:r>
            <w:r w:rsidRPr="000C005F">
              <w:rPr>
                <w:rFonts w:eastAsia="SimSun"/>
                <w:vertAlign w:val="superscript"/>
              </w:rPr>
              <w:t>2</w:t>
            </w:r>
          </w:p>
        </w:tc>
        <w:tc>
          <w:tcPr>
            <w:tcW w:w="1701" w:type="dxa"/>
            <w:vAlign w:val="center"/>
          </w:tcPr>
          <w:p w14:paraId="2A6B9785" w14:textId="77777777" w:rsidR="009F7F8A" w:rsidRPr="00AC3044" w:rsidRDefault="009F7F8A" w:rsidP="009F7F8A">
            <w:pPr>
              <w:rPr>
                <w:rFonts w:eastAsia="SimSun"/>
              </w:rPr>
            </w:pPr>
            <w:r w:rsidRPr="00AC3044">
              <w:rPr>
                <w:rFonts w:eastAsia="SimSun"/>
              </w:rPr>
              <w:t>С –10 по –5 день</w:t>
            </w:r>
          </w:p>
        </w:tc>
        <w:tc>
          <w:tcPr>
            <w:tcW w:w="2268" w:type="dxa"/>
            <w:vAlign w:val="center"/>
          </w:tcPr>
          <w:p w14:paraId="7CA09F8F"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1A233BD5" w14:textId="77777777" w:rsidTr="009F7F8A">
        <w:trPr>
          <w:cantSplit/>
          <w:trHeight w:val="1043"/>
        </w:trPr>
        <w:tc>
          <w:tcPr>
            <w:tcW w:w="993" w:type="dxa"/>
            <w:vMerge/>
            <w:textDirection w:val="btLr"/>
            <w:vAlign w:val="center"/>
          </w:tcPr>
          <w:p w14:paraId="20353BDA" w14:textId="77777777" w:rsidR="009F7F8A" w:rsidRPr="00AC3044" w:rsidRDefault="009F7F8A" w:rsidP="009F7F8A">
            <w:pPr>
              <w:rPr>
                <w:rFonts w:eastAsia="SimSun"/>
              </w:rPr>
            </w:pPr>
          </w:p>
        </w:tc>
        <w:tc>
          <w:tcPr>
            <w:tcW w:w="1843" w:type="dxa"/>
            <w:vAlign w:val="center"/>
          </w:tcPr>
          <w:p w14:paraId="3545CC66" w14:textId="77777777" w:rsidR="009F7F8A" w:rsidRPr="00AC3044" w:rsidRDefault="009F7F8A" w:rsidP="009F7F8A">
            <w:pPr>
              <w:rPr>
                <w:rFonts w:eastAsia="SimSun"/>
              </w:rPr>
            </w:pPr>
            <w:r w:rsidRPr="00AC3044">
              <w:rPr>
                <w:rFonts w:eastAsia="SimSun"/>
              </w:rPr>
              <w:t>Бусульфан</w:t>
            </w:r>
          </w:p>
        </w:tc>
        <w:tc>
          <w:tcPr>
            <w:tcW w:w="1417" w:type="dxa"/>
            <w:vAlign w:val="center"/>
          </w:tcPr>
          <w:p w14:paraId="51BF335B" w14:textId="77777777" w:rsidR="009F7F8A" w:rsidRPr="00AC3044" w:rsidRDefault="009F7F8A" w:rsidP="009F7F8A">
            <w:pPr>
              <w:rPr>
                <w:rFonts w:eastAsia="SimSun"/>
              </w:rPr>
            </w:pPr>
            <w:r w:rsidRPr="00AC3044">
              <w:rPr>
                <w:rFonts w:eastAsia="SimSun"/>
              </w:rPr>
              <w:t>4 мг/кг</w:t>
            </w:r>
          </w:p>
        </w:tc>
        <w:tc>
          <w:tcPr>
            <w:tcW w:w="1418" w:type="dxa"/>
            <w:vAlign w:val="center"/>
          </w:tcPr>
          <w:p w14:paraId="2F21FCC8" w14:textId="77777777" w:rsidR="009F7F8A" w:rsidRPr="00AC3044" w:rsidRDefault="009F7F8A" w:rsidP="009F7F8A">
            <w:pPr>
              <w:rPr>
                <w:rFonts w:eastAsia="SimSun"/>
              </w:rPr>
            </w:pPr>
            <w:r w:rsidRPr="00AC3044">
              <w:rPr>
                <w:rFonts w:eastAsia="SimSun"/>
              </w:rPr>
              <w:t>8 мг/кг</w:t>
            </w:r>
          </w:p>
        </w:tc>
        <w:tc>
          <w:tcPr>
            <w:tcW w:w="1701" w:type="dxa"/>
            <w:vAlign w:val="center"/>
          </w:tcPr>
          <w:p w14:paraId="45EB4C83" w14:textId="77777777" w:rsidR="009F7F8A" w:rsidRPr="00AC3044" w:rsidRDefault="009F7F8A" w:rsidP="009F7F8A">
            <w:pPr>
              <w:rPr>
                <w:rFonts w:eastAsia="SimSun"/>
              </w:rPr>
            </w:pPr>
            <w:r w:rsidRPr="00AC3044">
              <w:rPr>
                <w:rFonts w:eastAsia="SimSun"/>
              </w:rPr>
              <w:t>–6, –5 дни</w:t>
            </w:r>
          </w:p>
        </w:tc>
        <w:tc>
          <w:tcPr>
            <w:tcW w:w="2268" w:type="dxa"/>
            <w:vAlign w:val="center"/>
          </w:tcPr>
          <w:p w14:paraId="6EE31ED8"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016DC2AE" w14:textId="77777777" w:rsidTr="009F7F8A">
        <w:trPr>
          <w:cantSplit/>
          <w:trHeight w:val="20"/>
        </w:trPr>
        <w:tc>
          <w:tcPr>
            <w:tcW w:w="993" w:type="dxa"/>
            <w:vMerge w:val="restart"/>
            <w:textDirection w:val="btLr"/>
          </w:tcPr>
          <w:p w14:paraId="54BB1B7E" w14:textId="77777777" w:rsidR="009F7F8A" w:rsidRPr="00AC3044" w:rsidRDefault="009F7F8A" w:rsidP="009F7F8A">
            <w:pPr>
              <w:rPr>
                <w:rFonts w:eastAsia="SimSun"/>
              </w:rPr>
            </w:pPr>
            <w:r w:rsidRPr="00AC3044">
              <w:rPr>
                <w:rFonts w:eastAsia="SimSun"/>
              </w:rPr>
              <w:t>Профилактика РТПХ</w:t>
            </w:r>
          </w:p>
        </w:tc>
        <w:tc>
          <w:tcPr>
            <w:tcW w:w="1843" w:type="dxa"/>
            <w:vAlign w:val="center"/>
          </w:tcPr>
          <w:p w14:paraId="291A84B2" w14:textId="77777777" w:rsidR="009F7F8A" w:rsidRPr="00AC3044" w:rsidRDefault="009F7F8A" w:rsidP="009F7F8A">
            <w:pPr>
              <w:rPr>
                <w:rFonts w:eastAsia="SimSun"/>
              </w:rPr>
            </w:pPr>
            <w:r w:rsidRPr="00AC3044">
              <w:rPr>
                <w:rFonts w:eastAsia="SimSun"/>
              </w:rPr>
              <w:t>АТГ (лошадиный)</w:t>
            </w:r>
          </w:p>
        </w:tc>
        <w:tc>
          <w:tcPr>
            <w:tcW w:w="1417" w:type="dxa"/>
            <w:vAlign w:val="center"/>
          </w:tcPr>
          <w:p w14:paraId="796164EC" w14:textId="77777777" w:rsidR="009F7F8A" w:rsidRPr="00AC3044" w:rsidRDefault="009F7F8A" w:rsidP="009F7F8A">
            <w:pPr>
              <w:rPr>
                <w:rFonts w:eastAsia="SimSun"/>
              </w:rPr>
            </w:pPr>
            <w:r w:rsidRPr="00AC3044">
              <w:rPr>
                <w:rFonts w:eastAsia="SimSun"/>
              </w:rPr>
              <w:t>10 -15 мг/кг</w:t>
            </w:r>
          </w:p>
        </w:tc>
        <w:tc>
          <w:tcPr>
            <w:tcW w:w="1418" w:type="dxa"/>
            <w:vAlign w:val="center"/>
          </w:tcPr>
          <w:p w14:paraId="28699DC8" w14:textId="77777777" w:rsidR="009F7F8A" w:rsidRPr="00AC3044" w:rsidRDefault="009F7F8A" w:rsidP="009F7F8A">
            <w:pPr>
              <w:rPr>
                <w:rFonts w:eastAsia="SimSun"/>
              </w:rPr>
            </w:pPr>
            <w:r w:rsidRPr="00AC3044">
              <w:rPr>
                <w:rFonts w:eastAsia="SimSun"/>
              </w:rPr>
              <w:t>40 -60 мг/кг</w:t>
            </w:r>
          </w:p>
        </w:tc>
        <w:tc>
          <w:tcPr>
            <w:tcW w:w="1701" w:type="dxa"/>
            <w:vAlign w:val="center"/>
          </w:tcPr>
          <w:p w14:paraId="76D6D8CB" w14:textId="77777777" w:rsidR="009F7F8A" w:rsidRPr="00AC3044" w:rsidRDefault="009F7F8A" w:rsidP="009F7F8A">
            <w:pPr>
              <w:rPr>
                <w:rFonts w:eastAsia="SimSun"/>
              </w:rPr>
            </w:pPr>
            <w:r w:rsidRPr="00AC3044">
              <w:rPr>
                <w:rFonts w:eastAsia="SimSun"/>
              </w:rPr>
              <w:t>С –4 по –1 день</w:t>
            </w:r>
          </w:p>
        </w:tc>
        <w:tc>
          <w:tcPr>
            <w:tcW w:w="2268" w:type="dxa"/>
            <w:vAlign w:val="center"/>
          </w:tcPr>
          <w:p w14:paraId="2B47ED77" w14:textId="77777777" w:rsidR="009F7F8A" w:rsidRPr="00AC3044" w:rsidRDefault="009F7F8A" w:rsidP="009F7F8A">
            <w:pPr>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 xml:space="preserve">на 2 введения (см. «Инфузия АТГ») </w:t>
            </w:r>
          </w:p>
        </w:tc>
      </w:tr>
      <w:tr w:rsidR="009F7F8A" w:rsidRPr="00AC3044" w14:paraId="0735BC66" w14:textId="77777777" w:rsidTr="009F7F8A">
        <w:trPr>
          <w:cantSplit/>
          <w:trHeight w:val="20"/>
        </w:trPr>
        <w:tc>
          <w:tcPr>
            <w:tcW w:w="993" w:type="dxa"/>
            <w:vMerge/>
            <w:textDirection w:val="btLr"/>
          </w:tcPr>
          <w:p w14:paraId="6AD23585" w14:textId="77777777" w:rsidR="009F7F8A" w:rsidRPr="00AC3044" w:rsidRDefault="009F7F8A" w:rsidP="009F7F8A">
            <w:pPr>
              <w:rPr>
                <w:rFonts w:eastAsia="SimSun"/>
              </w:rPr>
            </w:pPr>
          </w:p>
        </w:tc>
        <w:tc>
          <w:tcPr>
            <w:tcW w:w="1843" w:type="dxa"/>
            <w:vAlign w:val="center"/>
          </w:tcPr>
          <w:p w14:paraId="1D5C24E2" w14:textId="77777777" w:rsidR="009F7F8A" w:rsidRPr="00AC3044" w:rsidRDefault="009F7F8A" w:rsidP="009F7F8A">
            <w:pPr>
              <w:rPr>
                <w:rFonts w:eastAsia="SimSun"/>
              </w:rPr>
            </w:pPr>
            <w:r w:rsidRPr="00AC3044">
              <w:rPr>
                <w:rFonts w:eastAsia="SimSun"/>
              </w:rPr>
              <w:t>Циклоспорин</w:t>
            </w:r>
          </w:p>
        </w:tc>
        <w:tc>
          <w:tcPr>
            <w:tcW w:w="1417" w:type="dxa"/>
            <w:vAlign w:val="center"/>
          </w:tcPr>
          <w:p w14:paraId="72FFB0F7" w14:textId="77777777" w:rsidR="009F7F8A" w:rsidRPr="00AC3044" w:rsidRDefault="009F7F8A" w:rsidP="009F7F8A">
            <w:pPr>
              <w:rPr>
                <w:rFonts w:eastAsia="SimSun"/>
              </w:rPr>
            </w:pPr>
            <w:r w:rsidRPr="00AC3044">
              <w:rPr>
                <w:rFonts w:eastAsia="SimSun"/>
              </w:rPr>
              <w:t>3 мг/кг</w:t>
            </w:r>
          </w:p>
        </w:tc>
        <w:tc>
          <w:tcPr>
            <w:tcW w:w="1418" w:type="dxa"/>
            <w:vAlign w:val="center"/>
          </w:tcPr>
          <w:p w14:paraId="5634DCC7" w14:textId="77777777" w:rsidR="009F7F8A" w:rsidRPr="00AC3044" w:rsidRDefault="009F7F8A" w:rsidP="009F7F8A">
            <w:pPr>
              <w:rPr>
                <w:rFonts w:eastAsia="SimSun"/>
              </w:rPr>
            </w:pPr>
            <w:r w:rsidRPr="00AC3044">
              <w:rPr>
                <w:rFonts w:eastAsia="SimSun"/>
              </w:rPr>
              <w:t>–</w:t>
            </w:r>
          </w:p>
        </w:tc>
        <w:tc>
          <w:tcPr>
            <w:tcW w:w="1701" w:type="dxa"/>
            <w:vAlign w:val="center"/>
          </w:tcPr>
          <w:p w14:paraId="4506B19C" w14:textId="77777777" w:rsidR="009F7F8A" w:rsidRPr="00AC3044" w:rsidRDefault="009F7F8A" w:rsidP="009F7F8A">
            <w:pPr>
              <w:rPr>
                <w:rFonts w:eastAsia="SimSun"/>
              </w:rPr>
            </w:pPr>
            <w:r w:rsidRPr="00AC3044">
              <w:rPr>
                <w:rFonts w:eastAsia="SimSun"/>
              </w:rPr>
              <w:t>С –1 дня по +90 день, затем постепенное снижение к +180 дню</w:t>
            </w:r>
          </w:p>
        </w:tc>
        <w:tc>
          <w:tcPr>
            <w:tcW w:w="2268" w:type="dxa"/>
            <w:vAlign w:val="center"/>
          </w:tcPr>
          <w:p w14:paraId="2CD8760E"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0C00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218C5EEB" w14:textId="77777777" w:rsidTr="009F7F8A">
        <w:trPr>
          <w:cantSplit/>
          <w:trHeight w:val="20"/>
        </w:trPr>
        <w:tc>
          <w:tcPr>
            <w:tcW w:w="993" w:type="dxa"/>
            <w:vMerge/>
          </w:tcPr>
          <w:p w14:paraId="33894935" w14:textId="77777777" w:rsidR="009F7F8A" w:rsidRPr="00AC3044" w:rsidRDefault="009F7F8A" w:rsidP="009F7F8A">
            <w:pPr>
              <w:rPr>
                <w:rFonts w:eastAsia="SimSun"/>
              </w:rPr>
            </w:pPr>
          </w:p>
        </w:tc>
        <w:tc>
          <w:tcPr>
            <w:tcW w:w="1843" w:type="dxa"/>
            <w:vMerge w:val="restart"/>
            <w:vAlign w:val="center"/>
          </w:tcPr>
          <w:p w14:paraId="34CA39EA" w14:textId="77777777" w:rsidR="009F7F8A" w:rsidRPr="00AC3044" w:rsidRDefault="009F7F8A" w:rsidP="009F7F8A">
            <w:pPr>
              <w:rPr>
                <w:rFonts w:eastAsia="SimSun"/>
              </w:rPr>
            </w:pPr>
            <w:r w:rsidRPr="00AC3044">
              <w:rPr>
                <w:rFonts w:eastAsia="SimSun"/>
              </w:rPr>
              <w:t>Метотрексат</w:t>
            </w:r>
          </w:p>
        </w:tc>
        <w:tc>
          <w:tcPr>
            <w:tcW w:w="1417" w:type="dxa"/>
            <w:vAlign w:val="center"/>
          </w:tcPr>
          <w:p w14:paraId="4D1CA0AC" w14:textId="77777777" w:rsidR="009F7F8A" w:rsidRPr="00AC3044" w:rsidRDefault="009F7F8A" w:rsidP="009F7F8A">
            <w:pPr>
              <w:rPr>
                <w:rFonts w:eastAsia="SimSun"/>
              </w:rPr>
            </w:pPr>
            <w:r w:rsidRPr="00AC3044">
              <w:rPr>
                <w:rFonts w:eastAsia="SimSun"/>
              </w:rPr>
              <w:t>15 мг/м</w:t>
            </w:r>
            <w:r w:rsidRPr="000C005F">
              <w:rPr>
                <w:rFonts w:eastAsia="SimSun"/>
                <w:vertAlign w:val="superscript"/>
              </w:rPr>
              <w:t>2</w:t>
            </w:r>
          </w:p>
        </w:tc>
        <w:tc>
          <w:tcPr>
            <w:tcW w:w="1418" w:type="dxa"/>
            <w:vAlign w:val="center"/>
          </w:tcPr>
          <w:p w14:paraId="5E4CB814" w14:textId="77777777" w:rsidR="009F7F8A" w:rsidRPr="00AC3044" w:rsidRDefault="009F7F8A" w:rsidP="009F7F8A">
            <w:pPr>
              <w:rPr>
                <w:rFonts w:eastAsia="SimSun"/>
              </w:rPr>
            </w:pPr>
            <w:r w:rsidRPr="00AC3044">
              <w:rPr>
                <w:rFonts w:eastAsia="SimSun"/>
              </w:rPr>
              <w:t>–</w:t>
            </w:r>
          </w:p>
        </w:tc>
        <w:tc>
          <w:tcPr>
            <w:tcW w:w="1701" w:type="dxa"/>
            <w:vAlign w:val="center"/>
          </w:tcPr>
          <w:p w14:paraId="403ED00D" w14:textId="77777777" w:rsidR="009F7F8A" w:rsidRPr="00AC3044" w:rsidRDefault="009F7F8A" w:rsidP="009F7F8A">
            <w:pPr>
              <w:rPr>
                <w:rFonts w:eastAsia="SimSun"/>
              </w:rPr>
            </w:pPr>
            <w:r w:rsidRPr="00AC3044">
              <w:rPr>
                <w:rFonts w:eastAsia="SimSun"/>
              </w:rPr>
              <w:t>+1 день</w:t>
            </w:r>
          </w:p>
        </w:tc>
        <w:tc>
          <w:tcPr>
            <w:tcW w:w="2268" w:type="dxa"/>
            <w:vAlign w:val="center"/>
          </w:tcPr>
          <w:p w14:paraId="44C05512"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12E79727" w14:textId="77777777" w:rsidTr="009F7F8A">
        <w:trPr>
          <w:cantSplit/>
          <w:trHeight w:val="464"/>
        </w:trPr>
        <w:tc>
          <w:tcPr>
            <w:tcW w:w="993" w:type="dxa"/>
            <w:vMerge/>
          </w:tcPr>
          <w:p w14:paraId="21222CDF" w14:textId="77777777" w:rsidR="009F7F8A" w:rsidRPr="00AC3044" w:rsidRDefault="009F7F8A" w:rsidP="009F7F8A">
            <w:pPr>
              <w:rPr>
                <w:rFonts w:eastAsia="SimSun"/>
              </w:rPr>
            </w:pPr>
          </w:p>
        </w:tc>
        <w:tc>
          <w:tcPr>
            <w:tcW w:w="1843" w:type="dxa"/>
            <w:vMerge/>
            <w:vAlign w:val="center"/>
          </w:tcPr>
          <w:p w14:paraId="37203623" w14:textId="77777777" w:rsidR="009F7F8A" w:rsidRPr="00AC3044" w:rsidRDefault="009F7F8A" w:rsidP="009F7F8A">
            <w:pPr>
              <w:rPr>
                <w:rFonts w:eastAsia="SimSun"/>
              </w:rPr>
            </w:pPr>
          </w:p>
        </w:tc>
        <w:tc>
          <w:tcPr>
            <w:tcW w:w="1417" w:type="dxa"/>
            <w:vAlign w:val="center"/>
          </w:tcPr>
          <w:p w14:paraId="69C9AF5C" w14:textId="77777777" w:rsidR="009F7F8A" w:rsidRPr="00AC3044" w:rsidRDefault="009F7F8A" w:rsidP="009F7F8A">
            <w:pPr>
              <w:rPr>
                <w:rFonts w:eastAsia="SimSun"/>
              </w:rPr>
            </w:pPr>
            <w:r w:rsidRPr="00AC3044">
              <w:rPr>
                <w:rFonts w:eastAsia="SimSun"/>
              </w:rPr>
              <w:t>10 мг/м</w:t>
            </w:r>
            <w:r w:rsidRPr="000C005F">
              <w:rPr>
                <w:rFonts w:eastAsia="SimSun"/>
                <w:vertAlign w:val="superscript"/>
              </w:rPr>
              <w:t>2</w:t>
            </w:r>
          </w:p>
        </w:tc>
        <w:tc>
          <w:tcPr>
            <w:tcW w:w="1418" w:type="dxa"/>
            <w:vAlign w:val="center"/>
          </w:tcPr>
          <w:p w14:paraId="795943AB" w14:textId="77777777" w:rsidR="009F7F8A" w:rsidRPr="00AC3044" w:rsidRDefault="009F7F8A" w:rsidP="009F7F8A">
            <w:pPr>
              <w:rPr>
                <w:rFonts w:eastAsia="SimSun"/>
              </w:rPr>
            </w:pPr>
            <w:r w:rsidRPr="00AC3044">
              <w:rPr>
                <w:rFonts w:eastAsia="SimSun"/>
              </w:rPr>
              <w:t>–</w:t>
            </w:r>
          </w:p>
        </w:tc>
        <w:tc>
          <w:tcPr>
            <w:tcW w:w="1701" w:type="dxa"/>
            <w:vAlign w:val="center"/>
          </w:tcPr>
          <w:p w14:paraId="708602DC" w14:textId="77777777" w:rsidR="009F7F8A" w:rsidRPr="00AC3044" w:rsidRDefault="009F7F8A" w:rsidP="009F7F8A">
            <w:pPr>
              <w:rPr>
                <w:rFonts w:eastAsia="SimSun"/>
              </w:rPr>
            </w:pPr>
            <w:r w:rsidRPr="00AC3044">
              <w:rPr>
                <w:rFonts w:eastAsia="SimSun"/>
              </w:rPr>
              <w:t>+3, +6, +11 день</w:t>
            </w:r>
          </w:p>
        </w:tc>
        <w:tc>
          <w:tcPr>
            <w:tcW w:w="2268" w:type="dxa"/>
            <w:vAlign w:val="center"/>
          </w:tcPr>
          <w:p w14:paraId="6028A8FB"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39D7F423" w14:textId="77777777" w:rsidTr="009F7F8A">
        <w:trPr>
          <w:cantSplit/>
          <w:trHeight w:val="464"/>
        </w:trPr>
        <w:tc>
          <w:tcPr>
            <w:tcW w:w="993" w:type="dxa"/>
            <w:vMerge/>
          </w:tcPr>
          <w:p w14:paraId="599E7135" w14:textId="77777777" w:rsidR="009F7F8A" w:rsidRPr="00AC3044" w:rsidRDefault="009F7F8A" w:rsidP="009F7F8A">
            <w:pPr>
              <w:rPr>
                <w:rFonts w:eastAsia="SimSun"/>
              </w:rPr>
            </w:pPr>
          </w:p>
        </w:tc>
        <w:tc>
          <w:tcPr>
            <w:tcW w:w="1843" w:type="dxa"/>
            <w:vMerge w:val="restart"/>
            <w:vAlign w:val="center"/>
          </w:tcPr>
          <w:p w14:paraId="2E69E761" w14:textId="77777777" w:rsidR="009F7F8A" w:rsidRPr="00AC3044" w:rsidRDefault="009F7F8A" w:rsidP="009F7F8A">
            <w:pPr>
              <w:rPr>
                <w:rFonts w:eastAsia="SimSun"/>
              </w:rPr>
            </w:pPr>
            <w:r w:rsidRPr="00AC3044">
              <w:rPr>
                <w:rFonts w:eastAsia="SimSun"/>
              </w:rPr>
              <w:t>Микофенолата мофетил (только при использовании СКК)</w:t>
            </w:r>
          </w:p>
        </w:tc>
        <w:tc>
          <w:tcPr>
            <w:tcW w:w="1417" w:type="dxa"/>
            <w:vAlign w:val="center"/>
          </w:tcPr>
          <w:p w14:paraId="2FDE4802" w14:textId="77777777" w:rsidR="009F7F8A" w:rsidRPr="00AC3044" w:rsidRDefault="009F7F8A" w:rsidP="009F7F8A">
            <w:pPr>
              <w:rPr>
                <w:rFonts w:eastAsia="SimSun"/>
              </w:rPr>
            </w:pPr>
            <w:r w:rsidRPr="00AC3044">
              <w:rPr>
                <w:rFonts w:eastAsia="SimSun"/>
              </w:rPr>
              <w:t>2000 мг</w:t>
            </w:r>
          </w:p>
        </w:tc>
        <w:tc>
          <w:tcPr>
            <w:tcW w:w="1418" w:type="dxa"/>
            <w:vAlign w:val="center"/>
          </w:tcPr>
          <w:p w14:paraId="7D7D5169" w14:textId="77777777" w:rsidR="009F7F8A" w:rsidRPr="00AC3044" w:rsidRDefault="009F7F8A" w:rsidP="009F7F8A">
            <w:pPr>
              <w:rPr>
                <w:rFonts w:eastAsia="SimSun"/>
              </w:rPr>
            </w:pPr>
            <w:r w:rsidRPr="00AC3044">
              <w:rPr>
                <w:rFonts w:eastAsia="SimSun"/>
              </w:rPr>
              <w:t>–</w:t>
            </w:r>
          </w:p>
        </w:tc>
        <w:tc>
          <w:tcPr>
            <w:tcW w:w="1701" w:type="dxa"/>
            <w:vAlign w:val="center"/>
          </w:tcPr>
          <w:p w14:paraId="4BA91D6F" w14:textId="77777777" w:rsidR="009F7F8A" w:rsidRPr="00AC3044" w:rsidRDefault="009F7F8A" w:rsidP="009F7F8A">
            <w:pPr>
              <w:rPr>
                <w:rFonts w:eastAsia="SimSun"/>
              </w:rPr>
            </w:pPr>
            <w:r w:rsidRPr="00AC3044">
              <w:rPr>
                <w:rFonts w:eastAsia="SimSun"/>
              </w:rPr>
              <w:t>С +1 по +14 день</w:t>
            </w:r>
          </w:p>
        </w:tc>
        <w:tc>
          <w:tcPr>
            <w:tcW w:w="2268" w:type="dxa"/>
            <w:vAlign w:val="center"/>
          </w:tcPr>
          <w:p w14:paraId="31DB0191" w14:textId="77777777" w:rsidR="009F7F8A" w:rsidRPr="00AC3044" w:rsidRDefault="009F7F8A" w:rsidP="009F7F8A">
            <w:pPr>
              <w:rPr>
                <w:rFonts w:eastAsia="SimSun"/>
              </w:rPr>
            </w:pPr>
            <w:r w:rsidRPr="00AC3044">
              <w:rPr>
                <w:rFonts w:eastAsia="SimSun"/>
              </w:rPr>
              <w:t>Внутрь, суммарная суточная доза разделяется на 2-4 приема.</w:t>
            </w:r>
          </w:p>
        </w:tc>
      </w:tr>
      <w:tr w:rsidR="009F7F8A" w:rsidRPr="00AC3044" w14:paraId="65563D69" w14:textId="77777777" w:rsidTr="009F7F8A">
        <w:trPr>
          <w:cantSplit/>
          <w:trHeight w:val="464"/>
        </w:trPr>
        <w:tc>
          <w:tcPr>
            <w:tcW w:w="993" w:type="dxa"/>
            <w:vMerge/>
          </w:tcPr>
          <w:p w14:paraId="2CBDC21A" w14:textId="77777777" w:rsidR="009F7F8A" w:rsidRPr="00AC3044" w:rsidRDefault="009F7F8A" w:rsidP="009F7F8A">
            <w:pPr>
              <w:rPr>
                <w:rFonts w:eastAsia="SimSun"/>
              </w:rPr>
            </w:pPr>
          </w:p>
        </w:tc>
        <w:tc>
          <w:tcPr>
            <w:tcW w:w="1843" w:type="dxa"/>
            <w:vMerge/>
            <w:vAlign w:val="center"/>
          </w:tcPr>
          <w:p w14:paraId="06CC1BB1" w14:textId="77777777" w:rsidR="009F7F8A" w:rsidRPr="00AC3044" w:rsidRDefault="009F7F8A" w:rsidP="009F7F8A">
            <w:pPr>
              <w:rPr>
                <w:rFonts w:eastAsia="SimSun"/>
              </w:rPr>
            </w:pPr>
          </w:p>
        </w:tc>
        <w:tc>
          <w:tcPr>
            <w:tcW w:w="1417" w:type="dxa"/>
            <w:vAlign w:val="center"/>
          </w:tcPr>
          <w:p w14:paraId="5F4F0A46" w14:textId="77777777" w:rsidR="009F7F8A" w:rsidRPr="00AC3044" w:rsidRDefault="009F7F8A" w:rsidP="009F7F8A">
            <w:pPr>
              <w:rPr>
                <w:rFonts w:eastAsia="SimSun"/>
              </w:rPr>
            </w:pPr>
            <w:r w:rsidRPr="00AC3044">
              <w:rPr>
                <w:rFonts w:eastAsia="SimSun"/>
              </w:rPr>
              <w:t>1000 мг</w:t>
            </w:r>
          </w:p>
        </w:tc>
        <w:tc>
          <w:tcPr>
            <w:tcW w:w="1418" w:type="dxa"/>
            <w:vAlign w:val="center"/>
          </w:tcPr>
          <w:p w14:paraId="764A0960" w14:textId="77777777" w:rsidR="009F7F8A" w:rsidRPr="00AC3044" w:rsidRDefault="009F7F8A" w:rsidP="009F7F8A">
            <w:pPr>
              <w:rPr>
                <w:rFonts w:eastAsia="SimSun"/>
              </w:rPr>
            </w:pPr>
            <w:r w:rsidRPr="00AC3044">
              <w:rPr>
                <w:rFonts w:eastAsia="SimSun"/>
              </w:rPr>
              <w:t>–</w:t>
            </w:r>
          </w:p>
        </w:tc>
        <w:tc>
          <w:tcPr>
            <w:tcW w:w="1701" w:type="dxa"/>
            <w:vAlign w:val="center"/>
          </w:tcPr>
          <w:p w14:paraId="1156A1F0" w14:textId="77777777" w:rsidR="009F7F8A" w:rsidRPr="00AC3044" w:rsidRDefault="009F7F8A" w:rsidP="009F7F8A">
            <w:pPr>
              <w:rPr>
                <w:rFonts w:eastAsia="SimSun"/>
              </w:rPr>
            </w:pPr>
            <w:r w:rsidRPr="00AC3044">
              <w:rPr>
                <w:rFonts w:eastAsia="SimSun"/>
              </w:rPr>
              <w:t>С +15 по +90 день</w:t>
            </w:r>
          </w:p>
        </w:tc>
        <w:tc>
          <w:tcPr>
            <w:tcW w:w="2268" w:type="dxa"/>
            <w:vAlign w:val="center"/>
          </w:tcPr>
          <w:p w14:paraId="438F239E" w14:textId="77777777" w:rsidR="009F7F8A" w:rsidRPr="00AC3044" w:rsidRDefault="009F7F8A" w:rsidP="009F7F8A">
            <w:pPr>
              <w:rPr>
                <w:rFonts w:eastAsia="SimSun"/>
              </w:rPr>
            </w:pPr>
            <w:r w:rsidRPr="00AC3044">
              <w:rPr>
                <w:rFonts w:eastAsia="SimSun"/>
              </w:rPr>
              <w:t>Внутрь, суммарная суточная доза разделяется на 2-4 приема.</w:t>
            </w:r>
          </w:p>
        </w:tc>
      </w:tr>
    </w:tbl>
    <w:p w14:paraId="387EDD41" w14:textId="77777777" w:rsidR="009F7F8A" w:rsidRDefault="009F7F8A" w:rsidP="009F7F8A">
      <w:pPr>
        <w:rPr>
          <w:rFonts w:eastAsia="SimSun"/>
        </w:rPr>
      </w:pPr>
      <w:bookmarkStart w:id="134" w:name="_Toc44401164"/>
    </w:p>
    <w:p w14:paraId="75FAE6F8"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1.2.6  – Flu180+Bu8 / rATG+CSA+MTX+MMF30</w:t>
      </w:r>
      <w:bookmarkEnd w:id="134"/>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60"/>
        <w:gridCol w:w="2268"/>
      </w:tblGrid>
      <w:tr w:rsidR="009F7F8A" w:rsidRPr="00AC3044" w14:paraId="0B826A37" w14:textId="77777777" w:rsidTr="009F7F8A">
        <w:trPr>
          <w:cantSplit/>
          <w:trHeight w:val="20"/>
          <w:tblHeader/>
        </w:trPr>
        <w:tc>
          <w:tcPr>
            <w:tcW w:w="993" w:type="dxa"/>
          </w:tcPr>
          <w:p w14:paraId="357BA890" w14:textId="77777777" w:rsidR="009F7F8A" w:rsidRPr="00470D3D" w:rsidRDefault="009F7F8A" w:rsidP="009F7F8A">
            <w:pPr>
              <w:rPr>
                <w:rFonts w:eastAsia="SimSun"/>
              </w:rPr>
            </w:pPr>
          </w:p>
        </w:tc>
        <w:tc>
          <w:tcPr>
            <w:tcW w:w="1843" w:type="dxa"/>
            <w:vAlign w:val="center"/>
          </w:tcPr>
          <w:p w14:paraId="63FE6883" w14:textId="77777777" w:rsidR="009F7F8A" w:rsidRPr="00AC3044" w:rsidRDefault="009F7F8A" w:rsidP="009F7F8A">
            <w:pPr>
              <w:rPr>
                <w:rFonts w:eastAsia="SimSun"/>
              </w:rPr>
            </w:pPr>
            <w:r w:rsidRPr="00AC3044">
              <w:rPr>
                <w:rFonts w:eastAsia="SimSun"/>
              </w:rPr>
              <w:t>Препарат</w:t>
            </w:r>
          </w:p>
        </w:tc>
        <w:tc>
          <w:tcPr>
            <w:tcW w:w="1417" w:type="dxa"/>
            <w:vAlign w:val="center"/>
          </w:tcPr>
          <w:p w14:paraId="31FC5F61"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39E3D465" w14:textId="77777777" w:rsidR="009F7F8A" w:rsidRPr="00AC3044" w:rsidRDefault="009F7F8A" w:rsidP="009F7F8A">
            <w:pPr>
              <w:rPr>
                <w:rFonts w:eastAsia="SimSun"/>
              </w:rPr>
            </w:pPr>
            <w:r w:rsidRPr="00AC3044">
              <w:rPr>
                <w:rFonts w:eastAsia="SimSun"/>
              </w:rPr>
              <w:t>Курсовая доза</w:t>
            </w:r>
          </w:p>
        </w:tc>
        <w:tc>
          <w:tcPr>
            <w:tcW w:w="1560" w:type="dxa"/>
            <w:vAlign w:val="center"/>
          </w:tcPr>
          <w:p w14:paraId="7457FD75"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6EA35861"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6AC2D5C3" w14:textId="77777777" w:rsidTr="009F7F8A">
        <w:trPr>
          <w:cantSplit/>
          <w:trHeight w:val="20"/>
        </w:trPr>
        <w:tc>
          <w:tcPr>
            <w:tcW w:w="993" w:type="dxa"/>
            <w:vMerge w:val="restart"/>
            <w:textDirection w:val="btLr"/>
            <w:vAlign w:val="center"/>
          </w:tcPr>
          <w:p w14:paraId="253185E4" w14:textId="77777777" w:rsidR="009F7F8A" w:rsidRPr="00AC3044" w:rsidRDefault="009F7F8A" w:rsidP="009F7F8A">
            <w:pPr>
              <w:rPr>
                <w:rFonts w:eastAsia="SimSun"/>
              </w:rPr>
            </w:pPr>
            <w:r w:rsidRPr="00AC3044">
              <w:rPr>
                <w:rFonts w:eastAsia="SimSun"/>
              </w:rPr>
              <w:t>Кондиционирование</w:t>
            </w:r>
          </w:p>
        </w:tc>
        <w:tc>
          <w:tcPr>
            <w:tcW w:w="1843" w:type="dxa"/>
            <w:vAlign w:val="center"/>
          </w:tcPr>
          <w:p w14:paraId="77EA415C" w14:textId="77777777" w:rsidR="009F7F8A" w:rsidRPr="00AC3044" w:rsidRDefault="009F7F8A" w:rsidP="009F7F8A">
            <w:pPr>
              <w:rPr>
                <w:rFonts w:eastAsia="SimSun"/>
              </w:rPr>
            </w:pPr>
            <w:r w:rsidRPr="00AC3044">
              <w:rPr>
                <w:rFonts w:eastAsia="SimSun"/>
              </w:rPr>
              <w:t xml:space="preserve">Флударабин </w:t>
            </w:r>
          </w:p>
        </w:tc>
        <w:tc>
          <w:tcPr>
            <w:tcW w:w="1417" w:type="dxa"/>
            <w:vAlign w:val="center"/>
          </w:tcPr>
          <w:p w14:paraId="70DA55D6"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559" w:type="dxa"/>
            <w:vAlign w:val="center"/>
          </w:tcPr>
          <w:p w14:paraId="031BF6D8"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560" w:type="dxa"/>
            <w:vAlign w:val="center"/>
          </w:tcPr>
          <w:p w14:paraId="62D978EF" w14:textId="77777777" w:rsidR="009F7F8A" w:rsidRPr="00AC3044" w:rsidRDefault="009F7F8A" w:rsidP="009F7F8A">
            <w:pPr>
              <w:rPr>
                <w:rFonts w:eastAsia="SimSun"/>
              </w:rPr>
            </w:pPr>
            <w:r w:rsidRPr="00AC3044">
              <w:rPr>
                <w:rFonts w:eastAsia="SimSun"/>
              </w:rPr>
              <w:t>С –9 по –4 день</w:t>
            </w:r>
          </w:p>
        </w:tc>
        <w:tc>
          <w:tcPr>
            <w:tcW w:w="2268" w:type="dxa"/>
            <w:vAlign w:val="center"/>
          </w:tcPr>
          <w:p w14:paraId="4C015912"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067BE649" w14:textId="77777777" w:rsidTr="009F7F8A">
        <w:trPr>
          <w:cantSplit/>
          <w:trHeight w:val="1472"/>
        </w:trPr>
        <w:tc>
          <w:tcPr>
            <w:tcW w:w="993" w:type="dxa"/>
            <w:vMerge/>
            <w:textDirection w:val="btLr"/>
            <w:vAlign w:val="center"/>
          </w:tcPr>
          <w:p w14:paraId="4F8F8BF4" w14:textId="77777777" w:rsidR="009F7F8A" w:rsidRPr="00AC3044" w:rsidRDefault="009F7F8A" w:rsidP="009F7F8A">
            <w:pPr>
              <w:rPr>
                <w:rFonts w:eastAsia="SimSun"/>
              </w:rPr>
            </w:pPr>
          </w:p>
        </w:tc>
        <w:tc>
          <w:tcPr>
            <w:tcW w:w="1843" w:type="dxa"/>
            <w:vAlign w:val="center"/>
          </w:tcPr>
          <w:p w14:paraId="50F901FB" w14:textId="77777777" w:rsidR="009F7F8A" w:rsidRPr="00AC3044" w:rsidRDefault="009F7F8A" w:rsidP="009F7F8A">
            <w:pPr>
              <w:rPr>
                <w:rFonts w:eastAsia="SimSun"/>
              </w:rPr>
            </w:pPr>
            <w:r w:rsidRPr="00AC3044">
              <w:rPr>
                <w:rFonts w:eastAsia="SimSun"/>
              </w:rPr>
              <w:t>Бусульфан</w:t>
            </w:r>
          </w:p>
        </w:tc>
        <w:tc>
          <w:tcPr>
            <w:tcW w:w="1417" w:type="dxa"/>
            <w:vAlign w:val="center"/>
          </w:tcPr>
          <w:p w14:paraId="7BCDDB10" w14:textId="77777777" w:rsidR="009F7F8A" w:rsidRPr="00AC3044" w:rsidRDefault="009F7F8A" w:rsidP="009F7F8A">
            <w:pPr>
              <w:rPr>
                <w:rFonts w:eastAsia="SimSun"/>
              </w:rPr>
            </w:pPr>
            <w:r w:rsidRPr="00AC3044">
              <w:rPr>
                <w:rFonts w:eastAsia="SimSun"/>
              </w:rPr>
              <w:t>4 мг/кг</w:t>
            </w:r>
          </w:p>
        </w:tc>
        <w:tc>
          <w:tcPr>
            <w:tcW w:w="1559" w:type="dxa"/>
            <w:vAlign w:val="center"/>
          </w:tcPr>
          <w:p w14:paraId="2359EFB2" w14:textId="77777777" w:rsidR="009F7F8A" w:rsidRPr="00AC3044" w:rsidRDefault="009F7F8A" w:rsidP="009F7F8A">
            <w:pPr>
              <w:rPr>
                <w:rFonts w:eastAsia="SimSun"/>
              </w:rPr>
            </w:pPr>
            <w:r w:rsidRPr="00AC3044">
              <w:rPr>
                <w:rFonts w:eastAsia="SimSun"/>
              </w:rPr>
              <w:t>8 мг/кг</w:t>
            </w:r>
          </w:p>
        </w:tc>
        <w:tc>
          <w:tcPr>
            <w:tcW w:w="1560" w:type="dxa"/>
            <w:vAlign w:val="center"/>
          </w:tcPr>
          <w:p w14:paraId="4C4D554F" w14:textId="77777777" w:rsidR="009F7F8A" w:rsidRPr="00AC3044" w:rsidRDefault="009F7F8A" w:rsidP="009F7F8A">
            <w:pPr>
              <w:rPr>
                <w:rFonts w:eastAsia="SimSun"/>
              </w:rPr>
            </w:pPr>
            <w:r w:rsidRPr="00AC3044">
              <w:rPr>
                <w:rFonts w:eastAsia="SimSun"/>
              </w:rPr>
              <w:t>–5, –4 дни</w:t>
            </w:r>
          </w:p>
        </w:tc>
        <w:tc>
          <w:tcPr>
            <w:tcW w:w="2268" w:type="dxa"/>
            <w:vAlign w:val="center"/>
          </w:tcPr>
          <w:p w14:paraId="4DCE82C7"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373DE61E" w14:textId="77777777" w:rsidTr="009F7F8A">
        <w:trPr>
          <w:cantSplit/>
          <w:trHeight w:val="20"/>
        </w:trPr>
        <w:tc>
          <w:tcPr>
            <w:tcW w:w="993" w:type="dxa"/>
            <w:vMerge w:val="restart"/>
            <w:textDirection w:val="btLr"/>
            <w:vAlign w:val="center"/>
          </w:tcPr>
          <w:p w14:paraId="5A3E37C3" w14:textId="77777777" w:rsidR="009F7F8A" w:rsidRPr="00AC3044" w:rsidRDefault="009F7F8A" w:rsidP="009F7F8A">
            <w:pPr>
              <w:rPr>
                <w:rFonts w:eastAsia="SimSun"/>
              </w:rPr>
            </w:pPr>
            <w:r w:rsidRPr="00AC3044">
              <w:rPr>
                <w:rFonts w:eastAsia="SimSun"/>
              </w:rPr>
              <w:t>Профилактика РТПХ</w:t>
            </w:r>
          </w:p>
        </w:tc>
        <w:tc>
          <w:tcPr>
            <w:tcW w:w="1843" w:type="dxa"/>
            <w:vAlign w:val="center"/>
          </w:tcPr>
          <w:p w14:paraId="1FEE2B5A" w14:textId="77777777" w:rsidR="009F7F8A" w:rsidRPr="00AC3044" w:rsidRDefault="009F7F8A" w:rsidP="009F7F8A">
            <w:pPr>
              <w:rPr>
                <w:rFonts w:eastAsia="SimSun"/>
              </w:rPr>
            </w:pPr>
            <w:r w:rsidRPr="00AC3044">
              <w:rPr>
                <w:rFonts w:eastAsia="SimSun"/>
              </w:rPr>
              <w:t>АТГ (кроличий)</w:t>
            </w:r>
          </w:p>
        </w:tc>
        <w:tc>
          <w:tcPr>
            <w:tcW w:w="1417" w:type="dxa"/>
            <w:vAlign w:val="center"/>
          </w:tcPr>
          <w:p w14:paraId="0F01EAAC" w14:textId="77777777" w:rsidR="009F7F8A" w:rsidRPr="00AC3044" w:rsidRDefault="009F7F8A" w:rsidP="009F7F8A">
            <w:pPr>
              <w:rPr>
                <w:rFonts w:eastAsia="SimSun"/>
              </w:rPr>
            </w:pPr>
            <w:r w:rsidRPr="00AC3044">
              <w:rPr>
                <w:rFonts w:eastAsia="SimSun"/>
              </w:rPr>
              <w:t>2,5 мг/кг</w:t>
            </w:r>
          </w:p>
        </w:tc>
        <w:tc>
          <w:tcPr>
            <w:tcW w:w="1559" w:type="dxa"/>
            <w:vAlign w:val="center"/>
          </w:tcPr>
          <w:p w14:paraId="57948D31" w14:textId="77777777" w:rsidR="009F7F8A" w:rsidRPr="00AC3044" w:rsidRDefault="009F7F8A" w:rsidP="009F7F8A">
            <w:pPr>
              <w:rPr>
                <w:rFonts w:eastAsia="SimSun"/>
              </w:rPr>
            </w:pPr>
            <w:r w:rsidRPr="00AC3044">
              <w:rPr>
                <w:rFonts w:eastAsia="SimSun"/>
              </w:rPr>
              <w:t>5 - 7,5 мг/кг</w:t>
            </w:r>
            <w:r w:rsidRPr="001E6DBE">
              <w:rPr>
                <w:rFonts w:eastAsia="SimSun"/>
                <w:vertAlign w:val="superscript"/>
              </w:rPr>
              <w:t>2</w:t>
            </w:r>
          </w:p>
        </w:tc>
        <w:tc>
          <w:tcPr>
            <w:tcW w:w="1560" w:type="dxa"/>
            <w:vAlign w:val="center"/>
          </w:tcPr>
          <w:p w14:paraId="78F9804A" w14:textId="77777777" w:rsidR="009F7F8A" w:rsidRPr="00AC3044" w:rsidRDefault="009F7F8A" w:rsidP="009F7F8A">
            <w:pPr>
              <w:rPr>
                <w:rFonts w:eastAsia="SimSun"/>
              </w:rPr>
            </w:pPr>
            <w:r w:rsidRPr="00AC3044">
              <w:rPr>
                <w:rFonts w:eastAsia="SimSun"/>
              </w:rPr>
              <w:t>С –3 по –2 (-1) день</w:t>
            </w:r>
          </w:p>
        </w:tc>
        <w:tc>
          <w:tcPr>
            <w:tcW w:w="2268" w:type="dxa"/>
            <w:vAlign w:val="center"/>
          </w:tcPr>
          <w:p w14:paraId="16BBA1E1" w14:textId="77777777" w:rsidR="009F7F8A" w:rsidRPr="00AC3044" w:rsidRDefault="009F7F8A" w:rsidP="009F7F8A">
            <w:pPr>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 xml:space="preserve">на 2 введения (см. «Инфузия АТГ») </w:t>
            </w:r>
          </w:p>
        </w:tc>
      </w:tr>
      <w:tr w:rsidR="009F7F8A" w:rsidRPr="00AC3044" w14:paraId="31764912" w14:textId="77777777" w:rsidTr="009F7F8A">
        <w:trPr>
          <w:cantSplit/>
          <w:trHeight w:val="20"/>
        </w:trPr>
        <w:tc>
          <w:tcPr>
            <w:tcW w:w="993" w:type="dxa"/>
            <w:vMerge/>
            <w:textDirection w:val="btLr"/>
            <w:vAlign w:val="center"/>
          </w:tcPr>
          <w:p w14:paraId="5CB1DB46" w14:textId="77777777" w:rsidR="009F7F8A" w:rsidRPr="00AC3044" w:rsidRDefault="009F7F8A" w:rsidP="009F7F8A">
            <w:pPr>
              <w:rPr>
                <w:rFonts w:eastAsia="SimSun"/>
              </w:rPr>
            </w:pPr>
          </w:p>
        </w:tc>
        <w:tc>
          <w:tcPr>
            <w:tcW w:w="1843" w:type="dxa"/>
            <w:vAlign w:val="center"/>
          </w:tcPr>
          <w:p w14:paraId="2E35E61F" w14:textId="77777777" w:rsidR="009F7F8A" w:rsidRPr="00AC3044" w:rsidRDefault="009F7F8A" w:rsidP="009F7F8A">
            <w:pPr>
              <w:rPr>
                <w:rFonts w:eastAsia="SimSun"/>
              </w:rPr>
            </w:pPr>
            <w:r w:rsidRPr="00AC3044">
              <w:rPr>
                <w:rFonts w:eastAsia="SimSun"/>
              </w:rPr>
              <w:t>Циклоспорин</w:t>
            </w:r>
          </w:p>
        </w:tc>
        <w:tc>
          <w:tcPr>
            <w:tcW w:w="1417" w:type="dxa"/>
            <w:vAlign w:val="center"/>
          </w:tcPr>
          <w:p w14:paraId="64C9F6FF" w14:textId="77777777" w:rsidR="009F7F8A" w:rsidRPr="00AC3044" w:rsidRDefault="009F7F8A" w:rsidP="009F7F8A">
            <w:pPr>
              <w:rPr>
                <w:rFonts w:eastAsia="SimSun"/>
              </w:rPr>
            </w:pPr>
            <w:r w:rsidRPr="00AC3044">
              <w:rPr>
                <w:rFonts w:eastAsia="SimSun"/>
              </w:rPr>
              <w:t>3 мг/кг</w:t>
            </w:r>
          </w:p>
        </w:tc>
        <w:tc>
          <w:tcPr>
            <w:tcW w:w="1559" w:type="dxa"/>
            <w:vAlign w:val="center"/>
          </w:tcPr>
          <w:p w14:paraId="33157645" w14:textId="77777777" w:rsidR="009F7F8A" w:rsidRPr="00AC3044" w:rsidRDefault="009F7F8A" w:rsidP="009F7F8A">
            <w:pPr>
              <w:rPr>
                <w:rFonts w:eastAsia="SimSun"/>
              </w:rPr>
            </w:pPr>
            <w:r w:rsidRPr="00AC3044">
              <w:rPr>
                <w:rFonts w:eastAsia="SimSun"/>
              </w:rPr>
              <w:t>–</w:t>
            </w:r>
          </w:p>
        </w:tc>
        <w:tc>
          <w:tcPr>
            <w:tcW w:w="1560" w:type="dxa"/>
            <w:vAlign w:val="center"/>
          </w:tcPr>
          <w:p w14:paraId="5967028B" w14:textId="77777777" w:rsidR="009F7F8A" w:rsidRPr="00AC3044" w:rsidRDefault="009F7F8A" w:rsidP="009F7F8A">
            <w:pPr>
              <w:rPr>
                <w:rFonts w:eastAsia="SimSun"/>
              </w:rPr>
            </w:pPr>
            <w:r w:rsidRPr="00AC3044">
              <w:rPr>
                <w:rFonts w:eastAsia="SimSun"/>
              </w:rPr>
              <w:t>С –1 дня по +90 день, затем постепенное снижение к +180 дню</w:t>
            </w:r>
          </w:p>
        </w:tc>
        <w:tc>
          <w:tcPr>
            <w:tcW w:w="2268" w:type="dxa"/>
            <w:vAlign w:val="center"/>
          </w:tcPr>
          <w:p w14:paraId="5FD9614A"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639A7162" w14:textId="77777777" w:rsidTr="009F7F8A">
        <w:trPr>
          <w:cantSplit/>
          <w:trHeight w:val="20"/>
        </w:trPr>
        <w:tc>
          <w:tcPr>
            <w:tcW w:w="993" w:type="dxa"/>
            <w:vMerge/>
            <w:vAlign w:val="center"/>
          </w:tcPr>
          <w:p w14:paraId="21DE14AD" w14:textId="77777777" w:rsidR="009F7F8A" w:rsidRPr="00AC3044" w:rsidRDefault="009F7F8A" w:rsidP="009F7F8A">
            <w:pPr>
              <w:rPr>
                <w:rFonts w:eastAsia="SimSun"/>
              </w:rPr>
            </w:pPr>
          </w:p>
        </w:tc>
        <w:tc>
          <w:tcPr>
            <w:tcW w:w="1843" w:type="dxa"/>
            <w:vMerge w:val="restart"/>
            <w:vAlign w:val="center"/>
          </w:tcPr>
          <w:p w14:paraId="5FCC0238" w14:textId="77777777" w:rsidR="009F7F8A" w:rsidRPr="00AC3044" w:rsidRDefault="009F7F8A" w:rsidP="009F7F8A">
            <w:pPr>
              <w:rPr>
                <w:rFonts w:eastAsia="SimSun"/>
              </w:rPr>
            </w:pPr>
            <w:r w:rsidRPr="00AC3044">
              <w:rPr>
                <w:rFonts w:eastAsia="SimSun"/>
              </w:rPr>
              <w:t>Метотрексат</w:t>
            </w:r>
          </w:p>
        </w:tc>
        <w:tc>
          <w:tcPr>
            <w:tcW w:w="1417" w:type="dxa"/>
            <w:vAlign w:val="center"/>
          </w:tcPr>
          <w:p w14:paraId="307E0239" w14:textId="77777777" w:rsidR="009F7F8A" w:rsidRPr="00AC3044" w:rsidRDefault="009F7F8A" w:rsidP="009F7F8A">
            <w:pPr>
              <w:rPr>
                <w:rFonts w:eastAsia="SimSun"/>
              </w:rPr>
            </w:pPr>
            <w:r w:rsidRPr="00AC3044">
              <w:rPr>
                <w:rFonts w:eastAsia="SimSun"/>
              </w:rPr>
              <w:t>15 мг/м</w:t>
            </w:r>
            <w:r w:rsidRPr="001E6DBE">
              <w:rPr>
                <w:rFonts w:eastAsia="SimSun"/>
                <w:vertAlign w:val="superscript"/>
              </w:rPr>
              <w:t>2</w:t>
            </w:r>
          </w:p>
        </w:tc>
        <w:tc>
          <w:tcPr>
            <w:tcW w:w="1559" w:type="dxa"/>
            <w:vAlign w:val="center"/>
          </w:tcPr>
          <w:p w14:paraId="6D28236A" w14:textId="77777777" w:rsidR="009F7F8A" w:rsidRPr="00AC3044" w:rsidRDefault="009F7F8A" w:rsidP="009F7F8A">
            <w:pPr>
              <w:rPr>
                <w:rFonts w:eastAsia="SimSun"/>
              </w:rPr>
            </w:pPr>
            <w:r w:rsidRPr="00AC3044">
              <w:rPr>
                <w:rFonts w:eastAsia="SimSun"/>
              </w:rPr>
              <w:t>–</w:t>
            </w:r>
          </w:p>
        </w:tc>
        <w:tc>
          <w:tcPr>
            <w:tcW w:w="1560" w:type="dxa"/>
            <w:vAlign w:val="center"/>
          </w:tcPr>
          <w:p w14:paraId="37E38A20" w14:textId="77777777" w:rsidR="009F7F8A" w:rsidRPr="00AC3044" w:rsidRDefault="009F7F8A" w:rsidP="009F7F8A">
            <w:pPr>
              <w:rPr>
                <w:rFonts w:eastAsia="SimSun"/>
              </w:rPr>
            </w:pPr>
            <w:r w:rsidRPr="00AC3044">
              <w:rPr>
                <w:rFonts w:eastAsia="SimSun"/>
              </w:rPr>
              <w:t>+1 день</w:t>
            </w:r>
          </w:p>
        </w:tc>
        <w:tc>
          <w:tcPr>
            <w:tcW w:w="2268" w:type="dxa"/>
            <w:vAlign w:val="center"/>
          </w:tcPr>
          <w:p w14:paraId="2F36C7C4" w14:textId="77777777" w:rsidR="009F7F8A" w:rsidRPr="00AC3044" w:rsidRDefault="009F7F8A" w:rsidP="009F7F8A">
            <w:pPr>
              <w:rPr>
                <w:rFonts w:eastAsia="SimSun"/>
              </w:rPr>
            </w:pPr>
            <w:r w:rsidRPr="00AC3044">
              <w:rPr>
                <w:rFonts w:eastAsia="SimSun"/>
              </w:rPr>
              <w:t>В/в, в 20 мл физ. р-ра</w:t>
            </w:r>
          </w:p>
        </w:tc>
      </w:tr>
      <w:tr w:rsidR="009F7F8A" w:rsidRPr="00AC3044" w14:paraId="7A9D3574" w14:textId="77777777" w:rsidTr="009F7F8A">
        <w:trPr>
          <w:cantSplit/>
          <w:trHeight w:val="464"/>
        </w:trPr>
        <w:tc>
          <w:tcPr>
            <w:tcW w:w="993" w:type="dxa"/>
            <w:vMerge/>
            <w:vAlign w:val="center"/>
          </w:tcPr>
          <w:p w14:paraId="36FCABDF" w14:textId="77777777" w:rsidR="009F7F8A" w:rsidRPr="00AC3044" w:rsidRDefault="009F7F8A" w:rsidP="009F7F8A">
            <w:pPr>
              <w:rPr>
                <w:rFonts w:eastAsia="SimSun"/>
              </w:rPr>
            </w:pPr>
          </w:p>
        </w:tc>
        <w:tc>
          <w:tcPr>
            <w:tcW w:w="1843" w:type="dxa"/>
            <w:vMerge/>
            <w:vAlign w:val="center"/>
          </w:tcPr>
          <w:p w14:paraId="165A59BD" w14:textId="77777777" w:rsidR="009F7F8A" w:rsidRPr="00AC3044" w:rsidRDefault="009F7F8A" w:rsidP="009F7F8A">
            <w:pPr>
              <w:rPr>
                <w:rFonts w:eastAsia="SimSun"/>
              </w:rPr>
            </w:pPr>
          </w:p>
        </w:tc>
        <w:tc>
          <w:tcPr>
            <w:tcW w:w="1417" w:type="dxa"/>
            <w:vAlign w:val="center"/>
          </w:tcPr>
          <w:p w14:paraId="23316554" w14:textId="77777777" w:rsidR="009F7F8A" w:rsidRPr="00AC3044" w:rsidRDefault="009F7F8A" w:rsidP="009F7F8A">
            <w:pPr>
              <w:rPr>
                <w:rFonts w:eastAsia="SimSun"/>
              </w:rPr>
            </w:pPr>
            <w:r w:rsidRPr="00AC3044">
              <w:rPr>
                <w:rFonts w:eastAsia="SimSun"/>
              </w:rPr>
              <w:t>10 мг/м</w:t>
            </w:r>
            <w:r w:rsidRPr="001E6DBE">
              <w:rPr>
                <w:rFonts w:eastAsia="SimSun"/>
                <w:vertAlign w:val="superscript"/>
              </w:rPr>
              <w:t>2</w:t>
            </w:r>
          </w:p>
        </w:tc>
        <w:tc>
          <w:tcPr>
            <w:tcW w:w="1559" w:type="dxa"/>
            <w:vAlign w:val="center"/>
          </w:tcPr>
          <w:p w14:paraId="39090DCD" w14:textId="77777777" w:rsidR="009F7F8A" w:rsidRPr="00AC3044" w:rsidRDefault="009F7F8A" w:rsidP="009F7F8A">
            <w:pPr>
              <w:rPr>
                <w:rFonts w:eastAsia="SimSun"/>
              </w:rPr>
            </w:pPr>
            <w:r w:rsidRPr="00AC3044">
              <w:rPr>
                <w:rFonts w:eastAsia="SimSun"/>
              </w:rPr>
              <w:t>–</w:t>
            </w:r>
          </w:p>
        </w:tc>
        <w:tc>
          <w:tcPr>
            <w:tcW w:w="1560" w:type="dxa"/>
            <w:vAlign w:val="center"/>
          </w:tcPr>
          <w:p w14:paraId="2B63337C" w14:textId="77777777" w:rsidR="009F7F8A" w:rsidRPr="00AC3044" w:rsidRDefault="009F7F8A" w:rsidP="009F7F8A">
            <w:pPr>
              <w:rPr>
                <w:rFonts w:eastAsia="SimSun"/>
              </w:rPr>
            </w:pPr>
            <w:r w:rsidRPr="00AC3044">
              <w:rPr>
                <w:rFonts w:eastAsia="SimSun"/>
              </w:rPr>
              <w:t>+3, +6, +11 день</w:t>
            </w:r>
          </w:p>
        </w:tc>
        <w:tc>
          <w:tcPr>
            <w:tcW w:w="2268" w:type="dxa"/>
            <w:vAlign w:val="center"/>
          </w:tcPr>
          <w:p w14:paraId="17BAF6DD"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6729D89C" w14:textId="77777777" w:rsidTr="009F7F8A">
        <w:trPr>
          <w:cantSplit/>
          <w:trHeight w:val="464"/>
        </w:trPr>
        <w:tc>
          <w:tcPr>
            <w:tcW w:w="993" w:type="dxa"/>
            <w:vMerge/>
            <w:vAlign w:val="center"/>
          </w:tcPr>
          <w:p w14:paraId="7C1893AE" w14:textId="77777777" w:rsidR="009F7F8A" w:rsidRPr="00AC3044" w:rsidRDefault="009F7F8A" w:rsidP="009F7F8A">
            <w:pPr>
              <w:rPr>
                <w:rFonts w:eastAsia="SimSun"/>
              </w:rPr>
            </w:pPr>
          </w:p>
        </w:tc>
        <w:tc>
          <w:tcPr>
            <w:tcW w:w="1843" w:type="dxa"/>
            <w:vMerge w:val="restart"/>
            <w:vAlign w:val="center"/>
          </w:tcPr>
          <w:p w14:paraId="55E673D2" w14:textId="77777777" w:rsidR="009F7F8A" w:rsidRPr="00AC3044" w:rsidRDefault="009F7F8A" w:rsidP="009F7F8A">
            <w:pPr>
              <w:rPr>
                <w:rFonts w:eastAsia="SimSun"/>
              </w:rPr>
            </w:pPr>
            <w:r w:rsidRPr="00AC3044">
              <w:rPr>
                <w:rFonts w:eastAsia="SimSun"/>
              </w:rPr>
              <w:t>Микофенолата мофетил (только при использовании СКК)</w:t>
            </w:r>
          </w:p>
        </w:tc>
        <w:tc>
          <w:tcPr>
            <w:tcW w:w="1417" w:type="dxa"/>
            <w:vAlign w:val="center"/>
          </w:tcPr>
          <w:p w14:paraId="04F611A4" w14:textId="77777777" w:rsidR="009F7F8A" w:rsidRPr="00AC3044" w:rsidRDefault="009F7F8A" w:rsidP="009F7F8A">
            <w:pPr>
              <w:rPr>
                <w:rFonts w:eastAsia="SimSun"/>
              </w:rPr>
            </w:pPr>
            <w:r w:rsidRPr="00AC3044">
              <w:rPr>
                <w:rFonts w:eastAsia="SimSun"/>
              </w:rPr>
              <w:t>2000 мг</w:t>
            </w:r>
          </w:p>
        </w:tc>
        <w:tc>
          <w:tcPr>
            <w:tcW w:w="1559" w:type="dxa"/>
            <w:vAlign w:val="center"/>
          </w:tcPr>
          <w:p w14:paraId="6F0F6597" w14:textId="77777777" w:rsidR="009F7F8A" w:rsidRPr="00AC3044" w:rsidRDefault="009F7F8A" w:rsidP="009F7F8A">
            <w:pPr>
              <w:rPr>
                <w:rFonts w:eastAsia="SimSun"/>
              </w:rPr>
            </w:pPr>
            <w:r w:rsidRPr="00AC3044">
              <w:rPr>
                <w:rFonts w:eastAsia="SimSun"/>
              </w:rPr>
              <w:t>–</w:t>
            </w:r>
          </w:p>
        </w:tc>
        <w:tc>
          <w:tcPr>
            <w:tcW w:w="1560" w:type="dxa"/>
            <w:vAlign w:val="center"/>
          </w:tcPr>
          <w:p w14:paraId="3CB947B8" w14:textId="77777777" w:rsidR="009F7F8A" w:rsidRPr="00AC3044" w:rsidRDefault="009F7F8A" w:rsidP="009F7F8A">
            <w:pPr>
              <w:rPr>
                <w:rFonts w:eastAsia="SimSun"/>
              </w:rPr>
            </w:pPr>
            <w:r w:rsidRPr="00AC3044">
              <w:rPr>
                <w:rFonts w:eastAsia="SimSun"/>
              </w:rPr>
              <w:t>С +1 по +14 день</w:t>
            </w:r>
          </w:p>
        </w:tc>
        <w:tc>
          <w:tcPr>
            <w:tcW w:w="2268" w:type="dxa"/>
            <w:vAlign w:val="center"/>
          </w:tcPr>
          <w:p w14:paraId="2B012D0B" w14:textId="77777777" w:rsidR="009F7F8A" w:rsidRPr="00AC3044" w:rsidRDefault="009F7F8A" w:rsidP="009F7F8A">
            <w:pPr>
              <w:rPr>
                <w:rFonts w:eastAsia="SimSun"/>
              </w:rPr>
            </w:pPr>
            <w:r w:rsidRPr="00AC3044">
              <w:rPr>
                <w:rFonts w:eastAsia="SimSun"/>
              </w:rPr>
              <w:t>Внутрь, суммарная суточная доза разделяется на 2-4 приема.</w:t>
            </w:r>
          </w:p>
        </w:tc>
      </w:tr>
      <w:tr w:rsidR="009F7F8A" w:rsidRPr="00AC3044" w14:paraId="0A19FA58" w14:textId="77777777" w:rsidTr="009F7F8A">
        <w:trPr>
          <w:cantSplit/>
          <w:trHeight w:val="464"/>
        </w:trPr>
        <w:tc>
          <w:tcPr>
            <w:tcW w:w="993" w:type="dxa"/>
            <w:vMerge/>
            <w:vAlign w:val="center"/>
          </w:tcPr>
          <w:p w14:paraId="4B67BBCD" w14:textId="77777777" w:rsidR="009F7F8A" w:rsidRPr="00AC3044" w:rsidRDefault="009F7F8A" w:rsidP="009F7F8A">
            <w:pPr>
              <w:rPr>
                <w:rFonts w:eastAsia="SimSun"/>
              </w:rPr>
            </w:pPr>
          </w:p>
        </w:tc>
        <w:tc>
          <w:tcPr>
            <w:tcW w:w="1843" w:type="dxa"/>
            <w:vMerge/>
            <w:vAlign w:val="center"/>
          </w:tcPr>
          <w:p w14:paraId="659C8D39" w14:textId="77777777" w:rsidR="009F7F8A" w:rsidRPr="00AC3044" w:rsidRDefault="009F7F8A" w:rsidP="009F7F8A">
            <w:pPr>
              <w:rPr>
                <w:rFonts w:eastAsia="SimSun"/>
              </w:rPr>
            </w:pPr>
          </w:p>
        </w:tc>
        <w:tc>
          <w:tcPr>
            <w:tcW w:w="1417" w:type="dxa"/>
            <w:vAlign w:val="center"/>
          </w:tcPr>
          <w:p w14:paraId="41E2B72C" w14:textId="77777777" w:rsidR="009F7F8A" w:rsidRPr="00AC3044" w:rsidRDefault="009F7F8A" w:rsidP="009F7F8A">
            <w:pPr>
              <w:rPr>
                <w:rFonts w:eastAsia="SimSun"/>
              </w:rPr>
            </w:pPr>
            <w:r w:rsidRPr="00AC3044">
              <w:rPr>
                <w:rFonts w:eastAsia="SimSun"/>
              </w:rPr>
              <w:t>1000 мг</w:t>
            </w:r>
          </w:p>
        </w:tc>
        <w:tc>
          <w:tcPr>
            <w:tcW w:w="1559" w:type="dxa"/>
            <w:vAlign w:val="center"/>
          </w:tcPr>
          <w:p w14:paraId="3199E94E" w14:textId="77777777" w:rsidR="009F7F8A" w:rsidRPr="00AC3044" w:rsidRDefault="009F7F8A" w:rsidP="009F7F8A">
            <w:pPr>
              <w:rPr>
                <w:rFonts w:eastAsia="SimSun"/>
              </w:rPr>
            </w:pPr>
            <w:r w:rsidRPr="00AC3044">
              <w:rPr>
                <w:rFonts w:eastAsia="SimSun"/>
              </w:rPr>
              <w:t>–</w:t>
            </w:r>
          </w:p>
        </w:tc>
        <w:tc>
          <w:tcPr>
            <w:tcW w:w="1560" w:type="dxa"/>
            <w:vAlign w:val="center"/>
          </w:tcPr>
          <w:p w14:paraId="78981266" w14:textId="77777777" w:rsidR="009F7F8A" w:rsidRPr="00AC3044" w:rsidRDefault="009F7F8A" w:rsidP="009F7F8A">
            <w:pPr>
              <w:rPr>
                <w:rFonts w:eastAsia="SimSun"/>
              </w:rPr>
            </w:pPr>
            <w:r w:rsidRPr="00AC3044">
              <w:rPr>
                <w:rFonts w:eastAsia="SimSun"/>
              </w:rPr>
              <w:t>С +15 по +90 день</w:t>
            </w:r>
          </w:p>
        </w:tc>
        <w:tc>
          <w:tcPr>
            <w:tcW w:w="2268" w:type="dxa"/>
            <w:vAlign w:val="center"/>
          </w:tcPr>
          <w:p w14:paraId="7D06D4AD" w14:textId="77777777" w:rsidR="009F7F8A" w:rsidRPr="00AC3044" w:rsidRDefault="009F7F8A" w:rsidP="009F7F8A">
            <w:pPr>
              <w:rPr>
                <w:rFonts w:eastAsia="SimSun"/>
              </w:rPr>
            </w:pPr>
            <w:r w:rsidRPr="00AC3044">
              <w:rPr>
                <w:rFonts w:eastAsia="SimSun"/>
              </w:rPr>
              <w:t>Внутрь, суммарная суточная доза разделяется на 2-4 приема.</w:t>
            </w:r>
          </w:p>
        </w:tc>
      </w:tr>
    </w:tbl>
    <w:p w14:paraId="21A5C16F" w14:textId="77777777" w:rsidR="009F7F8A" w:rsidRDefault="009F7F8A" w:rsidP="009F7F8A">
      <w:pPr>
        <w:rPr>
          <w:rFonts w:eastAsia="SimSun"/>
        </w:rPr>
      </w:pPr>
      <w:bookmarkStart w:id="135" w:name="_Toc44401165"/>
    </w:p>
    <w:p w14:paraId="6EFA9364"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1.2.7  – Flu180+Bu8 / PT-Cy+CSA+MMF30</w:t>
      </w:r>
      <w:bookmarkEnd w:id="135"/>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60"/>
        <w:gridCol w:w="2268"/>
      </w:tblGrid>
      <w:tr w:rsidR="009F7F8A" w:rsidRPr="00AC3044" w14:paraId="5C6D9491" w14:textId="77777777" w:rsidTr="009F7F8A">
        <w:trPr>
          <w:cantSplit/>
          <w:trHeight w:val="20"/>
          <w:tblHeader/>
        </w:trPr>
        <w:tc>
          <w:tcPr>
            <w:tcW w:w="993" w:type="dxa"/>
          </w:tcPr>
          <w:p w14:paraId="1DF55BE4" w14:textId="77777777" w:rsidR="009F7F8A" w:rsidRPr="00470D3D" w:rsidRDefault="009F7F8A" w:rsidP="009F7F8A">
            <w:pPr>
              <w:rPr>
                <w:rFonts w:eastAsia="SimSun"/>
              </w:rPr>
            </w:pPr>
          </w:p>
          <w:p w14:paraId="68D2F758" w14:textId="77777777" w:rsidR="009F7F8A" w:rsidRPr="00470D3D" w:rsidRDefault="009F7F8A" w:rsidP="009F7F8A">
            <w:pPr>
              <w:rPr>
                <w:rFonts w:eastAsia="SimSun"/>
              </w:rPr>
            </w:pPr>
          </w:p>
        </w:tc>
        <w:tc>
          <w:tcPr>
            <w:tcW w:w="1843" w:type="dxa"/>
            <w:vAlign w:val="center"/>
          </w:tcPr>
          <w:p w14:paraId="0067C9AF" w14:textId="77777777" w:rsidR="009F7F8A" w:rsidRPr="00AC3044" w:rsidRDefault="009F7F8A" w:rsidP="009F7F8A">
            <w:pPr>
              <w:rPr>
                <w:rFonts w:eastAsia="SimSun"/>
              </w:rPr>
            </w:pPr>
            <w:r w:rsidRPr="00AC3044">
              <w:rPr>
                <w:rFonts w:eastAsia="SimSun"/>
              </w:rPr>
              <w:t>Препарат</w:t>
            </w:r>
          </w:p>
        </w:tc>
        <w:tc>
          <w:tcPr>
            <w:tcW w:w="1417" w:type="dxa"/>
            <w:vAlign w:val="center"/>
          </w:tcPr>
          <w:p w14:paraId="28B0E277"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24ECC94C" w14:textId="77777777" w:rsidR="009F7F8A" w:rsidRPr="00AC3044" w:rsidRDefault="009F7F8A" w:rsidP="009F7F8A">
            <w:pPr>
              <w:rPr>
                <w:rFonts w:eastAsia="SimSun"/>
              </w:rPr>
            </w:pPr>
            <w:r w:rsidRPr="00AC3044">
              <w:rPr>
                <w:rFonts w:eastAsia="SimSun"/>
              </w:rPr>
              <w:t>Курсовая доза</w:t>
            </w:r>
          </w:p>
        </w:tc>
        <w:tc>
          <w:tcPr>
            <w:tcW w:w="1560" w:type="dxa"/>
            <w:vAlign w:val="center"/>
          </w:tcPr>
          <w:p w14:paraId="2AF33736"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4F99DAD9"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69AE6716" w14:textId="77777777" w:rsidTr="009F7F8A">
        <w:trPr>
          <w:cantSplit/>
          <w:trHeight w:val="20"/>
        </w:trPr>
        <w:tc>
          <w:tcPr>
            <w:tcW w:w="993" w:type="dxa"/>
            <w:vMerge w:val="restart"/>
            <w:textDirection w:val="btLr"/>
            <w:vAlign w:val="center"/>
          </w:tcPr>
          <w:p w14:paraId="72E9616E" w14:textId="77777777" w:rsidR="009F7F8A" w:rsidRPr="00AC3044" w:rsidRDefault="009F7F8A" w:rsidP="009F7F8A">
            <w:pPr>
              <w:rPr>
                <w:rFonts w:eastAsia="SimSun"/>
              </w:rPr>
            </w:pPr>
            <w:r w:rsidRPr="00AC3044">
              <w:rPr>
                <w:rFonts w:eastAsia="SimSun"/>
              </w:rPr>
              <w:t>Кондиционирование</w:t>
            </w:r>
          </w:p>
        </w:tc>
        <w:tc>
          <w:tcPr>
            <w:tcW w:w="1843" w:type="dxa"/>
            <w:vAlign w:val="center"/>
          </w:tcPr>
          <w:p w14:paraId="7E4BA23B" w14:textId="77777777" w:rsidR="009F7F8A" w:rsidRPr="00AC3044" w:rsidRDefault="009F7F8A" w:rsidP="009F7F8A">
            <w:pPr>
              <w:rPr>
                <w:rFonts w:eastAsia="SimSun"/>
              </w:rPr>
            </w:pPr>
            <w:r w:rsidRPr="00AC3044">
              <w:rPr>
                <w:rFonts w:eastAsia="SimSun"/>
              </w:rPr>
              <w:t xml:space="preserve">Флударабин </w:t>
            </w:r>
          </w:p>
        </w:tc>
        <w:tc>
          <w:tcPr>
            <w:tcW w:w="1417" w:type="dxa"/>
            <w:vAlign w:val="center"/>
          </w:tcPr>
          <w:p w14:paraId="369BB994"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559" w:type="dxa"/>
            <w:vAlign w:val="center"/>
          </w:tcPr>
          <w:p w14:paraId="0F2B3E42" w14:textId="77777777" w:rsidR="009F7F8A" w:rsidRPr="00AC3044" w:rsidRDefault="009F7F8A" w:rsidP="009F7F8A">
            <w:pPr>
              <w:rPr>
                <w:rFonts w:eastAsia="SimSun"/>
              </w:rPr>
            </w:pPr>
            <w:r w:rsidRPr="00AC3044">
              <w:rPr>
                <w:rFonts w:eastAsia="SimSun"/>
              </w:rPr>
              <w:t>150 мг/м</w:t>
            </w:r>
            <w:r w:rsidRPr="001E6DBE">
              <w:rPr>
                <w:rFonts w:eastAsia="SimSun"/>
                <w:vertAlign w:val="superscript"/>
              </w:rPr>
              <w:t>2</w:t>
            </w:r>
          </w:p>
        </w:tc>
        <w:tc>
          <w:tcPr>
            <w:tcW w:w="1560" w:type="dxa"/>
            <w:vAlign w:val="center"/>
          </w:tcPr>
          <w:p w14:paraId="09001524" w14:textId="77777777" w:rsidR="009F7F8A" w:rsidRPr="00AC3044" w:rsidRDefault="009F7F8A" w:rsidP="009F7F8A">
            <w:pPr>
              <w:rPr>
                <w:rFonts w:eastAsia="SimSun"/>
              </w:rPr>
            </w:pPr>
            <w:r w:rsidRPr="00AC3044">
              <w:rPr>
                <w:rFonts w:eastAsia="SimSun"/>
              </w:rPr>
              <w:t>С –6 по –2 день</w:t>
            </w:r>
          </w:p>
        </w:tc>
        <w:tc>
          <w:tcPr>
            <w:tcW w:w="2268" w:type="dxa"/>
            <w:vAlign w:val="center"/>
          </w:tcPr>
          <w:p w14:paraId="6337AB2A"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4AA43DC0" w14:textId="77777777" w:rsidTr="009F7F8A">
        <w:trPr>
          <w:cantSplit/>
          <w:trHeight w:val="1337"/>
        </w:trPr>
        <w:tc>
          <w:tcPr>
            <w:tcW w:w="993" w:type="dxa"/>
            <w:vMerge/>
            <w:textDirection w:val="btLr"/>
            <w:vAlign w:val="center"/>
          </w:tcPr>
          <w:p w14:paraId="62B5A85B" w14:textId="77777777" w:rsidR="009F7F8A" w:rsidRPr="00AC3044" w:rsidRDefault="009F7F8A" w:rsidP="009F7F8A">
            <w:pPr>
              <w:rPr>
                <w:rFonts w:eastAsia="SimSun"/>
              </w:rPr>
            </w:pPr>
          </w:p>
        </w:tc>
        <w:tc>
          <w:tcPr>
            <w:tcW w:w="1843" w:type="dxa"/>
            <w:vAlign w:val="center"/>
          </w:tcPr>
          <w:p w14:paraId="6E08A471" w14:textId="77777777" w:rsidR="009F7F8A" w:rsidRPr="00AC3044" w:rsidRDefault="009F7F8A" w:rsidP="009F7F8A">
            <w:pPr>
              <w:rPr>
                <w:rFonts w:eastAsia="SimSun"/>
              </w:rPr>
            </w:pPr>
            <w:r w:rsidRPr="00AC3044">
              <w:rPr>
                <w:rFonts w:eastAsia="SimSun"/>
              </w:rPr>
              <w:t>Бусульфан</w:t>
            </w:r>
          </w:p>
        </w:tc>
        <w:tc>
          <w:tcPr>
            <w:tcW w:w="1417" w:type="dxa"/>
            <w:vAlign w:val="center"/>
          </w:tcPr>
          <w:p w14:paraId="5C9966C7" w14:textId="77777777" w:rsidR="009F7F8A" w:rsidRPr="00AC3044" w:rsidRDefault="009F7F8A" w:rsidP="009F7F8A">
            <w:pPr>
              <w:rPr>
                <w:rFonts w:eastAsia="SimSun"/>
              </w:rPr>
            </w:pPr>
            <w:r w:rsidRPr="00AC3044">
              <w:rPr>
                <w:rFonts w:eastAsia="SimSun"/>
              </w:rPr>
              <w:t>4 мг/кг</w:t>
            </w:r>
          </w:p>
        </w:tc>
        <w:tc>
          <w:tcPr>
            <w:tcW w:w="1559" w:type="dxa"/>
            <w:vAlign w:val="center"/>
          </w:tcPr>
          <w:p w14:paraId="0408D782" w14:textId="77777777" w:rsidR="009F7F8A" w:rsidRPr="00AC3044" w:rsidRDefault="009F7F8A" w:rsidP="009F7F8A">
            <w:pPr>
              <w:rPr>
                <w:rFonts w:eastAsia="SimSun"/>
              </w:rPr>
            </w:pPr>
            <w:r w:rsidRPr="00AC3044">
              <w:rPr>
                <w:rFonts w:eastAsia="SimSun"/>
              </w:rPr>
              <w:t>8 мг/кг</w:t>
            </w:r>
          </w:p>
        </w:tc>
        <w:tc>
          <w:tcPr>
            <w:tcW w:w="1560" w:type="dxa"/>
            <w:vAlign w:val="center"/>
          </w:tcPr>
          <w:p w14:paraId="62404953" w14:textId="77777777" w:rsidR="009F7F8A" w:rsidRPr="00AC3044" w:rsidRDefault="009F7F8A" w:rsidP="009F7F8A">
            <w:pPr>
              <w:rPr>
                <w:rFonts w:eastAsia="SimSun"/>
              </w:rPr>
            </w:pPr>
            <w:r w:rsidRPr="00AC3044">
              <w:rPr>
                <w:rFonts w:eastAsia="SimSun"/>
              </w:rPr>
              <w:t>–5, –4 дни</w:t>
            </w:r>
          </w:p>
        </w:tc>
        <w:tc>
          <w:tcPr>
            <w:tcW w:w="2268" w:type="dxa"/>
            <w:vAlign w:val="center"/>
          </w:tcPr>
          <w:p w14:paraId="5749F0B5"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25B63357" w14:textId="77777777" w:rsidTr="009F7F8A">
        <w:trPr>
          <w:cantSplit/>
          <w:trHeight w:val="20"/>
        </w:trPr>
        <w:tc>
          <w:tcPr>
            <w:tcW w:w="993" w:type="dxa"/>
            <w:vMerge w:val="restart"/>
            <w:textDirection w:val="btLr"/>
            <w:vAlign w:val="center"/>
          </w:tcPr>
          <w:p w14:paraId="19E1BB1B" w14:textId="77777777" w:rsidR="009F7F8A" w:rsidRPr="00AC3044" w:rsidRDefault="009F7F8A" w:rsidP="009F7F8A">
            <w:pPr>
              <w:rPr>
                <w:rFonts w:eastAsia="SimSun"/>
              </w:rPr>
            </w:pPr>
            <w:r w:rsidRPr="00AC3044">
              <w:rPr>
                <w:rFonts w:eastAsia="SimSun"/>
              </w:rPr>
              <w:t>Профилактика РТПХ</w:t>
            </w:r>
          </w:p>
        </w:tc>
        <w:tc>
          <w:tcPr>
            <w:tcW w:w="1843" w:type="dxa"/>
            <w:vAlign w:val="center"/>
          </w:tcPr>
          <w:p w14:paraId="03D3B1CF" w14:textId="77777777" w:rsidR="009F7F8A" w:rsidRPr="00AC3044" w:rsidRDefault="009F7F8A" w:rsidP="009F7F8A">
            <w:pPr>
              <w:rPr>
                <w:rFonts w:eastAsia="SimSun"/>
              </w:rPr>
            </w:pPr>
            <w:r w:rsidRPr="00AC3044">
              <w:rPr>
                <w:rFonts w:eastAsia="SimSun"/>
              </w:rPr>
              <w:t>Циклофосфамид</w:t>
            </w:r>
          </w:p>
        </w:tc>
        <w:tc>
          <w:tcPr>
            <w:tcW w:w="1417" w:type="dxa"/>
            <w:vAlign w:val="center"/>
          </w:tcPr>
          <w:p w14:paraId="6B59121C"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5318BA0D" w14:textId="77777777" w:rsidR="009F7F8A" w:rsidRPr="00AC3044" w:rsidRDefault="009F7F8A" w:rsidP="009F7F8A">
            <w:pPr>
              <w:rPr>
                <w:rFonts w:eastAsia="SimSun"/>
              </w:rPr>
            </w:pPr>
            <w:r w:rsidRPr="00AC3044">
              <w:rPr>
                <w:rFonts w:eastAsia="SimSun"/>
              </w:rPr>
              <w:t>100 мг/кг</w:t>
            </w:r>
          </w:p>
        </w:tc>
        <w:tc>
          <w:tcPr>
            <w:tcW w:w="1560" w:type="dxa"/>
            <w:vAlign w:val="center"/>
          </w:tcPr>
          <w:p w14:paraId="76A6648E" w14:textId="77777777" w:rsidR="009F7F8A" w:rsidRPr="00AC3044" w:rsidRDefault="009F7F8A" w:rsidP="009F7F8A">
            <w:pPr>
              <w:rPr>
                <w:rFonts w:eastAsia="SimSun"/>
              </w:rPr>
            </w:pPr>
            <w:r w:rsidRPr="00AC3044">
              <w:rPr>
                <w:rFonts w:eastAsia="SimSun"/>
              </w:rPr>
              <w:t xml:space="preserve">+3,+4 дни </w:t>
            </w:r>
          </w:p>
        </w:tc>
        <w:tc>
          <w:tcPr>
            <w:tcW w:w="2268" w:type="dxa"/>
            <w:vAlign w:val="center"/>
          </w:tcPr>
          <w:p w14:paraId="686C81A3" w14:textId="77777777" w:rsidR="009F7F8A" w:rsidRPr="00AC3044" w:rsidRDefault="009F7F8A" w:rsidP="009F7F8A">
            <w:pPr>
              <w:rPr>
                <w:rFonts w:eastAsia="SimSun"/>
              </w:rPr>
            </w:pPr>
            <w:r w:rsidRPr="00AC3044">
              <w:rPr>
                <w:rFonts w:eastAsia="SimSun"/>
              </w:rPr>
              <w:t xml:space="preserve">В/в, в течение 2 ч  </w:t>
            </w:r>
          </w:p>
        </w:tc>
      </w:tr>
      <w:tr w:rsidR="009F7F8A" w:rsidRPr="00AC3044" w14:paraId="3C7F40DE" w14:textId="77777777" w:rsidTr="009F7F8A">
        <w:trPr>
          <w:cantSplit/>
          <w:trHeight w:val="20"/>
        </w:trPr>
        <w:tc>
          <w:tcPr>
            <w:tcW w:w="993" w:type="dxa"/>
            <w:vMerge/>
            <w:textDirection w:val="btLr"/>
          </w:tcPr>
          <w:p w14:paraId="59DC6460" w14:textId="77777777" w:rsidR="009F7F8A" w:rsidRPr="00AC3044" w:rsidRDefault="009F7F8A" w:rsidP="009F7F8A">
            <w:pPr>
              <w:rPr>
                <w:rFonts w:eastAsia="SimSun"/>
              </w:rPr>
            </w:pPr>
          </w:p>
        </w:tc>
        <w:tc>
          <w:tcPr>
            <w:tcW w:w="1843" w:type="dxa"/>
            <w:vAlign w:val="center"/>
          </w:tcPr>
          <w:p w14:paraId="7703938F" w14:textId="77777777" w:rsidR="009F7F8A" w:rsidRPr="00AC3044" w:rsidRDefault="009F7F8A" w:rsidP="009F7F8A">
            <w:pPr>
              <w:rPr>
                <w:rFonts w:eastAsia="SimSun"/>
              </w:rPr>
            </w:pPr>
            <w:r w:rsidRPr="00AC3044">
              <w:rPr>
                <w:rFonts w:eastAsia="SimSun"/>
              </w:rPr>
              <w:t>Циклоспорин</w:t>
            </w:r>
          </w:p>
        </w:tc>
        <w:tc>
          <w:tcPr>
            <w:tcW w:w="1417" w:type="dxa"/>
            <w:vAlign w:val="center"/>
          </w:tcPr>
          <w:p w14:paraId="5F40C93D" w14:textId="77777777" w:rsidR="009F7F8A" w:rsidRPr="00AC3044" w:rsidRDefault="009F7F8A" w:rsidP="009F7F8A">
            <w:pPr>
              <w:rPr>
                <w:rFonts w:eastAsia="SimSun"/>
              </w:rPr>
            </w:pPr>
            <w:r w:rsidRPr="00AC3044">
              <w:rPr>
                <w:rFonts w:eastAsia="SimSun"/>
              </w:rPr>
              <w:t>3 мг/кг</w:t>
            </w:r>
          </w:p>
        </w:tc>
        <w:tc>
          <w:tcPr>
            <w:tcW w:w="1559" w:type="dxa"/>
            <w:vAlign w:val="center"/>
          </w:tcPr>
          <w:p w14:paraId="5374FF67" w14:textId="77777777" w:rsidR="009F7F8A" w:rsidRPr="00AC3044" w:rsidRDefault="009F7F8A" w:rsidP="009F7F8A">
            <w:pPr>
              <w:rPr>
                <w:rFonts w:eastAsia="SimSun"/>
              </w:rPr>
            </w:pPr>
            <w:r w:rsidRPr="00AC3044">
              <w:rPr>
                <w:rFonts w:eastAsia="SimSun"/>
              </w:rPr>
              <w:t>–</w:t>
            </w:r>
          </w:p>
        </w:tc>
        <w:tc>
          <w:tcPr>
            <w:tcW w:w="1560" w:type="dxa"/>
            <w:vAlign w:val="center"/>
          </w:tcPr>
          <w:p w14:paraId="4A76EEE1" w14:textId="77777777" w:rsidR="009F7F8A" w:rsidRPr="00AC3044" w:rsidRDefault="009F7F8A" w:rsidP="009F7F8A">
            <w:pPr>
              <w:rPr>
                <w:rFonts w:eastAsia="SimSun"/>
              </w:rPr>
            </w:pPr>
            <w:r w:rsidRPr="00AC3044">
              <w:rPr>
                <w:rFonts w:eastAsia="SimSun"/>
              </w:rPr>
              <w:t>С +5 по +60 день, затем постепенное снижение к +100 дню</w:t>
            </w:r>
          </w:p>
        </w:tc>
        <w:tc>
          <w:tcPr>
            <w:tcW w:w="2268" w:type="dxa"/>
            <w:vAlign w:val="center"/>
          </w:tcPr>
          <w:p w14:paraId="4FB70D1F"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251B8448" w14:textId="77777777" w:rsidTr="009F7F8A">
        <w:trPr>
          <w:cantSplit/>
          <w:trHeight w:val="464"/>
        </w:trPr>
        <w:tc>
          <w:tcPr>
            <w:tcW w:w="993" w:type="dxa"/>
            <w:vMerge/>
          </w:tcPr>
          <w:p w14:paraId="78E85FFC" w14:textId="77777777" w:rsidR="009F7F8A" w:rsidRPr="00AC3044" w:rsidRDefault="009F7F8A" w:rsidP="009F7F8A">
            <w:pPr>
              <w:rPr>
                <w:rFonts w:eastAsia="SimSun"/>
              </w:rPr>
            </w:pPr>
          </w:p>
        </w:tc>
        <w:tc>
          <w:tcPr>
            <w:tcW w:w="1843" w:type="dxa"/>
            <w:vAlign w:val="center"/>
          </w:tcPr>
          <w:p w14:paraId="05B73080" w14:textId="77777777" w:rsidR="009F7F8A" w:rsidRPr="00AC3044" w:rsidRDefault="009F7F8A" w:rsidP="009F7F8A">
            <w:pPr>
              <w:rPr>
                <w:rFonts w:eastAsia="SimSun"/>
              </w:rPr>
            </w:pPr>
            <w:r w:rsidRPr="00AC3044">
              <w:rPr>
                <w:rFonts w:eastAsia="SimSun"/>
              </w:rPr>
              <w:t>Микофенолата мофетил</w:t>
            </w:r>
          </w:p>
        </w:tc>
        <w:tc>
          <w:tcPr>
            <w:tcW w:w="1417" w:type="dxa"/>
            <w:vAlign w:val="center"/>
          </w:tcPr>
          <w:p w14:paraId="5FCC4BFB" w14:textId="77777777" w:rsidR="009F7F8A" w:rsidRPr="00AC3044" w:rsidRDefault="009F7F8A" w:rsidP="009F7F8A">
            <w:pPr>
              <w:rPr>
                <w:rFonts w:eastAsia="SimSun"/>
              </w:rPr>
            </w:pPr>
            <w:r w:rsidRPr="00AC3044">
              <w:rPr>
                <w:rFonts w:eastAsia="SimSun"/>
              </w:rPr>
              <w:t>30 мг/кг</w:t>
            </w:r>
          </w:p>
        </w:tc>
        <w:tc>
          <w:tcPr>
            <w:tcW w:w="1559" w:type="dxa"/>
            <w:vAlign w:val="center"/>
          </w:tcPr>
          <w:p w14:paraId="3B8BBFD7" w14:textId="77777777" w:rsidR="009F7F8A" w:rsidRPr="00AC3044" w:rsidRDefault="009F7F8A" w:rsidP="009F7F8A">
            <w:pPr>
              <w:rPr>
                <w:rFonts w:eastAsia="SimSun"/>
              </w:rPr>
            </w:pPr>
            <w:r w:rsidRPr="00AC3044">
              <w:rPr>
                <w:rFonts w:eastAsia="SimSun"/>
              </w:rPr>
              <w:t>–</w:t>
            </w:r>
          </w:p>
        </w:tc>
        <w:tc>
          <w:tcPr>
            <w:tcW w:w="1560" w:type="dxa"/>
            <w:vAlign w:val="center"/>
          </w:tcPr>
          <w:p w14:paraId="7B4B64E8" w14:textId="77777777" w:rsidR="009F7F8A" w:rsidRPr="00AC3044" w:rsidRDefault="009F7F8A" w:rsidP="009F7F8A">
            <w:pPr>
              <w:rPr>
                <w:rFonts w:eastAsia="SimSun"/>
              </w:rPr>
            </w:pPr>
            <w:r w:rsidRPr="00AC3044">
              <w:rPr>
                <w:rFonts w:eastAsia="SimSun"/>
              </w:rPr>
              <w:t>С +5 по +30 день</w:t>
            </w:r>
          </w:p>
        </w:tc>
        <w:tc>
          <w:tcPr>
            <w:tcW w:w="2268" w:type="dxa"/>
            <w:vAlign w:val="center"/>
          </w:tcPr>
          <w:p w14:paraId="166B1544"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w:t>
            </w:r>
          </w:p>
        </w:tc>
      </w:tr>
    </w:tbl>
    <w:p w14:paraId="2BAE88F0" w14:textId="77777777" w:rsidR="009F7F8A" w:rsidRDefault="009F7F8A" w:rsidP="009F7F8A">
      <w:pPr>
        <w:rPr>
          <w:rFonts w:eastAsia="SimSun"/>
        </w:rPr>
      </w:pPr>
      <w:bookmarkStart w:id="136" w:name="_Toc44401166"/>
    </w:p>
    <w:p w14:paraId="61C81D4D"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1.2.8  – Flu180+Bu8 / PT-Cy</w:t>
      </w:r>
      <w:bookmarkEnd w:id="136"/>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59"/>
        <w:gridCol w:w="2269"/>
      </w:tblGrid>
      <w:tr w:rsidR="009F7F8A" w:rsidRPr="00AC3044" w14:paraId="4ECE166E" w14:textId="77777777" w:rsidTr="009F7F8A">
        <w:trPr>
          <w:cantSplit/>
          <w:trHeight w:val="20"/>
          <w:tblHeader/>
        </w:trPr>
        <w:tc>
          <w:tcPr>
            <w:tcW w:w="993" w:type="dxa"/>
            <w:vAlign w:val="center"/>
          </w:tcPr>
          <w:p w14:paraId="55190310" w14:textId="77777777" w:rsidR="009F7F8A" w:rsidRPr="00AC3044" w:rsidRDefault="009F7F8A" w:rsidP="009F7F8A">
            <w:pPr>
              <w:rPr>
                <w:rFonts w:eastAsia="SimSun"/>
              </w:rPr>
            </w:pPr>
          </w:p>
        </w:tc>
        <w:tc>
          <w:tcPr>
            <w:tcW w:w="1843" w:type="dxa"/>
            <w:vAlign w:val="center"/>
          </w:tcPr>
          <w:p w14:paraId="3B9772D3" w14:textId="77777777" w:rsidR="009F7F8A" w:rsidRPr="00AC3044" w:rsidRDefault="009F7F8A" w:rsidP="009F7F8A">
            <w:pPr>
              <w:rPr>
                <w:rFonts w:eastAsia="SimSun"/>
              </w:rPr>
            </w:pPr>
            <w:r w:rsidRPr="00AC3044">
              <w:rPr>
                <w:rFonts w:eastAsia="SimSun"/>
              </w:rPr>
              <w:t>Препарат</w:t>
            </w:r>
          </w:p>
        </w:tc>
        <w:tc>
          <w:tcPr>
            <w:tcW w:w="1417" w:type="dxa"/>
            <w:vAlign w:val="center"/>
          </w:tcPr>
          <w:p w14:paraId="3C1CE5B7"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3BA567E3" w14:textId="77777777" w:rsidR="009F7F8A" w:rsidRPr="00AC3044" w:rsidRDefault="009F7F8A" w:rsidP="009F7F8A">
            <w:pPr>
              <w:rPr>
                <w:rFonts w:eastAsia="SimSun"/>
              </w:rPr>
            </w:pPr>
            <w:r w:rsidRPr="00AC3044">
              <w:rPr>
                <w:rFonts w:eastAsia="SimSun"/>
              </w:rPr>
              <w:t>Курсовая доза</w:t>
            </w:r>
          </w:p>
        </w:tc>
        <w:tc>
          <w:tcPr>
            <w:tcW w:w="1559" w:type="dxa"/>
            <w:vAlign w:val="center"/>
          </w:tcPr>
          <w:p w14:paraId="538F311A" w14:textId="77777777" w:rsidR="009F7F8A" w:rsidRPr="00AC3044" w:rsidRDefault="009F7F8A" w:rsidP="009F7F8A">
            <w:pPr>
              <w:rPr>
                <w:rFonts w:eastAsia="SimSun"/>
              </w:rPr>
            </w:pPr>
            <w:r w:rsidRPr="00AC3044">
              <w:rPr>
                <w:rFonts w:eastAsia="SimSun"/>
              </w:rPr>
              <w:t>Дни введения</w:t>
            </w:r>
          </w:p>
        </w:tc>
        <w:tc>
          <w:tcPr>
            <w:tcW w:w="2269" w:type="dxa"/>
            <w:vAlign w:val="center"/>
          </w:tcPr>
          <w:p w14:paraId="375B90C8"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F227234" w14:textId="77777777" w:rsidTr="009F7F8A">
        <w:trPr>
          <w:cantSplit/>
          <w:trHeight w:val="20"/>
        </w:trPr>
        <w:tc>
          <w:tcPr>
            <w:tcW w:w="993" w:type="dxa"/>
            <w:vMerge w:val="restart"/>
            <w:textDirection w:val="btLr"/>
            <w:vAlign w:val="center"/>
          </w:tcPr>
          <w:p w14:paraId="533F68A1" w14:textId="77777777" w:rsidR="009F7F8A" w:rsidRPr="00AC3044" w:rsidRDefault="009F7F8A" w:rsidP="009F7F8A">
            <w:pPr>
              <w:rPr>
                <w:rFonts w:eastAsia="SimSun"/>
              </w:rPr>
            </w:pPr>
            <w:r w:rsidRPr="00AC3044">
              <w:rPr>
                <w:rFonts w:eastAsia="SimSun"/>
              </w:rPr>
              <w:t>Кондиционирование</w:t>
            </w:r>
          </w:p>
        </w:tc>
        <w:tc>
          <w:tcPr>
            <w:tcW w:w="1843" w:type="dxa"/>
            <w:vAlign w:val="center"/>
          </w:tcPr>
          <w:p w14:paraId="429DCD31" w14:textId="77777777" w:rsidR="009F7F8A" w:rsidRPr="00AC3044" w:rsidRDefault="009F7F8A" w:rsidP="009F7F8A">
            <w:pPr>
              <w:rPr>
                <w:rFonts w:eastAsia="SimSun"/>
              </w:rPr>
            </w:pPr>
            <w:r w:rsidRPr="00AC3044">
              <w:rPr>
                <w:rFonts w:eastAsia="SimSun"/>
              </w:rPr>
              <w:t xml:space="preserve">Флударабин </w:t>
            </w:r>
          </w:p>
        </w:tc>
        <w:tc>
          <w:tcPr>
            <w:tcW w:w="1417" w:type="dxa"/>
            <w:vAlign w:val="center"/>
          </w:tcPr>
          <w:p w14:paraId="3AD5AF70"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559" w:type="dxa"/>
            <w:vAlign w:val="center"/>
          </w:tcPr>
          <w:p w14:paraId="32B81EF9"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559" w:type="dxa"/>
            <w:vAlign w:val="center"/>
          </w:tcPr>
          <w:p w14:paraId="5C8914A4" w14:textId="77777777" w:rsidR="009F7F8A" w:rsidRPr="00AC3044" w:rsidRDefault="009F7F8A" w:rsidP="009F7F8A">
            <w:pPr>
              <w:rPr>
                <w:rFonts w:eastAsia="SimSun"/>
              </w:rPr>
            </w:pPr>
            <w:r w:rsidRPr="00AC3044">
              <w:rPr>
                <w:rFonts w:eastAsia="SimSun"/>
              </w:rPr>
              <w:t>С -7 дня по -2 день</w:t>
            </w:r>
          </w:p>
        </w:tc>
        <w:tc>
          <w:tcPr>
            <w:tcW w:w="2269" w:type="dxa"/>
            <w:vAlign w:val="center"/>
          </w:tcPr>
          <w:p w14:paraId="11E9BDC9"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3D6C74AD" w14:textId="77777777" w:rsidTr="009F7F8A">
        <w:trPr>
          <w:cantSplit/>
          <w:trHeight w:val="294"/>
        </w:trPr>
        <w:tc>
          <w:tcPr>
            <w:tcW w:w="993" w:type="dxa"/>
            <w:vMerge/>
            <w:vAlign w:val="center"/>
          </w:tcPr>
          <w:p w14:paraId="778418D8" w14:textId="77777777" w:rsidR="009F7F8A" w:rsidRPr="00AC3044" w:rsidRDefault="009F7F8A" w:rsidP="009F7F8A">
            <w:pPr>
              <w:rPr>
                <w:rFonts w:eastAsia="SimSun"/>
              </w:rPr>
            </w:pPr>
          </w:p>
        </w:tc>
        <w:tc>
          <w:tcPr>
            <w:tcW w:w="1843" w:type="dxa"/>
            <w:vAlign w:val="center"/>
          </w:tcPr>
          <w:p w14:paraId="21B9FC26" w14:textId="77777777" w:rsidR="009F7F8A" w:rsidRPr="00AC3044" w:rsidRDefault="009F7F8A" w:rsidP="009F7F8A">
            <w:pPr>
              <w:rPr>
                <w:rFonts w:eastAsia="SimSun"/>
              </w:rPr>
            </w:pPr>
            <w:r w:rsidRPr="00AC3044">
              <w:rPr>
                <w:rFonts w:eastAsia="SimSun"/>
              </w:rPr>
              <w:t>Бусульфан</w:t>
            </w:r>
          </w:p>
        </w:tc>
        <w:tc>
          <w:tcPr>
            <w:tcW w:w="1417" w:type="dxa"/>
            <w:vAlign w:val="center"/>
          </w:tcPr>
          <w:p w14:paraId="770B0402" w14:textId="77777777" w:rsidR="009F7F8A" w:rsidRPr="00AC3044" w:rsidRDefault="009F7F8A" w:rsidP="009F7F8A">
            <w:pPr>
              <w:rPr>
                <w:rFonts w:eastAsia="SimSun"/>
              </w:rPr>
            </w:pPr>
            <w:r w:rsidRPr="00AC3044">
              <w:rPr>
                <w:rFonts w:eastAsia="SimSun"/>
              </w:rPr>
              <w:t xml:space="preserve">4 мг/кг </w:t>
            </w:r>
          </w:p>
        </w:tc>
        <w:tc>
          <w:tcPr>
            <w:tcW w:w="1559" w:type="dxa"/>
            <w:vAlign w:val="center"/>
          </w:tcPr>
          <w:p w14:paraId="7CA5C87E" w14:textId="77777777" w:rsidR="009F7F8A" w:rsidRPr="00AC3044" w:rsidRDefault="009F7F8A" w:rsidP="009F7F8A">
            <w:pPr>
              <w:rPr>
                <w:rFonts w:eastAsia="SimSun"/>
              </w:rPr>
            </w:pPr>
            <w:r w:rsidRPr="00AC3044">
              <w:rPr>
                <w:rFonts w:eastAsia="SimSun"/>
              </w:rPr>
              <w:t xml:space="preserve">8 мг/кг </w:t>
            </w:r>
          </w:p>
        </w:tc>
        <w:tc>
          <w:tcPr>
            <w:tcW w:w="1559" w:type="dxa"/>
            <w:vAlign w:val="center"/>
          </w:tcPr>
          <w:p w14:paraId="7F098F11" w14:textId="77777777" w:rsidR="009F7F8A" w:rsidRPr="00AC3044" w:rsidRDefault="009F7F8A" w:rsidP="009F7F8A">
            <w:pPr>
              <w:rPr>
                <w:rFonts w:eastAsia="SimSun"/>
              </w:rPr>
            </w:pPr>
            <w:r w:rsidRPr="00AC3044">
              <w:rPr>
                <w:rFonts w:eastAsia="SimSun"/>
              </w:rPr>
              <w:t>С -4 дня по -3 день</w:t>
            </w:r>
          </w:p>
        </w:tc>
        <w:tc>
          <w:tcPr>
            <w:tcW w:w="2269" w:type="dxa"/>
            <w:vAlign w:val="center"/>
          </w:tcPr>
          <w:p w14:paraId="2CC284C6"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5E77D328" w14:textId="77777777" w:rsidTr="009F7F8A">
        <w:trPr>
          <w:cantSplit/>
          <w:trHeight w:val="1054"/>
        </w:trPr>
        <w:tc>
          <w:tcPr>
            <w:tcW w:w="993" w:type="dxa"/>
            <w:textDirection w:val="btLr"/>
            <w:vAlign w:val="center"/>
          </w:tcPr>
          <w:p w14:paraId="04C4D509" w14:textId="77777777" w:rsidR="009F7F8A" w:rsidRPr="00AC3044" w:rsidRDefault="009F7F8A" w:rsidP="009F7F8A">
            <w:pPr>
              <w:rPr>
                <w:rFonts w:eastAsia="SimSun"/>
              </w:rPr>
            </w:pPr>
            <w:r w:rsidRPr="00AC3044">
              <w:rPr>
                <w:rFonts w:eastAsia="SimSun"/>
              </w:rPr>
              <w:t>Профилактика РТПХ</w:t>
            </w:r>
          </w:p>
        </w:tc>
        <w:tc>
          <w:tcPr>
            <w:tcW w:w="1843" w:type="dxa"/>
            <w:vAlign w:val="center"/>
          </w:tcPr>
          <w:p w14:paraId="0E2D78FD" w14:textId="77777777" w:rsidR="009F7F8A" w:rsidRPr="00AC3044" w:rsidRDefault="009F7F8A" w:rsidP="009F7F8A">
            <w:pPr>
              <w:rPr>
                <w:rFonts w:eastAsia="SimSun"/>
              </w:rPr>
            </w:pPr>
            <w:r w:rsidRPr="00AC3044">
              <w:rPr>
                <w:rFonts w:eastAsia="SimSun"/>
              </w:rPr>
              <w:t>Циклофосфамид</w:t>
            </w:r>
          </w:p>
        </w:tc>
        <w:tc>
          <w:tcPr>
            <w:tcW w:w="1417" w:type="dxa"/>
            <w:vAlign w:val="center"/>
          </w:tcPr>
          <w:p w14:paraId="018736AA"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3B48C670" w14:textId="77777777" w:rsidR="009F7F8A" w:rsidRPr="00AC3044" w:rsidRDefault="009F7F8A" w:rsidP="009F7F8A">
            <w:pPr>
              <w:rPr>
                <w:rFonts w:eastAsia="SimSun"/>
              </w:rPr>
            </w:pPr>
            <w:r w:rsidRPr="00AC3044">
              <w:rPr>
                <w:rFonts w:eastAsia="SimSun"/>
              </w:rPr>
              <w:t>100 мг/кг</w:t>
            </w:r>
          </w:p>
        </w:tc>
        <w:tc>
          <w:tcPr>
            <w:tcW w:w="1559" w:type="dxa"/>
            <w:vAlign w:val="center"/>
          </w:tcPr>
          <w:p w14:paraId="71F196BE" w14:textId="77777777" w:rsidR="009F7F8A" w:rsidRPr="00AC3044" w:rsidRDefault="009F7F8A" w:rsidP="009F7F8A">
            <w:pPr>
              <w:rPr>
                <w:rFonts w:eastAsia="SimSun"/>
              </w:rPr>
            </w:pPr>
            <w:r w:rsidRPr="00AC3044">
              <w:rPr>
                <w:rFonts w:eastAsia="SimSun"/>
              </w:rPr>
              <w:t>С +3 дня по +4 день</w:t>
            </w:r>
          </w:p>
        </w:tc>
        <w:tc>
          <w:tcPr>
            <w:tcW w:w="2269" w:type="dxa"/>
            <w:vAlign w:val="center"/>
          </w:tcPr>
          <w:p w14:paraId="5C30FD72" w14:textId="77777777" w:rsidR="009F7F8A" w:rsidRPr="00AC3044" w:rsidRDefault="009F7F8A" w:rsidP="009F7F8A">
            <w:pPr>
              <w:rPr>
                <w:rFonts w:eastAsia="SimSun"/>
              </w:rPr>
            </w:pPr>
            <w:r w:rsidRPr="00AC3044">
              <w:rPr>
                <w:rFonts w:eastAsia="SimSun"/>
              </w:rPr>
              <w:t xml:space="preserve">В/в, в течение 2 ч  </w:t>
            </w:r>
          </w:p>
        </w:tc>
      </w:tr>
    </w:tbl>
    <w:p w14:paraId="35EC9015" w14:textId="77777777" w:rsidR="009F7F8A" w:rsidRDefault="009F7F8A" w:rsidP="009F7F8A">
      <w:pPr>
        <w:rPr>
          <w:rFonts w:eastAsia="SimSun"/>
        </w:rPr>
      </w:pPr>
      <w:bookmarkStart w:id="137" w:name="_Toc44401167"/>
    </w:p>
    <w:p w14:paraId="4F603458"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1.2.9  – Flu180+Bu8 / PT-Cy+Tx+MMF30</w:t>
      </w:r>
      <w:bookmarkEnd w:id="137"/>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60"/>
        <w:gridCol w:w="2268"/>
      </w:tblGrid>
      <w:tr w:rsidR="009F7F8A" w:rsidRPr="00AC3044" w14:paraId="6BCAD47D" w14:textId="77777777" w:rsidTr="009F7F8A">
        <w:trPr>
          <w:cantSplit/>
          <w:trHeight w:val="20"/>
          <w:tblHeader/>
        </w:trPr>
        <w:tc>
          <w:tcPr>
            <w:tcW w:w="993" w:type="dxa"/>
            <w:vAlign w:val="center"/>
          </w:tcPr>
          <w:p w14:paraId="38C4EF15" w14:textId="77777777" w:rsidR="009F7F8A" w:rsidRPr="00470D3D" w:rsidRDefault="009F7F8A" w:rsidP="009F7F8A">
            <w:pPr>
              <w:rPr>
                <w:rFonts w:eastAsia="SimSun"/>
              </w:rPr>
            </w:pPr>
          </w:p>
        </w:tc>
        <w:tc>
          <w:tcPr>
            <w:tcW w:w="1843" w:type="dxa"/>
            <w:vAlign w:val="center"/>
          </w:tcPr>
          <w:p w14:paraId="7614CDAB" w14:textId="77777777" w:rsidR="009F7F8A" w:rsidRPr="00AC3044" w:rsidRDefault="009F7F8A" w:rsidP="009F7F8A">
            <w:pPr>
              <w:rPr>
                <w:rFonts w:eastAsia="SimSun"/>
              </w:rPr>
            </w:pPr>
            <w:r w:rsidRPr="00AC3044">
              <w:rPr>
                <w:rFonts w:eastAsia="SimSun"/>
              </w:rPr>
              <w:t>Препарат</w:t>
            </w:r>
          </w:p>
        </w:tc>
        <w:tc>
          <w:tcPr>
            <w:tcW w:w="1417" w:type="dxa"/>
            <w:vAlign w:val="center"/>
          </w:tcPr>
          <w:p w14:paraId="17231F8C"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397DEC3E" w14:textId="77777777" w:rsidR="009F7F8A" w:rsidRPr="00AC3044" w:rsidRDefault="009F7F8A" w:rsidP="009F7F8A">
            <w:pPr>
              <w:rPr>
                <w:rFonts w:eastAsia="SimSun"/>
              </w:rPr>
            </w:pPr>
            <w:r w:rsidRPr="00AC3044">
              <w:rPr>
                <w:rFonts w:eastAsia="SimSun"/>
              </w:rPr>
              <w:t>Курсовая доза</w:t>
            </w:r>
          </w:p>
        </w:tc>
        <w:tc>
          <w:tcPr>
            <w:tcW w:w="1560" w:type="dxa"/>
            <w:vAlign w:val="center"/>
          </w:tcPr>
          <w:p w14:paraId="2EDCCAB6"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675966D5"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2132879A" w14:textId="77777777" w:rsidTr="009F7F8A">
        <w:trPr>
          <w:cantSplit/>
          <w:trHeight w:val="20"/>
        </w:trPr>
        <w:tc>
          <w:tcPr>
            <w:tcW w:w="993" w:type="dxa"/>
            <w:vMerge w:val="restart"/>
            <w:textDirection w:val="btLr"/>
            <w:vAlign w:val="center"/>
          </w:tcPr>
          <w:p w14:paraId="5F46BAD1" w14:textId="77777777" w:rsidR="009F7F8A" w:rsidRPr="00AC3044" w:rsidRDefault="009F7F8A" w:rsidP="009F7F8A">
            <w:pPr>
              <w:rPr>
                <w:rFonts w:eastAsia="SimSun"/>
              </w:rPr>
            </w:pPr>
            <w:r w:rsidRPr="00AC3044">
              <w:rPr>
                <w:rFonts w:eastAsia="SimSun"/>
              </w:rPr>
              <w:t>Кондиционирование</w:t>
            </w:r>
          </w:p>
        </w:tc>
        <w:tc>
          <w:tcPr>
            <w:tcW w:w="1843" w:type="dxa"/>
            <w:vAlign w:val="center"/>
          </w:tcPr>
          <w:p w14:paraId="3779C40F" w14:textId="77777777" w:rsidR="009F7F8A" w:rsidRPr="00AC3044" w:rsidRDefault="009F7F8A" w:rsidP="009F7F8A">
            <w:pPr>
              <w:rPr>
                <w:rFonts w:eastAsia="SimSun"/>
              </w:rPr>
            </w:pPr>
            <w:r w:rsidRPr="00AC3044">
              <w:rPr>
                <w:rFonts w:eastAsia="SimSun"/>
              </w:rPr>
              <w:t xml:space="preserve">Флударабин </w:t>
            </w:r>
          </w:p>
        </w:tc>
        <w:tc>
          <w:tcPr>
            <w:tcW w:w="1417" w:type="dxa"/>
            <w:vAlign w:val="center"/>
          </w:tcPr>
          <w:p w14:paraId="55634F03"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559" w:type="dxa"/>
            <w:vAlign w:val="center"/>
          </w:tcPr>
          <w:p w14:paraId="5DDAFE94"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560" w:type="dxa"/>
            <w:vAlign w:val="center"/>
          </w:tcPr>
          <w:p w14:paraId="35656176"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0D58C2B6"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121BCB38" w14:textId="77777777" w:rsidTr="009F7F8A">
        <w:trPr>
          <w:cantSplit/>
          <w:trHeight w:val="961"/>
        </w:trPr>
        <w:tc>
          <w:tcPr>
            <w:tcW w:w="993" w:type="dxa"/>
            <w:vMerge/>
            <w:vAlign w:val="center"/>
          </w:tcPr>
          <w:p w14:paraId="2A88DD5D" w14:textId="77777777" w:rsidR="009F7F8A" w:rsidRPr="00AC3044" w:rsidRDefault="009F7F8A" w:rsidP="009F7F8A">
            <w:pPr>
              <w:rPr>
                <w:rFonts w:eastAsia="SimSun"/>
              </w:rPr>
            </w:pPr>
          </w:p>
        </w:tc>
        <w:tc>
          <w:tcPr>
            <w:tcW w:w="1843" w:type="dxa"/>
            <w:vAlign w:val="center"/>
          </w:tcPr>
          <w:p w14:paraId="5FA0F806" w14:textId="77777777" w:rsidR="009F7F8A" w:rsidRPr="00AC3044" w:rsidRDefault="009F7F8A" w:rsidP="009F7F8A">
            <w:pPr>
              <w:rPr>
                <w:rFonts w:eastAsia="SimSun"/>
              </w:rPr>
            </w:pPr>
            <w:r w:rsidRPr="00AC3044">
              <w:rPr>
                <w:rFonts w:eastAsia="SimSun"/>
              </w:rPr>
              <w:t>Бусульфан</w:t>
            </w:r>
          </w:p>
        </w:tc>
        <w:tc>
          <w:tcPr>
            <w:tcW w:w="1417" w:type="dxa"/>
            <w:vAlign w:val="center"/>
          </w:tcPr>
          <w:p w14:paraId="3D57E3B5" w14:textId="77777777" w:rsidR="009F7F8A" w:rsidRPr="00AC3044" w:rsidRDefault="009F7F8A" w:rsidP="009F7F8A">
            <w:pPr>
              <w:rPr>
                <w:rFonts w:eastAsia="SimSun"/>
              </w:rPr>
            </w:pPr>
            <w:r w:rsidRPr="00AC3044">
              <w:rPr>
                <w:rFonts w:eastAsia="SimSun"/>
              </w:rPr>
              <w:t xml:space="preserve">4 мг/кг </w:t>
            </w:r>
          </w:p>
        </w:tc>
        <w:tc>
          <w:tcPr>
            <w:tcW w:w="1559" w:type="dxa"/>
            <w:vAlign w:val="center"/>
          </w:tcPr>
          <w:p w14:paraId="6FC77550" w14:textId="77777777" w:rsidR="009F7F8A" w:rsidRPr="00AC3044" w:rsidRDefault="009F7F8A" w:rsidP="009F7F8A">
            <w:pPr>
              <w:rPr>
                <w:rFonts w:eastAsia="SimSun"/>
              </w:rPr>
            </w:pPr>
            <w:r w:rsidRPr="00AC3044">
              <w:rPr>
                <w:rFonts w:eastAsia="SimSun"/>
              </w:rPr>
              <w:t xml:space="preserve">8 мг/кг </w:t>
            </w:r>
          </w:p>
        </w:tc>
        <w:tc>
          <w:tcPr>
            <w:tcW w:w="1560" w:type="dxa"/>
            <w:vAlign w:val="center"/>
          </w:tcPr>
          <w:p w14:paraId="51EC60BE" w14:textId="77777777" w:rsidR="009F7F8A" w:rsidRPr="00AC3044" w:rsidRDefault="009F7F8A" w:rsidP="009F7F8A">
            <w:pPr>
              <w:rPr>
                <w:rFonts w:eastAsia="SimSun"/>
              </w:rPr>
            </w:pPr>
            <w:r w:rsidRPr="00AC3044">
              <w:rPr>
                <w:rFonts w:eastAsia="SimSun"/>
              </w:rPr>
              <w:t>С -4 дня по -3 день</w:t>
            </w:r>
          </w:p>
        </w:tc>
        <w:tc>
          <w:tcPr>
            <w:tcW w:w="2268" w:type="dxa"/>
            <w:vAlign w:val="center"/>
          </w:tcPr>
          <w:p w14:paraId="74483B67"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45936E3C" w14:textId="77777777" w:rsidTr="009F7F8A">
        <w:trPr>
          <w:cantSplit/>
          <w:trHeight w:val="1498"/>
        </w:trPr>
        <w:tc>
          <w:tcPr>
            <w:tcW w:w="993" w:type="dxa"/>
            <w:vMerge w:val="restart"/>
            <w:textDirection w:val="btLr"/>
            <w:vAlign w:val="center"/>
          </w:tcPr>
          <w:p w14:paraId="4F4FCCEE" w14:textId="77777777" w:rsidR="009F7F8A" w:rsidRPr="00AC3044" w:rsidRDefault="009F7F8A" w:rsidP="009F7F8A">
            <w:pPr>
              <w:rPr>
                <w:rFonts w:eastAsia="SimSun"/>
              </w:rPr>
            </w:pPr>
            <w:r w:rsidRPr="00AC3044">
              <w:rPr>
                <w:rFonts w:eastAsia="SimSun"/>
              </w:rPr>
              <w:t>Профилактика РТПХ</w:t>
            </w:r>
          </w:p>
        </w:tc>
        <w:tc>
          <w:tcPr>
            <w:tcW w:w="1843" w:type="dxa"/>
            <w:vAlign w:val="center"/>
          </w:tcPr>
          <w:p w14:paraId="43759908" w14:textId="77777777" w:rsidR="009F7F8A" w:rsidRPr="00AC3044" w:rsidRDefault="009F7F8A" w:rsidP="009F7F8A">
            <w:pPr>
              <w:rPr>
                <w:rFonts w:eastAsia="SimSun"/>
              </w:rPr>
            </w:pPr>
            <w:r w:rsidRPr="00AC3044">
              <w:rPr>
                <w:rFonts w:eastAsia="SimSun"/>
              </w:rPr>
              <w:t>Циклофосфамид</w:t>
            </w:r>
          </w:p>
        </w:tc>
        <w:tc>
          <w:tcPr>
            <w:tcW w:w="1417" w:type="dxa"/>
            <w:vAlign w:val="center"/>
          </w:tcPr>
          <w:p w14:paraId="117CA831"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764D22EF" w14:textId="77777777" w:rsidR="009F7F8A" w:rsidRPr="00AC3044" w:rsidRDefault="009F7F8A" w:rsidP="009F7F8A">
            <w:pPr>
              <w:rPr>
                <w:rFonts w:eastAsia="SimSun"/>
              </w:rPr>
            </w:pPr>
            <w:r w:rsidRPr="00AC3044">
              <w:rPr>
                <w:rFonts w:eastAsia="SimSun"/>
              </w:rPr>
              <w:t>100 мг/кг</w:t>
            </w:r>
          </w:p>
        </w:tc>
        <w:tc>
          <w:tcPr>
            <w:tcW w:w="1560" w:type="dxa"/>
            <w:vAlign w:val="center"/>
          </w:tcPr>
          <w:p w14:paraId="08422170" w14:textId="77777777" w:rsidR="009F7F8A" w:rsidRPr="00AC3044" w:rsidRDefault="009F7F8A" w:rsidP="009F7F8A">
            <w:pPr>
              <w:rPr>
                <w:rFonts w:eastAsia="SimSun"/>
              </w:rPr>
            </w:pPr>
            <w:r w:rsidRPr="00AC3044">
              <w:rPr>
                <w:rFonts w:eastAsia="SimSun"/>
              </w:rPr>
              <w:t>С +3 дня по +4 день</w:t>
            </w:r>
          </w:p>
        </w:tc>
        <w:tc>
          <w:tcPr>
            <w:tcW w:w="2268" w:type="dxa"/>
            <w:vAlign w:val="center"/>
          </w:tcPr>
          <w:p w14:paraId="6C098DD7" w14:textId="77777777" w:rsidR="009F7F8A" w:rsidRPr="00AC3044" w:rsidRDefault="009F7F8A" w:rsidP="009F7F8A">
            <w:pPr>
              <w:rPr>
                <w:rFonts w:eastAsia="SimSun"/>
              </w:rPr>
            </w:pPr>
            <w:r w:rsidRPr="00AC3044">
              <w:rPr>
                <w:rFonts w:eastAsia="SimSun"/>
              </w:rPr>
              <w:t xml:space="preserve">В/в, в течение 2 ч  </w:t>
            </w:r>
          </w:p>
        </w:tc>
      </w:tr>
      <w:tr w:rsidR="009F7F8A" w:rsidRPr="00AC3044" w14:paraId="4E298838" w14:textId="77777777" w:rsidTr="009F7F8A">
        <w:trPr>
          <w:cantSplit/>
          <w:trHeight w:val="958"/>
        </w:trPr>
        <w:tc>
          <w:tcPr>
            <w:tcW w:w="993" w:type="dxa"/>
            <w:vMerge/>
            <w:textDirection w:val="btLr"/>
            <w:vAlign w:val="center"/>
          </w:tcPr>
          <w:p w14:paraId="43F8DAD3" w14:textId="77777777" w:rsidR="009F7F8A" w:rsidRPr="00AC3044" w:rsidRDefault="009F7F8A" w:rsidP="009F7F8A">
            <w:pPr>
              <w:rPr>
                <w:rFonts w:eastAsia="SimSun"/>
              </w:rPr>
            </w:pPr>
          </w:p>
        </w:tc>
        <w:tc>
          <w:tcPr>
            <w:tcW w:w="1843" w:type="dxa"/>
            <w:vAlign w:val="center"/>
          </w:tcPr>
          <w:p w14:paraId="3CEFA120" w14:textId="77777777" w:rsidR="009F7F8A" w:rsidRPr="00AC3044" w:rsidRDefault="009F7F8A" w:rsidP="009F7F8A">
            <w:pPr>
              <w:rPr>
                <w:rFonts w:eastAsia="SimSun"/>
              </w:rPr>
            </w:pPr>
            <w:r w:rsidRPr="00AC3044">
              <w:rPr>
                <w:rFonts w:eastAsia="SimSun"/>
              </w:rPr>
              <w:t xml:space="preserve">Такролимус </w:t>
            </w:r>
          </w:p>
        </w:tc>
        <w:tc>
          <w:tcPr>
            <w:tcW w:w="1417" w:type="dxa"/>
            <w:vAlign w:val="center"/>
          </w:tcPr>
          <w:p w14:paraId="5005259C" w14:textId="77777777" w:rsidR="009F7F8A" w:rsidRPr="00AC3044" w:rsidRDefault="009F7F8A" w:rsidP="009F7F8A">
            <w:pPr>
              <w:rPr>
                <w:rFonts w:eastAsia="SimSun"/>
              </w:rPr>
            </w:pPr>
            <w:r w:rsidRPr="00AC3044">
              <w:rPr>
                <w:rFonts w:eastAsia="SimSun"/>
              </w:rPr>
              <w:t>0,03 мг/кг</w:t>
            </w:r>
          </w:p>
        </w:tc>
        <w:tc>
          <w:tcPr>
            <w:tcW w:w="1559" w:type="dxa"/>
            <w:vAlign w:val="center"/>
          </w:tcPr>
          <w:p w14:paraId="7080BB78" w14:textId="77777777" w:rsidR="009F7F8A" w:rsidRPr="00AC3044" w:rsidRDefault="009F7F8A" w:rsidP="009F7F8A">
            <w:pPr>
              <w:rPr>
                <w:rFonts w:eastAsia="SimSun"/>
              </w:rPr>
            </w:pPr>
            <w:r w:rsidRPr="00AC3044">
              <w:rPr>
                <w:rFonts w:eastAsia="SimSun"/>
              </w:rPr>
              <w:t>–</w:t>
            </w:r>
          </w:p>
        </w:tc>
        <w:tc>
          <w:tcPr>
            <w:tcW w:w="1560" w:type="dxa"/>
            <w:vAlign w:val="center"/>
          </w:tcPr>
          <w:p w14:paraId="15A4D6B8" w14:textId="77777777" w:rsidR="009F7F8A" w:rsidRPr="00AC3044" w:rsidRDefault="009F7F8A" w:rsidP="009F7F8A">
            <w:pPr>
              <w:rPr>
                <w:rFonts w:eastAsia="SimSun"/>
              </w:rPr>
            </w:pPr>
            <w:r w:rsidRPr="00AC3044">
              <w:rPr>
                <w:rFonts w:eastAsia="SimSun"/>
              </w:rPr>
              <w:t xml:space="preserve">С +5 дня длительно </w:t>
            </w:r>
          </w:p>
        </w:tc>
        <w:tc>
          <w:tcPr>
            <w:tcW w:w="2268" w:type="dxa"/>
            <w:vAlign w:val="center"/>
          </w:tcPr>
          <w:p w14:paraId="6FCE0883"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4B3E70FB" w14:textId="77777777" w:rsidTr="009F7F8A">
        <w:trPr>
          <w:cantSplit/>
          <w:trHeight w:val="544"/>
        </w:trPr>
        <w:tc>
          <w:tcPr>
            <w:tcW w:w="993" w:type="dxa"/>
            <w:vMerge/>
            <w:textDirection w:val="btLr"/>
            <w:vAlign w:val="center"/>
          </w:tcPr>
          <w:p w14:paraId="2A5BA549" w14:textId="77777777" w:rsidR="009F7F8A" w:rsidRPr="00AC3044" w:rsidRDefault="009F7F8A" w:rsidP="009F7F8A">
            <w:pPr>
              <w:rPr>
                <w:rFonts w:eastAsia="SimSun"/>
              </w:rPr>
            </w:pPr>
          </w:p>
        </w:tc>
        <w:tc>
          <w:tcPr>
            <w:tcW w:w="1843" w:type="dxa"/>
            <w:vAlign w:val="center"/>
          </w:tcPr>
          <w:p w14:paraId="18E0AC4D" w14:textId="77777777" w:rsidR="009F7F8A" w:rsidRPr="00AC3044" w:rsidRDefault="009F7F8A" w:rsidP="009F7F8A">
            <w:pPr>
              <w:rPr>
                <w:rFonts w:eastAsia="SimSun"/>
              </w:rPr>
            </w:pPr>
            <w:r w:rsidRPr="00AC3044">
              <w:rPr>
                <w:rFonts w:eastAsia="SimSun"/>
              </w:rPr>
              <w:t>Микофенолата мофетил</w:t>
            </w:r>
          </w:p>
        </w:tc>
        <w:tc>
          <w:tcPr>
            <w:tcW w:w="1417" w:type="dxa"/>
            <w:vAlign w:val="center"/>
          </w:tcPr>
          <w:p w14:paraId="7E3EC416" w14:textId="77777777" w:rsidR="009F7F8A" w:rsidRPr="00AC3044" w:rsidRDefault="009F7F8A" w:rsidP="009F7F8A">
            <w:pPr>
              <w:rPr>
                <w:rFonts w:eastAsia="SimSun"/>
              </w:rPr>
            </w:pPr>
            <w:r w:rsidRPr="00AC3044">
              <w:rPr>
                <w:rFonts w:eastAsia="SimSun"/>
              </w:rPr>
              <w:t xml:space="preserve">30 мг/кг </w:t>
            </w:r>
          </w:p>
        </w:tc>
        <w:tc>
          <w:tcPr>
            <w:tcW w:w="1559" w:type="dxa"/>
            <w:vAlign w:val="center"/>
          </w:tcPr>
          <w:p w14:paraId="48F57016" w14:textId="77777777" w:rsidR="009F7F8A" w:rsidRPr="00AC3044" w:rsidRDefault="009F7F8A" w:rsidP="009F7F8A">
            <w:pPr>
              <w:rPr>
                <w:rFonts w:eastAsia="SimSun"/>
              </w:rPr>
            </w:pPr>
            <w:r w:rsidRPr="00AC3044">
              <w:rPr>
                <w:rFonts w:eastAsia="SimSun"/>
              </w:rPr>
              <w:t>–</w:t>
            </w:r>
          </w:p>
        </w:tc>
        <w:tc>
          <w:tcPr>
            <w:tcW w:w="1560" w:type="dxa"/>
            <w:vAlign w:val="center"/>
          </w:tcPr>
          <w:p w14:paraId="0AD9CBA5" w14:textId="77777777" w:rsidR="009F7F8A" w:rsidRPr="00AC3044" w:rsidRDefault="009F7F8A" w:rsidP="009F7F8A">
            <w:pPr>
              <w:rPr>
                <w:rFonts w:eastAsia="SimSun"/>
              </w:rPr>
            </w:pPr>
            <w:r w:rsidRPr="00AC3044">
              <w:rPr>
                <w:rFonts w:eastAsia="SimSun"/>
              </w:rPr>
              <w:t xml:space="preserve">С +5 дня по +35 день </w:t>
            </w:r>
          </w:p>
        </w:tc>
        <w:tc>
          <w:tcPr>
            <w:tcW w:w="2268" w:type="dxa"/>
            <w:vAlign w:val="center"/>
          </w:tcPr>
          <w:p w14:paraId="60662FA3"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w:t>
            </w:r>
          </w:p>
        </w:tc>
      </w:tr>
    </w:tbl>
    <w:p w14:paraId="3581352F" w14:textId="77777777" w:rsidR="009F7F8A" w:rsidRPr="00C07B2E" w:rsidRDefault="009F7F8A" w:rsidP="009F7F8A">
      <w:pPr>
        <w:rPr>
          <w:rFonts w:eastAsia="SimSun"/>
        </w:rPr>
      </w:pPr>
    </w:p>
    <w:p w14:paraId="38E22A69" w14:textId="77777777" w:rsidR="009F7F8A" w:rsidRPr="00C07B2E" w:rsidRDefault="009F7F8A" w:rsidP="009F7F8A">
      <w:pPr>
        <w:rPr>
          <w:rFonts w:eastAsia="SimSun"/>
        </w:rPr>
      </w:pPr>
      <w:bookmarkStart w:id="138" w:name="_Toc44401168"/>
      <w:r w:rsidRPr="00042499">
        <w:rPr>
          <w:rFonts w:eastAsia="SimSun"/>
        </w:rPr>
        <w:t>Таблица</w:t>
      </w:r>
      <w:r w:rsidRPr="00C07B2E">
        <w:rPr>
          <w:rFonts w:eastAsia="SimSun"/>
        </w:rPr>
        <w:t xml:space="preserve"> </w:t>
      </w:r>
      <w:r>
        <w:rPr>
          <w:rFonts w:eastAsia="SimSun"/>
        </w:rPr>
        <w:t>5.</w:t>
      </w:r>
      <w:r w:rsidRPr="00C07B2E">
        <w:rPr>
          <w:rFonts w:eastAsia="SimSun"/>
        </w:rPr>
        <w:t>1.2.10  – Flu180+Bu8 / Tx+MMF30</w:t>
      </w:r>
      <w:bookmarkEnd w:id="138"/>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60"/>
        <w:gridCol w:w="2268"/>
      </w:tblGrid>
      <w:tr w:rsidR="009F7F8A" w:rsidRPr="00AC3044" w14:paraId="54DD06FD" w14:textId="77777777" w:rsidTr="009F7F8A">
        <w:trPr>
          <w:cantSplit/>
          <w:trHeight w:val="20"/>
          <w:tblHeader/>
        </w:trPr>
        <w:tc>
          <w:tcPr>
            <w:tcW w:w="993" w:type="dxa"/>
            <w:vAlign w:val="center"/>
          </w:tcPr>
          <w:p w14:paraId="5781CBEB" w14:textId="77777777" w:rsidR="009F7F8A" w:rsidRPr="00AC3044" w:rsidRDefault="009F7F8A" w:rsidP="009F7F8A">
            <w:pPr>
              <w:rPr>
                <w:rFonts w:eastAsia="SimSun"/>
              </w:rPr>
            </w:pPr>
          </w:p>
        </w:tc>
        <w:tc>
          <w:tcPr>
            <w:tcW w:w="1843" w:type="dxa"/>
            <w:vAlign w:val="center"/>
          </w:tcPr>
          <w:p w14:paraId="2978E50B" w14:textId="77777777" w:rsidR="009F7F8A" w:rsidRPr="00AC3044" w:rsidRDefault="009F7F8A" w:rsidP="009F7F8A">
            <w:pPr>
              <w:rPr>
                <w:rFonts w:eastAsia="SimSun"/>
              </w:rPr>
            </w:pPr>
            <w:r w:rsidRPr="00AC3044">
              <w:rPr>
                <w:rFonts w:eastAsia="SimSun"/>
              </w:rPr>
              <w:t>Препарат</w:t>
            </w:r>
          </w:p>
        </w:tc>
        <w:tc>
          <w:tcPr>
            <w:tcW w:w="1417" w:type="dxa"/>
            <w:vAlign w:val="center"/>
          </w:tcPr>
          <w:p w14:paraId="1DF79557"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3E28E2E1" w14:textId="77777777" w:rsidR="009F7F8A" w:rsidRPr="00AC3044" w:rsidRDefault="009F7F8A" w:rsidP="009F7F8A">
            <w:pPr>
              <w:rPr>
                <w:rFonts w:eastAsia="SimSun"/>
              </w:rPr>
            </w:pPr>
            <w:r w:rsidRPr="00AC3044">
              <w:rPr>
                <w:rFonts w:eastAsia="SimSun"/>
              </w:rPr>
              <w:t>Курсовая доза</w:t>
            </w:r>
          </w:p>
        </w:tc>
        <w:tc>
          <w:tcPr>
            <w:tcW w:w="1560" w:type="dxa"/>
            <w:vAlign w:val="center"/>
          </w:tcPr>
          <w:p w14:paraId="41949506"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7C25E55C"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528290D8" w14:textId="77777777" w:rsidTr="009F7F8A">
        <w:trPr>
          <w:cantSplit/>
          <w:trHeight w:val="20"/>
        </w:trPr>
        <w:tc>
          <w:tcPr>
            <w:tcW w:w="993" w:type="dxa"/>
            <w:vMerge w:val="restart"/>
            <w:textDirection w:val="btLr"/>
            <w:vAlign w:val="center"/>
          </w:tcPr>
          <w:p w14:paraId="3E61E875" w14:textId="77777777" w:rsidR="009F7F8A" w:rsidRPr="00AC3044" w:rsidRDefault="009F7F8A" w:rsidP="009F7F8A">
            <w:pPr>
              <w:rPr>
                <w:rFonts w:eastAsia="SimSun"/>
              </w:rPr>
            </w:pPr>
            <w:r w:rsidRPr="00AC3044">
              <w:rPr>
                <w:rFonts w:eastAsia="SimSun"/>
              </w:rPr>
              <w:t>Кондиционирование</w:t>
            </w:r>
          </w:p>
        </w:tc>
        <w:tc>
          <w:tcPr>
            <w:tcW w:w="1843" w:type="dxa"/>
            <w:vAlign w:val="center"/>
          </w:tcPr>
          <w:p w14:paraId="4D1FB475" w14:textId="77777777" w:rsidR="009F7F8A" w:rsidRPr="00AC3044" w:rsidRDefault="009F7F8A" w:rsidP="009F7F8A">
            <w:pPr>
              <w:rPr>
                <w:rFonts w:eastAsia="SimSun"/>
              </w:rPr>
            </w:pPr>
            <w:r w:rsidRPr="00AC3044">
              <w:rPr>
                <w:rFonts w:eastAsia="SimSun"/>
              </w:rPr>
              <w:t xml:space="preserve">Флударабин </w:t>
            </w:r>
          </w:p>
        </w:tc>
        <w:tc>
          <w:tcPr>
            <w:tcW w:w="1417" w:type="dxa"/>
            <w:vAlign w:val="center"/>
          </w:tcPr>
          <w:p w14:paraId="545AD22E"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559" w:type="dxa"/>
            <w:vAlign w:val="center"/>
          </w:tcPr>
          <w:p w14:paraId="3B3E1B35"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560" w:type="dxa"/>
            <w:vAlign w:val="center"/>
          </w:tcPr>
          <w:p w14:paraId="58A69AB1"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0A895B5C"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117D0D92" w14:textId="77777777" w:rsidTr="009F7F8A">
        <w:trPr>
          <w:cantSplit/>
          <w:trHeight w:val="784"/>
        </w:trPr>
        <w:tc>
          <w:tcPr>
            <w:tcW w:w="993" w:type="dxa"/>
            <w:vMerge/>
            <w:vAlign w:val="center"/>
          </w:tcPr>
          <w:p w14:paraId="75FB7FB0" w14:textId="77777777" w:rsidR="009F7F8A" w:rsidRPr="00AC3044" w:rsidRDefault="009F7F8A" w:rsidP="009F7F8A">
            <w:pPr>
              <w:rPr>
                <w:rFonts w:eastAsia="SimSun"/>
              </w:rPr>
            </w:pPr>
          </w:p>
        </w:tc>
        <w:tc>
          <w:tcPr>
            <w:tcW w:w="1843" w:type="dxa"/>
            <w:vAlign w:val="center"/>
          </w:tcPr>
          <w:p w14:paraId="4C5E7F3E" w14:textId="77777777" w:rsidR="009F7F8A" w:rsidRPr="00AC3044" w:rsidRDefault="009F7F8A" w:rsidP="009F7F8A">
            <w:pPr>
              <w:rPr>
                <w:rFonts w:eastAsia="SimSun"/>
              </w:rPr>
            </w:pPr>
            <w:r w:rsidRPr="00AC3044">
              <w:rPr>
                <w:rFonts w:eastAsia="SimSun"/>
              </w:rPr>
              <w:t>Бусульфан</w:t>
            </w:r>
          </w:p>
        </w:tc>
        <w:tc>
          <w:tcPr>
            <w:tcW w:w="1417" w:type="dxa"/>
            <w:vAlign w:val="center"/>
          </w:tcPr>
          <w:p w14:paraId="6044548C" w14:textId="77777777" w:rsidR="009F7F8A" w:rsidRPr="00AC3044" w:rsidRDefault="009F7F8A" w:rsidP="009F7F8A">
            <w:pPr>
              <w:rPr>
                <w:rFonts w:eastAsia="SimSun"/>
              </w:rPr>
            </w:pPr>
            <w:r w:rsidRPr="00AC3044">
              <w:rPr>
                <w:rFonts w:eastAsia="SimSun"/>
              </w:rPr>
              <w:t xml:space="preserve">4 мг/кг </w:t>
            </w:r>
          </w:p>
        </w:tc>
        <w:tc>
          <w:tcPr>
            <w:tcW w:w="1559" w:type="dxa"/>
            <w:vAlign w:val="center"/>
          </w:tcPr>
          <w:p w14:paraId="386C75B2" w14:textId="77777777" w:rsidR="009F7F8A" w:rsidRPr="00AC3044" w:rsidRDefault="009F7F8A" w:rsidP="009F7F8A">
            <w:pPr>
              <w:rPr>
                <w:rFonts w:eastAsia="SimSun"/>
              </w:rPr>
            </w:pPr>
            <w:r w:rsidRPr="00AC3044">
              <w:rPr>
                <w:rFonts w:eastAsia="SimSun"/>
              </w:rPr>
              <w:t xml:space="preserve">8 мг/кг </w:t>
            </w:r>
          </w:p>
        </w:tc>
        <w:tc>
          <w:tcPr>
            <w:tcW w:w="1560" w:type="dxa"/>
            <w:vAlign w:val="center"/>
          </w:tcPr>
          <w:p w14:paraId="33EC0AA7" w14:textId="77777777" w:rsidR="009F7F8A" w:rsidRPr="00AC3044" w:rsidRDefault="009F7F8A" w:rsidP="009F7F8A">
            <w:pPr>
              <w:rPr>
                <w:rFonts w:eastAsia="SimSun"/>
              </w:rPr>
            </w:pPr>
            <w:r w:rsidRPr="00AC3044">
              <w:rPr>
                <w:rFonts w:eastAsia="SimSun"/>
              </w:rPr>
              <w:t>С -4 дня по -3 день</w:t>
            </w:r>
          </w:p>
        </w:tc>
        <w:tc>
          <w:tcPr>
            <w:tcW w:w="2268" w:type="dxa"/>
            <w:vAlign w:val="center"/>
          </w:tcPr>
          <w:p w14:paraId="01616C1C"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649126D9" w14:textId="77777777" w:rsidTr="009F7F8A">
        <w:trPr>
          <w:cantSplit/>
          <w:trHeight w:val="1498"/>
        </w:trPr>
        <w:tc>
          <w:tcPr>
            <w:tcW w:w="993" w:type="dxa"/>
            <w:vMerge w:val="restart"/>
            <w:textDirection w:val="btLr"/>
            <w:vAlign w:val="center"/>
          </w:tcPr>
          <w:p w14:paraId="057E51A4" w14:textId="77777777" w:rsidR="009F7F8A" w:rsidRPr="00AC3044" w:rsidRDefault="009F7F8A" w:rsidP="009F7F8A">
            <w:pPr>
              <w:rPr>
                <w:rFonts w:eastAsia="SimSun"/>
              </w:rPr>
            </w:pPr>
            <w:r w:rsidRPr="00AC3044">
              <w:rPr>
                <w:rFonts w:eastAsia="SimSun"/>
              </w:rPr>
              <w:lastRenderedPageBreak/>
              <w:t>Профилактика РТПХ</w:t>
            </w:r>
          </w:p>
        </w:tc>
        <w:tc>
          <w:tcPr>
            <w:tcW w:w="1843" w:type="dxa"/>
            <w:vAlign w:val="center"/>
          </w:tcPr>
          <w:p w14:paraId="5A0EB703" w14:textId="77777777" w:rsidR="009F7F8A" w:rsidRPr="00AC3044" w:rsidRDefault="009F7F8A" w:rsidP="009F7F8A">
            <w:pPr>
              <w:rPr>
                <w:rFonts w:eastAsia="SimSun"/>
              </w:rPr>
            </w:pPr>
            <w:r w:rsidRPr="00AC3044">
              <w:rPr>
                <w:rFonts w:eastAsia="SimSun"/>
              </w:rPr>
              <w:t xml:space="preserve">Такролимус </w:t>
            </w:r>
          </w:p>
        </w:tc>
        <w:tc>
          <w:tcPr>
            <w:tcW w:w="1417" w:type="dxa"/>
            <w:vAlign w:val="center"/>
          </w:tcPr>
          <w:p w14:paraId="018FD9A7" w14:textId="77777777" w:rsidR="009F7F8A" w:rsidRPr="00AC3044" w:rsidRDefault="009F7F8A" w:rsidP="009F7F8A">
            <w:pPr>
              <w:rPr>
                <w:rFonts w:eastAsia="SimSun"/>
              </w:rPr>
            </w:pPr>
            <w:r w:rsidRPr="00AC3044">
              <w:rPr>
                <w:rFonts w:eastAsia="SimSun"/>
              </w:rPr>
              <w:t>0,03 мг/кг</w:t>
            </w:r>
          </w:p>
        </w:tc>
        <w:tc>
          <w:tcPr>
            <w:tcW w:w="1559" w:type="dxa"/>
            <w:vAlign w:val="center"/>
          </w:tcPr>
          <w:p w14:paraId="069D9883" w14:textId="77777777" w:rsidR="009F7F8A" w:rsidRPr="00AC3044" w:rsidRDefault="009F7F8A" w:rsidP="009F7F8A">
            <w:pPr>
              <w:rPr>
                <w:rFonts w:eastAsia="SimSun"/>
              </w:rPr>
            </w:pPr>
            <w:r w:rsidRPr="00AC3044">
              <w:rPr>
                <w:rFonts w:eastAsia="SimSun"/>
              </w:rPr>
              <w:t>–</w:t>
            </w:r>
          </w:p>
        </w:tc>
        <w:tc>
          <w:tcPr>
            <w:tcW w:w="1560" w:type="dxa"/>
            <w:vAlign w:val="center"/>
          </w:tcPr>
          <w:p w14:paraId="66F09FF2" w14:textId="77777777" w:rsidR="009F7F8A" w:rsidRPr="00AC3044" w:rsidRDefault="009F7F8A" w:rsidP="009F7F8A">
            <w:pPr>
              <w:rPr>
                <w:rFonts w:eastAsia="SimSun"/>
              </w:rPr>
            </w:pPr>
            <w:r w:rsidRPr="00AC3044">
              <w:rPr>
                <w:rFonts w:eastAsia="SimSun"/>
              </w:rPr>
              <w:t xml:space="preserve">С -1 дня длительно </w:t>
            </w:r>
          </w:p>
        </w:tc>
        <w:tc>
          <w:tcPr>
            <w:tcW w:w="2268" w:type="dxa"/>
            <w:vAlign w:val="center"/>
          </w:tcPr>
          <w:p w14:paraId="383501C1"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30D07780" w14:textId="77777777" w:rsidTr="009F7F8A">
        <w:trPr>
          <w:cantSplit/>
          <w:trHeight w:val="538"/>
        </w:trPr>
        <w:tc>
          <w:tcPr>
            <w:tcW w:w="993" w:type="dxa"/>
            <w:vMerge/>
            <w:textDirection w:val="btLr"/>
            <w:vAlign w:val="center"/>
          </w:tcPr>
          <w:p w14:paraId="2F8C3597" w14:textId="77777777" w:rsidR="009F7F8A" w:rsidRPr="00AC3044" w:rsidRDefault="009F7F8A" w:rsidP="009F7F8A">
            <w:pPr>
              <w:rPr>
                <w:rFonts w:eastAsia="SimSun"/>
              </w:rPr>
            </w:pPr>
          </w:p>
        </w:tc>
        <w:tc>
          <w:tcPr>
            <w:tcW w:w="1843" w:type="dxa"/>
            <w:vAlign w:val="center"/>
          </w:tcPr>
          <w:p w14:paraId="30F0A4C5" w14:textId="77777777" w:rsidR="009F7F8A" w:rsidRPr="00AC3044" w:rsidRDefault="009F7F8A" w:rsidP="009F7F8A">
            <w:pPr>
              <w:rPr>
                <w:rFonts w:eastAsia="SimSun"/>
              </w:rPr>
            </w:pPr>
            <w:r w:rsidRPr="00AC3044">
              <w:rPr>
                <w:rFonts w:eastAsia="SimSun"/>
              </w:rPr>
              <w:t>Микофенолата мофетил</w:t>
            </w:r>
          </w:p>
        </w:tc>
        <w:tc>
          <w:tcPr>
            <w:tcW w:w="1417" w:type="dxa"/>
            <w:vAlign w:val="center"/>
          </w:tcPr>
          <w:p w14:paraId="1AEDD4EA" w14:textId="77777777" w:rsidR="009F7F8A" w:rsidRPr="00AC3044" w:rsidRDefault="009F7F8A" w:rsidP="009F7F8A">
            <w:pPr>
              <w:rPr>
                <w:rFonts w:eastAsia="SimSun"/>
              </w:rPr>
            </w:pPr>
            <w:r w:rsidRPr="00AC3044">
              <w:rPr>
                <w:rFonts w:eastAsia="SimSun"/>
              </w:rPr>
              <w:t xml:space="preserve">30 мг/кг </w:t>
            </w:r>
          </w:p>
        </w:tc>
        <w:tc>
          <w:tcPr>
            <w:tcW w:w="1559" w:type="dxa"/>
            <w:vAlign w:val="center"/>
          </w:tcPr>
          <w:p w14:paraId="310DC317" w14:textId="77777777" w:rsidR="009F7F8A" w:rsidRPr="00AC3044" w:rsidRDefault="009F7F8A" w:rsidP="009F7F8A">
            <w:pPr>
              <w:rPr>
                <w:rFonts w:eastAsia="SimSun"/>
              </w:rPr>
            </w:pPr>
            <w:r w:rsidRPr="00AC3044">
              <w:rPr>
                <w:rFonts w:eastAsia="SimSun"/>
              </w:rPr>
              <w:t>–</w:t>
            </w:r>
          </w:p>
        </w:tc>
        <w:tc>
          <w:tcPr>
            <w:tcW w:w="1560" w:type="dxa"/>
            <w:vAlign w:val="center"/>
          </w:tcPr>
          <w:p w14:paraId="78021807" w14:textId="77777777" w:rsidR="009F7F8A" w:rsidRPr="00AC3044" w:rsidRDefault="009F7F8A" w:rsidP="009F7F8A">
            <w:pPr>
              <w:rPr>
                <w:rFonts w:eastAsia="SimSun"/>
              </w:rPr>
            </w:pPr>
            <w:r w:rsidRPr="00AC3044">
              <w:rPr>
                <w:rFonts w:eastAsia="SimSun"/>
              </w:rPr>
              <w:t xml:space="preserve">С -1 дня по +30 день </w:t>
            </w:r>
          </w:p>
        </w:tc>
        <w:tc>
          <w:tcPr>
            <w:tcW w:w="2268" w:type="dxa"/>
            <w:vAlign w:val="center"/>
          </w:tcPr>
          <w:p w14:paraId="0360BA1C"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w:t>
            </w:r>
          </w:p>
        </w:tc>
      </w:tr>
    </w:tbl>
    <w:p w14:paraId="48852D3C" w14:textId="77777777" w:rsidR="009F7F8A" w:rsidRDefault="009F7F8A" w:rsidP="009F7F8A">
      <w:pPr>
        <w:rPr>
          <w:rFonts w:eastAsia="SimSun"/>
        </w:rPr>
      </w:pPr>
      <w:bookmarkStart w:id="139" w:name="_Toc44401169"/>
    </w:p>
    <w:p w14:paraId="3825386E" w14:textId="77777777" w:rsidR="009F7F8A"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1.2.11  – Flu180+Bu8/ PT-Cy+CSA+MMF30</w:t>
      </w:r>
      <w:bookmarkEnd w:id="139"/>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843"/>
        <w:gridCol w:w="1417"/>
        <w:gridCol w:w="1701"/>
        <w:gridCol w:w="1418"/>
        <w:gridCol w:w="2246"/>
      </w:tblGrid>
      <w:tr w:rsidR="009F7F8A" w:rsidRPr="00AC3044" w14:paraId="59DDB7C8" w14:textId="77777777" w:rsidTr="009F7F8A">
        <w:trPr>
          <w:cantSplit/>
          <w:trHeight w:val="20"/>
          <w:tblHeader/>
        </w:trPr>
        <w:tc>
          <w:tcPr>
            <w:tcW w:w="959" w:type="dxa"/>
            <w:vAlign w:val="center"/>
          </w:tcPr>
          <w:p w14:paraId="06F2A171" w14:textId="77777777" w:rsidR="009F7F8A" w:rsidRPr="00470D3D" w:rsidRDefault="009F7F8A" w:rsidP="009F7F8A">
            <w:pPr>
              <w:rPr>
                <w:rFonts w:eastAsia="SimSun"/>
              </w:rPr>
            </w:pPr>
          </w:p>
        </w:tc>
        <w:tc>
          <w:tcPr>
            <w:tcW w:w="1843" w:type="dxa"/>
            <w:vAlign w:val="center"/>
          </w:tcPr>
          <w:p w14:paraId="2528187C" w14:textId="77777777" w:rsidR="009F7F8A" w:rsidRPr="00AC3044" w:rsidRDefault="009F7F8A" w:rsidP="009F7F8A">
            <w:pPr>
              <w:rPr>
                <w:rFonts w:eastAsia="SimSun"/>
              </w:rPr>
            </w:pPr>
            <w:r w:rsidRPr="00AC3044">
              <w:rPr>
                <w:rFonts w:eastAsia="SimSun"/>
              </w:rPr>
              <w:t>Препарат</w:t>
            </w:r>
          </w:p>
        </w:tc>
        <w:tc>
          <w:tcPr>
            <w:tcW w:w="1417" w:type="dxa"/>
            <w:vAlign w:val="center"/>
          </w:tcPr>
          <w:p w14:paraId="0E401BE0" w14:textId="77777777" w:rsidR="009F7F8A" w:rsidRPr="00AC3044" w:rsidRDefault="009F7F8A" w:rsidP="009F7F8A">
            <w:pPr>
              <w:rPr>
                <w:rFonts w:eastAsia="SimSun"/>
              </w:rPr>
            </w:pPr>
            <w:r w:rsidRPr="00AC3044">
              <w:rPr>
                <w:rFonts w:eastAsia="SimSun"/>
              </w:rPr>
              <w:t>Суточная доза</w:t>
            </w:r>
          </w:p>
        </w:tc>
        <w:tc>
          <w:tcPr>
            <w:tcW w:w="1701" w:type="dxa"/>
            <w:vAlign w:val="center"/>
          </w:tcPr>
          <w:p w14:paraId="4C7A1726" w14:textId="77777777" w:rsidR="009F7F8A" w:rsidRPr="00AC3044" w:rsidRDefault="009F7F8A" w:rsidP="009F7F8A">
            <w:pPr>
              <w:rPr>
                <w:rFonts w:eastAsia="SimSun"/>
              </w:rPr>
            </w:pPr>
            <w:r w:rsidRPr="00AC3044">
              <w:rPr>
                <w:rFonts w:eastAsia="SimSun"/>
              </w:rPr>
              <w:t>Курсовая доза</w:t>
            </w:r>
          </w:p>
        </w:tc>
        <w:tc>
          <w:tcPr>
            <w:tcW w:w="1418" w:type="dxa"/>
            <w:vAlign w:val="center"/>
          </w:tcPr>
          <w:p w14:paraId="02D6DE2E" w14:textId="77777777" w:rsidR="009F7F8A" w:rsidRPr="00AC3044" w:rsidRDefault="009F7F8A" w:rsidP="009F7F8A">
            <w:pPr>
              <w:rPr>
                <w:rFonts w:eastAsia="SimSun"/>
              </w:rPr>
            </w:pPr>
            <w:r w:rsidRPr="00AC3044">
              <w:rPr>
                <w:rFonts w:eastAsia="SimSun"/>
              </w:rPr>
              <w:t>Дни введения</w:t>
            </w:r>
          </w:p>
        </w:tc>
        <w:tc>
          <w:tcPr>
            <w:tcW w:w="2246" w:type="dxa"/>
            <w:vAlign w:val="center"/>
          </w:tcPr>
          <w:p w14:paraId="0816483B"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72A27D4" w14:textId="77777777" w:rsidTr="009F7F8A">
        <w:trPr>
          <w:cantSplit/>
          <w:trHeight w:val="20"/>
        </w:trPr>
        <w:tc>
          <w:tcPr>
            <w:tcW w:w="959" w:type="dxa"/>
            <w:vMerge w:val="restart"/>
            <w:textDirection w:val="btLr"/>
            <w:vAlign w:val="center"/>
          </w:tcPr>
          <w:p w14:paraId="29E054E8" w14:textId="77777777" w:rsidR="009F7F8A" w:rsidRPr="00AC3044" w:rsidRDefault="009F7F8A" w:rsidP="009F7F8A">
            <w:pPr>
              <w:rPr>
                <w:rFonts w:eastAsia="SimSun"/>
              </w:rPr>
            </w:pPr>
            <w:r w:rsidRPr="00AC3044">
              <w:rPr>
                <w:rFonts w:eastAsia="SimSun"/>
              </w:rPr>
              <w:t>Кондиционирование</w:t>
            </w:r>
          </w:p>
        </w:tc>
        <w:tc>
          <w:tcPr>
            <w:tcW w:w="1843" w:type="dxa"/>
            <w:vAlign w:val="center"/>
          </w:tcPr>
          <w:p w14:paraId="1E2609FF" w14:textId="77777777" w:rsidR="009F7F8A" w:rsidRPr="00AC3044" w:rsidRDefault="009F7F8A" w:rsidP="009F7F8A">
            <w:pPr>
              <w:rPr>
                <w:rFonts w:eastAsia="SimSun"/>
              </w:rPr>
            </w:pPr>
            <w:r w:rsidRPr="00AC3044">
              <w:rPr>
                <w:rFonts w:eastAsia="SimSun"/>
              </w:rPr>
              <w:t xml:space="preserve">Флударабин </w:t>
            </w:r>
          </w:p>
        </w:tc>
        <w:tc>
          <w:tcPr>
            <w:tcW w:w="1417" w:type="dxa"/>
            <w:vAlign w:val="center"/>
          </w:tcPr>
          <w:p w14:paraId="345A3A94"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0486096D"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418" w:type="dxa"/>
            <w:vAlign w:val="center"/>
          </w:tcPr>
          <w:p w14:paraId="25243CEB" w14:textId="77777777" w:rsidR="009F7F8A" w:rsidRPr="00AC3044" w:rsidRDefault="009F7F8A" w:rsidP="009F7F8A">
            <w:pPr>
              <w:rPr>
                <w:rFonts w:eastAsia="SimSun"/>
              </w:rPr>
            </w:pPr>
            <w:r w:rsidRPr="00AC3044">
              <w:rPr>
                <w:rFonts w:eastAsia="SimSun"/>
              </w:rPr>
              <w:t>С -7 дня по -2 день</w:t>
            </w:r>
          </w:p>
        </w:tc>
        <w:tc>
          <w:tcPr>
            <w:tcW w:w="2246" w:type="dxa"/>
            <w:vAlign w:val="center"/>
          </w:tcPr>
          <w:p w14:paraId="7A41BE30"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6FA6D315" w14:textId="77777777" w:rsidTr="009F7F8A">
        <w:trPr>
          <w:cantSplit/>
          <w:trHeight w:val="550"/>
        </w:trPr>
        <w:tc>
          <w:tcPr>
            <w:tcW w:w="959" w:type="dxa"/>
            <w:vMerge/>
            <w:vAlign w:val="center"/>
          </w:tcPr>
          <w:p w14:paraId="3746DB8A" w14:textId="77777777" w:rsidR="009F7F8A" w:rsidRPr="00AC3044" w:rsidRDefault="009F7F8A" w:rsidP="009F7F8A">
            <w:pPr>
              <w:rPr>
                <w:rFonts w:eastAsia="SimSun"/>
              </w:rPr>
            </w:pPr>
          </w:p>
        </w:tc>
        <w:tc>
          <w:tcPr>
            <w:tcW w:w="1843" w:type="dxa"/>
            <w:vAlign w:val="center"/>
          </w:tcPr>
          <w:p w14:paraId="346109B6" w14:textId="77777777" w:rsidR="009F7F8A" w:rsidRPr="00AC3044" w:rsidRDefault="009F7F8A" w:rsidP="009F7F8A">
            <w:pPr>
              <w:rPr>
                <w:rFonts w:eastAsia="SimSun"/>
              </w:rPr>
            </w:pPr>
            <w:r w:rsidRPr="00AC3044">
              <w:rPr>
                <w:rFonts w:eastAsia="SimSun"/>
              </w:rPr>
              <w:t>Бусульфан</w:t>
            </w:r>
          </w:p>
        </w:tc>
        <w:tc>
          <w:tcPr>
            <w:tcW w:w="1417" w:type="dxa"/>
            <w:vAlign w:val="center"/>
          </w:tcPr>
          <w:p w14:paraId="09BE5706" w14:textId="77777777" w:rsidR="009F7F8A" w:rsidRPr="00AC3044" w:rsidRDefault="009F7F8A" w:rsidP="009F7F8A">
            <w:pPr>
              <w:rPr>
                <w:rFonts w:eastAsia="SimSun"/>
              </w:rPr>
            </w:pPr>
            <w:r w:rsidRPr="00AC3044">
              <w:rPr>
                <w:rFonts w:eastAsia="SimSun"/>
              </w:rPr>
              <w:t xml:space="preserve">4 мг/кг </w:t>
            </w:r>
          </w:p>
        </w:tc>
        <w:tc>
          <w:tcPr>
            <w:tcW w:w="1701" w:type="dxa"/>
            <w:vAlign w:val="center"/>
          </w:tcPr>
          <w:p w14:paraId="661D34BA" w14:textId="77777777" w:rsidR="009F7F8A" w:rsidRPr="00AC3044" w:rsidRDefault="009F7F8A" w:rsidP="009F7F8A">
            <w:pPr>
              <w:rPr>
                <w:rFonts w:eastAsia="SimSun"/>
              </w:rPr>
            </w:pPr>
            <w:r w:rsidRPr="00AC3044">
              <w:rPr>
                <w:rFonts w:eastAsia="SimSun"/>
              </w:rPr>
              <w:t xml:space="preserve">8 мг/кг </w:t>
            </w:r>
          </w:p>
        </w:tc>
        <w:tc>
          <w:tcPr>
            <w:tcW w:w="1418" w:type="dxa"/>
            <w:vAlign w:val="center"/>
          </w:tcPr>
          <w:p w14:paraId="097CC294" w14:textId="77777777" w:rsidR="009F7F8A" w:rsidRPr="00AC3044" w:rsidRDefault="009F7F8A" w:rsidP="009F7F8A">
            <w:pPr>
              <w:rPr>
                <w:rFonts w:eastAsia="SimSun"/>
              </w:rPr>
            </w:pPr>
            <w:r w:rsidRPr="00AC3044">
              <w:rPr>
                <w:rFonts w:eastAsia="SimSun"/>
              </w:rPr>
              <w:t>С -4 дня по -3 день</w:t>
            </w:r>
          </w:p>
        </w:tc>
        <w:tc>
          <w:tcPr>
            <w:tcW w:w="2246" w:type="dxa"/>
            <w:vAlign w:val="center"/>
          </w:tcPr>
          <w:p w14:paraId="124156AD"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012D8C1F" w14:textId="77777777" w:rsidTr="009F7F8A">
        <w:trPr>
          <w:cantSplit/>
          <w:trHeight w:val="1498"/>
        </w:trPr>
        <w:tc>
          <w:tcPr>
            <w:tcW w:w="959" w:type="dxa"/>
            <w:vMerge w:val="restart"/>
            <w:textDirection w:val="btLr"/>
            <w:vAlign w:val="center"/>
          </w:tcPr>
          <w:p w14:paraId="6DFCBB38" w14:textId="77777777" w:rsidR="009F7F8A" w:rsidRPr="00AC3044" w:rsidRDefault="009F7F8A" w:rsidP="009F7F8A">
            <w:pPr>
              <w:rPr>
                <w:rFonts w:eastAsia="SimSun"/>
              </w:rPr>
            </w:pPr>
            <w:r w:rsidRPr="00AC3044">
              <w:rPr>
                <w:rFonts w:eastAsia="SimSun"/>
              </w:rPr>
              <w:t>Профилактика РТПХ</w:t>
            </w:r>
          </w:p>
        </w:tc>
        <w:tc>
          <w:tcPr>
            <w:tcW w:w="1843" w:type="dxa"/>
            <w:vAlign w:val="center"/>
          </w:tcPr>
          <w:p w14:paraId="13A75772" w14:textId="77777777" w:rsidR="009F7F8A" w:rsidRPr="00AC3044" w:rsidRDefault="009F7F8A" w:rsidP="009F7F8A">
            <w:pPr>
              <w:rPr>
                <w:rFonts w:eastAsia="SimSun"/>
              </w:rPr>
            </w:pPr>
            <w:r w:rsidRPr="00AC3044">
              <w:rPr>
                <w:rFonts w:eastAsia="SimSun"/>
              </w:rPr>
              <w:t>Циклофосфамид</w:t>
            </w:r>
          </w:p>
        </w:tc>
        <w:tc>
          <w:tcPr>
            <w:tcW w:w="1417" w:type="dxa"/>
            <w:vAlign w:val="center"/>
          </w:tcPr>
          <w:p w14:paraId="15D26CE2" w14:textId="77777777" w:rsidR="009F7F8A" w:rsidRPr="00AC3044" w:rsidRDefault="009F7F8A" w:rsidP="009F7F8A">
            <w:pPr>
              <w:rPr>
                <w:rFonts w:eastAsia="SimSun"/>
              </w:rPr>
            </w:pPr>
            <w:r w:rsidRPr="00AC3044">
              <w:rPr>
                <w:rFonts w:eastAsia="SimSun"/>
              </w:rPr>
              <w:t>50 мг/кг</w:t>
            </w:r>
          </w:p>
        </w:tc>
        <w:tc>
          <w:tcPr>
            <w:tcW w:w="1701" w:type="dxa"/>
            <w:vAlign w:val="center"/>
          </w:tcPr>
          <w:p w14:paraId="44A7E3FB" w14:textId="77777777" w:rsidR="009F7F8A" w:rsidRPr="00AC3044" w:rsidRDefault="009F7F8A" w:rsidP="009F7F8A">
            <w:pPr>
              <w:rPr>
                <w:rFonts w:eastAsia="SimSun"/>
              </w:rPr>
            </w:pPr>
            <w:r w:rsidRPr="00AC3044">
              <w:rPr>
                <w:rFonts w:eastAsia="SimSun"/>
              </w:rPr>
              <w:t>100 мг/кг</w:t>
            </w:r>
          </w:p>
        </w:tc>
        <w:tc>
          <w:tcPr>
            <w:tcW w:w="1418" w:type="dxa"/>
            <w:vAlign w:val="center"/>
          </w:tcPr>
          <w:p w14:paraId="77E1F1C4" w14:textId="77777777" w:rsidR="009F7F8A" w:rsidRPr="00AC3044" w:rsidRDefault="009F7F8A" w:rsidP="009F7F8A">
            <w:pPr>
              <w:rPr>
                <w:rFonts w:eastAsia="SimSun"/>
              </w:rPr>
            </w:pPr>
            <w:r w:rsidRPr="00AC3044">
              <w:rPr>
                <w:rFonts w:eastAsia="SimSun"/>
              </w:rPr>
              <w:t>В +3 день  и +5 день</w:t>
            </w:r>
          </w:p>
        </w:tc>
        <w:tc>
          <w:tcPr>
            <w:tcW w:w="2246" w:type="dxa"/>
            <w:vAlign w:val="center"/>
          </w:tcPr>
          <w:p w14:paraId="3204E763"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6896A4C7" w14:textId="77777777" w:rsidTr="009F7F8A">
        <w:trPr>
          <w:cantSplit/>
          <w:trHeight w:val="958"/>
        </w:trPr>
        <w:tc>
          <w:tcPr>
            <w:tcW w:w="959" w:type="dxa"/>
            <w:vMerge/>
            <w:textDirection w:val="btLr"/>
            <w:vAlign w:val="center"/>
          </w:tcPr>
          <w:p w14:paraId="4B653BDB" w14:textId="77777777" w:rsidR="009F7F8A" w:rsidRPr="00AC3044" w:rsidRDefault="009F7F8A" w:rsidP="009F7F8A">
            <w:pPr>
              <w:rPr>
                <w:rFonts w:eastAsia="SimSun"/>
              </w:rPr>
            </w:pPr>
          </w:p>
        </w:tc>
        <w:tc>
          <w:tcPr>
            <w:tcW w:w="1843" w:type="dxa"/>
            <w:vAlign w:val="center"/>
          </w:tcPr>
          <w:p w14:paraId="05B61C0D" w14:textId="77777777" w:rsidR="009F7F8A" w:rsidRPr="00AC3044" w:rsidRDefault="009F7F8A" w:rsidP="009F7F8A">
            <w:pPr>
              <w:rPr>
                <w:rFonts w:eastAsia="SimSun"/>
              </w:rPr>
            </w:pPr>
            <w:r w:rsidRPr="00AC3044">
              <w:rPr>
                <w:rFonts w:eastAsia="SimSun"/>
              </w:rPr>
              <w:t>Микофенолата мофетил</w:t>
            </w:r>
          </w:p>
        </w:tc>
        <w:tc>
          <w:tcPr>
            <w:tcW w:w="1417" w:type="dxa"/>
            <w:vAlign w:val="center"/>
          </w:tcPr>
          <w:p w14:paraId="365ED559" w14:textId="77777777" w:rsidR="009F7F8A" w:rsidRPr="00AC3044" w:rsidRDefault="009F7F8A" w:rsidP="009F7F8A">
            <w:pPr>
              <w:rPr>
                <w:rFonts w:eastAsia="SimSun"/>
              </w:rPr>
            </w:pPr>
            <w:r w:rsidRPr="00AC3044">
              <w:rPr>
                <w:rFonts w:eastAsia="SimSun"/>
              </w:rPr>
              <w:t xml:space="preserve">30 мг/кг </w:t>
            </w:r>
          </w:p>
        </w:tc>
        <w:tc>
          <w:tcPr>
            <w:tcW w:w="1701" w:type="dxa"/>
            <w:vAlign w:val="center"/>
          </w:tcPr>
          <w:p w14:paraId="6F2B7AC4" w14:textId="77777777" w:rsidR="009F7F8A" w:rsidRPr="00AC3044" w:rsidRDefault="009F7F8A" w:rsidP="009F7F8A">
            <w:pPr>
              <w:rPr>
                <w:rFonts w:eastAsia="SimSun"/>
              </w:rPr>
            </w:pPr>
            <w:r w:rsidRPr="00AC3044">
              <w:rPr>
                <w:rFonts w:eastAsia="SimSun"/>
              </w:rPr>
              <w:t>–</w:t>
            </w:r>
          </w:p>
        </w:tc>
        <w:tc>
          <w:tcPr>
            <w:tcW w:w="1418" w:type="dxa"/>
            <w:vAlign w:val="center"/>
          </w:tcPr>
          <w:p w14:paraId="72119D52" w14:textId="77777777" w:rsidR="009F7F8A" w:rsidRPr="00AC3044" w:rsidRDefault="009F7F8A" w:rsidP="009F7F8A">
            <w:pPr>
              <w:rPr>
                <w:rFonts w:eastAsia="SimSun"/>
              </w:rPr>
            </w:pPr>
            <w:r w:rsidRPr="00AC3044">
              <w:rPr>
                <w:rFonts w:eastAsia="SimSun"/>
              </w:rPr>
              <w:t xml:space="preserve">С +1 дня по +28 день </w:t>
            </w:r>
          </w:p>
        </w:tc>
        <w:tc>
          <w:tcPr>
            <w:tcW w:w="2246" w:type="dxa"/>
            <w:vAlign w:val="center"/>
          </w:tcPr>
          <w:p w14:paraId="28CD5730"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w:t>
            </w:r>
          </w:p>
        </w:tc>
      </w:tr>
      <w:tr w:rsidR="009F7F8A" w:rsidRPr="00AC3044" w14:paraId="36BB8D5B" w14:textId="77777777" w:rsidTr="009F7F8A">
        <w:trPr>
          <w:cantSplit/>
          <w:trHeight w:val="958"/>
        </w:trPr>
        <w:tc>
          <w:tcPr>
            <w:tcW w:w="959" w:type="dxa"/>
            <w:vMerge/>
            <w:textDirection w:val="btLr"/>
            <w:vAlign w:val="center"/>
          </w:tcPr>
          <w:p w14:paraId="763C460C" w14:textId="77777777" w:rsidR="009F7F8A" w:rsidRPr="00AC3044" w:rsidRDefault="009F7F8A" w:rsidP="009F7F8A">
            <w:pPr>
              <w:rPr>
                <w:rFonts w:eastAsia="SimSun"/>
              </w:rPr>
            </w:pPr>
          </w:p>
        </w:tc>
        <w:tc>
          <w:tcPr>
            <w:tcW w:w="1843" w:type="dxa"/>
            <w:vAlign w:val="center"/>
          </w:tcPr>
          <w:p w14:paraId="01583FD0" w14:textId="77777777" w:rsidR="009F7F8A" w:rsidRPr="00AC3044" w:rsidRDefault="009F7F8A" w:rsidP="009F7F8A">
            <w:pPr>
              <w:rPr>
                <w:rFonts w:eastAsia="SimSun"/>
              </w:rPr>
            </w:pPr>
            <w:r w:rsidRPr="00AC3044">
              <w:rPr>
                <w:rFonts w:eastAsia="SimSun"/>
              </w:rPr>
              <w:t>Циклоспорин А</w:t>
            </w:r>
          </w:p>
        </w:tc>
        <w:tc>
          <w:tcPr>
            <w:tcW w:w="1417" w:type="dxa"/>
            <w:vAlign w:val="center"/>
          </w:tcPr>
          <w:p w14:paraId="3194AF02" w14:textId="77777777" w:rsidR="009F7F8A" w:rsidRPr="00AC3044" w:rsidRDefault="009F7F8A" w:rsidP="009F7F8A">
            <w:pPr>
              <w:rPr>
                <w:rFonts w:eastAsia="SimSun"/>
              </w:rPr>
            </w:pPr>
            <w:r w:rsidRPr="00AC3044">
              <w:rPr>
                <w:rFonts w:eastAsia="SimSun"/>
              </w:rPr>
              <w:t>3  мг/кг</w:t>
            </w:r>
          </w:p>
        </w:tc>
        <w:tc>
          <w:tcPr>
            <w:tcW w:w="1701" w:type="dxa"/>
            <w:vAlign w:val="center"/>
          </w:tcPr>
          <w:p w14:paraId="300AAC28" w14:textId="77777777" w:rsidR="009F7F8A" w:rsidRPr="00AC3044" w:rsidRDefault="009F7F8A" w:rsidP="009F7F8A">
            <w:pPr>
              <w:rPr>
                <w:rFonts w:eastAsia="SimSun"/>
              </w:rPr>
            </w:pPr>
            <w:r w:rsidRPr="00AC3044">
              <w:rPr>
                <w:rFonts w:eastAsia="SimSun"/>
              </w:rPr>
              <w:t>-</w:t>
            </w:r>
          </w:p>
        </w:tc>
        <w:tc>
          <w:tcPr>
            <w:tcW w:w="1418" w:type="dxa"/>
            <w:vAlign w:val="center"/>
          </w:tcPr>
          <w:p w14:paraId="247B4400" w14:textId="77777777" w:rsidR="009F7F8A" w:rsidRPr="00AC3044" w:rsidRDefault="009F7F8A" w:rsidP="009F7F8A">
            <w:pPr>
              <w:rPr>
                <w:rFonts w:eastAsia="SimSun"/>
              </w:rPr>
            </w:pPr>
            <w:r w:rsidRPr="00AC3044">
              <w:rPr>
                <w:rFonts w:eastAsia="SimSun"/>
              </w:rPr>
              <w:t xml:space="preserve">С -1 дня по +100 день </w:t>
            </w:r>
          </w:p>
        </w:tc>
        <w:tc>
          <w:tcPr>
            <w:tcW w:w="2246" w:type="dxa"/>
            <w:vAlign w:val="center"/>
          </w:tcPr>
          <w:p w14:paraId="27EC7E71"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bl>
    <w:p w14:paraId="542AA526" w14:textId="77777777" w:rsidR="009F7F8A" w:rsidRDefault="009F7F8A" w:rsidP="009F7F8A">
      <w:pPr>
        <w:rPr>
          <w:rFonts w:eastAsia="SimSun"/>
        </w:rPr>
      </w:pPr>
    </w:p>
    <w:p w14:paraId="030E9719" w14:textId="77777777" w:rsidR="009F7F8A" w:rsidRPr="00C07B2E" w:rsidRDefault="009F7F8A" w:rsidP="009F7F8A">
      <w:pPr>
        <w:rPr>
          <w:rFonts w:eastAsia="SimSun"/>
        </w:rPr>
      </w:pPr>
      <w:bookmarkStart w:id="140" w:name="_Toc44401170"/>
      <w:r w:rsidRPr="00042499">
        <w:rPr>
          <w:rFonts w:eastAsia="SimSun"/>
        </w:rPr>
        <w:t>Таблица</w:t>
      </w:r>
      <w:r w:rsidRPr="00C07B2E">
        <w:rPr>
          <w:rFonts w:eastAsia="SimSun"/>
        </w:rPr>
        <w:t xml:space="preserve"> </w:t>
      </w:r>
      <w:r>
        <w:rPr>
          <w:rFonts w:eastAsia="SimSun"/>
        </w:rPr>
        <w:t>5.</w:t>
      </w:r>
      <w:r w:rsidRPr="00C07B2E">
        <w:rPr>
          <w:rFonts w:eastAsia="SimSun"/>
        </w:rPr>
        <w:t>1.2.12  – Flu180+Bu10 / PT-Cy+Ruxo</w:t>
      </w:r>
      <w:bookmarkEnd w:id="14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843"/>
        <w:gridCol w:w="1417"/>
        <w:gridCol w:w="1701"/>
        <w:gridCol w:w="1418"/>
        <w:gridCol w:w="2268"/>
      </w:tblGrid>
      <w:tr w:rsidR="009F7F8A" w:rsidRPr="00AC3044" w14:paraId="459CC9D2" w14:textId="77777777" w:rsidTr="009F7F8A">
        <w:trPr>
          <w:cantSplit/>
          <w:trHeight w:val="20"/>
          <w:tblHeader/>
        </w:trPr>
        <w:tc>
          <w:tcPr>
            <w:tcW w:w="959" w:type="dxa"/>
            <w:vAlign w:val="center"/>
          </w:tcPr>
          <w:p w14:paraId="61C749F6" w14:textId="77777777" w:rsidR="009F7F8A" w:rsidRPr="00470D3D" w:rsidRDefault="009F7F8A" w:rsidP="009F7F8A">
            <w:pPr>
              <w:rPr>
                <w:rFonts w:eastAsia="SimSun"/>
              </w:rPr>
            </w:pPr>
          </w:p>
        </w:tc>
        <w:tc>
          <w:tcPr>
            <w:tcW w:w="1843" w:type="dxa"/>
            <w:vAlign w:val="center"/>
          </w:tcPr>
          <w:p w14:paraId="356D3ED5" w14:textId="77777777" w:rsidR="009F7F8A" w:rsidRPr="00AC3044" w:rsidRDefault="009F7F8A" w:rsidP="009F7F8A">
            <w:pPr>
              <w:rPr>
                <w:rFonts w:eastAsia="SimSun"/>
              </w:rPr>
            </w:pPr>
            <w:r w:rsidRPr="00AC3044">
              <w:rPr>
                <w:rFonts w:eastAsia="SimSun"/>
              </w:rPr>
              <w:t>Препарат</w:t>
            </w:r>
          </w:p>
        </w:tc>
        <w:tc>
          <w:tcPr>
            <w:tcW w:w="1417" w:type="dxa"/>
            <w:vAlign w:val="center"/>
          </w:tcPr>
          <w:p w14:paraId="3B104167" w14:textId="77777777" w:rsidR="009F7F8A" w:rsidRPr="00AC3044" w:rsidRDefault="009F7F8A" w:rsidP="009F7F8A">
            <w:pPr>
              <w:rPr>
                <w:rFonts w:eastAsia="SimSun"/>
              </w:rPr>
            </w:pPr>
            <w:r w:rsidRPr="00AC3044">
              <w:rPr>
                <w:rFonts w:eastAsia="SimSun"/>
              </w:rPr>
              <w:t>Суточная доза</w:t>
            </w:r>
          </w:p>
        </w:tc>
        <w:tc>
          <w:tcPr>
            <w:tcW w:w="1701" w:type="dxa"/>
            <w:vAlign w:val="center"/>
          </w:tcPr>
          <w:p w14:paraId="79A9E5F4" w14:textId="77777777" w:rsidR="009F7F8A" w:rsidRPr="00AC3044" w:rsidRDefault="009F7F8A" w:rsidP="009F7F8A">
            <w:pPr>
              <w:rPr>
                <w:rFonts w:eastAsia="SimSun"/>
              </w:rPr>
            </w:pPr>
            <w:r w:rsidRPr="00AC3044">
              <w:rPr>
                <w:rFonts w:eastAsia="SimSun"/>
              </w:rPr>
              <w:t>Курсовая доза</w:t>
            </w:r>
          </w:p>
        </w:tc>
        <w:tc>
          <w:tcPr>
            <w:tcW w:w="1418" w:type="dxa"/>
            <w:vAlign w:val="center"/>
          </w:tcPr>
          <w:p w14:paraId="05E7C42B"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275D6948"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739283B8" w14:textId="77777777" w:rsidTr="009F7F8A">
        <w:trPr>
          <w:cantSplit/>
          <w:trHeight w:val="20"/>
        </w:trPr>
        <w:tc>
          <w:tcPr>
            <w:tcW w:w="959" w:type="dxa"/>
            <w:vMerge w:val="restart"/>
            <w:textDirection w:val="btLr"/>
            <w:vAlign w:val="center"/>
          </w:tcPr>
          <w:p w14:paraId="2AF74EE3" w14:textId="77777777" w:rsidR="009F7F8A" w:rsidRPr="00AC3044" w:rsidRDefault="009F7F8A" w:rsidP="009F7F8A">
            <w:pPr>
              <w:rPr>
                <w:rFonts w:eastAsia="SimSun"/>
              </w:rPr>
            </w:pPr>
            <w:r w:rsidRPr="00AC3044">
              <w:rPr>
                <w:rFonts w:eastAsia="SimSun"/>
              </w:rPr>
              <w:t>Кондиционирование</w:t>
            </w:r>
          </w:p>
        </w:tc>
        <w:tc>
          <w:tcPr>
            <w:tcW w:w="1843" w:type="dxa"/>
            <w:vAlign w:val="center"/>
          </w:tcPr>
          <w:p w14:paraId="6C9A2CE2" w14:textId="77777777" w:rsidR="009F7F8A" w:rsidRPr="00AC3044" w:rsidRDefault="009F7F8A" w:rsidP="009F7F8A">
            <w:pPr>
              <w:rPr>
                <w:rFonts w:eastAsia="SimSun"/>
              </w:rPr>
            </w:pPr>
            <w:r w:rsidRPr="00AC3044">
              <w:rPr>
                <w:rFonts w:eastAsia="SimSun"/>
              </w:rPr>
              <w:t xml:space="preserve">Флударабин </w:t>
            </w:r>
          </w:p>
        </w:tc>
        <w:tc>
          <w:tcPr>
            <w:tcW w:w="1417" w:type="dxa"/>
            <w:vAlign w:val="center"/>
          </w:tcPr>
          <w:p w14:paraId="71B8D2CF"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5A7C4104"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418" w:type="dxa"/>
            <w:vAlign w:val="center"/>
          </w:tcPr>
          <w:p w14:paraId="6BD70CFE"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341A649C"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236B8C0A" w14:textId="77777777" w:rsidTr="009F7F8A">
        <w:trPr>
          <w:cantSplit/>
          <w:trHeight w:val="998"/>
        </w:trPr>
        <w:tc>
          <w:tcPr>
            <w:tcW w:w="959" w:type="dxa"/>
            <w:vMerge/>
            <w:vAlign w:val="center"/>
          </w:tcPr>
          <w:p w14:paraId="56D41BE2" w14:textId="77777777" w:rsidR="009F7F8A" w:rsidRPr="00AC3044" w:rsidRDefault="009F7F8A" w:rsidP="009F7F8A">
            <w:pPr>
              <w:rPr>
                <w:rFonts w:eastAsia="SimSun"/>
              </w:rPr>
            </w:pPr>
          </w:p>
        </w:tc>
        <w:tc>
          <w:tcPr>
            <w:tcW w:w="1843" w:type="dxa"/>
            <w:vAlign w:val="center"/>
          </w:tcPr>
          <w:p w14:paraId="223E98A0" w14:textId="77777777" w:rsidR="009F7F8A" w:rsidRPr="00AC3044" w:rsidRDefault="009F7F8A" w:rsidP="009F7F8A">
            <w:pPr>
              <w:rPr>
                <w:rFonts w:eastAsia="SimSun"/>
              </w:rPr>
            </w:pPr>
            <w:r w:rsidRPr="00AC3044">
              <w:rPr>
                <w:rFonts w:eastAsia="SimSun"/>
              </w:rPr>
              <w:t>Бусульфан</w:t>
            </w:r>
          </w:p>
        </w:tc>
        <w:tc>
          <w:tcPr>
            <w:tcW w:w="1417" w:type="dxa"/>
            <w:vAlign w:val="center"/>
          </w:tcPr>
          <w:p w14:paraId="5671FEB3" w14:textId="77777777" w:rsidR="009F7F8A" w:rsidRPr="00AC3044" w:rsidRDefault="009F7F8A" w:rsidP="009F7F8A">
            <w:pPr>
              <w:rPr>
                <w:rFonts w:eastAsia="SimSun"/>
              </w:rPr>
            </w:pPr>
            <w:r w:rsidRPr="00AC3044">
              <w:rPr>
                <w:rFonts w:eastAsia="SimSun"/>
              </w:rPr>
              <w:t xml:space="preserve">4 мг/кг </w:t>
            </w:r>
          </w:p>
        </w:tc>
        <w:tc>
          <w:tcPr>
            <w:tcW w:w="1701" w:type="dxa"/>
            <w:vAlign w:val="center"/>
          </w:tcPr>
          <w:p w14:paraId="6E450B4A" w14:textId="77777777" w:rsidR="009F7F8A" w:rsidRPr="00AC3044" w:rsidRDefault="009F7F8A" w:rsidP="009F7F8A">
            <w:pPr>
              <w:rPr>
                <w:rFonts w:eastAsia="SimSun"/>
              </w:rPr>
            </w:pPr>
            <w:r w:rsidRPr="00AC3044">
              <w:rPr>
                <w:rFonts w:eastAsia="SimSun"/>
              </w:rPr>
              <w:t xml:space="preserve">10 мг/кг </w:t>
            </w:r>
          </w:p>
        </w:tc>
        <w:tc>
          <w:tcPr>
            <w:tcW w:w="1418" w:type="dxa"/>
            <w:vAlign w:val="center"/>
          </w:tcPr>
          <w:p w14:paraId="69CF1628" w14:textId="77777777" w:rsidR="009F7F8A" w:rsidRPr="00AC3044" w:rsidRDefault="009F7F8A" w:rsidP="009F7F8A">
            <w:pPr>
              <w:rPr>
                <w:rFonts w:eastAsia="SimSun"/>
              </w:rPr>
            </w:pPr>
            <w:r w:rsidRPr="00AC3044">
              <w:rPr>
                <w:rFonts w:eastAsia="SimSun"/>
              </w:rPr>
              <w:t>С -5 дня по -3 день</w:t>
            </w:r>
          </w:p>
        </w:tc>
        <w:tc>
          <w:tcPr>
            <w:tcW w:w="2268" w:type="dxa"/>
            <w:vAlign w:val="center"/>
          </w:tcPr>
          <w:p w14:paraId="4891FB89" w14:textId="77777777" w:rsidR="009F7F8A" w:rsidRPr="00470D3D" w:rsidRDefault="009F7F8A" w:rsidP="009F7F8A">
            <w:pPr>
              <w:rPr>
                <w:rFonts w:eastAsia="SimSun"/>
              </w:rPr>
            </w:pPr>
            <w:r w:rsidRPr="00AC3044">
              <w:rPr>
                <w:rFonts w:eastAsia="SimSun"/>
              </w:rPr>
              <w:t xml:space="preserve">Внутрь, суммарная суточная доза разделяется на 4 приема с интервалом 6 часов. </w:t>
            </w:r>
            <w:r w:rsidRPr="00470D3D">
              <w:rPr>
                <w:rFonts w:eastAsia="SimSun"/>
              </w:rPr>
              <w:t>День -6: бусульфан разделяется на 2 приема с интервалом 6 часов, в вечернее время (18.00, 24.00)</w:t>
            </w:r>
          </w:p>
        </w:tc>
      </w:tr>
      <w:tr w:rsidR="009F7F8A" w:rsidRPr="00AC3044" w14:paraId="5AA6F9E4" w14:textId="77777777" w:rsidTr="009F7F8A">
        <w:trPr>
          <w:cantSplit/>
          <w:trHeight w:val="636"/>
        </w:trPr>
        <w:tc>
          <w:tcPr>
            <w:tcW w:w="959" w:type="dxa"/>
            <w:vMerge w:val="restart"/>
            <w:textDirection w:val="btLr"/>
            <w:vAlign w:val="center"/>
          </w:tcPr>
          <w:p w14:paraId="6FE82A3B" w14:textId="77777777" w:rsidR="009F7F8A" w:rsidRPr="00AC3044" w:rsidRDefault="009F7F8A" w:rsidP="009F7F8A">
            <w:pPr>
              <w:rPr>
                <w:rFonts w:eastAsia="SimSun"/>
              </w:rPr>
            </w:pPr>
            <w:r w:rsidRPr="00AC3044">
              <w:rPr>
                <w:rFonts w:eastAsia="SimSun"/>
              </w:rPr>
              <w:t>Профилактика РТПХ</w:t>
            </w:r>
          </w:p>
        </w:tc>
        <w:tc>
          <w:tcPr>
            <w:tcW w:w="1843" w:type="dxa"/>
            <w:vAlign w:val="center"/>
          </w:tcPr>
          <w:p w14:paraId="38A90807" w14:textId="77777777" w:rsidR="009F7F8A" w:rsidRPr="00AC3044" w:rsidRDefault="009F7F8A" w:rsidP="009F7F8A">
            <w:pPr>
              <w:rPr>
                <w:rFonts w:eastAsia="SimSun"/>
              </w:rPr>
            </w:pPr>
            <w:r w:rsidRPr="00AC3044">
              <w:rPr>
                <w:rFonts w:eastAsia="SimSun"/>
              </w:rPr>
              <w:t>Циклофосфамид</w:t>
            </w:r>
          </w:p>
        </w:tc>
        <w:tc>
          <w:tcPr>
            <w:tcW w:w="1417" w:type="dxa"/>
            <w:vAlign w:val="center"/>
          </w:tcPr>
          <w:p w14:paraId="47A5D247" w14:textId="77777777" w:rsidR="009F7F8A" w:rsidRPr="00AC3044" w:rsidRDefault="009F7F8A" w:rsidP="009F7F8A">
            <w:pPr>
              <w:rPr>
                <w:rFonts w:eastAsia="SimSun"/>
              </w:rPr>
            </w:pPr>
            <w:r w:rsidRPr="00AC3044">
              <w:rPr>
                <w:rFonts w:eastAsia="SimSun"/>
              </w:rPr>
              <w:t>50 мг/кг</w:t>
            </w:r>
          </w:p>
        </w:tc>
        <w:tc>
          <w:tcPr>
            <w:tcW w:w="1701" w:type="dxa"/>
            <w:vAlign w:val="center"/>
          </w:tcPr>
          <w:p w14:paraId="3F80D08C" w14:textId="77777777" w:rsidR="009F7F8A" w:rsidRPr="00AC3044" w:rsidRDefault="009F7F8A" w:rsidP="009F7F8A">
            <w:pPr>
              <w:rPr>
                <w:rFonts w:eastAsia="SimSun"/>
              </w:rPr>
            </w:pPr>
            <w:r w:rsidRPr="00AC3044">
              <w:rPr>
                <w:rFonts w:eastAsia="SimSun"/>
              </w:rPr>
              <w:t>100 мг/кг</w:t>
            </w:r>
          </w:p>
        </w:tc>
        <w:tc>
          <w:tcPr>
            <w:tcW w:w="1418" w:type="dxa"/>
            <w:vAlign w:val="center"/>
          </w:tcPr>
          <w:p w14:paraId="4BCD7422" w14:textId="77777777" w:rsidR="009F7F8A" w:rsidRPr="00AC3044" w:rsidRDefault="009F7F8A" w:rsidP="009F7F8A">
            <w:pPr>
              <w:rPr>
                <w:rFonts w:eastAsia="SimSun"/>
              </w:rPr>
            </w:pPr>
            <w:r w:rsidRPr="00AC3044">
              <w:rPr>
                <w:rFonts w:eastAsia="SimSun"/>
              </w:rPr>
              <w:t>С +3 дня по +4 день</w:t>
            </w:r>
          </w:p>
        </w:tc>
        <w:tc>
          <w:tcPr>
            <w:tcW w:w="2268" w:type="dxa"/>
            <w:vAlign w:val="center"/>
          </w:tcPr>
          <w:p w14:paraId="23ED1E0F"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119DF44E" w14:textId="77777777" w:rsidTr="009F7F8A">
        <w:trPr>
          <w:cantSplit/>
          <w:trHeight w:val="688"/>
        </w:trPr>
        <w:tc>
          <w:tcPr>
            <w:tcW w:w="959" w:type="dxa"/>
            <w:vMerge/>
            <w:textDirection w:val="btLr"/>
            <w:vAlign w:val="center"/>
          </w:tcPr>
          <w:p w14:paraId="52CD94DE" w14:textId="77777777" w:rsidR="009F7F8A" w:rsidRPr="00AC3044" w:rsidRDefault="009F7F8A" w:rsidP="009F7F8A">
            <w:pPr>
              <w:rPr>
                <w:rFonts w:eastAsia="SimSun"/>
              </w:rPr>
            </w:pPr>
          </w:p>
        </w:tc>
        <w:tc>
          <w:tcPr>
            <w:tcW w:w="1843" w:type="dxa"/>
            <w:vAlign w:val="center"/>
          </w:tcPr>
          <w:p w14:paraId="33D4D7D9" w14:textId="77777777" w:rsidR="009F7F8A" w:rsidRPr="00AC3044" w:rsidRDefault="009F7F8A" w:rsidP="009F7F8A">
            <w:pPr>
              <w:rPr>
                <w:rFonts w:eastAsia="SimSun"/>
              </w:rPr>
            </w:pPr>
            <w:r w:rsidRPr="00AC3044">
              <w:rPr>
                <w:rFonts w:eastAsia="SimSun"/>
              </w:rPr>
              <w:t>Руксолитиниб</w:t>
            </w:r>
          </w:p>
        </w:tc>
        <w:tc>
          <w:tcPr>
            <w:tcW w:w="1417" w:type="dxa"/>
            <w:vAlign w:val="center"/>
          </w:tcPr>
          <w:p w14:paraId="07697973" w14:textId="77777777" w:rsidR="009F7F8A" w:rsidRPr="00AC3044" w:rsidRDefault="009F7F8A" w:rsidP="009F7F8A">
            <w:pPr>
              <w:rPr>
                <w:rFonts w:eastAsia="SimSun"/>
              </w:rPr>
            </w:pPr>
            <w:r w:rsidRPr="00AC3044">
              <w:rPr>
                <w:rFonts w:eastAsia="SimSun"/>
              </w:rPr>
              <w:t>45 мг</w:t>
            </w:r>
          </w:p>
        </w:tc>
        <w:tc>
          <w:tcPr>
            <w:tcW w:w="1701" w:type="dxa"/>
            <w:vAlign w:val="center"/>
          </w:tcPr>
          <w:p w14:paraId="7464ED8B" w14:textId="77777777" w:rsidR="009F7F8A" w:rsidRPr="00AC3044" w:rsidRDefault="009F7F8A" w:rsidP="009F7F8A">
            <w:pPr>
              <w:rPr>
                <w:rFonts w:eastAsia="SimSun"/>
              </w:rPr>
            </w:pPr>
            <w:r w:rsidRPr="00AC3044">
              <w:rPr>
                <w:rFonts w:eastAsia="SimSun"/>
              </w:rPr>
              <w:t>270 мг</w:t>
            </w:r>
          </w:p>
        </w:tc>
        <w:tc>
          <w:tcPr>
            <w:tcW w:w="1418" w:type="dxa"/>
            <w:vAlign w:val="center"/>
          </w:tcPr>
          <w:p w14:paraId="5EF9D33F" w14:textId="77777777" w:rsidR="009F7F8A" w:rsidRPr="00AC3044" w:rsidRDefault="009F7F8A" w:rsidP="009F7F8A">
            <w:pPr>
              <w:rPr>
                <w:rFonts w:eastAsia="SimSun"/>
              </w:rPr>
            </w:pPr>
            <w:r w:rsidRPr="00AC3044">
              <w:rPr>
                <w:rFonts w:eastAsia="SimSun"/>
              </w:rPr>
              <w:t xml:space="preserve">С -7 дня по -2 день </w:t>
            </w:r>
          </w:p>
        </w:tc>
        <w:tc>
          <w:tcPr>
            <w:tcW w:w="2268" w:type="dxa"/>
            <w:vAlign w:val="center"/>
          </w:tcPr>
          <w:p w14:paraId="312A0B81" w14:textId="77777777" w:rsidR="009F7F8A" w:rsidRPr="00AC3044" w:rsidRDefault="009F7F8A" w:rsidP="009F7F8A">
            <w:pPr>
              <w:rPr>
                <w:rFonts w:eastAsia="SimSun"/>
              </w:rPr>
            </w:pPr>
            <w:r w:rsidRPr="00AC3044">
              <w:rPr>
                <w:rFonts w:eastAsia="SimSun"/>
              </w:rPr>
              <w:t xml:space="preserve">Внутрь суточную дозу </w:t>
            </w:r>
          </w:p>
          <w:p w14:paraId="350811C1" w14:textId="77777777" w:rsidR="009F7F8A" w:rsidRPr="00AC3044" w:rsidRDefault="009F7F8A" w:rsidP="009F7F8A">
            <w:pPr>
              <w:rPr>
                <w:rFonts w:eastAsia="SimSun"/>
              </w:rPr>
            </w:pPr>
            <w:r w:rsidRPr="00AC3044">
              <w:rPr>
                <w:rFonts w:eastAsia="SimSun"/>
              </w:rPr>
              <w:t>за 3 приема</w:t>
            </w:r>
          </w:p>
        </w:tc>
      </w:tr>
      <w:tr w:rsidR="009F7F8A" w:rsidRPr="00AC3044" w14:paraId="4FB97B8D" w14:textId="77777777" w:rsidTr="009F7F8A">
        <w:trPr>
          <w:cantSplit/>
          <w:trHeight w:val="839"/>
        </w:trPr>
        <w:tc>
          <w:tcPr>
            <w:tcW w:w="959" w:type="dxa"/>
            <w:vMerge/>
            <w:textDirection w:val="btLr"/>
            <w:vAlign w:val="center"/>
          </w:tcPr>
          <w:p w14:paraId="73B209FB" w14:textId="77777777" w:rsidR="009F7F8A" w:rsidRPr="00AC3044" w:rsidRDefault="009F7F8A" w:rsidP="009F7F8A">
            <w:pPr>
              <w:rPr>
                <w:rFonts w:eastAsia="SimSun"/>
              </w:rPr>
            </w:pPr>
          </w:p>
        </w:tc>
        <w:tc>
          <w:tcPr>
            <w:tcW w:w="1843" w:type="dxa"/>
            <w:vAlign w:val="center"/>
          </w:tcPr>
          <w:p w14:paraId="1035E47D" w14:textId="77777777" w:rsidR="009F7F8A" w:rsidRPr="00AC3044" w:rsidRDefault="009F7F8A" w:rsidP="009F7F8A">
            <w:pPr>
              <w:rPr>
                <w:rFonts w:eastAsia="SimSun"/>
              </w:rPr>
            </w:pPr>
            <w:r w:rsidRPr="00AC3044">
              <w:rPr>
                <w:rFonts w:eastAsia="SimSun"/>
              </w:rPr>
              <w:t xml:space="preserve">Руксолитиниб </w:t>
            </w:r>
          </w:p>
        </w:tc>
        <w:tc>
          <w:tcPr>
            <w:tcW w:w="1417" w:type="dxa"/>
            <w:vAlign w:val="center"/>
          </w:tcPr>
          <w:p w14:paraId="7E8B3E16" w14:textId="77777777" w:rsidR="009F7F8A" w:rsidRPr="00AC3044" w:rsidRDefault="009F7F8A" w:rsidP="009F7F8A">
            <w:pPr>
              <w:rPr>
                <w:rFonts w:eastAsia="SimSun"/>
              </w:rPr>
            </w:pPr>
            <w:r w:rsidRPr="00AC3044">
              <w:rPr>
                <w:rFonts w:eastAsia="SimSun"/>
              </w:rPr>
              <w:t>15 мг</w:t>
            </w:r>
          </w:p>
        </w:tc>
        <w:tc>
          <w:tcPr>
            <w:tcW w:w="1701" w:type="dxa"/>
            <w:vAlign w:val="center"/>
          </w:tcPr>
          <w:p w14:paraId="3ED9D86A" w14:textId="77777777" w:rsidR="009F7F8A" w:rsidRPr="00AC3044" w:rsidRDefault="009F7F8A" w:rsidP="009F7F8A">
            <w:pPr>
              <w:rPr>
                <w:rFonts w:eastAsia="SimSun"/>
              </w:rPr>
            </w:pPr>
            <w:r w:rsidRPr="00AC3044">
              <w:rPr>
                <w:rFonts w:eastAsia="SimSun"/>
              </w:rPr>
              <w:t>-</w:t>
            </w:r>
          </w:p>
        </w:tc>
        <w:tc>
          <w:tcPr>
            <w:tcW w:w="1418" w:type="dxa"/>
            <w:vAlign w:val="center"/>
          </w:tcPr>
          <w:p w14:paraId="46502F40" w14:textId="77777777" w:rsidR="009F7F8A" w:rsidRPr="00AC3044" w:rsidRDefault="009F7F8A" w:rsidP="009F7F8A">
            <w:pPr>
              <w:rPr>
                <w:rFonts w:eastAsia="SimSun"/>
              </w:rPr>
            </w:pPr>
            <w:r w:rsidRPr="00AC3044">
              <w:rPr>
                <w:rFonts w:eastAsia="SimSun"/>
              </w:rPr>
              <w:t>С +5 дня по +100 день</w:t>
            </w:r>
          </w:p>
        </w:tc>
        <w:tc>
          <w:tcPr>
            <w:tcW w:w="2268" w:type="dxa"/>
            <w:vAlign w:val="center"/>
          </w:tcPr>
          <w:p w14:paraId="0D3194CD" w14:textId="77777777" w:rsidR="009F7F8A" w:rsidRPr="00AC3044" w:rsidRDefault="009F7F8A" w:rsidP="009F7F8A">
            <w:pPr>
              <w:rPr>
                <w:rFonts w:eastAsia="SimSun"/>
              </w:rPr>
            </w:pPr>
            <w:r w:rsidRPr="00AC3044">
              <w:rPr>
                <w:rFonts w:eastAsia="SimSun"/>
              </w:rPr>
              <w:t xml:space="preserve">Внутрь суточную дозу </w:t>
            </w:r>
          </w:p>
          <w:p w14:paraId="42263B30" w14:textId="77777777" w:rsidR="009F7F8A" w:rsidRPr="00AC3044" w:rsidRDefault="009F7F8A" w:rsidP="009F7F8A">
            <w:pPr>
              <w:rPr>
                <w:rFonts w:eastAsia="SimSun"/>
              </w:rPr>
            </w:pPr>
            <w:r w:rsidRPr="00AC3044">
              <w:rPr>
                <w:rFonts w:eastAsia="SimSun"/>
              </w:rPr>
              <w:t>за 2 приема</w:t>
            </w:r>
          </w:p>
        </w:tc>
      </w:tr>
    </w:tbl>
    <w:p w14:paraId="19C5A545" w14:textId="77777777" w:rsidR="009F7F8A" w:rsidRDefault="009F7F8A" w:rsidP="009F7F8A">
      <w:pPr>
        <w:rPr>
          <w:rFonts w:eastAsia="SimSun"/>
        </w:rPr>
      </w:pPr>
      <w:bookmarkStart w:id="141" w:name="_Toc44401171"/>
    </w:p>
    <w:p w14:paraId="4E6201C3"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1.2.13  – Flu180+Bu10 / PT-Cy</w:t>
      </w:r>
      <w:bookmarkEnd w:id="141"/>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6"/>
        <w:gridCol w:w="1802"/>
        <w:gridCol w:w="1495"/>
        <w:gridCol w:w="1695"/>
        <w:gridCol w:w="1408"/>
        <w:gridCol w:w="2278"/>
      </w:tblGrid>
      <w:tr w:rsidR="009F7F8A" w:rsidRPr="00AC3044" w14:paraId="6331A54B" w14:textId="77777777" w:rsidTr="009F7F8A">
        <w:trPr>
          <w:cantSplit/>
          <w:trHeight w:val="20"/>
          <w:tblHeader/>
        </w:trPr>
        <w:tc>
          <w:tcPr>
            <w:tcW w:w="866" w:type="dxa"/>
            <w:vAlign w:val="center"/>
          </w:tcPr>
          <w:p w14:paraId="20EA6A70" w14:textId="77777777" w:rsidR="009F7F8A" w:rsidRPr="00470D3D" w:rsidRDefault="009F7F8A" w:rsidP="009F7F8A">
            <w:pPr>
              <w:rPr>
                <w:rFonts w:eastAsia="SimSun"/>
              </w:rPr>
            </w:pPr>
          </w:p>
        </w:tc>
        <w:tc>
          <w:tcPr>
            <w:tcW w:w="1802" w:type="dxa"/>
            <w:vAlign w:val="center"/>
          </w:tcPr>
          <w:p w14:paraId="5C0200EF" w14:textId="77777777" w:rsidR="009F7F8A" w:rsidRPr="00AC3044" w:rsidRDefault="009F7F8A" w:rsidP="009F7F8A">
            <w:pPr>
              <w:rPr>
                <w:rFonts w:eastAsia="SimSun"/>
              </w:rPr>
            </w:pPr>
            <w:r w:rsidRPr="00AC3044">
              <w:rPr>
                <w:rFonts w:eastAsia="SimSun"/>
              </w:rPr>
              <w:t>Препарат</w:t>
            </w:r>
          </w:p>
        </w:tc>
        <w:tc>
          <w:tcPr>
            <w:tcW w:w="1495" w:type="dxa"/>
            <w:vAlign w:val="center"/>
          </w:tcPr>
          <w:p w14:paraId="53EABE25" w14:textId="77777777" w:rsidR="009F7F8A" w:rsidRPr="00AC3044" w:rsidRDefault="009F7F8A" w:rsidP="009F7F8A">
            <w:pPr>
              <w:rPr>
                <w:rFonts w:eastAsia="SimSun"/>
              </w:rPr>
            </w:pPr>
            <w:r w:rsidRPr="00AC3044">
              <w:rPr>
                <w:rFonts w:eastAsia="SimSun"/>
              </w:rPr>
              <w:t>Суточная доза</w:t>
            </w:r>
          </w:p>
        </w:tc>
        <w:tc>
          <w:tcPr>
            <w:tcW w:w="1695" w:type="dxa"/>
            <w:vAlign w:val="center"/>
          </w:tcPr>
          <w:p w14:paraId="6F8D6BCD" w14:textId="77777777" w:rsidR="009F7F8A" w:rsidRPr="00AC3044" w:rsidRDefault="009F7F8A" w:rsidP="009F7F8A">
            <w:pPr>
              <w:rPr>
                <w:rFonts w:eastAsia="SimSun"/>
              </w:rPr>
            </w:pPr>
            <w:r w:rsidRPr="00AC3044">
              <w:rPr>
                <w:rFonts w:eastAsia="SimSun"/>
              </w:rPr>
              <w:t>Курсовая доза</w:t>
            </w:r>
          </w:p>
        </w:tc>
        <w:tc>
          <w:tcPr>
            <w:tcW w:w="1408" w:type="dxa"/>
            <w:vAlign w:val="center"/>
          </w:tcPr>
          <w:p w14:paraId="1F6D99ED" w14:textId="77777777" w:rsidR="009F7F8A" w:rsidRPr="00AC3044" w:rsidRDefault="009F7F8A" w:rsidP="009F7F8A">
            <w:pPr>
              <w:rPr>
                <w:rFonts w:eastAsia="SimSun"/>
              </w:rPr>
            </w:pPr>
            <w:r w:rsidRPr="00AC3044">
              <w:rPr>
                <w:rFonts w:eastAsia="SimSun"/>
              </w:rPr>
              <w:t>Дни введения</w:t>
            </w:r>
          </w:p>
        </w:tc>
        <w:tc>
          <w:tcPr>
            <w:tcW w:w="2278" w:type="dxa"/>
            <w:vAlign w:val="center"/>
          </w:tcPr>
          <w:p w14:paraId="4AB6D5B7"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12C8905A" w14:textId="77777777" w:rsidTr="009F7F8A">
        <w:trPr>
          <w:cantSplit/>
          <w:trHeight w:val="20"/>
        </w:trPr>
        <w:tc>
          <w:tcPr>
            <w:tcW w:w="866" w:type="dxa"/>
            <w:vMerge w:val="restart"/>
            <w:textDirection w:val="btLr"/>
            <w:vAlign w:val="center"/>
          </w:tcPr>
          <w:p w14:paraId="029F29F5" w14:textId="77777777" w:rsidR="009F7F8A" w:rsidRPr="00AC3044" w:rsidRDefault="009F7F8A" w:rsidP="009F7F8A">
            <w:pPr>
              <w:rPr>
                <w:rFonts w:eastAsia="SimSun"/>
              </w:rPr>
            </w:pPr>
            <w:r w:rsidRPr="00AC3044">
              <w:rPr>
                <w:rFonts w:eastAsia="SimSun"/>
              </w:rPr>
              <w:t>Кондиционирование</w:t>
            </w:r>
          </w:p>
        </w:tc>
        <w:tc>
          <w:tcPr>
            <w:tcW w:w="1802" w:type="dxa"/>
            <w:vAlign w:val="center"/>
          </w:tcPr>
          <w:p w14:paraId="2F194B36" w14:textId="77777777" w:rsidR="009F7F8A" w:rsidRPr="00AC3044" w:rsidRDefault="009F7F8A" w:rsidP="009F7F8A">
            <w:pPr>
              <w:rPr>
                <w:rFonts w:eastAsia="SimSun"/>
              </w:rPr>
            </w:pPr>
            <w:r w:rsidRPr="00AC3044">
              <w:rPr>
                <w:rFonts w:eastAsia="SimSun"/>
              </w:rPr>
              <w:t xml:space="preserve">Флударабин </w:t>
            </w:r>
          </w:p>
        </w:tc>
        <w:tc>
          <w:tcPr>
            <w:tcW w:w="1495" w:type="dxa"/>
            <w:vAlign w:val="center"/>
          </w:tcPr>
          <w:p w14:paraId="78671ABA"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695" w:type="dxa"/>
            <w:vAlign w:val="center"/>
          </w:tcPr>
          <w:p w14:paraId="267946AF"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408" w:type="dxa"/>
            <w:vAlign w:val="center"/>
          </w:tcPr>
          <w:p w14:paraId="15997DD2" w14:textId="77777777" w:rsidR="009F7F8A" w:rsidRPr="00AC3044" w:rsidRDefault="009F7F8A" w:rsidP="009F7F8A">
            <w:pPr>
              <w:rPr>
                <w:rFonts w:eastAsia="SimSun"/>
              </w:rPr>
            </w:pPr>
            <w:r w:rsidRPr="00AC3044">
              <w:rPr>
                <w:rFonts w:eastAsia="SimSun"/>
              </w:rPr>
              <w:t>С -7 дня по -2 день</w:t>
            </w:r>
          </w:p>
        </w:tc>
        <w:tc>
          <w:tcPr>
            <w:tcW w:w="2278" w:type="dxa"/>
            <w:vAlign w:val="center"/>
          </w:tcPr>
          <w:p w14:paraId="3C7C9763"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5EC11E9D" w14:textId="77777777" w:rsidTr="009F7F8A">
        <w:trPr>
          <w:cantSplit/>
          <w:trHeight w:val="1114"/>
        </w:trPr>
        <w:tc>
          <w:tcPr>
            <w:tcW w:w="866" w:type="dxa"/>
            <w:vMerge/>
            <w:vAlign w:val="center"/>
          </w:tcPr>
          <w:p w14:paraId="335688F0" w14:textId="77777777" w:rsidR="009F7F8A" w:rsidRPr="00AC3044" w:rsidRDefault="009F7F8A" w:rsidP="009F7F8A">
            <w:pPr>
              <w:rPr>
                <w:rFonts w:eastAsia="SimSun"/>
              </w:rPr>
            </w:pPr>
          </w:p>
        </w:tc>
        <w:tc>
          <w:tcPr>
            <w:tcW w:w="1802" w:type="dxa"/>
            <w:vAlign w:val="center"/>
          </w:tcPr>
          <w:p w14:paraId="19D03A87" w14:textId="77777777" w:rsidR="009F7F8A" w:rsidRPr="00AC3044" w:rsidRDefault="009F7F8A" w:rsidP="009F7F8A">
            <w:pPr>
              <w:rPr>
                <w:rFonts w:eastAsia="SimSun"/>
              </w:rPr>
            </w:pPr>
            <w:r w:rsidRPr="00AC3044">
              <w:rPr>
                <w:rFonts w:eastAsia="SimSun"/>
              </w:rPr>
              <w:t>Бусульфан</w:t>
            </w:r>
          </w:p>
        </w:tc>
        <w:tc>
          <w:tcPr>
            <w:tcW w:w="1495" w:type="dxa"/>
            <w:vAlign w:val="center"/>
          </w:tcPr>
          <w:p w14:paraId="646210A0" w14:textId="77777777" w:rsidR="009F7F8A" w:rsidRPr="00AC3044" w:rsidRDefault="009F7F8A" w:rsidP="009F7F8A">
            <w:pPr>
              <w:rPr>
                <w:rFonts w:eastAsia="SimSun"/>
              </w:rPr>
            </w:pPr>
            <w:r w:rsidRPr="00AC3044">
              <w:rPr>
                <w:rFonts w:eastAsia="SimSun"/>
              </w:rPr>
              <w:t xml:space="preserve">4 мг/кг </w:t>
            </w:r>
          </w:p>
        </w:tc>
        <w:tc>
          <w:tcPr>
            <w:tcW w:w="1695" w:type="dxa"/>
            <w:vAlign w:val="center"/>
          </w:tcPr>
          <w:p w14:paraId="2124C42F" w14:textId="77777777" w:rsidR="009F7F8A" w:rsidRPr="00AC3044" w:rsidRDefault="009F7F8A" w:rsidP="009F7F8A">
            <w:pPr>
              <w:rPr>
                <w:rFonts w:eastAsia="SimSun"/>
              </w:rPr>
            </w:pPr>
            <w:r w:rsidRPr="00AC3044">
              <w:rPr>
                <w:rFonts w:eastAsia="SimSun"/>
              </w:rPr>
              <w:t xml:space="preserve">10 мг/кг </w:t>
            </w:r>
          </w:p>
        </w:tc>
        <w:tc>
          <w:tcPr>
            <w:tcW w:w="1408" w:type="dxa"/>
            <w:vAlign w:val="center"/>
          </w:tcPr>
          <w:p w14:paraId="1A8714CB" w14:textId="77777777" w:rsidR="009F7F8A" w:rsidRPr="00AC3044" w:rsidRDefault="009F7F8A" w:rsidP="009F7F8A">
            <w:pPr>
              <w:rPr>
                <w:rFonts w:eastAsia="SimSun"/>
              </w:rPr>
            </w:pPr>
            <w:r w:rsidRPr="00AC3044">
              <w:rPr>
                <w:rFonts w:eastAsia="SimSun"/>
              </w:rPr>
              <w:t>С -5 дня по -3 день</w:t>
            </w:r>
          </w:p>
        </w:tc>
        <w:tc>
          <w:tcPr>
            <w:tcW w:w="2278" w:type="dxa"/>
            <w:vAlign w:val="center"/>
          </w:tcPr>
          <w:p w14:paraId="4B3581CB"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AC3044" w14:paraId="5CC53470" w14:textId="77777777" w:rsidTr="009F7F8A">
        <w:trPr>
          <w:cantSplit/>
          <w:trHeight w:val="1176"/>
        </w:trPr>
        <w:tc>
          <w:tcPr>
            <w:tcW w:w="866" w:type="dxa"/>
            <w:textDirection w:val="btLr"/>
            <w:vAlign w:val="center"/>
          </w:tcPr>
          <w:p w14:paraId="31C04D05" w14:textId="77777777" w:rsidR="009F7F8A" w:rsidRPr="00AC3044" w:rsidRDefault="009F7F8A" w:rsidP="009F7F8A">
            <w:pPr>
              <w:rPr>
                <w:rFonts w:eastAsia="SimSun"/>
              </w:rPr>
            </w:pPr>
            <w:r w:rsidRPr="00AC3044">
              <w:rPr>
                <w:rFonts w:eastAsia="SimSun"/>
              </w:rPr>
              <w:t>Профилактика РТПХ</w:t>
            </w:r>
          </w:p>
        </w:tc>
        <w:tc>
          <w:tcPr>
            <w:tcW w:w="1802" w:type="dxa"/>
            <w:vAlign w:val="center"/>
          </w:tcPr>
          <w:p w14:paraId="39578671" w14:textId="77777777" w:rsidR="009F7F8A" w:rsidRPr="00AC3044" w:rsidRDefault="009F7F8A" w:rsidP="009F7F8A">
            <w:pPr>
              <w:rPr>
                <w:rFonts w:eastAsia="SimSun"/>
              </w:rPr>
            </w:pPr>
            <w:r w:rsidRPr="00AC3044">
              <w:rPr>
                <w:rFonts w:eastAsia="SimSun"/>
              </w:rPr>
              <w:t>Циклофосфамид</w:t>
            </w:r>
          </w:p>
        </w:tc>
        <w:tc>
          <w:tcPr>
            <w:tcW w:w="1495" w:type="dxa"/>
            <w:vAlign w:val="center"/>
          </w:tcPr>
          <w:p w14:paraId="6DCD7DC8" w14:textId="77777777" w:rsidR="009F7F8A" w:rsidRPr="00AC3044" w:rsidRDefault="009F7F8A" w:rsidP="009F7F8A">
            <w:pPr>
              <w:rPr>
                <w:rFonts w:eastAsia="SimSun"/>
              </w:rPr>
            </w:pPr>
            <w:r w:rsidRPr="00AC3044">
              <w:rPr>
                <w:rFonts w:eastAsia="SimSun"/>
              </w:rPr>
              <w:t>50 мг/кг</w:t>
            </w:r>
          </w:p>
        </w:tc>
        <w:tc>
          <w:tcPr>
            <w:tcW w:w="1695" w:type="dxa"/>
            <w:vAlign w:val="center"/>
          </w:tcPr>
          <w:p w14:paraId="7F5F4E99" w14:textId="77777777" w:rsidR="009F7F8A" w:rsidRPr="00AC3044" w:rsidRDefault="009F7F8A" w:rsidP="009F7F8A">
            <w:pPr>
              <w:rPr>
                <w:rFonts w:eastAsia="SimSun"/>
              </w:rPr>
            </w:pPr>
            <w:r w:rsidRPr="00AC3044">
              <w:rPr>
                <w:rFonts w:eastAsia="SimSun"/>
              </w:rPr>
              <w:t>100 мг/кг</w:t>
            </w:r>
          </w:p>
        </w:tc>
        <w:tc>
          <w:tcPr>
            <w:tcW w:w="1408" w:type="dxa"/>
            <w:vAlign w:val="center"/>
          </w:tcPr>
          <w:p w14:paraId="065747FC" w14:textId="77777777" w:rsidR="009F7F8A" w:rsidRPr="00AC3044" w:rsidRDefault="009F7F8A" w:rsidP="009F7F8A">
            <w:pPr>
              <w:rPr>
                <w:rFonts w:eastAsia="SimSun"/>
              </w:rPr>
            </w:pPr>
            <w:r w:rsidRPr="00AC3044">
              <w:rPr>
                <w:rFonts w:eastAsia="SimSun"/>
              </w:rPr>
              <w:t>С +3 дня по +4 день</w:t>
            </w:r>
          </w:p>
        </w:tc>
        <w:tc>
          <w:tcPr>
            <w:tcW w:w="2278" w:type="dxa"/>
            <w:vAlign w:val="center"/>
          </w:tcPr>
          <w:p w14:paraId="5D714086" w14:textId="77777777" w:rsidR="009F7F8A" w:rsidRPr="00AC3044" w:rsidRDefault="009F7F8A" w:rsidP="009F7F8A">
            <w:pPr>
              <w:rPr>
                <w:rFonts w:eastAsia="SimSun"/>
              </w:rPr>
            </w:pPr>
            <w:r w:rsidRPr="00AC3044">
              <w:rPr>
                <w:rFonts w:eastAsia="SimSun"/>
              </w:rPr>
              <w:t>В/в, в течение 2 часов</w:t>
            </w:r>
          </w:p>
        </w:tc>
      </w:tr>
    </w:tbl>
    <w:p w14:paraId="14798BC6" w14:textId="77777777" w:rsidR="009F7F8A" w:rsidRPr="00C07B2E" w:rsidRDefault="009F7F8A" w:rsidP="009F7F8A">
      <w:pPr>
        <w:rPr>
          <w:rFonts w:eastAsia="SimSun"/>
        </w:rPr>
      </w:pPr>
    </w:p>
    <w:p w14:paraId="15F3F1AA" w14:textId="77777777" w:rsidR="009F7F8A" w:rsidRPr="00C07B2E" w:rsidRDefault="009F7F8A" w:rsidP="009F7F8A">
      <w:pPr>
        <w:rPr>
          <w:rFonts w:eastAsia="SimSun"/>
        </w:rPr>
      </w:pPr>
      <w:bookmarkStart w:id="142" w:name="_Toc44401172"/>
      <w:r w:rsidRPr="00042499">
        <w:rPr>
          <w:rFonts w:eastAsia="SimSun"/>
        </w:rPr>
        <w:t>Таблица</w:t>
      </w:r>
      <w:r w:rsidRPr="00C07B2E">
        <w:rPr>
          <w:rFonts w:eastAsia="SimSun"/>
        </w:rPr>
        <w:t xml:space="preserve"> </w:t>
      </w:r>
      <w:r>
        <w:rPr>
          <w:rFonts w:eastAsia="SimSun"/>
        </w:rPr>
        <w:t>5.</w:t>
      </w:r>
      <w:r w:rsidRPr="00C07B2E">
        <w:rPr>
          <w:rFonts w:eastAsia="SimSun"/>
        </w:rPr>
        <w:t>1.2.14  – Flu180+Bu10 / PT-Cy+Tx+MMF30</w:t>
      </w:r>
      <w:bookmarkEnd w:id="14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9F7F8A" w:rsidRPr="00AC3044" w14:paraId="1F501D2D" w14:textId="77777777" w:rsidTr="009F7F8A">
        <w:trPr>
          <w:cantSplit/>
          <w:trHeight w:val="20"/>
          <w:tblHeader/>
        </w:trPr>
        <w:tc>
          <w:tcPr>
            <w:tcW w:w="959" w:type="dxa"/>
            <w:vAlign w:val="center"/>
          </w:tcPr>
          <w:p w14:paraId="4A8ACC37" w14:textId="77777777" w:rsidR="009F7F8A" w:rsidRPr="00470D3D" w:rsidRDefault="009F7F8A" w:rsidP="009F7F8A">
            <w:pPr>
              <w:rPr>
                <w:rFonts w:eastAsia="SimSun"/>
              </w:rPr>
            </w:pPr>
          </w:p>
        </w:tc>
        <w:tc>
          <w:tcPr>
            <w:tcW w:w="1701" w:type="dxa"/>
            <w:vAlign w:val="center"/>
          </w:tcPr>
          <w:p w14:paraId="49C9426E"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490657BE" w14:textId="77777777" w:rsidR="009F7F8A" w:rsidRPr="00AC3044" w:rsidRDefault="009F7F8A" w:rsidP="009F7F8A">
            <w:pPr>
              <w:rPr>
                <w:rFonts w:eastAsia="SimSun"/>
              </w:rPr>
            </w:pPr>
            <w:r w:rsidRPr="00AC3044">
              <w:rPr>
                <w:rFonts w:eastAsia="SimSun"/>
              </w:rPr>
              <w:t>Суточная доза</w:t>
            </w:r>
          </w:p>
        </w:tc>
        <w:tc>
          <w:tcPr>
            <w:tcW w:w="1701" w:type="dxa"/>
            <w:vAlign w:val="center"/>
          </w:tcPr>
          <w:p w14:paraId="1360EF70" w14:textId="77777777" w:rsidR="009F7F8A" w:rsidRPr="00AC3044" w:rsidRDefault="009F7F8A" w:rsidP="009F7F8A">
            <w:pPr>
              <w:rPr>
                <w:rFonts w:eastAsia="SimSun"/>
              </w:rPr>
            </w:pPr>
            <w:r w:rsidRPr="00AC3044">
              <w:rPr>
                <w:rFonts w:eastAsia="SimSun"/>
              </w:rPr>
              <w:t>Курсовая доза</w:t>
            </w:r>
          </w:p>
        </w:tc>
        <w:tc>
          <w:tcPr>
            <w:tcW w:w="1418" w:type="dxa"/>
            <w:vAlign w:val="center"/>
          </w:tcPr>
          <w:p w14:paraId="08CE663F"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71352818"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39B0AEC4" w14:textId="77777777" w:rsidTr="009F7F8A">
        <w:trPr>
          <w:cantSplit/>
          <w:trHeight w:val="20"/>
        </w:trPr>
        <w:tc>
          <w:tcPr>
            <w:tcW w:w="959" w:type="dxa"/>
            <w:vMerge w:val="restart"/>
            <w:textDirection w:val="btLr"/>
            <w:vAlign w:val="center"/>
          </w:tcPr>
          <w:p w14:paraId="5F7C15F2"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3662D382"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0858FFF7"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5960631F"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418" w:type="dxa"/>
            <w:vAlign w:val="center"/>
          </w:tcPr>
          <w:p w14:paraId="61C78589"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3E5ABA7A"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14656333" w14:textId="77777777" w:rsidTr="009F7F8A">
        <w:trPr>
          <w:cantSplit/>
          <w:trHeight w:val="1207"/>
        </w:trPr>
        <w:tc>
          <w:tcPr>
            <w:tcW w:w="959" w:type="dxa"/>
            <w:vMerge/>
            <w:vAlign w:val="center"/>
          </w:tcPr>
          <w:p w14:paraId="4A2D63E1" w14:textId="77777777" w:rsidR="009F7F8A" w:rsidRPr="00AC3044" w:rsidRDefault="009F7F8A" w:rsidP="009F7F8A">
            <w:pPr>
              <w:rPr>
                <w:rFonts w:eastAsia="SimSun"/>
              </w:rPr>
            </w:pPr>
          </w:p>
        </w:tc>
        <w:tc>
          <w:tcPr>
            <w:tcW w:w="1701" w:type="dxa"/>
            <w:vAlign w:val="center"/>
          </w:tcPr>
          <w:p w14:paraId="4A5D7DF0"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7FB539CC" w14:textId="77777777" w:rsidR="009F7F8A" w:rsidRPr="00AC3044" w:rsidRDefault="009F7F8A" w:rsidP="009F7F8A">
            <w:pPr>
              <w:rPr>
                <w:rFonts w:eastAsia="SimSun"/>
              </w:rPr>
            </w:pPr>
            <w:r w:rsidRPr="00AC3044">
              <w:rPr>
                <w:rFonts w:eastAsia="SimSun"/>
              </w:rPr>
              <w:t xml:space="preserve">4 мг/кг </w:t>
            </w:r>
          </w:p>
        </w:tc>
        <w:tc>
          <w:tcPr>
            <w:tcW w:w="1701" w:type="dxa"/>
            <w:vAlign w:val="center"/>
          </w:tcPr>
          <w:p w14:paraId="6677509A" w14:textId="77777777" w:rsidR="009F7F8A" w:rsidRPr="00AC3044" w:rsidRDefault="009F7F8A" w:rsidP="009F7F8A">
            <w:pPr>
              <w:rPr>
                <w:rFonts w:eastAsia="SimSun"/>
              </w:rPr>
            </w:pPr>
            <w:r w:rsidRPr="00AC3044">
              <w:rPr>
                <w:rFonts w:eastAsia="SimSun"/>
              </w:rPr>
              <w:t xml:space="preserve">10 мг/кг </w:t>
            </w:r>
          </w:p>
        </w:tc>
        <w:tc>
          <w:tcPr>
            <w:tcW w:w="1418" w:type="dxa"/>
            <w:vAlign w:val="center"/>
          </w:tcPr>
          <w:p w14:paraId="0A5C09C7" w14:textId="77777777" w:rsidR="009F7F8A" w:rsidRPr="00AC3044" w:rsidRDefault="009F7F8A" w:rsidP="009F7F8A">
            <w:pPr>
              <w:rPr>
                <w:rFonts w:eastAsia="SimSun"/>
              </w:rPr>
            </w:pPr>
            <w:r w:rsidRPr="00AC3044">
              <w:rPr>
                <w:rFonts w:eastAsia="SimSun"/>
              </w:rPr>
              <w:t>С -5 дня по -3 день</w:t>
            </w:r>
          </w:p>
        </w:tc>
        <w:tc>
          <w:tcPr>
            <w:tcW w:w="2268" w:type="dxa"/>
            <w:vAlign w:val="center"/>
          </w:tcPr>
          <w:p w14:paraId="07EFC501"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AC3044" w14:paraId="447B63E3" w14:textId="77777777" w:rsidTr="009F7F8A">
        <w:trPr>
          <w:cantSplit/>
          <w:trHeight w:val="1498"/>
        </w:trPr>
        <w:tc>
          <w:tcPr>
            <w:tcW w:w="959" w:type="dxa"/>
            <w:vMerge w:val="restart"/>
            <w:textDirection w:val="btLr"/>
            <w:vAlign w:val="center"/>
          </w:tcPr>
          <w:p w14:paraId="109B58F9" w14:textId="77777777" w:rsidR="009F7F8A" w:rsidRPr="00AC3044" w:rsidRDefault="009F7F8A" w:rsidP="009F7F8A">
            <w:pPr>
              <w:rPr>
                <w:rFonts w:eastAsia="SimSun"/>
              </w:rPr>
            </w:pPr>
            <w:r w:rsidRPr="00AC3044">
              <w:rPr>
                <w:rFonts w:eastAsia="SimSun"/>
              </w:rPr>
              <w:lastRenderedPageBreak/>
              <w:t>Профилактика РТПХ</w:t>
            </w:r>
          </w:p>
        </w:tc>
        <w:tc>
          <w:tcPr>
            <w:tcW w:w="1701" w:type="dxa"/>
            <w:vAlign w:val="center"/>
          </w:tcPr>
          <w:p w14:paraId="32B0F9D6"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4A6D551E" w14:textId="77777777" w:rsidR="009F7F8A" w:rsidRPr="00AC3044" w:rsidRDefault="009F7F8A" w:rsidP="009F7F8A">
            <w:pPr>
              <w:rPr>
                <w:rFonts w:eastAsia="SimSun"/>
              </w:rPr>
            </w:pPr>
            <w:r w:rsidRPr="00AC3044">
              <w:rPr>
                <w:rFonts w:eastAsia="SimSun"/>
              </w:rPr>
              <w:t>50 мг/кг</w:t>
            </w:r>
          </w:p>
        </w:tc>
        <w:tc>
          <w:tcPr>
            <w:tcW w:w="1701" w:type="dxa"/>
            <w:vAlign w:val="center"/>
          </w:tcPr>
          <w:p w14:paraId="5F673996" w14:textId="77777777" w:rsidR="009F7F8A" w:rsidRPr="00AC3044" w:rsidRDefault="009F7F8A" w:rsidP="009F7F8A">
            <w:pPr>
              <w:rPr>
                <w:rFonts w:eastAsia="SimSun"/>
              </w:rPr>
            </w:pPr>
            <w:r w:rsidRPr="00AC3044">
              <w:rPr>
                <w:rFonts w:eastAsia="SimSun"/>
              </w:rPr>
              <w:t>100 мг/кг</w:t>
            </w:r>
          </w:p>
        </w:tc>
        <w:tc>
          <w:tcPr>
            <w:tcW w:w="1418" w:type="dxa"/>
            <w:vAlign w:val="center"/>
          </w:tcPr>
          <w:p w14:paraId="16191998" w14:textId="77777777" w:rsidR="009F7F8A" w:rsidRPr="00AC3044" w:rsidRDefault="009F7F8A" w:rsidP="009F7F8A">
            <w:pPr>
              <w:rPr>
                <w:rFonts w:eastAsia="SimSun"/>
              </w:rPr>
            </w:pPr>
            <w:r w:rsidRPr="00AC3044">
              <w:rPr>
                <w:rFonts w:eastAsia="SimSun"/>
              </w:rPr>
              <w:t>С +3 дня по +4 день</w:t>
            </w:r>
          </w:p>
        </w:tc>
        <w:tc>
          <w:tcPr>
            <w:tcW w:w="2268" w:type="dxa"/>
            <w:vAlign w:val="center"/>
          </w:tcPr>
          <w:p w14:paraId="5BF7977C"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1052EA75" w14:textId="77777777" w:rsidTr="009F7F8A">
        <w:trPr>
          <w:cantSplit/>
          <w:trHeight w:val="958"/>
        </w:trPr>
        <w:tc>
          <w:tcPr>
            <w:tcW w:w="959" w:type="dxa"/>
            <w:vMerge/>
            <w:textDirection w:val="btLr"/>
            <w:vAlign w:val="center"/>
          </w:tcPr>
          <w:p w14:paraId="4CB3CE43" w14:textId="77777777" w:rsidR="009F7F8A" w:rsidRPr="00AC3044" w:rsidRDefault="009F7F8A" w:rsidP="009F7F8A">
            <w:pPr>
              <w:rPr>
                <w:rFonts w:eastAsia="SimSun"/>
              </w:rPr>
            </w:pPr>
          </w:p>
        </w:tc>
        <w:tc>
          <w:tcPr>
            <w:tcW w:w="1701" w:type="dxa"/>
            <w:vAlign w:val="center"/>
          </w:tcPr>
          <w:p w14:paraId="28FCAF2B" w14:textId="77777777" w:rsidR="009F7F8A" w:rsidRPr="00AC3044" w:rsidRDefault="009F7F8A" w:rsidP="009F7F8A">
            <w:pPr>
              <w:rPr>
                <w:rFonts w:eastAsia="SimSun"/>
              </w:rPr>
            </w:pPr>
            <w:r w:rsidRPr="00AC3044">
              <w:rPr>
                <w:rFonts w:eastAsia="SimSun"/>
              </w:rPr>
              <w:t xml:space="preserve">Такролимус </w:t>
            </w:r>
          </w:p>
        </w:tc>
        <w:tc>
          <w:tcPr>
            <w:tcW w:w="1559" w:type="dxa"/>
            <w:vAlign w:val="center"/>
          </w:tcPr>
          <w:p w14:paraId="00D8BB66" w14:textId="77777777" w:rsidR="009F7F8A" w:rsidRPr="00AC3044" w:rsidRDefault="009F7F8A" w:rsidP="009F7F8A">
            <w:pPr>
              <w:rPr>
                <w:rFonts w:eastAsia="SimSun"/>
              </w:rPr>
            </w:pPr>
            <w:r w:rsidRPr="00AC3044">
              <w:rPr>
                <w:rFonts w:eastAsia="SimSun"/>
              </w:rPr>
              <w:t>0,03 мг/кг</w:t>
            </w:r>
          </w:p>
        </w:tc>
        <w:tc>
          <w:tcPr>
            <w:tcW w:w="1701" w:type="dxa"/>
            <w:vAlign w:val="center"/>
          </w:tcPr>
          <w:p w14:paraId="1599E311" w14:textId="77777777" w:rsidR="009F7F8A" w:rsidRPr="00AC3044" w:rsidRDefault="009F7F8A" w:rsidP="009F7F8A">
            <w:pPr>
              <w:rPr>
                <w:rFonts w:eastAsia="SimSun"/>
              </w:rPr>
            </w:pPr>
            <w:r w:rsidRPr="00AC3044">
              <w:rPr>
                <w:rFonts w:eastAsia="SimSun"/>
              </w:rPr>
              <w:t>–</w:t>
            </w:r>
          </w:p>
        </w:tc>
        <w:tc>
          <w:tcPr>
            <w:tcW w:w="1418" w:type="dxa"/>
            <w:vAlign w:val="center"/>
          </w:tcPr>
          <w:p w14:paraId="4BA8C0B1" w14:textId="77777777" w:rsidR="009F7F8A" w:rsidRPr="00AC3044" w:rsidRDefault="009F7F8A" w:rsidP="009F7F8A">
            <w:pPr>
              <w:rPr>
                <w:rFonts w:eastAsia="SimSun"/>
              </w:rPr>
            </w:pPr>
            <w:r w:rsidRPr="00AC3044">
              <w:rPr>
                <w:rFonts w:eastAsia="SimSun"/>
              </w:rPr>
              <w:t xml:space="preserve">С +5 дня длительно </w:t>
            </w:r>
          </w:p>
        </w:tc>
        <w:tc>
          <w:tcPr>
            <w:tcW w:w="2268" w:type="dxa"/>
            <w:vAlign w:val="center"/>
          </w:tcPr>
          <w:p w14:paraId="23F53083"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29285B15" w14:textId="77777777" w:rsidTr="009F7F8A">
        <w:trPr>
          <w:cantSplit/>
          <w:trHeight w:val="986"/>
        </w:trPr>
        <w:tc>
          <w:tcPr>
            <w:tcW w:w="959" w:type="dxa"/>
            <w:vMerge/>
            <w:textDirection w:val="btLr"/>
            <w:vAlign w:val="center"/>
          </w:tcPr>
          <w:p w14:paraId="57F94E50" w14:textId="77777777" w:rsidR="009F7F8A" w:rsidRPr="00AC3044" w:rsidRDefault="009F7F8A" w:rsidP="009F7F8A">
            <w:pPr>
              <w:rPr>
                <w:rFonts w:eastAsia="SimSun"/>
              </w:rPr>
            </w:pPr>
          </w:p>
        </w:tc>
        <w:tc>
          <w:tcPr>
            <w:tcW w:w="1701" w:type="dxa"/>
            <w:vAlign w:val="center"/>
          </w:tcPr>
          <w:p w14:paraId="123E3BAA"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7883B21C" w14:textId="77777777" w:rsidR="009F7F8A" w:rsidRPr="00AC3044" w:rsidRDefault="009F7F8A" w:rsidP="009F7F8A">
            <w:pPr>
              <w:rPr>
                <w:rFonts w:eastAsia="SimSun"/>
              </w:rPr>
            </w:pPr>
            <w:r w:rsidRPr="00AC3044">
              <w:rPr>
                <w:rFonts w:eastAsia="SimSun"/>
              </w:rPr>
              <w:t xml:space="preserve">30 мг/кг </w:t>
            </w:r>
          </w:p>
        </w:tc>
        <w:tc>
          <w:tcPr>
            <w:tcW w:w="1701" w:type="dxa"/>
            <w:vAlign w:val="center"/>
          </w:tcPr>
          <w:p w14:paraId="6F54D5B4" w14:textId="77777777" w:rsidR="009F7F8A" w:rsidRPr="00AC3044" w:rsidRDefault="009F7F8A" w:rsidP="009F7F8A">
            <w:pPr>
              <w:rPr>
                <w:rFonts w:eastAsia="SimSun"/>
              </w:rPr>
            </w:pPr>
            <w:r w:rsidRPr="00AC3044">
              <w:rPr>
                <w:rFonts w:eastAsia="SimSun"/>
              </w:rPr>
              <w:t>–</w:t>
            </w:r>
          </w:p>
        </w:tc>
        <w:tc>
          <w:tcPr>
            <w:tcW w:w="1418" w:type="dxa"/>
            <w:vAlign w:val="center"/>
          </w:tcPr>
          <w:p w14:paraId="24974C35" w14:textId="77777777" w:rsidR="009F7F8A" w:rsidRPr="00AC3044" w:rsidRDefault="009F7F8A" w:rsidP="009F7F8A">
            <w:pPr>
              <w:rPr>
                <w:rFonts w:eastAsia="SimSun"/>
              </w:rPr>
            </w:pPr>
            <w:r w:rsidRPr="00AC3044">
              <w:rPr>
                <w:rFonts w:eastAsia="SimSun"/>
              </w:rPr>
              <w:t xml:space="preserve">С +5 дня по +35 день </w:t>
            </w:r>
          </w:p>
        </w:tc>
        <w:tc>
          <w:tcPr>
            <w:tcW w:w="2268" w:type="dxa"/>
            <w:vAlign w:val="center"/>
          </w:tcPr>
          <w:p w14:paraId="5B5363CB"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w:t>
            </w:r>
          </w:p>
        </w:tc>
      </w:tr>
    </w:tbl>
    <w:p w14:paraId="0C3B0388" w14:textId="77777777" w:rsidR="009F7F8A" w:rsidRPr="00C07B2E" w:rsidRDefault="009F7F8A" w:rsidP="009F7F8A">
      <w:pPr>
        <w:rPr>
          <w:rFonts w:eastAsia="SimSun"/>
        </w:rPr>
      </w:pPr>
    </w:p>
    <w:p w14:paraId="4F033626" w14:textId="77777777" w:rsidR="009F7F8A" w:rsidRPr="00C07B2E" w:rsidRDefault="009F7F8A" w:rsidP="009F7F8A">
      <w:pPr>
        <w:rPr>
          <w:rFonts w:eastAsia="SimSun"/>
        </w:rPr>
      </w:pPr>
      <w:bookmarkStart w:id="143" w:name="_Toc44401173"/>
      <w:r w:rsidRPr="00042499">
        <w:rPr>
          <w:rFonts w:eastAsia="SimSun"/>
        </w:rPr>
        <w:t>Таблица</w:t>
      </w:r>
      <w:r w:rsidRPr="00C07B2E">
        <w:rPr>
          <w:rFonts w:eastAsia="SimSun"/>
        </w:rPr>
        <w:t xml:space="preserve"> </w:t>
      </w:r>
      <w:r>
        <w:rPr>
          <w:rFonts w:eastAsia="SimSun"/>
        </w:rPr>
        <w:t>5.</w:t>
      </w:r>
      <w:r w:rsidRPr="00C07B2E">
        <w:rPr>
          <w:rFonts w:eastAsia="SimSun"/>
        </w:rPr>
        <w:t>1.2.15  – Flu180+Bu10 / PT-Cy+Ruxo</w:t>
      </w:r>
      <w:bookmarkEnd w:id="143"/>
      <w:r w:rsidRPr="00C07B2E">
        <w:rPr>
          <w:rFonts w:eastAsia="SimSun"/>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667"/>
        <w:gridCol w:w="1559"/>
        <w:gridCol w:w="1701"/>
        <w:gridCol w:w="1418"/>
        <w:gridCol w:w="2268"/>
      </w:tblGrid>
      <w:tr w:rsidR="009F7F8A" w:rsidRPr="00AC3044" w14:paraId="1E210F6A" w14:textId="77777777" w:rsidTr="009F7F8A">
        <w:trPr>
          <w:cantSplit/>
          <w:trHeight w:val="20"/>
          <w:tblHeader/>
        </w:trPr>
        <w:tc>
          <w:tcPr>
            <w:tcW w:w="993" w:type="dxa"/>
            <w:vAlign w:val="center"/>
          </w:tcPr>
          <w:p w14:paraId="49411D0E" w14:textId="77777777" w:rsidR="009F7F8A" w:rsidRPr="00470D3D" w:rsidRDefault="009F7F8A" w:rsidP="009F7F8A">
            <w:pPr>
              <w:rPr>
                <w:rFonts w:eastAsia="SimSun"/>
              </w:rPr>
            </w:pPr>
          </w:p>
        </w:tc>
        <w:tc>
          <w:tcPr>
            <w:tcW w:w="1667" w:type="dxa"/>
            <w:vAlign w:val="center"/>
          </w:tcPr>
          <w:p w14:paraId="62048657"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62A292CB" w14:textId="77777777" w:rsidR="009F7F8A" w:rsidRPr="00AC3044" w:rsidRDefault="009F7F8A" w:rsidP="009F7F8A">
            <w:pPr>
              <w:rPr>
                <w:rFonts w:eastAsia="SimSun"/>
              </w:rPr>
            </w:pPr>
            <w:r w:rsidRPr="00AC3044">
              <w:rPr>
                <w:rFonts w:eastAsia="SimSun"/>
              </w:rPr>
              <w:t>Суточная доза</w:t>
            </w:r>
          </w:p>
        </w:tc>
        <w:tc>
          <w:tcPr>
            <w:tcW w:w="1701" w:type="dxa"/>
            <w:vAlign w:val="center"/>
          </w:tcPr>
          <w:p w14:paraId="11E651C3" w14:textId="77777777" w:rsidR="009F7F8A" w:rsidRPr="00AC3044" w:rsidRDefault="009F7F8A" w:rsidP="009F7F8A">
            <w:pPr>
              <w:rPr>
                <w:rFonts w:eastAsia="SimSun"/>
              </w:rPr>
            </w:pPr>
            <w:r w:rsidRPr="00AC3044">
              <w:rPr>
                <w:rFonts w:eastAsia="SimSun"/>
              </w:rPr>
              <w:t>Курсовая доза</w:t>
            </w:r>
          </w:p>
        </w:tc>
        <w:tc>
          <w:tcPr>
            <w:tcW w:w="1418" w:type="dxa"/>
            <w:vAlign w:val="center"/>
          </w:tcPr>
          <w:p w14:paraId="4BDB5B6A"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394EC67A"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7738E1C" w14:textId="77777777" w:rsidTr="009F7F8A">
        <w:trPr>
          <w:cantSplit/>
          <w:trHeight w:val="20"/>
        </w:trPr>
        <w:tc>
          <w:tcPr>
            <w:tcW w:w="993" w:type="dxa"/>
            <w:vMerge w:val="restart"/>
            <w:textDirection w:val="btLr"/>
            <w:vAlign w:val="center"/>
          </w:tcPr>
          <w:p w14:paraId="755907DB" w14:textId="77777777" w:rsidR="009F7F8A" w:rsidRPr="00AC3044" w:rsidRDefault="009F7F8A" w:rsidP="009F7F8A">
            <w:pPr>
              <w:rPr>
                <w:rFonts w:eastAsia="SimSun"/>
              </w:rPr>
            </w:pPr>
            <w:r w:rsidRPr="00AC3044">
              <w:rPr>
                <w:rFonts w:eastAsia="SimSun"/>
              </w:rPr>
              <w:t>Кондиционирование</w:t>
            </w:r>
          </w:p>
        </w:tc>
        <w:tc>
          <w:tcPr>
            <w:tcW w:w="1667" w:type="dxa"/>
            <w:vAlign w:val="center"/>
          </w:tcPr>
          <w:p w14:paraId="738F5F28"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5E427272"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362D756D"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418" w:type="dxa"/>
            <w:vAlign w:val="center"/>
          </w:tcPr>
          <w:p w14:paraId="08FEB3AA"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2E3F24CD"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29F853F5" w14:textId="77777777" w:rsidTr="009F7F8A">
        <w:trPr>
          <w:cantSplit/>
          <w:trHeight w:val="1207"/>
        </w:trPr>
        <w:tc>
          <w:tcPr>
            <w:tcW w:w="993" w:type="dxa"/>
            <w:vMerge/>
            <w:vAlign w:val="center"/>
          </w:tcPr>
          <w:p w14:paraId="371FA682" w14:textId="77777777" w:rsidR="009F7F8A" w:rsidRPr="00AC3044" w:rsidRDefault="009F7F8A" w:rsidP="009F7F8A">
            <w:pPr>
              <w:rPr>
                <w:rFonts w:eastAsia="SimSun"/>
              </w:rPr>
            </w:pPr>
          </w:p>
        </w:tc>
        <w:tc>
          <w:tcPr>
            <w:tcW w:w="1667" w:type="dxa"/>
            <w:vAlign w:val="center"/>
          </w:tcPr>
          <w:p w14:paraId="54439700"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4004C9AB" w14:textId="77777777" w:rsidR="009F7F8A" w:rsidRPr="00AC3044" w:rsidRDefault="009F7F8A" w:rsidP="009F7F8A">
            <w:pPr>
              <w:rPr>
                <w:rFonts w:eastAsia="SimSun"/>
              </w:rPr>
            </w:pPr>
            <w:r w:rsidRPr="00AC3044">
              <w:rPr>
                <w:rFonts w:eastAsia="SimSun"/>
              </w:rPr>
              <w:t xml:space="preserve">4 мг/кг </w:t>
            </w:r>
          </w:p>
        </w:tc>
        <w:tc>
          <w:tcPr>
            <w:tcW w:w="1701" w:type="dxa"/>
            <w:vAlign w:val="center"/>
          </w:tcPr>
          <w:p w14:paraId="12B989D4" w14:textId="77777777" w:rsidR="009F7F8A" w:rsidRPr="00AC3044" w:rsidRDefault="009F7F8A" w:rsidP="009F7F8A">
            <w:pPr>
              <w:rPr>
                <w:rFonts w:eastAsia="SimSun"/>
              </w:rPr>
            </w:pPr>
            <w:r w:rsidRPr="00AC3044">
              <w:rPr>
                <w:rFonts w:eastAsia="SimSun"/>
              </w:rPr>
              <w:t xml:space="preserve">10 мг/кг </w:t>
            </w:r>
          </w:p>
        </w:tc>
        <w:tc>
          <w:tcPr>
            <w:tcW w:w="1418" w:type="dxa"/>
            <w:vAlign w:val="center"/>
          </w:tcPr>
          <w:p w14:paraId="72E94249" w14:textId="77777777" w:rsidR="009F7F8A" w:rsidRPr="00AC3044" w:rsidRDefault="009F7F8A" w:rsidP="009F7F8A">
            <w:pPr>
              <w:rPr>
                <w:rFonts w:eastAsia="SimSun"/>
              </w:rPr>
            </w:pPr>
            <w:r w:rsidRPr="00AC3044">
              <w:rPr>
                <w:rFonts w:eastAsia="SimSun"/>
              </w:rPr>
              <w:t>С -5 дня по -3 день</w:t>
            </w:r>
          </w:p>
        </w:tc>
        <w:tc>
          <w:tcPr>
            <w:tcW w:w="2268" w:type="dxa"/>
            <w:vAlign w:val="center"/>
          </w:tcPr>
          <w:p w14:paraId="79A0D42A"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AC3044" w14:paraId="1F9563A1" w14:textId="77777777" w:rsidTr="009F7F8A">
        <w:trPr>
          <w:cantSplit/>
          <w:trHeight w:val="582"/>
        </w:trPr>
        <w:tc>
          <w:tcPr>
            <w:tcW w:w="993" w:type="dxa"/>
            <w:vMerge w:val="restart"/>
            <w:textDirection w:val="btLr"/>
            <w:vAlign w:val="center"/>
          </w:tcPr>
          <w:p w14:paraId="36B9ABDB" w14:textId="77777777" w:rsidR="009F7F8A" w:rsidRPr="00AC3044" w:rsidRDefault="009F7F8A" w:rsidP="009F7F8A">
            <w:pPr>
              <w:rPr>
                <w:rFonts w:eastAsia="SimSun"/>
              </w:rPr>
            </w:pPr>
            <w:r w:rsidRPr="00AC3044">
              <w:rPr>
                <w:rFonts w:eastAsia="SimSun"/>
              </w:rPr>
              <w:t>Профилактика РТПХ</w:t>
            </w:r>
          </w:p>
        </w:tc>
        <w:tc>
          <w:tcPr>
            <w:tcW w:w="1667" w:type="dxa"/>
            <w:vAlign w:val="center"/>
          </w:tcPr>
          <w:p w14:paraId="0C02BFD6"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60862EF6" w14:textId="77777777" w:rsidR="009F7F8A" w:rsidRPr="00AC3044" w:rsidRDefault="009F7F8A" w:rsidP="009F7F8A">
            <w:pPr>
              <w:rPr>
                <w:rFonts w:eastAsia="SimSun"/>
              </w:rPr>
            </w:pPr>
            <w:r w:rsidRPr="00AC3044">
              <w:rPr>
                <w:rFonts w:eastAsia="SimSun"/>
              </w:rPr>
              <w:t>50 мг/кг</w:t>
            </w:r>
          </w:p>
        </w:tc>
        <w:tc>
          <w:tcPr>
            <w:tcW w:w="1701" w:type="dxa"/>
            <w:vAlign w:val="center"/>
          </w:tcPr>
          <w:p w14:paraId="16C47261" w14:textId="77777777" w:rsidR="009F7F8A" w:rsidRPr="00AC3044" w:rsidRDefault="009F7F8A" w:rsidP="009F7F8A">
            <w:pPr>
              <w:rPr>
                <w:rFonts w:eastAsia="SimSun"/>
              </w:rPr>
            </w:pPr>
            <w:r w:rsidRPr="00AC3044">
              <w:rPr>
                <w:rFonts w:eastAsia="SimSun"/>
              </w:rPr>
              <w:t>100 мг/кг</w:t>
            </w:r>
          </w:p>
        </w:tc>
        <w:tc>
          <w:tcPr>
            <w:tcW w:w="1418" w:type="dxa"/>
            <w:vAlign w:val="center"/>
          </w:tcPr>
          <w:p w14:paraId="0964B302" w14:textId="77777777" w:rsidR="009F7F8A" w:rsidRPr="00AC3044" w:rsidRDefault="009F7F8A" w:rsidP="009F7F8A">
            <w:pPr>
              <w:rPr>
                <w:rFonts w:eastAsia="SimSun"/>
              </w:rPr>
            </w:pPr>
            <w:r w:rsidRPr="00AC3044">
              <w:rPr>
                <w:rFonts w:eastAsia="SimSun"/>
              </w:rPr>
              <w:t>С +3 дня по +4 день</w:t>
            </w:r>
          </w:p>
        </w:tc>
        <w:tc>
          <w:tcPr>
            <w:tcW w:w="2268" w:type="dxa"/>
            <w:vAlign w:val="center"/>
          </w:tcPr>
          <w:p w14:paraId="7733F6F1"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76C812D3" w14:textId="77777777" w:rsidTr="009F7F8A">
        <w:trPr>
          <w:cantSplit/>
          <w:trHeight w:val="562"/>
        </w:trPr>
        <w:tc>
          <w:tcPr>
            <w:tcW w:w="993" w:type="dxa"/>
            <w:vMerge/>
            <w:textDirection w:val="btLr"/>
            <w:vAlign w:val="center"/>
          </w:tcPr>
          <w:p w14:paraId="411BD681" w14:textId="77777777" w:rsidR="009F7F8A" w:rsidRPr="00AC3044" w:rsidRDefault="009F7F8A" w:rsidP="009F7F8A">
            <w:pPr>
              <w:rPr>
                <w:rFonts w:eastAsia="SimSun"/>
              </w:rPr>
            </w:pPr>
          </w:p>
        </w:tc>
        <w:tc>
          <w:tcPr>
            <w:tcW w:w="1667" w:type="dxa"/>
            <w:vAlign w:val="center"/>
          </w:tcPr>
          <w:p w14:paraId="6400E37C" w14:textId="77777777" w:rsidR="009F7F8A" w:rsidRPr="00AC3044" w:rsidRDefault="009F7F8A" w:rsidP="009F7F8A">
            <w:pPr>
              <w:rPr>
                <w:rFonts w:eastAsia="SimSun"/>
              </w:rPr>
            </w:pPr>
            <w:r w:rsidRPr="00AC3044">
              <w:rPr>
                <w:rFonts w:eastAsia="SimSun"/>
              </w:rPr>
              <w:t>Руксолитиниб</w:t>
            </w:r>
          </w:p>
        </w:tc>
        <w:tc>
          <w:tcPr>
            <w:tcW w:w="1559" w:type="dxa"/>
            <w:vAlign w:val="center"/>
          </w:tcPr>
          <w:p w14:paraId="1123F6F9" w14:textId="77777777" w:rsidR="009F7F8A" w:rsidRPr="00AC3044" w:rsidRDefault="009F7F8A" w:rsidP="009F7F8A">
            <w:pPr>
              <w:rPr>
                <w:rFonts w:eastAsia="SimSun"/>
              </w:rPr>
            </w:pPr>
            <w:r w:rsidRPr="00AC3044">
              <w:rPr>
                <w:rFonts w:eastAsia="SimSun"/>
              </w:rPr>
              <w:t>45 мг</w:t>
            </w:r>
          </w:p>
        </w:tc>
        <w:tc>
          <w:tcPr>
            <w:tcW w:w="1701" w:type="dxa"/>
            <w:vAlign w:val="center"/>
          </w:tcPr>
          <w:p w14:paraId="2BC669A7" w14:textId="77777777" w:rsidR="009F7F8A" w:rsidRPr="00AC3044" w:rsidRDefault="009F7F8A" w:rsidP="009F7F8A">
            <w:pPr>
              <w:rPr>
                <w:rFonts w:eastAsia="SimSun"/>
              </w:rPr>
            </w:pPr>
            <w:r w:rsidRPr="00AC3044">
              <w:rPr>
                <w:rFonts w:eastAsia="SimSun"/>
              </w:rPr>
              <w:t>270 мг</w:t>
            </w:r>
          </w:p>
        </w:tc>
        <w:tc>
          <w:tcPr>
            <w:tcW w:w="1418" w:type="dxa"/>
            <w:vAlign w:val="center"/>
          </w:tcPr>
          <w:p w14:paraId="75CFF22C" w14:textId="77777777" w:rsidR="009F7F8A" w:rsidRPr="00AC3044" w:rsidRDefault="009F7F8A" w:rsidP="009F7F8A">
            <w:pPr>
              <w:rPr>
                <w:rFonts w:eastAsia="SimSun"/>
              </w:rPr>
            </w:pPr>
            <w:r w:rsidRPr="00AC3044">
              <w:rPr>
                <w:rFonts w:eastAsia="SimSun"/>
              </w:rPr>
              <w:t xml:space="preserve">С -7 дня по -2 день </w:t>
            </w:r>
          </w:p>
        </w:tc>
        <w:tc>
          <w:tcPr>
            <w:tcW w:w="2268" w:type="dxa"/>
            <w:vAlign w:val="center"/>
          </w:tcPr>
          <w:p w14:paraId="458A7F44" w14:textId="77777777" w:rsidR="009F7F8A" w:rsidRPr="00AC3044" w:rsidRDefault="009F7F8A" w:rsidP="009F7F8A">
            <w:pPr>
              <w:rPr>
                <w:rFonts w:eastAsia="SimSun"/>
              </w:rPr>
            </w:pPr>
            <w:r w:rsidRPr="00AC3044">
              <w:rPr>
                <w:rFonts w:eastAsia="SimSun"/>
              </w:rPr>
              <w:t xml:space="preserve">Внутрь суточную дозу </w:t>
            </w:r>
          </w:p>
          <w:p w14:paraId="6D412227" w14:textId="77777777" w:rsidR="009F7F8A" w:rsidRPr="00AC3044" w:rsidRDefault="009F7F8A" w:rsidP="009F7F8A">
            <w:pPr>
              <w:rPr>
                <w:rFonts w:eastAsia="SimSun"/>
              </w:rPr>
            </w:pPr>
            <w:r w:rsidRPr="00AC3044">
              <w:rPr>
                <w:rFonts w:eastAsia="SimSun"/>
              </w:rPr>
              <w:t>за 3 приема</w:t>
            </w:r>
          </w:p>
        </w:tc>
      </w:tr>
      <w:tr w:rsidR="009F7F8A" w:rsidRPr="00AC3044" w14:paraId="633B35D6" w14:textId="77777777" w:rsidTr="009F7F8A">
        <w:trPr>
          <w:cantSplit/>
          <w:trHeight w:val="769"/>
        </w:trPr>
        <w:tc>
          <w:tcPr>
            <w:tcW w:w="993" w:type="dxa"/>
            <w:vMerge/>
            <w:textDirection w:val="btLr"/>
            <w:vAlign w:val="center"/>
          </w:tcPr>
          <w:p w14:paraId="74870EC7" w14:textId="77777777" w:rsidR="009F7F8A" w:rsidRPr="00AC3044" w:rsidRDefault="009F7F8A" w:rsidP="009F7F8A">
            <w:pPr>
              <w:rPr>
                <w:rFonts w:eastAsia="SimSun"/>
              </w:rPr>
            </w:pPr>
          </w:p>
        </w:tc>
        <w:tc>
          <w:tcPr>
            <w:tcW w:w="1667" w:type="dxa"/>
            <w:vAlign w:val="center"/>
          </w:tcPr>
          <w:p w14:paraId="7C4ED84F" w14:textId="77777777" w:rsidR="009F7F8A" w:rsidRPr="00AC3044" w:rsidRDefault="009F7F8A" w:rsidP="009F7F8A">
            <w:pPr>
              <w:rPr>
                <w:rFonts w:eastAsia="SimSun"/>
              </w:rPr>
            </w:pPr>
            <w:r w:rsidRPr="00AC3044">
              <w:rPr>
                <w:rFonts w:eastAsia="SimSun"/>
              </w:rPr>
              <w:t xml:space="preserve">Руксолитиниб </w:t>
            </w:r>
          </w:p>
        </w:tc>
        <w:tc>
          <w:tcPr>
            <w:tcW w:w="1559" w:type="dxa"/>
            <w:vAlign w:val="center"/>
          </w:tcPr>
          <w:p w14:paraId="77CD3DD1" w14:textId="77777777" w:rsidR="009F7F8A" w:rsidRPr="00AC3044" w:rsidRDefault="009F7F8A" w:rsidP="009F7F8A">
            <w:pPr>
              <w:rPr>
                <w:rFonts w:eastAsia="SimSun"/>
              </w:rPr>
            </w:pPr>
            <w:r w:rsidRPr="00AC3044">
              <w:rPr>
                <w:rFonts w:eastAsia="SimSun"/>
              </w:rPr>
              <w:t>15 мг</w:t>
            </w:r>
          </w:p>
        </w:tc>
        <w:tc>
          <w:tcPr>
            <w:tcW w:w="1701" w:type="dxa"/>
            <w:vAlign w:val="center"/>
          </w:tcPr>
          <w:p w14:paraId="17C96327" w14:textId="77777777" w:rsidR="009F7F8A" w:rsidRPr="00AC3044" w:rsidRDefault="009F7F8A" w:rsidP="009F7F8A">
            <w:pPr>
              <w:rPr>
                <w:rFonts w:eastAsia="SimSun"/>
              </w:rPr>
            </w:pPr>
            <w:r w:rsidRPr="00AC3044">
              <w:rPr>
                <w:rFonts w:eastAsia="SimSun"/>
              </w:rPr>
              <w:t>-</w:t>
            </w:r>
          </w:p>
        </w:tc>
        <w:tc>
          <w:tcPr>
            <w:tcW w:w="1418" w:type="dxa"/>
            <w:vAlign w:val="center"/>
          </w:tcPr>
          <w:p w14:paraId="23ED9C1F" w14:textId="77777777" w:rsidR="009F7F8A" w:rsidRPr="00AC3044" w:rsidRDefault="009F7F8A" w:rsidP="009F7F8A">
            <w:pPr>
              <w:rPr>
                <w:rFonts w:eastAsia="SimSun"/>
              </w:rPr>
            </w:pPr>
            <w:r w:rsidRPr="00AC3044">
              <w:rPr>
                <w:rFonts w:eastAsia="SimSun"/>
              </w:rPr>
              <w:t>С +5 дня по +100 день</w:t>
            </w:r>
          </w:p>
        </w:tc>
        <w:tc>
          <w:tcPr>
            <w:tcW w:w="2268" w:type="dxa"/>
            <w:vAlign w:val="center"/>
          </w:tcPr>
          <w:p w14:paraId="6D8B19A4" w14:textId="77777777" w:rsidR="009F7F8A" w:rsidRPr="00AC3044" w:rsidRDefault="009F7F8A" w:rsidP="009F7F8A">
            <w:pPr>
              <w:rPr>
                <w:rFonts w:eastAsia="SimSun"/>
              </w:rPr>
            </w:pPr>
            <w:r w:rsidRPr="00AC3044">
              <w:rPr>
                <w:rFonts w:eastAsia="SimSun"/>
              </w:rPr>
              <w:t xml:space="preserve">Внутрь суточную дозу </w:t>
            </w:r>
          </w:p>
          <w:p w14:paraId="0C639441" w14:textId="77777777" w:rsidR="009F7F8A" w:rsidRPr="00AC3044" w:rsidRDefault="009F7F8A" w:rsidP="009F7F8A">
            <w:pPr>
              <w:rPr>
                <w:rFonts w:eastAsia="SimSun"/>
              </w:rPr>
            </w:pPr>
            <w:r w:rsidRPr="00AC3044">
              <w:rPr>
                <w:rFonts w:eastAsia="SimSun"/>
              </w:rPr>
              <w:t>за 2 приема</w:t>
            </w:r>
          </w:p>
        </w:tc>
      </w:tr>
    </w:tbl>
    <w:p w14:paraId="718D43BB" w14:textId="77777777" w:rsidR="009F7F8A" w:rsidRDefault="009F7F8A" w:rsidP="009F7F8A">
      <w:pPr>
        <w:rPr>
          <w:rFonts w:eastAsia="SimSun"/>
        </w:rPr>
      </w:pPr>
      <w:bookmarkStart w:id="144" w:name="_Toc44401174"/>
    </w:p>
    <w:p w14:paraId="536C59D7"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1.2.16  – Flu90+Benda /PT-Cy+Tx+MMF30</w:t>
      </w:r>
      <w:bookmarkEnd w:id="14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9F7F8A" w:rsidRPr="00AC3044" w14:paraId="70B6548D" w14:textId="77777777" w:rsidTr="009F7F8A">
        <w:trPr>
          <w:cantSplit/>
          <w:trHeight w:val="20"/>
          <w:tblHeader/>
        </w:trPr>
        <w:tc>
          <w:tcPr>
            <w:tcW w:w="959" w:type="dxa"/>
            <w:vAlign w:val="center"/>
          </w:tcPr>
          <w:p w14:paraId="7EBF5F26" w14:textId="77777777" w:rsidR="009F7F8A" w:rsidRPr="00AC3044" w:rsidRDefault="009F7F8A" w:rsidP="009F7F8A">
            <w:pPr>
              <w:rPr>
                <w:rFonts w:eastAsia="SimSun"/>
              </w:rPr>
            </w:pPr>
          </w:p>
        </w:tc>
        <w:tc>
          <w:tcPr>
            <w:tcW w:w="1701" w:type="dxa"/>
            <w:vAlign w:val="center"/>
          </w:tcPr>
          <w:p w14:paraId="0EB2310A"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65100667" w14:textId="77777777" w:rsidR="009F7F8A" w:rsidRPr="00AC3044" w:rsidRDefault="009F7F8A" w:rsidP="009F7F8A">
            <w:pPr>
              <w:rPr>
                <w:rFonts w:eastAsia="SimSun"/>
              </w:rPr>
            </w:pPr>
            <w:r w:rsidRPr="00AC3044">
              <w:rPr>
                <w:rFonts w:eastAsia="SimSun"/>
              </w:rPr>
              <w:t>Суточная доза</w:t>
            </w:r>
          </w:p>
        </w:tc>
        <w:tc>
          <w:tcPr>
            <w:tcW w:w="1701" w:type="dxa"/>
            <w:vAlign w:val="center"/>
          </w:tcPr>
          <w:p w14:paraId="32D278FB" w14:textId="77777777" w:rsidR="009F7F8A" w:rsidRPr="00AC3044" w:rsidRDefault="009F7F8A" w:rsidP="009F7F8A">
            <w:pPr>
              <w:rPr>
                <w:rFonts w:eastAsia="SimSun"/>
              </w:rPr>
            </w:pPr>
            <w:r w:rsidRPr="00AC3044">
              <w:rPr>
                <w:rFonts w:eastAsia="SimSun"/>
              </w:rPr>
              <w:t>Курсовая доза</w:t>
            </w:r>
          </w:p>
        </w:tc>
        <w:tc>
          <w:tcPr>
            <w:tcW w:w="1418" w:type="dxa"/>
            <w:vAlign w:val="center"/>
          </w:tcPr>
          <w:p w14:paraId="4F780DAC"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4BB16D2E"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0FC35FDD" w14:textId="77777777" w:rsidTr="009F7F8A">
        <w:trPr>
          <w:cantSplit/>
          <w:trHeight w:val="20"/>
        </w:trPr>
        <w:tc>
          <w:tcPr>
            <w:tcW w:w="959" w:type="dxa"/>
            <w:vMerge w:val="restart"/>
            <w:textDirection w:val="btLr"/>
            <w:vAlign w:val="center"/>
          </w:tcPr>
          <w:p w14:paraId="1DD69312"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4BD4D81B"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3F7350FC"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45F6B0D5" w14:textId="77777777" w:rsidR="009F7F8A" w:rsidRPr="00AC3044" w:rsidRDefault="009F7F8A" w:rsidP="009F7F8A">
            <w:pPr>
              <w:rPr>
                <w:rFonts w:eastAsia="SimSun"/>
              </w:rPr>
            </w:pPr>
            <w:r w:rsidRPr="00AC3044">
              <w:rPr>
                <w:rFonts w:eastAsia="SimSun"/>
              </w:rPr>
              <w:t>90 мг/м</w:t>
            </w:r>
            <w:r w:rsidRPr="001E6DBE">
              <w:rPr>
                <w:rFonts w:eastAsia="SimSun"/>
                <w:vertAlign w:val="superscript"/>
              </w:rPr>
              <w:t>2</w:t>
            </w:r>
          </w:p>
        </w:tc>
        <w:tc>
          <w:tcPr>
            <w:tcW w:w="1418" w:type="dxa"/>
            <w:vAlign w:val="center"/>
          </w:tcPr>
          <w:p w14:paraId="23EABAB1" w14:textId="77777777" w:rsidR="009F7F8A" w:rsidRPr="00AC3044" w:rsidRDefault="009F7F8A" w:rsidP="009F7F8A">
            <w:pPr>
              <w:rPr>
                <w:rFonts w:eastAsia="SimSun"/>
              </w:rPr>
            </w:pPr>
            <w:r w:rsidRPr="00AC3044">
              <w:rPr>
                <w:rFonts w:eastAsia="SimSun"/>
              </w:rPr>
              <w:t>С -4 дня по -2 день</w:t>
            </w:r>
          </w:p>
        </w:tc>
        <w:tc>
          <w:tcPr>
            <w:tcW w:w="2268" w:type="dxa"/>
            <w:vAlign w:val="center"/>
          </w:tcPr>
          <w:p w14:paraId="7F08CD92"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6E90E008" w14:textId="77777777" w:rsidTr="009F7F8A">
        <w:trPr>
          <w:cantSplit/>
          <w:trHeight w:val="678"/>
        </w:trPr>
        <w:tc>
          <w:tcPr>
            <w:tcW w:w="959" w:type="dxa"/>
            <w:vMerge/>
            <w:vAlign w:val="center"/>
          </w:tcPr>
          <w:p w14:paraId="554164A5" w14:textId="77777777" w:rsidR="009F7F8A" w:rsidRPr="00AC3044" w:rsidRDefault="009F7F8A" w:rsidP="009F7F8A">
            <w:pPr>
              <w:rPr>
                <w:rFonts w:eastAsia="SimSun"/>
              </w:rPr>
            </w:pPr>
          </w:p>
        </w:tc>
        <w:tc>
          <w:tcPr>
            <w:tcW w:w="1701" w:type="dxa"/>
            <w:vAlign w:val="center"/>
          </w:tcPr>
          <w:p w14:paraId="48BEF318" w14:textId="77777777" w:rsidR="009F7F8A" w:rsidRPr="00AC3044" w:rsidRDefault="009F7F8A" w:rsidP="009F7F8A">
            <w:pPr>
              <w:rPr>
                <w:rFonts w:eastAsia="SimSun"/>
              </w:rPr>
            </w:pPr>
            <w:r w:rsidRPr="00AC3044">
              <w:rPr>
                <w:rFonts w:eastAsia="SimSun"/>
              </w:rPr>
              <w:t>Бендамустин</w:t>
            </w:r>
          </w:p>
        </w:tc>
        <w:tc>
          <w:tcPr>
            <w:tcW w:w="1559" w:type="dxa"/>
            <w:vAlign w:val="center"/>
          </w:tcPr>
          <w:p w14:paraId="6080C1CC" w14:textId="77777777" w:rsidR="009F7F8A" w:rsidRPr="00AC3044" w:rsidRDefault="009F7F8A" w:rsidP="009F7F8A">
            <w:pPr>
              <w:rPr>
                <w:rFonts w:eastAsia="SimSun"/>
              </w:rPr>
            </w:pPr>
            <w:r w:rsidRPr="00AC3044">
              <w:rPr>
                <w:rFonts w:eastAsia="SimSun"/>
              </w:rPr>
              <w:t>130 мг/м</w:t>
            </w:r>
            <w:r w:rsidRPr="001E6DBE">
              <w:rPr>
                <w:rFonts w:eastAsia="SimSun"/>
                <w:vertAlign w:val="superscript"/>
              </w:rPr>
              <w:t>2</w:t>
            </w:r>
            <w:r w:rsidRPr="00AC3044">
              <w:rPr>
                <w:rFonts w:eastAsia="SimSun"/>
              </w:rPr>
              <w:t xml:space="preserve"> </w:t>
            </w:r>
          </w:p>
        </w:tc>
        <w:tc>
          <w:tcPr>
            <w:tcW w:w="1701" w:type="dxa"/>
            <w:vAlign w:val="center"/>
          </w:tcPr>
          <w:p w14:paraId="4697A665" w14:textId="77777777" w:rsidR="009F7F8A" w:rsidRPr="00AC3044" w:rsidRDefault="009F7F8A" w:rsidP="009F7F8A">
            <w:pPr>
              <w:rPr>
                <w:rFonts w:eastAsia="SimSun"/>
              </w:rPr>
            </w:pPr>
            <w:r w:rsidRPr="00AC3044">
              <w:rPr>
                <w:rFonts w:eastAsia="SimSun"/>
              </w:rPr>
              <w:t>390 мг/м</w:t>
            </w:r>
            <w:r w:rsidRPr="001E6DBE">
              <w:rPr>
                <w:rFonts w:eastAsia="SimSun"/>
                <w:vertAlign w:val="superscript"/>
              </w:rPr>
              <w:t>2</w:t>
            </w:r>
          </w:p>
        </w:tc>
        <w:tc>
          <w:tcPr>
            <w:tcW w:w="1418" w:type="dxa"/>
            <w:vAlign w:val="center"/>
          </w:tcPr>
          <w:p w14:paraId="42D75120" w14:textId="77777777" w:rsidR="009F7F8A" w:rsidRPr="00AC3044" w:rsidRDefault="009F7F8A" w:rsidP="009F7F8A">
            <w:pPr>
              <w:rPr>
                <w:rFonts w:eastAsia="SimSun"/>
              </w:rPr>
            </w:pPr>
            <w:r w:rsidRPr="00AC3044">
              <w:rPr>
                <w:rFonts w:eastAsia="SimSun"/>
              </w:rPr>
              <w:t xml:space="preserve">  С -4 дня по -2 день</w:t>
            </w:r>
          </w:p>
        </w:tc>
        <w:tc>
          <w:tcPr>
            <w:tcW w:w="2268" w:type="dxa"/>
            <w:vAlign w:val="center"/>
          </w:tcPr>
          <w:p w14:paraId="595009B2" w14:textId="77777777" w:rsidR="009F7F8A" w:rsidRPr="00AC3044" w:rsidRDefault="009F7F8A" w:rsidP="009F7F8A">
            <w:pPr>
              <w:rPr>
                <w:rFonts w:eastAsia="SimSun"/>
              </w:rPr>
            </w:pPr>
            <w:r w:rsidRPr="00AC3044">
              <w:rPr>
                <w:rFonts w:eastAsia="SimSun"/>
              </w:rPr>
              <w:t>В/в, в течение 1 часа</w:t>
            </w:r>
          </w:p>
        </w:tc>
      </w:tr>
      <w:tr w:rsidR="009F7F8A" w:rsidRPr="00AC3044" w14:paraId="4FC3CD37" w14:textId="77777777" w:rsidTr="009F7F8A">
        <w:trPr>
          <w:cantSplit/>
          <w:trHeight w:val="958"/>
        </w:trPr>
        <w:tc>
          <w:tcPr>
            <w:tcW w:w="959" w:type="dxa"/>
            <w:vMerge w:val="restart"/>
            <w:textDirection w:val="btLr"/>
            <w:vAlign w:val="center"/>
          </w:tcPr>
          <w:p w14:paraId="46EF821A" w14:textId="77777777" w:rsidR="009F7F8A" w:rsidRPr="00AC3044" w:rsidRDefault="009F7F8A" w:rsidP="009F7F8A">
            <w:pPr>
              <w:rPr>
                <w:rFonts w:eastAsia="SimSun"/>
              </w:rPr>
            </w:pPr>
            <w:r w:rsidRPr="00AC3044">
              <w:rPr>
                <w:rFonts w:eastAsia="SimSun"/>
              </w:rPr>
              <w:lastRenderedPageBreak/>
              <w:t>Профилактика РТПХ</w:t>
            </w:r>
          </w:p>
        </w:tc>
        <w:tc>
          <w:tcPr>
            <w:tcW w:w="1701" w:type="dxa"/>
            <w:vAlign w:val="center"/>
          </w:tcPr>
          <w:p w14:paraId="6D5EE833" w14:textId="77777777" w:rsidR="009F7F8A" w:rsidRPr="00AC3044" w:rsidRDefault="009F7F8A" w:rsidP="009F7F8A">
            <w:pPr>
              <w:rPr>
                <w:rFonts w:eastAsia="SimSun"/>
              </w:rPr>
            </w:pPr>
            <w:r w:rsidRPr="00AC3044">
              <w:rPr>
                <w:rFonts w:eastAsia="SimSun"/>
              </w:rPr>
              <w:t xml:space="preserve">Такролимус </w:t>
            </w:r>
          </w:p>
        </w:tc>
        <w:tc>
          <w:tcPr>
            <w:tcW w:w="1559" w:type="dxa"/>
            <w:vAlign w:val="center"/>
          </w:tcPr>
          <w:p w14:paraId="6CFED4AD" w14:textId="77777777" w:rsidR="009F7F8A" w:rsidRPr="00AC3044" w:rsidRDefault="009F7F8A" w:rsidP="009F7F8A">
            <w:pPr>
              <w:rPr>
                <w:rFonts w:eastAsia="SimSun"/>
              </w:rPr>
            </w:pPr>
            <w:r w:rsidRPr="00AC3044">
              <w:rPr>
                <w:rFonts w:eastAsia="SimSun"/>
              </w:rPr>
              <w:t>0,03 мг/кг</w:t>
            </w:r>
          </w:p>
        </w:tc>
        <w:tc>
          <w:tcPr>
            <w:tcW w:w="1701" w:type="dxa"/>
            <w:vAlign w:val="center"/>
          </w:tcPr>
          <w:p w14:paraId="0731DD46" w14:textId="77777777" w:rsidR="009F7F8A" w:rsidRPr="00AC3044" w:rsidRDefault="009F7F8A" w:rsidP="009F7F8A">
            <w:pPr>
              <w:rPr>
                <w:rFonts w:eastAsia="SimSun"/>
              </w:rPr>
            </w:pPr>
            <w:r w:rsidRPr="00AC3044">
              <w:rPr>
                <w:rFonts w:eastAsia="SimSun"/>
              </w:rPr>
              <w:t>–</w:t>
            </w:r>
          </w:p>
        </w:tc>
        <w:tc>
          <w:tcPr>
            <w:tcW w:w="1418" w:type="dxa"/>
            <w:vAlign w:val="center"/>
          </w:tcPr>
          <w:p w14:paraId="1F02739D" w14:textId="77777777" w:rsidR="009F7F8A" w:rsidRPr="00AC3044" w:rsidRDefault="009F7F8A" w:rsidP="009F7F8A">
            <w:pPr>
              <w:rPr>
                <w:rFonts w:eastAsia="SimSun"/>
              </w:rPr>
            </w:pPr>
            <w:r w:rsidRPr="00AC3044">
              <w:rPr>
                <w:rFonts w:eastAsia="SimSun"/>
              </w:rPr>
              <w:t xml:space="preserve">С +5 дня длительно </w:t>
            </w:r>
          </w:p>
        </w:tc>
        <w:tc>
          <w:tcPr>
            <w:tcW w:w="2268" w:type="dxa"/>
            <w:vAlign w:val="center"/>
          </w:tcPr>
          <w:p w14:paraId="3C1A15D1"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598E8305" w14:textId="77777777" w:rsidTr="009F7F8A">
        <w:trPr>
          <w:cantSplit/>
          <w:trHeight w:val="579"/>
        </w:trPr>
        <w:tc>
          <w:tcPr>
            <w:tcW w:w="959" w:type="dxa"/>
            <w:vMerge/>
            <w:textDirection w:val="btLr"/>
            <w:vAlign w:val="center"/>
          </w:tcPr>
          <w:p w14:paraId="25A48C1A" w14:textId="77777777" w:rsidR="009F7F8A" w:rsidRPr="00AC3044" w:rsidRDefault="009F7F8A" w:rsidP="009F7F8A">
            <w:pPr>
              <w:rPr>
                <w:rFonts w:eastAsia="SimSun"/>
              </w:rPr>
            </w:pPr>
          </w:p>
        </w:tc>
        <w:tc>
          <w:tcPr>
            <w:tcW w:w="1701" w:type="dxa"/>
            <w:vAlign w:val="center"/>
          </w:tcPr>
          <w:p w14:paraId="349F821C"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664F3CA5" w14:textId="77777777" w:rsidR="009F7F8A" w:rsidRPr="00AC3044" w:rsidRDefault="009F7F8A" w:rsidP="009F7F8A">
            <w:pPr>
              <w:rPr>
                <w:rFonts w:eastAsia="SimSun"/>
              </w:rPr>
            </w:pPr>
            <w:r w:rsidRPr="00AC3044">
              <w:rPr>
                <w:rFonts w:eastAsia="SimSun"/>
              </w:rPr>
              <w:t>50 мг/кг</w:t>
            </w:r>
          </w:p>
        </w:tc>
        <w:tc>
          <w:tcPr>
            <w:tcW w:w="1701" w:type="dxa"/>
            <w:vAlign w:val="center"/>
          </w:tcPr>
          <w:p w14:paraId="08D662EE" w14:textId="77777777" w:rsidR="009F7F8A" w:rsidRPr="00AC3044" w:rsidRDefault="009F7F8A" w:rsidP="009F7F8A">
            <w:pPr>
              <w:rPr>
                <w:rFonts w:eastAsia="SimSun"/>
              </w:rPr>
            </w:pPr>
            <w:r w:rsidRPr="00AC3044">
              <w:rPr>
                <w:rFonts w:eastAsia="SimSun"/>
              </w:rPr>
              <w:t>100 мг/кг</w:t>
            </w:r>
          </w:p>
        </w:tc>
        <w:tc>
          <w:tcPr>
            <w:tcW w:w="1418" w:type="dxa"/>
            <w:vAlign w:val="center"/>
          </w:tcPr>
          <w:p w14:paraId="239E07E6" w14:textId="77777777" w:rsidR="009F7F8A" w:rsidRPr="00AC3044" w:rsidRDefault="009F7F8A" w:rsidP="009F7F8A">
            <w:pPr>
              <w:rPr>
                <w:rFonts w:eastAsia="SimSun"/>
              </w:rPr>
            </w:pPr>
            <w:r w:rsidRPr="00AC3044">
              <w:rPr>
                <w:rFonts w:eastAsia="SimSun"/>
              </w:rPr>
              <w:t xml:space="preserve">В дни +3, +4 </w:t>
            </w:r>
          </w:p>
        </w:tc>
        <w:tc>
          <w:tcPr>
            <w:tcW w:w="2268" w:type="dxa"/>
            <w:vAlign w:val="center"/>
          </w:tcPr>
          <w:p w14:paraId="00A1C851"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03C602D1" w14:textId="77777777" w:rsidTr="009F7F8A">
        <w:trPr>
          <w:cantSplit/>
          <w:trHeight w:val="418"/>
        </w:trPr>
        <w:tc>
          <w:tcPr>
            <w:tcW w:w="959" w:type="dxa"/>
            <w:vMerge/>
            <w:textDirection w:val="btLr"/>
            <w:vAlign w:val="center"/>
          </w:tcPr>
          <w:p w14:paraId="4B454E7A" w14:textId="77777777" w:rsidR="009F7F8A" w:rsidRPr="00AC3044" w:rsidRDefault="009F7F8A" w:rsidP="009F7F8A">
            <w:pPr>
              <w:rPr>
                <w:rFonts w:eastAsia="SimSun"/>
              </w:rPr>
            </w:pPr>
          </w:p>
        </w:tc>
        <w:tc>
          <w:tcPr>
            <w:tcW w:w="1701" w:type="dxa"/>
            <w:vAlign w:val="center"/>
          </w:tcPr>
          <w:p w14:paraId="3CE086B2"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0C9C357B" w14:textId="77777777" w:rsidR="009F7F8A" w:rsidRPr="00AC3044" w:rsidRDefault="009F7F8A" w:rsidP="009F7F8A">
            <w:pPr>
              <w:rPr>
                <w:rFonts w:eastAsia="SimSun"/>
              </w:rPr>
            </w:pPr>
            <w:r w:rsidRPr="00AC3044">
              <w:rPr>
                <w:rFonts w:eastAsia="SimSun"/>
              </w:rPr>
              <w:t xml:space="preserve">30 мг/кг </w:t>
            </w:r>
          </w:p>
        </w:tc>
        <w:tc>
          <w:tcPr>
            <w:tcW w:w="1701" w:type="dxa"/>
            <w:vAlign w:val="center"/>
          </w:tcPr>
          <w:p w14:paraId="5FBC68DA" w14:textId="77777777" w:rsidR="009F7F8A" w:rsidRPr="00AC3044" w:rsidRDefault="009F7F8A" w:rsidP="009F7F8A">
            <w:pPr>
              <w:rPr>
                <w:rFonts w:eastAsia="SimSun"/>
              </w:rPr>
            </w:pPr>
            <w:r w:rsidRPr="00AC3044">
              <w:rPr>
                <w:rFonts w:eastAsia="SimSun"/>
              </w:rPr>
              <w:t>–</w:t>
            </w:r>
          </w:p>
        </w:tc>
        <w:tc>
          <w:tcPr>
            <w:tcW w:w="1418" w:type="dxa"/>
            <w:vAlign w:val="center"/>
          </w:tcPr>
          <w:p w14:paraId="5A0F63BD" w14:textId="77777777" w:rsidR="009F7F8A" w:rsidRPr="00AC3044" w:rsidRDefault="009F7F8A" w:rsidP="009F7F8A">
            <w:pPr>
              <w:rPr>
                <w:rFonts w:eastAsia="SimSun"/>
              </w:rPr>
            </w:pPr>
            <w:r w:rsidRPr="00AC3044">
              <w:rPr>
                <w:rFonts w:eastAsia="SimSun"/>
              </w:rPr>
              <w:t xml:space="preserve">С +5 дня по +35 день </w:t>
            </w:r>
          </w:p>
        </w:tc>
        <w:tc>
          <w:tcPr>
            <w:tcW w:w="2268" w:type="dxa"/>
            <w:vAlign w:val="center"/>
          </w:tcPr>
          <w:p w14:paraId="1B721CC2"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w:t>
            </w:r>
          </w:p>
        </w:tc>
      </w:tr>
    </w:tbl>
    <w:p w14:paraId="5E66B236" w14:textId="77777777" w:rsidR="009F7F8A" w:rsidRDefault="009F7F8A" w:rsidP="009F7F8A">
      <w:pPr>
        <w:rPr>
          <w:rFonts w:eastAsia="SimSun"/>
        </w:rPr>
      </w:pPr>
      <w:bookmarkStart w:id="145" w:name="_Toc44401175"/>
    </w:p>
    <w:p w14:paraId="24CFBADA" w14:textId="77777777" w:rsidR="009F7F8A" w:rsidRPr="00042499" w:rsidRDefault="009F7F8A" w:rsidP="009F7F8A">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1.2.17  – </w:t>
      </w:r>
      <w:r w:rsidRPr="00C07B2E">
        <w:rPr>
          <w:rFonts w:eastAsia="SimSun"/>
        </w:rPr>
        <w:t>Flu</w:t>
      </w:r>
      <w:r w:rsidRPr="00042499">
        <w:rPr>
          <w:rFonts w:eastAsia="SimSun"/>
          <w:lang w:val="en-US"/>
        </w:rPr>
        <w:t>90+</w:t>
      </w:r>
      <w:r w:rsidRPr="00C07B2E">
        <w:rPr>
          <w:rFonts w:eastAsia="SimSun"/>
        </w:rPr>
        <w:t>Benda</w:t>
      </w:r>
      <w:r w:rsidRPr="00042499">
        <w:rPr>
          <w:rFonts w:eastAsia="SimSun"/>
          <w:lang w:val="en-US"/>
        </w:rPr>
        <w:t xml:space="preserve"> /</w:t>
      </w:r>
      <w:r w:rsidRPr="00C07B2E">
        <w:rPr>
          <w:rFonts w:eastAsia="SimSun"/>
        </w:rPr>
        <w:t>PT</w:t>
      </w:r>
      <w:r w:rsidRPr="00042499">
        <w:rPr>
          <w:rFonts w:eastAsia="SimSun"/>
          <w:lang w:val="en-US"/>
        </w:rPr>
        <w:t>-</w:t>
      </w:r>
      <w:r w:rsidRPr="00C07B2E">
        <w:rPr>
          <w:rFonts w:eastAsia="SimSun"/>
        </w:rPr>
        <w:t>Cy</w:t>
      </w:r>
      <w:bookmarkEnd w:id="14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9F7F8A" w:rsidRPr="00AC3044" w14:paraId="42190FC9" w14:textId="77777777" w:rsidTr="009F7F8A">
        <w:trPr>
          <w:cantSplit/>
          <w:trHeight w:val="20"/>
          <w:tblHeader/>
        </w:trPr>
        <w:tc>
          <w:tcPr>
            <w:tcW w:w="959" w:type="dxa"/>
            <w:vAlign w:val="center"/>
          </w:tcPr>
          <w:p w14:paraId="504012FD" w14:textId="77777777" w:rsidR="009F7F8A" w:rsidRPr="009B5A5D" w:rsidRDefault="009F7F8A" w:rsidP="009F7F8A">
            <w:pPr>
              <w:rPr>
                <w:rFonts w:eastAsia="SimSun"/>
                <w:lang w:val="en-US"/>
              </w:rPr>
            </w:pPr>
          </w:p>
        </w:tc>
        <w:tc>
          <w:tcPr>
            <w:tcW w:w="1701" w:type="dxa"/>
            <w:vAlign w:val="center"/>
          </w:tcPr>
          <w:p w14:paraId="45254CED"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4304F1D8" w14:textId="77777777" w:rsidR="009F7F8A" w:rsidRPr="00AC3044" w:rsidRDefault="009F7F8A" w:rsidP="009F7F8A">
            <w:pPr>
              <w:rPr>
                <w:rFonts w:eastAsia="SimSun"/>
              </w:rPr>
            </w:pPr>
            <w:r w:rsidRPr="00AC3044">
              <w:rPr>
                <w:rFonts w:eastAsia="SimSun"/>
              </w:rPr>
              <w:t>Суточная доза</w:t>
            </w:r>
          </w:p>
        </w:tc>
        <w:tc>
          <w:tcPr>
            <w:tcW w:w="1701" w:type="dxa"/>
            <w:vAlign w:val="center"/>
          </w:tcPr>
          <w:p w14:paraId="2FBECBD4" w14:textId="77777777" w:rsidR="009F7F8A" w:rsidRPr="00AC3044" w:rsidRDefault="009F7F8A" w:rsidP="009F7F8A">
            <w:pPr>
              <w:rPr>
                <w:rFonts w:eastAsia="SimSun"/>
              </w:rPr>
            </w:pPr>
            <w:r w:rsidRPr="00AC3044">
              <w:rPr>
                <w:rFonts w:eastAsia="SimSun"/>
              </w:rPr>
              <w:t>Курсовая доза</w:t>
            </w:r>
          </w:p>
        </w:tc>
        <w:tc>
          <w:tcPr>
            <w:tcW w:w="1418" w:type="dxa"/>
            <w:vAlign w:val="center"/>
          </w:tcPr>
          <w:p w14:paraId="459E4E1F"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6527C763"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798D3483" w14:textId="77777777" w:rsidTr="009F7F8A">
        <w:trPr>
          <w:cantSplit/>
          <w:trHeight w:val="20"/>
        </w:trPr>
        <w:tc>
          <w:tcPr>
            <w:tcW w:w="959" w:type="dxa"/>
            <w:vMerge w:val="restart"/>
            <w:textDirection w:val="btLr"/>
            <w:vAlign w:val="center"/>
          </w:tcPr>
          <w:p w14:paraId="567F5E4C"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6F516000"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1FDCCA67"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744D8232" w14:textId="77777777" w:rsidR="009F7F8A" w:rsidRPr="00AC3044" w:rsidRDefault="009F7F8A" w:rsidP="009F7F8A">
            <w:pPr>
              <w:rPr>
                <w:rFonts w:eastAsia="SimSun"/>
              </w:rPr>
            </w:pPr>
            <w:r w:rsidRPr="00AC3044">
              <w:rPr>
                <w:rFonts w:eastAsia="SimSun"/>
              </w:rPr>
              <w:t>90 мг/м</w:t>
            </w:r>
            <w:r w:rsidRPr="001E6DBE">
              <w:rPr>
                <w:rFonts w:eastAsia="SimSun"/>
                <w:vertAlign w:val="superscript"/>
              </w:rPr>
              <w:t>2</w:t>
            </w:r>
          </w:p>
        </w:tc>
        <w:tc>
          <w:tcPr>
            <w:tcW w:w="1418" w:type="dxa"/>
            <w:vAlign w:val="center"/>
          </w:tcPr>
          <w:p w14:paraId="5C889B84" w14:textId="77777777" w:rsidR="009F7F8A" w:rsidRPr="00AC3044" w:rsidRDefault="009F7F8A" w:rsidP="009F7F8A">
            <w:pPr>
              <w:rPr>
                <w:rFonts w:eastAsia="SimSun"/>
              </w:rPr>
            </w:pPr>
            <w:r w:rsidRPr="00AC3044">
              <w:rPr>
                <w:rFonts w:eastAsia="SimSun"/>
              </w:rPr>
              <w:t>С -4 дня по -2 день</w:t>
            </w:r>
          </w:p>
        </w:tc>
        <w:tc>
          <w:tcPr>
            <w:tcW w:w="2268" w:type="dxa"/>
            <w:vAlign w:val="center"/>
          </w:tcPr>
          <w:p w14:paraId="7FC311C2"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2C9D365B" w14:textId="77777777" w:rsidTr="009F7F8A">
        <w:trPr>
          <w:cantSplit/>
          <w:trHeight w:val="394"/>
        </w:trPr>
        <w:tc>
          <w:tcPr>
            <w:tcW w:w="959" w:type="dxa"/>
            <w:vMerge/>
            <w:vAlign w:val="center"/>
          </w:tcPr>
          <w:p w14:paraId="39247B4E" w14:textId="77777777" w:rsidR="009F7F8A" w:rsidRPr="00AC3044" w:rsidRDefault="009F7F8A" w:rsidP="009F7F8A">
            <w:pPr>
              <w:rPr>
                <w:rFonts w:eastAsia="SimSun"/>
              </w:rPr>
            </w:pPr>
          </w:p>
        </w:tc>
        <w:tc>
          <w:tcPr>
            <w:tcW w:w="1701" w:type="dxa"/>
            <w:vAlign w:val="center"/>
          </w:tcPr>
          <w:p w14:paraId="479B2099" w14:textId="77777777" w:rsidR="009F7F8A" w:rsidRPr="00AC3044" w:rsidRDefault="009F7F8A" w:rsidP="009F7F8A">
            <w:pPr>
              <w:rPr>
                <w:rFonts w:eastAsia="SimSun"/>
              </w:rPr>
            </w:pPr>
            <w:r w:rsidRPr="00AC3044">
              <w:rPr>
                <w:rFonts w:eastAsia="SimSun"/>
              </w:rPr>
              <w:t>Бендамустин</w:t>
            </w:r>
          </w:p>
        </w:tc>
        <w:tc>
          <w:tcPr>
            <w:tcW w:w="1559" w:type="dxa"/>
            <w:vAlign w:val="center"/>
          </w:tcPr>
          <w:p w14:paraId="253E6F71" w14:textId="77777777" w:rsidR="009F7F8A" w:rsidRPr="00AC3044" w:rsidRDefault="009F7F8A" w:rsidP="009F7F8A">
            <w:pPr>
              <w:rPr>
                <w:rFonts w:eastAsia="SimSun"/>
              </w:rPr>
            </w:pPr>
            <w:r w:rsidRPr="00AC3044">
              <w:rPr>
                <w:rFonts w:eastAsia="SimSun"/>
              </w:rPr>
              <w:t>130 мг/м</w:t>
            </w:r>
            <w:r w:rsidRPr="001E6DBE">
              <w:rPr>
                <w:rFonts w:eastAsia="SimSun"/>
                <w:vertAlign w:val="superscript"/>
              </w:rPr>
              <w:t>2</w:t>
            </w:r>
            <w:r w:rsidRPr="00AC3044">
              <w:rPr>
                <w:rFonts w:eastAsia="SimSun"/>
              </w:rPr>
              <w:t xml:space="preserve"> </w:t>
            </w:r>
          </w:p>
        </w:tc>
        <w:tc>
          <w:tcPr>
            <w:tcW w:w="1701" w:type="dxa"/>
            <w:vAlign w:val="center"/>
          </w:tcPr>
          <w:p w14:paraId="6745FE11" w14:textId="77777777" w:rsidR="009F7F8A" w:rsidRPr="00AC3044" w:rsidRDefault="009F7F8A" w:rsidP="009F7F8A">
            <w:pPr>
              <w:rPr>
                <w:rFonts w:eastAsia="SimSun"/>
              </w:rPr>
            </w:pPr>
            <w:r w:rsidRPr="00AC3044">
              <w:rPr>
                <w:rFonts w:eastAsia="SimSun"/>
              </w:rPr>
              <w:t>390 мг/м</w:t>
            </w:r>
            <w:r w:rsidRPr="001E6DBE">
              <w:rPr>
                <w:rFonts w:eastAsia="SimSun"/>
                <w:vertAlign w:val="superscript"/>
              </w:rPr>
              <w:t>2</w:t>
            </w:r>
          </w:p>
        </w:tc>
        <w:tc>
          <w:tcPr>
            <w:tcW w:w="1418" w:type="dxa"/>
            <w:vAlign w:val="center"/>
          </w:tcPr>
          <w:p w14:paraId="0330BEFA" w14:textId="77777777" w:rsidR="009F7F8A" w:rsidRPr="00AC3044" w:rsidRDefault="009F7F8A" w:rsidP="009F7F8A">
            <w:pPr>
              <w:rPr>
                <w:rFonts w:eastAsia="SimSun"/>
              </w:rPr>
            </w:pPr>
            <w:r w:rsidRPr="00AC3044">
              <w:rPr>
                <w:rFonts w:eastAsia="SimSun"/>
              </w:rPr>
              <w:t xml:space="preserve">  С -4 дня по -2 день</w:t>
            </w:r>
          </w:p>
        </w:tc>
        <w:tc>
          <w:tcPr>
            <w:tcW w:w="2268" w:type="dxa"/>
            <w:vAlign w:val="center"/>
          </w:tcPr>
          <w:p w14:paraId="001B2669" w14:textId="77777777" w:rsidR="009F7F8A" w:rsidRPr="00AC3044" w:rsidRDefault="009F7F8A" w:rsidP="009F7F8A">
            <w:pPr>
              <w:rPr>
                <w:rFonts w:eastAsia="SimSun"/>
              </w:rPr>
            </w:pPr>
            <w:r w:rsidRPr="00AC3044">
              <w:rPr>
                <w:rFonts w:eastAsia="SimSun"/>
              </w:rPr>
              <w:t>В/в, в течение 1 часа</w:t>
            </w:r>
          </w:p>
        </w:tc>
      </w:tr>
      <w:tr w:rsidR="009F7F8A" w:rsidRPr="00AC3044" w14:paraId="4D17AF88" w14:textId="77777777" w:rsidTr="009F7F8A">
        <w:trPr>
          <w:cantSplit/>
          <w:trHeight w:val="958"/>
        </w:trPr>
        <w:tc>
          <w:tcPr>
            <w:tcW w:w="959" w:type="dxa"/>
            <w:textDirection w:val="btLr"/>
            <w:vAlign w:val="center"/>
          </w:tcPr>
          <w:p w14:paraId="263B11FA" w14:textId="77777777" w:rsidR="009F7F8A" w:rsidRPr="00AC3044" w:rsidRDefault="009F7F8A" w:rsidP="009F7F8A">
            <w:pPr>
              <w:rPr>
                <w:rFonts w:eastAsia="SimSun"/>
              </w:rPr>
            </w:pPr>
            <w:r w:rsidRPr="00AC3044">
              <w:rPr>
                <w:rFonts w:eastAsia="SimSun"/>
              </w:rPr>
              <w:lastRenderedPageBreak/>
              <w:t>Профилактика РТПХ</w:t>
            </w:r>
          </w:p>
        </w:tc>
        <w:tc>
          <w:tcPr>
            <w:tcW w:w="1701" w:type="dxa"/>
            <w:vAlign w:val="center"/>
          </w:tcPr>
          <w:p w14:paraId="432D73FE"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41C7BEC0" w14:textId="77777777" w:rsidR="009F7F8A" w:rsidRPr="00AC3044" w:rsidRDefault="009F7F8A" w:rsidP="009F7F8A">
            <w:pPr>
              <w:rPr>
                <w:rFonts w:eastAsia="SimSun"/>
              </w:rPr>
            </w:pPr>
            <w:r w:rsidRPr="00AC3044">
              <w:rPr>
                <w:rFonts w:eastAsia="SimSun"/>
              </w:rPr>
              <w:t>50 мг/кг</w:t>
            </w:r>
          </w:p>
        </w:tc>
        <w:tc>
          <w:tcPr>
            <w:tcW w:w="1701" w:type="dxa"/>
            <w:vAlign w:val="center"/>
          </w:tcPr>
          <w:p w14:paraId="26ED9FAC" w14:textId="77777777" w:rsidR="009F7F8A" w:rsidRPr="00AC3044" w:rsidRDefault="009F7F8A" w:rsidP="009F7F8A">
            <w:pPr>
              <w:rPr>
                <w:rFonts w:eastAsia="SimSun"/>
              </w:rPr>
            </w:pPr>
            <w:r w:rsidRPr="00AC3044">
              <w:rPr>
                <w:rFonts w:eastAsia="SimSun"/>
              </w:rPr>
              <w:t>100 мг/кг</w:t>
            </w:r>
          </w:p>
        </w:tc>
        <w:tc>
          <w:tcPr>
            <w:tcW w:w="1418" w:type="dxa"/>
            <w:vAlign w:val="center"/>
          </w:tcPr>
          <w:p w14:paraId="05134DBF" w14:textId="77777777" w:rsidR="009F7F8A" w:rsidRPr="00AC3044" w:rsidRDefault="009F7F8A" w:rsidP="009F7F8A">
            <w:pPr>
              <w:rPr>
                <w:rFonts w:eastAsia="SimSun"/>
              </w:rPr>
            </w:pPr>
            <w:r w:rsidRPr="00AC3044">
              <w:rPr>
                <w:rFonts w:eastAsia="SimSun"/>
              </w:rPr>
              <w:t xml:space="preserve">В дни +3, +4 </w:t>
            </w:r>
          </w:p>
        </w:tc>
        <w:tc>
          <w:tcPr>
            <w:tcW w:w="2268" w:type="dxa"/>
            <w:vAlign w:val="center"/>
          </w:tcPr>
          <w:p w14:paraId="509A5E12" w14:textId="77777777" w:rsidR="009F7F8A" w:rsidRPr="00AC3044" w:rsidRDefault="009F7F8A" w:rsidP="009F7F8A">
            <w:pPr>
              <w:rPr>
                <w:rFonts w:eastAsia="SimSun"/>
              </w:rPr>
            </w:pPr>
            <w:r w:rsidRPr="00AC3044">
              <w:rPr>
                <w:rFonts w:eastAsia="SimSun"/>
              </w:rPr>
              <w:t>В/в, в течение 2 часов</w:t>
            </w:r>
          </w:p>
        </w:tc>
      </w:tr>
    </w:tbl>
    <w:p w14:paraId="20B5C9D4" w14:textId="77777777" w:rsidR="009F7F8A" w:rsidRDefault="009F7F8A" w:rsidP="009F7F8A">
      <w:pPr>
        <w:rPr>
          <w:rFonts w:eastAsia="SimSun"/>
        </w:rPr>
      </w:pPr>
      <w:bookmarkStart w:id="146" w:name="_Toc44401176"/>
    </w:p>
    <w:p w14:paraId="790C8030" w14:textId="77777777" w:rsidR="009F7F8A" w:rsidRPr="00C07B2E" w:rsidRDefault="009F7F8A" w:rsidP="009F7F8A">
      <w:pPr>
        <w:rPr>
          <w:rFonts w:eastAsia="SimSun"/>
        </w:rPr>
      </w:pPr>
      <w:r>
        <w:rPr>
          <w:rFonts w:eastAsia="SimSun"/>
        </w:rPr>
        <w:t>Таблица</w:t>
      </w:r>
      <w:r w:rsidRPr="00C07B2E">
        <w:rPr>
          <w:rFonts w:eastAsia="SimSun"/>
        </w:rPr>
        <w:t xml:space="preserve"> </w:t>
      </w:r>
      <w:r>
        <w:rPr>
          <w:rFonts w:eastAsia="SimSun"/>
        </w:rPr>
        <w:t>5.</w:t>
      </w:r>
      <w:r w:rsidRPr="00C07B2E">
        <w:rPr>
          <w:rFonts w:eastAsia="SimSun"/>
        </w:rPr>
        <w:t>2.2.18 – Flu100+Cy100 / hATG+CSA+MTX</w:t>
      </w:r>
      <w:bookmarkEnd w:id="146"/>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701"/>
        <w:gridCol w:w="1418"/>
        <w:gridCol w:w="2268"/>
      </w:tblGrid>
      <w:tr w:rsidR="009F7F8A" w:rsidRPr="00AC3044" w14:paraId="35520928" w14:textId="77777777" w:rsidTr="009F7F8A">
        <w:trPr>
          <w:cantSplit/>
          <w:trHeight w:val="20"/>
          <w:tblHeader/>
        </w:trPr>
        <w:tc>
          <w:tcPr>
            <w:tcW w:w="993" w:type="dxa"/>
          </w:tcPr>
          <w:p w14:paraId="6F9E97C9" w14:textId="77777777" w:rsidR="009F7F8A" w:rsidRPr="00470D3D" w:rsidRDefault="009F7F8A" w:rsidP="009F7F8A">
            <w:pPr>
              <w:rPr>
                <w:rFonts w:eastAsia="SimSun"/>
              </w:rPr>
            </w:pPr>
          </w:p>
        </w:tc>
        <w:tc>
          <w:tcPr>
            <w:tcW w:w="1701" w:type="dxa"/>
            <w:vAlign w:val="center"/>
          </w:tcPr>
          <w:p w14:paraId="3231FF05"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4311262D" w14:textId="77777777" w:rsidR="009F7F8A" w:rsidRPr="00AC3044" w:rsidRDefault="009F7F8A" w:rsidP="009F7F8A">
            <w:pPr>
              <w:rPr>
                <w:rFonts w:eastAsia="SimSun"/>
              </w:rPr>
            </w:pPr>
            <w:r w:rsidRPr="00AC3044">
              <w:rPr>
                <w:rFonts w:eastAsia="SimSun"/>
              </w:rPr>
              <w:t>Суточная доза</w:t>
            </w:r>
          </w:p>
        </w:tc>
        <w:tc>
          <w:tcPr>
            <w:tcW w:w="1701" w:type="dxa"/>
            <w:vAlign w:val="center"/>
          </w:tcPr>
          <w:p w14:paraId="03F27181" w14:textId="77777777" w:rsidR="009F7F8A" w:rsidRPr="00AC3044" w:rsidRDefault="009F7F8A" w:rsidP="009F7F8A">
            <w:pPr>
              <w:rPr>
                <w:rFonts w:eastAsia="SimSun"/>
              </w:rPr>
            </w:pPr>
            <w:r w:rsidRPr="00AC3044">
              <w:rPr>
                <w:rFonts w:eastAsia="SimSun"/>
              </w:rPr>
              <w:t>Курсовая доза</w:t>
            </w:r>
          </w:p>
        </w:tc>
        <w:tc>
          <w:tcPr>
            <w:tcW w:w="1418" w:type="dxa"/>
            <w:vAlign w:val="center"/>
          </w:tcPr>
          <w:p w14:paraId="06F91D96"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1DF0AE0E" w14:textId="77777777" w:rsidR="009F7F8A" w:rsidRPr="00AC3044" w:rsidRDefault="009F7F8A" w:rsidP="009F7F8A">
            <w:pPr>
              <w:rPr>
                <w:rFonts w:eastAsia="SimSun"/>
              </w:rPr>
            </w:pPr>
            <w:r w:rsidRPr="00AC3044">
              <w:rPr>
                <w:rFonts w:eastAsia="SimSun"/>
              </w:rPr>
              <w:t>Порядок введения</w:t>
            </w:r>
          </w:p>
        </w:tc>
      </w:tr>
      <w:tr w:rsidR="009F7F8A" w:rsidRPr="00C07B2E" w14:paraId="1C1EAE58" w14:textId="77777777" w:rsidTr="009F7F8A">
        <w:trPr>
          <w:cantSplit/>
          <w:trHeight w:val="20"/>
        </w:trPr>
        <w:tc>
          <w:tcPr>
            <w:tcW w:w="993" w:type="dxa"/>
            <w:vMerge w:val="restart"/>
            <w:textDirection w:val="btLr"/>
            <w:vAlign w:val="center"/>
          </w:tcPr>
          <w:p w14:paraId="2736149B"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60C14650"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71B35A41" w14:textId="77777777" w:rsidR="009F7F8A" w:rsidRPr="00AC3044" w:rsidRDefault="009F7F8A" w:rsidP="009F7F8A">
            <w:pPr>
              <w:rPr>
                <w:rFonts w:eastAsia="SimSun"/>
              </w:rPr>
            </w:pPr>
            <w:r w:rsidRPr="00AC3044">
              <w:rPr>
                <w:rFonts w:eastAsia="SimSun"/>
              </w:rPr>
              <w:t>25 мг/м</w:t>
            </w:r>
            <w:r w:rsidRPr="001E6DBE">
              <w:rPr>
                <w:rFonts w:eastAsia="SimSun"/>
                <w:vertAlign w:val="superscript"/>
              </w:rPr>
              <w:t>2</w:t>
            </w:r>
          </w:p>
        </w:tc>
        <w:tc>
          <w:tcPr>
            <w:tcW w:w="1701" w:type="dxa"/>
            <w:vAlign w:val="center"/>
          </w:tcPr>
          <w:p w14:paraId="089A5EBC" w14:textId="77777777" w:rsidR="009F7F8A" w:rsidRPr="00AC3044" w:rsidRDefault="009F7F8A" w:rsidP="009F7F8A">
            <w:pPr>
              <w:rPr>
                <w:rFonts w:eastAsia="SimSun"/>
              </w:rPr>
            </w:pPr>
            <w:r w:rsidRPr="00AC3044">
              <w:rPr>
                <w:rFonts w:eastAsia="SimSun"/>
              </w:rPr>
              <w:t>100 мг/м</w:t>
            </w:r>
            <w:r w:rsidRPr="001E6DBE">
              <w:rPr>
                <w:rFonts w:eastAsia="SimSun"/>
                <w:vertAlign w:val="superscript"/>
              </w:rPr>
              <w:t>2</w:t>
            </w:r>
          </w:p>
        </w:tc>
        <w:tc>
          <w:tcPr>
            <w:tcW w:w="1418" w:type="dxa"/>
            <w:vAlign w:val="center"/>
          </w:tcPr>
          <w:p w14:paraId="25311429" w14:textId="77777777" w:rsidR="009F7F8A" w:rsidRPr="00AC3044" w:rsidRDefault="009F7F8A" w:rsidP="009F7F8A">
            <w:pPr>
              <w:rPr>
                <w:rFonts w:eastAsia="SimSun"/>
              </w:rPr>
            </w:pPr>
            <w:r w:rsidRPr="00AC3044">
              <w:rPr>
                <w:rFonts w:eastAsia="SimSun"/>
              </w:rPr>
              <w:t xml:space="preserve">С –5 по –2 день </w:t>
            </w:r>
          </w:p>
        </w:tc>
        <w:tc>
          <w:tcPr>
            <w:tcW w:w="2268" w:type="dxa"/>
            <w:vAlign w:val="center"/>
          </w:tcPr>
          <w:p w14:paraId="66DF35C5" w14:textId="77777777" w:rsidR="009F7F8A" w:rsidRPr="00AC3044" w:rsidRDefault="009F7F8A" w:rsidP="009F7F8A">
            <w:pPr>
              <w:rPr>
                <w:rFonts w:eastAsia="SimSun"/>
              </w:rPr>
            </w:pPr>
            <w:r w:rsidRPr="00AC3044">
              <w:rPr>
                <w:rFonts w:eastAsia="SimSun"/>
              </w:rPr>
              <w:t>В/в, в течение 30 -60 мин</w:t>
            </w:r>
          </w:p>
        </w:tc>
      </w:tr>
      <w:tr w:rsidR="009F7F8A" w:rsidRPr="00C07B2E" w14:paraId="015711B7" w14:textId="77777777" w:rsidTr="009F7F8A">
        <w:trPr>
          <w:cantSplit/>
          <w:trHeight w:val="704"/>
        </w:trPr>
        <w:tc>
          <w:tcPr>
            <w:tcW w:w="993" w:type="dxa"/>
            <w:vMerge/>
            <w:textDirection w:val="btLr"/>
            <w:vAlign w:val="center"/>
          </w:tcPr>
          <w:p w14:paraId="60132F66" w14:textId="77777777" w:rsidR="009F7F8A" w:rsidRPr="00AC3044" w:rsidRDefault="009F7F8A" w:rsidP="009F7F8A">
            <w:pPr>
              <w:rPr>
                <w:rFonts w:eastAsia="SimSun"/>
              </w:rPr>
            </w:pPr>
          </w:p>
        </w:tc>
        <w:tc>
          <w:tcPr>
            <w:tcW w:w="1701" w:type="dxa"/>
            <w:vAlign w:val="center"/>
          </w:tcPr>
          <w:p w14:paraId="5B0E3631"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4B41E358" w14:textId="77777777" w:rsidR="009F7F8A" w:rsidRPr="00AC3044" w:rsidRDefault="009F7F8A" w:rsidP="009F7F8A">
            <w:pPr>
              <w:rPr>
                <w:rFonts w:eastAsia="SimSun"/>
              </w:rPr>
            </w:pPr>
            <w:r w:rsidRPr="00AC3044">
              <w:rPr>
                <w:rFonts w:eastAsia="SimSun"/>
              </w:rPr>
              <w:t>25 мг/кг</w:t>
            </w:r>
          </w:p>
        </w:tc>
        <w:tc>
          <w:tcPr>
            <w:tcW w:w="1701" w:type="dxa"/>
            <w:vAlign w:val="center"/>
          </w:tcPr>
          <w:p w14:paraId="39BB963D" w14:textId="77777777" w:rsidR="009F7F8A" w:rsidRPr="00AC3044" w:rsidRDefault="009F7F8A" w:rsidP="009F7F8A">
            <w:pPr>
              <w:rPr>
                <w:rFonts w:eastAsia="SimSun"/>
              </w:rPr>
            </w:pPr>
            <w:r w:rsidRPr="00AC3044">
              <w:rPr>
                <w:rFonts w:eastAsia="SimSun"/>
              </w:rPr>
              <w:t>100 мг/кг</w:t>
            </w:r>
          </w:p>
        </w:tc>
        <w:tc>
          <w:tcPr>
            <w:tcW w:w="1418" w:type="dxa"/>
            <w:vAlign w:val="center"/>
          </w:tcPr>
          <w:p w14:paraId="6C7F71E2" w14:textId="77777777" w:rsidR="009F7F8A" w:rsidRPr="00AC3044" w:rsidRDefault="009F7F8A" w:rsidP="009F7F8A">
            <w:pPr>
              <w:rPr>
                <w:rFonts w:eastAsia="SimSun"/>
              </w:rPr>
            </w:pPr>
            <w:r w:rsidRPr="00AC3044">
              <w:rPr>
                <w:rFonts w:eastAsia="SimSun"/>
              </w:rPr>
              <w:t>С –5 по –2 день</w:t>
            </w:r>
          </w:p>
        </w:tc>
        <w:tc>
          <w:tcPr>
            <w:tcW w:w="2268" w:type="dxa"/>
            <w:vAlign w:val="center"/>
          </w:tcPr>
          <w:p w14:paraId="7040CF21" w14:textId="77777777" w:rsidR="009F7F8A" w:rsidRPr="00AC3044" w:rsidRDefault="009F7F8A" w:rsidP="009F7F8A">
            <w:pPr>
              <w:rPr>
                <w:rFonts w:eastAsia="SimSun"/>
              </w:rPr>
            </w:pPr>
            <w:r w:rsidRPr="00AC3044">
              <w:rPr>
                <w:rFonts w:eastAsia="SimSun"/>
              </w:rPr>
              <w:t>В/в, в течение 2 часов</w:t>
            </w:r>
          </w:p>
        </w:tc>
      </w:tr>
      <w:tr w:rsidR="009F7F8A" w:rsidRPr="00C07B2E" w14:paraId="4EDB2269" w14:textId="77777777" w:rsidTr="009F7F8A">
        <w:trPr>
          <w:cantSplit/>
          <w:trHeight w:val="20"/>
        </w:trPr>
        <w:tc>
          <w:tcPr>
            <w:tcW w:w="993" w:type="dxa"/>
            <w:vMerge w:val="restart"/>
            <w:textDirection w:val="btLr"/>
            <w:vAlign w:val="center"/>
          </w:tcPr>
          <w:p w14:paraId="044F3C2D"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6EC441A5" w14:textId="77777777" w:rsidR="009F7F8A" w:rsidRPr="00AC3044" w:rsidRDefault="009F7F8A" w:rsidP="009F7F8A">
            <w:pPr>
              <w:rPr>
                <w:rFonts w:eastAsia="SimSun"/>
              </w:rPr>
            </w:pPr>
            <w:r w:rsidRPr="00AC3044">
              <w:rPr>
                <w:rFonts w:eastAsia="SimSun"/>
              </w:rPr>
              <w:t>АТГ (лошадиный)</w:t>
            </w:r>
          </w:p>
        </w:tc>
        <w:tc>
          <w:tcPr>
            <w:tcW w:w="1559" w:type="dxa"/>
            <w:vAlign w:val="center"/>
          </w:tcPr>
          <w:p w14:paraId="7A173E39" w14:textId="77777777" w:rsidR="009F7F8A" w:rsidRPr="00AC3044" w:rsidRDefault="009F7F8A" w:rsidP="009F7F8A">
            <w:pPr>
              <w:rPr>
                <w:rFonts w:eastAsia="SimSun"/>
              </w:rPr>
            </w:pPr>
            <w:r w:rsidRPr="00AC3044">
              <w:rPr>
                <w:rFonts w:eastAsia="SimSun"/>
              </w:rPr>
              <w:t>25 мг/кг</w:t>
            </w:r>
          </w:p>
        </w:tc>
        <w:tc>
          <w:tcPr>
            <w:tcW w:w="1701" w:type="dxa"/>
            <w:vAlign w:val="center"/>
          </w:tcPr>
          <w:p w14:paraId="68BB0538" w14:textId="77777777" w:rsidR="009F7F8A" w:rsidRPr="00AC3044" w:rsidRDefault="009F7F8A" w:rsidP="009F7F8A">
            <w:pPr>
              <w:rPr>
                <w:rFonts w:eastAsia="SimSun"/>
              </w:rPr>
            </w:pPr>
            <w:r w:rsidRPr="00AC3044">
              <w:rPr>
                <w:rFonts w:eastAsia="SimSun"/>
              </w:rPr>
              <w:t>100 мг/кг</w:t>
            </w:r>
          </w:p>
        </w:tc>
        <w:tc>
          <w:tcPr>
            <w:tcW w:w="1418" w:type="dxa"/>
            <w:vAlign w:val="center"/>
          </w:tcPr>
          <w:p w14:paraId="69C42090" w14:textId="77777777" w:rsidR="009F7F8A" w:rsidRPr="00AC3044" w:rsidRDefault="009F7F8A" w:rsidP="009F7F8A">
            <w:pPr>
              <w:rPr>
                <w:rFonts w:eastAsia="SimSun"/>
              </w:rPr>
            </w:pPr>
            <w:r w:rsidRPr="00AC3044">
              <w:rPr>
                <w:rFonts w:eastAsia="SimSun"/>
              </w:rPr>
              <w:t>С –4 по –1 день</w:t>
            </w:r>
          </w:p>
        </w:tc>
        <w:tc>
          <w:tcPr>
            <w:tcW w:w="2268" w:type="dxa"/>
            <w:vAlign w:val="center"/>
          </w:tcPr>
          <w:p w14:paraId="242231BF" w14:textId="77777777" w:rsidR="009F7F8A" w:rsidRPr="00AC3044" w:rsidRDefault="009F7F8A" w:rsidP="009F7F8A">
            <w:pPr>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на 2 введения (см. гл. 3, «Инфузия АТГ»)</w:t>
            </w:r>
          </w:p>
        </w:tc>
      </w:tr>
      <w:tr w:rsidR="009F7F8A" w:rsidRPr="00C07B2E" w14:paraId="3C53F4EC" w14:textId="77777777" w:rsidTr="009F7F8A">
        <w:trPr>
          <w:cantSplit/>
          <w:trHeight w:val="1141"/>
        </w:trPr>
        <w:tc>
          <w:tcPr>
            <w:tcW w:w="993" w:type="dxa"/>
            <w:vMerge/>
            <w:textDirection w:val="btLr"/>
          </w:tcPr>
          <w:p w14:paraId="47C3EE8F" w14:textId="77777777" w:rsidR="009F7F8A" w:rsidRPr="00AC3044" w:rsidRDefault="009F7F8A" w:rsidP="009F7F8A">
            <w:pPr>
              <w:rPr>
                <w:rFonts w:eastAsia="SimSun"/>
              </w:rPr>
            </w:pPr>
          </w:p>
        </w:tc>
        <w:tc>
          <w:tcPr>
            <w:tcW w:w="1701" w:type="dxa"/>
            <w:vAlign w:val="center"/>
          </w:tcPr>
          <w:p w14:paraId="42A3CAAD" w14:textId="77777777" w:rsidR="009F7F8A" w:rsidRPr="00AC3044" w:rsidRDefault="009F7F8A" w:rsidP="009F7F8A">
            <w:pPr>
              <w:rPr>
                <w:rFonts w:eastAsia="SimSun"/>
              </w:rPr>
            </w:pPr>
            <w:r w:rsidRPr="00AC3044">
              <w:rPr>
                <w:rFonts w:eastAsia="SimSun"/>
              </w:rPr>
              <w:t>Циклоспорин</w:t>
            </w:r>
          </w:p>
        </w:tc>
        <w:tc>
          <w:tcPr>
            <w:tcW w:w="1559" w:type="dxa"/>
            <w:vAlign w:val="center"/>
          </w:tcPr>
          <w:p w14:paraId="20A329D0" w14:textId="77777777" w:rsidR="009F7F8A" w:rsidRPr="00AC3044" w:rsidRDefault="009F7F8A" w:rsidP="009F7F8A">
            <w:pPr>
              <w:rPr>
                <w:rFonts w:eastAsia="SimSun"/>
              </w:rPr>
            </w:pPr>
            <w:r w:rsidRPr="00AC3044">
              <w:rPr>
                <w:rFonts w:eastAsia="SimSun"/>
              </w:rPr>
              <w:t>3 мг/кг</w:t>
            </w:r>
          </w:p>
        </w:tc>
        <w:tc>
          <w:tcPr>
            <w:tcW w:w="1701" w:type="dxa"/>
            <w:vAlign w:val="center"/>
          </w:tcPr>
          <w:p w14:paraId="2E87D7AC" w14:textId="77777777" w:rsidR="009F7F8A" w:rsidRPr="00AC3044" w:rsidRDefault="009F7F8A" w:rsidP="009F7F8A">
            <w:pPr>
              <w:rPr>
                <w:rFonts w:eastAsia="SimSun"/>
              </w:rPr>
            </w:pPr>
            <w:r w:rsidRPr="00AC3044">
              <w:rPr>
                <w:rFonts w:eastAsia="SimSun"/>
              </w:rPr>
              <w:t>–</w:t>
            </w:r>
          </w:p>
        </w:tc>
        <w:tc>
          <w:tcPr>
            <w:tcW w:w="1418" w:type="dxa"/>
            <w:vAlign w:val="center"/>
          </w:tcPr>
          <w:p w14:paraId="2C69A36C" w14:textId="77777777" w:rsidR="009F7F8A" w:rsidRPr="00AC3044" w:rsidRDefault="009F7F8A" w:rsidP="009F7F8A">
            <w:pPr>
              <w:rPr>
                <w:rFonts w:eastAsia="SimSun"/>
              </w:rPr>
            </w:pPr>
            <w:r w:rsidRPr="00AC3044">
              <w:rPr>
                <w:rFonts w:eastAsia="SimSun"/>
              </w:rPr>
              <w:t>С –1 дня по +230 день затем постепенное снижение к +270 дню</w:t>
            </w:r>
          </w:p>
        </w:tc>
        <w:tc>
          <w:tcPr>
            <w:tcW w:w="2268" w:type="dxa"/>
            <w:vAlign w:val="center"/>
          </w:tcPr>
          <w:p w14:paraId="6BAF3A14"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C07B2E" w14:paraId="7F507797" w14:textId="77777777" w:rsidTr="009F7F8A">
        <w:trPr>
          <w:cantSplit/>
          <w:trHeight w:val="20"/>
        </w:trPr>
        <w:tc>
          <w:tcPr>
            <w:tcW w:w="993" w:type="dxa"/>
            <w:vMerge/>
          </w:tcPr>
          <w:p w14:paraId="7BE7CBAF" w14:textId="77777777" w:rsidR="009F7F8A" w:rsidRPr="00AC3044" w:rsidRDefault="009F7F8A" w:rsidP="009F7F8A">
            <w:pPr>
              <w:rPr>
                <w:rFonts w:eastAsia="SimSun"/>
              </w:rPr>
            </w:pPr>
          </w:p>
        </w:tc>
        <w:tc>
          <w:tcPr>
            <w:tcW w:w="1701" w:type="dxa"/>
            <w:vAlign w:val="center"/>
          </w:tcPr>
          <w:p w14:paraId="067E037F" w14:textId="77777777" w:rsidR="009F7F8A" w:rsidRPr="00AC3044" w:rsidRDefault="009F7F8A" w:rsidP="009F7F8A">
            <w:pPr>
              <w:rPr>
                <w:rFonts w:eastAsia="SimSun"/>
              </w:rPr>
            </w:pPr>
            <w:r w:rsidRPr="00AC3044">
              <w:rPr>
                <w:rFonts w:eastAsia="SimSun"/>
              </w:rPr>
              <w:t>Метотрексат</w:t>
            </w:r>
          </w:p>
        </w:tc>
        <w:tc>
          <w:tcPr>
            <w:tcW w:w="1559" w:type="dxa"/>
            <w:vAlign w:val="center"/>
          </w:tcPr>
          <w:p w14:paraId="2B58C99F" w14:textId="77777777" w:rsidR="009F7F8A" w:rsidRPr="00AC3044" w:rsidRDefault="009F7F8A" w:rsidP="009F7F8A">
            <w:pPr>
              <w:rPr>
                <w:rFonts w:eastAsia="SimSun"/>
              </w:rPr>
            </w:pPr>
            <w:r w:rsidRPr="00AC3044">
              <w:rPr>
                <w:rFonts w:eastAsia="SimSun"/>
              </w:rPr>
              <w:t>15 мг/м</w:t>
            </w:r>
            <w:r w:rsidRPr="001E6DBE">
              <w:rPr>
                <w:rFonts w:eastAsia="SimSun"/>
                <w:vertAlign w:val="superscript"/>
              </w:rPr>
              <w:t>2</w:t>
            </w:r>
          </w:p>
        </w:tc>
        <w:tc>
          <w:tcPr>
            <w:tcW w:w="1701" w:type="dxa"/>
            <w:vAlign w:val="center"/>
          </w:tcPr>
          <w:p w14:paraId="083BB23B" w14:textId="77777777" w:rsidR="009F7F8A" w:rsidRPr="00AC3044" w:rsidRDefault="009F7F8A" w:rsidP="009F7F8A">
            <w:pPr>
              <w:rPr>
                <w:rFonts w:eastAsia="SimSun"/>
              </w:rPr>
            </w:pPr>
            <w:r w:rsidRPr="00AC3044">
              <w:rPr>
                <w:rFonts w:eastAsia="SimSun"/>
              </w:rPr>
              <w:t>–</w:t>
            </w:r>
          </w:p>
        </w:tc>
        <w:tc>
          <w:tcPr>
            <w:tcW w:w="1418" w:type="dxa"/>
            <w:vAlign w:val="center"/>
          </w:tcPr>
          <w:p w14:paraId="75313043" w14:textId="77777777" w:rsidR="009F7F8A" w:rsidRPr="00AC3044" w:rsidRDefault="009F7F8A" w:rsidP="009F7F8A">
            <w:pPr>
              <w:rPr>
                <w:rFonts w:eastAsia="SimSun"/>
              </w:rPr>
            </w:pPr>
            <w:r w:rsidRPr="00AC3044">
              <w:rPr>
                <w:rFonts w:eastAsia="SimSun"/>
              </w:rPr>
              <w:t>+1 день</w:t>
            </w:r>
          </w:p>
        </w:tc>
        <w:tc>
          <w:tcPr>
            <w:tcW w:w="2268" w:type="dxa"/>
            <w:vAlign w:val="center"/>
          </w:tcPr>
          <w:p w14:paraId="7B156855"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C07B2E" w14:paraId="08920009" w14:textId="77777777" w:rsidTr="009F7F8A">
        <w:trPr>
          <w:cantSplit/>
          <w:trHeight w:val="464"/>
        </w:trPr>
        <w:tc>
          <w:tcPr>
            <w:tcW w:w="993" w:type="dxa"/>
            <w:vMerge/>
          </w:tcPr>
          <w:p w14:paraId="4D08DFA7" w14:textId="77777777" w:rsidR="009F7F8A" w:rsidRPr="00AC3044" w:rsidRDefault="009F7F8A" w:rsidP="009F7F8A">
            <w:pPr>
              <w:rPr>
                <w:rFonts w:eastAsia="SimSun"/>
              </w:rPr>
            </w:pPr>
          </w:p>
        </w:tc>
        <w:tc>
          <w:tcPr>
            <w:tcW w:w="1701" w:type="dxa"/>
            <w:vAlign w:val="center"/>
          </w:tcPr>
          <w:p w14:paraId="6878F6FC" w14:textId="77777777" w:rsidR="009F7F8A" w:rsidRPr="00AC3044" w:rsidRDefault="009F7F8A" w:rsidP="009F7F8A">
            <w:pPr>
              <w:rPr>
                <w:rFonts w:eastAsia="SimSun"/>
              </w:rPr>
            </w:pPr>
            <w:r w:rsidRPr="00AC3044">
              <w:rPr>
                <w:rFonts w:eastAsia="SimSun"/>
              </w:rPr>
              <w:t>Метотрексат</w:t>
            </w:r>
          </w:p>
        </w:tc>
        <w:tc>
          <w:tcPr>
            <w:tcW w:w="1559" w:type="dxa"/>
            <w:vAlign w:val="center"/>
          </w:tcPr>
          <w:p w14:paraId="03A82247" w14:textId="77777777" w:rsidR="009F7F8A" w:rsidRPr="00AC3044" w:rsidRDefault="009F7F8A" w:rsidP="009F7F8A">
            <w:pPr>
              <w:rPr>
                <w:rFonts w:eastAsia="SimSun"/>
              </w:rPr>
            </w:pPr>
            <w:r w:rsidRPr="00AC3044">
              <w:rPr>
                <w:rFonts w:eastAsia="SimSun"/>
              </w:rPr>
              <w:t>10 мг/м</w:t>
            </w:r>
            <w:r w:rsidRPr="001E6DBE">
              <w:rPr>
                <w:rFonts w:eastAsia="SimSun"/>
                <w:vertAlign w:val="superscript"/>
              </w:rPr>
              <w:t>2</w:t>
            </w:r>
          </w:p>
        </w:tc>
        <w:tc>
          <w:tcPr>
            <w:tcW w:w="1701" w:type="dxa"/>
            <w:vAlign w:val="center"/>
          </w:tcPr>
          <w:p w14:paraId="6437B384" w14:textId="77777777" w:rsidR="009F7F8A" w:rsidRPr="00AC3044" w:rsidRDefault="009F7F8A" w:rsidP="009F7F8A">
            <w:pPr>
              <w:rPr>
                <w:rFonts w:eastAsia="SimSun"/>
              </w:rPr>
            </w:pPr>
            <w:r w:rsidRPr="00AC3044">
              <w:rPr>
                <w:rFonts w:eastAsia="SimSun"/>
              </w:rPr>
              <w:t>–</w:t>
            </w:r>
          </w:p>
        </w:tc>
        <w:tc>
          <w:tcPr>
            <w:tcW w:w="1418" w:type="dxa"/>
            <w:vAlign w:val="center"/>
          </w:tcPr>
          <w:p w14:paraId="47EEB1DC" w14:textId="77777777" w:rsidR="009F7F8A" w:rsidRPr="00AC3044" w:rsidRDefault="009F7F8A" w:rsidP="009F7F8A">
            <w:pPr>
              <w:rPr>
                <w:rFonts w:eastAsia="SimSun"/>
              </w:rPr>
            </w:pPr>
            <w:r w:rsidRPr="00AC3044">
              <w:rPr>
                <w:rFonts w:eastAsia="SimSun"/>
              </w:rPr>
              <w:t>+3, +6, +11 дни</w:t>
            </w:r>
          </w:p>
        </w:tc>
        <w:tc>
          <w:tcPr>
            <w:tcW w:w="2268" w:type="dxa"/>
            <w:vAlign w:val="center"/>
          </w:tcPr>
          <w:p w14:paraId="2B2A15C5" w14:textId="77777777" w:rsidR="009F7F8A" w:rsidRPr="00AC3044" w:rsidRDefault="009F7F8A" w:rsidP="009F7F8A">
            <w:pPr>
              <w:rPr>
                <w:rFonts w:eastAsia="SimSun"/>
              </w:rPr>
            </w:pPr>
            <w:r w:rsidRPr="00AC3044">
              <w:rPr>
                <w:rFonts w:eastAsia="SimSun"/>
              </w:rPr>
              <w:t xml:space="preserve">В/в, в 20 мл физ. р-ра </w:t>
            </w:r>
          </w:p>
        </w:tc>
      </w:tr>
    </w:tbl>
    <w:p w14:paraId="64180819" w14:textId="77777777" w:rsidR="009F7F8A" w:rsidRDefault="009F7F8A" w:rsidP="009F7F8A">
      <w:pPr>
        <w:rPr>
          <w:rFonts w:eastAsia="SimSun"/>
        </w:rPr>
      </w:pPr>
      <w:bookmarkStart w:id="147" w:name="_Toc44401177"/>
    </w:p>
    <w:p w14:paraId="08FB9515" w14:textId="77777777" w:rsidR="009F7F8A" w:rsidRPr="00042499" w:rsidRDefault="009F7F8A" w:rsidP="009F7F8A">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1.2.19  – </w:t>
      </w:r>
      <w:r w:rsidRPr="009F7F8A">
        <w:rPr>
          <w:rFonts w:eastAsia="SimSun"/>
          <w:lang w:val="en-US"/>
        </w:rPr>
        <w:t>Flu</w:t>
      </w:r>
      <w:r w:rsidRPr="00042499">
        <w:rPr>
          <w:rFonts w:eastAsia="SimSun"/>
          <w:lang w:val="en-US"/>
        </w:rPr>
        <w:t>120+</w:t>
      </w:r>
      <w:r w:rsidRPr="009F7F8A">
        <w:rPr>
          <w:rFonts w:eastAsia="SimSun"/>
          <w:lang w:val="en-US"/>
        </w:rPr>
        <w:t>Cy</w:t>
      </w:r>
      <w:r w:rsidRPr="00042499">
        <w:rPr>
          <w:rFonts w:eastAsia="SimSun"/>
          <w:lang w:val="en-US"/>
        </w:rPr>
        <w:t>2000+</w:t>
      </w:r>
      <w:r w:rsidRPr="009F7F8A">
        <w:rPr>
          <w:rFonts w:eastAsia="SimSun"/>
          <w:lang w:val="en-US"/>
        </w:rPr>
        <w:t>Mel</w:t>
      </w:r>
      <w:r w:rsidRPr="00042499">
        <w:rPr>
          <w:rFonts w:eastAsia="SimSun"/>
          <w:lang w:val="en-US"/>
        </w:rPr>
        <w:t xml:space="preserve">140 / </w:t>
      </w:r>
      <w:r w:rsidRPr="009F7F8A">
        <w:rPr>
          <w:rFonts w:eastAsia="SimSun"/>
          <w:lang w:val="en-US"/>
        </w:rPr>
        <w:t>PT</w:t>
      </w:r>
      <w:r w:rsidRPr="00042499">
        <w:rPr>
          <w:rFonts w:eastAsia="SimSun"/>
          <w:lang w:val="en-US"/>
        </w:rPr>
        <w:t>-</w:t>
      </w:r>
      <w:r w:rsidRPr="009F7F8A">
        <w:rPr>
          <w:rFonts w:eastAsia="SimSun"/>
          <w:lang w:val="en-US"/>
        </w:rPr>
        <w:t>Cy</w:t>
      </w:r>
      <w:r w:rsidRPr="00042499">
        <w:rPr>
          <w:rFonts w:eastAsia="SimSun"/>
          <w:lang w:val="en-US"/>
        </w:rPr>
        <w:t>+</w:t>
      </w:r>
      <w:r w:rsidRPr="009F7F8A">
        <w:rPr>
          <w:rFonts w:eastAsia="SimSun"/>
          <w:lang w:val="en-US"/>
        </w:rPr>
        <w:t>CSA</w:t>
      </w:r>
      <w:r w:rsidRPr="00042499">
        <w:rPr>
          <w:rFonts w:eastAsia="SimSun"/>
          <w:lang w:val="en-US"/>
        </w:rPr>
        <w:t>+</w:t>
      </w:r>
      <w:r w:rsidRPr="009F7F8A">
        <w:rPr>
          <w:rFonts w:eastAsia="SimSun"/>
          <w:lang w:val="en-US"/>
        </w:rPr>
        <w:t>MMF</w:t>
      </w:r>
      <w:r w:rsidRPr="00042499">
        <w:rPr>
          <w:rFonts w:eastAsia="SimSun"/>
          <w:lang w:val="en-US"/>
        </w:rPr>
        <w:t>45</w:t>
      </w:r>
      <w:bookmarkEnd w:id="147"/>
    </w:p>
    <w:tbl>
      <w:tblPr>
        <w:tblW w:w="9605" w:type="dxa"/>
        <w:tblInd w:w="1" w:type="dxa"/>
        <w:tblLayout w:type="fixed"/>
        <w:tblCellMar>
          <w:left w:w="10" w:type="dxa"/>
          <w:right w:w="10" w:type="dxa"/>
        </w:tblCellMar>
        <w:tblLook w:val="0000" w:firstRow="0" w:lastRow="0" w:firstColumn="0" w:lastColumn="0" w:noHBand="0" w:noVBand="0"/>
      </w:tblPr>
      <w:tblGrid>
        <w:gridCol w:w="958"/>
        <w:gridCol w:w="1701"/>
        <w:gridCol w:w="1559"/>
        <w:gridCol w:w="1701"/>
        <w:gridCol w:w="1418"/>
        <w:gridCol w:w="2268"/>
      </w:tblGrid>
      <w:tr w:rsidR="009F7F8A" w:rsidRPr="00AC3044" w14:paraId="54D34915" w14:textId="77777777" w:rsidTr="009F7F8A">
        <w:trPr>
          <w:trHeight w:val="20"/>
          <w:tblHeader/>
        </w:trPr>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92EC9E" w14:textId="77777777" w:rsidR="009F7F8A" w:rsidRPr="009B5A5D" w:rsidRDefault="009F7F8A" w:rsidP="009F7F8A">
            <w:pPr>
              <w:rPr>
                <w:rFonts w:eastAsia="SimSun"/>
                <w:lang w:val="en-US"/>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8C46C2" w14:textId="77777777" w:rsidR="009F7F8A" w:rsidRPr="00AC3044" w:rsidRDefault="009F7F8A" w:rsidP="009F7F8A">
            <w:pPr>
              <w:rPr>
                <w:rFonts w:eastAsia="SimSun"/>
              </w:rPr>
            </w:pPr>
            <w:r w:rsidRPr="00AC3044">
              <w:rPr>
                <w:rFonts w:eastAsia="SimSun"/>
              </w:rPr>
              <w:t>Препарат</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8366C1" w14:textId="77777777" w:rsidR="009F7F8A" w:rsidRPr="00AC3044" w:rsidRDefault="009F7F8A" w:rsidP="009F7F8A">
            <w:pPr>
              <w:rPr>
                <w:rFonts w:eastAsia="SimSun"/>
              </w:rPr>
            </w:pPr>
            <w:r w:rsidRPr="00AC3044">
              <w:rPr>
                <w:rFonts w:eastAsia="SimSun"/>
              </w:rPr>
              <w:t>Суточная доза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09D1A1" w14:textId="77777777" w:rsidR="009F7F8A" w:rsidRPr="00AC3044" w:rsidRDefault="009F7F8A" w:rsidP="009F7F8A">
            <w:pPr>
              <w:rPr>
                <w:rFonts w:eastAsia="SimSun"/>
              </w:rPr>
            </w:pPr>
            <w:r w:rsidRPr="00AC3044">
              <w:rPr>
                <w:rFonts w:eastAsia="SimSun"/>
              </w:rPr>
              <w:t>Курсовая доза</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BBED53" w14:textId="77777777" w:rsidR="009F7F8A" w:rsidRPr="00AC3044" w:rsidRDefault="009F7F8A" w:rsidP="009F7F8A">
            <w:pPr>
              <w:rPr>
                <w:rFonts w:eastAsia="SimSun"/>
              </w:rPr>
            </w:pPr>
            <w:r w:rsidRPr="00AC3044">
              <w:rPr>
                <w:rFonts w:eastAsia="SimSun"/>
              </w:rPr>
              <w:t>Дни введения</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8C48D7"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02EDC64E" w14:textId="77777777" w:rsidTr="009F7F8A">
        <w:trPr>
          <w:trHeight w:val="20"/>
        </w:trPr>
        <w:tc>
          <w:tcPr>
            <w:tcW w:w="958" w:type="dxa"/>
            <w:vMerge w:val="restart"/>
            <w:tcBorders>
              <w:top w:val="single" w:sz="4" w:space="0" w:color="00000A"/>
              <w:left w:val="single" w:sz="4" w:space="0" w:color="00000A"/>
              <w:right w:val="single" w:sz="4" w:space="0" w:color="00000A"/>
            </w:tcBorders>
            <w:tcMar>
              <w:top w:w="0" w:type="dxa"/>
              <w:left w:w="108" w:type="dxa"/>
              <w:bottom w:w="0" w:type="dxa"/>
              <w:right w:w="108" w:type="dxa"/>
            </w:tcMar>
            <w:textDirection w:val="btLr"/>
            <w:vAlign w:val="center"/>
          </w:tcPr>
          <w:p w14:paraId="48A77BED" w14:textId="77777777" w:rsidR="009F7F8A" w:rsidRPr="00AC3044" w:rsidRDefault="009F7F8A" w:rsidP="009F7F8A">
            <w:pPr>
              <w:rPr>
                <w:rFonts w:eastAsia="SimSun"/>
              </w:rPr>
            </w:pPr>
            <w:r w:rsidRPr="00AC3044">
              <w:rPr>
                <w:rFonts w:eastAsia="SimSun"/>
              </w:rPr>
              <w:t>Кондиционирование</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4A1002" w14:textId="77777777" w:rsidR="009F7F8A" w:rsidRPr="00AC3044" w:rsidRDefault="009F7F8A" w:rsidP="009F7F8A">
            <w:pPr>
              <w:rPr>
                <w:rFonts w:eastAsia="SimSun"/>
              </w:rPr>
            </w:pPr>
            <w:r w:rsidRPr="00AC3044">
              <w:rPr>
                <w:rFonts w:eastAsia="SimSun"/>
              </w:rPr>
              <w:t>Флударабин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054FF8F" w14:textId="77777777" w:rsidR="009F7F8A" w:rsidRPr="00AC3044" w:rsidRDefault="009F7F8A" w:rsidP="009F7F8A">
            <w:pPr>
              <w:rPr>
                <w:rFonts w:eastAsia="SimSun"/>
              </w:rPr>
            </w:pPr>
            <w:r w:rsidRPr="00AC3044">
              <w:rPr>
                <w:rFonts w:eastAsia="SimSun"/>
              </w:rPr>
              <w:t>40 мг/м</w:t>
            </w:r>
            <w:r w:rsidRPr="001E6DBE">
              <w:rPr>
                <w:rFonts w:eastAsia="SimSun"/>
                <w:vertAlign w:val="superscript"/>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DCDAD3" w14:textId="77777777" w:rsidR="009F7F8A" w:rsidRPr="00AC3044" w:rsidRDefault="009F7F8A" w:rsidP="009F7F8A">
            <w:pPr>
              <w:rPr>
                <w:rFonts w:eastAsia="SimSun"/>
              </w:rPr>
            </w:pPr>
            <w:r w:rsidRPr="00AC3044">
              <w:rPr>
                <w:rFonts w:eastAsia="SimSun"/>
              </w:rPr>
              <w:t>120 мг/м</w:t>
            </w:r>
            <w:r w:rsidRPr="001E6DBE">
              <w:rPr>
                <w:rFonts w:eastAsia="SimSun"/>
                <w:vertAlign w:val="superscript"/>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C3D499" w14:textId="77777777" w:rsidR="009F7F8A" w:rsidRPr="00AC3044" w:rsidRDefault="009F7F8A" w:rsidP="009F7F8A">
            <w:pPr>
              <w:rPr>
                <w:rFonts w:eastAsia="SimSun"/>
              </w:rPr>
            </w:pPr>
            <w:r w:rsidRPr="00AC3044">
              <w:rPr>
                <w:rFonts w:eastAsia="SimSun"/>
              </w:rPr>
              <w:t>С –5 по –3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BFECD6"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3FA60041" w14:textId="77777777" w:rsidTr="009F7F8A">
        <w:trPr>
          <w:trHeight w:val="1011"/>
        </w:trPr>
        <w:tc>
          <w:tcPr>
            <w:tcW w:w="958" w:type="dxa"/>
            <w:vMerge/>
            <w:tcBorders>
              <w:left w:val="single" w:sz="4" w:space="0" w:color="00000A"/>
              <w:right w:val="single" w:sz="4" w:space="0" w:color="00000A"/>
            </w:tcBorders>
            <w:tcMar>
              <w:top w:w="0" w:type="dxa"/>
              <w:left w:w="108" w:type="dxa"/>
              <w:bottom w:w="0" w:type="dxa"/>
              <w:right w:w="108" w:type="dxa"/>
            </w:tcMar>
            <w:textDirection w:val="btLr"/>
            <w:vAlign w:val="center"/>
          </w:tcPr>
          <w:p w14:paraId="76DD5BC6" w14:textId="77777777" w:rsidR="009F7F8A" w:rsidRPr="00AC3044" w:rsidRDefault="009F7F8A" w:rsidP="009F7F8A">
            <w:pPr>
              <w:rPr>
                <w:rFonts w:eastAsia="SimSun"/>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16B90A" w14:textId="77777777" w:rsidR="009F7F8A" w:rsidRPr="00AC3044" w:rsidRDefault="009F7F8A" w:rsidP="009F7F8A">
            <w:pPr>
              <w:rPr>
                <w:rFonts w:eastAsia="SimSun"/>
              </w:rPr>
            </w:pPr>
            <w:r w:rsidRPr="00AC3044">
              <w:rPr>
                <w:rFonts w:eastAsia="SimSun"/>
              </w:rPr>
              <w:t>Циклофосфамид</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C573A5" w14:textId="77777777" w:rsidR="009F7F8A" w:rsidRPr="00AC3044" w:rsidRDefault="009F7F8A" w:rsidP="009F7F8A">
            <w:pPr>
              <w:rPr>
                <w:rFonts w:eastAsia="SimSun"/>
              </w:rPr>
            </w:pPr>
            <w:r w:rsidRPr="00AC3044">
              <w:rPr>
                <w:rFonts w:eastAsia="SimSun"/>
              </w:rPr>
              <w:t>1000 мг/м</w:t>
            </w:r>
            <w:r w:rsidRPr="001E6DBE">
              <w:rPr>
                <w:rFonts w:eastAsia="SimSun"/>
                <w:vertAlign w:val="superscript"/>
              </w:rPr>
              <w:t>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F277ED" w14:textId="77777777" w:rsidR="009F7F8A" w:rsidRPr="00AC3044" w:rsidRDefault="009F7F8A" w:rsidP="009F7F8A">
            <w:pPr>
              <w:rPr>
                <w:rFonts w:eastAsia="SimSun"/>
              </w:rPr>
            </w:pPr>
            <w:r w:rsidRPr="00AC3044">
              <w:rPr>
                <w:rFonts w:eastAsia="SimSun"/>
              </w:rPr>
              <w:t>2000 мг/м</w:t>
            </w:r>
            <w:r w:rsidRPr="001E6DBE">
              <w:rPr>
                <w:rFonts w:eastAsia="SimSun"/>
                <w:vertAlign w:val="superscript"/>
              </w:rPr>
              <w:t>2</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EFAA06" w14:textId="77777777" w:rsidR="009F7F8A" w:rsidRPr="00AC3044" w:rsidRDefault="009F7F8A" w:rsidP="009F7F8A">
            <w:pPr>
              <w:rPr>
                <w:rFonts w:eastAsia="SimSun"/>
              </w:rPr>
            </w:pPr>
            <w:r w:rsidRPr="00AC3044">
              <w:rPr>
                <w:rFonts w:eastAsia="SimSun"/>
              </w:rPr>
              <w:t>-7, -6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5A6372"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0283045E" w14:textId="77777777" w:rsidTr="009F7F8A">
        <w:trPr>
          <w:trHeight w:val="402"/>
        </w:trPr>
        <w:tc>
          <w:tcPr>
            <w:tcW w:w="958" w:type="dxa"/>
            <w:vMerge/>
            <w:tcBorders>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5E64908F" w14:textId="77777777" w:rsidR="009F7F8A" w:rsidRPr="00AC3044" w:rsidRDefault="009F7F8A" w:rsidP="009F7F8A">
            <w:pPr>
              <w:rPr>
                <w:rFonts w:eastAsia="SimSun"/>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0A9AB6" w14:textId="77777777" w:rsidR="009F7F8A" w:rsidRPr="00AC3044" w:rsidRDefault="009F7F8A" w:rsidP="009F7F8A">
            <w:pPr>
              <w:rPr>
                <w:rFonts w:eastAsia="SimSun"/>
              </w:rPr>
            </w:pPr>
            <w:r w:rsidRPr="00AC3044">
              <w:rPr>
                <w:rFonts w:eastAsia="SimSun"/>
              </w:rPr>
              <w:t>Мелфалан</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DE0D02" w14:textId="77777777" w:rsidR="009F7F8A" w:rsidRPr="00AC3044" w:rsidRDefault="009F7F8A" w:rsidP="009F7F8A">
            <w:pPr>
              <w:rPr>
                <w:rFonts w:eastAsia="SimSun"/>
              </w:rPr>
            </w:pPr>
            <w:r w:rsidRPr="00AC3044">
              <w:rPr>
                <w:rFonts w:eastAsia="SimSun"/>
              </w:rPr>
              <w:t>140 мг/м</w:t>
            </w:r>
            <w:r w:rsidRPr="001E6DBE">
              <w:rPr>
                <w:rFonts w:eastAsia="SimSun"/>
                <w:vertAlign w:val="superscript"/>
              </w:rPr>
              <w:t>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A5FE36" w14:textId="77777777" w:rsidR="009F7F8A" w:rsidRPr="00AC3044" w:rsidRDefault="009F7F8A" w:rsidP="009F7F8A">
            <w:pPr>
              <w:rPr>
                <w:rFonts w:eastAsia="SimSun"/>
              </w:rPr>
            </w:pPr>
            <w:r w:rsidRPr="00AC3044">
              <w:rPr>
                <w:rFonts w:eastAsia="SimSun"/>
              </w:rPr>
              <w:t>140 мг/м</w:t>
            </w:r>
            <w:r w:rsidRPr="001E6DBE">
              <w:rPr>
                <w:rFonts w:eastAsia="SimSun"/>
                <w:vertAlign w:val="superscript"/>
              </w:rPr>
              <w:t>2</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163A74" w14:textId="77777777" w:rsidR="009F7F8A" w:rsidRPr="00AC3044" w:rsidRDefault="009F7F8A" w:rsidP="009F7F8A">
            <w:pPr>
              <w:rPr>
                <w:rFonts w:eastAsia="SimSun"/>
              </w:rPr>
            </w:pPr>
            <w:r w:rsidRPr="00AC3044">
              <w:rPr>
                <w:rFonts w:eastAsia="SimSun"/>
              </w:rPr>
              <w:t>-2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CD5000" w14:textId="77777777" w:rsidR="009F7F8A" w:rsidRPr="00AC3044" w:rsidRDefault="009F7F8A" w:rsidP="009F7F8A">
            <w:pPr>
              <w:rPr>
                <w:rFonts w:eastAsia="SimSun"/>
              </w:rPr>
            </w:pPr>
            <w:r w:rsidRPr="00AC3044">
              <w:rPr>
                <w:rFonts w:eastAsia="SimSun"/>
              </w:rPr>
              <w:t>В/в, в течение 1 часа</w:t>
            </w:r>
          </w:p>
        </w:tc>
      </w:tr>
      <w:tr w:rsidR="009F7F8A" w:rsidRPr="00AC3044" w14:paraId="6C288568" w14:textId="77777777" w:rsidTr="009F7F8A">
        <w:trPr>
          <w:trHeight w:val="20"/>
        </w:trPr>
        <w:tc>
          <w:tcPr>
            <w:tcW w:w="95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774B4111" w14:textId="77777777" w:rsidR="009F7F8A" w:rsidRPr="00AC3044" w:rsidRDefault="009F7F8A" w:rsidP="009F7F8A">
            <w:pPr>
              <w:rPr>
                <w:rFonts w:eastAsia="SimSun"/>
              </w:rPr>
            </w:pPr>
            <w:r w:rsidRPr="00AC3044">
              <w:rPr>
                <w:rFonts w:eastAsia="SimSun"/>
              </w:rPr>
              <w:t>Профилактика РТПХ</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0C2EDA" w14:textId="77777777" w:rsidR="009F7F8A" w:rsidRPr="00AC3044" w:rsidRDefault="009F7F8A" w:rsidP="009F7F8A">
            <w:pPr>
              <w:rPr>
                <w:rFonts w:eastAsia="SimSun"/>
              </w:rPr>
            </w:pPr>
            <w:r w:rsidRPr="00AC3044">
              <w:rPr>
                <w:rFonts w:eastAsia="SimSun"/>
              </w:rPr>
              <w:t>Циклоспорин</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6E2D8B" w14:textId="77777777" w:rsidR="009F7F8A" w:rsidRPr="00AC3044" w:rsidRDefault="009F7F8A" w:rsidP="009F7F8A">
            <w:pPr>
              <w:rPr>
                <w:rFonts w:eastAsia="SimSun"/>
              </w:rPr>
            </w:pPr>
            <w:r w:rsidRPr="00AC3044">
              <w:rPr>
                <w:rFonts w:eastAsia="SimSun"/>
              </w:rPr>
              <w:t>3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D63138" w14:textId="77777777" w:rsidR="009F7F8A" w:rsidRPr="00AC3044" w:rsidRDefault="009F7F8A" w:rsidP="009F7F8A">
            <w:pPr>
              <w:rPr>
                <w:rFonts w:eastAsia="SimSun"/>
              </w:rPr>
            </w:pPr>
            <w:r w:rsidRPr="00AC3044">
              <w:rPr>
                <w:rFonts w:eastAsia="SimSun"/>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2B17C6" w14:textId="77777777" w:rsidR="009F7F8A" w:rsidRPr="00AC3044" w:rsidRDefault="009F7F8A" w:rsidP="009F7F8A">
            <w:pPr>
              <w:rPr>
                <w:rFonts w:eastAsia="SimSun"/>
              </w:rPr>
            </w:pPr>
            <w:r w:rsidRPr="00AC3044">
              <w:rPr>
                <w:rFonts w:eastAsia="SimSun"/>
              </w:rPr>
              <w:t>С +5 по +90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3BC606"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w:t>
            </w:r>
            <w:r>
              <w:rPr>
                <w:rFonts w:eastAsia="SimSun"/>
              </w:rPr>
              <w:t xml:space="preserve"> </w:t>
            </w:r>
            <w:r w:rsidRPr="00AC3044">
              <w:rPr>
                <w:rFonts w:eastAsia="SimSun"/>
              </w:rPr>
              <w:t>пг/мл</w:t>
            </w:r>
          </w:p>
        </w:tc>
      </w:tr>
      <w:tr w:rsidR="009F7F8A" w:rsidRPr="00AC3044" w14:paraId="2B49E27F" w14:textId="77777777" w:rsidTr="009F7F8A">
        <w:trPr>
          <w:trHeight w:val="20"/>
        </w:trPr>
        <w:tc>
          <w:tcPr>
            <w:tcW w:w="95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92CD95" w14:textId="77777777" w:rsidR="009F7F8A" w:rsidRPr="00AC3044" w:rsidRDefault="009F7F8A" w:rsidP="009F7F8A">
            <w:pPr>
              <w:rPr>
                <w:rFonts w:eastAsia="SimSun"/>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E5AF0F" w14:textId="77777777" w:rsidR="009F7F8A" w:rsidRPr="00AC3044" w:rsidRDefault="009F7F8A" w:rsidP="009F7F8A">
            <w:pPr>
              <w:rPr>
                <w:rFonts w:eastAsia="SimSun"/>
              </w:rPr>
            </w:pPr>
            <w:r w:rsidRPr="00AC3044">
              <w:rPr>
                <w:rFonts w:eastAsia="SimSun"/>
              </w:rPr>
              <w:t>Микофенолата мофетил</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79BBCC" w14:textId="77777777" w:rsidR="009F7F8A" w:rsidRPr="00AC3044" w:rsidRDefault="009F7F8A" w:rsidP="009F7F8A">
            <w:pPr>
              <w:rPr>
                <w:rFonts w:eastAsia="SimSun"/>
              </w:rPr>
            </w:pPr>
            <w:r w:rsidRPr="00AC3044">
              <w:rPr>
                <w:rFonts w:eastAsia="SimSun"/>
              </w:rPr>
              <w:t>45 мг/кг</w:t>
            </w:r>
            <w:r w:rsidRPr="00AC3044">
              <w:rPr>
                <w:rFonts w:eastAsia="SimSun"/>
              </w:rPr>
              <w:tab/>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2669C8" w14:textId="77777777" w:rsidR="009F7F8A" w:rsidRPr="00AC3044" w:rsidRDefault="009F7F8A" w:rsidP="009F7F8A">
            <w:pPr>
              <w:rPr>
                <w:rFonts w:eastAsia="SimSun"/>
              </w:rPr>
            </w:pPr>
            <w:r w:rsidRPr="00AC3044">
              <w:rPr>
                <w:rFonts w:eastAsia="SimSun"/>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B51458" w14:textId="77777777" w:rsidR="009F7F8A" w:rsidRPr="00AC3044" w:rsidRDefault="009F7F8A" w:rsidP="009F7F8A">
            <w:pPr>
              <w:rPr>
                <w:rFonts w:eastAsia="SimSun"/>
              </w:rPr>
            </w:pPr>
            <w:r w:rsidRPr="00AC3044">
              <w:rPr>
                <w:rFonts w:eastAsia="SimSun"/>
              </w:rPr>
              <w:t>С +5 по +30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DA4305"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г/сут).</w:t>
            </w:r>
          </w:p>
        </w:tc>
      </w:tr>
      <w:tr w:rsidR="009F7F8A" w:rsidRPr="00AC3044" w14:paraId="09B4F898" w14:textId="77777777" w:rsidTr="009F7F8A">
        <w:trPr>
          <w:trHeight w:val="464"/>
        </w:trPr>
        <w:tc>
          <w:tcPr>
            <w:tcW w:w="95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82E725" w14:textId="77777777" w:rsidR="009F7F8A" w:rsidRPr="00AC3044" w:rsidRDefault="009F7F8A" w:rsidP="009F7F8A">
            <w:pPr>
              <w:rPr>
                <w:rFonts w:eastAsia="SimSun"/>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EA5B72" w14:textId="77777777" w:rsidR="009F7F8A" w:rsidRPr="00AC3044" w:rsidRDefault="009F7F8A" w:rsidP="009F7F8A">
            <w:pPr>
              <w:rPr>
                <w:rFonts w:eastAsia="SimSun"/>
              </w:rPr>
            </w:pPr>
            <w:r w:rsidRPr="00AC3044">
              <w:rPr>
                <w:rFonts w:eastAsia="SimSun"/>
              </w:rPr>
              <w:t>Циклофосфамид</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C2F88F" w14:textId="77777777" w:rsidR="009F7F8A" w:rsidRPr="00AC3044" w:rsidRDefault="009F7F8A" w:rsidP="009F7F8A">
            <w:pPr>
              <w:rPr>
                <w:rFonts w:eastAsia="SimSun"/>
              </w:rPr>
            </w:pPr>
            <w:r w:rsidRPr="00AC3044">
              <w:rPr>
                <w:rFonts w:eastAsia="SimSun"/>
              </w:rPr>
              <w:t>50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C65F1C" w14:textId="77777777" w:rsidR="009F7F8A" w:rsidRPr="00AC3044" w:rsidRDefault="009F7F8A" w:rsidP="009F7F8A">
            <w:pPr>
              <w:rPr>
                <w:rFonts w:eastAsia="SimSun"/>
              </w:rPr>
            </w:pPr>
            <w:r w:rsidRPr="00AC3044">
              <w:rPr>
                <w:rFonts w:eastAsia="SimSun"/>
              </w:rPr>
              <w:t>100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3BBB39" w14:textId="77777777" w:rsidR="009F7F8A" w:rsidRPr="00AC3044" w:rsidRDefault="009F7F8A" w:rsidP="009F7F8A">
            <w:pPr>
              <w:rPr>
                <w:rFonts w:eastAsia="SimSun"/>
              </w:rPr>
            </w:pPr>
            <w:r w:rsidRPr="00AC3044">
              <w:rPr>
                <w:rFonts w:eastAsia="SimSun"/>
              </w:rPr>
              <w:t>+3, +4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8A2B8A" w14:textId="77777777" w:rsidR="009F7F8A" w:rsidRPr="00AC3044" w:rsidRDefault="009F7F8A" w:rsidP="009F7F8A">
            <w:pPr>
              <w:rPr>
                <w:rFonts w:eastAsia="SimSun"/>
              </w:rPr>
            </w:pPr>
            <w:r w:rsidRPr="00AC3044">
              <w:rPr>
                <w:rFonts w:eastAsia="SimSun"/>
              </w:rPr>
              <w:t>В/в, в течение 2 часов</w:t>
            </w:r>
          </w:p>
        </w:tc>
      </w:tr>
    </w:tbl>
    <w:p w14:paraId="7EB1A02E" w14:textId="77777777" w:rsidR="009F7F8A" w:rsidRDefault="009F7F8A" w:rsidP="009F7F8A">
      <w:pPr>
        <w:rPr>
          <w:rFonts w:eastAsia="SimSun"/>
        </w:rPr>
      </w:pPr>
      <w:bookmarkStart w:id="148" w:name="_Toc44401178"/>
    </w:p>
    <w:p w14:paraId="7F5B080C"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1.2.20  – Flu150+Treo36 / PT-Cy+CSA+MMF30</w:t>
      </w:r>
      <w:bookmarkEnd w:id="148"/>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701"/>
        <w:gridCol w:w="1418"/>
        <w:gridCol w:w="2268"/>
      </w:tblGrid>
      <w:tr w:rsidR="009F7F8A" w:rsidRPr="00AC3044" w14:paraId="058E8892" w14:textId="77777777" w:rsidTr="009F7F8A">
        <w:trPr>
          <w:cantSplit/>
          <w:trHeight w:val="20"/>
          <w:tblHeader/>
        </w:trPr>
        <w:tc>
          <w:tcPr>
            <w:tcW w:w="993" w:type="dxa"/>
          </w:tcPr>
          <w:p w14:paraId="6250B54F" w14:textId="77777777" w:rsidR="009F7F8A" w:rsidRPr="00470D3D" w:rsidRDefault="009F7F8A" w:rsidP="009F7F8A">
            <w:pPr>
              <w:rPr>
                <w:rFonts w:eastAsia="SimSun"/>
              </w:rPr>
            </w:pPr>
          </w:p>
          <w:p w14:paraId="4D4888C4" w14:textId="77777777" w:rsidR="009F7F8A" w:rsidRPr="00470D3D" w:rsidRDefault="009F7F8A" w:rsidP="009F7F8A">
            <w:pPr>
              <w:rPr>
                <w:rFonts w:eastAsia="SimSun"/>
              </w:rPr>
            </w:pPr>
          </w:p>
        </w:tc>
        <w:tc>
          <w:tcPr>
            <w:tcW w:w="1701" w:type="dxa"/>
            <w:vAlign w:val="center"/>
          </w:tcPr>
          <w:p w14:paraId="72B3A4B6"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70C2CE54" w14:textId="77777777" w:rsidR="009F7F8A" w:rsidRPr="00AC3044" w:rsidRDefault="009F7F8A" w:rsidP="009F7F8A">
            <w:pPr>
              <w:rPr>
                <w:rFonts w:eastAsia="SimSun"/>
              </w:rPr>
            </w:pPr>
            <w:r w:rsidRPr="00AC3044">
              <w:rPr>
                <w:rFonts w:eastAsia="SimSun"/>
              </w:rPr>
              <w:t>Суточная доза</w:t>
            </w:r>
          </w:p>
        </w:tc>
        <w:tc>
          <w:tcPr>
            <w:tcW w:w="1701" w:type="dxa"/>
            <w:vAlign w:val="center"/>
          </w:tcPr>
          <w:p w14:paraId="7C72623A" w14:textId="77777777" w:rsidR="009F7F8A" w:rsidRPr="00AC3044" w:rsidRDefault="009F7F8A" w:rsidP="009F7F8A">
            <w:pPr>
              <w:rPr>
                <w:rFonts w:eastAsia="SimSun"/>
              </w:rPr>
            </w:pPr>
            <w:r w:rsidRPr="00AC3044">
              <w:rPr>
                <w:rFonts w:eastAsia="SimSun"/>
              </w:rPr>
              <w:t>Курсовая доза</w:t>
            </w:r>
          </w:p>
        </w:tc>
        <w:tc>
          <w:tcPr>
            <w:tcW w:w="1418" w:type="dxa"/>
            <w:vAlign w:val="center"/>
          </w:tcPr>
          <w:p w14:paraId="4B2F32B2"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6CB8B898"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5C54EFE6" w14:textId="77777777" w:rsidTr="009F7F8A">
        <w:trPr>
          <w:cantSplit/>
          <w:trHeight w:val="20"/>
        </w:trPr>
        <w:tc>
          <w:tcPr>
            <w:tcW w:w="993" w:type="dxa"/>
            <w:vMerge w:val="restart"/>
            <w:textDirection w:val="btLr"/>
            <w:vAlign w:val="center"/>
          </w:tcPr>
          <w:p w14:paraId="481A0B80"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2A380BC3"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4327FEA6"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7060F2BB" w14:textId="77777777" w:rsidR="009F7F8A" w:rsidRPr="00AC3044" w:rsidRDefault="009F7F8A" w:rsidP="009F7F8A">
            <w:pPr>
              <w:rPr>
                <w:rFonts w:eastAsia="SimSun"/>
              </w:rPr>
            </w:pPr>
            <w:r w:rsidRPr="00AC3044">
              <w:rPr>
                <w:rFonts w:eastAsia="SimSun"/>
              </w:rPr>
              <w:t>150 мг/м</w:t>
            </w:r>
            <w:r w:rsidRPr="001E6DBE">
              <w:rPr>
                <w:rFonts w:eastAsia="SimSun"/>
                <w:vertAlign w:val="superscript"/>
              </w:rPr>
              <w:t>2</w:t>
            </w:r>
          </w:p>
        </w:tc>
        <w:tc>
          <w:tcPr>
            <w:tcW w:w="1418" w:type="dxa"/>
            <w:vAlign w:val="center"/>
          </w:tcPr>
          <w:p w14:paraId="524CD443" w14:textId="77777777" w:rsidR="009F7F8A" w:rsidRPr="00AC3044" w:rsidRDefault="009F7F8A" w:rsidP="009F7F8A">
            <w:pPr>
              <w:rPr>
                <w:rFonts w:eastAsia="SimSun"/>
              </w:rPr>
            </w:pPr>
            <w:r w:rsidRPr="00AC3044">
              <w:rPr>
                <w:rFonts w:eastAsia="SimSun"/>
              </w:rPr>
              <w:t>С –6 по –2 день</w:t>
            </w:r>
          </w:p>
        </w:tc>
        <w:tc>
          <w:tcPr>
            <w:tcW w:w="2268" w:type="dxa"/>
            <w:vAlign w:val="center"/>
          </w:tcPr>
          <w:p w14:paraId="6877F092"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1C89F6A5" w14:textId="77777777" w:rsidTr="009F7F8A">
        <w:trPr>
          <w:cantSplit/>
          <w:trHeight w:val="801"/>
        </w:trPr>
        <w:tc>
          <w:tcPr>
            <w:tcW w:w="993" w:type="dxa"/>
            <w:vMerge/>
            <w:textDirection w:val="btLr"/>
            <w:vAlign w:val="center"/>
          </w:tcPr>
          <w:p w14:paraId="418422BF" w14:textId="77777777" w:rsidR="009F7F8A" w:rsidRPr="00AC3044" w:rsidRDefault="009F7F8A" w:rsidP="009F7F8A">
            <w:pPr>
              <w:rPr>
                <w:rFonts w:eastAsia="SimSun"/>
              </w:rPr>
            </w:pPr>
          </w:p>
        </w:tc>
        <w:tc>
          <w:tcPr>
            <w:tcW w:w="1701" w:type="dxa"/>
            <w:vAlign w:val="center"/>
          </w:tcPr>
          <w:p w14:paraId="0535CB36" w14:textId="77777777" w:rsidR="009F7F8A" w:rsidRPr="00AC3044" w:rsidRDefault="009F7F8A" w:rsidP="009F7F8A">
            <w:pPr>
              <w:rPr>
                <w:rFonts w:eastAsia="SimSun"/>
              </w:rPr>
            </w:pPr>
            <w:r w:rsidRPr="00AC3044">
              <w:rPr>
                <w:rFonts w:eastAsia="SimSun"/>
              </w:rPr>
              <w:t>Треосульфан</w:t>
            </w:r>
          </w:p>
        </w:tc>
        <w:tc>
          <w:tcPr>
            <w:tcW w:w="1559" w:type="dxa"/>
            <w:vAlign w:val="center"/>
          </w:tcPr>
          <w:p w14:paraId="7BC19794" w14:textId="77777777" w:rsidR="009F7F8A" w:rsidRPr="00AC3044" w:rsidRDefault="009F7F8A" w:rsidP="009F7F8A">
            <w:pPr>
              <w:rPr>
                <w:rFonts w:eastAsia="SimSun"/>
              </w:rPr>
            </w:pPr>
            <w:r w:rsidRPr="00AC3044">
              <w:rPr>
                <w:rFonts w:eastAsia="SimSun"/>
              </w:rPr>
              <w:t>12 г/м</w:t>
            </w:r>
            <w:r w:rsidRPr="001E6DBE">
              <w:rPr>
                <w:rFonts w:eastAsia="SimSun"/>
                <w:vertAlign w:val="superscript"/>
              </w:rPr>
              <w:t>2</w:t>
            </w:r>
          </w:p>
        </w:tc>
        <w:tc>
          <w:tcPr>
            <w:tcW w:w="1701" w:type="dxa"/>
            <w:vAlign w:val="center"/>
          </w:tcPr>
          <w:p w14:paraId="4CE0F51D" w14:textId="77777777" w:rsidR="009F7F8A" w:rsidRPr="00AC3044" w:rsidRDefault="009F7F8A" w:rsidP="009F7F8A">
            <w:pPr>
              <w:rPr>
                <w:rFonts w:eastAsia="SimSun"/>
              </w:rPr>
            </w:pPr>
            <w:r w:rsidRPr="00AC3044">
              <w:rPr>
                <w:rFonts w:eastAsia="SimSun"/>
              </w:rPr>
              <w:t>36 г/м</w:t>
            </w:r>
            <w:r w:rsidRPr="001E6DBE">
              <w:rPr>
                <w:rFonts w:eastAsia="SimSun"/>
                <w:vertAlign w:val="superscript"/>
              </w:rPr>
              <w:t>2</w:t>
            </w:r>
          </w:p>
        </w:tc>
        <w:tc>
          <w:tcPr>
            <w:tcW w:w="1418" w:type="dxa"/>
            <w:vAlign w:val="center"/>
          </w:tcPr>
          <w:p w14:paraId="6D28262F" w14:textId="77777777" w:rsidR="009F7F8A" w:rsidRPr="00AC3044" w:rsidRDefault="009F7F8A" w:rsidP="009F7F8A">
            <w:pPr>
              <w:rPr>
                <w:rFonts w:eastAsia="SimSun"/>
              </w:rPr>
            </w:pPr>
            <w:r w:rsidRPr="00AC3044">
              <w:rPr>
                <w:rFonts w:eastAsia="SimSun"/>
              </w:rPr>
              <w:t>С –6 по –4 день</w:t>
            </w:r>
          </w:p>
        </w:tc>
        <w:tc>
          <w:tcPr>
            <w:tcW w:w="2268" w:type="dxa"/>
            <w:vAlign w:val="center"/>
          </w:tcPr>
          <w:p w14:paraId="384DD24F" w14:textId="77777777" w:rsidR="009F7F8A" w:rsidRPr="00AC3044" w:rsidRDefault="009F7F8A" w:rsidP="009F7F8A">
            <w:pPr>
              <w:rPr>
                <w:rFonts w:eastAsia="SimSun"/>
              </w:rPr>
            </w:pPr>
            <w:r w:rsidRPr="00AC3044">
              <w:rPr>
                <w:rFonts w:eastAsia="SimSun"/>
              </w:rPr>
              <w:t>В/в, в течение 2 ч</w:t>
            </w:r>
          </w:p>
        </w:tc>
      </w:tr>
      <w:tr w:rsidR="009F7F8A" w:rsidRPr="00AC3044" w14:paraId="6C040817" w14:textId="77777777" w:rsidTr="009F7F8A">
        <w:trPr>
          <w:cantSplit/>
          <w:trHeight w:val="20"/>
        </w:trPr>
        <w:tc>
          <w:tcPr>
            <w:tcW w:w="993" w:type="dxa"/>
            <w:vMerge w:val="restart"/>
            <w:textDirection w:val="btLr"/>
            <w:vAlign w:val="center"/>
          </w:tcPr>
          <w:p w14:paraId="73C7D887"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54CAA2E9"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7CD8A5D3" w14:textId="77777777" w:rsidR="009F7F8A" w:rsidRPr="00AC3044" w:rsidRDefault="009F7F8A" w:rsidP="009F7F8A">
            <w:pPr>
              <w:rPr>
                <w:rFonts w:eastAsia="SimSun"/>
              </w:rPr>
            </w:pPr>
            <w:r w:rsidRPr="00AC3044">
              <w:rPr>
                <w:rFonts w:eastAsia="SimSun"/>
              </w:rPr>
              <w:t>50 мг/кг</w:t>
            </w:r>
          </w:p>
        </w:tc>
        <w:tc>
          <w:tcPr>
            <w:tcW w:w="1701" w:type="dxa"/>
            <w:vAlign w:val="center"/>
          </w:tcPr>
          <w:p w14:paraId="1E5E800C" w14:textId="77777777" w:rsidR="009F7F8A" w:rsidRPr="00AC3044" w:rsidRDefault="009F7F8A" w:rsidP="009F7F8A">
            <w:pPr>
              <w:rPr>
                <w:rFonts w:eastAsia="SimSun"/>
              </w:rPr>
            </w:pPr>
            <w:r w:rsidRPr="00AC3044">
              <w:rPr>
                <w:rFonts w:eastAsia="SimSun"/>
              </w:rPr>
              <w:t>100 мг/кг</w:t>
            </w:r>
          </w:p>
        </w:tc>
        <w:tc>
          <w:tcPr>
            <w:tcW w:w="1418" w:type="dxa"/>
            <w:vAlign w:val="center"/>
          </w:tcPr>
          <w:p w14:paraId="2A631185" w14:textId="77777777" w:rsidR="009F7F8A" w:rsidRPr="00AC3044" w:rsidRDefault="009F7F8A" w:rsidP="009F7F8A">
            <w:pPr>
              <w:rPr>
                <w:rFonts w:eastAsia="SimSun"/>
              </w:rPr>
            </w:pPr>
            <w:r w:rsidRPr="00AC3044">
              <w:rPr>
                <w:rFonts w:eastAsia="SimSun"/>
              </w:rPr>
              <w:t xml:space="preserve">+3,+4 дни </w:t>
            </w:r>
          </w:p>
        </w:tc>
        <w:tc>
          <w:tcPr>
            <w:tcW w:w="2268" w:type="dxa"/>
            <w:vAlign w:val="center"/>
          </w:tcPr>
          <w:p w14:paraId="35A3E7E5"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424FA7BC" w14:textId="77777777" w:rsidTr="009F7F8A">
        <w:trPr>
          <w:cantSplit/>
          <w:trHeight w:val="20"/>
        </w:trPr>
        <w:tc>
          <w:tcPr>
            <w:tcW w:w="993" w:type="dxa"/>
            <w:vMerge/>
            <w:textDirection w:val="btLr"/>
          </w:tcPr>
          <w:p w14:paraId="71B75AA1" w14:textId="77777777" w:rsidR="009F7F8A" w:rsidRPr="00AC3044" w:rsidRDefault="009F7F8A" w:rsidP="009F7F8A">
            <w:pPr>
              <w:rPr>
                <w:rFonts w:eastAsia="SimSun"/>
              </w:rPr>
            </w:pPr>
          </w:p>
        </w:tc>
        <w:tc>
          <w:tcPr>
            <w:tcW w:w="1701" w:type="dxa"/>
            <w:vAlign w:val="center"/>
          </w:tcPr>
          <w:p w14:paraId="221CD17E" w14:textId="77777777" w:rsidR="009F7F8A" w:rsidRPr="00AC3044" w:rsidRDefault="009F7F8A" w:rsidP="009F7F8A">
            <w:pPr>
              <w:rPr>
                <w:rFonts w:eastAsia="SimSun"/>
              </w:rPr>
            </w:pPr>
            <w:r w:rsidRPr="00AC3044">
              <w:rPr>
                <w:rFonts w:eastAsia="SimSun"/>
              </w:rPr>
              <w:t>Циклоспорин</w:t>
            </w:r>
          </w:p>
        </w:tc>
        <w:tc>
          <w:tcPr>
            <w:tcW w:w="1559" w:type="dxa"/>
            <w:vAlign w:val="center"/>
          </w:tcPr>
          <w:p w14:paraId="469DA41E" w14:textId="77777777" w:rsidR="009F7F8A" w:rsidRPr="00AC3044" w:rsidRDefault="009F7F8A" w:rsidP="009F7F8A">
            <w:pPr>
              <w:rPr>
                <w:rFonts w:eastAsia="SimSun"/>
              </w:rPr>
            </w:pPr>
            <w:r w:rsidRPr="00AC3044">
              <w:rPr>
                <w:rFonts w:eastAsia="SimSun"/>
              </w:rPr>
              <w:t>3 мг/кг</w:t>
            </w:r>
          </w:p>
        </w:tc>
        <w:tc>
          <w:tcPr>
            <w:tcW w:w="1701" w:type="dxa"/>
            <w:vAlign w:val="center"/>
          </w:tcPr>
          <w:p w14:paraId="28ADE878" w14:textId="77777777" w:rsidR="009F7F8A" w:rsidRPr="00AC3044" w:rsidRDefault="009F7F8A" w:rsidP="009F7F8A">
            <w:pPr>
              <w:rPr>
                <w:rFonts w:eastAsia="SimSun"/>
              </w:rPr>
            </w:pPr>
            <w:r w:rsidRPr="00AC3044">
              <w:rPr>
                <w:rFonts w:eastAsia="SimSun"/>
              </w:rPr>
              <w:t>–</w:t>
            </w:r>
          </w:p>
        </w:tc>
        <w:tc>
          <w:tcPr>
            <w:tcW w:w="1418" w:type="dxa"/>
            <w:vAlign w:val="center"/>
          </w:tcPr>
          <w:p w14:paraId="32BC07B4" w14:textId="77777777" w:rsidR="009F7F8A" w:rsidRPr="00AC3044" w:rsidRDefault="009F7F8A" w:rsidP="009F7F8A">
            <w:pPr>
              <w:rPr>
                <w:rFonts w:eastAsia="SimSun"/>
              </w:rPr>
            </w:pPr>
            <w:r w:rsidRPr="00AC3044">
              <w:rPr>
                <w:rFonts w:eastAsia="SimSun"/>
              </w:rPr>
              <w:t>С +5 по +60 день, затем постепенное снижение к +100 дню</w:t>
            </w:r>
          </w:p>
        </w:tc>
        <w:tc>
          <w:tcPr>
            <w:tcW w:w="2268" w:type="dxa"/>
            <w:vAlign w:val="center"/>
          </w:tcPr>
          <w:p w14:paraId="7280627F"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0F8EBA2A" w14:textId="77777777" w:rsidTr="009F7F8A">
        <w:trPr>
          <w:cantSplit/>
          <w:trHeight w:val="464"/>
        </w:trPr>
        <w:tc>
          <w:tcPr>
            <w:tcW w:w="993" w:type="dxa"/>
            <w:vMerge/>
          </w:tcPr>
          <w:p w14:paraId="04E2AC0B" w14:textId="77777777" w:rsidR="009F7F8A" w:rsidRPr="00AC3044" w:rsidRDefault="009F7F8A" w:rsidP="009F7F8A">
            <w:pPr>
              <w:rPr>
                <w:rFonts w:eastAsia="SimSun"/>
              </w:rPr>
            </w:pPr>
          </w:p>
        </w:tc>
        <w:tc>
          <w:tcPr>
            <w:tcW w:w="1701" w:type="dxa"/>
            <w:vAlign w:val="center"/>
          </w:tcPr>
          <w:p w14:paraId="06EEE62F"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160157CB" w14:textId="77777777" w:rsidR="009F7F8A" w:rsidRPr="00AC3044" w:rsidRDefault="009F7F8A" w:rsidP="009F7F8A">
            <w:pPr>
              <w:rPr>
                <w:rFonts w:eastAsia="SimSun"/>
              </w:rPr>
            </w:pPr>
            <w:r w:rsidRPr="00AC3044">
              <w:rPr>
                <w:rFonts w:eastAsia="SimSun"/>
              </w:rPr>
              <w:t>30 мг/кг</w:t>
            </w:r>
          </w:p>
        </w:tc>
        <w:tc>
          <w:tcPr>
            <w:tcW w:w="1701" w:type="dxa"/>
            <w:vAlign w:val="center"/>
          </w:tcPr>
          <w:p w14:paraId="4C91BB7F" w14:textId="77777777" w:rsidR="009F7F8A" w:rsidRPr="00AC3044" w:rsidRDefault="009F7F8A" w:rsidP="009F7F8A">
            <w:pPr>
              <w:rPr>
                <w:rFonts w:eastAsia="SimSun"/>
              </w:rPr>
            </w:pPr>
            <w:r w:rsidRPr="00AC3044">
              <w:rPr>
                <w:rFonts w:eastAsia="SimSun"/>
              </w:rPr>
              <w:t>–</w:t>
            </w:r>
          </w:p>
        </w:tc>
        <w:tc>
          <w:tcPr>
            <w:tcW w:w="1418" w:type="dxa"/>
            <w:vAlign w:val="center"/>
          </w:tcPr>
          <w:p w14:paraId="0DD2CC2F" w14:textId="77777777" w:rsidR="009F7F8A" w:rsidRPr="00AC3044" w:rsidRDefault="009F7F8A" w:rsidP="009F7F8A">
            <w:pPr>
              <w:rPr>
                <w:rFonts w:eastAsia="SimSun"/>
              </w:rPr>
            </w:pPr>
            <w:r w:rsidRPr="00AC3044">
              <w:rPr>
                <w:rFonts w:eastAsia="SimSun"/>
              </w:rPr>
              <w:t>С +5 по +30 день</w:t>
            </w:r>
          </w:p>
        </w:tc>
        <w:tc>
          <w:tcPr>
            <w:tcW w:w="2268" w:type="dxa"/>
            <w:vAlign w:val="center"/>
          </w:tcPr>
          <w:p w14:paraId="6AEFE0C4"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3г/сут).</w:t>
            </w:r>
          </w:p>
        </w:tc>
      </w:tr>
    </w:tbl>
    <w:p w14:paraId="71889394" w14:textId="77777777" w:rsidR="009F7F8A" w:rsidRPr="00C07B2E" w:rsidRDefault="009F7F8A" w:rsidP="009F7F8A">
      <w:pPr>
        <w:rPr>
          <w:rFonts w:eastAsia="SimSun"/>
        </w:rPr>
      </w:pPr>
    </w:p>
    <w:p w14:paraId="1F92890E" w14:textId="77777777" w:rsidR="009F7F8A" w:rsidRPr="00042499" w:rsidRDefault="009F7F8A" w:rsidP="009F7F8A">
      <w:pPr>
        <w:rPr>
          <w:rFonts w:eastAsia="SimSun"/>
          <w:lang w:val="en-US"/>
        </w:rPr>
      </w:pPr>
      <w:bookmarkStart w:id="149" w:name="_Toc44401179"/>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1.2.21  – </w:t>
      </w:r>
      <w:r w:rsidRPr="009F7F8A">
        <w:rPr>
          <w:rFonts w:eastAsia="SimSun"/>
          <w:lang w:val="en-US"/>
        </w:rPr>
        <w:t>Flu</w:t>
      </w:r>
      <w:r w:rsidRPr="00042499">
        <w:rPr>
          <w:rFonts w:eastAsia="SimSun"/>
          <w:lang w:val="en-US"/>
        </w:rPr>
        <w:t>150+</w:t>
      </w:r>
      <w:r w:rsidRPr="009F7F8A">
        <w:rPr>
          <w:rFonts w:eastAsia="SimSun"/>
          <w:lang w:val="en-US"/>
        </w:rPr>
        <w:t>Thio</w:t>
      </w:r>
      <w:r w:rsidRPr="00042499">
        <w:rPr>
          <w:rFonts w:eastAsia="SimSun"/>
          <w:lang w:val="en-US"/>
        </w:rPr>
        <w:t xml:space="preserve"> / </w:t>
      </w:r>
      <w:r w:rsidRPr="009F7F8A">
        <w:rPr>
          <w:rFonts w:eastAsia="SimSun"/>
          <w:lang w:val="en-US"/>
        </w:rPr>
        <w:t>hATG</w:t>
      </w:r>
      <w:r w:rsidRPr="00042499">
        <w:rPr>
          <w:rFonts w:eastAsia="SimSun"/>
          <w:lang w:val="en-US"/>
        </w:rPr>
        <w:t>+</w:t>
      </w:r>
      <w:r w:rsidRPr="009F7F8A">
        <w:rPr>
          <w:rFonts w:eastAsia="SimSun"/>
          <w:lang w:val="en-US"/>
        </w:rPr>
        <w:t>Tx</w:t>
      </w:r>
      <w:r w:rsidRPr="00042499">
        <w:rPr>
          <w:rFonts w:eastAsia="SimSun"/>
          <w:lang w:val="en-US"/>
        </w:rPr>
        <w:t>+</w:t>
      </w:r>
      <w:r w:rsidRPr="009F7F8A">
        <w:rPr>
          <w:rFonts w:eastAsia="SimSun"/>
          <w:lang w:val="en-US"/>
        </w:rPr>
        <w:t>MMF</w:t>
      </w:r>
      <w:r w:rsidRPr="00042499">
        <w:rPr>
          <w:rFonts w:eastAsia="SimSun"/>
          <w:lang w:val="en-US"/>
        </w:rPr>
        <w:t>30</w:t>
      </w:r>
      <w:bookmarkEnd w:id="14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9F7F8A" w:rsidRPr="00AC3044" w14:paraId="42328720" w14:textId="77777777" w:rsidTr="009F7F8A">
        <w:trPr>
          <w:cantSplit/>
          <w:trHeight w:val="20"/>
          <w:tblHeader/>
        </w:trPr>
        <w:tc>
          <w:tcPr>
            <w:tcW w:w="959" w:type="dxa"/>
            <w:vAlign w:val="center"/>
          </w:tcPr>
          <w:p w14:paraId="53A0B454" w14:textId="77777777" w:rsidR="009F7F8A" w:rsidRPr="009F7F8A" w:rsidRDefault="009F7F8A" w:rsidP="009F7F8A">
            <w:pPr>
              <w:rPr>
                <w:rFonts w:eastAsia="SimSun"/>
                <w:lang w:val="en-US"/>
              </w:rPr>
            </w:pPr>
          </w:p>
        </w:tc>
        <w:tc>
          <w:tcPr>
            <w:tcW w:w="1701" w:type="dxa"/>
            <w:vAlign w:val="center"/>
          </w:tcPr>
          <w:p w14:paraId="5732D6FA"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546E1434" w14:textId="77777777" w:rsidR="009F7F8A" w:rsidRPr="00AC3044" w:rsidRDefault="009F7F8A" w:rsidP="009F7F8A">
            <w:pPr>
              <w:rPr>
                <w:rFonts w:eastAsia="SimSun"/>
              </w:rPr>
            </w:pPr>
            <w:r w:rsidRPr="00AC3044">
              <w:rPr>
                <w:rFonts w:eastAsia="SimSun"/>
              </w:rPr>
              <w:t>Суточная доза</w:t>
            </w:r>
          </w:p>
        </w:tc>
        <w:tc>
          <w:tcPr>
            <w:tcW w:w="1701" w:type="dxa"/>
            <w:vAlign w:val="center"/>
          </w:tcPr>
          <w:p w14:paraId="1E09F180" w14:textId="77777777" w:rsidR="009F7F8A" w:rsidRPr="00AC3044" w:rsidRDefault="009F7F8A" w:rsidP="009F7F8A">
            <w:pPr>
              <w:rPr>
                <w:rFonts w:eastAsia="SimSun"/>
              </w:rPr>
            </w:pPr>
            <w:r w:rsidRPr="00AC3044">
              <w:rPr>
                <w:rFonts w:eastAsia="SimSun"/>
              </w:rPr>
              <w:t>Курсовая доза</w:t>
            </w:r>
          </w:p>
        </w:tc>
        <w:tc>
          <w:tcPr>
            <w:tcW w:w="1418" w:type="dxa"/>
            <w:vAlign w:val="center"/>
          </w:tcPr>
          <w:p w14:paraId="7E827079"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6D21BBE7"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6E510867" w14:textId="77777777" w:rsidTr="009F7F8A">
        <w:trPr>
          <w:cantSplit/>
          <w:trHeight w:val="20"/>
        </w:trPr>
        <w:tc>
          <w:tcPr>
            <w:tcW w:w="959" w:type="dxa"/>
            <w:vMerge w:val="restart"/>
            <w:textDirection w:val="btLr"/>
            <w:vAlign w:val="center"/>
          </w:tcPr>
          <w:p w14:paraId="2776BA5B"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10D805D6"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4A648EE0"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0ECA00B1" w14:textId="77777777" w:rsidR="009F7F8A" w:rsidRPr="00AC3044" w:rsidRDefault="009F7F8A" w:rsidP="009F7F8A">
            <w:pPr>
              <w:rPr>
                <w:rFonts w:eastAsia="SimSun"/>
              </w:rPr>
            </w:pPr>
            <w:r w:rsidRPr="00AC3044">
              <w:rPr>
                <w:rFonts w:eastAsia="SimSun"/>
              </w:rPr>
              <w:t>150 мг/м</w:t>
            </w:r>
            <w:r w:rsidRPr="001E6DBE">
              <w:rPr>
                <w:rFonts w:eastAsia="SimSun"/>
                <w:vertAlign w:val="superscript"/>
              </w:rPr>
              <w:t>2</w:t>
            </w:r>
          </w:p>
        </w:tc>
        <w:tc>
          <w:tcPr>
            <w:tcW w:w="1418" w:type="dxa"/>
            <w:vAlign w:val="center"/>
          </w:tcPr>
          <w:p w14:paraId="76894D8E" w14:textId="77777777" w:rsidR="009F7F8A" w:rsidRPr="00AC3044" w:rsidRDefault="009F7F8A" w:rsidP="009F7F8A">
            <w:pPr>
              <w:rPr>
                <w:rFonts w:eastAsia="SimSun"/>
              </w:rPr>
            </w:pPr>
            <w:r w:rsidRPr="00AC3044">
              <w:rPr>
                <w:rFonts w:eastAsia="SimSun"/>
              </w:rPr>
              <w:t>С -6 дня по -2 день</w:t>
            </w:r>
          </w:p>
        </w:tc>
        <w:tc>
          <w:tcPr>
            <w:tcW w:w="2268" w:type="dxa"/>
            <w:vAlign w:val="center"/>
          </w:tcPr>
          <w:p w14:paraId="0C7136D4"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4AD17003" w14:textId="77777777" w:rsidTr="009F7F8A">
        <w:trPr>
          <w:cantSplit/>
          <w:trHeight w:val="574"/>
        </w:trPr>
        <w:tc>
          <w:tcPr>
            <w:tcW w:w="959" w:type="dxa"/>
            <w:vMerge/>
            <w:vAlign w:val="center"/>
          </w:tcPr>
          <w:p w14:paraId="35BC49C2" w14:textId="77777777" w:rsidR="009F7F8A" w:rsidRPr="00AC3044" w:rsidRDefault="009F7F8A" w:rsidP="009F7F8A">
            <w:pPr>
              <w:rPr>
                <w:rFonts w:eastAsia="SimSun"/>
              </w:rPr>
            </w:pPr>
          </w:p>
        </w:tc>
        <w:tc>
          <w:tcPr>
            <w:tcW w:w="1701" w:type="dxa"/>
            <w:vAlign w:val="center"/>
          </w:tcPr>
          <w:p w14:paraId="13667883" w14:textId="77777777" w:rsidR="009F7F8A" w:rsidRPr="00AC3044" w:rsidRDefault="009F7F8A" w:rsidP="009F7F8A">
            <w:pPr>
              <w:rPr>
                <w:rFonts w:eastAsia="SimSun"/>
              </w:rPr>
            </w:pPr>
            <w:r w:rsidRPr="00AC3044">
              <w:rPr>
                <w:rFonts w:eastAsia="SimSun"/>
              </w:rPr>
              <w:t>Тиотепа</w:t>
            </w:r>
          </w:p>
        </w:tc>
        <w:tc>
          <w:tcPr>
            <w:tcW w:w="1559" w:type="dxa"/>
            <w:vAlign w:val="center"/>
          </w:tcPr>
          <w:p w14:paraId="5D29F5AE" w14:textId="77777777" w:rsidR="009F7F8A" w:rsidRPr="00AC3044" w:rsidRDefault="009F7F8A" w:rsidP="009F7F8A">
            <w:pPr>
              <w:rPr>
                <w:rFonts w:eastAsia="SimSun"/>
              </w:rPr>
            </w:pPr>
            <w:r w:rsidRPr="00AC3044">
              <w:rPr>
                <w:rFonts w:eastAsia="SimSun"/>
              </w:rPr>
              <w:t>5 мг/м</w:t>
            </w:r>
            <w:r w:rsidRPr="001E6DBE">
              <w:rPr>
                <w:rFonts w:eastAsia="SimSun"/>
                <w:vertAlign w:val="superscript"/>
              </w:rPr>
              <w:t>2</w:t>
            </w:r>
            <w:r w:rsidRPr="00AC3044">
              <w:rPr>
                <w:rFonts w:eastAsia="SimSun"/>
              </w:rPr>
              <w:t xml:space="preserve"> </w:t>
            </w:r>
          </w:p>
        </w:tc>
        <w:tc>
          <w:tcPr>
            <w:tcW w:w="1701" w:type="dxa"/>
            <w:vAlign w:val="center"/>
          </w:tcPr>
          <w:p w14:paraId="2DC307FA" w14:textId="77777777" w:rsidR="009F7F8A" w:rsidRPr="00AC3044" w:rsidRDefault="009F7F8A" w:rsidP="009F7F8A">
            <w:pPr>
              <w:rPr>
                <w:rFonts w:eastAsia="SimSun"/>
              </w:rPr>
            </w:pPr>
            <w:r w:rsidRPr="00AC3044">
              <w:rPr>
                <w:rFonts w:eastAsia="SimSun"/>
              </w:rPr>
              <w:t>10 мг/м</w:t>
            </w:r>
            <w:r w:rsidRPr="001E6DBE">
              <w:rPr>
                <w:rFonts w:eastAsia="SimSun"/>
                <w:vertAlign w:val="superscript"/>
              </w:rPr>
              <w:t>2</w:t>
            </w:r>
          </w:p>
        </w:tc>
        <w:tc>
          <w:tcPr>
            <w:tcW w:w="1418" w:type="dxa"/>
            <w:vAlign w:val="center"/>
          </w:tcPr>
          <w:p w14:paraId="2E15CDA6" w14:textId="77777777" w:rsidR="009F7F8A" w:rsidRPr="00AC3044" w:rsidRDefault="009F7F8A" w:rsidP="009F7F8A">
            <w:pPr>
              <w:rPr>
                <w:rFonts w:eastAsia="SimSun"/>
              </w:rPr>
            </w:pPr>
            <w:r w:rsidRPr="00AC3044">
              <w:rPr>
                <w:rFonts w:eastAsia="SimSun"/>
              </w:rPr>
              <w:t xml:space="preserve"> Дни -5; -4  </w:t>
            </w:r>
          </w:p>
        </w:tc>
        <w:tc>
          <w:tcPr>
            <w:tcW w:w="2268" w:type="dxa"/>
            <w:vAlign w:val="center"/>
          </w:tcPr>
          <w:p w14:paraId="157F2C41" w14:textId="77777777" w:rsidR="009F7F8A" w:rsidRPr="00AC3044" w:rsidRDefault="009F7F8A" w:rsidP="009F7F8A">
            <w:pPr>
              <w:rPr>
                <w:rFonts w:eastAsia="SimSun"/>
              </w:rPr>
            </w:pPr>
            <w:r w:rsidRPr="00AC3044">
              <w:rPr>
                <w:rFonts w:eastAsia="SimSun"/>
              </w:rPr>
              <w:t>В/в, в течение 2 ч</w:t>
            </w:r>
          </w:p>
        </w:tc>
      </w:tr>
      <w:tr w:rsidR="009F7F8A" w:rsidRPr="00AC3044" w14:paraId="47AB914B" w14:textId="77777777" w:rsidTr="009F7F8A">
        <w:trPr>
          <w:cantSplit/>
          <w:trHeight w:val="695"/>
        </w:trPr>
        <w:tc>
          <w:tcPr>
            <w:tcW w:w="959" w:type="dxa"/>
            <w:vMerge w:val="restart"/>
            <w:textDirection w:val="btLr"/>
            <w:vAlign w:val="center"/>
          </w:tcPr>
          <w:p w14:paraId="5FC2F7FB"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55B050AB" w14:textId="77777777" w:rsidR="009F7F8A" w:rsidRPr="00AC3044" w:rsidRDefault="009F7F8A" w:rsidP="009F7F8A">
            <w:pPr>
              <w:rPr>
                <w:rFonts w:eastAsia="SimSun"/>
              </w:rPr>
            </w:pPr>
            <w:r w:rsidRPr="00AC3044">
              <w:rPr>
                <w:rFonts w:eastAsia="SimSun"/>
              </w:rPr>
              <w:t>АТГ (лошадиный)</w:t>
            </w:r>
          </w:p>
        </w:tc>
        <w:tc>
          <w:tcPr>
            <w:tcW w:w="1559" w:type="dxa"/>
            <w:vAlign w:val="center"/>
          </w:tcPr>
          <w:p w14:paraId="68138CF5" w14:textId="77777777" w:rsidR="009F7F8A" w:rsidRPr="00AC3044" w:rsidRDefault="009F7F8A" w:rsidP="009F7F8A">
            <w:pPr>
              <w:rPr>
                <w:rFonts w:eastAsia="SimSun"/>
              </w:rPr>
            </w:pPr>
            <w:r w:rsidRPr="00AC3044">
              <w:rPr>
                <w:rFonts w:eastAsia="SimSun"/>
              </w:rPr>
              <w:t>20 мг/кг</w:t>
            </w:r>
          </w:p>
        </w:tc>
        <w:tc>
          <w:tcPr>
            <w:tcW w:w="1701" w:type="dxa"/>
            <w:vAlign w:val="center"/>
          </w:tcPr>
          <w:p w14:paraId="51136EDE" w14:textId="77777777" w:rsidR="009F7F8A" w:rsidRPr="00AC3044" w:rsidRDefault="009F7F8A" w:rsidP="009F7F8A">
            <w:pPr>
              <w:rPr>
                <w:rFonts w:eastAsia="SimSun"/>
              </w:rPr>
            </w:pPr>
            <w:r w:rsidRPr="00AC3044">
              <w:rPr>
                <w:rFonts w:eastAsia="SimSun"/>
              </w:rPr>
              <w:t>60 мг/кг</w:t>
            </w:r>
          </w:p>
        </w:tc>
        <w:tc>
          <w:tcPr>
            <w:tcW w:w="1418" w:type="dxa"/>
            <w:vAlign w:val="center"/>
          </w:tcPr>
          <w:p w14:paraId="719108A5" w14:textId="77777777" w:rsidR="009F7F8A" w:rsidRPr="00AC3044" w:rsidRDefault="009F7F8A" w:rsidP="009F7F8A">
            <w:pPr>
              <w:rPr>
                <w:rFonts w:eastAsia="SimSun"/>
              </w:rPr>
            </w:pPr>
            <w:r w:rsidRPr="00AC3044">
              <w:rPr>
                <w:rFonts w:eastAsia="SimSun"/>
              </w:rPr>
              <w:t>В дни -3, -2, -1</w:t>
            </w:r>
          </w:p>
        </w:tc>
        <w:tc>
          <w:tcPr>
            <w:tcW w:w="2268" w:type="dxa"/>
            <w:vAlign w:val="center"/>
          </w:tcPr>
          <w:p w14:paraId="6405A583" w14:textId="77777777" w:rsidR="009F7F8A" w:rsidRPr="00AC3044" w:rsidRDefault="009F7F8A" w:rsidP="009F7F8A">
            <w:pPr>
              <w:rPr>
                <w:rFonts w:eastAsia="SimSun"/>
              </w:rPr>
            </w:pPr>
            <w:r w:rsidRPr="00AC3044">
              <w:rPr>
                <w:rFonts w:eastAsia="SimSun"/>
              </w:rPr>
              <w:t>В/в. Суточная доза разделяется на 2 введения (см.</w:t>
            </w:r>
            <w:r>
              <w:rPr>
                <w:rFonts w:eastAsia="SimSun"/>
              </w:rPr>
              <w:t xml:space="preserve"> </w:t>
            </w:r>
            <w:r w:rsidRPr="00AC3044">
              <w:rPr>
                <w:rFonts w:eastAsia="SimSun"/>
              </w:rPr>
              <w:t>«Инфузия АТГ»)</w:t>
            </w:r>
          </w:p>
        </w:tc>
      </w:tr>
      <w:tr w:rsidR="009F7F8A" w:rsidRPr="00AC3044" w14:paraId="389C1A57" w14:textId="77777777" w:rsidTr="009F7F8A">
        <w:trPr>
          <w:cantSplit/>
          <w:trHeight w:val="958"/>
        </w:trPr>
        <w:tc>
          <w:tcPr>
            <w:tcW w:w="959" w:type="dxa"/>
            <w:vMerge/>
            <w:textDirection w:val="btLr"/>
            <w:vAlign w:val="center"/>
          </w:tcPr>
          <w:p w14:paraId="1BF1CA02" w14:textId="77777777" w:rsidR="009F7F8A" w:rsidRPr="00AC3044" w:rsidRDefault="009F7F8A" w:rsidP="009F7F8A">
            <w:pPr>
              <w:rPr>
                <w:rFonts w:eastAsia="SimSun"/>
              </w:rPr>
            </w:pPr>
          </w:p>
        </w:tc>
        <w:tc>
          <w:tcPr>
            <w:tcW w:w="1701" w:type="dxa"/>
            <w:vAlign w:val="center"/>
          </w:tcPr>
          <w:p w14:paraId="25DF6773" w14:textId="77777777" w:rsidR="009F7F8A" w:rsidRPr="00AC3044" w:rsidRDefault="009F7F8A" w:rsidP="009F7F8A">
            <w:pPr>
              <w:rPr>
                <w:rFonts w:eastAsia="SimSun"/>
              </w:rPr>
            </w:pPr>
            <w:r w:rsidRPr="00AC3044">
              <w:rPr>
                <w:rFonts w:eastAsia="SimSun"/>
              </w:rPr>
              <w:t xml:space="preserve">Такролимус </w:t>
            </w:r>
          </w:p>
        </w:tc>
        <w:tc>
          <w:tcPr>
            <w:tcW w:w="1559" w:type="dxa"/>
            <w:vAlign w:val="center"/>
          </w:tcPr>
          <w:p w14:paraId="06906D83" w14:textId="77777777" w:rsidR="009F7F8A" w:rsidRPr="00AC3044" w:rsidRDefault="009F7F8A" w:rsidP="009F7F8A">
            <w:pPr>
              <w:rPr>
                <w:rFonts w:eastAsia="SimSun"/>
              </w:rPr>
            </w:pPr>
            <w:r w:rsidRPr="00AC3044">
              <w:rPr>
                <w:rFonts w:eastAsia="SimSun"/>
              </w:rPr>
              <w:t>0,03 мг/кг</w:t>
            </w:r>
          </w:p>
        </w:tc>
        <w:tc>
          <w:tcPr>
            <w:tcW w:w="1701" w:type="dxa"/>
            <w:vAlign w:val="center"/>
          </w:tcPr>
          <w:p w14:paraId="6DC6000C" w14:textId="77777777" w:rsidR="009F7F8A" w:rsidRPr="00AC3044" w:rsidRDefault="009F7F8A" w:rsidP="009F7F8A">
            <w:pPr>
              <w:rPr>
                <w:rFonts w:eastAsia="SimSun"/>
              </w:rPr>
            </w:pPr>
            <w:r w:rsidRPr="00AC3044">
              <w:rPr>
                <w:rFonts w:eastAsia="SimSun"/>
              </w:rPr>
              <w:t>–</w:t>
            </w:r>
          </w:p>
        </w:tc>
        <w:tc>
          <w:tcPr>
            <w:tcW w:w="1418" w:type="dxa"/>
            <w:vAlign w:val="center"/>
          </w:tcPr>
          <w:p w14:paraId="5FFCB4CF" w14:textId="77777777" w:rsidR="009F7F8A" w:rsidRPr="00AC3044" w:rsidRDefault="009F7F8A" w:rsidP="009F7F8A">
            <w:pPr>
              <w:rPr>
                <w:rFonts w:eastAsia="SimSun"/>
              </w:rPr>
            </w:pPr>
            <w:r w:rsidRPr="00AC3044">
              <w:rPr>
                <w:rFonts w:eastAsia="SimSun"/>
              </w:rPr>
              <w:t xml:space="preserve">С -1 дня длительно </w:t>
            </w:r>
          </w:p>
        </w:tc>
        <w:tc>
          <w:tcPr>
            <w:tcW w:w="2268" w:type="dxa"/>
            <w:vAlign w:val="center"/>
          </w:tcPr>
          <w:p w14:paraId="7CB14B21"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2BEAD030" w14:textId="77777777" w:rsidTr="009F7F8A">
        <w:trPr>
          <w:cantSplit/>
          <w:trHeight w:val="986"/>
        </w:trPr>
        <w:tc>
          <w:tcPr>
            <w:tcW w:w="959" w:type="dxa"/>
            <w:vMerge/>
            <w:textDirection w:val="btLr"/>
            <w:vAlign w:val="center"/>
          </w:tcPr>
          <w:p w14:paraId="57AB3E11" w14:textId="77777777" w:rsidR="009F7F8A" w:rsidRPr="00AC3044" w:rsidRDefault="009F7F8A" w:rsidP="009F7F8A">
            <w:pPr>
              <w:rPr>
                <w:rFonts w:eastAsia="SimSun"/>
              </w:rPr>
            </w:pPr>
          </w:p>
        </w:tc>
        <w:tc>
          <w:tcPr>
            <w:tcW w:w="1701" w:type="dxa"/>
            <w:vAlign w:val="center"/>
          </w:tcPr>
          <w:p w14:paraId="5F78F06F"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3DACBF7F" w14:textId="77777777" w:rsidR="009F7F8A" w:rsidRPr="00AC3044" w:rsidRDefault="009F7F8A" w:rsidP="009F7F8A">
            <w:pPr>
              <w:rPr>
                <w:rFonts w:eastAsia="SimSun"/>
              </w:rPr>
            </w:pPr>
            <w:r w:rsidRPr="00AC3044">
              <w:rPr>
                <w:rFonts w:eastAsia="SimSun"/>
              </w:rPr>
              <w:t xml:space="preserve">30 мг/кг </w:t>
            </w:r>
          </w:p>
        </w:tc>
        <w:tc>
          <w:tcPr>
            <w:tcW w:w="1701" w:type="dxa"/>
            <w:vAlign w:val="center"/>
          </w:tcPr>
          <w:p w14:paraId="273B3791" w14:textId="77777777" w:rsidR="009F7F8A" w:rsidRPr="00AC3044" w:rsidRDefault="009F7F8A" w:rsidP="009F7F8A">
            <w:pPr>
              <w:rPr>
                <w:rFonts w:eastAsia="SimSun"/>
              </w:rPr>
            </w:pPr>
            <w:r w:rsidRPr="00AC3044">
              <w:rPr>
                <w:rFonts w:eastAsia="SimSun"/>
              </w:rPr>
              <w:t>–</w:t>
            </w:r>
          </w:p>
        </w:tc>
        <w:tc>
          <w:tcPr>
            <w:tcW w:w="1418" w:type="dxa"/>
            <w:vAlign w:val="center"/>
          </w:tcPr>
          <w:p w14:paraId="25CF73A5" w14:textId="77777777" w:rsidR="009F7F8A" w:rsidRPr="00AC3044" w:rsidRDefault="009F7F8A" w:rsidP="009F7F8A">
            <w:pPr>
              <w:rPr>
                <w:rFonts w:eastAsia="SimSun"/>
              </w:rPr>
            </w:pPr>
            <w:r w:rsidRPr="00AC3044">
              <w:rPr>
                <w:rFonts w:eastAsia="SimSun"/>
              </w:rPr>
              <w:t xml:space="preserve">С -1 дня по +30 день </w:t>
            </w:r>
          </w:p>
        </w:tc>
        <w:tc>
          <w:tcPr>
            <w:tcW w:w="2268" w:type="dxa"/>
            <w:vAlign w:val="center"/>
          </w:tcPr>
          <w:p w14:paraId="22943CBC"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6A419DBF" w14:textId="77777777" w:rsidR="009F7F8A" w:rsidRDefault="009F7F8A" w:rsidP="009F7F8A">
      <w:pPr>
        <w:rPr>
          <w:rFonts w:eastAsia="SimSun"/>
        </w:rPr>
      </w:pPr>
      <w:bookmarkStart w:id="150" w:name="_Toc44401180"/>
    </w:p>
    <w:p w14:paraId="724DA032"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1.2.22  – Flu180+Cy1200/ hATG+Tx+MMF30</w:t>
      </w:r>
      <w:bookmarkEnd w:id="15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9F7F8A" w:rsidRPr="00AC3044" w14:paraId="65C6794A" w14:textId="77777777" w:rsidTr="009F7F8A">
        <w:trPr>
          <w:cantSplit/>
          <w:trHeight w:val="20"/>
          <w:tblHeader/>
        </w:trPr>
        <w:tc>
          <w:tcPr>
            <w:tcW w:w="959" w:type="dxa"/>
            <w:vAlign w:val="center"/>
          </w:tcPr>
          <w:p w14:paraId="27078903" w14:textId="77777777" w:rsidR="009F7F8A" w:rsidRPr="00AC3044" w:rsidRDefault="009F7F8A" w:rsidP="009F7F8A">
            <w:pPr>
              <w:rPr>
                <w:rFonts w:eastAsia="SimSun"/>
              </w:rPr>
            </w:pPr>
          </w:p>
        </w:tc>
        <w:tc>
          <w:tcPr>
            <w:tcW w:w="1701" w:type="dxa"/>
            <w:vAlign w:val="center"/>
          </w:tcPr>
          <w:p w14:paraId="672012D3"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547F2794" w14:textId="77777777" w:rsidR="009F7F8A" w:rsidRPr="00AC3044" w:rsidRDefault="009F7F8A" w:rsidP="009F7F8A">
            <w:pPr>
              <w:rPr>
                <w:rFonts w:eastAsia="SimSun"/>
              </w:rPr>
            </w:pPr>
            <w:r w:rsidRPr="00AC3044">
              <w:rPr>
                <w:rFonts w:eastAsia="SimSun"/>
              </w:rPr>
              <w:t>Суточная доза</w:t>
            </w:r>
          </w:p>
        </w:tc>
        <w:tc>
          <w:tcPr>
            <w:tcW w:w="1701" w:type="dxa"/>
            <w:vAlign w:val="center"/>
          </w:tcPr>
          <w:p w14:paraId="2D1E4D6E" w14:textId="77777777" w:rsidR="009F7F8A" w:rsidRPr="00AC3044" w:rsidRDefault="009F7F8A" w:rsidP="009F7F8A">
            <w:pPr>
              <w:rPr>
                <w:rFonts w:eastAsia="SimSun"/>
              </w:rPr>
            </w:pPr>
            <w:r w:rsidRPr="00AC3044">
              <w:rPr>
                <w:rFonts w:eastAsia="SimSun"/>
              </w:rPr>
              <w:t>Курсовая доза</w:t>
            </w:r>
          </w:p>
        </w:tc>
        <w:tc>
          <w:tcPr>
            <w:tcW w:w="1418" w:type="dxa"/>
            <w:vAlign w:val="center"/>
          </w:tcPr>
          <w:p w14:paraId="7E8D47AE"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0D03CC6F"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7DFB1258" w14:textId="77777777" w:rsidTr="009F7F8A">
        <w:trPr>
          <w:cantSplit/>
          <w:trHeight w:val="20"/>
        </w:trPr>
        <w:tc>
          <w:tcPr>
            <w:tcW w:w="959" w:type="dxa"/>
            <w:vMerge w:val="restart"/>
            <w:textDirection w:val="btLr"/>
            <w:vAlign w:val="center"/>
          </w:tcPr>
          <w:p w14:paraId="0A280A37"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3D1C9CE6"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0DBBF0E2"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7E14D2F5"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418" w:type="dxa"/>
            <w:vAlign w:val="center"/>
          </w:tcPr>
          <w:p w14:paraId="7FEDFE6E"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6846C4DC"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042B3E31" w14:textId="77777777" w:rsidTr="009F7F8A">
        <w:trPr>
          <w:cantSplit/>
          <w:trHeight w:val="864"/>
        </w:trPr>
        <w:tc>
          <w:tcPr>
            <w:tcW w:w="959" w:type="dxa"/>
            <w:vMerge/>
            <w:vAlign w:val="center"/>
          </w:tcPr>
          <w:p w14:paraId="23FBC5C9" w14:textId="77777777" w:rsidR="009F7F8A" w:rsidRPr="00AC3044" w:rsidRDefault="009F7F8A" w:rsidP="009F7F8A">
            <w:pPr>
              <w:rPr>
                <w:rFonts w:eastAsia="SimSun"/>
              </w:rPr>
            </w:pPr>
          </w:p>
        </w:tc>
        <w:tc>
          <w:tcPr>
            <w:tcW w:w="1701" w:type="dxa"/>
            <w:vAlign w:val="center"/>
          </w:tcPr>
          <w:p w14:paraId="0CDF87C4"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76681236" w14:textId="77777777" w:rsidR="009F7F8A" w:rsidRPr="00AC3044" w:rsidRDefault="009F7F8A" w:rsidP="009F7F8A">
            <w:pPr>
              <w:rPr>
                <w:rFonts w:eastAsia="SimSun"/>
              </w:rPr>
            </w:pPr>
            <w:r w:rsidRPr="00AC3044">
              <w:rPr>
                <w:rFonts w:eastAsia="SimSun"/>
              </w:rPr>
              <w:t>300 мг/м</w:t>
            </w:r>
            <w:r w:rsidRPr="001E6DBE">
              <w:rPr>
                <w:rFonts w:eastAsia="SimSun"/>
                <w:vertAlign w:val="superscript"/>
              </w:rPr>
              <w:t>2</w:t>
            </w:r>
            <w:r w:rsidRPr="00AC3044">
              <w:rPr>
                <w:rFonts w:eastAsia="SimSun"/>
              </w:rPr>
              <w:t xml:space="preserve"> </w:t>
            </w:r>
          </w:p>
        </w:tc>
        <w:tc>
          <w:tcPr>
            <w:tcW w:w="1701" w:type="dxa"/>
            <w:vAlign w:val="center"/>
          </w:tcPr>
          <w:p w14:paraId="118FA1AC" w14:textId="77777777" w:rsidR="009F7F8A" w:rsidRPr="00AC3044" w:rsidRDefault="009F7F8A" w:rsidP="009F7F8A">
            <w:pPr>
              <w:rPr>
                <w:rFonts w:eastAsia="SimSun"/>
              </w:rPr>
            </w:pPr>
            <w:r w:rsidRPr="00AC3044">
              <w:rPr>
                <w:rFonts w:eastAsia="SimSun"/>
              </w:rPr>
              <w:t>1200 мг/м</w:t>
            </w:r>
            <w:r w:rsidRPr="001E6DBE">
              <w:rPr>
                <w:rFonts w:eastAsia="SimSun"/>
                <w:vertAlign w:val="superscript"/>
              </w:rPr>
              <w:t>2</w:t>
            </w:r>
          </w:p>
        </w:tc>
        <w:tc>
          <w:tcPr>
            <w:tcW w:w="1418" w:type="dxa"/>
            <w:vAlign w:val="center"/>
          </w:tcPr>
          <w:p w14:paraId="4E3A074B" w14:textId="77777777" w:rsidR="009F7F8A" w:rsidRPr="00AC3044" w:rsidRDefault="009F7F8A" w:rsidP="009F7F8A">
            <w:pPr>
              <w:rPr>
                <w:rFonts w:eastAsia="SimSun"/>
              </w:rPr>
            </w:pPr>
            <w:r w:rsidRPr="00AC3044">
              <w:rPr>
                <w:rFonts w:eastAsia="SimSun"/>
              </w:rPr>
              <w:t xml:space="preserve"> С -5 дня по -2 день </w:t>
            </w:r>
          </w:p>
        </w:tc>
        <w:tc>
          <w:tcPr>
            <w:tcW w:w="2268" w:type="dxa"/>
            <w:vAlign w:val="center"/>
          </w:tcPr>
          <w:p w14:paraId="2336B0D9" w14:textId="77777777" w:rsidR="009F7F8A" w:rsidRPr="00AC3044" w:rsidRDefault="009F7F8A" w:rsidP="009F7F8A">
            <w:pPr>
              <w:rPr>
                <w:rFonts w:eastAsia="SimSun"/>
              </w:rPr>
            </w:pPr>
            <w:r w:rsidRPr="00AC3044">
              <w:rPr>
                <w:rFonts w:eastAsia="SimSun"/>
              </w:rPr>
              <w:t>В/в, в течение 2 ч</w:t>
            </w:r>
          </w:p>
        </w:tc>
      </w:tr>
      <w:tr w:rsidR="009F7F8A" w:rsidRPr="00AC3044" w14:paraId="6F4C1A81" w14:textId="77777777" w:rsidTr="009F7F8A">
        <w:trPr>
          <w:cantSplit/>
          <w:trHeight w:val="640"/>
        </w:trPr>
        <w:tc>
          <w:tcPr>
            <w:tcW w:w="959" w:type="dxa"/>
            <w:vMerge w:val="restart"/>
            <w:textDirection w:val="btLr"/>
            <w:vAlign w:val="center"/>
          </w:tcPr>
          <w:p w14:paraId="09FD8A9D"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5EBB4DF9" w14:textId="77777777" w:rsidR="009F7F8A" w:rsidRPr="00AC3044" w:rsidRDefault="009F7F8A" w:rsidP="009F7F8A">
            <w:pPr>
              <w:rPr>
                <w:rFonts w:eastAsia="SimSun"/>
              </w:rPr>
            </w:pPr>
            <w:r w:rsidRPr="00AC3044">
              <w:rPr>
                <w:rFonts w:eastAsia="SimSun"/>
              </w:rPr>
              <w:t xml:space="preserve"> АТГ (лошадиный)</w:t>
            </w:r>
          </w:p>
        </w:tc>
        <w:tc>
          <w:tcPr>
            <w:tcW w:w="1559" w:type="dxa"/>
            <w:vAlign w:val="center"/>
          </w:tcPr>
          <w:p w14:paraId="52AB385A" w14:textId="77777777" w:rsidR="009F7F8A" w:rsidRPr="00AC3044" w:rsidRDefault="009F7F8A" w:rsidP="009F7F8A">
            <w:pPr>
              <w:rPr>
                <w:rFonts w:eastAsia="SimSun"/>
              </w:rPr>
            </w:pPr>
            <w:r w:rsidRPr="00AC3044">
              <w:rPr>
                <w:rFonts w:eastAsia="SimSun"/>
              </w:rPr>
              <w:t>20 мг/кг</w:t>
            </w:r>
          </w:p>
        </w:tc>
        <w:tc>
          <w:tcPr>
            <w:tcW w:w="1701" w:type="dxa"/>
            <w:vAlign w:val="center"/>
          </w:tcPr>
          <w:p w14:paraId="0D9DA7F2" w14:textId="77777777" w:rsidR="009F7F8A" w:rsidRPr="00AC3044" w:rsidRDefault="009F7F8A" w:rsidP="009F7F8A">
            <w:pPr>
              <w:rPr>
                <w:rFonts w:eastAsia="SimSun"/>
              </w:rPr>
            </w:pPr>
            <w:r w:rsidRPr="00AC3044">
              <w:rPr>
                <w:rFonts w:eastAsia="SimSun"/>
              </w:rPr>
              <w:t>60 мг/кг</w:t>
            </w:r>
          </w:p>
        </w:tc>
        <w:tc>
          <w:tcPr>
            <w:tcW w:w="1418" w:type="dxa"/>
            <w:vAlign w:val="center"/>
          </w:tcPr>
          <w:p w14:paraId="74409AD2" w14:textId="77777777" w:rsidR="009F7F8A" w:rsidRPr="00AC3044" w:rsidRDefault="009F7F8A" w:rsidP="009F7F8A">
            <w:pPr>
              <w:rPr>
                <w:rFonts w:eastAsia="SimSun"/>
              </w:rPr>
            </w:pPr>
            <w:r w:rsidRPr="00AC3044">
              <w:rPr>
                <w:rFonts w:eastAsia="SimSun"/>
              </w:rPr>
              <w:t>В дни -3, -2, -1</w:t>
            </w:r>
          </w:p>
        </w:tc>
        <w:tc>
          <w:tcPr>
            <w:tcW w:w="2268" w:type="dxa"/>
            <w:vAlign w:val="center"/>
          </w:tcPr>
          <w:p w14:paraId="6D80550F" w14:textId="77777777" w:rsidR="009F7F8A" w:rsidRPr="00AC3044" w:rsidRDefault="009F7F8A" w:rsidP="009F7F8A">
            <w:pPr>
              <w:rPr>
                <w:rFonts w:eastAsia="SimSun"/>
              </w:rPr>
            </w:pPr>
            <w:r w:rsidRPr="00AC3044">
              <w:rPr>
                <w:rFonts w:eastAsia="SimSun"/>
              </w:rPr>
              <w:t>В/в. Суточная доза разделяется на 2 введения (см.</w:t>
            </w:r>
            <w:r>
              <w:rPr>
                <w:rFonts w:eastAsia="SimSun"/>
              </w:rPr>
              <w:t xml:space="preserve"> </w:t>
            </w:r>
            <w:r w:rsidRPr="00AC3044">
              <w:rPr>
                <w:rFonts w:eastAsia="SimSun"/>
              </w:rPr>
              <w:t>«Инфузия АТГ»)</w:t>
            </w:r>
          </w:p>
        </w:tc>
      </w:tr>
      <w:tr w:rsidR="009F7F8A" w:rsidRPr="00AC3044" w14:paraId="44380EF0" w14:textId="77777777" w:rsidTr="009F7F8A">
        <w:trPr>
          <w:cantSplit/>
          <w:trHeight w:val="958"/>
        </w:trPr>
        <w:tc>
          <w:tcPr>
            <w:tcW w:w="959" w:type="dxa"/>
            <w:vMerge/>
            <w:textDirection w:val="btLr"/>
            <w:vAlign w:val="center"/>
          </w:tcPr>
          <w:p w14:paraId="55A1C305" w14:textId="77777777" w:rsidR="009F7F8A" w:rsidRPr="00AC3044" w:rsidRDefault="009F7F8A" w:rsidP="009F7F8A">
            <w:pPr>
              <w:rPr>
                <w:rFonts w:eastAsia="SimSun"/>
              </w:rPr>
            </w:pPr>
          </w:p>
        </w:tc>
        <w:tc>
          <w:tcPr>
            <w:tcW w:w="1701" w:type="dxa"/>
            <w:vAlign w:val="center"/>
          </w:tcPr>
          <w:p w14:paraId="39C36FE8" w14:textId="77777777" w:rsidR="009F7F8A" w:rsidRPr="00AC3044" w:rsidRDefault="009F7F8A" w:rsidP="009F7F8A">
            <w:pPr>
              <w:rPr>
                <w:rFonts w:eastAsia="SimSun"/>
              </w:rPr>
            </w:pPr>
            <w:r w:rsidRPr="00AC3044">
              <w:rPr>
                <w:rFonts w:eastAsia="SimSun"/>
              </w:rPr>
              <w:t xml:space="preserve">Такролимус </w:t>
            </w:r>
          </w:p>
        </w:tc>
        <w:tc>
          <w:tcPr>
            <w:tcW w:w="1559" w:type="dxa"/>
            <w:vAlign w:val="center"/>
          </w:tcPr>
          <w:p w14:paraId="19A8F000" w14:textId="77777777" w:rsidR="009F7F8A" w:rsidRPr="00AC3044" w:rsidRDefault="009F7F8A" w:rsidP="009F7F8A">
            <w:pPr>
              <w:rPr>
                <w:rFonts w:eastAsia="SimSun"/>
              </w:rPr>
            </w:pPr>
            <w:r w:rsidRPr="00AC3044">
              <w:rPr>
                <w:rFonts w:eastAsia="SimSun"/>
              </w:rPr>
              <w:t>0,03 мг/кг</w:t>
            </w:r>
          </w:p>
        </w:tc>
        <w:tc>
          <w:tcPr>
            <w:tcW w:w="1701" w:type="dxa"/>
            <w:vAlign w:val="center"/>
          </w:tcPr>
          <w:p w14:paraId="010BE5E1" w14:textId="77777777" w:rsidR="009F7F8A" w:rsidRPr="00AC3044" w:rsidRDefault="009F7F8A" w:rsidP="009F7F8A">
            <w:pPr>
              <w:rPr>
                <w:rFonts w:eastAsia="SimSun"/>
              </w:rPr>
            </w:pPr>
            <w:r w:rsidRPr="00AC3044">
              <w:rPr>
                <w:rFonts w:eastAsia="SimSun"/>
              </w:rPr>
              <w:t>–</w:t>
            </w:r>
          </w:p>
        </w:tc>
        <w:tc>
          <w:tcPr>
            <w:tcW w:w="1418" w:type="dxa"/>
            <w:vAlign w:val="center"/>
          </w:tcPr>
          <w:p w14:paraId="407E8CDB" w14:textId="77777777" w:rsidR="009F7F8A" w:rsidRPr="00AC3044" w:rsidRDefault="009F7F8A" w:rsidP="009F7F8A">
            <w:pPr>
              <w:rPr>
                <w:rFonts w:eastAsia="SimSun"/>
              </w:rPr>
            </w:pPr>
            <w:r w:rsidRPr="00AC3044">
              <w:rPr>
                <w:rFonts w:eastAsia="SimSun"/>
              </w:rPr>
              <w:t xml:space="preserve">С -1 дня длительно </w:t>
            </w:r>
          </w:p>
        </w:tc>
        <w:tc>
          <w:tcPr>
            <w:tcW w:w="2268" w:type="dxa"/>
            <w:vAlign w:val="center"/>
          </w:tcPr>
          <w:p w14:paraId="51EE762A" w14:textId="77777777" w:rsidR="009F7F8A" w:rsidRPr="00AC3044" w:rsidRDefault="009F7F8A" w:rsidP="009F7F8A">
            <w:pPr>
              <w:rPr>
                <w:rFonts w:eastAsia="SimSun"/>
              </w:rPr>
            </w:pPr>
            <w:r w:rsidRPr="00AC3044">
              <w:rPr>
                <w:rFonts w:eastAsia="SimSun"/>
              </w:rPr>
              <w:t xml:space="preserve">В/в инфузия в течение 24 ч с последующей коррекцией суточной дозы по концентрации. Перевод на прием внутрь при условии восстановления лейкоцитов &gt; 1* 109/л, при отсутствии тошноты, рвоты, диареи и возможности приема внутрь. Концентрация Tx 5-15 нг/мл.    </w:t>
            </w:r>
          </w:p>
        </w:tc>
      </w:tr>
      <w:tr w:rsidR="009F7F8A" w:rsidRPr="00AC3044" w14:paraId="1CA9DF4F" w14:textId="77777777" w:rsidTr="009F7F8A">
        <w:trPr>
          <w:cantSplit/>
          <w:trHeight w:val="709"/>
        </w:trPr>
        <w:tc>
          <w:tcPr>
            <w:tcW w:w="959" w:type="dxa"/>
            <w:vMerge/>
            <w:textDirection w:val="btLr"/>
            <w:vAlign w:val="center"/>
          </w:tcPr>
          <w:p w14:paraId="35A1D352" w14:textId="77777777" w:rsidR="009F7F8A" w:rsidRPr="00AC3044" w:rsidRDefault="009F7F8A" w:rsidP="009F7F8A">
            <w:pPr>
              <w:rPr>
                <w:rFonts w:eastAsia="SimSun"/>
              </w:rPr>
            </w:pPr>
          </w:p>
        </w:tc>
        <w:tc>
          <w:tcPr>
            <w:tcW w:w="1701" w:type="dxa"/>
            <w:vAlign w:val="center"/>
          </w:tcPr>
          <w:p w14:paraId="1C34CB3B"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30655320" w14:textId="77777777" w:rsidR="009F7F8A" w:rsidRPr="00AC3044" w:rsidRDefault="009F7F8A" w:rsidP="009F7F8A">
            <w:pPr>
              <w:rPr>
                <w:rFonts w:eastAsia="SimSun"/>
              </w:rPr>
            </w:pPr>
            <w:r w:rsidRPr="00AC3044">
              <w:rPr>
                <w:rFonts w:eastAsia="SimSun"/>
              </w:rPr>
              <w:t xml:space="preserve">30 мг/кг </w:t>
            </w:r>
          </w:p>
        </w:tc>
        <w:tc>
          <w:tcPr>
            <w:tcW w:w="1701" w:type="dxa"/>
            <w:vAlign w:val="center"/>
          </w:tcPr>
          <w:p w14:paraId="3A32D169" w14:textId="77777777" w:rsidR="009F7F8A" w:rsidRPr="00AC3044" w:rsidRDefault="009F7F8A" w:rsidP="009F7F8A">
            <w:pPr>
              <w:rPr>
                <w:rFonts w:eastAsia="SimSun"/>
              </w:rPr>
            </w:pPr>
            <w:r w:rsidRPr="00AC3044">
              <w:rPr>
                <w:rFonts w:eastAsia="SimSun"/>
              </w:rPr>
              <w:t>–</w:t>
            </w:r>
          </w:p>
        </w:tc>
        <w:tc>
          <w:tcPr>
            <w:tcW w:w="1418" w:type="dxa"/>
            <w:vAlign w:val="center"/>
          </w:tcPr>
          <w:p w14:paraId="4A987A5E" w14:textId="77777777" w:rsidR="009F7F8A" w:rsidRPr="00AC3044" w:rsidRDefault="009F7F8A" w:rsidP="009F7F8A">
            <w:pPr>
              <w:rPr>
                <w:rFonts w:eastAsia="SimSun"/>
              </w:rPr>
            </w:pPr>
            <w:r w:rsidRPr="00AC3044">
              <w:rPr>
                <w:rFonts w:eastAsia="SimSun"/>
              </w:rPr>
              <w:t xml:space="preserve">С -1 дня по +30 день </w:t>
            </w:r>
          </w:p>
        </w:tc>
        <w:tc>
          <w:tcPr>
            <w:tcW w:w="2268" w:type="dxa"/>
            <w:vAlign w:val="center"/>
          </w:tcPr>
          <w:p w14:paraId="569B3E17"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3BE8A334" w14:textId="77777777" w:rsidR="009F7F8A" w:rsidRPr="00C07B2E" w:rsidRDefault="009F7F8A" w:rsidP="009F7F8A">
      <w:pPr>
        <w:rPr>
          <w:rFonts w:eastAsia="SimSun"/>
        </w:rPr>
      </w:pPr>
    </w:p>
    <w:p w14:paraId="66C9E2FF" w14:textId="77777777" w:rsidR="009F7F8A" w:rsidRPr="00042499" w:rsidRDefault="009F7F8A" w:rsidP="009F7F8A">
      <w:pPr>
        <w:rPr>
          <w:rFonts w:eastAsia="SimSun"/>
          <w:lang w:val="en-US"/>
        </w:rPr>
      </w:pPr>
      <w:bookmarkStart w:id="151" w:name="_Toc44401181"/>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1.2.23  – </w:t>
      </w:r>
      <w:r w:rsidRPr="009F7F8A">
        <w:rPr>
          <w:rFonts w:eastAsia="SimSun"/>
          <w:lang w:val="en-US"/>
        </w:rPr>
        <w:t>Flu</w:t>
      </w:r>
      <w:r w:rsidRPr="00042499">
        <w:rPr>
          <w:rFonts w:eastAsia="SimSun"/>
          <w:lang w:val="en-US"/>
        </w:rPr>
        <w:t>180+</w:t>
      </w:r>
      <w:r w:rsidRPr="009F7F8A">
        <w:rPr>
          <w:rFonts w:eastAsia="SimSun"/>
          <w:lang w:val="en-US"/>
        </w:rPr>
        <w:t>Cy</w:t>
      </w:r>
      <w:r w:rsidRPr="00042499">
        <w:rPr>
          <w:rFonts w:eastAsia="SimSun"/>
          <w:lang w:val="en-US"/>
        </w:rPr>
        <w:t xml:space="preserve">1200 / </w:t>
      </w:r>
      <w:r w:rsidRPr="009F7F8A">
        <w:rPr>
          <w:rFonts w:eastAsia="SimSun"/>
          <w:lang w:val="en-US"/>
        </w:rPr>
        <w:t>rATG</w:t>
      </w:r>
      <w:r w:rsidRPr="00042499">
        <w:rPr>
          <w:rFonts w:eastAsia="SimSun"/>
          <w:lang w:val="en-US"/>
        </w:rPr>
        <w:t>+</w:t>
      </w:r>
      <w:r w:rsidRPr="009F7F8A">
        <w:rPr>
          <w:rFonts w:eastAsia="SimSun"/>
          <w:lang w:val="en-US"/>
        </w:rPr>
        <w:t>Tx</w:t>
      </w:r>
      <w:r w:rsidRPr="00042499">
        <w:rPr>
          <w:rFonts w:eastAsia="SimSun"/>
          <w:lang w:val="en-US"/>
        </w:rPr>
        <w:t>+</w:t>
      </w:r>
      <w:r w:rsidRPr="009F7F8A">
        <w:rPr>
          <w:rFonts w:eastAsia="SimSun"/>
          <w:lang w:val="en-US"/>
        </w:rPr>
        <w:t>MMF</w:t>
      </w:r>
      <w:r w:rsidRPr="00042499">
        <w:rPr>
          <w:rFonts w:eastAsia="SimSun"/>
          <w:lang w:val="en-US"/>
        </w:rPr>
        <w:t>30</w:t>
      </w:r>
      <w:bookmarkEnd w:id="15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9F7F8A" w:rsidRPr="00AC3044" w14:paraId="580ABE7D" w14:textId="77777777" w:rsidTr="009F7F8A">
        <w:trPr>
          <w:cantSplit/>
          <w:trHeight w:val="20"/>
          <w:tblHeader/>
        </w:trPr>
        <w:tc>
          <w:tcPr>
            <w:tcW w:w="959" w:type="dxa"/>
            <w:vAlign w:val="center"/>
          </w:tcPr>
          <w:p w14:paraId="6A163A0F" w14:textId="77777777" w:rsidR="009F7F8A" w:rsidRPr="009F7F8A" w:rsidRDefault="009F7F8A" w:rsidP="009F7F8A">
            <w:pPr>
              <w:rPr>
                <w:rFonts w:eastAsia="SimSun"/>
                <w:lang w:val="en-US"/>
              </w:rPr>
            </w:pPr>
          </w:p>
        </w:tc>
        <w:tc>
          <w:tcPr>
            <w:tcW w:w="1701" w:type="dxa"/>
            <w:vAlign w:val="center"/>
          </w:tcPr>
          <w:p w14:paraId="71BE4117"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2AD401EC" w14:textId="77777777" w:rsidR="009F7F8A" w:rsidRPr="00AC3044" w:rsidRDefault="009F7F8A" w:rsidP="009F7F8A">
            <w:pPr>
              <w:rPr>
                <w:rFonts w:eastAsia="SimSun"/>
              </w:rPr>
            </w:pPr>
            <w:r w:rsidRPr="00AC3044">
              <w:rPr>
                <w:rFonts w:eastAsia="SimSun"/>
              </w:rPr>
              <w:t>Суточная доза</w:t>
            </w:r>
          </w:p>
        </w:tc>
        <w:tc>
          <w:tcPr>
            <w:tcW w:w="1701" w:type="dxa"/>
            <w:vAlign w:val="center"/>
          </w:tcPr>
          <w:p w14:paraId="225A8A3C" w14:textId="77777777" w:rsidR="009F7F8A" w:rsidRPr="00AC3044" w:rsidRDefault="009F7F8A" w:rsidP="009F7F8A">
            <w:pPr>
              <w:rPr>
                <w:rFonts w:eastAsia="SimSun"/>
              </w:rPr>
            </w:pPr>
            <w:r w:rsidRPr="00AC3044">
              <w:rPr>
                <w:rFonts w:eastAsia="SimSun"/>
              </w:rPr>
              <w:t>Курсовая доза</w:t>
            </w:r>
          </w:p>
        </w:tc>
        <w:tc>
          <w:tcPr>
            <w:tcW w:w="1418" w:type="dxa"/>
            <w:vAlign w:val="center"/>
          </w:tcPr>
          <w:p w14:paraId="0675EEED"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755BA661"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012803B0" w14:textId="77777777" w:rsidTr="009F7F8A">
        <w:trPr>
          <w:cantSplit/>
          <w:trHeight w:val="20"/>
        </w:trPr>
        <w:tc>
          <w:tcPr>
            <w:tcW w:w="959" w:type="dxa"/>
            <w:vMerge w:val="restart"/>
            <w:textDirection w:val="btLr"/>
            <w:vAlign w:val="center"/>
          </w:tcPr>
          <w:p w14:paraId="2F3AA6F0"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782323BE"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771F3910"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03DD2390"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418" w:type="dxa"/>
            <w:vAlign w:val="center"/>
          </w:tcPr>
          <w:p w14:paraId="55A9EB75"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72BABE6B"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3B7D8399" w14:textId="77777777" w:rsidTr="009F7F8A">
        <w:trPr>
          <w:cantSplit/>
          <w:trHeight w:val="1207"/>
        </w:trPr>
        <w:tc>
          <w:tcPr>
            <w:tcW w:w="959" w:type="dxa"/>
            <w:vMerge/>
            <w:vAlign w:val="center"/>
          </w:tcPr>
          <w:p w14:paraId="7722314E" w14:textId="77777777" w:rsidR="009F7F8A" w:rsidRPr="00AC3044" w:rsidRDefault="009F7F8A" w:rsidP="009F7F8A">
            <w:pPr>
              <w:rPr>
                <w:rFonts w:eastAsia="SimSun"/>
              </w:rPr>
            </w:pPr>
          </w:p>
        </w:tc>
        <w:tc>
          <w:tcPr>
            <w:tcW w:w="1701" w:type="dxa"/>
            <w:vAlign w:val="center"/>
          </w:tcPr>
          <w:p w14:paraId="75CA6A48"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715C3594" w14:textId="77777777" w:rsidR="009F7F8A" w:rsidRPr="00AC3044" w:rsidRDefault="009F7F8A" w:rsidP="009F7F8A">
            <w:pPr>
              <w:rPr>
                <w:rFonts w:eastAsia="SimSun"/>
              </w:rPr>
            </w:pPr>
            <w:r w:rsidRPr="00AC3044">
              <w:rPr>
                <w:rFonts w:eastAsia="SimSun"/>
              </w:rPr>
              <w:t>300 мг/м</w:t>
            </w:r>
            <w:r w:rsidRPr="001E6DBE">
              <w:rPr>
                <w:rFonts w:eastAsia="SimSun"/>
                <w:vertAlign w:val="superscript"/>
              </w:rPr>
              <w:t>2</w:t>
            </w:r>
            <w:r w:rsidRPr="00AC3044">
              <w:rPr>
                <w:rFonts w:eastAsia="SimSun"/>
              </w:rPr>
              <w:t xml:space="preserve"> </w:t>
            </w:r>
          </w:p>
        </w:tc>
        <w:tc>
          <w:tcPr>
            <w:tcW w:w="1701" w:type="dxa"/>
            <w:vAlign w:val="center"/>
          </w:tcPr>
          <w:p w14:paraId="79805E7B" w14:textId="77777777" w:rsidR="009F7F8A" w:rsidRPr="00AC3044" w:rsidRDefault="009F7F8A" w:rsidP="009F7F8A">
            <w:pPr>
              <w:rPr>
                <w:rFonts w:eastAsia="SimSun"/>
              </w:rPr>
            </w:pPr>
            <w:r w:rsidRPr="00AC3044">
              <w:rPr>
                <w:rFonts w:eastAsia="SimSun"/>
              </w:rPr>
              <w:t>1200 мг/м</w:t>
            </w:r>
            <w:r w:rsidRPr="001E6DBE">
              <w:rPr>
                <w:rFonts w:eastAsia="SimSun"/>
                <w:vertAlign w:val="superscript"/>
              </w:rPr>
              <w:t>2</w:t>
            </w:r>
          </w:p>
        </w:tc>
        <w:tc>
          <w:tcPr>
            <w:tcW w:w="1418" w:type="dxa"/>
            <w:vAlign w:val="center"/>
          </w:tcPr>
          <w:p w14:paraId="4CB58E4B" w14:textId="77777777" w:rsidR="009F7F8A" w:rsidRPr="00AC3044" w:rsidRDefault="009F7F8A" w:rsidP="009F7F8A">
            <w:pPr>
              <w:rPr>
                <w:rFonts w:eastAsia="SimSun"/>
              </w:rPr>
            </w:pPr>
            <w:r w:rsidRPr="00AC3044">
              <w:rPr>
                <w:rFonts w:eastAsia="SimSun"/>
              </w:rPr>
              <w:t xml:space="preserve"> С -5 дня по -2 день </w:t>
            </w:r>
          </w:p>
        </w:tc>
        <w:tc>
          <w:tcPr>
            <w:tcW w:w="2268" w:type="dxa"/>
            <w:vAlign w:val="center"/>
          </w:tcPr>
          <w:p w14:paraId="6C20A597" w14:textId="77777777" w:rsidR="009F7F8A" w:rsidRPr="00AC3044" w:rsidRDefault="009F7F8A" w:rsidP="009F7F8A">
            <w:pPr>
              <w:rPr>
                <w:rFonts w:eastAsia="SimSun"/>
              </w:rPr>
            </w:pPr>
            <w:r w:rsidRPr="00AC3044">
              <w:rPr>
                <w:rFonts w:eastAsia="SimSun"/>
              </w:rPr>
              <w:t>В/в, в течение 2 ч</w:t>
            </w:r>
          </w:p>
        </w:tc>
      </w:tr>
      <w:tr w:rsidR="009F7F8A" w:rsidRPr="00AC3044" w14:paraId="492ACBA8" w14:textId="77777777" w:rsidTr="009F7F8A">
        <w:trPr>
          <w:cantSplit/>
          <w:trHeight w:val="858"/>
        </w:trPr>
        <w:tc>
          <w:tcPr>
            <w:tcW w:w="959" w:type="dxa"/>
            <w:vMerge w:val="restart"/>
            <w:textDirection w:val="btLr"/>
            <w:vAlign w:val="center"/>
          </w:tcPr>
          <w:p w14:paraId="592E543B"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6162387E" w14:textId="77777777" w:rsidR="009F7F8A" w:rsidRPr="00AC3044" w:rsidRDefault="009F7F8A" w:rsidP="009F7F8A">
            <w:pPr>
              <w:rPr>
                <w:rFonts w:eastAsia="SimSun"/>
              </w:rPr>
            </w:pPr>
            <w:r w:rsidRPr="00AC3044">
              <w:rPr>
                <w:rFonts w:eastAsia="SimSun"/>
              </w:rPr>
              <w:t>АТГ (кроличий)</w:t>
            </w:r>
          </w:p>
        </w:tc>
        <w:tc>
          <w:tcPr>
            <w:tcW w:w="1559" w:type="dxa"/>
            <w:vAlign w:val="center"/>
          </w:tcPr>
          <w:p w14:paraId="101E2A8B" w14:textId="77777777" w:rsidR="009F7F8A" w:rsidRPr="00AC3044" w:rsidRDefault="009F7F8A" w:rsidP="009F7F8A">
            <w:pPr>
              <w:rPr>
                <w:rFonts w:eastAsia="SimSun"/>
              </w:rPr>
            </w:pPr>
            <w:r w:rsidRPr="00AC3044">
              <w:rPr>
                <w:rFonts w:eastAsia="SimSun"/>
              </w:rPr>
              <w:t>5 мг/кг</w:t>
            </w:r>
          </w:p>
        </w:tc>
        <w:tc>
          <w:tcPr>
            <w:tcW w:w="1701" w:type="dxa"/>
            <w:vAlign w:val="center"/>
          </w:tcPr>
          <w:p w14:paraId="7052D821" w14:textId="77777777" w:rsidR="009F7F8A" w:rsidRPr="00AC3044" w:rsidRDefault="009F7F8A" w:rsidP="009F7F8A">
            <w:pPr>
              <w:rPr>
                <w:rFonts w:eastAsia="SimSun"/>
              </w:rPr>
            </w:pPr>
            <w:r w:rsidRPr="00AC3044">
              <w:rPr>
                <w:rFonts w:eastAsia="SimSun"/>
              </w:rPr>
              <w:t>10 мг/кг</w:t>
            </w:r>
          </w:p>
        </w:tc>
        <w:tc>
          <w:tcPr>
            <w:tcW w:w="1418" w:type="dxa"/>
            <w:vAlign w:val="center"/>
          </w:tcPr>
          <w:p w14:paraId="353A6EB0" w14:textId="77777777" w:rsidR="009F7F8A" w:rsidRPr="00AC3044" w:rsidRDefault="009F7F8A" w:rsidP="009F7F8A">
            <w:pPr>
              <w:rPr>
                <w:rFonts w:eastAsia="SimSun"/>
              </w:rPr>
            </w:pPr>
            <w:r w:rsidRPr="00AC3044">
              <w:rPr>
                <w:rFonts w:eastAsia="SimSun"/>
              </w:rPr>
              <w:t>В дни -2, -1</w:t>
            </w:r>
          </w:p>
        </w:tc>
        <w:tc>
          <w:tcPr>
            <w:tcW w:w="2268" w:type="dxa"/>
            <w:vAlign w:val="center"/>
          </w:tcPr>
          <w:p w14:paraId="1DB523CA" w14:textId="77777777" w:rsidR="009F7F8A" w:rsidRPr="00AC3044" w:rsidRDefault="009F7F8A" w:rsidP="009F7F8A">
            <w:pPr>
              <w:rPr>
                <w:rFonts w:eastAsia="SimSun"/>
              </w:rPr>
            </w:pPr>
            <w:r w:rsidRPr="00AC3044">
              <w:rPr>
                <w:rFonts w:eastAsia="SimSun"/>
              </w:rPr>
              <w:t>В/в. Суточная доза разделяется на 2 введения (см. гл.</w:t>
            </w:r>
            <w:r>
              <w:rPr>
                <w:rFonts w:eastAsia="SimSun"/>
              </w:rPr>
              <w:t xml:space="preserve"> </w:t>
            </w:r>
            <w:r w:rsidRPr="00AC3044">
              <w:rPr>
                <w:rFonts w:eastAsia="SimSun"/>
              </w:rPr>
              <w:t>«Инфузия АТГ»)</w:t>
            </w:r>
          </w:p>
        </w:tc>
      </w:tr>
      <w:tr w:rsidR="009F7F8A" w:rsidRPr="00AC3044" w14:paraId="786D18EC" w14:textId="77777777" w:rsidTr="009F7F8A">
        <w:trPr>
          <w:cantSplit/>
          <w:trHeight w:val="958"/>
        </w:trPr>
        <w:tc>
          <w:tcPr>
            <w:tcW w:w="959" w:type="dxa"/>
            <w:vMerge/>
            <w:textDirection w:val="btLr"/>
            <w:vAlign w:val="center"/>
          </w:tcPr>
          <w:p w14:paraId="09D3CC9E" w14:textId="77777777" w:rsidR="009F7F8A" w:rsidRPr="00AC3044" w:rsidRDefault="009F7F8A" w:rsidP="009F7F8A">
            <w:pPr>
              <w:rPr>
                <w:rFonts w:eastAsia="SimSun"/>
              </w:rPr>
            </w:pPr>
          </w:p>
        </w:tc>
        <w:tc>
          <w:tcPr>
            <w:tcW w:w="1701" w:type="dxa"/>
            <w:vAlign w:val="center"/>
          </w:tcPr>
          <w:p w14:paraId="1D5D820C" w14:textId="77777777" w:rsidR="009F7F8A" w:rsidRPr="00AC3044" w:rsidRDefault="009F7F8A" w:rsidP="009F7F8A">
            <w:pPr>
              <w:rPr>
                <w:rFonts w:eastAsia="SimSun"/>
              </w:rPr>
            </w:pPr>
            <w:r w:rsidRPr="00AC3044">
              <w:rPr>
                <w:rFonts w:eastAsia="SimSun"/>
              </w:rPr>
              <w:t xml:space="preserve">Такролимус </w:t>
            </w:r>
          </w:p>
        </w:tc>
        <w:tc>
          <w:tcPr>
            <w:tcW w:w="1559" w:type="dxa"/>
            <w:vAlign w:val="center"/>
          </w:tcPr>
          <w:p w14:paraId="2752C620" w14:textId="77777777" w:rsidR="009F7F8A" w:rsidRPr="00AC3044" w:rsidRDefault="009F7F8A" w:rsidP="009F7F8A">
            <w:pPr>
              <w:rPr>
                <w:rFonts w:eastAsia="SimSun"/>
              </w:rPr>
            </w:pPr>
            <w:r w:rsidRPr="00AC3044">
              <w:rPr>
                <w:rFonts w:eastAsia="SimSun"/>
              </w:rPr>
              <w:t>0,03 мг/кг</w:t>
            </w:r>
          </w:p>
        </w:tc>
        <w:tc>
          <w:tcPr>
            <w:tcW w:w="1701" w:type="dxa"/>
            <w:vAlign w:val="center"/>
          </w:tcPr>
          <w:p w14:paraId="2D878335" w14:textId="77777777" w:rsidR="009F7F8A" w:rsidRPr="00AC3044" w:rsidRDefault="009F7F8A" w:rsidP="009F7F8A">
            <w:pPr>
              <w:rPr>
                <w:rFonts w:eastAsia="SimSun"/>
              </w:rPr>
            </w:pPr>
            <w:r w:rsidRPr="00AC3044">
              <w:rPr>
                <w:rFonts w:eastAsia="SimSun"/>
              </w:rPr>
              <w:t>–</w:t>
            </w:r>
          </w:p>
        </w:tc>
        <w:tc>
          <w:tcPr>
            <w:tcW w:w="1418" w:type="dxa"/>
            <w:vAlign w:val="center"/>
          </w:tcPr>
          <w:p w14:paraId="42C149F7" w14:textId="77777777" w:rsidR="009F7F8A" w:rsidRPr="00AC3044" w:rsidRDefault="009F7F8A" w:rsidP="009F7F8A">
            <w:pPr>
              <w:rPr>
                <w:rFonts w:eastAsia="SimSun"/>
              </w:rPr>
            </w:pPr>
            <w:r w:rsidRPr="00AC3044">
              <w:rPr>
                <w:rFonts w:eastAsia="SimSun"/>
              </w:rPr>
              <w:t xml:space="preserve">С -1 дня длительно </w:t>
            </w:r>
          </w:p>
        </w:tc>
        <w:tc>
          <w:tcPr>
            <w:tcW w:w="2268" w:type="dxa"/>
            <w:vAlign w:val="center"/>
          </w:tcPr>
          <w:p w14:paraId="0C3F6E09"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3026CF21" w14:textId="77777777" w:rsidTr="009F7F8A">
        <w:trPr>
          <w:cantSplit/>
          <w:trHeight w:val="370"/>
        </w:trPr>
        <w:tc>
          <w:tcPr>
            <w:tcW w:w="959" w:type="dxa"/>
            <w:vMerge/>
            <w:textDirection w:val="btLr"/>
            <w:vAlign w:val="center"/>
          </w:tcPr>
          <w:p w14:paraId="0C6204C8" w14:textId="77777777" w:rsidR="009F7F8A" w:rsidRPr="00AC3044" w:rsidRDefault="009F7F8A" w:rsidP="009F7F8A">
            <w:pPr>
              <w:rPr>
                <w:rFonts w:eastAsia="SimSun"/>
              </w:rPr>
            </w:pPr>
          </w:p>
        </w:tc>
        <w:tc>
          <w:tcPr>
            <w:tcW w:w="1701" w:type="dxa"/>
            <w:vAlign w:val="center"/>
          </w:tcPr>
          <w:p w14:paraId="275E27A0"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6222FD17" w14:textId="77777777" w:rsidR="009F7F8A" w:rsidRPr="00AC3044" w:rsidRDefault="009F7F8A" w:rsidP="009F7F8A">
            <w:pPr>
              <w:rPr>
                <w:rFonts w:eastAsia="SimSun"/>
              </w:rPr>
            </w:pPr>
            <w:r w:rsidRPr="00AC3044">
              <w:rPr>
                <w:rFonts w:eastAsia="SimSun"/>
              </w:rPr>
              <w:t xml:space="preserve">30 мг/кг </w:t>
            </w:r>
          </w:p>
        </w:tc>
        <w:tc>
          <w:tcPr>
            <w:tcW w:w="1701" w:type="dxa"/>
            <w:vAlign w:val="center"/>
          </w:tcPr>
          <w:p w14:paraId="73543EA2" w14:textId="77777777" w:rsidR="009F7F8A" w:rsidRPr="00AC3044" w:rsidRDefault="009F7F8A" w:rsidP="009F7F8A">
            <w:pPr>
              <w:rPr>
                <w:rFonts w:eastAsia="SimSun"/>
              </w:rPr>
            </w:pPr>
            <w:r w:rsidRPr="00AC3044">
              <w:rPr>
                <w:rFonts w:eastAsia="SimSun"/>
              </w:rPr>
              <w:t>–</w:t>
            </w:r>
          </w:p>
        </w:tc>
        <w:tc>
          <w:tcPr>
            <w:tcW w:w="1418" w:type="dxa"/>
            <w:vAlign w:val="center"/>
          </w:tcPr>
          <w:p w14:paraId="01F3C08C" w14:textId="77777777" w:rsidR="009F7F8A" w:rsidRPr="00AC3044" w:rsidRDefault="009F7F8A" w:rsidP="009F7F8A">
            <w:pPr>
              <w:rPr>
                <w:rFonts w:eastAsia="SimSun"/>
              </w:rPr>
            </w:pPr>
            <w:r w:rsidRPr="00AC3044">
              <w:rPr>
                <w:rFonts w:eastAsia="SimSun"/>
              </w:rPr>
              <w:t xml:space="preserve">С -1 дня по +30 день </w:t>
            </w:r>
          </w:p>
        </w:tc>
        <w:tc>
          <w:tcPr>
            <w:tcW w:w="2268" w:type="dxa"/>
            <w:vAlign w:val="center"/>
          </w:tcPr>
          <w:p w14:paraId="7F2E595A"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5BE4F217" w14:textId="77777777" w:rsidR="009F7F8A" w:rsidRDefault="009F7F8A" w:rsidP="009F7F8A">
      <w:pPr>
        <w:rPr>
          <w:rFonts w:eastAsia="SimSun"/>
        </w:rPr>
      </w:pPr>
      <w:bookmarkStart w:id="152" w:name="_Toc44401182"/>
    </w:p>
    <w:p w14:paraId="792832AB" w14:textId="77777777" w:rsidR="009F7F8A" w:rsidRPr="00C07B2E" w:rsidRDefault="009F7F8A" w:rsidP="009F7F8A">
      <w:pPr>
        <w:rPr>
          <w:rFonts w:eastAsia="SimSun"/>
        </w:rPr>
      </w:pPr>
      <w:r w:rsidRPr="00042499">
        <w:rPr>
          <w:rFonts w:eastAsia="SimSun"/>
        </w:rPr>
        <w:lastRenderedPageBreak/>
        <w:t>Таблица</w:t>
      </w:r>
      <w:r w:rsidRPr="00C07B2E">
        <w:rPr>
          <w:rFonts w:eastAsia="SimSun"/>
        </w:rPr>
        <w:t xml:space="preserve"> </w:t>
      </w:r>
      <w:r>
        <w:rPr>
          <w:rFonts w:eastAsia="SimSun"/>
        </w:rPr>
        <w:t>5.</w:t>
      </w:r>
      <w:r w:rsidRPr="00C07B2E">
        <w:rPr>
          <w:rFonts w:eastAsia="SimSun"/>
        </w:rPr>
        <w:t>2.2.24 – Flu180+Mel100/ PT-Cy+Tx+MMF30</w:t>
      </w:r>
      <w:bookmarkEnd w:id="15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9F7F8A" w:rsidRPr="00AC3044" w14:paraId="4E7B9107" w14:textId="77777777" w:rsidTr="009F7F8A">
        <w:trPr>
          <w:cantSplit/>
          <w:trHeight w:val="20"/>
          <w:tblHeader/>
        </w:trPr>
        <w:tc>
          <w:tcPr>
            <w:tcW w:w="959" w:type="dxa"/>
            <w:vAlign w:val="center"/>
          </w:tcPr>
          <w:p w14:paraId="162CD3EB" w14:textId="77777777" w:rsidR="009F7F8A" w:rsidRPr="00AC3044" w:rsidRDefault="009F7F8A" w:rsidP="009F7F8A">
            <w:pPr>
              <w:rPr>
                <w:rFonts w:eastAsia="SimSun"/>
              </w:rPr>
            </w:pPr>
          </w:p>
        </w:tc>
        <w:tc>
          <w:tcPr>
            <w:tcW w:w="1701" w:type="dxa"/>
            <w:vAlign w:val="center"/>
          </w:tcPr>
          <w:p w14:paraId="50CA9358"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068380EC" w14:textId="77777777" w:rsidR="009F7F8A" w:rsidRPr="00AC3044" w:rsidRDefault="009F7F8A" w:rsidP="009F7F8A">
            <w:pPr>
              <w:rPr>
                <w:rFonts w:eastAsia="SimSun"/>
              </w:rPr>
            </w:pPr>
            <w:r w:rsidRPr="00AC3044">
              <w:rPr>
                <w:rFonts w:eastAsia="SimSun"/>
              </w:rPr>
              <w:t>Суточная доза</w:t>
            </w:r>
          </w:p>
        </w:tc>
        <w:tc>
          <w:tcPr>
            <w:tcW w:w="1701" w:type="dxa"/>
            <w:vAlign w:val="center"/>
          </w:tcPr>
          <w:p w14:paraId="7DF58B10" w14:textId="77777777" w:rsidR="009F7F8A" w:rsidRPr="00AC3044" w:rsidRDefault="009F7F8A" w:rsidP="009F7F8A">
            <w:pPr>
              <w:rPr>
                <w:rFonts w:eastAsia="SimSun"/>
              </w:rPr>
            </w:pPr>
            <w:r w:rsidRPr="00AC3044">
              <w:rPr>
                <w:rFonts w:eastAsia="SimSun"/>
              </w:rPr>
              <w:t>Курсовая доза</w:t>
            </w:r>
          </w:p>
        </w:tc>
        <w:tc>
          <w:tcPr>
            <w:tcW w:w="1418" w:type="dxa"/>
            <w:vAlign w:val="center"/>
          </w:tcPr>
          <w:p w14:paraId="4FE4E0E5"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1A94833E"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62CF997B" w14:textId="77777777" w:rsidTr="009F7F8A">
        <w:trPr>
          <w:cantSplit/>
          <w:trHeight w:val="20"/>
        </w:trPr>
        <w:tc>
          <w:tcPr>
            <w:tcW w:w="959" w:type="dxa"/>
            <w:vMerge w:val="restart"/>
            <w:textDirection w:val="btLr"/>
            <w:vAlign w:val="center"/>
          </w:tcPr>
          <w:p w14:paraId="75779986"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08499DAC"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0B3289DB"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2CDF5D24"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418" w:type="dxa"/>
            <w:vAlign w:val="center"/>
          </w:tcPr>
          <w:p w14:paraId="10050BF7"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2CA8CD10"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27FCDC19" w14:textId="77777777" w:rsidTr="009F7F8A">
        <w:trPr>
          <w:cantSplit/>
          <w:trHeight w:val="440"/>
        </w:trPr>
        <w:tc>
          <w:tcPr>
            <w:tcW w:w="959" w:type="dxa"/>
            <w:vMerge/>
            <w:vAlign w:val="center"/>
          </w:tcPr>
          <w:p w14:paraId="513FE623" w14:textId="77777777" w:rsidR="009F7F8A" w:rsidRPr="00AC3044" w:rsidRDefault="009F7F8A" w:rsidP="009F7F8A">
            <w:pPr>
              <w:rPr>
                <w:rFonts w:eastAsia="SimSun"/>
              </w:rPr>
            </w:pPr>
          </w:p>
        </w:tc>
        <w:tc>
          <w:tcPr>
            <w:tcW w:w="1701" w:type="dxa"/>
            <w:vAlign w:val="center"/>
          </w:tcPr>
          <w:p w14:paraId="1B6CC07B" w14:textId="77777777" w:rsidR="009F7F8A" w:rsidRPr="00AC3044" w:rsidRDefault="009F7F8A" w:rsidP="009F7F8A">
            <w:pPr>
              <w:rPr>
                <w:rFonts w:eastAsia="SimSun"/>
              </w:rPr>
            </w:pPr>
            <w:r w:rsidRPr="00AC3044">
              <w:rPr>
                <w:rFonts w:eastAsia="SimSun"/>
              </w:rPr>
              <w:t>Мелфалан</w:t>
            </w:r>
          </w:p>
        </w:tc>
        <w:tc>
          <w:tcPr>
            <w:tcW w:w="1559" w:type="dxa"/>
            <w:vAlign w:val="center"/>
          </w:tcPr>
          <w:p w14:paraId="3620FA83" w14:textId="77777777" w:rsidR="009F7F8A" w:rsidRPr="00AC3044" w:rsidRDefault="009F7F8A" w:rsidP="009F7F8A">
            <w:pPr>
              <w:rPr>
                <w:rFonts w:eastAsia="SimSun"/>
              </w:rPr>
            </w:pPr>
            <w:r w:rsidRPr="00AC3044">
              <w:rPr>
                <w:rFonts w:eastAsia="SimSun"/>
              </w:rPr>
              <w:t>100 мг/м</w:t>
            </w:r>
            <w:r w:rsidRPr="001E6DBE">
              <w:rPr>
                <w:rFonts w:eastAsia="SimSun"/>
                <w:vertAlign w:val="superscript"/>
              </w:rPr>
              <w:t>2</w:t>
            </w:r>
            <w:r w:rsidRPr="00AC3044">
              <w:rPr>
                <w:rFonts w:eastAsia="SimSun"/>
              </w:rPr>
              <w:t xml:space="preserve"> </w:t>
            </w:r>
          </w:p>
        </w:tc>
        <w:tc>
          <w:tcPr>
            <w:tcW w:w="1701" w:type="dxa"/>
            <w:vAlign w:val="center"/>
          </w:tcPr>
          <w:p w14:paraId="2A37468A" w14:textId="77777777" w:rsidR="009F7F8A" w:rsidRPr="00AC3044" w:rsidRDefault="009F7F8A" w:rsidP="009F7F8A">
            <w:pPr>
              <w:rPr>
                <w:rFonts w:eastAsia="SimSun"/>
              </w:rPr>
            </w:pPr>
            <w:r w:rsidRPr="00AC3044">
              <w:rPr>
                <w:rFonts w:eastAsia="SimSun"/>
              </w:rPr>
              <w:t>100 мг/м</w:t>
            </w:r>
            <w:r w:rsidRPr="001E6DBE">
              <w:rPr>
                <w:rFonts w:eastAsia="SimSun"/>
                <w:vertAlign w:val="superscript"/>
              </w:rPr>
              <w:t>2</w:t>
            </w:r>
          </w:p>
        </w:tc>
        <w:tc>
          <w:tcPr>
            <w:tcW w:w="1418" w:type="dxa"/>
            <w:vAlign w:val="center"/>
          </w:tcPr>
          <w:p w14:paraId="2599D288" w14:textId="77777777" w:rsidR="009F7F8A" w:rsidRPr="00AC3044" w:rsidRDefault="009F7F8A" w:rsidP="009F7F8A">
            <w:pPr>
              <w:rPr>
                <w:rFonts w:eastAsia="SimSun"/>
              </w:rPr>
            </w:pPr>
            <w:r w:rsidRPr="00AC3044">
              <w:rPr>
                <w:rFonts w:eastAsia="SimSun"/>
              </w:rPr>
              <w:t xml:space="preserve">В -2 день </w:t>
            </w:r>
          </w:p>
        </w:tc>
        <w:tc>
          <w:tcPr>
            <w:tcW w:w="2268" w:type="dxa"/>
            <w:vAlign w:val="center"/>
          </w:tcPr>
          <w:p w14:paraId="192E804D" w14:textId="77777777" w:rsidR="009F7F8A" w:rsidRPr="00AC3044" w:rsidRDefault="009F7F8A" w:rsidP="009F7F8A">
            <w:pPr>
              <w:rPr>
                <w:rFonts w:eastAsia="SimSun"/>
              </w:rPr>
            </w:pPr>
            <w:r w:rsidRPr="00AC3044">
              <w:rPr>
                <w:rFonts w:eastAsia="SimSun"/>
              </w:rPr>
              <w:t>В/в, в течение 1 часа</w:t>
            </w:r>
          </w:p>
        </w:tc>
      </w:tr>
      <w:tr w:rsidR="009F7F8A" w:rsidRPr="00AC3044" w14:paraId="30AD7A64" w14:textId="77777777" w:rsidTr="009F7F8A">
        <w:trPr>
          <w:cantSplit/>
          <w:trHeight w:val="516"/>
        </w:trPr>
        <w:tc>
          <w:tcPr>
            <w:tcW w:w="959" w:type="dxa"/>
            <w:vMerge w:val="restart"/>
            <w:textDirection w:val="btLr"/>
            <w:vAlign w:val="center"/>
          </w:tcPr>
          <w:p w14:paraId="2A94618E"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196F6073"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60D3E9C7" w14:textId="77777777" w:rsidR="009F7F8A" w:rsidRPr="00AC3044" w:rsidRDefault="009F7F8A" w:rsidP="009F7F8A">
            <w:pPr>
              <w:rPr>
                <w:rFonts w:eastAsia="SimSun"/>
              </w:rPr>
            </w:pPr>
            <w:r w:rsidRPr="00AC3044">
              <w:rPr>
                <w:rFonts w:eastAsia="SimSun"/>
              </w:rPr>
              <w:t>50 мг/кг</w:t>
            </w:r>
          </w:p>
        </w:tc>
        <w:tc>
          <w:tcPr>
            <w:tcW w:w="1701" w:type="dxa"/>
            <w:vAlign w:val="center"/>
          </w:tcPr>
          <w:p w14:paraId="3CBC5481" w14:textId="77777777" w:rsidR="009F7F8A" w:rsidRPr="00AC3044" w:rsidRDefault="009F7F8A" w:rsidP="009F7F8A">
            <w:pPr>
              <w:rPr>
                <w:rFonts w:eastAsia="SimSun"/>
              </w:rPr>
            </w:pPr>
            <w:r w:rsidRPr="00AC3044">
              <w:rPr>
                <w:rFonts w:eastAsia="SimSun"/>
              </w:rPr>
              <w:t>100 мг/кг</w:t>
            </w:r>
          </w:p>
        </w:tc>
        <w:tc>
          <w:tcPr>
            <w:tcW w:w="1418" w:type="dxa"/>
            <w:vAlign w:val="center"/>
          </w:tcPr>
          <w:p w14:paraId="2002B135" w14:textId="77777777" w:rsidR="009F7F8A" w:rsidRPr="00AC3044" w:rsidRDefault="009F7F8A" w:rsidP="009F7F8A">
            <w:pPr>
              <w:rPr>
                <w:rFonts w:eastAsia="SimSun"/>
              </w:rPr>
            </w:pPr>
            <w:r w:rsidRPr="00AC3044">
              <w:rPr>
                <w:rFonts w:eastAsia="SimSun"/>
              </w:rPr>
              <w:t xml:space="preserve">+3,+4 дни </w:t>
            </w:r>
          </w:p>
        </w:tc>
        <w:tc>
          <w:tcPr>
            <w:tcW w:w="2268" w:type="dxa"/>
            <w:vAlign w:val="center"/>
          </w:tcPr>
          <w:p w14:paraId="2254F7A7" w14:textId="77777777" w:rsidR="009F7F8A" w:rsidRPr="00AC3044" w:rsidRDefault="009F7F8A" w:rsidP="009F7F8A">
            <w:pPr>
              <w:rPr>
                <w:rFonts w:eastAsia="SimSun"/>
              </w:rPr>
            </w:pPr>
            <w:r w:rsidRPr="00AC3044">
              <w:rPr>
                <w:rFonts w:eastAsia="SimSun"/>
              </w:rPr>
              <w:t xml:space="preserve">В/в, в течение 2 ч </w:t>
            </w:r>
          </w:p>
        </w:tc>
      </w:tr>
      <w:tr w:rsidR="009F7F8A" w:rsidRPr="00AC3044" w14:paraId="5360E6F3" w14:textId="77777777" w:rsidTr="009F7F8A">
        <w:trPr>
          <w:cantSplit/>
          <w:trHeight w:val="958"/>
        </w:trPr>
        <w:tc>
          <w:tcPr>
            <w:tcW w:w="959" w:type="dxa"/>
            <w:vMerge/>
            <w:textDirection w:val="btLr"/>
            <w:vAlign w:val="center"/>
          </w:tcPr>
          <w:p w14:paraId="0A3D1510" w14:textId="77777777" w:rsidR="009F7F8A" w:rsidRPr="00AC3044" w:rsidRDefault="009F7F8A" w:rsidP="009F7F8A">
            <w:pPr>
              <w:rPr>
                <w:rFonts w:eastAsia="SimSun"/>
              </w:rPr>
            </w:pPr>
          </w:p>
        </w:tc>
        <w:tc>
          <w:tcPr>
            <w:tcW w:w="1701" w:type="dxa"/>
            <w:vAlign w:val="center"/>
          </w:tcPr>
          <w:p w14:paraId="645DCC45" w14:textId="77777777" w:rsidR="009F7F8A" w:rsidRPr="00AC3044" w:rsidRDefault="009F7F8A" w:rsidP="009F7F8A">
            <w:pPr>
              <w:rPr>
                <w:rFonts w:eastAsia="SimSun"/>
              </w:rPr>
            </w:pPr>
            <w:r w:rsidRPr="00AC3044">
              <w:rPr>
                <w:rFonts w:eastAsia="SimSun"/>
              </w:rPr>
              <w:t xml:space="preserve">Такролимус </w:t>
            </w:r>
          </w:p>
        </w:tc>
        <w:tc>
          <w:tcPr>
            <w:tcW w:w="1559" w:type="dxa"/>
            <w:vAlign w:val="center"/>
          </w:tcPr>
          <w:p w14:paraId="7D725B83" w14:textId="77777777" w:rsidR="009F7F8A" w:rsidRPr="00AC3044" w:rsidRDefault="009F7F8A" w:rsidP="009F7F8A">
            <w:pPr>
              <w:rPr>
                <w:rFonts w:eastAsia="SimSun"/>
              </w:rPr>
            </w:pPr>
            <w:r w:rsidRPr="00AC3044">
              <w:rPr>
                <w:rFonts w:eastAsia="SimSun"/>
              </w:rPr>
              <w:t>0,03 мг/кг</w:t>
            </w:r>
          </w:p>
        </w:tc>
        <w:tc>
          <w:tcPr>
            <w:tcW w:w="1701" w:type="dxa"/>
            <w:vAlign w:val="center"/>
          </w:tcPr>
          <w:p w14:paraId="272DB8BD" w14:textId="77777777" w:rsidR="009F7F8A" w:rsidRPr="00AC3044" w:rsidRDefault="009F7F8A" w:rsidP="009F7F8A">
            <w:pPr>
              <w:rPr>
                <w:rFonts w:eastAsia="SimSun"/>
              </w:rPr>
            </w:pPr>
            <w:r w:rsidRPr="00AC3044">
              <w:rPr>
                <w:rFonts w:eastAsia="SimSun"/>
              </w:rPr>
              <w:t>–</w:t>
            </w:r>
          </w:p>
        </w:tc>
        <w:tc>
          <w:tcPr>
            <w:tcW w:w="1418" w:type="dxa"/>
            <w:vAlign w:val="center"/>
          </w:tcPr>
          <w:p w14:paraId="2014DFC9" w14:textId="77777777" w:rsidR="009F7F8A" w:rsidRPr="00AC3044" w:rsidRDefault="009F7F8A" w:rsidP="009F7F8A">
            <w:pPr>
              <w:rPr>
                <w:rFonts w:eastAsia="SimSun"/>
              </w:rPr>
            </w:pPr>
            <w:r w:rsidRPr="00AC3044">
              <w:rPr>
                <w:rFonts w:eastAsia="SimSun"/>
              </w:rPr>
              <w:t xml:space="preserve">С -1 дня длительно </w:t>
            </w:r>
          </w:p>
        </w:tc>
        <w:tc>
          <w:tcPr>
            <w:tcW w:w="2268" w:type="dxa"/>
            <w:vAlign w:val="center"/>
          </w:tcPr>
          <w:p w14:paraId="5BD9F38A"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301E901E" w14:textId="77777777" w:rsidTr="009F7F8A">
        <w:trPr>
          <w:cantSplit/>
          <w:trHeight w:val="986"/>
        </w:trPr>
        <w:tc>
          <w:tcPr>
            <w:tcW w:w="959" w:type="dxa"/>
            <w:vMerge/>
            <w:textDirection w:val="btLr"/>
            <w:vAlign w:val="center"/>
          </w:tcPr>
          <w:p w14:paraId="4788CEBF" w14:textId="77777777" w:rsidR="009F7F8A" w:rsidRPr="00AC3044" w:rsidRDefault="009F7F8A" w:rsidP="009F7F8A">
            <w:pPr>
              <w:rPr>
                <w:rFonts w:eastAsia="SimSun"/>
              </w:rPr>
            </w:pPr>
          </w:p>
        </w:tc>
        <w:tc>
          <w:tcPr>
            <w:tcW w:w="1701" w:type="dxa"/>
            <w:vAlign w:val="center"/>
          </w:tcPr>
          <w:p w14:paraId="66704063"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7B630F58" w14:textId="77777777" w:rsidR="009F7F8A" w:rsidRPr="00AC3044" w:rsidRDefault="009F7F8A" w:rsidP="009F7F8A">
            <w:pPr>
              <w:rPr>
                <w:rFonts w:eastAsia="SimSun"/>
              </w:rPr>
            </w:pPr>
            <w:r w:rsidRPr="00AC3044">
              <w:rPr>
                <w:rFonts w:eastAsia="SimSun"/>
              </w:rPr>
              <w:t xml:space="preserve">30 мг/кг </w:t>
            </w:r>
          </w:p>
        </w:tc>
        <w:tc>
          <w:tcPr>
            <w:tcW w:w="1701" w:type="dxa"/>
            <w:vAlign w:val="center"/>
          </w:tcPr>
          <w:p w14:paraId="2250AD10" w14:textId="77777777" w:rsidR="009F7F8A" w:rsidRPr="00AC3044" w:rsidRDefault="009F7F8A" w:rsidP="009F7F8A">
            <w:pPr>
              <w:rPr>
                <w:rFonts w:eastAsia="SimSun"/>
              </w:rPr>
            </w:pPr>
            <w:r w:rsidRPr="00AC3044">
              <w:rPr>
                <w:rFonts w:eastAsia="SimSun"/>
              </w:rPr>
              <w:t>–</w:t>
            </w:r>
          </w:p>
        </w:tc>
        <w:tc>
          <w:tcPr>
            <w:tcW w:w="1418" w:type="dxa"/>
            <w:vAlign w:val="center"/>
          </w:tcPr>
          <w:p w14:paraId="0C0C0FAA" w14:textId="77777777" w:rsidR="009F7F8A" w:rsidRPr="00AC3044" w:rsidRDefault="009F7F8A" w:rsidP="009F7F8A">
            <w:pPr>
              <w:rPr>
                <w:rFonts w:eastAsia="SimSun"/>
              </w:rPr>
            </w:pPr>
            <w:r w:rsidRPr="00AC3044">
              <w:rPr>
                <w:rFonts w:eastAsia="SimSun"/>
              </w:rPr>
              <w:t xml:space="preserve">С -1 дня по +30 день </w:t>
            </w:r>
          </w:p>
        </w:tc>
        <w:tc>
          <w:tcPr>
            <w:tcW w:w="2268" w:type="dxa"/>
            <w:vAlign w:val="center"/>
          </w:tcPr>
          <w:p w14:paraId="45C19FDC"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1F8B9688" w14:textId="77777777" w:rsidR="009F7F8A" w:rsidRPr="00C07B2E" w:rsidRDefault="009F7F8A" w:rsidP="009F7F8A">
      <w:pPr>
        <w:rPr>
          <w:rFonts w:eastAsia="SimSun"/>
        </w:rPr>
        <w:sectPr w:rsidR="009F7F8A" w:rsidRPr="00C07B2E" w:rsidSect="009F7F8A">
          <w:footerReference w:type="default" r:id="rId12"/>
          <w:type w:val="continuous"/>
          <w:pgSz w:w="11907" w:h="16839" w:code="9"/>
          <w:pgMar w:top="1134" w:right="850" w:bottom="1134" w:left="1701" w:header="709" w:footer="567" w:gutter="0"/>
          <w:cols w:space="708"/>
          <w:docGrid w:linePitch="360"/>
        </w:sectPr>
      </w:pPr>
    </w:p>
    <w:p w14:paraId="491AABC2" w14:textId="77777777" w:rsidR="009F7F8A" w:rsidRDefault="009F7F8A" w:rsidP="009F7F8A">
      <w:pPr>
        <w:rPr>
          <w:rFonts w:eastAsia="SimSun"/>
        </w:rPr>
      </w:pPr>
      <w:bookmarkStart w:id="153" w:name="_Toc44401183"/>
    </w:p>
    <w:p w14:paraId="1F3C0ED7" w14:textId="77777777" w:rsidR="009F7F8A" w:rsidRPr="00470E23" w:rsidRDefault="009F7F8A" w:rsidP="009F7F8A">
      <w:pPr>
        <w:rPr>
          <w:rFonts w:eastAsia="SimSun"/>
          <w:i/>
          <w:u w:val="single"/>
        </w:rPr>
      </w:pPr>
      <w:r w:rsidRPr="00470E23">
        <w:rPr>
          <w:rFonts w:eastAsia="SimSun"/>
          <w:i/>
          <w:u w:val="single"/>
        </w:rPr>
        <w:t>2. Неродственный HLA-идентичный донор</w:t>
      </w:r>
      <w:bookmarkEnd w:id="153"/>
      <w:r w:rsidRPr="00470E23">
        <w:rPr>
          <w:rFonts w:eastAsia="SimSun"/>
          <w:i/>
          <w:u w:val="single"/>
        </w:rPr>
        <w:t xml:space="preserve"> </w:t>
      </w:r>
    </w:p>
    <w:p w14:paraId="5E120E05" w14:textId="77777777" w:rsidR="009F7F8A" w:rsidRDefault="009F7F8A" w:rsidP="009F7F8A">
      <w:pPr>
        <w:rPr>
          <w:rFonts w:eastAsia="SimSun"/>
        </w:rPr>
      </w:pPr>
      <w:bookmarkStart w:id="154" w:name="_Toc44401184"/>
    </w:p>
    <w:bookmarkEnd w:id="154"/>
    <w:p w14:paraId="75B0AD54" w14:textId="77777777" w:rsidR="009F7F8A" w:rsidRPr="00C07B2E" w:rsidRDefault="009F7F8A" w:rsidP="009F7F8A">
      <w:pPr>
        <w:rPr>
          <w:rFonts w:eastAsia="SimSun"/>
        </w:rPr>
      </w:pPr>
      <w:r w:rsidRPr="00C07B2E">
        <w:rPr>
          <w:rFonts w:eastAsia="SimSun"/>
        </w:rPr>
        <w:t xml:space="preserve">Схемы и режимы применения препаратов для </w:t>
      </w:r>
      <w:r w:rsidRPr="00470E23">
        <w:rPr>
          <w:rFonts w:eastAsia="SimSun"/>
          <w:b/>
          <w:u w:val="single"/>
        </w:rPr>
        <w:t>кондиционирования в миелоаблативном режиме</w:t>
      </w:r>
      <w:r w:rsidRPr="00C07B2E">
        <w:rPr>
          <w:rFonts w:eastAsia="SimSun"/>
        </w:rPr>
        <w:t xml:space="preserve"> и профилактики РТПХ указаны в Таблице </w:t>
      </w:r>
      <w:r>
        <w:rPr>
          <w:rFonts w:eastAsia="SimSun"/>
        </w:rPr>
        <w:t>5.</w:t>
      </w:r>
      <w:r w:rsidRPr="00C07B2E">
        <w:rPr>
          <w:rFonts w:eastAsia="SimSun"/>
        </w:rPr>
        <w:t>2.1</w:t>
      </w:r>
    </w:p>
    <w:p w14:paraId="15F675B7" w14:textId="77777777" w:rsidR="009F7F8A" w:rsidRPr="00C07B2E" w:rsidRDefault="009F7F8A" w:rsidP="009F7F8A">
      <w:pPr>
        <w:rPr>
          <w:rFonts w:eastAsia="SimSun"/>
        </w:rPr>
        <w:sectPr w:rsidR="009F7F8A" w:rsidRPr="00C07B2E" w:rsidSect="009F7F8A">
          <w:headerReference w:type="even" r:id="rId13"/>
          <w:type w:val="continuous"/>
          <w:pgSz w:w="11907" w:h="16839" w:code="9"/>
          <w:pgMar w:top="1134" w:right="850" w:bottom="1134" w:left="1701" w:header="709" w:footer="567" w:gutter="0"/>
          <w:cols w:space="708"/>
          <w:docGrid w:linePitch="360"/>
        </w:sectPr>
      </w:pPr>
    </w:p>
    <w:p w14:paraId="2B0EAD3F" w14:textId="77777777" w:rsidR="009F7F8A" w:rsidRPr="00C07B2E" w:rsidRDefault="009F7F8A" w:rsidP="009F7F8A">
      <w:pPr>
        <w:rPr>
          <w:rFonts w:eastAsia="SimSun"/>
        </w:rPr>
      </w:pPr>
      <w:r w:rsidRPr="00C07B2E">
        <w:rPr>
          <w:rFonts w:eastAsia="SimSun"/>
        </w:rPr>
        <w:lastRenderedPageBreak/>
        <w:t xml:space="preserve">Таблица </w:t>
      </w:r>
      <w:r>
        <w:rPr>
          <w:rFonts w:eastAsia="SimSun"/>
        </w:rPr>
        <w:t>5.</w:t>
      </w:r>
      <w:r w:rsidRPr="00C07B2E">
        <w:rPr>
          <w:rFonts w:eastAsia="SimSun"/>
        </w:rPr>
        <w:t xml:space="preserve">2.1 Схемы и режимы применения препаратов для кондиционирования и профилактики РТПХ со ссылками на </w:t>
      </w:r>
      <w:r>
        <w:rPr>
          <w:rFonts w:eastAsia="SimSun"/>
        </w:rPr>
        <w:t>таблицы с описанием</w:t>
      </w:r>
    </w:p>
    <w:p w14:paraId="6D191377" w14:textId="77777777" w:rsidR="009F7F8A" w:rsidRPr="00C07B2E" w:rsidRDefault="009F7F8A" w:rsidP="009F7F8A">
      <w:pPr>
        <w:rPr>
          <w:rFonts w:eastAsia="SimSun"/>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346"/>
        <w:gridCol w:w="1450"/>
        <w:gridCol w:w="2017"/>
        <w:gridCol w:w="2116"/>
        <w:gridCol w:w="1913"/>
        <w:gridCol w:w="2113"/>
        <w:gridCol w:w="1603"/>
      </w:tblGrid>
      <w:tr w:rsidR="009F7F8A" w:rsidRPr="00470E23" w14:paraId="7A35222D" w14:textId="77777777" w:rsidTr="009F7F8A">
        <w:trPr>
          <w:cantSplit/>
          <w:trHeight w:val="640"/>
        </w:trPr>
        <w:tc>
          <w:tcPr>
            <w:tcW w:w="2255" w:type="pct"/>
            <w:gridSpan w:val="4"/>
            <w:vMerge w:val="restart"/>
            <w:shd w:val="clear" w:color="auto" w:fill="auto"/>
            <w:vAlign w:val="center"/>
          </w:tcPr>
          <w:p w14:paraId="760CA44E" w14:textId="77777777" w:rsidR="009F7F8A" w:rsidRPr="00470E23" w:rsidRDefault="009F7F8A" w:rsidP="009F7F8A">
            <w:pPr>
              <w:rPr>
                <w:rFonts w:eastAsia="SimSun"/>
              </w:rPr>
            </w:pPr>
            <w:r w:rsidRPr="00470E23">
              <w:rPr>
                <w:rFonts w:eastAsia="SimSun"/>
              </w:rPr>
              <w:t>Профилактика РТПХ</w:t>
            </w:r>
          </w:p>
        </w:tc>
        <w:tc>
          <w:tcPr>
            <w:tcW w:w="2745" w:type="pct"/>
            <w:gridSpan w:val="4"/>
            <w:tcBorders>
              <w:left w:val="single" w:sz="4" w:space="0" w:color="00000A"/>
              <w:right w:val="single" w:sz="4" w:space="0" w:color="00000A"/>
            </w:tcBorders>
            <w:shd w:val="clear" w:color="auto" w:fill="auto"/>
          </w:tcPr>
          <w:p w14:paraId="5E0829B6" w14:textId="77777777" w:rsidR="009F7F8A" w:rsidRPr="00470E23" w:rsidRDefault="009F7F8A" w:rsidP="009F7F8A">
            <w:pPr>
              <w:rPr>
                <w:rFonts w:eastAsia="SimSun"/>
              </w:rPr>
            </w:pPr>
            <w:r w:rsidRPr="00470E23">
              <w:rPr>
                <w:rFonts w:eastAsia="SimSun"/>
              </w:rPr>
              <w:t>Режим кондиционирования</w:t>
            </w:r>
          </w:p>
        </w:tc>
      </w:tr>
      <w:tr w:rsidR="009F7F8A" w:rsidRPr="00470E23" w14:paraId="64C407A0" w14:textId="77777777" w:rsidTr="009F7F8A">
        <w:trPr>
          <w:cantSplit/>
          <w:trHeight w:val="549"/>
        </w:trPr>
        <w:tc>
          <w:tcPr>
            <w:tcW w:w="2255" w:type="pct"/>
            <w:gridSpan w:val="4"/>
            <w:vMerge/>
            <w:shd w:val="clear" w:color="auto" w:fill="auto"/>
            <w:vAlign w:val="center"/>
          </w:tcPr>
          <w:p w14:paraId="636D0A3D" w14:textId="77777777" w:rsidR="009F7F8A" w:rsidRPr="00470E23" w:rsidRDefault="009F7F8A" w:rsidP="009F7F8A">
            <w:pPr>
              <w:rPr>
                <w:rFonts w:eastAsia="SimSun"/>
              </w:rPr>
            </w:pPr>
          </w:p>
        </w:tc>
        <w:tc>
          <w:tcPr>
            <w:tcW w:w="750" w:type="pct"/>
            <w:shd w:val="clear" w:color="auto" w:fill="D9D9D9"/>
            <w:vAlign w:val="center"/>
          </w:tcPr>
          <w:p w14:paraId="692EA398" w14:textId="77777777" w:rsidR="009F7F8A" w:rsidRPr="00470E23" w:rsidRDefault="009F7F8A" w:rsidP="009F7F8A">
            <w:pPr>
              <w:rPr>
                <w:rFonts w:eastAsia="SimSun"/>
              </w:rPr>
            </w:pPr>
            <w:r w:rsidRPr="00470E23">
              <w:rPr>
                <w:rFonts w:eastAsia="SimSun"/>
              </w:rPr>
              <w:t>Cy120</w:t>
            </w:r>
          </w:p>
        </w:tc>
        <w:tc>
          <w:tcPr>
            <w:tcW w:w="1995" w:type="pct"/>
            <w:gridSpan w:val="3"/>
            <w:shd w:val="clear" w:color="auto" w:fill="D9D9D9"/>
            <w:vAlign w:val="center"/>
          </w:tcPr>
          <w:p w14:paraId="3D46EB77" w14:textId="77777777" w:rsidR="009F7F8A" w:rsidRPr="00470E23" w:rsidRDefault="009F7F8A" w:rsidP="009F7F8A">
            <w:pPr>
              <w:rPr>
                <w:rFonts w:eastAsia="SimSun"/>
              </w:rPr>
            </w:pPr>
            <w:r w:rsidRPr="00470E23">
              <w:rPr>
                <w:rFonts w:eastAsia="SimSun"/>
              </w:rPr>
              <w:t>Flu180</w:t>
            </w:r>
          </w:p>
        </w:tc>
      </w:tr>
      <w:tr w:rsidR="009F7F8A" w:rsidRPr="00470E23" w14:paraId="79554E80" w14:textId="77777777" w:rsidTr="009F7F8A">
        <w:trPr>
          <w:cantSplit/>
          <w:trHeight w:val="571"/>
        </w:trPr>
        <w:tc>
          <w:tcPr>
            <w:tcW w:w="2255" w:type="pct"/>
            <w:gridSpan w:val="4"/>
            <w:vMerge/>
            <w:shd w:val="clear" w:color="auto" w:fill="auto"/>
            <w:vAlign w:val="center"/>
          </w:tcPr>
          <w:p w14:paraId="4F656555" w14:textId="77777777" w:rsidR="009F7F8A" w:rsidRPr="00470E23" w:rsidRDefault="009F7F8A" w:rsidP="009F7F8A">
            <w:pPr>
              <w:rPr>
                <w:rFonts w:eastAsia="SimSun"/>
              </w:rPr>
            </w:pPr>
          </w:p>
        </w:tc>
        <w:tc>
          <w:tcPr>
            <w:tcW w:w="750" w:type="pct"/>
            <w:shd w:val="clear" w:color="auto" w:fill="D9D9D9"/>
            <w:vAlign w:val="center"/>
          </w:tcPr>
          <w:p w14:paraId="7FED5068" w14:textId="77777777" w:rsidR="009F7F8A" w:rsidRPr="00470E23" w:rsidRDefault="009F7F8A" w:rsidP="009F7F8A">
            <w:pPr>
              <w:rPr>
                <w:rFonts w:eastAsia="SimSun"/>
              </w:rPr>
            </w:pPr>
            <w:r w:rsidRPr="00470E23">
              <w:rPr>
                <w:rFonts w:eastAsia="SimSun"/>
              </w:rPr>
              <w:t>Bu12</w:t>
            </w:r>
          </w:p>
        </w:tc>
        <w:tc>
          <w:tcPr>
            <w:tcW w:w="678" w:type="pct"/>
            <w:shd w:val="clear" w:color="auto" w:fill="D9D9D9"/>
            <w:vAlign w:val="center"/>
          </w:tcPr>
          <w:p w14:paraId="4E32A083" w14:textId="77777777" w:rsidR="009F7F8A" w:rsidRPr="00470E23" w:rsidRDefault="009F7F8A" w:rsidP="009F7F8A">
            <w:pPr>
              <w:rPr>
                <w:rFonts w:eastAsia="SimSun"/>
              </w:rPr>
            </w:pPr>
            <w:r w:rsidRPr="00470E23">
              <w:rPr>
                <w:rFonts w:eastAsia="SimSun"/>
              </w:rPr>
              <w:t>Bu12</w:t>
            </w:r>
          </w:p>
        </w:tc>
        <w:tc>
          <w:tcPr>
            <w:tcW w:w="749" w:type="pct"/>
            <w:shd w:val="clear" w:color="auto" w:fill="D9D9D9"/>
            <w:vAlign w:val="center"/>
          </w:tcPr>
          <w:p w14:paraId="0744AFD0" w14:textId="77777777" w:rsidR="009F7F8A" w:rsidRPr="00470E23" w:rsidRDefault="009F7F8A" w:rsidP="009F7F8A">
            <w:pPr>
              <w:rPr>
                <w:rFonts w:eastAsia="SimSun"/>
              </w:rPr>
            </w:pPr>
            <w:r w:rsidRPr="00470E23">
              <w:rPr>
                <w:rFonts w:eastAsia="SimSun"/>
              </w:rPr>
              <w:t>Bu14</w:t>
            </w:r>
          </w:p>
        </w:tc>
        <w:tc>
          <w:tcPr>
            <w:tcW w:w="568" w:type="pct"/>
            <w:shd w:val="clear" w:color="auto" w:fill="D9D9D9"/>
            <w:vAlign w:val="center"/>
          </w:tcPr>
          <w:p w14:paraId="71197974" w14:textId="77777777" w:rsidR="009F7F8A" w:rsidRPr="00470E23" w:rsidRDefault="009F7F8A" w:rsidP="009F7F8A">
            <w:pPr>
              <w:rPr>
                <w:rFonts w:eastAsia="SimSun"/>
              </w:rPr>
            </w:pPr>
            <w:r w:rsidRPr="00470E23">
              <w:rPr>
                <w:rFonts w:eastAsia="SimSun"/>
              </w:rPr>
              <w:t>Treo42</w:t>
            </w:r>
          </w:p>
        </w:tc>
      </w:tr>
      <w:tr w:rsidR="009F7F8A" w:rsidRPr="00470E23" w14:paraId="704E97E3" w14:textId="77777777" w:rsidTr="009F7F8A">
        <w:trPr>
          <w:cantSplit/>
          <w:trHeight w:val="551"/>
        </w:trPr>
        <w:tc>
          <w:tcPr>
            <w:tcW w:w="2255" w:type="pct"/>
            <w:gridSpan w:val="4"/>
            <w:vMerge/>
            <w:shd w:val="clear" w:color="auto" w:fill="auto"/>
            <w:vAlign w:val="center"/>
          </w:tcPr>
          <w:p w14:paraId="58B16BFA" w14:textId="77777777" w:rsidR="009F7F8A" w:rsidRPr="00470E23" w:rsidRDefault="009F7F8A" w:rsidP="009F7F8A">
            <w:pPr>
              <w:rPr>
                <w:rFonts w:eastAsia="SimSun"/>
              </w:rPr>
            </w:pPr>
          </w:p>
        </w:tc>
        <w:tc>
          <w:tcPr>
            <w:tcW w:w="750" w:type="pct"/>
            <w:shd w:val="clear" w:color="auto" w:fill="D9D9D9"/>
            <w:vAlign w:val="center"/>
          </w:tcPr>
          <w:p w14:paraId="298829D1" w14:textId="77777777" w:rsidR="009F7F8A" w:rsidRPr="00470E23" w:rsidRDefault="009F7F8A" w:rsidP="009F7F8A">
            <w:pPr>
              <w:rPr>
                <w:rFonts w:eastAsia="SimSun"/>
              </w:rPr>
            </w:pPr>
            <w:r w:rsidRPr="00470E23">
              <w:rPr>
                <w:rFonts w:eastAsia="SimSun"/>
              </w:rPr>
              <w:t>-</w:t>
            </w:r>
          </w:p>
        </w:tc>
        <w:tc>
          <w:tcPr>
            <w:tcW w:w="678" w:type="pct"/>
            <w:shd w:val="clear" w:color="auto" w:fill="D9D9D9"/>
            <w:vAlign w:val="center"/>
          </w:tcPr>
          <w:p w14:paraId="67B90227" w14:textId="77777777" w:rsidR="009F7F8A" w:rsidRPr="00470E23" w:rsidRDefault="009F7F8A" w:rsidP="009F7F8A">
            <w:pPr>
              <w:rPr>
                <w:rFonts w:eastAsia="SimSun"/>
              </w:rPr>
            </w:pPr>
            <w:r w:rsidRPr="00470E23">
              <w:rPr>
                <w:rFonts w:eastAsia="SimSun"/>
              </w:rPr>
              <w:t>-</w:t>
            </w:r>
          </w:p>
        </w:tc>
        <w:tc>
          <w:tcPr>
            <w:tcW w:w="749" w:type="pct"/>
            <w:shd w:val="clear" w:color="auto" w:fill="D9D9D9"/>
            <w:vAlign w:val="center"/>
          </w:tcPr>
          <w:p w14:paraId="3F947A18" w14:textId="77777777" w:rsidR="009F7F8A" w:rsidRPr="00470E23" w:rsidRDefault="009F7F8A" w:rsidP="009F7F8A">
            <w:pPr>
              <w:rPr>
                <w:rFonts w:eastAsia="SimSun"/>
              </w:rPr>
            </w:pPr>
            <w:r w:rsidRPr="00470E23">
              <w:rPr>
                <w:rFonts w:eastAsia="SimSun"/>
              </w:rPr>
              <w:t>-</w:t>
            </w:r>
          </w:p>
        </w:tc>
        <w:tc>
          <w:tcPr>
            <w:tcW w:w="568" w:type="pct"/>
            <w:shd w:val="clear" w:color="auto" w:fill="D9D9D9"/>
            <w:vAlign w:val="center"/>
          </w:tcPr>
          <w:p w14:paraId="3E1CC216" w14:textId="77777777" w:rsidR="009F7F8A" w:rsidRPr="00470E23" w:rsidRDefault="009F7F8A" w:rsidP="009F7F8A">
            <w:pPr>
              <w:rPr>
                <w:rFonts w:eastAsia="SimSun"/>
              </w:rPr>
            </w:pPr>
            <w:r w:rsidRPr="00470E23">
              <w:rPr>
                <w:rFonts w:eastAsia="SimSun"/>
              </w:rPr>
              <w:t>-</w:t>
            </w:r>
          </w:p>
        </w:tc>
      </w:tr>
      <w:tr w:rsidR="009F7F8A" w:rsidRPr="00470E23" w14:paraId="054D2D4A" w14:textId="77777777" w:rsidTr="009F7F8A">
        <w:trPr>
          <w:cantSplit/>
          <w:trHeight w:val="850"/>
        </w:trPr>
        <w:tc>
          <w:tcPr>
            <w:tcW w:w="549" w:type="pct"/>
            <w:tcBorders>
              <w:bottom w:val="single" w:sz="4" w:space="0" w:color="00000A"/>
            </w:tcBorders>
            <w:shd w:val="clear" w:color="auto" w:fill="D9D9D9"/>
            <w:vAlign w:val="center"/>
          </w:tcPr>
          <w:p w14:paraId="1225CDC3" w14:textId="77777777" w:rsidR="009F7F8A" w:rsidRPr="00470E23" w:rsidRDefault="009F7F8A" w:rsidP="009F7F8A">
            <w:pPr>
              <w:rPr>
                <w:rFonts w:eastAsia="SimSun"/>
              </w:rPr>
            </w:pPr>
            <w:r w:rsidRPr="00470E23">
              <w:rPr>
                <w:rFonts w:eastAsia="SimSun"/>
              </w:rPr>
              <w:t>hATG</w:t>
            </w:r>
          </w:p>
        </w:tc>
        <w:tc>
          <w:tcPr>
            <w:tcW w:w="477" w:type="pct"/>
            <w:shd w:val="clear" w:color="auto" w:fill="D9D9D9"/>
            <w:vAlign w:val="center"/>
          </w:tcPr>
          <w:p w14:paraId="4F5373B4" w14:textId="77777777" w:rsidR="009F7F8A" w:rsidRPr="00470E23" w:rsidRDefault="009F7F8A" w:rsidP="009F7F8A">
            <w:pPr>
              <w:rPr>
                <w:rFonts w:eastAsia="SimSun"/>
              </w:rPr>
            </w:pPr>
            <w:r w:rsidRPr="00470E23">
              <w:rPr>
                <w:rFonts w:eastAsia="SimSun"/>
              </w:rPr>
              <w:t>CSA</w:t>
            </w:r>
          </w:p>
        </w:tc>
        <w:tc>
          <w:tcPr>
            <w:tcW w:w="514" w:type="pct"/>
            <w:shd w:val="clear" w:color="auto" w:fill="D9D9D9"/>
            <w:vAlign w:val="center"/>
          </w:tcPr>
          <w:p w14:paraId="4F8A8D44" w14:textId="77777777" w:rsidR="009F7F8A" w:rsidRPr="00470E23" w:rsidRDefault="009F7F8A" w:rsidP="009F7F8A">
            <w:pPr>
              <w:rPr>
                <w:rFonts w:eastAsia="SimSun"/>
              </w:rPr>
            </w:pPr>
            <w:r w:rsidRPr="00470E23">
              <w:rPr>
                <w:rFonts w:eastAsia="SimSun"/>
              </w:rPr>
              <w:t>MTX</w:t>
            </w:r>
          </w:p>
        </w:tc>
        <w:tc>
          <w:tcPr>
            <w:tcW w:w="715" w:type="pct"/>
            <w:shd w:val="clear" w:color="auto" w:fill="D9D9D9"/>
            <w:vAlign w:val="center"/>
          </w:tcPr>
          <w:p w14:paraId="115A517B" w14:textId="77777777" w:rsidR="009F7F8A" w:rsidRPr="00470E23" w:rsidRDefault="009F7F8A" w:rsidP="009F7F8A">
            <w:pPr>
              <w:rPr>
                <w:rFonts w:eastAsia="SimSun"/>
              </w:rPr>
            </w:pPr>
            <w:r w:rsidRPr="00470E23">
              <w:rPr>
                <w:rFonts w:eastAsia="SimSun"/>
              </w:rPr>
              <w:t>MMF45</w:t>
            </w:r>
          </w:p>
        </w:tc>
        <w:tc>
          <w:tcPr>
            <w:tcW w:w="750" w:type="pct"/>
            <w:shd w:val="clear" w:color="auto" w:fill="auto"/>
            <w:vAlign w:val="center"/>
          </w:tcPr>
          <w:p w14:paraId="50F4A51D" w14:textId="77777777" w:rsidR="009F7F8A" w:rsidRPr="00470E23" w:rsidRDefault="009F7F8A" w:rsidP="009F7F8A">
            <w:pPr>
              <w:rPr>
                <w:rFonts w:eastAsia="SimSun"/>
              </w:rPr>
            </w:pPr>
            <w:r w:rsidRPr="00470E23">
              <w:rPr>
                <w:rFonts w:eastAsia="SimSun"/>
              </w:rPr>
              <w:t>5.2.1.1</w:t>
            </w:r>
          </w:p>
        </w:tc>
        <w:tc>
          <w:tcPr>
            <w:tcW w:w="678" w:type="pct"/>
            <w:shd w:val="clear" w:color="auto" w:fill="auto"/>
            <w:vAlign w:val="center"/>
          </w:tcPr>
          <w:p w14:paraId="546F23AC" w14:textId="77777777" w:rsidR="009F7F8A" w:rsidRPr="00470E23" w:rsidRDefault="009F7F8A" w:rsidP="009F7F8A">
            <w:pPr>
              <w:rPr>
                <w:rFonts w:eastAsia="SimSun"/>
              </w:rPr>
            </w:pPr>
            <w:r w:rsidRPr="00470E23">
              <w:rPr>
                <w:rFonts w:eastAsia="SimSun"/>
              </w:rPr>
              <w:t>-</w:t>
            </w:r>
          </w:p>
        </w:tc>
        <w:tc>
          <w:tcPr>
            <w:tcW w:w="749" w:type="pct"/>
            <w:shd w:val="clear" w:color="auto" w:fill="auto"/>
            <w:vAlign w:val="center"/>
          </w:tcPr>
          <w:p w14:paraId="46B86B08" w14:textId="77777777" w:rsidR="009F7F8A" w:rsidRPr="00470E23" w:rsidRDefault="009F7F8A" w:rsidP="009F7F8A">
            <w:pPr>
              <w:rPr>
                <w:rFonts w:eastAsia="SimSun"/>
              </w:rPr>
            </w:pPr>
            <w:r w:rsidRPr="00470E23">
              <w:rPr>
                <w:rFonts w:eastAsia="SimSun"/>
              </w:rPr>
              <w:t>-</w:t>
            </w:r>
          </w:p>
        </w:tc>
        <w:tc>
          <w:tcPr>
            <w:tcW w:w="568" w:type="pct"/>
            <w:shd w:val="clear" w:color="auto" w:fill="auto"/>
            <w:vAlign w:val="center"/>
          </w:tcPr>
          <w:p w14:paraId="2BEEDAD0" w14:textId="77777777" w:rsidR="009F7F8A" w:rsidRPr="00470E23" w:rsidRDefault="009F7F8A" w:rsidP="009F7F8A">
            <w:pPr>
              <w:rPr>
                <w:rFonts w:eastAsia="SimSun"/>
              </w:rPr>
            </w:pPr>
            <w:r w:rsidRPr="00470E23">
              <w:rPr>
                <w:rFonts w:eastAsia="SimSun"/>
              </w:rPr>
              <w:t>-</w:t>
            </w:r>
          </w:p>
        </w:tc>
      </w:tr>
      <w:tr w:rsidR="009F7F8A" w:rsidRPr="00470E23" w14:paraId="08A5361A" w14:textId="77777777" w:rsidTr="009F7F8A">
        <w:trPr>
          <w:cantSplit/>
          <w:trHeight w:val="850"/>
        </w:trPr>
        <w:tc>
          <w:tcPr>
            <w:tcW w:w="549" w:type="pct"/>
            <w:tcBorders>
              <w:top w:val="single" w:sz="4" w:space="0" w:color="00000A"/>
              <w:bottom w:val="single" w:sz="4" w:space="0" w:color="00000A"/>
            </w:tcBorders>
            <w:shd w:val="clear" w:color="auto" w:fill="D9D9D9"/>
            <w:vAlign w:val="center"/>
          </w:tcPr>
          <w:p w14:paraId="7CCF2D8C" w14:textId="77777777" w:rsidR="009F7F8A" w:rsidRPr="00470E23" w:rsidRDefault="009F7F8A" w:rsidP="009F7F8A">
            <w:pPr>
              <w:rPr>
                <w:rFonts w:eastAsia="SimSun"/>
              </w:rPr>
            </w:pPr>
            <w:r w:rsidRPr="00470E23">
              <w:rPr>
                <w:rFonts w:eastAsia="SimSun"/>
              </w:rPr>
              <w:t>rATG</w:t>
            </w:r>
          </w:p>
        </w:tc>
        <w:tc>
          <w:tcPr>
            <w:tcW w:w="477" w:type="pct"/>
            <w:shd w:val="clear" w:color="auto" w:fill="D9D9D9"/>
            <w:vAlign w:val="center"/>
          </w:tcPr>
          <w:p w14:paraId="33134082" w14:textId="77777777" w:rsidR="009F7F8A" w:rsidRPr="00470E23" w:rsidRDefault="009F7F8A" w:rsidP="009F7F8A">
            <w:pPr>
              <w:rPr>
                <w:rFonts w:eastAsia="SimSun"/>
              </w:rPr>
            </w:pPr>
            <w:r w:rsidRPr="00470E23">
              <w:rPr>
                <w:rFonts w:eastAsia="SimSun"/>
              </w:rPr>
              <w:t>CSA</w:t>
            </w:r>
          </w:p>
        </w:tc>
        <w:tc>
          <w:tcPr>
            <w:tcW w:w="514" w:type="pct"/>
            <w:shd w:val="clear" w:color="auto" w:fill="D9D9D9"/>
            <w:vAlign w:val="center"/>
          </w:tcPr>
          <w:p w14:paraId="049E7D64" w14:textId="77777777" w:rsidR="009F7F8A" w:rsidRPr="00470E23" w:rsidRDefault="009F7F8A" w:rsidP="009F7F8A">
            <w:pPr>
              <w:rPr>
                <w:rFonts w:eastAsia="SimSun"/>
              </w:rPr>
            </w:pPr>
            <w:r w:rsidRPr="00470E23">
              <w:rPr>
                <w:rFonts w:eastAsia="SimSun"/>
              </w:rPr>
              <w:t>MTX</w:t>
            </w:r>
          </w:p>
        </w:tc>
        <w:tc>
          <w:tcPr>
            <w:tcW w:w="715" w:type="pct"/>
            <w:shd w:val="clear" w:color="auto" w:fill="D9D9D9"/>
            <w:vAlign w:val="center"/>
          </w:tcPr>
          <w:p w14:paraId="4F3D27B7" w14:textId="77777777" w:rsidR="009F7F8A" w:rsidRPr="00470E23" w:rsidRDefault="009F7F8A" w:rsidP="009F7F8A">
            <w:pPr>
              <w:rPr>
                <w:rFonts w:eastAsia="SimSun"/>
              </w:rPr>
            </w:pPr>
            <w:r w:rsidRPr="00470E23">
              <w:rPr>
                <w:rFonts w:eastAsia="SimSun"/>
              </w:rPr>
              <w:t>MMF45</w:t>
            </w:r>
          </w:p>
        </w:tc>
        <w:tc>
          <w:tcPr>
            <w:tcW w:w="750" w:type="pct"/>
            <w:shd w:val="clear" w:color="auto" w:fill="auto"/>
            <w:vAlign w:val="center"/>
          </w:tcPr>
          <w:p w14:paraId="78296EC5" w14:textId="77777777" w:rsidR="009F7F8A" w:rsidRPr="00470E23" w:rsidRDefault="009F7F8A" w:rsidP="009F7F8A">
            <w:pPr>
              <w:rPr>
                <w:rFonts w:eastAsia="SimSun"/>
              </w:rPr>
            </w:pPr>
            <w:r w:rsidRPr="00470E23">
              <w:rPr>
                <w:rFonts w:eastAsia="SimSun"/>
              </w:rPr>
              <w:t>5.2.1.2</w:t>
            </w:r>
          </w:p>
        </w:tc>
        <w:tc>
          <w:tcPr>
            <w:tcW w:w="678" w:type="pct"/>
            <w:shd w:val="clear" w:color="auto" w:fill="auto"/>
            <w:vAlign w:val="center"/>
          </w:tcPr>
          <w:p w14:paraId="688B6CDB" w14:textId="77777777" w:rsidR="009F7F8A" w:rsidRPr="00470E23" w:rsidRDefault="009F7F8A" w:rsidP="009F7F8A">
            <w:pPr>
              <w:rPr>
                <w:rFonts w:eastAsia="SimSun"/>
              </w:rPr>
            </w:pPr>
            <w:r w:rsidRPr="00470E23">
              <w:rPr>
                <w:rFonts w:eastAsia="SimSun"/>
              </w:rPr>
              <w:t>-</w:t>
            </w:r>
          </w:p>
        </w:tc>
        <w:tc>
          <w:tcPr>
            <w:tcW w:w="749" w:type="pct"/>
            <w:shd w:val="clear" w:color="auto" w:fill="auto"/>
            <w:vAlign w:val="center"/>
          </w:tcPr>
          <w:p w14:paraId="47DBFFF9" w14:textId="77777777" w:rsidR="009F7F8A" w:rsidRPr="00470E23" w:rsidRDefault="009F7F8A" w:rsidP="009F7F8A">
            <w:pPr>
              <w:rPr>
                <w:rFonts w:eastAsia="SimSun"/>
              </w:rPr>
            </w:pPr>
            <w:r w:rsidRPr="00470E23">
              <w:rPr>
                <w:rFonts w:eastAsia="SimSun"/>
              </w:rPr>
              <w:t>-</w:t>
            </w:r>
          </w:p>
        </w:tc>
        <w:tc>
          <w:tcPr>
            <w:tcW w:w="568" w:type="pct"/>
            <w:shd w:val="clear" w:color="auto" w:fill="auto"/>
            <w:vAlign w:val="center"/>
          </w:tcPr>
          <w:p w14:paraId="5DF7DB4E" w14:textId="77777777" w:rsidR="009F7F8A" w:rsidRPr="00470E23" w:rsidRDefault="009F7F8A" w:rsidP="009F7F8A">
            <w:pPr>
              <w:rPr>
                <w:rFonts w:eastAsia="SimSun"/>
              </w:rPr>
            </w:pPr>
            <w:r w:rsidRPr="00470E23">
              <w:rPr>
                <w:rFonts w:eastAsia="SimSun"/>
              </w:rPr>
              <w:t>-</w:t>
            </w:r>
          </w:p>
        </w:tc>
      </w:tr>
      <w:tr w:rsidR="009F7F8A" w:rsidRPr="00470E23" w14:paraId="4E8E20FA" w14:textId="77777777" w:rsidTr="009F7F8A">
        <w:trPr>
          <w:cantSplit/>
          <w:trHeight w:val="850"/>
        </w:trPr>
        <w:tc>
          <w:tcPr>
            <w:tcW w:w="549" w:type="pct"/>
            <w:vMerge w:val="restart"/>
            <w:shd w:val="clear" w:color="auto" w:fill="D9D9D9"/>
            <w:vAlign w:val="center"/>
          </w:tcPr>
          <w:p w14:paraId="4519331A" w14:textId="77777777" w:rsidR="009F7F8A" w:rsidRPr="00470E23" w:rsidRDefault="009F7F8A" w:rsidP="009F7F8A">
            <w:pPr>
              <w:rPr>
                <w:rFonts w:eastAsia="SimSun"/>
              </w:rPr>
            </w:pPr>
            <w:r w:rsidRPr="00470E23">
              <w:rPr>
                <w:rFonts w:eastAsia="SimSun"/>
              </w:rPr>
              <w:t>PT-Cy</w:t>
            </w:r>
          </w:p>
          <w:p w14:paraId="72CA3400" w14:textId="77777777" w:rsidR="009F7F8A" w:rsidRPr="00470E23" w:rsidRDefault="009F7F8A" w:rsidP="009F7F8A">
            <w:pPr>
              <w:rPr>
                <w:rFonts w:eastAsia="SimSun"/>
              </w:rPr>
            </w:pPr>
          </w:p>
        </w:tc>
        <w:tc>
          <w:tcPr>
            <w:tcW w:w="477" w:type="pct"/>
            <w:shd w:val="clear" w:color="auto" w:fill="D9D9D9"/>
            <w:vAlign w:val="center"/>
          </w:tcPr>
          <w:p w14:paraId="5239CFBF" w14:textId="77777777" w:rsidR="009F7F8A" w:rsidRPr="00470E23" w:rsidRDefault="009F7F8A" w:rsidP="009F7F8A">
            <w:pPr>
              <w:rPr>
                <w:rFonts w:eastAsia="SimSun"/>
              </w:rPr>
            </w:pPr>
            <w:r w:rsidRPr="00470E23">
              <w:rPr>
                <w:rFonts w:eastAsia="SimSun"/>
              </w:rPr>
              <w:t>-</w:t>
            </w:r>
          </w:p>
        </w:tc>
        <w:tc>
          <w:tcPr>
            <w:tcW w:w="514" w:type="pct"/>
            <w:shd w:val="clear" w:color="auto" w:fill="D9D9D9"/>
            <w:vAlign w:val="center"/>
          </w:tcPr>
          <w:p w14:paraId="0EE3B406" w14:textId="77777777" w:rsidR="009F7F8A" w:rsidRPr="00470E23" w:rsidRDefault="009F7F8A" w:rsidP="009F7F8A">
            <w:pPr>
              <w:rPr>
                <w:rFonts w:eastAsia="SimSun"/>
              </w:rPr>
            </w:pPr>
            <w:r w:rsidRPr="00470E23">
              <w:rPr>
                <w:rFonts w:eastAsia="SimSun"/>
              </w:rPr>
              <w:t>-</w:t>
            </w:r>
          </w:p>
        </w:tc>
        <w:tc>
          <w:tcPr>
            <w:tcW w:w="715" w:type="pct"/>
            <w:shd w:val="clear" w:color="auto" w:fill="D9D9D9"/>
            <w:vAlign w:val="center"/>
          </w:tcPr>
          <w:p w14:paraId="507DF14B" w14:textId="77777777" w:rsidR="009F7F8A" w:rsidRPr="00470E23" w:rsidRDefault="009F7F8A" w:rsidP="009F7F8A">
            <w:pPr>
              <w:rPr>
                <w:rFonts w:eastAsia="SimSun"/>
              </w:rPr>
            </w:pPr>
            <w:r w:rsidRPr="00470E23">
              <w:rPr>
                <w:rFonts w:eastAsia="SimSun"/>
              </w:rPr>
              <w:t>-</w:t>
            </w:r>
          </w:p>
        </w:tc>
        <w:tc>
          <w:tcPr>
            <w:tcW w:w="750" w:type="pct"/>
            <w:shd w:val="clear" w:color="auto" w:fill="auto"/>
            <w:vAlign w:val="center"/>
          </w:tcPr>
          <w:p w14:paraId="0A9E9D0C" w14:textId="77777777" w:rsidR="009F7F8A" w:rsidRPr="00470E23" w:rsidRDefault="009F7F8A" w:rsidP="009F7F8A">
            <w:pPr>
              <w:rPr>
                <w:rFonts w:eastAsia="SimSun"/>
              </w:rPr>
            </w:pPr>
            <w:r w:rsidRPr="00470E23">
              <w:rPr>
                <w:rFonts w:eastAsia="SimSun"/>
              </w:rPr>
              <w:t>-</w:t>
            </w:r>
          </w:p>
        </w:tc>
        <w:tc>
          <w:tcPr>
            <w:tcW w:w="678" w:type="pct"/>
            <w:shd w:val="clear" w:color="auto" w:fill="auto"/>
            <w:vAlign w:val="center"/>
          </w:tcPr>
          <w:p w14:paraId="01FB7DD3" w14:textId="77777777" w:rsidR="009F7F8A" w:rsidRPr="00470E23" w:rsidRDefault="009F7F8A" w:rsidP="009F7F8A">
            <w:pPr>
              <w:rPr>
                <w:rFonts w:eastAsia="SimSun"/>
              </w:rPr>
            </w:pPr>
            <w:r w:rsidRPr="00470E23">
              <w:rPr>
                <w:rFonts w:eastAsia="SimSun"/>
              </w:rPr>
              <w:t>5.2.1.3</w:t>
            </w:r>
          </w:p>
        </w:tc>
        <w:tc>
          <w:tcPr>
            <w:tcW w:w="749" w:type="pct"/>
            <w:shd w:val="clear" w:color="auto" w:fill="auto"/>
            <w:vAlign w:val="center"/>
          </w:tcPr>
          <w:p w14:paraId="2816BE6D" w14:textId="77777777" w:rsidR="009F7F8A" w:rsidRPr="00470E23" w:rsidRDefault="009F7F8A" w:rsidP="009F7F8A">
            <w:pPr>
              <w:rPr>
                <w:rFonts w:eastAsia="SimSun"/>
              </w:rPr>
            </w:pPr>
            <w:r w:rsidRPr="00470E23">
              <w:rPr>
                <w:rFonts w:eastAsia="SimSun"/>
              </w:rPr>
              <w:t>5.2.1.7</w:t>
            </w:r>
          </w:p>
        </w:tc>
        <w:tc>
          <w:tcPr>
            <w:tcW w:w="568" w:type="pct"/>
            <w:shd w:val="clear" w:color="auto" w:fill="auto"/>
            <w:vAlign w:val="center"/>
          </w:tcPr>
          <w:p w14:paraId="0B942CFA" w14:textId="77777777" w:rsidR="009F7F8A" w:rsidRPr="00470E23" w:rsidRDefault="009F7F8A" w:rsidP="009F7F8A">
            <w:pPr>
              <w:rPr>
                <w:rFonts w:eastAsia="SimSun"/>
              </w:rPr>
            </w:pPr>
            <w:r w:rsidRPr="00470E23">
              <w:rPr>
                <w:rFonts w:eastAsia="SimSun"/>
              </w:rPr>
              <w:t>-</w:t>
            </w:r>
          </w:p>
        </w:tc>
      </w:tr>
      <w:tr w:rsidR="009F7F8A" w:rsidRPr="00470E23" w14:paraId="304234BA" w14:textId="77777777" w:rsidTr="009F7F8A">
        <w:trPr>
          <w:cantSplit/>
          <w:trHeight w:val="850"/>
        </w:trPr>
        <w:tc>
          <w:tcPr>
            <w:tcW w:w="549" w:type="pct"/>
            <w:vMerge/>
            <w:shd w:val="clear" w:color="auto" w:fill="D9D9D9"/>
            <w:vAlign w:val="center"/>
          </w:tcPr>
          <w:p w14:paraId="3D93EC77" w14:textId="77777777" w:rsidR="009F7F8A" w:rsidRPr="00470E23" w:rsidRDefault="009F7F8A" w:rsidP="009F7F8A">
            <w:pPr>
              <w:rPr>
                <w:rFonts w:eastAsia="SimSun"/>
              </w:rPr>
            </w:pPr>
          </w:p>
        </w:tc>
        <w:tc>
          <w:tcPr>
            <w:tcW w:w="477" w:type="pct"/>
            <w:tcBorders>
              <w:bottom w:val="single" w:sz="4" w:space="0" w:color="00000A"/>
            </w:tcBorders>
            <w:shd w:val="clear" w:color="auto" w:fill="D9D9D9"/>
            <w:vAlign w:val="center"/>
          </w:tcPr>
          <w:p w14:paraId="6EE35C4E" w14:textId="77777777" w:rsidR="009F7F8A" w:rsidRPr="00470E23" w:rsidRDefault="009F7F8A" w:rsidP="009F7F8A">
            <w:pPr>
              <w:rPr>
                <w:rFonts w:eastAsia="SimSun"/>
              </w:rPr>
            </w:pPr>
            <w:r w:rsidRPr="00470E23">
              <w:rPr>
                <w:rFonts w:eastAsia="SimSun"/>
              </w:rPr>
              <w:t>CSA</w:t>
            </w:r>
          </w:p>
          <w:p w14:paraId="23591CB1" w14:textId="77777777" w:rsidR="009F7F8A" w:rsidRPr="00470E23" w:rsidRDefault="009F7F8A" w:rsidP="009F7F8A">
            <w:pPr>
              <w:rPr>
                <w:rFonts w:eastAsia="SimSun"/>
              </w:rPr>
            </w:pPr>
          </w:p>
        </w:tc>
        <w:tc>
          <w:tcPr>
            <w:tcW w:w="514" w:type="pct"/>
            <w:shd w:val="clear" w:color="auto" w:fill="D9D9D9"/>
            <w:vAlign w:val="center"/>
          </w:tcPr>
          <w:p w14:paraId="2CAE6B9F" w14:textId="77777777" w:rsidR="009F7F8A" w:rsidRPr="00470E23" w:rsidRDefault="009F7F8A" w:rsidP="009F7F8A">
            <w:pPr>
              <w:rPr>
                <w:rFonts w:eastAsia="SimSun"/>
              </w:rPr>
            </w:pPr>
            <w:r w:rsidRPr="00470E23">
              <w:rPr>
                <w:rFonts w:eastAsia="SimSun"/>
              </w:rPr>
              <w:t>-</w:t>
            </w:r>
          </w:p>
        </w:tc>
        <w:tc>
          <w:tcPr>
            <w:tcW w:w="715" w:type="pct"/>
            <w:shd w:val="clear" w:color="auto" w:fill="D9D9D9"/>
            <w:vAlign w:val="center"/>
          </w:tcPr>
          <w:p w14:paraId="3A638AE1" w14:textId="77777777" w:rsidR="009F7F8A" w:rsidRPr="00470E23" w:rsidRDefault="009F7F8A" w:rsidP="009F7F8A">
            <w:pPr>
              <w:rPr>
                <w:rFonts w:eastAsia="SimSun"/>
              </w:rPr>
            </w:pPr>
            <w:r w:rsidRPr="00470E23">
              <w:rPr>
                <w:rFonts w:eastAsia="SimSun"/>
              </w:rPr>
              <w:t>MMF30</w:t>
            </w:r>
          </w:p>
        </w:tc>
        <w:tc>
          <w:tcPr>
            <w:tcW w:w="750" w:type="pct"/>
            <w:shd w:val="clear" w:color="auto" w:fill="auto"/>
            <w:vAlign w:val="center"/>
          </w:tcPr>
          <w:p w14:paraId="17D3A498" w14:textId="77777777" w:rsidR="009F7F8A" w:rsidRPr="00470E23" w:rsidRDefault="009F7F8A" w:rsidP="009F7F8A">
            <w:pPr>
              <w:rPr>
                <w:rFonts w:eastAsia="SimSun"/>
              </w:rPr>
            </w:pPr>
            <w:r w:rsidRPr="00470E23">
              <w:rPr>
                <w:rFonts w:eastAsia="SimSun"/>
              </w:rPr>
              <w:t>-</w:t>
            </w:r>
          </w:p>
        </w:tc>
        <w:tc>
          <w:tcPr>
            <w:tcW w:w="678" w:type="pct"/>
            <w:shd w:val="clear" w:color="auto" w:fill="auto"/>
            <w:vAlign w:val="center"/>
          </w:tcPr>
          <w:p w14:paraId="2D5E204E" w14:textId="77777777" w:rsidR="009F7F8A" w:rsidRPr="00470E23" w:rsidRDefault="009F7F8A" w:rsidP="009F7F8A">
            <w:pPr>
              <w:rPr>
                <w:rFonts w:eastAsia="SimSun"/>
              </w:rPr>
            </w:pPr>
            <w:r w:rsidRPr="00470E23">
              <w:rPr>
                <w:rFonts w:eastAsia="SimSun"/>
              </w:rPr>
              <w:t>5.2.1.5</w:t>
            </w:r>
          </w:p>
        </w:tc>
        <w:tc>
          <w:tcPr>
            <w:tcW w:w="749" w:type="pct"/>
            <w:shd w:val="clear" w:color="auto" w:fill="auto"/>
            <w:vAlign w:val="center"/>
          </w:tcPr>
          <w:p w14:paraId="0F0A15F3" w14:textId="77777777" w:rsidR="009F7F8A" w:rsidRPr="00470E23" w:rsidRDefault="009F7F8A" w:rsidP="009F7F8A">
            <w:pPr>
              <w:rPr>
                <w:rFonts w:eastAsia="SimSun"/>
              </w:rPr>
            </w:pPr>
            <w:r w:rsidRPr="00470E23">
              <w:rPr>
                <w:rFonts w:eastAsia="SimSun"/>
              </w:rPr>
              <w:t>5.2.1.9</w:t>
            </w:r>
          </w:p>
        </w:tc>
        <w:tc>
          <w:tcPr>
            <w:tcW w:w="568" w:type="pct"/>
            <w:shd w:val="clear" w:color="auto" w:fill="auto"/>
            <w:vAlign w:val="center"/>
          </w:tcPr>
          <w:p w14:paraId="10F8B4F1" w14:textId="77777777" w:rsidR="009F7F8A" w:rsidRPr="00470E23" w:rsidRDefault="009F7F8A" w:rsidP="009F7F8A">
            <w:pPr>
              <w:rPr>
                <w:rFonts w:eastAsia="SimSun"/>
              </w:rPr>
            </w:pPr>
            <w:r w:rsidRPr="00470E23">
              <w:rPr>
                <w:rFonts w:eastAsia="SimSun"/>
              </w:rPr>
              <w:t>-</w:t>
            </w:r>
          </w:p>
        </w:tc>
      </w:tr>
      <w:tr w:rsidR="009F7F8A" w:rsidRPr="00470E23" w14:paraId="1520EF59" w14:textId="77777777" w:rsidTr="009F7F8A">
        <w:trPr>
          <w:cantSplit/>
          <w:trHeight w:val="850"/>
        </w:trPr>
        <w:tc>
          <w:tcPr>
            <w:tcW w:w="549" w:type="pct"/>
            <w:vMerge/>
            <w:tcBorders>
              <w:bottom w:val="single" w:sz="4" w:space="0" w:color="00000A"/>
            </w:tcBorders>
            <w:shd w:val="clear" w:color="auto" w:fill="D9D9D9"/>
            <w:vAlign w:val="center"/>
          </w:tcPr>
          <w:p w14:paraId="76ED9FBB" w14:textId="77777777" w:rsidR="009F7F8A" w:rsidRPr="00470E23" w:rsidRDefault="009F7F8A" w:rsidP="009F7F8A">
            <w:pPr>
              <w:rPr>
                <w:rFonts w:eastAsia="SimSun"/>
              </w:rPr>
            </w:pPr>
          </w:p>
        </w:tc>
        <w:tc>
          <w:tcPr>
            <w:tcW w:w="477" w:type="pct"/>
            <w:tcBorders>
              <w:bottom w:val="single" w:sz="4" w:space="0" w:color="00000A"/>
            </w:tcBorders>
            <w:shd w:val="clear" w:color="auto" w:fill="D9D9D9"/>
            <w:vAlign w:val="center"/>
          </w:tcPr>
          <w:p w14:paraId="1515B2CF" w14:textId="77777777" w:rsidR="009F7F8A" w:rsidRPr="00470E23" w:rsidRDefault="009F7F8A" w:rsidP="009F7F8A">
            <w:pPr>
              <w:rPr>
                <w:rFonts w:eastAsia="SimSun"/>
              </w:rPr>
            </w:pPr>
            <w:r w:rsidRPr="00470E23">
              <w:rPr>
                <w:rFonts w:eastAsia="SimSun"/>
              </w:rPr>
              <w:t>Tx</w:t>
            </w:r>
          </w:p>
        </w:tc>
        <w:tc>
          <w:tcPr>
            <w:tcW w:w="514" w:type="pct"/>
            <w:shd w:val="clear" w:color="auto" w:fill="D9D9D9"/>
            <w:vAlign w:val="center"/>
          </w:tcPr>
          <w:p w14:paraId="7C797BFF" w14:textId="77777777" w:rsidR="009F7F8A" w:rsidRPr="00470E23" w:rsidRDefault="009F7F8A" w:rsidP="009F7F8A">
            <w:pPr>
              <w:rPr>
                <w:rFonts w:eastAsia="SimSun"/>
              </w:rPr>
            </w:pPr>
            <w:r w:rsidRPr="00470E23">
              <w:rPr>
                <w:rFonts w:eastAsia="SimSun"/>
              </w:rPr>
              <w:t>-</w:t>
            </w:r>
          </w:p>
        </w:tc>
        <w:tc>
          <w:tcPr>
            <w:tcW w:w="715" w:type="pct"/>
            <w:shd w:val="clear" w:color="auto" w:fill="D9D9D9"/>
            <w:vAlign w:val="center"/>
          </w:tcPr>
          <w:p w14:paraId="5B96ECCE" w14:textId="77777777" w:rsidR="009F7F8A" w:rsidRPr="00470E23" w:rsidRDefault="009F7F8A" w:rsidP="009F7F8A">
            <w:pPr>
              <w:rPr>
                <w:rFonts w:eastAsia="SimSun"/>
              </w:rPr>
            </w:pPr>
            <w:r w:rsidRPr="00470E23">
              <w:rPr>
                <w:rFonts w:eastAsia="SimSun"/>
              </w:rPr>
              <w:t>MMF30</w:t>
            </w:r>
          </w:p>
        </w:tc>
        <w:tc>
          <w:tcPr>
            <w:tcW w:w="750" w:type="pct"/>
            <w:shd w:val="clear" w:color="auto" w:fill="auto"/>
            <w:vAlign w:val="center"/>
          </w:tcPr>
          <w:p w14:paraId="48078EC0" w14:textId="77777777" w:rsidR="009F7F8A" w:rsidRPr="00470E23" w:rsidRDefault="009F7F8A" w:rsidP="009F7F8A">
            <w:pPr>
              <w:rPr>
                <w:rFonts w:eastAsia="SimSun"/>
              </w:rPr>
            </w:pPr>
            <w:r w:rsidRPr="00470E23">
              <w:rPr>
                <w:rFonts w:eastAsia="SimSun"/>
              </w:rPr>
              <w:t>-</w:t>
            </w:r>
          </w:p>
        </w:tc>
        <w:tc>
          <w:tcPr>
            <w:tcW w:w="678" w:type="pct"/>
            <w:shd w:val="clear" w:color="auto" w:fill="auto"/>
            <w:vAlign w:val="center"/>
          </w:tcPr>
          <w:p w14:paraId="64FC3583" w14:textId="77777777" w:rsidR="009F7F8A" w:rsidRPr="00470E23" w:rsidRDefault="009F7F8A" w:rsidP="009F7F8A">
            <w:pPr>
              <w:rPr>
                <w:rFonts w:eastAsia="SimSun"/>
              </w:rPr>
            </w:pPr>
            <w:r w:rsidRPr="00470E23">
              <w:rPr>
                <w:rFonts w:eastAsia="SimSun"/>
              </w:rPr>
              <w:t>5.2.1.4</w:t>
            </w:r>
          </w:p>
        </w:tc>
        <w:tc>
          <w:tcPr>
            <w:tcW w:w="749" w:type="pct"/>
            <w:shd w:val="clear" w:color="auto" w:fill="auto"/>
            <w:vAlign w:val="center"/>
          </w:tcPr>
          <w:p w14:paraId="3A9DD3A8" w14:textId="77777777" w:rsidR="009F7F8A" w:rsidRPr="00470E23" w:rsidRDefault="009F7F8A" w:rsidP="009F7F8A">
            <w:pPr>
              <w:rPr>
                <w:rFonts w:eastAsia="SimSun"/>
              </w:rPr>
            </w:pPr>
            <w:r w:rsidRPr="00470E23">
              <w:rPr>
                <w:rFonts w:eastAsia="SimSun"/>
              </w:rPr>
              <w:t>5.2.1.8</w:t>
            </w:r>
          </w:p>
        </w:tc>
        <w:tc>
          <w:tcPr>
            <w:tcW w:w="568" w:type="pct"/>
            <w:shd w:val="clear" w:color="auto" w:fill="auto"/>
            <w:vAlign w:val="center"/>
          </w:tcPr>
          <w:p w14:paraId="53CDB18A" w14:textId="77777777" w:rsidR="009F7F8A" w:rsidRPr="00470E23" w:rsidRDefault="009F7F8A" w:rsidP="009F7F8A">
            <w:pPr>
              <w:rPr>
                <w:rFonts w:eastAsia="SimSun"/>
              </w:rPr>
            </w:pPr>
            <w:r w:rsidRPr="00470E23">
              <w:rPr>
                <w:rFonts w:eastAsia="SimSun"/>
              </w:rPr>
              <w:t>5.2.1.11</w:t>
            </w:r>
          </w:p>
        </w:tc>
      </w:tr>
      <w:tr w:rsidR="009F7F8A" w:rsidRPr="00470E23" w14:paraId="1E46519B" w14:textId="77777777" w:rsidTr="009F7F8A">
        <w:trPr>
          <w:cantSplit/>
          <w:trHeight w:val="850"/>
        </w:trPr>
        <w:tc>
          <w:tcPr>
            <w:tcW w:w="549" w:type="pct"/>
            <w:shd w:val="clear" w:color="auto" w:fill="D9D9D9"/>
            <w:vAlign w:val="center"/>
          </w:tcPr>
          <w:p w14:paraId="2B8AF89C" w14:textId="77777777" w:rsidR="009F7F8A" w:rsidRPr="00470E23" w:rsidRDefault="009F7F8A" w:rsidP="009F7F8A">
            <w:pPr>
              <w:rPr>
                <w:rFonts w:eastAsia="SimSun"/>
              </w:rPr>
            </w:pPr>
            <w:r w:rsidRPr="00470E23">
              <w:rPr>
                <w:rFonts w:eastAsia="SimSun"/>
              </w:rPr>
              <w:t>-</w:t>
            </w:r>
          </w:p>
        </w:tc>
        <w:tc>
          <w:tcPr>
            <w:tcW w:w="477" w:type="pct"/>
            <w:shd w:val="clear" w:color="auto" w:fill="D9D9D9"/>
            <w:vAlign w:val="center"/>
          </w:tcPr>
          <w:p w14:paraId="0D7032E5" w14:textId="77777777" w:rsidR="009F7F8A" w:rsidRPr="00470E23" w:rsidRDefault="009F7F8A" w:rsidP="009F7F8A">
            <w:pPr>
              <w:rPr>
                <w:rFonts w:eastAsia="SimSun"/>
              </w:rPr>
            </w:pPr>
            <w:r w:rsidRPr="00470E23">
              <w:rPr>
                <w:rFonts w:eastAsia="SimSun"/>
              </w:rPr>
              <w:t>Tx</w:t>
            </w:r>
          </w:p>
        </w:tc>
        <w:tc>
          <w:tcPr>
            <w:tcW w:w="514" w:type="pct"/>
            <w:shd w:val="clear" w:color="auto" w:fill="D9D9D9"/>
            <w:vAlign w:val="center"/>
          </w:tcPr>
          <w:p w14:paraId="245D33D7" w14:textId="77777777" w:rsidR="009F7F8A" w:rsidRPr="00470E23" w:rsidRDefault="009F7F8A" w:rsidP="009F7F8A">
            <w:pPr>
              <w:rPr>
                <w:rFonts w:eastAsia="SimSun"/>
              </w:rPr>
            </w:pPr>
            <w:r w:rsidRPr="00470E23">
              <w:rPr>
                <w:rFonts w:eastAsia="SimSun"/>
              </w:rPr>
              <w:t>-</w:t>
            </w:r>
          </w:p>
        </w:tc>
        <w:tc>
          <w:tcPr>
            <w:tcW w:w="715" w:type="pct"/>
            <w:shd w:val="clear" w:color="auto" w:fill="D9D9D9"/>
            <w:vAlign w:val="center"/>
          </w:tcPr>
          <w:p w14:paraId="269A7EDF" w14:textId="77777777" w:rsidR="009F7F8A" w:rsidRPr="00470E23" w:rsidRDefault="009F7F8A" w:rsidP="009F7F8A">
            <w:pPr>
              <w:rPr>
                <w:rFonts w:eastAsia="SimSun"/>
              </w:rPr>
            </w:pPr>
            <w:r w:rsidRPr="00470E23">
              <w:rPr>
                <w:rFonts w:eastAsia="SimSun"/>
              </w:rPr>
              <w:t>MMF30</w:t>
            </w:r>
          </w:p>
        </w:tc>
        <w:tc>
          <w:tcPr>
            <w:tcW w:w="750" w:type="pct"/>
            <w:shd w:val="clear" w:color="auto" w:fill="auto"/>
            <w:vAlign w:val="center"/>
          </w:tcPr>
          <w:p w14:paraId="1001FA98" w14:textId="77777777" w:rsidR="009F7F8A" w:rsidRPr="00470E23" w:rsidRDefault="009F7F8A" w:rsidP="009F7F8A">
            <w:pPr>
              <w:rPr>
                <w:rFonts w:eastAsia="SimSun"/>
              </w:rPr>
            </w:pPr>
            <w:r w:rsidRPr="00470E23">
              <w:rPr>
                <w:rFonts w:eastAsia="SimSun"/>
              </w:rPr>
              <w:t>-</w:t>
            </w:r>
          </w:p>
        </w:tc>
        <w:tc>
          <w:tcPr>
            <w:tcW w:w="678" w:type="pct"/>
            <w:shd w:val="clear" w:color="auto" w:fill="auto"/>
            <w:vAlign w:val="center"/>
          </w:tcPr>
          <w:p w14:paraId="36F75AEF" w14:textId="77777777" w:rsidR="009F7F8A" w:rsidRPr="00470E23" w:rsidRDefault="009F7F8A" w:rsidP="009F7F8A">
            <w:pPr>
              <w:rPr>
                <w:rFonts w:eastAsia="SimSun"/>
              </w:rPr>
            </w:pPr>
            <w:r w:rsidRPr="00470E23">
              <w:rPr>
                <w:rFonts w:eastAsia="SimSun"/>
              </w:rPr>
              <w:t>5.2.1.6</w:t>
            </w:r>
          </w:p>
        </w:tc>
        <w:tc>
          <w:tcPr>
            <w:tcW w:w="749" w:type="pct"/>
            <w:shd w:val="clear" w:color="auto" w:fill="auto"/>
            <w:vAlign w:val="center"/>
          </w:tcPr>
          <w:p w14:paraId="4A6841C4" w14:textId="77777777" w:rsidR="009F7F8A" w:rsidRPr="00470E23" w:rsidRDefault="009F7F8A" w:rsidP="009F7F8A">
            <w:pPr>
              <w:rPr>
                <w:rFonts w:eastAsia="SimSun"/>
              </w:rPr>
            </w:pPr>
            <w:r w:rsidRPr="00470E23">
              <w:rPr>
                <w:rFonts w:eastAsia="SimSun"/>
              </w:rPr>
              <w:t>5.2.1.10</w:t>
            </w:r>
          </w:p>
        </w:tc>
        <w:tc>
          <w:tcPr>
            <w:tcW w:w="568" w:type="pct"/>
            <w:shd w:val="clear" w:color="auto" w:fill="auto"/>
            <w:vAlign w:val="center"/>
          </w:tcPr>
          <w:p w14:paraId="1CAFC5DC" w14:textId="77777777" w:rsidR="009F7F8A" w:rsidRPr="00470E23" w:rsidRDefault="009F7F8A" w:rsidP="009F7F8A">
            <w:pPr>
              <w:rPr>
                <w:rFonts w:eastAsia="SimSun"/>
              </w:rPr>
            </w:pPr>
            <w:r w:rsidRPr="00470E23">
              <w:rPr>
                <w:rFonts w:eastAsia="SimSun"/>
              </w:rPr>
              <w:t>-</w:t>
            </w:r>
          </w:p>
        </w:tc>
      </w:tr>
    </w:tbl>
    <w:p w14:paraId="0AB56222" w14:textId="77777777" w:rsidR="009F7F8A" w:rsidRPr="00C07B2E" w:rsidRDefault="009F7F8A" w:rsidP="009F7F8A">
      <w:pPr>
        <w:rPr>
          <w:rFonts w:eastAsia="SimSun"/>
        </w:rPr>
      </w:pPr>
    </w:p>
    <w:p w14:paraId="6B825604" w14:textId="77777777" w:rsidR="009F7F8A" w:rsidRPr="00C07B2E" w:rsidRDefault="009F7F8A" w:rsidP="009F7F8A">
      <w:pPr>
        <w:rPr>
          <w:rFonts w:eastAsia="SimSun"/>
        </w:rPr>
        <w:sectPr w:rsidR="009F7F8A" w:rsidRPr="00C07B2E" w:rsidSect="009F7F8A">
          <w:type w:val="continuous"/>
          <w:pgSz w:w="16839" w:h="11907" w:orient="landscape" w:code="9"/>
          <w:pgMar w:top="1134" w:right="850" w:bottom="1134" w:left="1701" w:header="709" w:footer="567" w:gutter="0"/>
          <w:cols w:space="708"/>
          <w:docGrid w:linePitch="360"/>
        </w:sectPr>
      </w:pPr>
    </w:p>
    <w:p w14:paraId="022AC2FB" w14:textId="77777777" w:rsidR="009F7F8A" w:rsidRPr="00C07B2E" w:rsidRDefault="009F7F8A" w:rsidP="009F7F8A">
      <w:pPr>
        <w:rPr>
          <w:rFonts w:eastAsia="SimSun"/>
        </w:rPr>
      </w:pPr>
    </w:p>
    <w:p w14:paraId="3D86BD79" w14:textId="77777777" w:rsidR="009F7F8A" w:rsidRPr="00C07B2E" w:rsidRDefault="009F7F8A" w:rsidP="009F7F8A">
      <w:pPr>
        <w:rPr>
          <w:rFonts w:eastAsia="SimSun"/>
        </w:rPr>
      </w:pPr>
      <w:bookmarkStart w:id="155" w:name="_Toc44401187"/>
      <w:r w:rsidRPr="00042499">
        <w:rPr>
          <w:rFonts w:eastAsia="SimSun"/>
        </w:rPr>
        <w:t>Таблица</w:t>
      </w:r>
      <w:r w:rsidRPr="00C07B2E">
        <w:rPr>
          <w:rFonts w:eastAsia="SimSun"/>
        </w:rPr>
        <w:t xml:space="preserve"> </w:t>
      </w:r>
      <w:r>
        <w:rPr>
          <w:rFonts w:eastAsia="SimSun"/>
        </w:rPr>
        <w:t>5.</w:t>
      </w:r>
      <w:r w:rsidRPr="00C07B2E">
        <w:rPr>
          <w:rFonts w:eastAsia="SimSun"/>
        </w:rPr>
        <w:t>2.1.1  – Bu12+Cy120 / hATG+CSA+MTX+MMF45</w:t>
      </w:r>
      <w:bookmarkEnd w:id="155"/>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417"/>
        <w:gridCol w:w="1418"/>
        <w:gridCol w:w="1701"/>
        <w:gridCol w:w="2268"/>
      </w:tblGrid>
      <w:tr w:rsidR="009F7F8A" w:rsidRPr="00AC3044" w14:paraId="1BE44E15" w14:textId="77777777" w:rsidTr="009F7F8A">
        <w:trPr>
          <w:cantSplit/>
          <w:trHeight w:val="20"/>
          <w:tblHeader/>
        </w:trPr>
        <w:tc>
          <w:tcPr>
            <w:tcW w:w="1135" w:type="dxa"/>
          </w:tcPr>
          <w:p w14:paraId="751F9DD4" w14:textId="77777777" w:rsidR="009F7F8A" w:rsidRPr="00470D3D" w:rsidRDefault="009F7F8A" w:rsidP="009F7F8A">
            <w:pPr>
              <w:rPr>
                <w:rFonts w:eastAsia="SimSun"/>
              </w:rPr>
            </w:pPr>
          </w:p>
        </w:tc>
        <w:tc>
          <w:tcPr>
            <w:tcW w:w="1701" w:type="dxa"/>
          </w:tcPr>
          <w:p w14:paraId="58F6BACF" w14:textId="77777777" w:rsidR="009F7F8A" w:rsidRPr="00AC3044" w:rsidRDefault="009F7F8A" w:rsidP="009F7F8A">
            <w:pPr>
              <w:rPr>
                <w:rFonts w:eastAsia="SimSun"/>
              </w:rPr>
            </w:pPr>
            <w:r w:rsidRPr="00AC3044">
              <w:rPr>
                <w:rFonts w:eastAsia="SimSun"/>
              </w:rPr>
              <w:t>Препарат</w:t>
            </w:r>
          </w:p>
        </w:tc>
        <w:tc>
          <w:tcPr>
            <w:tcW w:w="1417" w:type="dxa"/>
          </w:tcPr>
          <w:p w14:paraId="0C698D84" w14:textId="77777777" w:rsidR="009F7F8A" w:rsidRPr="00AC3044" w:rsidRDefault="009F7F8A" w:rsidP="009F7F8A">
            <w:pPr>
              <w:rPr>
                <w:rFonts w:eastAsia="SimSun"/>
              </w:rPr>
            </w:pPr>
            <w:r w:rsidRPr="00AC3044">
              <w:rPr>
                <w:rFonts w:eastAsia="SimSun"/>
              </w:rPr>
              <w:t>Суточная доза</w:t>
            </w:r>
          </w:p>
        </w:tc>
        <w:tc>
          <w:tcPr>
            <w:tcW w:w="1418" w:type="dxa"/>
          </w:tcPr>
          <w:p w14:paraId="4866AD29" w14:textId="77777777" w:rsidR="009F7F8A" w:rsidRPr="00AC3044" w:rsidRDefault="009F7F8A" w:rsidP="009F7F8A">
            <w:pPr>
              <w:rPr>
                <w:rFonts w:eastAsia="SimSun"/>
              </w:rPr>
            </w:pPr>
            <w:r w:rsidRPr="00AC3044">
              <w:rPr>
                <w:rFonts w:eastAsia="SimSun"/>
              </w:rPr>
              <w:t>Курсовая доза</w:t>
            </w:r>
          </w:p>
        </w:tc>
        <w:tc>
          <w:tcPr>
            <w:tcW w:w="1701" w:type="dxa"/>
          </w:tcPr>
          <w:p w14:paraId="260DDE2E" w14:textId="77777777" w:rsidR="009F7F8A" w:rsidRPr="00AC3044" w:rsidRDefault="009F7F8A" w:rsidP="009F7F8A">
            <w:pPr>
              <w:rPr>
                <w:rFonts w:eastAsia="SimSun"/>
              </w:rPr>
            </w:pPr>
            <w:r w:rsidRPr="00AC3044">
              <w:rPr>
                <w:rFonts w:eastAsia="SimSun"/>
              </w:rPr>
              <w:t>Дни введения</w:t>
            </w:r>
          </w:p>
        </w:tc>
        <w:tc>
          <w:tcPr>
            <w:tcW w:w="2268" w:type="dxa"/>
          </w:tcPr>
          <w:p w14:paraId="7D114DD8"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73440CCA" w14:textId="77777777" w:rsidTr="009F7F8A">
        <w:trPr>
          <w:cantSplit/>
          <w:trHeight w:val="650"/>
        </w:trPr>
        <w:tc>
          <w:tcPr>
            <w:tcW w:w="1135" w:type="dxa"/>
            <w:vMerge w:val="restart"/>
            <w:textDirection w:val="btLr"/>
          </w:tcPr>
          <w:p w14:paraId="209443C9" w14:textId="77777777" w:rsidR="009F7F8A" w:rsidRPr="00AC3044" w:rsidRDefault="009F7F8A" w:rsidP="009F7F8A">
            <w:pPr>
              <w:rPr>
                <w:rFonts w:eastAsia="SimSun"/>
              </w:rPr>
            </w:pPr>
            <w:r w:rsidRPr="00AC3044">
              <w:rPr>
                <w:rFonts w:eastAsia="SimSun"/>
              </w:rPr>
              <w:t>Кондиционирование</w:t>
            </w:r>
          </w:p>
        </w:tc>
        <w:tc>
          <w:tcPr>
            <w:tcW w:w="1701" w:type="dxa"/>
          </w:tcPr>
          <w:p w14:paraId="72F94CC9" w14:textId="77777777" w:rsidR="009F7F8A" w:rsidRPr="00AC3044" w:rsidRDefault="009F7F8A" w:rsidP="009F7F8A">
            <w:pPr>
              <w:rPr>
                <w:rFonts w:eastAsia="SimSun"/>
              </w:rPr>
            </w:pPr>
            <w:r w:rsidRPr="00AC3044">
              <w:rPr>
                <w:rFonts w:eastAsia="SimSun"/>
              </w:rPr>
              <w:t>Бусульфан</w:t>
            </w:r>
          </w:p>
        </w:tc>
        <w:tc>
          <w:tcPr>
            <w:tcW w:w="1417" w:type="dxa"/>
          </w:tcPr>
          <w:p w14:paraId="6103A1E5" w14:textId="77777777" w:rsidR="009F7F8A" w:rsidRPr="00AC3044" w:rsidRDefault="009F7F8A" w:rsidP="009F7F8A">
            <w:pPr>
              <w:rPr>
                <w:rFonts w:eastAsia="SimSun"/>
              </w:rPr>
            </w:pPr>
            <w:r w:rsidRPr="00AC3044">
              <w:rPr>
                <w:rFonts w:eastAsia="SimSun"/>
              </w:rPr>
              <w:t>4 мг/кг</w:t>
            </w:r>
          </w:p>
        </w:tc>
        <w:tc>
          <w:tcPr>
            <w:tcW w:w="1418" w:type="dxa"/>
          </w:tcPr>
          <w:p w14:paraId="6366B72A" w14:textId="77777777" w:rsidR="009F7F8A" w:rsidRPr="00AC3044" w:rsidRDefault="009F7F8A" w:rsidP="009F7F8A">
            <w:pPr>
              <w:rPr>
                <w:rFonts w:eastAsia="SimSun"/>
              </w:rPr>
            </w:pPr>
            <w:r w:rsidRPr="00AC3044">
              <w:rPr>
                <w:rFonts w:eastAsia="SimSun"/>
              </w:rPr>
              <w:t>12 мг/кг</w:t>
            </w:r>
          </w:p>
        </w:tc>
        <w:tc>
          <w:tcPr>
            <w:tcW w:w="1701" w:type="dxa"/>
          </w:tcPr>
          <w:p w14:paraId="768DB274" w14:textId="77777777" w:rsidR="009F7F8A" w:rsidRPr="00AC3044" w:rsidRDefault="009F7F8A" w:rsidP="009F7F8A">
            <w:pPr>
              <w:rPr>
                <w:rFonts w:eastAsia="SimSun"/>
              </w:rPr>
            </w:pPr>
            <w:r w:rsidRPr="00AC3044">
              <w:rPr>
                <w:rFonts w:eastAsia="SimSun"/>
              </w:rPr>
              <w:t>С –6 по –4 день</w:t>
            </w:r>
          </w:p>
        </w:tc>
        <w:tc>
          <w:tcPr>
            <w:tcW w:w="2268" w:type="dxa"/>
          </w:tcPr>
          <w:p w14:paraId="3503F112"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5A5E3C2B" w14:textId="77777777" w:rsidTr="009F7F8A">
        <w:trPr>
          <w:cantSplit/>
          <w:trHeight w:val="418"/>
        </w:trPr>
        <w:tc>
          <w:tcPr>
            <w:tcW w:w="1135" w:type="dxa"/>
            <w:vMerge/>
          </w:tcPr>
          <w:p w14:paraId="14AB85A4" w14:textId="77777777" w:rsidR="009F7F8A" w:rsidRPr="00AC3044" w:rsidRDefault="009F7F8A" w:rsidP="009F7F8A">
            <w:pPr>
              <w:rPr>
                <w:rFonts w:eastAsia="SimSun"/>
              </w:rPr>
            </w:pPr>
          </w:p>
        </w:tc>
        <w:tc>
          <w:tcPr>
            <w:tcW w:w="1701" w:type="dxa"/>
          </w:tcPr>
          <w:p w14:paraId="1332998E" w14:textId="77777777" w:rsidR="009F7F8A" w:rsidRPr="00AC3044" w:rsidRDefault="009F7F8A" w:rsidP="009F7F8A">
            <w:pPr>
              <w:rPr>
                <w:rFonts w:eastAsia="SimSun"/>
              </w:rPr>
            </w:pPr>
            <w:r w:rsidRPr="00AC3044">
              <w:rPr>
                <w:rFonts w:eastAsia="SimSun"/>
              </w:rPr>
              <w:t>Циклофосфамид</w:t>
            </w:r>
          </w:p>
        </w:tc>
        <w:tc>
          <w:tcPr>
            <w:tcW w:w="1417" w:type="dxa"/>
          </w:tcPr>
          <w:p w14:paraId="1739A02D" w14:textId="77777777" w:rsidR="009F7F8A" w:rsidRPr="00AC3044" w:rsidRDefault="009F7F8A" w:rsidP="009F7F8A">
            <w:pPr>
              <w:rPr>
                <w:rFonts w:eastAsia="SimSun"/>
              </w:rPr>
            </w:pPr>
            <w:r w:rsidRPr="00AC3044">
              <w:rPr>
                <w:rFonts w:eastAsia="SimSun"/>
              </w:rPr>
              <w:t>60 мг/кг</w:t>
            </w:r>
          </w:p>
        </w:tc>
        <w:tc>
          <w:tcPr>
            <w:tcW w:w="1418" w:type="dxa"/>
          </w:tcPr>
          <w:p w14:paraId="18C28BAF" w14:textId="77777777" w:rsidR="009F7F8A" w:rsidRPr="00AC3044" w:rsidRDefault="009F7F8A" w:rsidP="009F7F8A">
            <w:pPr>
              <w:rPr>
                <w:rFonts w:eastAsia="SimSun"/>
              </w:rPr>
            </w:pPr>
            <w:r w:rsidRPr="00AC3044">
              <w:rPr>
                <w:rFonts w:eastAsia="SimSun"/>
              </w:rPr>
              <w:t>120 мг/кг</w:t>
            </w:r>
          </w:p>
        </w:tc>
        <w:tc>
          <w:tcPr>
            <w:tcW w:w="1701" w:type="dxa"/>
          </w:tcPr>
          <w:p w14:paraId="7A7567ED" w14:textId="77777777" w:rsidR="009F7F8A" w:rsidRPr="00AC3044" w:rsidRDefault="009F7F8A" w:rsidP="009F7F8A">
            <w:pPr>
              <w:rPr>
                <w:rFonts w:eastAsia="SimSun"/>
              </w:rPr>
            </w:pPr>
            <w:r w:rsidRPr="00AC3044">
              <w:rPr>
                <w:rFonts w:eastAsia="SimSun"/>
              </w:rPr>
              <w:t xml:space="preserve">–3, –2 дни </w:t>
            </w:r>
          </w:p>
        </w:tc>
        <w:tc>
          <w:tcPr>
            <w:tcW w:w="2268" w:type="dxa"/>
          </w:tcPr>
          <w:p w14:paraId="0520E783" w14:textId="77777777" w:rsidR="009F7F8A" w:rsidRPr="00AC3044" w:rsidRDefault="009F7F8A" w:rsidP="009F7F8A">
            <w:pPr>
              <w:rPr>
                <w:rFonts w:eastAsia="SimSun"/>
              </w:rPr>
            </w:pPr>
            <w:r w:rsidRPr="00AC3044">
              <w:rPr>
                <w:rFonts w:eastAsia="SimSun"/>
              </w:rPr>
              <w:t xml:space="preserve">В/в, в течение 2 ч </w:t>
            </w:r>
          </w:p>
        </w:tc>
      </w:tr>
      <w:tr w:rsidR="009F7F8A" w:rsidRPr="00AC3044" w14:paraId="6262652B" w14:textId="77777777" w:rsidTr="009F7F8A">
        <w:trPr>
          <w:cantSplit/>
          <w:trHeight w:val="20"/>
        </w:trPr>
        <w:tc>
          <w:tcPr>
            <w:tcW w:w="1135" w:type="dxa"/>
            <w:vMerge w:val="restart"/>
            <w:textDirection w:val="btLr"/>
          </w:tcPr>
          <w:p w14:paraId="6C372492" w14:textId="77777777" w:rsidR="009F7F8A" w:rsidRPr="00AC3044" w:rsidRDefault="009F7F8A" w:rsidP="009F7F8A">
            <w:pPr>
              <w:rPr>
                <w:rFonts w:eastAsia="SimSun"/>
              </w:rPr>
            </w:pPr>
            <w:r w:rsidRPr="00AC3044">
              <w:rPr>
                <w:rFonts w:eastAsia="SimSun"/>
              </w:rPr>
              <w:t>Профилактика РТПХ</w:t>
            </w:r>
          </w:p>
        </w:tc>
        <w:tc>
          <w:tcPr>
            <w:tcW w:w="1701" w:type="dxa"/>
          </w:tcPr>
          <w:p w14:paraId="1A82E4E9" w14:textId="77777777" w:rsidR="009F7F8A" w:rsidRPr="00AC3044" w:rsidRDefault="009F7F8A" w:rsidP="009F7F8A">
            <w:pPr>
              <w:rPr>
                <w:rFonts w:eastAsia="SimSun"/>
              </w:rPr>
            </w:pPr>
            <w:r w:rsidRPr="00AC3044">
              <w:rPr>
                <w:rFonts w:eastAsia="SimSun"/>
              </w:rPr>
              <w:t>АТГ (лошадиный)</w:t>
            </w:r>
          </w:p>
        </w:tc>
        <w:tc>
          <w:tcPr>
            <w:tcW w:w="1417" w:type="dxa"/>
          </w:tcPr>
          <w:p w14:paraId="2A947977" w14:textId="77777777" w:rsidR="009F7F8A" w:rsidRPr="00AC3044" w:rsidRDefault="009F7F8A" w:rsidP="009F7F8A">
            <w:pPr>
              <w:rPr>
                <w:rFonts w:eastAsia="SimSun"/>
              </w:rPr>
            </w:pPr>
            <w:r w:rsidRPr="00AC3044">
              <w:rPr>
                <w:rFonts w:eastAsia="SimSun"/>
              </w:rPr>
              <w:t>10-15 мг/кг</w:t>
            </w:r>
          </w:p>
        </w:tc>
        <w:tc>
          <w:tcPr>
            <w:tcW w:w="1418" w:type="dxa"/>
          </w:tcPr>
          <w:p w14:paraId="1D049443" w14:textId="77777777" w:rsidR="009F7F8A" w:rsidRPr="00AC3044" w:rsidRDefault="009F7F8A" w:rsidP="009F7F8A">
            <w:pPr>
              <w:rPr>
                <w:rFonts w:eastAsia="SimSun"/>
              </w:rPr>
            </w:pPr>
            <w:r w:rsidRPr="00AC3044">
              <w:rPr>
                <w:rFonts w:eastAsia="SimSun"/>
              </w:rPr>
              <w:t>40-60 мг/кг</w:t>
            </w:r>
          </w:p>
        </w:tc>
        <w:tc>
          <w:tcPr>
            <w:tcW w:w="1701" w:type="dxa"/>
          </w:tcPr>
          <w:p w14:paraId="53B8937F" w14:textId="77777777" w:rsidR="009F7F8A" w:rsidRPr="00AC3044" w:rsidRDefault="009F7F8A" w:rsidP="009F7F8A">
            <w:pPr>
              <w:rPr>
                <w:rFonts w:eastAsia="SimSun"/>
              </w:rPr>
            </w:pPr>
            <w:r w:rsidRPr="00AC3044">
              <w:rPr>
                <w:rFonts w:eastAsia="SimSun"/>
              </w:rPr>
              <w:t>С –4 по –1 день</w:t>
            </w:r>
          </w:p>
        </w:tc>
        <w:tc>
          <w:tcPr>
            <w:tcW w:w="2268" w:type="dxa"/>
          </w:tcPr>
          <w:p w14:paraId="6AFF6213" w14:textId="77777777" w:rsidR="009F7F8A" w:rsidRPr="00AC3044" w:rsidRDefault="009F7F8A" w:rsidP="009F7F8A">
            <w:pPr>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 xml:space="preserve">«Инфузия АТГ») </w:t>
            </w:r>
          </w:p>
        </w:tc>
      </w:tr>
      <w:tr w:rsidR="009F7F8A" w:rsidRPr="00AC3044" w14:paraId="1FBA1015" w14:textId="77777777" w:rsidTr="009F7F8A">
        <w:trPr>
          <w:cantSplit/>
          <w:trHeight w:val="20"/>
        </w:trPr>
        <w:tc>
          <w:tcPr>
            <w:tcW w:w="1135" w:type="dxa"/>
            <w:vMerge/>
            <w:textDirection w:val="btLr"/>
          </w:tcPr>
          <w:p w14:paraId="73CFFC9B" w14:textId="77777777" w:rsidR="009F7F8A" w:rsidRPr="00AC3044" w:rsidRDefault="009F7F8A" w:rsidP="009F7F8A">
            <w:pPr>
              <w:rPr>
                <w:rFonts w:eastAsia="SimSun"/>
              </w:rPr>
            </w:pPr>
          </w:p>
        </w:tc>
        <w:tc>
          <w:tcPr>
            <w:tcW w:w="1701" w:type="dxa"/>
          </w:tcPr>
          <w:p w14:paraId="0D1ACC49" w14:textId="77777777" w:rsidR="009F7F8A" w:rsidRPr="00AC3044" w:rsidRDefault="009F7F8A" w:rsidP="009F7F8A">
            <w:pPr>
              <w:rPr>
                <w:rFonts w:eastAsia="SimSun"/>
              </w:rPr>
            </w:pPr>
            <w:r w:rsidRPr="00AC3044">
              <w:rPr>
                <w:rFonts w:eastAsia="SimSun"/>
              </w:rPr>
              <w:t>Циклоспорин</w:t>
            </w:r>
          </w:p>
        </w:tc>
        <w:tc>
          <w:tcPr>
            <w:tcW w:w="1417" w:type="dxa"/>
          </w:tcPr>
          <w:p w14:paraId="581BB74D" w14:textId="77777777" w:rsidR="009F7F8A" w:rsidRPr="00AC3044" w:rsidRDefault="009F7F8A" w:rsidP="009F7F8A">
            <w:pPr>
              <w:rPr>
                <w:rFonts w:eastAsia="SimSun"/>
              </w:rPr>
            </w:pPr>
            <w:r w:rsidRPr="00AC3044">
              <w:rPr>
                <w:rFonts w:eastAsia="SimSun"/>
              </w:rPr>
              <w:t>3 мг/кг</w:t>
            </w:r>
          </w:p>
        </w:tc>
        <w:tc>
          <w:tcPr>
            <w:tcW w:w="1418" w:type="dxa"/>
          </w:tcPr>
          <w:p w14:paraId="3A53FA50" w14:textId="77777777" w:rsidR="009F7F8A" w:rsidRPr="00AC3044" w:rsidRDefault="009F7F8A" w:rsidP="009F7F8A">
            <w:pPr>
              <w:rPr>
                <w:rFonts w:eastAsia="SimSun"/>
              </w:rPr>
            </w:pPr>
            <w:r w:rsidRPr="00AC3044">
              <w:rPr>
                <w:rFonts w:eastAsia="SimSun"/>
              </w:rPr>
              <w:t>–</w:t>
            </w:r>
          </w:p>
        </w:tc>
        <w:tc>
          <w:tcPr>
            <w:tcW w:w="1701" w:type="dxa"/>
          </w:tcPr>
          <w:p w14:paraId="42B693C6" w14:textId="77777777" w:rsidR="009F7F8A" w:rsidRPr="00AC3044" w:rsidRDefault="009F7F8A" w:rsidP="009F7F8A">
            <w:pPr>
              <w:rPr>
                <w:rFonts w:eastAsia="SimSun"/>
              </w:rPr>
            </w:pPr>
            <w:r w:rsidRPr="00AC3044">
              <w:rPr>
                <w:rFonts w:eastAsia="SimSun"/>
              </w:rPr>
              <w:t>С –1 по +90 день, затем постепенное снижение к +180 дню</w:t>
            </w:r>
          </w:p>
        </w:tc>
        <w:tc>
          <w:tcPr>
            <w:tcW w:w="2268" w:type="dxa"/>
          </w:tcPr>
          <w:p w14:paraId="714FDC0F"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 xml:space="preserve">х </w:t>
            </w:r>
            <w:r w:rsidRPr="00AC3044">
              <w:rPr>
                <w:rFonts w:eastAsia="SimSun"/>
              </w:rPr>
              <w:t>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76CFC0E7" w14:textId="77777777" w:rsidTr="009F7F8A">
        <w:trPr>
          <w:cantSplit/>
          <w:trHeight w:val="20"/>
        </w:trPr>
        <w:tc>
          <w:tcPr>
            <w:tcW w:w="1135" w:type="dxa"/>
            <w:vMerge/>
          </w:tcPr>
          <w:p w14:paraId="4007A702" w14:textId="77777777" w:rsidR="009F7F8A" w:rsidRPr="00AC3044" w:rsidRDefault="009F7F8A" w:rsidP="009F7F8A">
            <w:pPr>
              <w:rPr>
                <w:rFonts w:eastAsia="SimSun"/>
              </w:rPr>
            </w:pPr>
          </w:p>
        </w:tc>
        <w:tc>
          <w:tcPr>
            <w:tcW w:w="1701" w:type="dxa"/>
            <w:vMerge w:val="restart"/>
          </w:tcPr>
          <w:p w14:paraId="009EC61B" w14:textId="77777777" w:rsidR="009F7F8A" w:rsidRPr="00AC3044" w:rsidRDefault="009F7F8A" w:rsidP="009F7F8A">
            <w:pPr>
              <w:rPr>
                <w:rFonts w:eastAsia="SimSun"/>
              </w:rPr>
            </w:pPr>
            <w:r w:rsidRPr="00AC3044">
              <w:rPr>
                <w:rFonts w:eastAsia="SimSun"/>
              </w:rPr>
              <w:t>Метотрексат</w:t>
            </w:r>
          </w:p>
        </w:tc>
        <w:tc>
          <w:tcPr>
            <w:tcW w:w="1417" w:type="dxa"/>
          </w:tcPr>
          <w:p w14:paraId="6622AD22" w14:textId="77777777" w:rsidR="009F7F8A" w:rsidRPr="00AC3044" w:rsidRDefault="009F7F8A" w:rsidP="009F7F8A">
            <w:pPr>
              <w:rPr>
                <w:rFonts w:eastAsia="SimSun"/>
              </w:rPr>
            </w:pPr>
            <w:r w:rsidRPr="00AC3044">
              <w:rPr>
                <w:rFonts w:eastAsia="SimSun"/>
              </w:rPr>
              <w:t>15 мг/м</w:t>
            </w:r>
            <w:r w:rsidRPr="001E6DBE">
              <w:rPr>
                <w:rFonts w:eastAsia="SimSun"/>
                <w:vertAlign w:val="superscript"/>
              </w:rPr>
              <w:t>2</w:t>
            </w:r>
          </w:p>
        </w:tc>
        <w:tc>
          <w:tcPr>
            <w:tcW w:w="1418" w:type="dxa"/>
          </w:tcPr>
          <w:p w14:paraId="5B58DB73" w14:textId="77777777" w:rsidR="009F7F8A" w:rsidRPr="00AC3044" w:rsidRDefault="009F7F8A" w:rsidP="009F7F8A">
            <w:pPr>
              <w:rPr>
                <w:rFonts w:eastAsia="SimSun"/>
              </w:rPr>
            </w:pPr>
            <w:r w:rsidRPr="00AC3044">
              <w:rPr>
                <w:rFonts w:eastAsia="SimSun"/>
              </w:rPr>
              <w:t>–</w:t>
            </w:r>
          </w:p>
        </w:tc>
        <w:tc>
          <w:tcPr>
            <w:tcW w:w="1701" w:type="dxa"/>
          </w:tcPr>
          <w:p w14:paraId="7AE7B7DF" w14:textId="77777777" w:rsidR="009F7F8A" w:rsidRPr="00AC3044" w:rsidRDefault="009F7F8A" w:rsidP="009F7F8A">
            <w:pPr>
              <w:rPr>
                <w:rFonts w:eastAsia="SimSun"/>
              </w:rPr>
            </w:pPr>
            <w:r w:rsidRPr="00AC3044">
              <w:rPr>
                <w:rFonts w:eastAsia="SimSun"/>
              </w:rPr>
              <w:t>+1 день</w:t>
            </w:r>
          </w:p>
        </w:tc>
        <w:tc>
          <w:tcPr>
            <w:tcW w:w="2268" w:type="dxa"/>
          </w:tcPr>
          <w:p w14:paraId="2685D1D6"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42A50909" w14:textId="77777777" w:rsidTr="009F7F8A">
        <w:trPr>
          <w:cantSplit/>
          <w:trHeight w:val="464"/>
        </w:trPr>
        <w:tc>
          <w:tcPr>
            <w:tcW w:w="1135" w:type="dxa"/>
            <w:vMerge/>
          </w:tcPr>
          <w:p w14:paraId="1B2846AC" w14:textId="77777777" w:rsidR="009F7F8A" w:rsidRPr="00AC3044" w:rsidRDefault="009F7F8A" w:rsidP="009F7F8A">
            <w:pPr>
              <w:rPr>
                <w:rFonts w:eastAsia="SimSun"/>
              </w:rPr>
            </w:pPr>
          </w:p>
        </w:tc>
        <w:tc>
          <w:tcPr>
            <w:tcW w:w="1701" w:type="dxa"/>
            <w:vMerge/>
          </w:tcPr>
          <w:p w14:paraId="732BE58F" w14:textId="77777777" w:rsidR="009F7F8A" w:rsidRPr="00AC3044" w:rsidRDefault="009F7F8A" w:rsidP="009F7F8A">
            <w:pPr>
              <w:rPr>
                <w:rFonts w:eastAsia="SimSun"/>
              </w:rPr>
            </w:pPr>
          </w:p>
        </w:tc>
        <w:tc>
          <w:tcPr>
            <w:tcW w:w="1417" w:type="dxa"/>
          </w:tcPr>
          <w:p w14:paraId="76129E2D" w14:textId="77777777" w:rsidR="009F7F8A" w:rsidRPr="00AC3044" w:rsidRDefault="009F7F8A" w:rsidP="009F7F8A">
            <w:pPr>
              <w:rPr>
                <w:rFonts w:eastAsia="SimSun"/>
              </w:rPr>
            </w:pPr>
            <w:r w:rsidRPr="00AC3044">
              <w:rPr>
                <w:rFonts w:eastAsia="SimSun"/>
              </w:rPr>
              <w:t>10 мг/м</w:t>
            </w:r>
            <w:r w:rsidRPr="001E6DBE">
              <w:rPr>
                <w:rFonts w:eastAsia="SimSun"/>
                <w:vertAlign w:val="superscript"/>
              </w:rPr>
              <w:t>2</w:t>
            </w:r>
          </w:p>
        </w:tc>
        <w:tc>
          <w:tcPr>
            <w:tcW w:w="1418" w:type="dxa"/>
          </w:tcPr>
          <w:p w14:paraId="434B0EAC" w14:textId="77777777" w:rsidR="009F7F8A" w:rsidRPr="00AC3044" w:rsidRDefault="009F7F8A" w:rsidP="009F7F8A">
            <w:pPr>
              <w:rPr>
                <w:rFonts w:eastAsia="SimSun"/>
              </w:rPr>
            </w:pPr>
            <w:r w:rsidRPr="00AC3044">
              <w:rPr>
                <w:rFonts w:eastAsia="SimSun"/>
              </w:rPr>
              <w:t>–</w:t>
            </w:r>
          </w:p>
        </w:tc>
        <w:tc>
          <w:tcPr>
            <w:tcW w:w="1701" w:type="dxa"/>
          </w:tcPr>
          <w:p w14:paraId="317EACBC" w14:textId="77777777" w:rsidR="009F7F8A" w:rsidRPr="00AC3044" w:rsidRDefault="009F7F8A" w:rsidP="009F7F8A">
            <w:pPr>
              <w:rPr>
                <w:rFonts w:eastAsia="SimSun"/>
              </w:rPr>
            </w:pPr>
            <w:r w:rsidRPr="00AC3044">
              <w:rPr>
                <w:rFonts w:eastAsia="SimSun"/>
              </w:rPr>
              <w:t>+3, +6, +11 дни</w:t>
            </w:r>
          </w:p>
        </w:tc>
        <w:tc>
          <w:tcPr>
            <w:tcW w:w="2268" w:type="dxa"/>
          </w:tcPr>
          <w:p w14:paraId="63B57060"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3CC206D5" w14:textId="77777777" w:rsidTr="009F7F8A">
        <w:trPr>
          <w:cantSplit/>
          <w:trHeight w:val="464"/>
        </w:trPr>
        <w:tc>
          <w:tcPr>
            <w:tcW w:w="1135" w:type="dxa"/>
            <w:vMerge/>
          </w:tcPr>
          <w:p w14:paraId="50588944" w14:textId="77777777" w:rsidR="009F7F8A" w:rsidRPr="00AC3044" w:rsidRDefault="009F7F8A" w:rsidP="009F7F8A">
            <w:pPr>
              <w:rPr>
                <w:rFonts w:eastAsia="SimSun"/>
              </w:rPr>
            </w:pPr>
          </w:p>
        </w:tc>
        <w:tc>
          <w:tcPr>
            <w:tcW w:w="1701" w:type="dxa"/>
          </w:tcPr>
          <w:p w14:paraId="6F96DE3A" w14:textId="77777777" w:rsidR="009F7F8A" w:rsidRPr="00AC3044" w:rsidRDefault="009F7F8A" w:rsidP="009F7F8A">
            <w:pPr>
              <w:rPr>
                <w:rFonts w:eastAsia="SimSun"/>
              </w:rPr>
            </w:pPr>
            <w:r w:rsidRPr="00AC3044">
              <w:rPr>
                <w:rFonts w:eastAsia="SimSun"/>
              </w:rPr>
              <w:t>Микофенолата мофетил</w:t>
            </w:r>
          </w:p>
        </w:tc>
        <w:tc>
          <w:tcPr>
            <w:tcW w:w="1417" w:type="dxa"/>
          </w:tcPr>
          <w:p w14:paraId="09D83FD3" w14:textId="77777777" w:rsidR="009F7F8A" w:rsidRPr="00AC3044" w:rsidRDefault="009F7F8A" w:rsidP="009F7F8A">
            <w:pPr>
              <w:rPr>
                <w:rFonts w:eastAsia="SimSun"/>
              </w:rPr>
            </w:pPr>
            <w:r w:rsidRPr="00AC3044">
              <w:rPr>
                <w:rFonts w:eastAsia="SimSun"/>
              </w:rPr>
              <w:t>45 мг/кг</w:t>
            </w:r>
          </w:p>
        </w:tc>
        <w:tc>
          <w:tcPr>
            <w:tcW w:w="1418" w:type="dxa"/>
          </w:tcPr>
          <w:p w14:paraId="481532BB" w14:textId="77777777" w:rsidR="009F7F8A" w:rsidRPr="00AC3044" w:rsidRDefault="009F7F8A" w:rsidP="009F7F8A">
            <w:pPr>
              <w:rPr>
                <w:rFonts w:eastAsia="SimSun"/>
              </w:rPr>
            </w:pPr>
            <w:r w:rsidRPr="00AC3044">
              <w:rPr>
                <w:rFonts w:eastAsia="SimSun"/>
              </w:rPr>
              <w:t>–</w:t>
            </w:r>
          </w:p>
        </w:tc>
        <w:tc>
          <w:tcPr>
            <w:tcW w:w="1701" w:type="dxa"/>
          </w:tcPr>
          <w:p w14:paraId="704808CC" w14:textId="77777777" w:rsidR="009F7F8A" w:rsidRPr="00AC3044" w:rsidRDefault="009F7F8A" w:rsidP="009F7F8A">
            <w:pPr>
              <w:rPr>
                <w:rFonts w:eastAsia="SimSun"/>
              </w:rPr>
            </w:pPr>
            <w:r w:rsidRPr="00AC3044">
              <w:rPr>
                <w:rFonts w:eastAsia="SimSun"/>
              </w:rPr>
              <w:t>С +1 по +90 день</w:t>
            </w:r>
          </w:p>
        </w:tc>
        <w:tc>
          <w:tcPr>
            <w:tcW w:w="2268" w:type="dxa"/>
          </w:tcPr>
          <w:p w14:paraId="16866449"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7A8CE9B3" w14:textId="77777777" w:rsidR="009F7F8A" w:rsidRDefault="009F7F8A" w:rsidP="009F7F8A">
      <w:pPr>
        <w:rPr>
          <w:rFonts w:eastAsia="SimSun"/>
        </w:rPr>
      </w:pPr>
      <w:bookmarkStart w:id="156" w:name="_Toc44401188"/>
    </w:p>
    <w:p w14:paraId="0AEE6D72" w14:textId="77777777" w:rsidR="009F7F8A" w:rsidRPr="00391D6D"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2.1.2 – Bu12+Cy120 / rATG+CSA+MTX+MMF45</w:t>
      </w:r>
      <w:bookmarkEnd w:id="156"/>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417"/>
        <w:gridCol w:w="1418"/>
        <w:gridCol w:w="1701"/>
        <w:gridCol w:w="2268"/>
      </w:tblGrid>
      <w:tr w:rsidR="009F7F8A" w:rsidRPr="00AC3044" w14:paraId="515F89BE" w14:textId="77777777" w:rsidTr="009F7F8A">
        <w:trPr>
          <w:cantSplit/>
          <w:trHeight w:val="20"/>
          <w:tblHeader/>
        </w:trPr>
        <w:tc>
          <w:tcPr>
            <w:tcW w:w="1135" w:type="dxa"/>
          </w:tcPr>
          <w:p w14:paraId="77E953CD" w14:textId="77777777" w:rsidR="009F7F8A" w:rsidRPr="00470D3D" w:rsidRDefault="009F7F8A" w:rsidP="009F7F8A">
            <w:pPr>
              <w:rPr>
                <w:rFonts w:eastAsia="SimSun"/>
              </w:rPr>
            </w:pPr>
          </w:p>
        </w:tc>
        <w:tc>
          <w:tcPr>
            <w:tcW w:w="1701" w:type="dxa"/>
            <w:vAlign w:val="center"/>
          </w:tcPr>
          <w:p w14:paraId="4D40D1D0" w14:textId="77777777" w:rsidR="009F7F8A" w:rsidRPr="00AC3044" w:rsidRDefault="009F7F8A" w:rsidP="009F7F8A">
            <w:pPr>
              <w:rPr>
                <w:rFonts w:eastAsia="SimSun"/>
              </w:rPr>
            </w:pPr>
            <w:r w:rsidRPr="00AC3044">
              <w:rPr>
                <w:rFonts w:eastAsia="SimSun"/>
              </w:rPr>
              <w:t>Препарат</w:t>
            </w:r>
          </w:p>
        </w:tc>
        <w:tc>
          <w:tcPr>
            <w:tcW w:w="1417" w:type="dxa"/>
            <w:vAlign w:val="center"/>
          </w:tcPr>
          <w:p w14:paraId="4ABDF998"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751D1EAC"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792EA03F"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0CC68328" w14:textId="77777777" w:rsidR="009F7F8A" w:rsidRDefault="009F7F8A" w:rsidP="009F7F8A">
            <w:pPr>
              <w:rPr>
                <w:rFonts w:eastAsia="SimSun"/>
              </w:rPr>
            </w:pPr>
            <w:r w:rsidRPr="00AC3044">
              <w:rPr>
                <w:rFonts w:eastAsia="SimSun"/>
              </w:rPr>
              <w:t>Порядок введения</w:t>
            </w:r>
          </w:p>
          <w:p w14:paraId="36A24928" w14:textId="77777777" w:rsidR="009F7F8A" w:rsidRPr="001E6DBE" w:rsidRDefault="009F7F8A" w:rsidP="009F7F8A">
            <w:pPr>
              <w:rPr>
                <w:rFonts w:eastAsia="SimSun"/>
              </w:rPr>
            </w:pPr>
          </w:p>
          <w:p w14:paraId="0ADD6325" w14:textId="77777777" w:rsidR="009F7F8A" w:rsidRPr="001E6DBE" w:rsidRDefault="009F7F8A" w:rsidP="009F7F8A">
            <w:pPr>
              <w:rPr>
                <w:rFonts w:eastAsia="SimSun"/>
              </w:rPr>
            </w:pPr>
          </w:p>
          <w:p w14:paraId="6A312D39" w14:textId="77777777" w:rsidR="009F7F8A" w:rsidRPr="001E6DBE" w:rsidRDefault="009F7F8A" w:rsidP="009F7F8A">
            <w:pPr>
              <w:rPr>
                <w:rFonts w:eastAsia="SimSun"/>
              </w:rPr>
            </w:pPr>
          </w:p>
          <w:p w14:paraId="7BA0D90B" w14:textId="77777777" w:rsidR="009F7F8A" w:rsidRDefault="009F7F8A" w:rsidP="009F7F8A">
            <w:pPr>
              <w:rPr>
                <w:rFonts w:eastAsia="SimSun"/>
              </w:rPr>
            </w:pPr>
          </w:p>
          <w:p w14:paraId="64B36611" w14:textId="77777777" w:rsidR="009F7F8A" w:rsidRPr="001E6DBE" w:rsidRDefault="009F7F8A" w:rsidP="009F7F8A">
            <w:pPr>
              <w:rPr>
                <w:rFonts w:eastAsia="SimSun"/>
              </w:rPr>
            </w:pPr>
          </w:p>
        </w:tc>
      </w:tr>
      <w:tr w:rsidR="009F7F8A" w:rsidRPr="00AC3044" w14:paraId="2953D170" w14:textId="77777777" w:rsidTr="009F7F8A">
        <w:trPr>
          <w:cantSplit/>
          <w:trHeight w:val="20"/>
        </w:trPr>
        <w:tc>
          <w:tcPr>
            <w:tcW w:w="1135" w:type="dxa"/>
            <w:vMerge w:val="restart"/>
            <w:textDirection w:val="btLr"/>
            <w:vAlign w:val="center"/>
          </w:tcPr>
          <w:p w14:paraId="5934299F"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412D8C4F" w14:textId="77777777" w:rsidR="009F7F8A" w:rsidRPr="00AC3044" w:rsidRDefault="009F7F8A" w:rsidP="009F7F8A">
            <w:pPr>
              <w:rPr>
                <w:rFonts w:eastAsia="SimSun"/>
              </w:rPr>
            </w:pPr>
            <w:r w:rsidRPr="00AC3044">
              <w:rPr>
                <w:rFonts w:eastAsia="SimSun"/>
              </w:rPr>
              <w:t>Бусульфан</w:t>
            </w:r>
          </w:p>
        </w:tc>
        <w:tc>
          <w:tcPr>
            <w:tcW w:w="1417" w:type="dxa"/>
            <w:vAlign w:val="center"/>
          </w:tcPr>
          <w:p w14:paraId="0B6C7A7C" w14:textId="77777777" w:rsidR="009F7F8A" w:rsidRPr="00AC3044" w:rsidRDefault="009F7F8A" w:rsidP="009F7F8A">
            <w:pPr>
              <w:rPr>
                <w:rFonts w:eastAsia="SimSun"/>
              </w:rPr>
            </w:pPr>
            <w:r w:rsidRPr="00AC3044">
              <w:rPr>
                <w:rFonts w:eastAsia="SimSun"/>
              </w:rPr>
              <w:t>4 мг/кг</w:t>
            </w:r>
          </w:p>
        </w:tc>
        <w:tc>
          <w:tcPr>
            <w:tcW w:w="1418" w:type="dxa"/>
            <w:vAlign w:val="center"/>
          </w:tcPr>
          <w:p w14:paraId="5BA39AF9" w14:textId="77777777" w:rsidR="009F7F8A" w:rsidRPr="00AC3044" w:rsidRDefault="009F7F8A" w:rsidP="009F7F8A">
            <w:pPr>
              <w:rPr>
                <w:rFonts w:eastAsia="SimSun"/>
              </w:rPr>
            </w:pPr>
            <w:r w:rsidRPr="00AC3044">
              <w:rPr>
                <w:rFonts w:eastAsia="SimSun"/>
              </w:rPr>
              <w:t>12 мг/кг</w:t>
            </w:r>
          </w:p>
        </w:tc>
        <w:tc>
          <w:tcPr>
            <w:tcW w:w="1701" w:type="dxa"/>
            <w:vAlign w:val="center"/>
          </w:tcPr>
          <w:p w14:paraId="2E7D1794" w14:textId="77777777" w:rsidR="009F7F8A" w:rsidRPr="00AC3044" w:rsidRDefault="009F7F8A" w:rsidP="009F7F8A">
            <w:pPr>
              <w:rPr>
                <w:rFonts w:eastAsia="SimSun"/>
              </w:rPr>
            </w:pPr>
            <w:r w:rsidRPr="00AC3044">
              <w:rPr>
                <w:rFonts w:eastAsia="SimSun"/>
              </w:rPr>
              <w:t>С –6 по –4 день</w:t>
            </w:r>
          </w:p>
        </w:tc>
        <w:tc>
          <w:tcPr>
            <w:tcW w:w="2268" w:type="dxa"/>
            <w:vAlign w:val="center"/>
          </w:tcPr>
          <w:p w14:paraId="0FFE496F"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0FBBC79E" w14:textId="77777777" w:rsidTr="009F7F8A">
        <w:trPr>
          <w:cantSplit/>
          <w:trHeight w:val="1038"/>
        </w:trPr>
        <w:tc>
          <w:tcPr>
            <w:tcW w:w="1135" w:type="dxa"/>
            <w:vMerge/>
            <w:vAlign w:val="center"/>
          </w:tcPr>
          <w:p w14:paraId="0F966C50" w14:textId="77777777" w:rsidR="009F7F8A" w:rsidRPr="00AC3044" w:rsidRDefault="009F7F8A" w:rsidP="009F7F8A">
            <w:pPr>
              <w:rPr>
                <w:rFonts w:eastAsia="SimSun"/>
              </w:rPr>
            </w:pPr>
          </w:p>
        </w:tc>
        <w:tc>
          <w:tcPr>
            <w:tcW w:w="1701" w:type="dxa"/>
            <w:vAlign w:val="center"/>
          </w:tcPr>
          <w:p w14:paraId="18C5FC80" w14:textId="77777777" w:rsidR="009F7F8A" w:rsidRPr="00AC3044" w:rsidRDefault="009F7F8A" w:rsidP="009F7F8A">
            <w:pPr>
              <w:rPr>
                <w:rFonts w:eastAsia="SimSun"/>
              </w:rPr>
            </w:pPr>
            <w:r w:rsidRPr="00AC3044">
              <w:rPr>
                <w:rFonts w:eastAsia="SimSun"/>
              </w:rPr>
              <w:t>Циклофосфамид</w:t>
            </w:r>
          </w:p>
        </w:tc>
        <w:tc>
          <w:tcPr>
            <w:tcW w:w="1417" w:type="dxa"/>
            <w:vAlign w:val="center"/>
          </w:tcPr>
          <w:p w14:paraId="7E748041" w14:textId="77777777" w:rsidR="009F7F8A" w:rsidRPr="00AC3044" w:rsidRDefault="009F7F8A" w:rsidP="009F7F8A">
            <w:pPr>
              <w:rPr>
                <w:rFonts w:eastAsia="SimSun"/>
              </w:rPr>
            </w:pPr>
            <w:r w:rsidRPr="00AC3044">
              <w:rPr>
                <w:rFonts w:eastAsia="SimSun"/>
              </w:rPr>
              <w:t>60 мг/кг</w:t>
            </w:r>
          </w:p>
        </w:tc>
        <w:tc>
          <w:tcPr>
            <w:tcW w:w="1418" w:type="dxa"/>
            <w:vAlign w:val="center"/>
          </w:tcPr>
          <w:p w14:paraId="566941F0" w14:textId="77777777" w:rsidR="009F7F8A" w:rsidRPr="00AC3044" w:rsidRDefault="009F7F8A" w:rsidP="009F7F8A">
            <w:pPr>
              <w:rPr>
                <w:rFonts w:eastAsia="SimSun"/>
              </w:rPr>
            </w:pPr>
            <w:r w:rsidRPr="00AC3044">
              <w:rPr>
                <w:rFonts w:eastAsia="SimSun"/>
              </w:rPr>
              <w:t>120 мг/кг</w:t>
            </w:r>
          </w:p>
        </w:tc>
        <w:tc>
          <w:tcPr>
            <w:tcW w:w="1701" w:type="dxa"/>
            <w:vAlign w:val="center"/>
          </w:tcPr>
          <w:p w14:paraId="1F1365A3" w14:textId="77777777" w:rsidR="009F7F8A" w:rsidRPr="00AC3044" w:rsidRDefault="009F7F8A" w:rsidP="009F7F8A">
            <w:pPr>
              <w:rPr>
                <w:rFonts w:eastAsia="SimSun"/>
              </w:rPr>
            </w:pPr>
            <w:r w:rsidRPr="00AC3044">
              <w:rPr>
                <w:rFonts w:eastAsia="SimSun"/>
              </w:rPr>
              <w:t xml:space="preserve">–3, –2 дни </w:t>
            </w:r>
          </w:p>
        </w:tc>
        <w:tc>
          <w:tcPr>
            <w:tcW w:w="2268" w:type="dxa"/>
            <w:vAlign w:val="center"/>
          </w:tcPr>
          <w:p w14:paraId="462EE2B3" w14:textId="77777777" w:rsidR="009F7F8A" w:rsidRPr="00AC3044" w:rsidRDefault="009F7F8A" w:rsidP="009F7F8A">
            <w:pPr>
              <w:rPr>
                <w:rFonts w:eastAsia="SimSun"/>
              </w:rPr>
            </w:pPr>
            <w:r w:rsidRPr="00AC3044">
              <w:rPr>
                <w:rFonts w:eastAsia="SimSun"/>
              </w:rPr>
              <w:t xml:space="preserve">В/в, в течение 2 ч </w:t>
            </w:r>
          </w:p>
        </w:tc>
      </w:tr>
      <w:tr w:rsidR="009F7F8A" w:rsidRPr="00AC3044" w14:paraId="0252C0DA" w14:textId="77777777" w:rsidTr="009F7F8A">
        <w:trPr>
          <w:cantSplit/>
          <w:trHeight w:val="20"/>
        </w:trPr>
        <w:tc>
          <w:tcPr>
            <w:tcW w:w="1135" w:type="dxa"/>
            <w:vMerge w:val="restart"/>
            <w:textDirection w:val="btLr"/>
            <w:vAlign w:val="center"/>
          </w:tcPr>
          <w:p w14:paraId="31E5C307"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5677BA16" w14:textId="77777777" w:rsidR="009F7F8A" w:rsidRPr="00AC3044" w:rsidRDefault="009F7F8A" w:rsidP="009F7F8A">
            <w:pPr>
              <w:rPr>
                <w:rFonts w:eastAsia="SimSun"/>
              </w:rPr>
            </w:pPr>
            <w:r w:rsidRPr="00AC3044">
              <w:rPr>
                <w:rFonts w:eastAsia="SimSun"/>
              </w:rPr>
              <w:t>АТГ (кроличий)</w:t>
            </w:r>
          </w:p>
        </w:tc>
        <w:tc>
          <w:tcPr>
            <w:tcW w:w="1417" w:type="dxa"/>
            <w:vAlign w:val="center"/>
          </w:tcPr>
          <w:p w14:paraId="4A2AAFF7" w14:textId="77777777" w:rsidR="009F7F8A" w:rsidRPr="00AC3044" w:rsidRDefault="009F7F8A" w:rsidP="009F7F8A">
            <w:pPr>
              <w:rPr>
                <w:rFonts w:eastAsia="SimSun"/>
              </w:rPr>
            </w:pPr>
            <w:r w:rsidRPr="00AC3044">
              <w:rPr>
                <w:rFonts w:eastAsia="SimSun"/>
              </w:rPr>
              <w:t>2,5 мг/кг</w:t>
            </w:r>
          </w:p>
        </w:tc>
        <w:tc>
          <w:tcPr>
            <w:tcW w:w="1418" w:type="dxa"/>
            <w:vAlign w:val="center"/>
          </w:tcPr>
          <w:p w14:paraId="62AD65A1" w14:textId="77777777" w:rsidR="009F7F8A" w:rsidRPr="00AC3044" w:rsidRDefault="009F7F8A" w:rsidP="009F7F8A">
            <w:pPr>
              <w:rPr>
                <w:rFonts w:eastAsia="SimSun"/>
              </w:rPr>
            </w:pPr>
            <w:r w:rsidRPr="00AC3044">
              <w:rPr>
                <w:rFonts w:eastAsia="SimSun"/>
              </w:rPr>
              <w:t>5-7,5 мг/кг</w:t>
            </w:r>
          </w:p>
        </w:tc>
        <w:tc>
          <w:tcPr>
            <w:tcW w:w="1701" w:type="dxa"/>
            <w:vAlign w:val="center"/>
          </w:tcPr>
          <w:p w14:paraId="3120B598" w14:textId="77777777" w:rsidR="009F7F8A" w:rsidRPr="00AC3044" w:rsidRDefault="009F7F8A" w:rsidP="009F7F8A">
            <w:pPr>
              <w:rPr>
                <w:rFonts w:eastAsia="SimSun"/>
              </w:rPr>
            </w:pPr>
            <w:r w:rsidRPr="00AC3044">
              <w:rPr>
                <w:rFonts w:eastAsia="SimSun"/>
              </w:rPr>
              <w:t>С –3 по –2 (-1) день</w:t>
            </w:r>
          </w:p>
        </w:tc>
        <w:tc>
          <w:tcPr>
            <w:tcW w:w="2268" w:type="dxa"/>
            <w:vAlign w:val="center"/>
          </w:tcPr>
          <w:p w14:paraId="4EE35578" w14:textId="77777777" w:rsidR="009F7F8A" w:rsidRPr="00AC3044" w:rsidRDefault="009F7F8A" w:rsidP="009F7F8A">
            <w:pPr>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 xml:space="preserve">«Инфузия АТГ») </w:t>
            </w:r>
          </w:p>
        </w:tc>
      </w:tr>
      <w:tr w:rsidR="009F7F8A" w:rsidRPr="00AC3044" w14:paraId="43EA902E" w14:textId="77777777" w:rsidTr="009F7F8A">
        <w:trPr>
          <w:cantSplit/>
          <w:trHeight w:val="20"/>
        </w:trPr>
        <w:tc>
          <w:tcPr>
            <w:tcW w:w="1135" w:type="dxa"/>
            <w:vMerge/>
            <w:textDirection w:val="btLr"/>
          </w:tcPr>
          <w:p w14:paraId="3BBD2005" w14:textId="77777777" w:rsidR="009F7F8A" w:rsidRPr="00AC3044" w:rsidRDefault="009F7F8A" w:rsidP="009F7F8A">
            <w:pPr>
              <w:rPr>
                <w:rFonts w:eastAsia="SimSun"/>
              </w:rPr>
            </w:pPr>
          </w:p>
        </w:tc>
        <w:tc>
          <w:tcPr>
            <w:tcW w:w="1701" w:type="dxa"/>
            <w:vAlign w:val="center"/>
          </w:tcPr>
          <w:p w14:paraId="61823BD4" w14:textId="77777777" w:rsidR="009F7F8A" w:rsidRPr="00AC3044" w:rsidRDefault="009F7F8A" w:rsidP="009F7F8A">
            <w:pPr>
              <w:rPr>
                <w:rFonts w:eastAsia="SimSun"/>
              </w:rPr>
            </w:pPr>
            <w:r w:rsidRPr="00AC3044">
              <w:rPr>
                <w:rFonts w:eastAsia="SimSun"/>
              </w:rPr>
              <w:t>Циклоспорин</w:t>
            </w:r>
          </w:p>
        </w:tc>
        <w:tc>
          <w:tcPr>
            <w:tcW w:w="1417" w:type="dxa"/>
            <w:vAlign w:val="center"/>
          </w:tcPr>
          <w:p w14:paraId="5C3E26F4" w14:textId="77777777" w:rsidR="009F7F8A" w:rsidRPr="00AC3044" w:rsidRDefault="009F7F8A" w:rsidP="009F7F8A">
            <w:pPr>
              <w:rPr>
                <w:rFonts w:eastAsia="SimSun"/>
              </w:rPr>
            </w:pPr>
            <w:r w:rsidRPr="00AC3044">
              <w:rPr>
                <w:rFonts w:eastAsia="SimSun"/>
              </w:rPr>
              <w:t>3 мг/кг</w:t>
            </w:r>
          </w:p>
        </w:tc>
        <w:tc>
          <w:tcPr>
            <w:tcW w:w="1418" w:type="dxa"/>
            <w:vAlign w:val="center"/>
          </w:tcPr>
          <w:p w14:paraId="576950E8" w14:textId="77777777" w:rsidR="009F7F8A" w:rsidRPr="00AC3044" w:rsidRDefault="009F7F8A" w:rsidP="009F7F8A">
            <w:pPr>
              <w:rPr>
                <w:rFonts w:eastAsia="SimSun"/>
              </w:rPr>
            </w:pPr>
            <w:r w:rsidRPr="00AC3044">
              <w:rPr>
                <w:rFonts w:eastAsia="SimSun"/>
              </w:rPr>
              <w:t>–</w:t>
            </w:r>
          </w:p>
        </w:tc>
        <w:tc>
          <w:tcPr>
            <w:tcW w:w="1701" w:type="dxa"/>
            <w:vAlign w:val="center"/>
          </w:tcPr>
          <w:p w14:paraId="7E51AE31" w14:textId="77777777" w:rsidR="009F7F8A" w:rsidRPr="00AC3044" w:rsidRDefault="009F7F8A" w:rsidP="009F7F8A">
            <w:pPr>
              <w:rPr>
                <w:rFonts w:eastAsia="SimSun"/>
              </w:rPr>
            </w:pPr>
            <w:r w:rsidRPr="00AC3044">
              <w:rPr>
                <w:rFonts w:eastAsia="SimSun"/>
              </w:rPr>
              <w:t>С –1 по +90 день, затем постепенное снижение к +180 дню</w:t>
            </w:r>
          </w:p>
        </w:tc>
        <w:tc>
          <w:tcPr>
            <w:tcW w:w="2268" w:type="dxa"/>
            <w:vAlign w:val="center"/>
          </w:tcPr>
          <w:p w14:paraId="1E948CCE"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43E33B36" w14:textId="77777777" w:rsidTr="009F7F8A">
        <w:trPr>
          <w:cantSplit/>
          <w:trHeight w:val="20"/>
        </w:trPr>
        <w:tc>
          <w:tcPr>
            <w:tcW w:w="1135" w:type="dxa"/>
            <w:vMerge/>
          </w:tcPr>
          <w:p w14:paraId="18AA0A48" w14:textId="77777777" w:rsidR="009F7F8A" w:rsidRPr="00AC3044" w:rsidRDefault="009F7F8A" w:rsidP="009F7F8A">
            <w:pPr>
              <w:rPr>
                <w:rFonts w:eastAsia="SimSun"/>
              </w:rPr>
            </w:pPr>
          </w:p>
        </w:tc>
        <w:tc>
          <w:tcPr>
            <w:tcW w:w="1701" w:type="dxa"/>
            <w:vMerge w:val="restart"/>
            <w:vAlign w:val="center"/>
          </w:tcPr>
          <w:p w14:paraId="4E593044" w14:textId="77777777" w:rsidR="009F7F8A" w:rsidRPr="00AC3044" w:rsidRDefault="009F7F8A" w:rsidP="009F7F8A">
            <w:pPr>
              <w:rPr>
                <w:rFonts w:eastAsia="SimSun"/>
              </w:rPr>
            </w:pPr>
            <w:r w:rsidRPr="00AC3044">
              <w:rPr>
                <w:rFonts w:eastAsia="SimSun"/>
              </w:rPr>
              <w:t>Метотрексат</w:t>
            </w:r>
          </w:p>
        </w:tc>
        <w:tc>
          <w:tcPr>
            <w:tcW w:w="1417" w:type="dxa"/>
            <w:vAlign w:val="center"/>
          </w:tcPr>
          <w:p w14:paraId="4E9D7ED0" w14:textId="77777777" w:rsidR="009F7F8A" w:rsidRPr="00AC3044" w:rsidRDefault="009F7F8A" w:rsidP="009F7F8A">
            <w:pPr>
              <w:rPr>
                <w:rFonts w:eastAsia="SimSun"/>
              </w:rPr>
            </w:pPr>
            <w:r w:rsidRPr="00AC3044">
              <w:rPr>
                <w:rFonts w:eastAsia="SimSun"/>
              </w:rPr>
              <w:t>15 мг/м</w:t>
            </w:r>
            <w:r w:rsidRPr="001E6DBE">
              <w:rPr>
                <w:rFonts w:eastAsia="SimSun"/>
                <w:vertAlign w:val="superscript"/>
              </w:rPr>
              <w:t>2</w:t>
            </w:r>
          </w:p>
        </w:tc>
        <w:tc>
          <w:tcPr>
            <w:tcW w:w="1418" w:type="dxa"/>
            <w:vAlign w:val="center"/>
          </w:tcPr>
          <w:p w14:paraId="0B16D0CD" w14:textId="77777777" w:rsidR="009F7F8A" w:rsidRPr="00AC3044" w:rsidRDefault="009F7F8A" w:rsidP="009F7F8A">
            <w:pPr>
              <w:rPr>
                <w:rFonts w:eastAsia="SimSun"/>
              </w:rPr>
            </w:pPr>
            <w:r w:rsidRPr="00AC3044">
              <w:rPr>
                <w:rFonts w:eastAsia="SimSun"/>
              </w:rPr>
              <w:t>–</w:t>
            </w:r>
          </w:p>
        </w:tc>
        <w:tc>
          <w:tcPr>
            <w:tcW w:w="1701" w:type="dxa"/>
            <w:vAlign w:val="center"/>
          </w:tcPr>
          <w:p w14:paraId="0554F6C8" w14:textId="77777777" w:rsidR="009F7F8A" w:rsidRPr="00AC3044" w:rsidRDefault="009F7F8A" w:rsidP="009F7F8A">
            <w:pPr>
              <w:rPr>
                <w:rFonts w:eastAsia="SimSun"/>
              </w:rPr>
            </w:pPr>
            <w:r w:rsidRPr="00AC3044">
              <w:rPr>
                <w:rFonts w:eastAsia="SimSun"/>
              </w:rPr>
              <w:t>+1 день</w:t>
            </w:r>
          </w:p>
        </w:tc>
        <w:tc>
          <w:tcPr>
            <w:tcW w:w="2268" w:type="dxa"/>
            <w:vAlign w:val="center"/>
          </w:tcPr>
          <w:p w14:paraId="278C13E0"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05EA3444" w14:textId="77777777" w:rsidTr="009F7F8A">
        <w:trPr>
          <w:cantSplit/>
          <w:trHeight w:val="464"/>
        </w:trPr>
        <w:tc>
          <w:tcPr>
            <w:tcW w:w="1135" w:type="dxa"/>
            <w:vMerge/>
          </w:tcPr>
          <w:p w14:paraId="7F63615A" w14:textId="77777777" w:rsidR="009F7F8A" w:rsidRPr="00AC3044" w:rsidRDefault="009F7F8A" w:rsidP="009F7F8A">
            <w:pPr>
              <w:rPr>
                <w:rFonts w:eastAsia="SimSun"/>
              </w:rPr>
            </w:pPr>
          </w:p>
        </w:tc>
        <w:tc>
          <w:tcPr>
            <w:tcW w:w="1701" w:type="dxa"/>
            <w:vMerge/>
            <w:vAlign w:val="center"/>
          </w:tcPr>
          <w:p w14:paraId="229AB8A0" w14:textId="77777777" w:rsidR="009F7F8A" w:rsidRPr="00AC3044" w:rsidRDefault="009F7F8A" w:rsidP="009F7F8A">
            <w:pPr>
              <w:rPr>
                <w:rFonts w:eastAsia="SimSun"/>
              </w:rPr>
            </w:pPr>
          </w:p>
        </w:tc>
        <w:tc>
          <w:tcPr>
            <w:tcW w:w="1417" w:type="dxa"/>
            <w:vAlign w:val="center"/>
          </w:tcPr>
          <w:p w14:paraId="24A9A094" w14:textId="77777777" w:rsidR="009F7F8A" w:rsidRPr="00AC3044" w:rsidRDefault="009F7F8A" w:rsidP="009F7F8A">
            <w:pPr>
              <w:rPr>
                <w:rFonts w:eastAsia="SimSun"/>
              </w:rPr>
            </w:pPr>
            <w:r w:rsidRPr="00AC3044">
              <w:rPr>
                <w:rFonts w:eastAsia="SimSun"/>
              </w:rPr>
              <w:t>10 мг/м</w:t>
            </w:r>
            <w:r w:rsidRPr="001E6DBE">
              <w:rPr>
                <w:rFonts w:eastAsia="SimSun"/>
                <w:vertAlign w:val="superscript"/>
              </w:rPr>
              <w:t>2</w:t>
            </w:r>
          </w:p>
        </w:tc>
        <w:tc>
          <w:tcPr>
            <w:tcW w:w="1418" w:type="dxa"/>
            <w:vAlign w:val="center"/>
          </w:tcPr>
          <w:p w14:paraId="1A820810" w14:textId="77777777" w:rsidR="009F7F8A" w:rsidRPr="00AC3044" w:rsidRDefault="009F7F8A" w:rsidP="009F7F8A">
            <w:pPr>
              <w:rPr>
                <w:rFonts w:eastAsia="SimSun"/>
              </w:rPr>
            </w:pPr>
            <w:r w:rsidRPr="00AC3044">
              <w:rPr>
                <w:rFonts w:eastAsia="SimSun"/>
              </w:rPr>
              <w:t>–</w:t>
            </w:r>
          </w:p>
        </w:tc>
        <w:tc>
          <w:tcPr>
            <w:tcW w:w="1701" w:type="dxa"/>
            <w:vAlign w:val="center"/>
          </w:tcPr>
          <w:p w14:paraId="097C0D6E" w14:textId="77777777" w:rsidR="009F7F8A" w:rsidRPr="00AC3044" w:rsidRDefault="009F7F8A" w:rsidP="009F7F8A">
            <w:pPr>
              <w:rPr>
                <w:rFonts w:eastAsia="SimSun"/>
              </w:rPr>
            </w:pPr>
            <w:r w:rsidRPr="00AC3044">
              <w:rPr>
                <w:rFonts w:eastAsia="SimSun"/>
              </w:rPr>
              <w:t>+3, +6, +11 дни</w:t>
            </w:r>
          </w:p>
        </w:tc>
        <w:tc>
          <w:tcPr>
            <w:tcW w:w="2268" w:type="dxa"/>
            <w:vAlign w:val="center"/>
          </w:tcPr>
          <w:p w14:paraId="771BF09A"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1C490B22" w14:textId="77777777" w:rsidTr="009F7F8A">
        <w:trPr>
          <w:cantSplit/>
          <w:trHeight w:val="464"/>
        </w:trPr>
        <w:tc>
          <w:tcPr>
            <w:tcW w:w="1135" w:type="dxa"/>
            <w:vMerge/>
          </w:tcPr>
          <w:p w14:paraId="04E3D2F9" w14:textId="77777777" w:rsidR="009F7F8A" w:rsidRPr="00AC3044" w:rsidRDefault="009F7F8A" w:rsidP="009F7F8A">
            <w:pPr>
              <w:rPr>
                <w:rFonts w:eastAsia="SimSun"/>
              </w:rPr>
            </w:pPr>
          </w:p>
        </w:tc>
        <w:tc>
          <w:tcPr>
            <w:tcW w:w="1701" w:type="dxa"/>
            <w:vAlign w:val="center"/>
          </w:tcPr>
          <w:p w14:paraId="33214BC3" w14:textId="77777777" w:rsidR="009F7F8A" w:rsidRPr="00AC3044" w:rsidRDefault="009F7F8A" w:rsidP="009F7F8A">
            <w:pPr>
              <w:rPr>
                <w:rFonts w:eastAsia="SimSun"/>
              </w:rPr>
            </w:pPr>
            <w:r w:rsidRPr="00AC3044">
              <w:rPr>
                <w:rFonts w:eastAsia="SimSun"/>
              </w:rPr>
              <w:t>Микофенолата мофетил</w:t>
            </w:r>
          </w:p>
        </w:tc>
        <w:tc>
          <w:tcPr>
            <w:tcW w:w="1417" w:type="dxa"/>
            <w:vAlign w:val="center"/>
          </w:tcPr>
          <w:p w14:paraId="1F643F40" w14:textId="77777777" w:rsidR="009F7F8A" w:rsidRPr="00AC3044" w:rsidRDefault="009F7F8A" w:rsidP="009F7F8A">
            <w:pPr>
              <w:rPr>
                <w:rFonts w:eastAsia="SimSun"/>
              </w:rPr>
            </w:pPr>
            <w:r w:rsidRPr="00AC3044">
              <w:rPr>
                <w:rFonts w:eastAsia="SimSun"/>
              </w:rPr>
              <w:t>45 мг/кг</w:t>
            </w:r>
          </w:p>
        </w:tc>
        <w:tc>
          <w:tcPr>
            <w:tcW w:w="1418" w:type="dxa"/>
            <w:vAlign w:val="center"/>
          </w:tcPr>
          <w:p w14:paraId="63DB31B2" w14:textId="77777777" w:rsidR="009F7F8A" w:rsidRPr="00AC3044" w:rsidRDefault="009F7F8A" w:rsidP="009F7F8A">
            <w:pPr>
              <w:rPr>
                <w:rFonts w:eastAsia="SimSun"/>
              </w:rPr>
            </w:pPr>
            <w:r w:rsidRPr="00AC3044">
              <w:rPr>
                <w:rFonts w:eastAsia="SimSun"/>
              </w:rPr>
              <w:t>–</w:t>
            </w:r>
          </w:p>
        </w:tc>
        <w:tc>
          <w:tcPr>
            <w:tcW w:w="1701" w:type="dxa"/>
            <w:vAlign w:val="center"/>
          </w:tcPr>
          <w:p w14:paraId="6B0E6363" w14:textId="77777777" w:rsidR="009F7F8A" w:rsidRPr="00AC3044" w:rsidRDefault="009F7F8A" w:rsidP="009F7F8A">
            <w:pPr>
              <w:rPr>
                <w:rFonts w:eastAsia="SimSun"/>
              </w:rPr>
            </w:pPr>
            <w:r w:rsidRPr="00AC3044">
              <w:rPr>
                <w:rFonts w:eastAsia="SimSun"/>
              </w:rPr>
              <w:t>С +1 по +90 день</w:t>
            </w:r>
          </w:p>
        </w:tc>
        <w:tc>
          <w:tcPr>
            <w:tcW w:w="2268" w:type="dxa"/>
            <w:vAlign w:val="center"/>
          </w:tcPr>
          <w:p w14:paraId="2207B21F"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393CCFD9" w14:textId="77777777" w:rsidR="009F7F8A" w:rsidRDefault="009F7F8A" w:rsidP="009F7F8A">
      <w:pPr>
        <w:rPr>
          <w:rFonts w:eastAsia="SimSun"/>
        </w:rPr>
      </w:pPr>
      <w:bookmarkStart w:id="157" w:name="_Toc44401189"/>
    </w:p>
    <w:p w14:paraId="6CFE9005"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2.1.3  – Flu180+Bu12 / PT-Cy</w:t>
      </w:r>
      <w:bookmarkEnd w:id="157"/>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2"/>
        <w:gridCol w:w="1710"/>
        <w:gridCol w:w="1424"/>
        <w:gridCol w:w="1427"/>
        <w:gridCol w:w="1694"/>
        <w:gridCol w:w="2274"/>
      </w:tblGrid>
      <w:tr w:rsidR="009F7F8A" w:rsidRPr="00AC3044" w14:paraId="525A7FC7" w14:textId="77777777" w:rsidTr="009F7F8A">
        <w:trPr>
          <w:cantSplit/>
          <w:trHeight w:val="20"/>
          <w:tblHeader/>
        </w:trPr>
        <w:tc>
          <w:tcPr>
            <w:tcW w:w="1122" w:type="dxa"/>
            <w:vAlign w:val="center"/>
          </w:tcPr>
          <w:p w14:paraId="7CE807FF" w14:textId="77777777" w:rsidR="009F7F8A" w:rsidRPr="00AC3044" w:rsidRDefault="009F7F8A" w:rsidP="009F7F8A">
            <w:pPr>
              <w:rPr>
                <w:rFonts w:eastAsia="SimSun"/>
              </w:rPr>
            </w:pPr>
          </w:p>
        </w:tc>
        <w:tc>
          <w:tcPr>
            <w:tcW w:w="1710" w:type="dxa"/>
            <w:vAlign w:val="center"/>
          </w:tcPr>
          <w:p w14:paraId="6C87CF53" w14:textId="77777777" w:rsidR="009F7F8A" w:rsidRPr="00AC3044" w:rsidRDefault="009F7F8A" w:rsidP="009F7F8A">
            <w:pPr>
              <w:rPr>
                <w:rFonts w:eastAsia="SimSun"/>
              </w:rPr>
            </w:pPr>
            <w:r w:rsidRPr="00AC3044">
              <w:rPr>
                <w:rFonts w:eastAsia="SimSun"/>
              </w:rPr>
              <w:t>Препарат</w:t>
            </w:r>
          </w:p>
        </w:tc>
        <w:tc>
          <w:tcPr>
            <w:tcW w:w="1424" w:type="dxa"/>
            <w:vAlign w:val="center"/>
          </w:tcPr>
          <w:p w14:paraId="31298F93" w14:textId="77777777" w:rsidR="009F7F8A" w:rsidRPr="00AC3044" w:rsidRDefault="009F7F8A" w:rsidP="009F7F8A">
            <w:pPr>
              <w:rPr>
                <w:rFonts w:eastAsia="SimSun"/>
              </w:rPr>
            </w:pPr>
            <w:r w:rsidRPr="00AC3044">
              <w:rPr>
                <w:rFonts w:eastAsia="SimSun"/>
              </w:rPr>
              <w:t>Суточная доза</w:t>
            </w:r>
          </w:p>
        </w:tc>
        <w:tc>
          <w:tcPr>
            <w:tcW w:w="1427" w:type="dxa"/>
            <w:vAlign w:val="center"/>
          </w:tcPr>
          <w:p w14:paraId="2275CDF3" w14:textId="77777777" w:rsidR="009F7F8A" w:rsidRPr="00AC3044" w:rsidRDefault="009F7F8A" w:rsidP="009F7F8A">
            <w:pPr>
              <w:rPr>
                <w:rFonts w:eastAsia="SimSun"/>
              </w:rPr>
            </w:pPr>
            <w:r w:rsidRPr="00AC3044">
              <w:rPr>
                <w:rFonts w:eastAsia="SimSun"/>
              </w:rPr>
              <w:t>Курсовая доза</w:t>
            </w:r>
          </w:p>
        </w:tc>
        <w:tc>
          <w:tcPr>
            <w:tcW w:w="1694" w:type="dxa"/>
            <w:vAlign w:val="center"/>
          </w:tcPr>
          <w:p w14:paraId="1C6AAB10" w14:textId="77777777" w:rsidR="009F7F8A" w:rsidRPr="00AC3044" w:rsidRDefault="009F7F8A" w:rsidP="009F7F8A">
            <w:pPr>
              <w:rPr>
                <w:rFonts w:eastAsia="SimSun"/>
              </w:rPr>
            </w:pPr>
            <w:r w:rsidRPr="00AC3044">
              <w:rPr>
                <w:rFonts w:eastAsia="SimSun"/>
              </w:rPr>
              <w:t>Дни введения</w:t>
            </w:r>
          </w:p>
        </w:tc>
        <w:tc>
          <w:tcPr>
            <w:tcW w:w="2274" w:type="dxa"/>
            <w:vAlign w:val="center"/>
          </w:tcPr>
          <w:p w14:paraId="433138BD"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5EA98C5C" w14:textId="77777777" w:rsidTr="009F7F8A">
        <w:trPr>
          <w:cantSplit/>
          <w:trHeight w:val="20"/>
        </w:trPr>
        <w:tc>
          <w:tcPr>
            <w:tcW w:w="1122" w:type="dxa"/>
            <w:vMerge w:val="restart"/>
            <w:textDirection w:val="btLr"/>
            <w:vAlign w:val="center"/>
          </w:tcPr>
          <w:p w14:paraId="74E4DC51" w14:textId="77777777" w:rsidR="009F7F8A" w:rsidRPr="00AC3044" w:rsidRDefault="009F7F8A" w:rsidP="009F7F8A">
            <w:pPr>
              <w:rPr>
                <w:rFonts w:eastAsia="SimSun"/>
              </w:rPr>
            </w:pPr>
            <w:r w:rsidRPr="00AC3044">
              <w:rPr>
                <w:rFonts w:eastAsia="SimSun"/>
              </w:rPr>
              <w:t>Кондиционирование</w:t>
            </w:r>
          </w:p>
        </w:tc>
        <w:tc>
          <w:tcPr>
            <w:tcW w:w="1710" w:type="dxa"/>
            <w:vAlign w:val="center"/>
          </w:tcPr>
          <w:p w14:paraId="0AE50644" w14:textId="77777777" w:rsidR="009F7F8A" w:rsidRPr="00AC3044" w:rsidRDefault="009F7F8A" w:rsidP="009F7F8A">
            <w:pPr>
              <w:rPr>
                <w:rFonts w:eastAsia="SimSun"/>
              </w:rPr>
            </w:pPr>
            <w:r w:rsidRPr="00AC3044">
              <w:rPr>
                <w:rFonts w:eastAsia="SimSun"/>
              </w:rPr>
              <w:t xml:space="preserve">Флударабин </w:t>
            </w:r>
          </w:p>
        </w:tc>
        <w:tc>
          <w:tcPr>
            <w:tcW w:w="1424" w:type="dxa"/>
            <w:vAlign w:val="center"/>
          </w:tcPr>
          <w:p w14:paraId="0F2E157B"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427" w:type="dxa"/>
            <w:vAlign w:val="center"/>
          </w:tcPr>
          <w:p w14:paraId="75FABAB1"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694" w:type="dxa"/>
            <w:vAlign w:val="center"/>
          </w:tcPr>
          <w:p w14:paraId="2ED8FC2E" w14:textId="77777777" w:rsidR="009F7F8A" w:rsidRPr="00AC3044" w:rsidRDefault="009F7F8A" w:rsidP="009F7F8A">
            <w:pPr>
              <w:rPr>
                <w:rFonts w:eastAsia="SimSun"/>
              </w:rPr>
            </w:pPr>
            <w:r w:rsidRPr="00AC3044">
              <w:rPr>
                <w:rFonts w:eastAsia="SimSun"/>
              </w:rPr>
              <w:t>С -7 дня по -2 день</w:t>
            </w:r>
          </w:p>
        </w:tc>
        <w:tc>
          <w:tcPr>
            <w:tcW w:w="2274" w:type="dxa"/>
            <w:vAlign w:val="center"/>
          </w:tcPr>
          <w:p w14:paraId="554F4F7F"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41C7DDC2" w14:textId="77777777" w:rsidTr="009F7F8A">
        <w:trPr>
          <w:cantSplit/>
          <w:trHeight w:val="688"/>
        </w:trPr>
        <w:tc>
          <w:tcPr>
            <w:tcW w:w="1122" w:type="dxa"/>
            <w:vMerge/>
            <w:vAlign w:val="center"/>
          </w:tcPr>
          <w:p w14:paraId="297A7B5E" w14:textId="77777777" w:rsidR="009F7F8A" w:rsidRPr="00AC3044" w:rsidRDefault="009F7F8A" w:rsidP="009F7F8A">
            <w:pPr>
              <w:rPr>
                <w:rFonts w:eastAsia="SimSun"/>
              </w:rPr>
            </w:pPr>
          </w:p>
        </w:tc>
        <w:tc>
          <w:tcPr>
            <w:tcW w:w="1710" w:type="dxa"/>
            <w:vAlign w:val="center"/>
          </w:tcPr>
          <w:p w14:paraId="5ADB85BC" w14:textId="77777777" w:rsidR="009F7F8A" w:rsidRPr="00AC3044" w:rsidRDefault="009F7F8A" w:rsidP="009F7F8A">
            <w:pPr>
              <w:rPr>
                <w:rFonts w:eastAsia="SimSun"/>
              </w:rPr>
            </w:pPr>
            <w:r w:rsidRPr="00AC3044">
              <w:rPr>
                <w:rFonts w:eastAsia="SimSun"/>
              </w:rPr>
              <w:t>Бусульфан</w:t>
            </w:r>
          </w:p>
        </w:tc>
        <w:tc>
          <w:tcPr>
            <w:tcW w:w="1424" w:type="dxa"/>
            <w:vAlign w:val="center"/>
          </w:tcPr>
          <w:p w14:paraId="32A66D2A" w14:textId="77777777" w:rsidR="009F7F8A" w:rsidRPr="00AC3044" w:rsidRDefault="009F7F8A" w:rsidP="009F7F8A">
            <w:pPr>
              <w:rPr>
                <w:rFonts w:eastAsia="SimSun"/>
              </w:rPr>
            </w:pPr>
            <w:r w:rsidRPr="00AC3044">
              <w:rPr>
                <w:rFonts w:eastAsia="SimSun"/>
              </w:rPr>
              <w:t xml:space="preserve">4 мг/кг </w:t>
            </w:r>
          </w:p>
        </w:tc>
        <w:tc>
          <w:tcPr>
            <w:tcW w:w="1427" w:type="dxa"/>
            <w:vAlign w:val="center"/>
          </w:tcPr>
          <w:p w14:paraId="35B6C55E" w14:textId="77777777" w:rsidR="009F7F8A" w:rsidRPr="00AC3044" w:rsidRDefault="009F7F8A" w:rsidP="009F7F8A">
            <w:pPr>
              <w:rPr>
                <w:rFonts w:eastAsia="SimSun"/>
              </w:rPr>
            </w:pPr>
            <w:r w:rsidRPr="00AC3044">
              <w:rPr>
                <w:rFonts w:eastAsia="SimSun"/>
              </w:rPr>
              <w:t xml:space="preserve">12 мг/кг </w:t>
            </w:r>
          </w:p>
        </w:tc>
        <w:tc>
          <w:tcPr>
            <w:tcW w:w="1694" w:type="dxa"/>
            <w:vAlign w:val="center"/>
          </w:tcPr>
          <w:p w14:paraId="3FBE6A36" w14:textId="77777777" w:rsidR="009F7F8A" w:rsidRPr="00AC3044" w:rsidRDefault="009F7F8A" w:rsidP="009F7F8A">
            <w:pPr>
              <w:rPr>
                <w:rFonts w:eastAsia="SimSun"/>
              </w:rPr>
            </w:pPr>
            <w:r w:rsidRPr="00AC3044">
              <w:rPr>
                <w:rFonts w:eastAsia="SimSun"/>
              </w:rPr>
              <w:t>С -5 дня по -3 день</w:t>
            </w:r>
          </w:p>
        </w:tc>
        <w:tc>
          <w:tcPr>
            <w:tcW w:w="2274" w:type="dxa"/>
            <w:vAlign w:val="center"/>
          </w:tcPr>
          <w:p w14:paraId="06FD62E7"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7355B7AF" w14:textId="77777777" w:rsidTr="009F7F8A">
        <w:trPr>
          <w:cantSplit/>
          <w:trHeight w:val="980"/>
        </w:trPr>
        <w:tc>
          <w:tcPr>
            <w:tcW w:w="1122" w:type="dxa"/>
            <w:textDirection w:val="btLr"/>
            <w:vAlign w:val="center"/>
          </w:tcPr>
          <w:p w14:paraId="2B932AE7" w14:textId="77777777" w:rsidR="009F7F8A" w:rsidRPr="00AC3044" w:rsidRDefault="009F7F8A" w:rsidP="009F7F8A">
            <w:pPr>
              <w:rPr>
                <w:rFonts w:eastAsia="SimSun"/>
              </w:rPr>
            </w:pPr>
            <w:r w:rsidRPr="00AC3044">
              <w:rPr>
                <w:rFonts w:eastAsia="SimSun"/>
              </w:rPr>
              <w:t>Профилактика РТПХ</w:t>
            </w:r>
          </w:p>
        </w:tc>
        <w:tc>
          <w:tcPr>
            <w:tcW w:w="1710" w:type="dxa"/>
            <w:vAlign w:val="center"/>
          </w:tcPr>
          <w:p w14:paraId="47E1A813" w14:textId="77777777" w:rsidR="009F7F8A" w:rsidRPr="00AC3044" w:rsidRDefault="009F7F8A" w:rsidP="009F7F8A">
            <w:pPr>
              <w:rPr>
                <w:rFonts w:eastAsia="SimSun"/>
              </w:rPr>
            </w:pPr>
            <w:r w:rsidRPr="00AC3044">
              <w:rPr>
                <w:rFonts w:eastAsia="SimSun"/>
              </w:rPr>
              <w:t>Циклофосфамид</w:t>
            </w:r>
          </w:p>
        </w:tc>
        <w:tc>
          <w:tcPr>
            <w:tcW w:w="1424" w:type="dxa"/>
            <w:vAlign w:val="center"/>
          </w:tcPr>
          <w:p w14:paraId="36F9B7AC" w14:textId="77777777" w:rsidR="009F7F8A" w:rsidRPr="00AC3044" w:rsidRDefault="009F7F8A" w:rsidP="009F7F8A">
            <w:pPr>
              <w:rPr>
                <w:rFonts w:eastAsia="SimSun"/>
              </w:rPr>
            </w:pPr>
            <w:r w:rsidRPr="00AC3044">
              <w:rPr>
                <w:rFonts w:eastAsia="SimSun"/>
              </w:rPr>
              <w:t>50 мг/кг</w:t>
            </w:r>
          </w:p>
        </w:tc>
        <w:tc>
          <w:tcPr>
            <w:tcW w:w="1427" w:type="dxa"/>
            <w:vAlign w:val="center"/>
          </w:tcPr>
          <w:p w14:paraId="25080200" w14:textId="77777777" w:rsidR="009F7F8A" w:rsidRPr="00AC3044" w:rsidRDefault="009F7F8A" w:rsidP="009F7F8A">
            <w:pPr>
              <w:rPr>
                <w:rFonts w:eastAsia="SimSun"/>
              </w:rPr>
            </w:pPr>
            <w:r w:rsidRPr="00AC3044">
              <w:rPr>
                <w:rFonts w:eastAsia="SimSun"/>
              </w:rPr>
              <w:t>100 мг/кг</w:t>
            </w:r>
          </w:p>
        </w:tc>
        <w:tc>
          <w:tcPr>
            <w:tcW w:w="1694" w:type="dxa"/>
            <w:vAlign w:val="center"/>
          </w:tcPr>
          <w:p w14:paraId="3F417C89" w14:textId="77777777" w:rsidR="009F7F8A" w:rsidRPr="00AC3044" w:rsidRDefault="009F7F8A" w:rsidP="009F7F8A">
            <w:pPr>
              <w:rPr>
                <w:rFonts w:eastAsia="SimSun"/>
              </w:rPr>
            </w:pPr>
            <w:r w:rsidRPr="00AC3044">
              <w:rPr>
                <w:rFonts w:eastAsia="SimSun"/>
              </w:rPr>
              <w:t>С +3 дня по +4 день</w:t>
            </w:r>
          </w:p>
        </w:tc>
        <w:tc>
          <w:tcPr>
            <w:tcW w:w="2274" w:type="dxa"/>
            <w:vAlign w:val="center"/>
          </w:tcPr>
          <w:p w14:paraId="4E5378FF" w14:textId="77777777" w:rsidR="009F7F8A" w:rsidRPr="00AC3044" w:rsidRDefault="009F7F8A" w:rsidP="009F7F8A">
            <w:pPr>
              <w:rPr>
                <w:rFonts w:eastAsia="SimSun"/>
              </w:rPr>
            </w:pPr>
            <w:r w:rsidRPr="00AC3044">
              <w:rPr>
                <w:rFonts w:eastAsia="SimSun"/>
              </w:rPr>
              <w:t>В/в, в течение 2 ч</w:t>
            </w:r>
          </w:p>
        </w:tc>
      </w:tr>
    </w:tbl>
    <w:p w14:paraId="3A74A7BD" w14:textId="77777777" w:rsidR="009F7F8A" w:rsidRPr="00C07B2E" w:rsidRDefault="009F7F8A" w:rsidP="009F7F8A">
      <w:pPr>
        <w:rPr>
          <w:rFonts w:eastAsia="SimSun"/>
        </w:rPr>
      </w:pPr>
      <w:r w:rsidRPr="00C07B2E">
        <w:rPr>
          <w:rFonts w:eastAsia="SimSun"/>
        </w:rPr>
        <w:tab/>
      </w:r>
    </w:p>
    <w:p w14:paraId="2853DE8B" w14:textId="77777777" w:rsidR="009F7F8A" w:rsidRPr="00C07B2E" w:rsidRDefault="009F7F8A" w:rsidP="009F7F8A">
      <w:pPr>
        <w:rPr>
          <w:rFonts w:eastAsia="SimSun"/>
        </w:rPr>
      </w:pPr>
      <w:bookmarkStart w:id="158" w:name="_Toc44401190"/>
      <w:r w:rsidRPr="00042499">
        <w:rPr>
          <w:rFonts w:eastAsia="SimSun"/>
        </w:rPr>
        <w:t>Таблица</w:t>
      </w:r>
      <w:r w:rsidRPr="00C07B2E">
        <w:rPr>
          <w:rFonts w:eastAsia="SimSun"/>
        </w:rPr>
        <w:t xml:space="preserve"> </w:t>
      </w:r>
      <w:r>
        <w:rPr>
          <w:rFonts w:eastAsia="SimSun"/>
        </w:rPr>
        <w:t>5.</w:t>
      </w:r>
      <w:r w:rsidRPr="00C07B2E">
        <w:rPr>
          <w:rFonts w:eastAsia="SimSun"/>
        </w:rPr>
        <w:t>2.1.4  – Flu180+Bu12 / PT-Cy+Tx+MMF30</w:t>
      </w:r>
      <w:bookmarkEnd w:id="158"/>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417"/>
        <w:gridCol w:w="1418"/>
        <w:gridCol w:w="1701"/>
        <w:gridCol w:w="2268"/>
      </w:tblGrid>
      <w:tr w:rsidR="009F7F8A" w:rsidRPr="00AC3044" w14:paraId="46594391" w14:textId="77777777" w:rsidTr="009F7F8A">
        <w:trPr>
          <w:cantSplit/>
          <w:trHeight w:val="20"/>
          <w:tblHeader/>
        </w:trPr>
        <w:tc>
          <w:tcPr>
            <w:tcW w:w="1135" w:type="dxa"/>
            <w:vAlign w:val="center"/>
          </w:tcPr>
          <w:p w14:paraId="348D4F04" w14:textId="77777777" w:rsidR="009F7F8A" w:rsidRPr="00470D3D" w:rsidRDefault="009F7F8A" w:rsidP="009F7F8A">
            <w:pPr>
              <w:rPr>
                <w:rFonts w:eastAsia="SimSun"/>
              </w:rPr>
            </w:pPr>
          </w:p>
        </w:tc>
        <w:tc>
          <w:tcPr>
            <w:tcW w:w="1701" w:type="dxa"/>
            <w:vAlign w:val="center"/>
          </w:tcPr>
          <w:p w14:paraId="2C1D2219" w14:textId="77777777" w:rsidR="009F7F8A" w:rsidRPr="00AC3044" w:rsidRDefault="009F7F8A" w:rsidP="009F7F8A">
            <w:pPr>
              <w:rPr>
                <w:rFonts w:eastAsia="SimSun"/>
              </w:rPr>
            </w:pPr>
            <w:r w:rsidRPr="00AC3044">
              <w:rPr>
                <w:rFonts w:eastAsia="SimSun"/>
              </w:rPr>
              <w:t>Препарат</w:t>
            </w:r>
          </w:p>
        </w:tc>
        <w:tc>
          <w:tcPr>
            <w:tcW w:w="1417" w:type="dxa"/>
            <w:vAlign w:val="center"/>
          </w:tcPr>
          <w:p w14:paraId="74B1E428"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678AD2E2"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53C907C9"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623C8222"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107EAC70" w14:textId="77777777" w:rsidTr="009F7F8A">
        <w:trPr>
          <w:cantSplit/>
          <w:trHeight w:val="20"/>
        </w:trPr>
        <w:tc>
          <w:tcPr>
            <w:tcW w:w="1135" w:type="dxa"/>
            <w:vMerge w:val="restart"/>
            <w:textDirection w:val="btLr"/>
            <w:vAlign w:val="center"/>
          </w:tcPr>
          <w:p w14:paraId="6981FD1F"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3AD87A3C" w14:textId="77777777" w:rsidR="009F7F8A" w:rsidRPr="00AC3044" w:rsidRDefault="009F7F8A" w:rsidP="009F7F8A">
            <w:pPr>
              <w:rPr>
                <w:rFonts w:eastAsia="SimSun"/>
              </w:rPr>
            </w:pPr>
            <w:r w:rsidRPr="00AC3044">
              <w:rPr>
                <w:rFonts w:eastAsia="SimSun"/>
              </w:rPr>
              <w:t xml:space="preserve">Флударабин </w:t>
            </w:r>
          </w:p>
        </w:tc>
        <w:tc>
          <w:tcPr>
            <w:tcW w:w="1417" w:type="dxa"/>
            <w:vAlign w:val="center"/>
          </w:tcPr>
          <w:p w14:paraId="1DD61FD3"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418" w:type="dxa"/>
            <w:vAlign w:val="center"/>
          </w:tcPr>
          <w:p w14:paraId="3A8F94D4"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701" w:type="dxa"/>
            <w:vAlign w:val="center"/>
          </w:tcPr>
          <w:p w14:paraId="314D652E"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012F593A"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17E116CE" w14:textId="77777777" w:rsidTr="009F7F8A">
        <w:trPr>
          <w:cantSplit/>
          <w:trHeight w:val="1207"/>
        </w:trPr>
        <w:tc>
          <w:tcPr>
            <w:tcW w:w="1135" w:type="dxa"/>
            <w:vMerge/>
            <w:vAlign w:val="center"/>
          </w:tcPr>
          <w:p w14:paraId="66A9F82A" w14:textId="77777777" w:rsidR="009F7F8A" w:rsidRPr="00AC3044" w:rsidRDefault="009F7F8A" w:rsidP="009F7F8A">
            <w:pPr>
              <w:rPr>
                <w:rFonts w:eastAsia="SimSun"/>
              </w:rPr>
            </w:pPr>
          </w:p>
        </w:tc>
        <w:tc>
          <w:tcPr>
            <w:tcW w:w="1701" w:type="dxa"/>
            <w:vAlign w:val="center"/>
          </w:tcPr>
          <w:p w14:paraId="21A2406F" w14:textId="77777777" w:rsidR="009F7F8A" w:rsidRPr="00AC3044" w:rsidRDefault="009F7F8A" w:rsidP="009F7F8A">
            <w:pPr>
              <w:rPr>
                <w:rFonts w:eastAsia="SimSun"/>
              </w:rPr>
            </w:pPr>
            <w:r w:rsidRPr="00AC3044">
              <w:rPr>
                <w:rFonts w:eastAsia="SimSun"/>
              </w:rPr>
              <w:t>Бусульфан</w:t>
            </w:r>
          </w:p>
        </w:tc>
        <w:tc>
          <w:tcPr>
            <w:tcW w:w="1417" w:type="dxa"/>
            <w:vAlign w:val="center"/>
          </w:tcPr>
          <w:p w14:paraId="688EA3F6" w14:textId="77777777" w:rsidR="009F7F8A" w:rsidRPr="00AC3044" w:rsidRDefault="009F7F8A" w:rsidP="009F7F8A">
            <w:pPr>
              <w:rPr>
                <w:rFonts w:eastAsia="SimSun"/>
              </w:rPr>
            </w:pPr>
            <w:r w:rsidRPr="00AC3044">
              <w:rPr>
                <w:rFonts w:eastAsia="SimSun"/>
              </w:rPr>
              <w:t xml:space="preserve">4 мг/кг </w:t>
            </w:r>
          </w:p>
        </w:tc>
        <w:tc>
          <w:tcPr>
            <w:tcW w:w="1418" w:type="dxa"/>
            <w:vAlign w:val="center"/>
          </w:tcPr>
          <w:p w14:paraId="4334F2B4" w14:textId="77777777" w:rsidR="009F7F8A" w:rsidRPr="00AC3044" w:rsidRDefault="009F7F8A" w:rsidP="009F7F8A">
            <w:pPr>
              <w:rPr>
                <w:rFonts w:eastAsia="SimSun"/>
              </w:rPr>
            </w:pPr>
            <w:r w:rsidRPr="00AC3044">
              <w:rPr>
                <w:rFonts w:eastAsia="SimSun"/>
              </w:rPr>
              <w:t xml:space="preserve">12мг/кг </w:t>
            </w:r>
          </w:p>
        </w:tc>
        <w:tc>
          <w:tcPr>
            <w:tcW w:w="1701" w:type="dxa"/>
            <w:vAlign w:val="center"/>
          </w:tcPr>
          <w:p w14:paraId="614FB12A" w14:textId="77777777" w:rsidR="009F7F8A" w:rsidRPr="00AC3044" w:rsidRDefault="009F7F8A" w:rsidP="009F7F8A">
            <w:pPr>
              <w:rPr>
                <w:rFonts w:eastAsia="SimSun"/>
              </w:rPr>
            </w:pPr>
            <w:r w:rsidRPr="00AC3044">
              <w:rPr>
                <w:rFonts w:eastAsia="SimSun"/>
              </w:rPr>
              <w:t>С -5 дня по -3 день</w:t>
            </w:r>
          </w:p>
        </w:tc>
        <w:tc>
          <w:tcPr>
            <w:tcW w:w="2268" w:type="dxa"/>
            <w:vAlign w:val="center"/>
          </w:tcPr>
          <w:p w14:paraId="494C86ED"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2DF629F2" w14:textId="77777777" w:rsidTr="009F7F8A">
        <w:trPr>
          <w:cantSplit/>
          <w:trHeight w:val="669"/>
        </w:trPr>
        <w:tc>
          <w:tcPr>
            <w:tcW w:w="1135" w:type="dxa"/>
            <w:vMerge w:val="restart"/>
            <w:textDirection w:val="btLr"/>
            <w:vAlign w:val="center"/>
          </w:tcPr>
          <w:p w14:paraId="3134951C"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49491675" w14:textId="77777777" w:rsidR="009F7F8A" w:rsidRPr="00AC3044" w:rsidRDefault="009F7F8A" w:rsidP="009F7F8A">
            <w:pPr>
              <w:rPr>
                <w:rFonts w:eastAsia="SimSun"/>
              </w:rPr>
            </w:pPr>
            <w:r w:rsidRPr="00AC3044">
              <w:rPr>
                <w:rFonts w:eastAsia="SimSun"/>
              </w:rPr>
              <w:t>Циклофосфамид</w:t>
            </w:r>
          </w:p>
        </w:tc>
        <w:tc>
          <w:tcPr>
            <w:tcW w:w="1417" w:type="dxa"/>
            <w:vAlign w:val="center"/>
          </w:tcPr>
          <w:p w14:paraId="13EF64B1"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61F69A23"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4C8427A0" w14:textId="77777777" w:rsidR="009F7F8A" w:rsidRPr="00AC3044" w:rsidRDefault="009F7F8A" w:rsidP="009F7F8A">
            <w:pPr>
              <w:rPr>
                <w:rFonts w:eastAsia="SimSun"/>
              </w:rPr>
            </w:pPr>
            <w:r w:rsidRPr="00AC3044">
              <w:rPr>
                <w:rFonts w:eastAsia="SimSun"/>
              </w:rPr>
              <w:t>С +3 дня по +4 день</w:t>
            </w:r>
          </w:p>
        </w:tc>
        <w:tc>
          <w:tcPr>
            <w:tcW w:w="2268" w:type="dxa"/>
            <w:vAlign w:val="center"/>
          </w:tcPr>
          <w:p w14:paraId="04F10915" w14:textId="77777777" w:rsidR="009F7F8A" w:rsidRPr="00AC3044" w:rsidRDefault="009F7F8A" w:rsidP="009F7F8A">
            <w:pPr>
              <w:rPr>
                <w:rFonts w:eastAsia="SimSun"/>
              </w:rPr>
            </w:pPr>
            <w:r w:rsidRPr="00AC3044">
              <w:rPr>
                <w:rFonts w:eastAsia="SimSun"/>
              </w:rPr>
              <w:t>В/в, в течение 2 ч</w:t>
            </w:r>
          </w:p>
        </w:tc>
      </w:tr>
      <w:tr w:rsidR="009F7F8A" w:rsidRPr="00AC3044" w14:paraId="4697B479" w14:textId="77777777" w:rsidTr="009F7F8A">
        <w:trPr>
          <w:cantSplit/>
          <w:trHeight w:val="958"/>
        </w:trPr>
        <w:tc>
          <w:tcPr>
            <w:tcW w:w="1135" w:type="dxa"/>
            <w:vMerge/>
            <w:textDirection w:val="btLr"/>
            <w:vAlign w:val="center"/>
          </w:tcPr>
          <w:p w14:paraId="57B3EF0C" w14:textId="77777777" w:rsidR="009F7F8A" w:rsidRPr="00AC3044" w:rsidRDefault="009F7F8A" w:rsidP="009F7F8A">
            <w:pPr>
              <w:rPr>
                <w:rFonts w:eastAsia="SimSun"/>
              </w:rPr>
            </w:pPr>
          </w:p>
        </w:tc>
        <w:tc>
          <w:tcPr>
            <w:tcW w:w="1701" w:type="dxa"/>
            <w:vAlign w:val="center"/>
          </w:tcPr>
          <w:p w14:paraId="2CE679CD" w14:textId="77777777" w:rsidR="009F7F8A" w:rsidRPr="00AC3044" w:rsidRDefault="009F7F8A" w:rsidP="009F7F8A">
            <w:pPr>
              <w:rPr>
                <w:rFonts w:eastAsia="SimSun"/>
              </w:rPr>
            </w:pPr>
            <w:r w:rsidRPr="00AC3044">
              <w:rPr>
                <w:rFonts w:eastAsia="SimSun"/>
              </w:rPr>
              <w:t xml:space="preserve">Такролимус </w:t>
            </w:r>
          </w:p>
        </w:tc>
        <w:tc>
          <w:tcPr>
            <w:tcW w:w="1417" w:type="dxa"/>
            <w:vAlign w:val="center"/>
          </w:tcPr>
          <w:p w14:paraId="20DB6A2B" w14:textId="77777777" w:rsidR="009F7F8A" w:rsidRPr="00AC3044" w:rsidRDefault="009F7F8A" w:rsidP="009F7F8A">
            <w:pPr>
              <w:rPr>
                <w:rFonts w:eastAsia="SimSun"/>
              </w:rPr>
            </w:pPr>
            <w:r w:rsidRPr="00AC3044">
              <w:rPr>
                <w:rFonts w:eastAsia="SimSun"/>
              </w:rPr>
              <w:t>0,03 мг/кг</w:t>
            </w:r>
          </w:p>
        </w:tc>
        <w:tc>
          <w:tcPr>
            <w:tcW w:w="1418" w:type="dxa"/>
            <w:vAlign w:val="center"/>
          </w:tcPr>
          <w:p w14:paraId="1C84AC0B" w14:textId="77777777" w:rsidR="009F7F8A" w:rsidRPr="00AC3044" w:rsidRDefault="009F7F8A" w:rsidP="009F7F8A">
            <w:pPr>
              <w:rPr>
                <w:rFonts w:eastAsia="SimSun"/>
              </w:rPr>
            </w:pPr>
            <w:r w:rsidRPr="00AC3044">
              <w:rPr>
                <w:rFonts w:eastAsia="SimSun"/>
              </w:rPr>
              <w:t>–</w:t>
            </w:r>
          </w:p>
        </w:tc>
        <w:tc>
          <w:tcPr>
            <w:tcW w:w="1701" w:type="dxa"/>
            <w:vAlign w:val="center"/>
          </w:tcPr>
          <w:p w14:paraId="28C8F338" w14:textId="77777777" w:rsidR="009F7F8A" w:rsidRPr="00AC3044" w:rsidRDefault="009F7F8A" w:rsidP="009F7F8A">
            <w:pPr>
              <w:rPr>
                <w:rFonts w:eastAsia="SimSun"/>
              </w:rPr>
            </w:pPr>
            <w:r w:rsidRPr="00AC3044">
              <w:rPr>
                <w:rFonts w:eastAsia="SimSun"/>
              </w:rPr>
              <w:t xml:space="preserve">С +5 дня длительно </w:t>
            </w:r>
          </w:p>
        </w:tc>
        <w:tc>
          <w:tcPr>
            <w:tcW w:w="2268" w:type="dxa"/>
            <w:vAlign w:val="center"/>
          </w:tcPr>
          <w:p w14:paraId="40278149"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 xml:space="preserve"> 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2ABD817F" w14:textId="77777777" w:rsidTr="009F7F8A">
        <w:trPr>
          <w:cantSplit/>
          <w:trHeight w:val="486"/>
        </w:trPr>
        <w:tc>
          <w:tcPr>
            <w:tcW w:w="1135" w:type="dxa"/>
            <w:vMerge/>
            <w:textDirection w:val="btLr"/>
            <w:vAlign w:val="center"/>
          </w:tcPr>
          <w:p w14:paraId="44F34F76" w14:textId="77777777" w:rsidR="009F7F8A" w:rsidRPr="00AC3044" w:rsidRDefault="009F7F8A" w:rsidP="009F7F8A">
            <w:pPr>
              <w:rPr>
                <w:rFonts w:eastAsia="SimSun"/>
              </w:rPr>
            </w:pPr>
          </w:p>
        </w:tc>
        <w:tc>
          <w:tcPr>
            <w:tcW w:w="1701" w:type="dxa"/>
            <w:vAlign w:val="center"/>
          </w:tcPr>
          <w:p w14:paraId="453C42F9" w14:textId="77777777" w:rsidR="009F7F8A" w:rsidRPr="00AC3044" w:rsidRDefault="009F7F8A" w:rsidP="009F7F8A">
            <w:pPr>
              <w:rPr>
                <w:rFonts w:eastAsia="SimSun"/>
              </w:rPr>
            </w:pPr>
            <w:r w:rsidRPr="00AC3044">
              <w:rPr>
                <w:rFonts w:eastAsia="SimSun"/>
              </w:rPr>
              <w:t>Микофенолата мофетил</w:t>
            </w:r>
          </w:p>
        </w:tc>
        <w:tc>
          <w:tcPr>
            <w:tcW w:w="1417" w:type="dxa"/>
            <w:vAlign w:val="center"/>
          </w:tcPr>
          <w:p w14:paraId="33E233E2" w14:textId="77777777" w:rsidR="009F7F8A" w:rsidRPr="00AC3044" w:rsidRDefault="009F7F8A" w:rsidP="009F7F8A">
            <w:pPr>
              <w:rPr>
                <w:rFonts w:eastAsia="SimSun"/>
              </w:rPr>
            </w:pPr>
            <w:r w:rsidRPr="00AC3044">
              <w:rPr>
                <w:rFonts w:eastAsia="SimSun"/>
              </w:rPr>
              <w:t xml:space="preserve">30 мг/кг </w:t>
            </w:r>
          </w:p>
        </w:tc>
        <w:tc>
          <w:tcPr>
            <w:tcW w:w="1418" w:type="dxa"/>
            <w:vAlign w:val="center"/>
          </w:tcPr>
          <w:p w14:paraId="07ED2E63" w14:textId="77777777" w:rsidR="009F7F8A" w:rsidRPr="00AC3044" w:rsidRDefault="009F7F8A" w:rsidP="009F7F8A">
            <w:pPr>
              <w:rPr>
                <w:rFonts w:eastAsia="SimSun"/>
              </w:rPr>
            </w:pPr>
            <w:r w:rsidRPr="00AC3044">
              <w:rPr>
                <w:rFonts w:eastAsia="SimSun"/>
              </w:rPr>
              <w:t>–</w:t>
            </w:r>
          </w:p>
        </w:tc>
        <w:tc>
          <w:tcPr>
            <w:tcW w:w="1701" w:type="dxa"/>
            <w:vAlign w:val="center"/>
          </w:tcPr>
          <w:p w14:paraId="311931CE" w14:textId="77777777" w:rsidR="009F7F8A" w:rsidRPr="00AC3044" w:rsidRDefault="009F7F8A" w:rsidP="009F7F8A">
            <w:pPr>
              <w:rPr>
                <w:rFonts w:eastAsia="SimSun"/>
              </w:rPr>
            </w:pPr>
            <w:r w:rsidRPr="00AC3044">
              <w:rPr>
                <w:rFonts w:eastAsia="SimSun"/>
              </w:rPr>
              <w:t xml:space="preserve">С +5 дня по +35 день </w:t>
            </w:r>
          </w:p>
        </w:tc>
        <w:tc>
          <w:tcPr>
            <w:tcW w:w="2268" w:type="dxa"/>
            <w:vAlign w:val="center"/>
          </w:tcPr>
          <w:p w14:paraId="2E987B43"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431DBBE7" w14:textId="77777777" w:rsidR="009F7F8A" w:rsidRDefault="009F7F8A" w:rsidP="009F7F8A">
      <w:pPr>
        <w:rPr>
          <w:rFonts w:eastAsia="SimSun"/>
        </w:rPr>
      </w:pPr>
      <w:bookmarkStart w:id="159" w:name="_Toc44401191"/>
    </w:p>
    <w:p w14:paraId="66BE73CB"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2.1.5  – Flu180+Bu12 / PT-Cy+CSA+MMF30</w:t>
      </w:r>
      <w:bookmarkEnd w:id="159"/>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417"/>
        <w:gridCol w:w="1418"/>
        <w:gridCol w:w="1701"/>
        <w:gridCol w:w="2268"/>
      </w:tblGrid>
      <w:tr w:rsidR="009F7F8A" w:rsidRPr="00AC3044" w14:paraId="0784A259" w14:textId="77777777" w:rsidTr="009F7F8A">
        <w:trPr>
          <w:cantSplit/>
          <w:trHeight w:val="20"/>
          <w:tblHeader/>
        </w:trPr>
        <w:tc>
          <w:tcPr>
            <w:tcW w:w="1135" w:type="dxa"/>
            <w:vAlign w:val="center"/>
          </w:tcPr>
          <w:p w14:paraId="336D1BA6" w14:textId="77777777" w:rsidR="009F7F8A" w:rsidRPr="00470D3D" w:rsidRDefault="009F7F8A" w:rsidP="009F7F8A">
            <w:pPr>
              <w:rPr>
                <w:rFonts w:eastAsia="SimSun"/>
              </w:rPr>
            </w:pPr>
          </w:p>
        </w:tc>
        <w:tc>
          <w:tcPr>
            <w:tcW w:w="1701" w:type="dxa"/>
            <w:vAlign w:val="center"/>
          </w:tcPr>
          <w:p w14:paraId="7BCA6E2B" w14:textId="77777777" w:rsidR="009F7F8A" w:rsidRPr="00AC3044" w:rsidRDefault="009F7F8A" w:rsidP="009F7F8A">
            <w:pPr>
              <w:rPr>
                <w:rFonts w:eastAsia="SimSun"/>
              </w:rPr>
            </w:pPr>
            <w:r w:rsidRPr="00AC3044">
              <w:rPr>
                <w:rFonts w:eastAsia="SimSun"/>
              </w:rPr>
              <w:t>Препарат</w:t>
            </w:r>
          </w:p>
        </w:tc>
        <w:tc>
          <w:tcPr>
            <w:tcW w:w="1417" w:type="dxa"/>
            <w:vAlign w:val="center"/>
          </w:tcPr>
          <w:p w14:paraId="1FF150AC"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07B0A371"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1E7AC812"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675A1FD8"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6B4298D2" w14:textId="77777777" w:rsidTr="009F7F8A">
        <w:trPr>
          <w:cantSplit/>
          <w:trHeight w:val="20"/>
        </w:trPr>
        <w:tc>
          <w:tcPr>
            <w:tcW w:w="1135" w:type="dxa"/>
            <w:vMerge w:val="restart"/>
            <w:textDirection w:val="btLr"/>
            <w:vAlign w:val="center"/>
          </w:tcPr>
          <w:p w14:paraId="0654F3FF"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042131F1" w14:textId="77777777" w:rsidR="009F7F8A" w:rsidRPr="00AC3044" w:rsidRDefault="009F7F8A" w:rsidP="009F7F8A">
            <w:pPr>
              <w:rPr>
                <w:rFonts w:eastAsia="SimSun"/>
              </w:rPr>
            </w:pPr>
            <w:r w:rsidRPr="00AC3044">
              <w:rPr>
                <w:rFonts w:eastAsia="SimSun"/>
              </w:rPr>
              <w:t xml:space="preserve">Флударабин </w:t>
            </w:r>
          </w:p>
        </w:tc>
        <w:tc>
          <w:tcPr>
            <w:tcW w:w="1417" w:type="dxa"/>
            <w:vAlign w:val="center"/>
          </w:tcPr>
          <w:p w14:paraId="088595CA"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418" w:type="dxa"/>
            <w:vAlign w:val="center"/>
          </w:tcPr>
          <w:p w14:paraId="07D01272"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701" w:type="dxa"/>
            <w:vAlign w:val="center"/>
          </w:tcPr>
          <w:p w14:paraId="54604B65"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0D395370"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15EF25D6" w14:textId="77777777" w:rsidTr="009F7F8A">
        <w:trPr>
          <w:cantSplit/>
          <w:trHeight w:val="1207"/>
        </w:trPr>
        <w:tc>
          <w:tcPr>
            <w:tcW w:w="1135" w:type="dxa"/>
            <w:vMerge/>
            <w:vAlign w:val="center"/>
          </w:tcPr>
          <w:p w14:paraId="74EDA5C6" w14:textId="77777777" w:rsidR="009F7F8A" w:rsidRPr="00AC3044" w:rsidRDefault="009F7F8A" w:rsidP="009F7F8A">
            <w:pPr>
              <w:rPr>
                <w:rFonts w:eastAsia="SimSun"/>
              </w:rPr>
            </w:pPr>
          </w:p>
        </w:tc>
        <w:tc>
          <w:tcPr>
            <w:tcW w:w="1701" w:type="dxa"/>
            <w:vAlign w:val="center"/>
          </w:tcPr>
          <w:p w14:paraId="5BFD95F0" w14:textId="77777777" w:rsidR="009F7F8A" w:rsidRPr="00AC3044" w:rsidRDefault="009F7F8A" w:rsidP="009F7F8A">
            <w:pPr>
              <w:rPr>
                <w:rFonts w:eastAsia="SimSun"/>
              </w:rPr>
            </w:pPr>
            <w:r w:rsidRPr="00AC3044">
              <w:rPr>
                <w:rFonts w:eastAsia="SimSun"/>
              </w:rPr>
              <w:t>Бусульфан</w:t>
            </w:r>
          </w:p>
        </w:tc>
        <w:tc>
          <w:tcPr>
            <w:tcW w:w="1417" w:type="dxa"/>
            <w:vAlign w:val="center"/>
          </w:tcPr>
          <w:p w14:paraId="2A6DFF84" w14:textId="77777777" w:rsidR="009F7F8A" w:rsidRPr="00AC3044" w:rsidRDefault="009F7F8A" w:rsidP="009F7F8A">
            <w:pPr>
              <w:rPr>
                <w:rFonts w:eastAsia="SimSun"/>
              </w:rPr>
            </w:pPr>
            <w:r w:rsidRPr="00AC3044">
              <w:rPr>
                <w:rFonts w:eastAsia="SimSun"/>
              </w:rPr>
              <w:t xml:space="preserve">4 мг/кг </w:t>
            </w:r>
          </w:p>
        </w:tc>
        <w:tc>
          <w:tcPr>
            <w:tcW w:w="1418" w:type="dxa"/>
            <w:vAlign w:val="center"/>
          </w:tcPr>
          <w:p w14:paraId="58F030EF" w14:textId="77777777" w:rsidR="009F7F8A" w:rsidRPr="00AC3044" w:rsidRDefault="009F7F8A" w:rsidP="009F7F8A">
            <w:pPr>
              <w:rPr>
                <w:rFonts w:eastAsia="SimSun"/>
              </w:rPr>
            </w:pPr>
            <w:r w:rsidRPr="00AC3044">
              <w:rPr>
                <w:rFonts w:eastAsia="SimSun"/>
              </w:rPr>
              <w:t xml:space="preserve">12 мг/кг </w:t>
            </w:r>
          </w:p>
        </w:tc>
        <w:tc>
          <w:tcPr>
            <w:tcW w:w="1701" w:type="dxa"/>
            <w:vAlign w:val="center"/>
          </w:tcPr>
          <w:p w14:paraId="119233B1" w14:textId="77777777" w:rsidR="009F7F8A" w:rsidRPr="00AC3044" w:rsidRDefault="009F7F8A" w:rsidP="009F7F8A">
            <w:pPr>
              <w:rPr>
                <w:rFonts w:eastAsia="SimSun"/>
              </w:rPr>
            </w:pPr>
            <w:r w:rsidRPr="00AC3044">
              <w:rPr>
                <w:rFonts w:eastAsia="SimSun"/>
              </w:rPr>
              <w:t>С -5 дня по -3 день</w:t>
            </w:r>
          </w:p>
        </w:tc>
        <w:tc>
          <w:tcPr>
            <w:tcW w:w="2268" w:type="dxa"/>
            <w:vAlign w:val="center"/>
          </w:tcPr>
          <w:p w14:paraId="30D5D23C"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69159D09" w14:textId="77777777" w:rsidTr="009F7F8A">
        <w:trPr>
          <w:cantSplit/>
          <w:trHeight w:val="606"/>
        </w:trPr>
        <w:tc>
          <w:tcPr>
            <w:tcW w:w="1135" w:type="dxa"/>
            <w:vMerge w:val="restart"/>
            <w:textDirection w:val="btLr"/>
            <w:vAlign w:val="center"/>
          </w:tcPr>
          <w:p w14:paraId="128B34A6"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016F76BC" w14:textId="77777777" w:rsidR="009F7F8A" w:rsidRPr="00AC3044" w:rsidRDefault="009F7F8A" w:rsidP="009F7F8A">
            <w:pPr>
              <w:rPr>
                <w:rFonts w:eastAsia="SimSun"/>
              </w:rPr>
            </w:pPr>
            <w:r w:rsidRPr="00AC3044">
              <w:rPr>
                <w:rFonts w:eastAsia="SimSun"/>
              </w:rPr>
              <w:t>Циклофосфамид</w:t>
            </w:r>
          </w:p>
        </w:tc>
        <w:tc>
          <w:tcPr>
            <w:tcW w:w="1417" w:type="dxa"/>
            <w:vAlign w:val="center"/>
          </w:tcPr>
          <w:p w14:paraId="2C2AC724"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00267671"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5E9A7B2B" w14:textId="77777777" w:rsidR="009F7F8A" w:rsidRPr="00AC3044" w:rsidRDefault="009F7F8A" w:rsidP="009F7F8A">
            <w:pPr>
              <w:rPr>
                <w:rFonts w:eastAsia="SimSun"/>
              </w:rPr>
            </w:pPr>
            <w:r w:rsidRPr="00AC3044">
              <w:rPr>
                <w:rFonts w:eastAsia="SimSun"/>
              </w:rPr>
              <w:t>В +3 день  и +5 день</w:t>
            </w:r>
          </w:p>
        </w:tc>
        <w:tc>
          <w:tcPr>
            <w:tcW w:w="2268" w:type="dxa"/>
            <w:vAlign w:val="center"/>
          </w:tcPr>
          <w:p w14:paraId="677405F6" w14:textId="77777777" w:rsidR="009F7F8A" w:rsidRPr="00AC3044" w:rsidRDefault="009F7F8A" w:rsidP="009F7F8A">
            <w:pPr>
              <w:rPr>
                <w:rFonts w:eastAsia="SimSun"/>
              </w:rPr>
            </w:pPr>
            <w:r w:rsidRPr="00AC3044">
              <w:rPr>
                <w:rFonts w:eastAsia="SimSun"/>
              </w:rPr>
              <w:t>В/в, в течение 2 ч</w:t>
            </w:r>
          </w:p>
        </w:tc>
      </w:tr>
      <w:tr w:rsidR="009F7F8A" w:rsidRPr="00AC3044" w14:paraId="3EE354BF" w14:textId="77777777" w:rsidTr="009F7F8A">
        <w:trPr>
          <w:cantSplit/>
          <w:trHeight w:val="829"/>
        </w:trPr>
        <w:tc>
          <w:tcPr>
            <w:tcW w:w="1135" w:type="dxa"/>
            <w:vMerge/>
            <w:textDirection w:val="btLr"/>
            <w:vAlign w:val="center"/>
          </w:tcPr>
          <w:p w14:paraId="7D3646F8" w14:textId="77777777" w:rsidR="009F7F8A" w:rsidRPr="00AC3044" w:rsidRDefault="009F7F8A" w:rsidP="009F7F8A">
            <w:pPr>
              <w:rPr>
                <w:rFonts w:eastAsia="SimSun"/>
              </w:rPr>
            </w:pPr>
          </w:p>
        </w:tc>
        <w:tc>
          <w:tcPr>
            <w:tcW w:w="1701" w:type="dxa"/>
            <w:vAlign w:val="center"/>
          </w:tcPr>
          <w:p w14:paraId="264D9D18" w14:textId="77777777" w:rsidR="009F7F8A" w:rsidRPr="00AC3044" w:rsidRDefault="009F7F8A" w:rsidP="009F7F8A">
            <w:pPr>
              <w:rPr>
                <w:rFonts w:eastAsia="SimSun"/>
              </w:rPr>
            </w:pPr>
            <w:r w:rsidRPr="00AC3044">
              <w:rPr>
                <w:rFonts w:eastAsia="SimSun"/>
              </w:rPr>
              <w:t>Микофенолата мофетил</w:t>
            </w:r>
          </w:p>
        </w:tc>
        <w:tc>
          <w:tcPr>
            <w:tcW w:w="1417" w:type="dxa"/>
            <w:vAlign w:val="center"/>
          </w:tcPr>
          <w:p w14:paraId="0A906515" w14:textId="77777777" w:rsidR="009F7F8A" w:rsidRPr="00AC3044" w:rsidRDefault="009F7F8A" w:rsidP="009F7F8A">
            <w:pPr>
              <w:rPr>
                <w:rFonts w:eastAsia="SimSun"/>
              </w:rPr>
            </w:pPr>
            <w:r w:rsidRPr="00AC3044">
              <w:rPr>
                <w:rFonts w:eastAsia="SimSun"/>
              </w:rPr>
              <w:t xml:space="preserve">30 мг/кг </w:t>
            </w:r>
          </w:p>
        </w:tc>
        <w:tc>
          <w:tcPr>
            <w:tcW w:w="1418" w:type="dxa"/>
            <w:vAlign w:val="center"/>
          </w:tcPr>
          <w:p w14:paraId="6082956B" w14:textId="77777777" w:rsidR="009F7F8A" w:rsidRPr="00AC3044" w:rsidRDefault="009F7F8A" w:rsidP="009F7F8A">
            <w:pPr>
              <w:rPr>
                <w:rFonts w:eastAsia="SimSun"/>
              </w:rPr>
            </w:pPr>
            <w:r w:rsidRPr="00AC3044">
              <w:rPr>
                <w:rFonts w:eastAsia="SimSun"/>
              </w:rPr>
              <w:t>–</w:t>
            </w:r>
          </w:p>
        </w:tc>
        <w:tc>
          <w:tcPr>
            <w:tcW w:w="1701" w:type="dxa"/>
            <w:vAlign w:val="center"/>
          </w:tcPr>
          <w:p w14:paraId="0CAB0BF5" w14:textId="77777777" w:rsidR="009F7F8A" w:rsidRPr="00AC3044" w:rsidRDefault="009F7F8A" w:rsidP="009F7F8A">
            <w:pPr>
              <w:rPr>
                <w:rFonts w:eastAsia="SimSun"/>
              </w:rPr>
            </w:pPr>
            <w:r w:rsidRPr="00AC3044">
              <w:rPr>
                <w:rFonts w:eastAsia="SimSun"/>
              </w:rPr>
              <w:t xml:space="preserve">С +1 дня по +28 день </w:t>
            </w:r>
          </w:p>
        </w:tc>
        <w:tc>
          <w:tcPr>
            <w:tcW w:w="2268" w:type="dxa"/>
            <w:vAlign w:val="center"/>
          </w:tcPr>
          <w:p w14:paraId="18F66091"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r w:rsidR="009F7F8A" w:rsidRPr="00AC3044" w14:paraId="5FEA9E92" w14:textId="77777777" w:rsidTr="009F7F8A">
        <w:trPr>
          <w:cantSplit/>
          <w:trHeight w:val="958"/>
        </w:trPr>
        <w:tc>
          <w:tcPr>
            <w:tcW w:w="1135" w:type="dxa"/>
            <w:vMerge/>
            <w:textDirection w:val="btLr"/>
            <w:vAlign w:val="center"/>
          </w:tcPr>
          <w:p w14:paraId="3236F476" w14:textId="77777777" w:rsidR="009F7F8A" w:rsidRPr="00AC3044" w:rsidRDefault="009F7F8A" w:rsidP="009F7F8A">
            <w:pPr>
              <w:rPr>
                <w:rFonts w:eastAsia="SimSun"/>
              </w:rPr>
            </w:pPr>
          </w:p>
        </w:tc>
        <w:tc>
          <w:tcPr>
            <w:tcW w:w="1701" w:type="dxa"/>
            <w:vAlign w:val="center"/>
          </w:tcPr>
          <w:p w14:paraId="014D1AE1" w14:textId="77777777" w:rsidR="009F7F8A" w:rsidRPr="00AC3044" w:rsidRDefault="009F7F8A" w:rsidP="009F7F8A">
            <w:pPr>
              <w:rPr>
                <w:rFonts w:eastAsia="SimSun"/>
              </w:rPr>
            </w:pPr>
            <w:r w:rsidRPr="00AC3044">
              <w:rPr>
                <w:rFonts w:eastAsia="SimSun"/>
              </w:rPr>
              <w:t>Циклоспорин А</w:t>
            </w:r>
          </w:p>
        </w:tc>
        <w:tc>
          <w:tcPr>
            <w:tcW w:w="1417" w:type="dxa"/>
            <w:vAlign w:val="center"/>
          </w:tcPr>
          <w:p w14:paraId="060CCC36" w14:textId="77777777" w:rsidR="009F7F8A" w:rsidRPr="00AC3044" w:rsidRDefault="009F7F8A" w:rsidP="009F7F8A">
            <w:pPr>
              <w:rPr>
                <w:rFonts w:eastAsia="SimSun"/>
              </w:rPr>
            </w:pPr>
            <w:r w:rsidRPr="00AC3044">
              <w:rPr>
                <w:rFonts w:eastAsia="SimSun"/>
              </w:rPr>
              <w:t>3  мг/кг</w:t>
            </w:r>
          </w:p>
        </w:tc>
        <w:tc>
          <w:tcPr>
            <w:tcW w:w="1418" w:type="dxa"/>
            <w:vAlign w:val="center"/>
          </w:tcPr>
          <w:p w14:paraId="3402D603" w14:textId="77777777" w:rsidR="009F7F8A" w:rsidRPr="00AC3044" w:rsidRDefault="009F7F8A" w:rsidP="009F7F8A">
            <w:pPr>
              <w:rPr>
                <w:rFonts w:eastAsia="SimSun"/>
              </w:rPr>
            </w:pPr>
            <w:r w:rsidRPr="00AC3044">
              <w:rPr>
                <w:rFonts w:eastAsia="SimSun"/>
              </w:rPr>
              <w:t>-</w:t>
            </w:r>
          </w:p>
        </w:tc>
        <w:tc>
          <w:tcPr>
            <w:tcW w:w="1701" w:type="dxa"/>
            <w:vAlign w:val="center"/>
          </w:tcPr>
          <w:p w14:paraId="6BD8FE5F" w14:textId="77777777" w:rsidR="009F7F8A" w:rsidRPr="00AC3044" w:rsidRDefault="009F7F8A" w:rsidP="009F7F8A">
            <w:pPr>
              <w:rPr>
                <w:rFonts w:eastAsia="SimSun"/>
              </w:rPr>
            </w:pPr>
            <w:r w:rsidRPr="00AC3044">
              <w:rPr>
                <w:rFonts w:eastAsia="SimSun"/>
              </w:rPr>
              <w:t xml:space="preserve">С -1 дня по +100 день </w:t>
            </w:r>
          </w:p>
        </w:tc>
        <w:tc>
          <w:tcPr>
            <w:tcW w:w="2268" w:type="dxa"/>
            <w:vAlign w:val="center"/>
          </w:tcPr>
          <w:p w14:paraId="7EA375C9"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bl>
    <w:p w14:paraId="46D23F4D" w14:textId="77777777" w:rsidR="009F7F8A" w:rsidRPr="001E6DBE" w:rsidRDefault="009F7F8A" w:rsidP="009F7F8A">
      <w:pPr>
        <w:rPr>
          <w:rFonts w:eastAsia="SimSun"/>
        </w:rPr>
      </w:pPr>
    </w:p>
    <w:p w14:paraId="0AD334E8" w14:textId="77777777" w:rsidR="009F7F8A" w:rsidRPr="00042499" w:rsidRDefault="009F7F8A" w:rsidP="009F7F8A">
      <w:pPr>
        <w:rPr>
          <w:rFonts w:eastAsia="SimSun"/>
          <w:lang w:val="en-US"/>
        </w:rPr>
      </w:pPr>
      <w:bookmarkStart w:id="160" w:name="_Toc44401192"/>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2.1.6  – </w:t>
      </w:r>
      <w:r w:rsidRPr="00C07B2E">
        <w:rPr>
          <w:rFonts w:eastAsia="SimSun"/>
        </w:rPr>
        <w:t>Flu</w:t>
      </w:r>
      <w:r w:rsidRPr="00042499">
        <w:rPr>
          <w:rFonts w:eastAsia="SimSun"/>
          <w:lang w:val="en-US"/>
        </w:rPr>
        <w:t>180+</w:t>
      </w:r>
      <w:r w:rsidRPr="00C07B2E">
        <w:rPr>
          <w:rFonts w:eastAsia="SimSun"/>
        </w:rPr>
        <w:t>Bu</w:t>
      </w:r>
      <w:r w:rsidRPr="00042499">
        <w:rPr>
          <w:rFonts w:eastAsia="SimSun"/>
          <w:lang w:val="en-US"/>
        </w:rPr>
        <w:t xml:space="preserve">12 / </w:t>
      </w:r>
      <w:r w:rsidRPr="00C07B2E">
        <w:rPr>
          <w:rFonts w:eastAsia="SimSun"/>
        </w:rPr>
        <w:t>Tx</w:t>
      </w:r>
      <w:r w:rsidRPr="00042499">
        <w:rPr>
          <w:rFonts w:eastAsia="SimSun"/>
          <w:lang w:val="en-US"/>
        </w:rPr>
        <w:t>+</w:t>
      </w:r>
      <w:r w:rsidRPr="00C07B2E">
        <w:rPr>
          <w:rFonts w:eastAsia="SimSun"/>
        </w:rPr>
        <w:t>MMF</w:t>
      </w:r>
      <w:r w:rsidRPr="00042499">
        <w:rPr>
          <w:rFonts w:eastAsia="SimSun"/>
          <w:lang w:val="en-US"/>
        </w:rPr>
        <w:t>30</w:t>
      </w:r>
      <w:bookmarkEnd w:id="160"/>
    </w:p>
    <w:tbl>
      <w:tblPr>
        <w:tblpPr w:leftFromText="180" w:rightFromText="180" w:vertAnchor="text" w:horzAnchor="margin" w:tblpX="6" w:tblpY="38"/>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2"/>
        <w:gridCol w:w="1709"/>
        <w:gridCol w:w="1395"/>
        <w:gridCol w:w="1367"/>
        <w:gridCol w:w="1783"/>
        <w:gridCol w:w="2267"/>
      </w:tblGrid>
      <w:tr w:rsidR="009F7F8A" w:rsidRPr="00AC3044" w14:paraId="147CBBDA" w14:textId="77777777" w:rsidTr="009F7F8A">
        <w:trPr>
          <w:cantSplit/>
          <w:trHeight w:val="20"/>
          <w:tblHeader/>
        </w:trPr>
        <w:tc>
          <w:tcPr>
            <w:tcW w:w="1142" w:type="dxa"/>
            <w:vAlign w:val="center"/>
          </w:tcPr>
          <w:p w14:paraId="63A16A24" w14:textId="77777777" w:rsidR="009F7F8A" w:rsidRPr="00AC3044" w:rsidRDefault="009F7F8A" w:rsidP="009F7F8A">
            <w:pPr>
              <w:rPr>
                <w:rFonts w:eastAsia="SimSun"/>
              </w:rPr>
            </w:pPr>
          </w:p>
        </w:tc>
        <w:tc>
          <w:tcPr>
            <w:tcW w:w="1709" w:type="dxa"/>
            <w:vAlign w:val="center"/>
          </w:tcPr>
          <w:p w14:paraId="4271DA51" w14:textId="77777777" w:rsidR="009F7F8A" w:rsidRPr="00AC3044" w:rsidRDefault="009F7F8A" w:rsidP="009F7F8A">
            <w:pPr>
              <w:rPr>
                <w:rFonts w:eastAsia="SimSun"/>
              </w:rPr>
            </w:pPr>
            <w:r w:rsidRPr="00AC3044">
              <w:rPr>
                <w:rFonts w:eastAsia="SimSun"/>
              </w:rPr>
              <w:t>Препарат</w:t>
            </w:r>
          </w:p>
        </w:tc>
        <w:tc>
          <w:tcPr>
            <w:tcW w:w="1395" w:type="dxa"/>
            <w:vAlign w:val="center"/>
          </w:tcPr>
          <w:p w14:paraId="24D13D34" w14:textId="77777777" w:rsidR="009F7F8A" w:rsidRPr="00AC3044" w:rsidRDefault="009F7F8A" w:rsidP="009F7F8A">
            <w:pPr>
              <w:rPr>
                <w:rFonts w:eastAsia="SimSun"/>
              </w:rPr>
            </w:pPr>
            <w:r w:rsidRPr="00AC3044">
              <w:rPr>
                <w:rFonts w:eastAsia="SimSun"/>
              </w:rPr>
              <w:t>Суточная доза</w:t>
            </w:r>
          </w:p>
        </w:tc>
        <w:tc>
          <w:tcPr>
            <w:tcW w:w="1367" w:type="dxa"/>
            <w:vAlign w:val="center"/>
          </w:tcPr>
          <w:p w14:paraId="0A25BD53" w14:textId="77777777" w:rsidR="009F7F8A" w:rsidRPr="00AC3044" w:rsidRDefault="009F7F8A" w:rsidP="009F7F8A">
            <w:pPr>
              <w:rPr>
                <w:rFonts w:eastAsia="SimSun"/>
              </w:rPr>
            </w:pPr>
            <w:r w:rsidRPr="00AC3044">
              <w:rPr>
                <w:rFonts w:eastAsia="SimSun"/>
              </w:rPr>
              <w:t>Курсовая доза</w:t>
            </w:r>
          </w:p>
        </w:tc>
        <w:tc>
          <w:tcPr>
            <w:tcW w:w="1783" w:type="dxa"/>
            <w:vAlign w:val="center"/>
          </w:tcPr>
          <w:p w14:paraId="64DCCCED" w14:textId="77777777" w:rsidR="009F7F8A" w:rsidRPr="00AC3044" w:rsidRDefault="009F7F8A" w:rsidP="009F7F8A">
            <w:pPr>
              <w:rPr>
                <w:rFonts w:eastAsia="SimSun"/>
              </w:rPr>
            </w:pPr>
            <w:r w:rsidRPr="00AC3044">
              <w:rPr>
                <w:rFonts w:eastAsia="SimSun"/>
              </w:rPr>
              <w:t>Дни введения</w:t>
            </w:r>
          </w:p>
        </w:tc>
        <w:tc>
          <w:tcPr>
            <w:tcW w:w="2267" w:type="dxa"/>
            <w:vAlign w:val="center"/>
          </w:tcPr>
          <w:p w14:paraId="05AE8DA6"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21D152F4" w14:textId="77777777" w:rsidTr="009F7F8A">
        <w:trPr>
          <w:cantSplit/>
          <w:trHeight w:val="20"/>
        </w:trPr>
        <w:tc>
          <w:tcPr>
            <w:tcW w:w="1142" w:type="dxa"/>
            <w:vMerge w:val="restart"/>
            <w:textDirection w:val="btLr"/>
            <w:vAlign w:val="center"/>
          </w:tcPr>
          <w:p w14:paraId="103F438F" w14:textId="77777777" w:rsidR="009F7F8A" w:rsidRPr="00AC3044" w:rsidRDefault="009F7F8A" w:rsidP="009F7F8A">
            <w:pPr>
              <w:rPr>
                <w:rFonts w:eastAsia="SimSun"/>
              </w:rPr>
            </w:pPr>
            <w:r w:rsidRPr="00AC3044">
              <w:rPr>
                <w:rFonts w:eastAsia="SimSun"/>
              </w:rPr>
              <w:t>Кондиционирование</w:t>
            </w:r>
          </w:p>
        </w:tc>
        <w:tc>
          <w:tcPr>
            <w:tcW w:w="1709" w:type="dxa"/>
            <w:vAlign w:val="center"/>
          </w:tcPr>
          <w:p w14:paraId="660F829D" w14:textId="77777777" w:rsidR="009F7F8A" w:rsidRPr="00AC3044" w:rsidRDefault="009F7F8A" w:rsidP="009F7F8A">
            <w:pPr>
              <w:rPr>
                <w:rFonts w:eastAsia="SimSun"/>
              </w:rPr>
            </w:pPr>
            <w:r w:rsidRPr="00AC3044">
              <w:rPr>
                <w:rFonts w:eastAsia="SimSun"/>
              </w:rPr>
              <w:t xml:space="preserve">Флударабин </w:t>
            </w:r>
          </w:p>
        </w:tc>
        <w:tc>
          <w:tcPr>
            <w:tcW w:w="1395" w:type="dxa"/>
            <w:vAlign w:val="center"/>
          </w:tcPr>
          <w:p w14:paraId="7C12ADAE" w14:textId="77777777" w:rsidR="009F7F8A" w:rsidRPr="00AC3044" w:rsidRDefault="009F7F8A" w:rsidP="009F7F8A">
            <w:pPr>
              <w:rPr>
                <w:rFonts w:eastAsia="SimSun"/>
              </w:rPr>
            </w:pPr>
            <w:r w:rsidRPr="00AC3044">
              <w:rPr>
                <w:rFonts w:eastAsia="SimSun"/>
              </w:rPr>
              <w:t>30 мг/м</w:t>
            </w:r>
            <w:r w:rsidRPr="001E6DBE">
              <w:rPr>
                <w:rFonts w:eastAsia="SimSun"/>
                <w:vertAlign w:val="superscript"/>
              </w:rPr>
              <w:t>2</w:t>
            </w:r>
          </w:p>
        </w:tc>
        <w:tc>
          <w:tcPr>
            <w:tcW w:w="1367" w:type="dxa"/>
            <w:vAlign w:val="center"/>
          </w:tcPr>
          <w:p w14:paraId="739DD495" w14:textId="77777777" w:rsidR="009F7F8A" w:rsidRPr="00AC3044" w:rsidRDefault="009F7F8A" w:rsidP="009F7F8A">
            <w:pPr>
              <w:rPr>
                <w:rFonts w:eastAsia="SimSun"/>
              </w:rPr>
            </w:pPr>
            <w:r w:rsidRPr="00AC3044">
              <w:rPr>
                <w:rFonts w:eastAsia="SimSun"/>
              </w:rPr>
              <w:t>180 мг/м</w:t>
            </w:r>
            <w:r w:rsidRPr="001E6DBE">
              <w:rPr>
                <w:rFonts w:eastAsia="SimSun"/>
                <w:vertAlign w:val="superscript"/>
              </w:rPr>
              <w:t>2</w:t>
            </w:r>
          </w:p>
        </w:tc>
        <w:tc>
          <w:tcPr>
            <w:tcW w:w="1783" w:type="dxa"/>
            <w:vAlign w:val="center"/>
          </w:tcPr>
          <w:p w14:paraId="08F15962" w14:textId="77777777" w:rsidR="009F7F8A" w:rsidRPr="00AC3044" w:rsidRDefault="009F7F8A" w:rsidP="009F7F8A">
            <w:pPr>
              <w:rPr>
                <w:rFonts w:eastAsia="SimSun"/>
              </w:rPr>
            </w:pPr>
            <w:r w:rsidRPr="00AC3044">
              <w:rPr>
                <w:rFonts w:eastAsia="SimSun"/>
              </w:rPr>
              <w:t>С -7 дня по -2 день</w:t>
            </w:r>
          </w:p>
        </w:tc>
        <w:tc>
          <w:tcPr>
            <w:tcW w:w="2267" w:type="dxa"/>
            <w:vAlign w:val="center"/>
          </w:tcPr>
          <w:p w14:paraId="2DFEC4D1"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49008527" w14:textId="77777777" w:rsidTr="009F7F8A">
        <w:trPr>
          <w:cantSplit/>
          <w:trHeight w:val="547"/>
        </w:trPr>
        <w:tc>
          <w:tcPr>
            <w:tcW w:w="1142" w:type="dxa"/>
            <w:vMerge/>
            <w:vAlign w:val="center"/>
          </w:tcPr>
          <w:p w14:paraId="766829FD" w14:textId="77777777" w:rsidR="009F7F8A" w:rsidRPr="00AC3044" w:rsidRDefault="009F7F8A" w:rsidP="009F7F8A">
            <w:pPr>
              <w:rPr>
                <w:rFonts w:eastAsia="SimSun"/>
              </w:rPr>
            </w:pPr>
          </w:p>
        </w:tc>
        <w:tc>
          <w:tcPr>
            <w:tcW w:w="1709" w:type="dxa"/>
            <w:vAlign w:val="center"/>
          </w:tcPr>
          <w:p w14:paraId="151FB677" w14:textId="77777777" w:rsidR="009F7F8A" w:rsidRPr="00AC3044" w:rsidRDefault="009F7F8A" w:rsidP="009F7F8A">
            <w:pPr>
              <w:rPr>
                <w:rFonts w:eastAsia="SimSun"/>
              </w:rPr>
            </w:pPr>
            <w:r w:rsidRPr="00AC3044">
              <w:rPr>
                <w:rFonts w:eastAsia="SimSun"/>
              </w:rPr>
              <w:t>Бусульфан</w:t>
            </w:r>
          </w:p>
        </w:tc>
        <w:tc>
          <w:tcPr>
            <w:tcW w:w="1395" w:type="dxa"/>
            <w:vAlign w:val="center"/>
          </w:tcPr>
          <w:p w14:paraId="7CA7A7E7" w14:textId="77777777" w:rsidR="009F7F8A" w:rsidRPr="00AC3044" w:rsidRDefault="009F7F8A" w:rsidP="009F7F8A">
            <w:pPr>
              <w:rPr>
                <w:rFonts w:eastAsia="SimSun"/>
              </w:rPr>
            </w:pPr>
            <w:r w:rsidRPr="00AC3044">
              <w:rPr>
                <w:rFonts w:eastAsia="SimSun"/>
              </w:rPr>
              <w:t xml:space="preserve">4 мг/кг </w:t>
            </w:r>
          </w:p>
        </w:tc>
        <w:tc>
          <w:tcPr>
            <w:tcW w:w="1367" w:type="dxa"/>
            <w:vAlign w:val="center"/>
          </w:tcPr>
          <w:p w14:paraId="46E13D5B" w14:textId="77777777" w:rsidR="009F7F8A" w:rsidRPr="00AC3044" w:rsidRDefault="009F7F8A" w:rsidP="009F7F8A">
            <w:pPr>
              <w:rPr>
                <w:rFonts w:eastAsia="SimSun"/>
              </w:rPr>
            </w:pPr>
            <w:r w:rsidRPr="00AC3044">
              <w:rPr>
                <w:rFonts w:eastAsia="SimSun"/>
              </w:rPr>
              <w:t xml:space="preserve">12 мг/кг </w:t>
            </w:r>
          </w:p>
        </w:tc>
        <w:tc>
          <w:tcPr>
            <w:tcW w:w="1783" w:type="dxa"/>
            <w:vAlign w:val="center"/>
          </w:tcPr>
          <w:p w14:paraId="49FBB063" w14:textId="77777777" w:rsidR="009F7F8A" w:rsidRPr="00AC3044" w:rsidRDefault="009F7F8A" w:rsidP="009F7F8A">
            <w:pPr>
              <w:rPr>
                <w:rFonts w:eastAsia="SimSun"/>
              </w:rPr>
            </w:pPr>
            <w:r w:rsidRPr="00AC3044">
              <w:rPr>
                <w:rFonts w:eastAsia="SimSun"/>
              </w:rPr>
              <w:t>С -5 дня по -3 день</w:t>
            </w:r>
          </w:p>
        </w:tc>
        <w:tc>
          <w:tcPr>
            <w:tcW w:w="2267" w:type="dxa"/>
            <w:vAlign w:val="center"/>
          </w:tcPr>
          <w:p w14:paraId="57AAA81F"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1814B88A" w14:textId="77777777" w:rsidTr="009F7F8A">
        <w:trPr>
          <w:cantSplit/>
          <w:trHeight w:val="1498"/>
        </w:trPr>
        <w:tc>
          <w:tcPr>
            <w:tcW w:w="1142" w:type="dxa"/>
            <w:vMerge w:val="restart"/>
            <w:textDirection w:val="btLr"/>
            <w:vAlign w:val="center"/>
          </w:tcPr>
          <w:p w14:paraId="3401057B" w14:textId="77777777" w:rsidR="009F7F8A" w:rsidRPr="00AC3044" w:rsidRDefault="009F7F8A" w:rsidP="009F7F8A">
            <w:pPr>
              <w:rPr>
                <w:rFonts w:eastAsia="SimSun"/>
              </w:rPr>
            </w:pPr>
            <w:r w:rsidRPr="00AC3044">
              <w:rPr>
                <w:rFonts w:eastAsia="SimSun"/>
              </w:rPr>
              <w:t>Профилактика РТПХ</w:t>
            </w:r>
          </w:p>
        </w:tc>
        <w:tc>
          <w:tcPr>
            <w:tcW w:w="1709" w:type="dxa"/>
            <w:vAlign w:val="center"/>
          </w:tcPr>
          <w:p w14:paraId="263C1122" w14:textId="77777777" w:rsidR="009F7F8A" w:rsidRPr="00AC3044" w:rsidRDefault="009F7F8A" w:rsidP="009F7F8A">
            <w:pPr>
              <w:rPr>
                <w:rFonts w:eastAsia="SimSun"/>
              </w:rPr>
            </w:pPr>
            <w:r w:rsidRPr="00AC3044">
              <w:rPr>
                <w:rFonts w:eastAsia="SimSun"/>
              </w:rPr>
              <w:t xml:space="preserve">Такролимус </w:t>
            </w:r>
          </w:p>
        </w:tc>
        <w:tc>
          <w:tcPr>
            <w:tcW w:w="1395" w:type="dxa"/>
            <w:vAlign w:val="center"/>
          </w:tcPr>
          <w:p w14:paraId="696A09D5" w14:textId="77777777" w:rsidR="009F7F8A" w:rsidRPr="00AC3044" w:rsidRDefault="009F7F8A" w:rsidP="009F7F8A">
            <w:pPr>
              <w:rPr>
                <w:rFonts w:eastAsia="SimSun"/>
              </w:rPr>
            </w:pPr>
            <w:r w:rsidRPr="00AC3044">
              <w:rPr>
                <w:rFonts w:eastAsia="SimSun"/>
              </w:rPr>
              <w:t>0,03 мг/кг</w:t>
            </w:r>
          </w:p>
        </w:tc>
        <w:tc>
          <w:tcPr>
            <w:tcW w:w="1367" w:type="dxa"/>
            <w:vAlign w:val="center"/>
          </w:tcPr>
          <w:p w14:paraId="24083155" w14:textId="77777777" w:rsidR="009F7F8A" w:rsidRPr="00AC3044" w:rsidRDefault="009F7F8A" w:rsidP="009F7F8A">
            <w:pPr>
              <w:rPr>
                <w:rFonts w:eastAsia="SimSun"/>
              </w:rPr>
            </w:pPr>
            <w:r w:rsidRPr="00AC3044">
              <w:rPr>
                <w:rFonts w:eastAsia="SimSun"/>
              </w:rPr>
              <w:t>–</w:t>
            </w:r>
          </w:p>
        </w:tc>
        <w:tc>
          <w:tcPr>
            <w:tcW w:w="1783" w:type="dxa"/>
            <w:vAlign w:val="center"/>
          </w:tcPr>
          <w:p w14:paraId="69595481" w14:textId="77777777" w:rsidR="009F7F8A" w:rsidRPr="00AC3044" w:rsidRDefault="009F7F8A" w:rsidP="009F7F8A">
            <w:pPr>
              <w:rPr>
                <w:rFonts w:eastAsia="SimSun"/>
              </w:rPr>
            </w:pPr>
            <w:r w:rsidRPr="00AC3044">
              <w:rPr>
                <w:rFonts w:eastAsia="SimSun"/>
              </w:rPr>
              <w:t xml:space="preserve">С +5 дня длительно </w:t>
            </w:r>
          </w:p>
        </w:tc>
        <w:tc>
          <w:tcPr>
            <w:tcW w:w="2267" w:type="dxa"/>
            <w:vAlign w:val="center"/>
          </w:tcPr>
          <w:p w14:paraId="230BD5C5"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DB259E">
              <w:rPr>
                <w:rFonts w:eastAsia="SimSun"/>
                <w:vertAlign w:val="superscript"/>
              </w:rPr>
              <w:t>9</w:t>
            </w:r>
            <w:r w:rsidRPr="00AC3044">
              <w:rPr>
                <w:rFonts w:eastAsia="SimSun"/>
              </w:rPr>
              <w:t>/л, при</w:t>
            </w:r>
            <w:r>
              <w:rPr>
                <w:rFonts w:eastAsia="SimSun"/>
              </w:rPr>
              <w:t xml:space="preserve"> </w:t>
            </w:r>
            <w:r w:rsidRPr="00AC3044">
              <w:rPr>
                <w:rFonts w:eastAsia="SimSun"/>
              </w:rPr>
              <w:t xml:space="preserve">отсутствии тошноты, рвоты, диареи и возможности приема внутрь. Концентрация Tx 5-15 нг/мл.    </w:t>
            </w:r>
          </w:p>
        </w:tc>
      </w:tr>
      <w:tr w:rsidR="009F7F8A" w:rsidRPr="00AC3044" w14:paraId="50E830F4" w14:textId="77777777" w:rsidTr="009F7F8A">
        <w:trPr>
          <w:cantSplit/>
          <w:trHeight w:val="625"/>
        </w:trPr>
        <w:tc>
          <w:tcPr>
            <w:tcW w:w="1142" w:type="dxa"/>
            <w:vMerge/>
            <w:textDirection w:val="btLr"/>
            <w:vAlign w:val="center"/>
          </w:tcPr>
          <w:p w14:paraId="6DF85508" w14:textId="77777777" w:rsidR="009F7F8A" w:rsidRPr="00AC3044" w:rsidRDefault="009F7F8A" w:rsidP="009F7F8A">
            <w:pPr>
              <w:rPr>
                <w:rFonts w:eastAsia="SimSun"/>
              </w:rPr>
            </w:pPr>
          </w:p>
        </w:tc>
        <w:tc>
          <w:tcPr>
            <w:tcW w:w="1709" w:type="dxa"/>
            <w:vAlign w:val="center"/>
          </w:tcPr>
          <w:p w14:paraId="6AE2F802" w14:textId="77777777" w:rsidR="009F7F8A" w:rsidRPr="00AC3044" w:rsidRDefault="009F7F8A" w:rsidP="009F7F8A">
            <w:pPr>
              <w:rPr>
                <w:rFonts w:eastAsia="SimSun"/>
              </w:rPr>
            </w:pPr>
            <w:r w:rsidRPr="00AC3044">
              <w:rPr>
                <w:rFonts w:eastAsia="SimSun"/>
              </w:rPr>
              <w:t>Микофенолата мофетил</w:t>
            </w:r>
          </w:p>
        </w:tc>
        <w:tc>
          <w:tcPr>
            <w:tcW w:w="1395" w:type="dxa"/>
            <w:vAlign w:val="center"/>
          </w:tcPr>
          <w:p w14:paraId="20515858" w14:textId="77777777" w:rsidR="009F7F8A" w:rsidRPr="00AC3044" w:rsidRDefault="009F7F8A" w:rsidP="009F7F8A">
            <w:pPr>
              <w:rPr>
                <w:rFonts w:eastAsia="SimSun"/>
              </w:rPr>
            </w:pPr>
            <w:r w:rsidRPr="00AC3044">
              <w:rPr>
                <w:rFonts w:eastAsia="SimSun"/>
              </w:rPr>
              <w:t xml:space="preserve">30 мг/кг </w:t>
            </w:r>
          </w:p>
        </w:tc>
        <w:tc>
          <w:tcPr>
            <w:tcW w:w="1367" w:type="dxa"/>
            <w:vAlign w:val="center"/>
          </w:tcPr>
          <w:p w14:paraId="6BB6E5EF" w14:textId="77777777" w:rsidR="009F7F8A" w:rsidRPr="00AC3044" w:rsidRDefault="009F7F8A" w:rsidP="009F7F8A">
            <w:pPr>
              <w:rPr>
                <w:rFonts w:eastAsia="SimSun"/>
              </w:rPr>
            </w:pPr>
            <w:r w:rsidRPr="00AC3044">
              <w:rPr>
                <w:rFonts w:eastAsia="SimSun"/>
              </w:rPr>
              <w:t>–</w:t>
            </w:r>
          </w:p>
        </w:tc>
        <w:tc>
          <w:tcPr>
            <w:tcW w:w="1783" w:type="dxa"/>
            <w:vAlign w:val="center"/>
          </w:tcPr>
          <w:p w14:paraId="629FE3FA" w14:textId="77777777" w:rsidR="009F7F8A" w:rsidRPr="00AC3044" w:rsidRDefault="009F7F8A" w:rsidP="009F7F8A">
            <w:pPr>
              <w:rPr>
                <w:rFonts w:eastAsia="SimSun"/>
              </w:rPr>
            </w:pPr>
            <w:r w:rsidRPr="00AC3044">
              <w:rPr>
                <w:rFonts w:eastAsia="SimSun"/>
              </w:rPr>
              <w:t xml:space="preserve">С +5 дня по +35 день </w:t>
            </w:r>
          </w:p>
        </w:tc>
        <w:tc>
          <w:tcPr>
            <w:tcW w:w="2267" w:type="dxa"/>
            <w:vAlign w:val="center"/>
          </w:tcPr>
          <w:p w14:paraId="2AF9EC3A"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76AAF035" w14:textId="77777777" w:rsidR="009F7F8A" w:rsidRDefault="009F7F8A" w:rsidP="009F7F8A">
      <w:pPr>
        <w:rPr>
          <w:rFonts w:eastAsia="SimSun"/>
        </w:rPr>
      </w:pPr>
      <w:bookmarkStart w:id="161" w:name="_Toc44401193"/>
    </w:p>
    <w:p w14:paraId="16CE0CDB" w14:textId="77777777" w:rsidR="009F7F8A"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2.1.7  – Flu180+Bu14 / PT-Cy</w:t>
      </w:r>
      <w:bookmarkStart w:id="162" w:name="_Toc44401194"/>
      <w:bookmarkEnd w:id="161"/>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6"/>
        <w:gridCol w:w="1731"/>
        <w:gridCol w:w="1399"/>
        <w:gridCol w:w="1272"/>
        <w:gridCol w:w="1760"/>
        <w:gridCol w:w="2234"/>
      </w:tblGrid>
      <w:tr w:rsidR="009F7F8A" w:rsidRPr="00AC3044" w14:paraId="3819D3C2" w14:textId="77777777" w:rsidTr="009F7F8A">
        <w:trPr>
          <w:cantSplit/>
          <w:trHeight w:val="20"/>
          <w:tblHeader/>
        </w:trPr>
        <w:tc>
          <w:tcPr>
            <w:tcW w:w="1176" w:type="dxa"/>
            <w:vAlign w:val="center"/>
          </w:tcPr>
          <w:p w14:paraId="79CFDABD" w14:textId="77777777" w:rsidR="009F7F8A" w:rsidRPr="00AC3044" w:rsidRDefault="009F7F8A" w:rsidP="009F7F8A">
            <w:pPr>
              <w:rPr>
                <w:rFonts w:eastAsia="SimSun"/>
              </w:rPr>
            </w:pPr>
            <w:r w:rsidRPr="00AC3044">
              <w:rPr>
                <w:rFonts w:eastAsia="SimSun"/>
              </w:rPr>
              <w:tab/>
            </w:r>
          </w:p>
        </w:tc>
        <w:tc>
          <w:tcPr>
            <w:tcW w:w="1731" w:type="dxa"/>
            <w:vAlign w:val="center"/>
          </w:tcPr>
          <w:p w14:paraId="360772CE" w14:textId="77777777" w:rsidR="009F7F8A" w:rsidRPr="00AC3044" w:rsidRDefault="009F7F8A" w:rsidP="009F7F8A">
            <w:pPr>
              <w:rPr>
                <w:rFonts w:eastAsia="SimSun"/>
              </w:rPr>
            </w:pPr>
            <w:r w:rsidRPr="00AC3044">
              <w:rPr>
                <w:rFonts w:eastAsia="SimSun"/>
              </w:rPr>
              <w:t>Препарат</w:t>
            </w:r>
          </w:p>
        </w:tc>
        <w:tc>
          <w:tcPr>
            <w:tcW w:w="1399" w:type="dxa"/>
            <w:vAlign w:val="center"/>
          </w:tcPr>
          <w:p w14:paraId="56CC2346" w14:textId="77777777" w:rsidR="009F7F8A" w:rsidRPr="00AC3044" w:rsidRDefault="009F7F8A" w:rsidP="009F7F8A">
            <w:pPr>
              <w:rPr>
                <w:rFonts w:eastAsia="SimSun"/>
              </w:rPr>
            </w:pPr>
            <w:r w:rsidRPr="00AC3044">
              <w:rPr>
                <w:rFonts w:eastAsia="SimSun"/>
              </w:rPr>
              <w:t>Суточная доза</w:t>
            </w:r>
          </w:p>
        </w:tc>
        <w:tc>
          <w:tcPr>
            <w:tcW w:w="1272" w:type="dxa"/>
            <w:vAlign w:val="center"/>
          </w:tcPr>
          <w:p w14:paraId="7072177B" w14:textId="77777777" w:rsidR="009F7F8A" w:rsidRPr="00AC3044" w:rsidRDefault="009F7F8A" w:rsidP="009F7F8A">
            <w:pPr>
              <w:rPr>
                <w:rFonts w:eastAsia="SimSun"/>
              </w:rPr>
            </w:pPr>
            <w:r w:rsidRPr="00AC3044">
              <w:rPr>
                <w:rFonts w:eastAsia="SimSun"/>
              </w:rPr>
              <w:t>Курсовая доза</w:t>
            </w:r>
          </w:p>
        </w:tc>
        <w:tc>
          <w:tcPr>
            <w:tcW w:w="1760" w:type="dxa"/>
            <w:vAlign w:val="center"/>
          </w:tcPr>
          <w:p w14:paraId="63FBCED4" w14:textId="77777777" w:rsidR="009F7F8A" w:rsidRPr="00AC3044" w:rsidRDefault="009F7F8A" w:rsidP="009F7F8A">
            <w:pPr>
              <w:rPr>
                <w:rFonts w:eastAsia="SimSun"/>
              </w:rPr>
            </w:pPr>
            <w:r w:rsidRPr="00AC3044">
              <w:rPr>
                <w:rFonts w:eastAsia="SimSun"/>
              </w:rPr>
              <w:t>Дни введения</w:t>
            </w:r>
          </w:p>
        </w:tc>
        <w:tc>
          <w:tcPr>
            <w:tcW w:w="2234" w:type="dxa"/>
            <w:vAlign w:val="center"/>
          </w:tcPr>
          <w:p w14:paraId="4E3A92AD"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78F74DB0" w14:textId="77777777" w:rsidTr="009F7F8A">
        <w:trPr>
          <w:cantSplit/>
          <w:trHeight w:val="20"/>
        </w:trPr>
        <w:tc>
          <w:tcPr>
            <w:tcW w:w="1176" w:type="dxa"/>
            <w:vMerge w:val="restart"/>
            <w:textDirection w:val="btLr"/>
            <w:vAlign w:val="center"/>
          </w:tcPr>
          <w:p w14:paraId="51DD9C4E" w14:textId="77777777" w:rsidR="009F7F8A" w:rsidRPr="00AC3044" w:rsidRDefault="009F7F8A" w:rsidP="009F7F8A">
            <w:pPr>
              <w:rPr>
                <w:rFonts w:eastAsia="SimSun"/>
              </w:rPr>
            </w:pPr>
            <w:r w:rsidRPr="00AC3044">
              <w:rPr>
                <w:rFonts w:eastAsia="SimSun"/>
              </w:rPr>
              <w:t>Кондиционирование</w:t>
            </w:r>
          </w:p>
        </w:tc>
        <w:tc>
          <w:tcPr>
            <w:tcW w:w="1731" w:type="dxa"/>
            <w:vAlign w:val="center"/>
          </w:tcPr>
          <w:p w14:paraId="3DC24C94" w14:textId="77777777" w:rsidR="009F7F8A" w:rsidRPr="00AC3044" w:rsidRDefault="009F7F8A" w:rsidP="009F7F8A">
            <w:pPr>
              <w:rPr>
                <w:rFonts w:eastAsia="SimSun"/>
              </w:rPr>
            </w:pPr>
            <w:r w:rsidRPr="00AC3044">
              <w:rPr>
                <w:rFonts w:eastAsia="SimSun"/>
              </w:rPr>
              <w:t xml:space="preserve">Флударабин </w:t>
            </w:r>
          </w:p>
        </w:tc>
        <w:tc>
          <w:tcPr>
            <w:tcW w:w="1399" w:type="dxa"/>
            <w:vAlign w:val="center"/>
          </w:tcPr>
          <w:p w14:paraId="6200A759" w14:textId="77777777" w:rsidR="009F7F8A" w:rsidRPr="00AC3044" w:rsidRDefault="009F7F8A" w:rsidP="009F7F8A">
            <w:pPr>
              <w:rPr>
                <w:rFonts w:eastAsia="SimSun"/>
              </w:rPr>
            </w:pPr>
            <w:r w:rsidRPr="00AC3044">
              <w:rPr>
                <w:rFonts w:eastAsia="SimSun"/>
              </w:rPr>
              <w:t>30 мг/м</w:t>
            </w:r>
            <w:r w:rsidRPr="00DB259E">
              <w:rPr>
                <w:rFonts w:eastAsia="SimSun"/>
                <w:vertAlign w:val="superscript"/>
              </w:rPr>
              <w:t>2</w:t>
            </w:r>
          </w:p>
        </w:tc>
        <w:tc>
          <w:tcPr>
            <w:tcW w:w="1272" w:type="dxa"/>
            <w:vAlign w:val="center"/>
          </w:tcPr>
          <w:p w14:paraId="4E20FC83" w14:textId="77777777" w:rsidR="009F7F8A" w:rsidRPr="00AC3044" w:rsidRDefault="009F7F8A" w:rsidP="009F7F8A">
            <w:pPr>
              <w:rPr>
                <w:rFonts w:eastAsia="SimSun"/>
              </w:rPr>
            </w:pPr>
            <w:r w:rsidRPr="00AC3044">
              <w:rPr>
                <w:rFonts w:eastAsia="SimSun"/>
              </w:rPr>
              <w:t>180 мг/м</w:t>
            </w:r>
            <w:r w:rsidRPr="00DB259E">
              <w:rPr>
                <w:rFonts w:eastAsia="SimSun"/>
                <w:vertAlign w:val="superscript"/>
              </w:rPr>
              <w:t>2</w:t>
            </w:r>
          </w:p>
        </w:tc>
        <w:tc>
          <w:tcPr>
            <w:tcW w:w="1760" w:type="dxa"/>
            <w:vAlign w:val="center"/>
          </w:tcPr>
          <w:p w14:paraId="62841F1B" w14:textId="77777777" w:rsidR="009F7F8A" w:rsidRPr="00AC3044" w:rsidRDefault="009F7F8A" w:rsidP="009F7F8A">
            <w:pPr>
              <w:rPr>
                <w:rFonts w:eastAsia="SimSun"/>
              </w:rPr>
            </w:pPr>
            <w:r w:rsidRPr="00AC3044">
              <w:rPr>
                <w:rFonts w:eastAsia="SimSun"/>
              </w:rPr>
              <w:t>С -7 дня по -2 день</w:t>
            </w:r>
          </w:p>
        </w:tc>
        <w:tc>
          <w:tcPr>
            <w:tcW w:w="2234" w:type="dxa"/>
            <w:vAlign w:val="center"/>
          </w:tcPr>
          <w:p w14:paraId="01AA2FC5"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600DEB35" w14:textId="77777777" w:rsidTr="009F7F8A">
        <w:trPr>
          <w:cantSplit/>
          <w:trHeight w:val="1207"/>
        </w:trPr>
        <w:tc>
          <w:tcPr>
            <w:tcW w:w="1176" w:type="dxa"/>
            <w:vMerge/>
            <w:vAlign w:val="center"/>
          </w:tcPr>
          <w:p w14:paraId="426C50D3" w14:textId="77777777" w:rsidR="009F7F8A" w:rsidRPr="00AC3044" w:rsidRDefault="009F7F8A" w:rsidP="009F7F8A">
            <w:pPr>
              <w:rPr>
                <w:rFonts w:eastAsia="SimSun"/>
              </w:rPr>
            </w:pPr>
          </w:p>
        </w:tc>
        <w:tc>
          <w:tcPr>
            <w:tcW w:w="1731" w:type="dxa"/>
            <w:vAlign w:val="center"/>
          </w:tcPr>
          <w:p w14:paraId="506585A5" w14:textId="77777777" w:rsidR="009F7F8A" w:rsidRPr="00AC3044" w:rsidRDefault="009F7F8A" w:rsidP="009F7F8A">
            <w:pPr>
              <w:rPr>
                <w:rFonts w:eastAsia="SimSun"/>
              </w:rPr>
            </w:pPr>
            <w:r w:rsidRPr="00AC3044">
              <w:rPr>
                <w:rFonts w:eastAsia="SimSun"/>
              </w:rPr>
              <w:t>Бусульфан</w:t>
            </w:r>
          </w:p>
        </w:tc>
        <w:tc>
          <w:tcPr>
            <w:tcW w:w="1399" w:type="dxa"/>
            <w:vAlign w:val="center"/>
          </w:tcPr>
          <w:p w14:paraId="61C4E05C" w14:textId="77777777" w:rsidR="009F7F8A" w:rsidRPr="00AC3044" w:rsidRDefault="009F7F8A" w:rsidP="009F7F8A">
            <w:pPr>
              <w:rPr>
                <w:rFonts w:eastAsia="SimSun"/>
              </w:rPr>
            </w:pPr>
            <w:r w:rsidRPr="00AC3044">
              <w:rPr>
                <w:rFonts w:eastAsia="SimSun"/>
              </w:rPr>
              <w:t xml:space="preserve">4 мг/кг </w:t>
            </w:r>
          </w:p>
        </w:tc>
        <w:tc>
          <w:tcPr>
            <w:tcW w:w="1272" w:type="dxa"/>
            <w:vAlign w:val="center"/>
          </w:tcPr>
          <w:p w14:paraId="58E005F5" w14:textId="77777777" w:rsidR="009F7F8A" w:rsidRPr="00AC3044" w:rsidRDefault="009F7F8A" w:rsidP="009F7F8A">
            <w:pPr>
              <w:rPr>
                <w:rFonts w:eastAsia="SimSun"/>
              </w:rPr>
            </w:pPr>
            <w:r w:rsidRPr="00AC3044">
              <w:rPr>
                <w:rFonts w:eastAsia="SimSun"/>
              </w:rPr>
              <w:t xml:space="preserve">14 мг/кг </w:t>
            </w:r>
          </w:p>
        </w:tc>
        <w:tc>
          <w:tcPr>
            <w:tcW w:w="1760" w:type="dxa"/>
            <w:vAlign w:val="center"/>
          </w:tcPr>
          <w:p w14:paraId="25516E5C" w14:textId="77777777" w:rsidR="009F7F8A" w:rsidRPr="00AC3044" w:rsidRDefault="009F7F8A" w:rsidP="009F7F8A">
            <w:pPr>
              <w:rPr>
                <w:rFonts w:eastAsia="SimSun"/>
              </w:rPr>
            </w:pPr>
            <w:r w:rsidRPr="00AC3044">
              <w:rPr>
                <w:rFonts w:eastAsia="SimSun"/>
              </w:rPr>
              <w:t>С -6 дня по -3 день</w:t>
            </w:r>
          </w:p>
        </w:tc>
        <w:tc>
          <w:tcPr>
            <w:tcW w:w="2234" w:type="dxa"/>
            <w:vAlign w:val="center"/>
          </w:tcPr>
          <w:p w14:paraId="4003778B"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AC3044" w14:paraId="4B9DBE8A" w14:textId="77777777" w:rsidTr="009F7F8A">
        <w:trPr>
          <w:cantSplit/>
          <w:trHeight w:val="1274"/>
        </w:trPr>
        <w:tc>
          <w:tcPr>
            <w:tcW w:w="1176" w:type="dxa"/>
            <w:textDirection w:val="btLr"/>
            <w:vAlign w:val="center"/>
          </w:tcPr>
          <w:p w14:paraId="110536AF" w14:textId="77777777" w:rsidR="009F7F8A" w:rsidRPr="00AC3044" w:rsidRDefault="009F7F8A" w:rsidP="009F7F8A">
            <w:pPr>
              <w:rPr>
                <w:rFonts w:eastAsia="SimSun"/>
              </w:rPr>
            </w:pPr>
            <w:r w:rsidRPr="00AC3044">
              <w:rPr>
                <w:rFonts w:eastAsia="SimSun"/>
              </w:rPr>
              <w:t>Профилактика РТПХ</w:t>
            </w:r>
          </w:p>
        </w:tc>
        <w:tc>
          <w:tcPr>
            <w:tcW w:w="1731" w:type="dxa"/>
            <w:vAlign w:val="center"/>
          </w:tcPr>
          <w:p w14:paraId="100F96AB" w14:textId="77777777" w:rsidR="009F7F8A" w:rsidRPr="00AC3044" w:rsidRDefault="009F7F8A" w:rsidP="009F7F8A">
            <w:pPr>
              <w:rPr>
                <w:rFonts w:eastAsia="SimSun"/>
              </w:rPr>
            </w:pPr>
            <w:r w:rsidRPr="00AC3044">
              <w:rPr>
                <w:rFonts w:eastAsia="SimSun"/>
              </w:rPr>
              <w:t>Циклофосфамид</w:t>
            </w:r>
          </w:p>
        </w:tc>
        <w:tc>
          <w:tcPr>
            <w:tcW w:w="1399" w:type="dxa"/>
            <w:vAlign w:val="center"/>
          </w:tcPr>
          <w:p w14:paraId="4113CF59" w14:textId="77777777" w:rsidR="009F7F8A" w:rsidRPr="00AC3044" w:rsidRDefault="009F7F8A" w:rsidP="009F7F8A">
            <w:pPr>
              <w:rPr>
                <w:rFonts w:eastAsia="SimSun"/>
              </w:rPr>
            </w:pPr>
            <w:r w:rsidRPr="00AC3044">
              <w:rPr>
                <w:rFonts w:eastAsia="SimSun"/>
              </w:rPr>
              <w:t>50 мг/кг</w:t>
            </w:r>
          </w:p>
        </w:tc>
        <w:tc>
          <w:tcPr>
            <w:tcW w:w="1272" w:type="dxa"/>
            <w:vAlign w:val="center"/>
          </w:tcPr>
          <w:p w14:paraId="30067023" w14:textId="77777777" w:rsidR="009F7F8A" w:rsidRPr="00AC3044" w:rsidRDefault="009F7F8A" w:rsidP="009F7F8A">
            <w:pPr>
              <w:rPr>
                <w:rFonts w:eastAsia="SimSun"/>
              </w:rPr>
            </w:pPr>
            <w:r w:rsidRPr="00AC3044">
              <w:rPr>
                <w:rFonts w:eastAsia="SimSun"/>
              </w:rPr>
              <w:t>100 мг/кг</w:t>
            </w:r>
          </w:p>
        </w:tc>
        <w:tc>
          <w:tcPr>
            <w:tcW w:w="1760" w:type="dxa"/>
            <w:vAlign w:val="center"/>
          </w:tcPr>
          <w:p w14:paraId="0208AA49" w14:textId="77777777" w:rsidR="009F7F8A" w:rsidRPr="00AC3044" w:rsidRDefault="009F7F8A" w:rsidP="009F7F8A">
            <w:pPr>
              <w:rPr>
                <w:rFonts w:eastAsia="SimSun"/>
              </w:rPr>
            </w:pPr>
            <w:r w:rsidRPr="00AC3044">
              <w:rPr>
                <w:rFonts w:eastAsia="SimSun"/>
              </w:rPr>
              <w:t>С +3 дня по +4 день</w:t>
            </w:r>
          </w:p>
        </w:tc>
        <w:tc>
          <w:tcPr>
            <w:tcW w:w="2234" w:type="dxa"/>
            <w:vAlign w:val="center"/>
          </w:tcPr>
          <w:p w14:paraId="21797582" w14:textId="77777777" w:rsidR="009F7F8A" w:rsidRPr="00AC3044" w:rsidRDefault="009F7F8A" w:rsidP="009F7F8A">
            <w:pPr>
              <w:rPr>
                <w:rFonts w:eastAsia="SimSun"/>
              </w:rPr>
            </w:pPr>
            <w:r w:rsidRPr="00AC3044">
              <w:rPr>
                <w:rFonts w:eastAsia="SimSun"/>
              </w:rPr>
              <w:t>В/в, в течение 2 ч</w:t>
            </w:r>
          </w:p>
        </w:tc>
      </w:tr>
    </w:tbl>
    <w:p w14:paraId="7DA39B75" w14:textId="77777777" w:rsidR="009F7F8A" w:rsidRDefault="009F7F8A" w:rsidP="009F7F8A">
      <w:pPr>
        <w:rPr>
          <w:rFonts w:eastAsia="SimSun"/>
        </w:rPr>
      </w:pPr>
    </w:p>
    <w:p w14:paraId="088FC3DB"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4.2.1.8  – Flu180+Bu14 / PT-Cy+Tx+MMF30</w:t>
      </w:r>
      <w:bookmarkEnd w:id="16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01"/>
        <w:gridCol w:w="1418"/>
        <w:gridCol w:w="1275"/>
        <w:gridCol w:w="1702"/>
        <w:gridCol w:w="2268"/>
      </w:tblGrid>
      <w:tr w:rsidR="009F7F8A" w:rsidRPr="00AC3044" w14:paraId="0BC019D0" w14:textId="77777777" w:rsidTr="009F7F8A">
        <w:trPr>
          <w:cantSplit/>
          <w:trHeight w:val="20"/>
          <w:tblHeader/>
        </w:trPr>
        <w:tc>
          <w:tcPr>
            <w:tcW w:w="1242" w:type="dxa"/>
            <w:vAlign w:val="center"/>
          </w:tcPr>
          <w:p w14:paraId="0E594EDA" w14:textId="77777777" w:rsidR="009F7F8A" w:rsidRPr="00AC3044" w:rsidRDefault="009F7F8A" w:rsidP="009F7F8A">
            <w:pPr>
              <w:rPr>
                <w:rFonts w:eastAsia="SimSun"/>
              </w:rPr>
            </w:pPr>
          </w:p>
        </w:tc>
        <w:tc>
          <w:tcPr>
            <w:tcW w:w="1701" w:type="dxa"/>
            <w:vAlign w:val="center"/>
          </w:tcPr>
          <w:p w14:paraId="1332ADB5"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1A3EA830" w14:textId="77777777" w:rsidR="009F7F8A" w:rsidRPr="00AC3044" w:rsidRDefault="009F7F8A" w:rsidP="009F7F8A">
            <w:pPr>
              <w:rPr>
                <w:rFonts w:eastAsia="SimSun"/>
              </w:rPr>
            </w:pPr>
            <w:r w:rsidRPr="00AC3044">
              <w:rPr>
                <w:rFonts w:eastAsia="SimSun"/>
              </w:rPr>
              <w:t>Суточная доза</w:t>
            </w:r>
          </w:p>
        </w:tc>
        <w:tc>
          <w:tcPr>
            <w:tcW w:w="1275" w:type="dxa"/>
            <w:vAlign w:val="center"/>
          </w:tcPr>
          <w:p w14:paraId="70C6EC16" w14:textId="77777777" w:rsidR="009F7F8A" w:rsidRPr="00AC3044" w:rsidRDefault="009F7F8A" w:rsidP="009F7F8A">
            <w:pPr>
              <w:rPr>
                <w:rFonts w:eastAsia="SimSun"/>
              </w:rPr>
            </w:pPr>
            <w:r w:rsidRPr="00AC3044">
              <w:rPr>
                <w:rFonts w:eastAsia="SimSun"/>
              </w:rPr>
              <w:t>Курсовая доза</w:t>
            </w:r>
          </w:p>
        </w:tc>
        <w:tc>
          <w:tcPr>
            <w:tcW w:w="1702" w:type="dxa"/>
            <w:vAlign w:val="center"/>
          </w:tcPr>
          <w:p w14:paraId="1A5C001B"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567CC5E1"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B37876A" w14:textId="77777777" w:rsidTr="009F7F8A">
        <w:trPr>
          <w:cantSplit/>
          <w:trHeight w:val="20"/>
        </w:trPr>
        <w:tc>
          <w:tcPr>
            <w:tcW w:w="1242" w:type="dxa"/>
            <w:vMerge w:val="restart"/>
            <w:textDirection w:val="btLr"/>
            <w:vAlign w:val="center"/>
          </w:tcPr>
          <w:p w14:paraId="63AB0891"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337491DF"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1A0CE0C5" w14:textId="77777777" w:rsidR="009F7F8A" w:rsidRPr="00AC3044" w:rsidRDefault="009F7F8A" w:rsidP="009F7F8A">
            <w:pPr>
              <w:rPr>
                <w:rFonts w:eastAsia="SimSun"/>
              </w:rPr>
            </w:pPr>
            <w:r w:rsidRPr="00AC3044">
              <w:rPr>
                <w:rFonts w:eastAsia="SimSun"/>
              </w:rPr>
              <w:t>30 мг/м</w:t>
            </w:r>
            <w:r w:rsidRPr="00DB259E">
              <w:rPr>
                <w:rFonts w:eastAsia="SimSun"/>
                <w:vertAlign w:val="superscript"/>
              </w:rPr>
              <w:t>2</w:t>
            </w:r>
          </w:p>
        </w:tc>
        <w:tc>
          <w:tcPr>
            <w:tcW w:w="1275" w:type="dxa"/>
            <w:vAlign w:val="center"/>
          </w:tcPr>
          <w:p w14:paraId="7B17A75A" w14:textId="77777777" w:rsidR="009F7F8A" w:rsidRPr="00AC3044" w:rsidRDefault="009F7F8A" w:rsidP="009F7F8A">
            <w:pPr>
              <w:rPr>
                <w:rFonts w:eastAsia="SimSun"/>
              </w:rPr>
            </w:pPr>
            <w:r w:rsidRPr="00AC3044">
              <w:rPr>
                <w:rFonts w:eastAsia="SimSun"/>
              </w:rPr>
              <w:t>180 мг/м</w:t>
            </w:r>
            <w:r w:rsidRPr="00DB259E">
              <w:rPr>
                <w:rFonts w:eastAsia="SimSun"/>
                <w:vertAlign w:val="superscript"/>
              </w:rPr>
              <w:t>2</w:t>
            </w:r>
          </w:p>
        </w:tc>
        <w:tc>
          <w:tcPr>
            <w:tcW w:w="1702" w:type="dxa"/>
            <w:vAlign w:val="center"/>
          </w:tcPr>
          <w:p w14:paraId="557C13F7"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1416D6B5"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445D896A" w14:textId="77777777" w:rsidTr="009F7F8A">
        <w:trPr>
          <w:cantSplit/>
          <w:trHeight w:val="985"/>
        </w:trPr>
        <w:tc>
          <w:tcPr>
            <w:tcW w:w="1242" w:type="dxa"/>
            <w:vMerge/>
            <w:vAlign w:val="center"/>
          </w:tcPr>
          <w:p w14:paraId="2C52C70C" w14:textId="77777777" w:rsidR="009F7F8A" w:rsidRPr="00AC3044" w:rsidRDefault="009F7F8A" w:rsidP="009F7F8A">
            <w:pPr>
              <w:rPr>
                <w:rFonts w:eastAsia="SimSun"/>
              </w:rPr>
            </w:pPr>
          </w:p>
        </w:tc>
        <w:tc>
          <w:tcPr>
            <w:tcW w:w="1701" w:type="dxa"/>
            <w:vAlign w:val="center"/>
          </w:tcPr>
          <w:p w14:paraId="7EAAF385" w14:textId="77777777" w:rsidR="009F7F8A" w:rsidRPr="00AC3044" w:rsidRDefault="009F7F8A" w:rsidP="009F7F8A">
            <w:pPr>
              <w:rPr>
                <w:rFonts w:eastAsia="SimSun"/>
              </w:rPr>
            </w:pPr>
            <w:r w:rsidRPr="00AC3044">
              <w:rPr>
                <w:rFonts w:eastAsia="SimSun"/>
              </w:rPr>
              <w:t>Бусульфан</w:t>
            </w:r>
          </w:p>
        </w:tc>
        <w:tc>
          <w:tcPr>
            <w:tcW w:w="1418" w:type="dxa"/>
            <w:vAlign w:val="center"/>
          </w:tcPr>
          <w:p w14:paraId="7F4D1F30" w14:textId="77777777" w:rsidR="009F7F8A" w:rsidRPr="00AC3044" w:rsidRDefault="009F7F8A" w:rsidP="009F7F8A">
            <w:pPr>
              <w:rPr>
                <w:rFonts w:eastAsia="SimSun"/>
              </w:rPr>
            </w:pPr>
            <w:r w:rsidRPr="00AC3044">
              <w:rPr>
                <w:rFonts w:eastAsia="SimSun"/>
              </w:rPr>
              <w:t xml:space="preserve">4 мг/кг </w:t>
            </w:r>
          </w:p>
        </w:tc>
        <w:tc>
          <w:tcPr>
            <w:tcW w:w="1275" w:type="dxa"/>
            <w:vAlign w:val="center"/>
          </w:tcPr>
          <w:p w14:paraId="4CB2679A" w14:textId="77777777" w:rsidR="009F7F8A" w:rsidRPr="00AC3044" w:rsidRDefault="009F7F8A" w:rsidP="009F7F8A">
            <w:pPr>
              <w:rPr>
                <w:rFonts w:eastAsia="SimSun"/>
              </w:rPr>
            </w:pPr>
            <w:r w:rsidRPr="00AC3044">
              <w:rPr>
                <w:rFonts w:eastAsia="SimSun"/>
              </w:rPr>
              <w:t xml:space="preserve">14мг/кг </w:t>
            </w:r>
          </w:p>
        </w:tc>
        <w:tc>
          <w:tcPr>
            <w:tcW w:w="1702" w:type="dxa"/>
            <w:vAlign w:val="center"/>
          </w:tcPr>
          <w:p w14:paraId="733D5FD3" w14:textId="77777777" w:rsidR="009F7F8A" w:rsidRPr="00AC3044" w:rsidRDefault="009F7F8A" w:rsidP="009F7F8A">
            <w:pPr>
              <w:rPr>
                <w:rFonts w:eastAsia="SimSun"/>
              </w:rPr>
            </w:pPr>
            <w:r w:rsidRPr="00AC3044">
              <w:rPr>
                <w:rFonts w:eastAsia="SimSun"/>
              </w:rPr>
              <w:t>С -6 дня по -3 день</w:t>
            </w:r>
          </w:p>
        </w:tc>
        <w:tc>
          <w:tcPr>
            <w:tcW w:w="2268" w:type="dxa"/>
            <w:vAlign w:val="center"/>
          </w:tcPr>
          <w:p w14:paraId="14921C8A"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AC3044" w14:paraId="32E21B83" w14:textId="77777777" w:rsidTr="009F7F8A">
        <w:trPr>
          <w:cantSplit/>
          <w:trHeight w:val="590"/>
        </w:trPr>
        <w:tc>
          <w:tcPr>
            <w:tcW w:w="1242" w:type="dxa"/>
            <w:vMerge w:val="restart"/>
            <w:textDirection w:val="btLr"/>
            <w:vAlign w:val="center"/>
          </w:tcPr>
          <w:p w14:paraId="536D7296" w14:textId="77777777" w:rsidR="009F7F8A" w:rsidRPr="00AC3044" w:rsidRDefault="009F7F8A" w:rsidP="009F7F8A">
            <w:pPr>
              <w:rPr>
                <w:rFonts w:eastAsia="SimSun"/>
              </w:rPr>
            </w:pPr>
            <w:r w:rsidRPr="00AC3044">
              <w:rPr>
                <w:rFonts w:eastAsia="SimSun"/>
              </w:rPr>
              <w:lastRenderedPageBreak/>
              <w:t>Профилактика РТПХ</w:t>
            </w:r>
          </w:p>
        </w:tc>
        <w:tc>
          <w:tcPr>
            <w:tcW w:w="1701" w:type="dxa"/>
            <w:vAlign w:val="center"/>
          </w:tcPr>
          <w:p w14:paraId="28D1BE7C"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1185544C" w14:textId="77777777" w:rsidR="009F7F8A" w:rsidRPr="00AC3044" w:rsidRDefault="009F7F8A" w:rsidP="009F7F8A">
            <w:pPr>
              <w:rPr>
                <w:rFonts w:eastAsia="SimSun"/>
              </w:rPr>
            </w:pPr>
            <w:r w:rsidRPr="00AC3044">
              <w:rPr>
                <w:rFonts w:eastAsia="SimSun"/>
              </w:rPr>
              <w:t>50 мг/кг</w:t>
            </w:r>
          </w:p>
        </w:tc>
        <w:tc>
          <w:tcPr>
            <w:tcW w:w="1275" w:type="dxa"/>
            <w:vAlign w:val="center"/>
          </w:tcPr>
          <w:p w14:paraId="42FF9265" w14:textId="77777777" w:rsidR="009F7F8A" w:rsidRPr="00AC3044" w:rsidRDefault="009F7F8A" w:rsidP="009F7F8A">
            <w:pPr>
              <w:rPr>
                <w:rFonts w:eastAsia="SimSun"/>
              </w:rPr>
            </w:pPr>
            <w:r w:rsidRPr="00AC3044">
              <w:rPr>
                <w:rFonts w:eastAsia="SimSun"/>
              </w:rPr>
              <w:t>100 мг/кг</w:t>
            </w:r>
          </w:p>
        </w:tc>
        <w:tc>
          <w:tcPr>
            <w:tcW w:w="1702" w:type="dxa"/>
            <w:vAlign w:val="center"/>
          </w:tcPr>
          <w:p w14:paraId="619FFBAA" w14:textId="77777777" w:rsidR="009F7F8A" w:rsidRPr="00AC3044" w:rsidRDefault="009F7F8A" w:rsidP="009F7F8A">
            <w:pPr>
              <w:rPr>
                <w:rFonts w:eastAsia="SimSun"/>
              </w:rPr>
            </w:pPr>
            <w:r w:rsidRPr="00AC3044">
              <w:rPr>
                <w:rFonts w:eastAsia="SimSun"/>
              </w:rPr>
              <w:t>С +3 дня по +4 день</w:t>
            </w:r>
          </w:p>
        </w:tc>
        <w:tc>
          <w:tcPr>
            <w:tcW w:w="2268" w:type="dxa"/>
            <w:vAlign w:val="center"/>
          </w:tcPr>
          <w:p w14:paraId="518693D4" w14:textId="77777777" w:rsidR="009F7F8A" w:rsidRPr="00AC3044" w:rsidRDefault="009F7F8A" w:rsidP="009F7F8A">
            <w:pPr>
              <w:rPr>
                <w:rFonts w:eastAsia="SimSun"/>
              </w:rPr>
            </w:pPr>
            <w:r w:rsidRPr="00AC3044">
              <w:rPr>
                <w:rFonts w:eastAsia="SimSun"/>
              </w:rPr>
              <w:t>В/в, в течение 2 ч</w:t>
            </w:r>
          </w:p>
        </w:tc>
      </w:tr>
      <w:tr w:rsidR="009F7F8A" w:rsidRPr="00AC3044" w14:paraId="037B7427" w14:textId="77777777" w:rsidTr="009F7F8A">
        <w:trPr>
          <w:cantSplit/>
          <w:trHeight w:val="958"/>
        </w:trPr>
        <w:tc>
          <w:tcPr>
            <w:tcW w:w="1242" w:type="dxa"/>
            <w:vMerge/>
            <w:textDirection w:val="btLr"/>
            <w:vAlign w:val="center"/>
          </w:tcPr>
          <w:p w14:paraId="27462EDB" w14:textId="77777777" w:rsidR="009F7F8A" w:rsidRPr="00AC3044" w:rsidRDefault="009F7F8A" w:rsidP="009F7F8A">
            <w:pPr>
              <w:rPr>
                <w:rFonts w:eastAsia="SimSun"/>
              </w:rPr>
            </w:pPr>
          </w:p>
        </w:tc>
        <w:tc>
          <w:tcPr>
            <w:tcW w:w="1701" w:type="dxa"/>
            <w:vAlign w:val="center"/>
          </w:tcPr>
          <w:p w14:paraId="4A805F39" w14:textId="77777777" w:rsidR="009F7F8A" w:rsidRPr="00AC3044" w:rsidRDefault="009F7F8A" w:rsidP="009F7F8A">
            <w:pPr>
              <w:rPr>
                <w:rFonts w:eastAsia="SimSun"/>
              </w:rPr>
            </w:pPr>
            <w:r w:rsidRPr="00AC3044">
              <w:rPr>
                <w:rFonts w:eastAsia="SimSun"/>
              </w:rPr>
              <w:t xml:space="preserve">Такролимус </w:t>
            </w:r>
          </w:p>
        </w:tc>
        <w:tc>
          <w:tcPr>
            <w:tcW w:w="1418" w:type="dxa"/>
            <w:vAlign w:val="center"/>
          </w:tcPr>
          <w:p w14:paraId="39D1FB7A" w14:textId="77777777" w:rsidR="009F7F8A" w:rsidRPr="00AC3044" w:rsidRDefault="009F7F8A" w:rsidP="009F7F8A">
            <w:pPr>
              <w:rPr>
                <w:rFonts w:eastAsia="SimSun"/>
              </w:rPr>
            </w:pPr>
            <w:r w:rsidRPr="00AC3044">
              <w:rPr>
                <w:rFonts w:eastAsia="SimSun"/>
              </w:rPr>
              <w:t>0,03 мг/кг</w:t>
            </w:r>
          </w:p>
        </w:tc>
        <w:tc>
          <w:tcPr>
            <w:tcW w:w="1275" w:type="dxa"/>
            <w:vAlign w:val="center"/>
          </w:tcPr>
          <w:p w14:paraId="47A95521" w14:textId="77777777" w:rsidR="009F7F8A" w:rsidRPr="00AC3044" w:rsidRDefault="009F7F8A" w:rsidP="009F7F8A">
            <w:pPr>
              <w:rPr>
                <w:rFonts w:eastAsia="SimSun"/>
              </w:rPr>
            </w:pPr>
            <w:r w:rsidRPr="00AC3044">
              <w:rPr>
                <w:rFonts w:eastAsia="SimSun"/>
              </w:rPr>
              <w:t>–</w:t>
            </w:r>
          </w:p>
        </w:tc>
        <w:tc>
          <w:tcPr>
            <w:tcW w:w="1702" w:type="dxa"/>
            <w:vAlign w:val="center"/>
          </w:tcPr>
          <w:p w14:paraId="4633BCB6" w14:textId="77777777" w:rsidR="009F7F8A" w:rsidRPr="00AC3044" w:rsidRDefault="009F7F8A" w:rsidP="009F7F8A">
            <w:pPr>
              <w:rPr>
                <w:rFonts w:eastAsia="SimSun"/>
              </w:rPr>
            </w:pPr>
            <w:r w:rsidRPr="00AC3044">
              <w:rPr>
                <w:rFonts w:eastAsia="SimSun"/>
              </w:rPr>
              <w:t xml:space="preserve">С +5 дня длительно </w:t>
            </w:r>
          </w:p>
        </w:tc>
        <w:tc>
          <w:tcPr>
            <w:tcW w:w="2268" w:type="dxa"/>
            <w:vAlign w:val="center"/>
          </w:tcPr>
          <w:p w14:paraId="49DB7745"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DB259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1618ECFB" w14:textId="77777777" w:rsidTr="009F7F8A">
        <w:trPr>
          <w:cantSplit/>
          <w:trHeight w:val="508"/>
        </w:trPr>
        <w:tc>
          <w:tcPr>
            <w:tcW w:w="1242" w:type="dxa"/>
            <w:vMerge/>
            <w:textDirection w:val="btLr"/>
            <w:vAlign w:val="center"/>
          </w:tcPr>
          <w:p w14:paraId="3223A6BA" w14:textId="77777777" w:rsidR="009F7F8A" w:rsidRPr="00AC3044" w:rsidRDefault="009F7F8A" w:rsidP="009F7F8A">
            <w:pPr>
              <w:rPr>
                <w:rFonts w:eastAsia="SimSun"/>
              </w:rPr>
            </w:pPr>
          </w:p>
        </w:tc>
        <w:tc>
          <w:tcPr>
            <w:tcW w:w="1701" w:type="dxa"/>
            <w:vAlign w:val="center"/>
          </w:tcPr>
          <w:p w14:paraId="1CC00E01" w14:textId="77777777" w:rsidR="009F7F8A" w:rsidRPr="00AC3044" w:rsidRDefault="009F7F8A" w:rsidP="009F7F8A">
            <w:pPr>
              <w:rPr>
                <w:rFonts w:eastAsia="SimSun"/>
              </w:rPr>
            </w:pPr>
            <w:r w:rsidRPr="00AC3044">
              <w:rPr>
                <w:rFonts w:eastAsia="SimSun"/>
              </w:rPr>
              <w:t>Микофенолата мофетил</w:t>
            </w:r>
          </w:p>
        </w:tc>
        <w:tc>
          <w:tcPr>
            <w:tcW w:w="1418" w:type="dxa"/>
            <w:vAlign w:val="center"/>
          </w:tcPr>
          <w:p w14:paraId="0EE60D70" w14:textId="77777777" w:rsidR="009F7F8A" w:rsidRPr="00AC3044" w:rsidRDefault="009F7F8A" w:rsidP="009F7F8A">
            <w:pPr>
              <w:rPr>
                <w:rFonts w:eastAsia="SimSun"/>
              </w:rPr>
            </w:pPr>
            <w:r w:rsidRPr="00AC3044">
              <w:rPr>
                <w:rFonts w:eastAsia="SimSun"/>
              </w:rPr>
              <w:t xml:space="preserve">30 мг/кг </w:t>
            </w:r>
          </w:p>
        </w:tc>
        <w:tc>
          <w:tcPr>
            <w:tcW w:w="1275" w:type="dxa"/>
            <w:vAlign w:val="center"/>
          </w:tcPr>
          <w:p w14:paraId="2A9E49B2" w14:textId="77777777" w:rsidR="009F7F8A" w:rsidRPr="00AC3044" w:rsidRDefault="009F7F8A" w:rsidP="009F7F8A">
            <w:pPr>
              <w:rPr>
                <w:rFonts w:eastAsia="SimSun"/>
              </w:rPr>
            </w:pPr>
            <w:r w:rsidRPr="00AC3044">
              <w:rPr>
                <w:rFonts w:eastAsia="SimSun"/>
              </w:rPr>
              <w:t>–</w:t>
            </w:r>
          </w:p>
        </w:tc>
        <w:tc>
          <w:tcPr>
            <w:tcW w:w="1702" w:type="dxa"/>
            <w:vAlign w:val="center"/>
          </w:tcPr>
          <w:p w14:paraId="157DFA7F" w14:textId="77777777" w:rsidR="009F7F8A" w:rsidRPr="00AC3044" w:rsidRDefault="009F7F8A" w:rsidP="009F7F8A">
            <w:pPr>
              <w:rPr>
                <w:rFonts w:eastAsia="SimSun"/>
              </w:rPr>
            </w:pPr>
            <w:r w:rsidRPr="00AC3044">
              <w:rPr>
                <w:rFonts w:eastAsia="SimSun"/>
              </w:rPr>
              <w:t xml:space="preserve">С +5 дня по +35 день </w:t>
            </w:r>
          </w:p>
        </w:tc>
        <w:tc>
          <w:tcPr>
            <w:tcW w:w="2268" w:type="dxa"/>
            <w:vAlign w:val="center"/>
          </w:tcPr>
          <w:p w14:paraId="1CFFA2E5"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55481F17" w14:textId="77777777" w:rsidR="009F7F8A" w:rsidRPr="00C07B2E" w:rsidRDefault="009F7F8A" w:rsidP="009F7F8A">
      <w:pPr>
        <w:rPr>
          <w:rFonts w:eastAsia="SimSun"/>
        </w:rPr>
      </w:pPr>
    </w:p>
    <w:p w14:paraId="4ADDA140" w14:textId="77777777" w:rsidR="009F7F8A" w:rsidRPr="00C07B2E" w:rsidRDefault="009F7F8A" w:rsidP="009F7F8A">
      <w:pPr>
        <w:rPr>
          <w:rFonts w:eastAsia="SimSun"/>
        </w:rPr>
      </w:pPr>
      <w:bookmarkStart w:id="163" w:name="_Toc44401195"/>
      <w:r w:rsidRPr="00042499">
        <w:rPr>
          <w:rFonts w:eastAsia="SimSun"/>
        </w:rPr>
        <w:t>Таблица</w:t>
      </w:r>
      <w:r w:rsidRPr="00C07B2E">
        <w:rPr>
          <w:rFonts w:eastAsia="SimSun"/>
        </w:rPr>
        <w:t xml:space="preserve"> </w:t>
      </w:r>
      <w:r>
        <w:rPr>
          <w:rFonts w:eastAsia="SimSun"/>
        </w:rPr>
        <w:t>5.</w:t>
      </w:r>
      <w:r w:rsidRPr="00C07B2E">
        <w:rPr>
          <w:rFonts w:eastAsia="SimSun"/>
        </w:rPr>
        <w:t>2.1.9  – Flu180+Bu14 / PT-Cy+CSA+MMF30</w:t>
      </w:r>
      <w:bookmarkEnd w:id="163"/>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35"/>
        <w:gridCol w:w="1418"/>
        <w:gridCol w:w="1276"/>
        <w:gridCol w:w="1701"/>
        <w:gridCol w:w="2268"/>
      </w:tblGrid>
      <w:tr w:rsidR="009F7F8A" w:rsidRPr="00AC3044" w14:paraId="220F24FA" w14:textId="77777777" w:rsidTr="009F7F8A">
        <w:trPr>
          <w:cantSplit/>
          <w:trHeight w:val="20"/>
          <w:tblHeader/>
        </w:trPr>
        <w:tc>
          <w:tcPr>
            <w:tcW w:w="1242" w:type="dxa"/>
            <w:vAlign w:val="center"/>
          </w:tcPr>
          <w:p w14:paraId="338003AB" w14:textId="77777777" w:rsidR="009F7F8A" w:rsidRPr="00470D3D" w:rsidRDefault="009F7F8A" w:rsidP="009F7F8A">
            <w:pPr>
              <w:rPr>
                <w:rFonts w:eastAsia="SimSun"/>
              </w:rPr>
            </w:pPr>
          </w:p>
        </w:tc>
        <w:tc>
          <w:tcPr>
            <w:tcW w:w="1735" w:type="dxa"/>
            <w:vAlign w:val="center"/>
          </w:tcPr>
          <w:p w14:paraId="511994C8"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5D6D9871" w14:textId="77777777" w:rsidR="009F7F8A" w:rsidRPr="00AC3044" w:rsidRDefault="009F7F8A" w:rsidP="009F7F8A">
            <w:pPr>
              <w:rPr>
                <w:rFonts w:eastAsia="SimSun"/>
              </w:rPr>
            </w:pPr>
            <w:r w:rsidRPr="00AC3044">
              <w:rPr>
                <w:rFonts w:eastAsia="SimSun"/>
              </w:rPr>
              <w:t>Суточная доза</w:t>
            </w:r>
          </w:p>
        </w:tc>
        <w:tc>
          <w:tcPr>
            <w:tcW w:w="1276" w:type="dxa"/>
            <w:vAlign w:val="center"/>
          </w:tcPr>
          <w:p w14:paraId="507E1472"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0FE33AC0"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1B51895B"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75E3D2F4" w14:textId="77777777" w:rsidTr="009F7F8A">
        <w:trPr>
          <w:cantSplit/>
          <w:trHeight w:val="20"/>
        </w:trPr>
        <w:tc>
          <w:tcPr>
            <w:tcW w:w="1242" w:type="dxa"/>
            <w:vMerge w:val="restart"/>
            <w:textDirection w:val="btLr"/>
            <w:vAlign w:val="center"/>
          </w:tcPr>
          <w:p w14:paraId="3A0A5826" w14:textId="77777777" w:rsidR="009F7F8A" w:rsidRPr="00AC3044" w:rsidRDefault="009F7F8A" w:rsidP="009F7F8A">
            <w:pPr>
              <w:rPr>
                <w:rFonts w:eastAsia="SimSun"/>
              </w:rPr>
            </w:pPr>
            <w:r w:rsidRPr="00AC3044">
              <w:rPr>
                <w:rFonts w:eastAsia="SimSun"/>
              </w:rPr>
              <w:t>Кондиционирование</w:t>
            </w:r>
          </w:p>
        </w:tc>
        <w:tc>
          <w:tcPr>
            <w:tcW w:w="1735" w:type="dxa"/>
            <w:vAlign w:val="center"/>
          </w:tcPr>
          <w:p w14:paraId="39E46EAA"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0B7646D4" w14:textId="77777777" w:rsidR="009F7F8A" w:rsidRPr="00AC3044" w:rsidRDefault="009F7F8A" w:rsidP="009F7F8A">
            <w:pPr>
              <w:rPr>
                <w:rFonts w:eastAsia="SimSun"/>
              </w:rPr>
            </w:pPr>
            <w:r w:rsidRPr="00AC3044">
              <w:rPr>
                <w:rFonts w:eastAsia="SimSun"/>
              </w:rPr>
              <w:t>30 мг/м</w:t>
            </w:r>
            <w:r w:rsidRPr="00DB259E">
              <w:rPr>
                <w:rFonts w:eastAsia="SimSun"/>
                <w:vertAlign w:val="superscript"/>
              </w:rPr>
              <w:t>2</w:t>
            </w:r>
          </w:p>
        </w:tc>
        <w:tc>
          <w:tcPr>
            <w:tcW w:w="1276" w:type="dxa"/>
            <w:vAlign w:val="center"/>
          </w:tcPr>
          <w:p w14:paraId="5387E90A" w14:textId="77777777" w:rsidR="009F7F8A" w:rsidRPr="00AC3044" w:rsidRDefault="009F7F8A" w:rsidP="009F7F8A">
            <w:pPr>
              <w:rPr>
                <w:rFonts w:eastAsia="SimSun"/>
              </w:rPr>
            </w:pPr>
            <w:r w:rsidRPr="00AC3044">
              <w:rPr>
                <w:rFonts w:eastAsia="SimSun"/>
              </w:rPr>
              <w:t>180 мг/м</w:t>
            </w:r>
            <w:r w:rsidRPr="00DB259E">
              <w:rPr>
                <w:rFonts w:eastAsia="SimSun"/>
                <w:vertAlign w:val="superscript"/>
              </w:rPr>
              <w:t>2</w:t>
            </w:r>
          </w:p>
        </w:tc>
        <w:tc>
          <w:tcPr>
            <w:tcW w:w="1701" w:type="dxa"/>
            <w:vAlign w:val="center"/>
          </w:tcPr>
          <w:p w14:paraId="2003FD0D"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540F9C16"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09384360" w14:textId="77777777" w:rsidTr="009F7F8A">
        <w:trPr>
          <w:cantSplit/>
          <w:trHeight w:val="766"/>
        </w:trPr>
        <w:tc>
          <w:tcPr>
            <w:tcW w:w="1242" w:type="dxa"/>
            <w:vMerge/>
            <w:vAlign w:val="center"/>
          </w:tcPr>
          <w:p w14:paraId="4020C81C" w14:textId="77777777" w:rsidR="009F7F8A" w:rsidRPr="00AC3044" w:rsidRDefault="009F7F8A" w:rsidP="009F7F8A">
            <w:pPr>
              <w:rPr>
                <w:rFonts w:eastAsia="SimSun"/>
              </w:rPr>
            </w:pPr>
          </w:p>
        </w:tc>
        <w:tc>
          <w:tcPr>
            <w:tcW w:w="1735" w:type="dxa"/>
            <w:vAlign w:val="center"/>
          </w:tcPr>
          <w:p w14:paraId="44A9C28C" w14:textId="77777777" w:rsidR="009F7F8A" w:rsidRPr="00AC3044" w:rsidRDefault="009F7F8A" w:rsidP="009F7F8A">
            <w:pPr>
              <w:rPr>
                <w:rFonts w:eastAsia="SimSun"/>
              </w:rPr>
            </w:pPr>
            <w:r w:rsidRPr="00AC3044">
              <w:rPr>
                <w:rFonts w:eastAsia="SimSun"/>
              </w:rPr>
              <w:t>Бусульфан</w:t>
            </w:r>
          </w:p>
        </w:tc>
        <w:tc>
          <w:tcPr>
            <w:tcW w:w="1418" w:type="dxa"/>
            <w:vAlign w:val="center"/>
          </w:tcPr>
          <w:p w14:paraId="3F994FAC" w14:textId="77777777" w:rsidR="009F7F8A" w:rsidRPr="00AC3044" w:rsidRDefault="009F7F8A" w:rsidP="009F7F8A">
            <w:pPr>
              <w:rPr>
                <w:rFonts w:eastAsia="SimSun"/>
              </w:rPr>
            </w:pPr>
            <w:r w:rsidRPr="00AC3044">
              <w:rPr>
                <w:rFonts w:eastAsia="SimSun"/>
              </w:rPr>
              <w:t xml:space="preserve">4 мг/кг </w:t>
            </w:r>
          </w:p>
        </w:tc>
        <w:tc>
          <w:tcPr>
            <w:tcW w:w="1276" w:type="dxa"/>
            <w:vAlign w:val="center"/>
          </w:tcPr>
          <w:p w14:paraId="77925904" w14:textId="77777777" w:rsidR="009F7F8A" w:rsidRPr="00AC3044" w:rsidRDefault="009F7F8A" w:rsidP="009F7F8A">
            <w:pPr>
              <w:rPr>
                <w:rFonts w:eastAsia="SimSun"/>
              </w:rPr>
            </w:pPr>
            <w:r w:rsidRPr="00AC3044">
              <w:rPr>
                <w:rFonts w:eastAsia="SimSun"/>
              </w:rPr>
              <w:t xml:space="preserve">14 мг/кг </w:t>
            </w:r>
          </w:p>
        </w:tc>
        <w:tc>
          <w:tcPr>
            <w:tcW w:w="1701" w:type="dxa"/>
            <w:vAlign w:val="center"/>
          </w:tcPr>
          <w:p w14:paraId="446DDEFF" w14:textId="77777777" w:rsidR="009F7F8A" w:rsidRPr="00AC3044" w:rsidRDefault="009F7F8A" w:rsidP="009F7F8A">
            <w:pPr>
              <w:rPr>
                <w:rFonts w:eastAsia="SimSun"/>
              </w:rPr>
            </w:pPr>
            <w:r w:rsidRPr="00AC3044">
              <w:rPr>
                <w:rFonts w:eastAsia="SimSun"/>
              </w:rPr>
              <w:t>С -6 дня по -3 день</w:t>
            </w:r>
          </w:p>
        </w:tc>
        <w:tc>
          <w:tcPr>
            <w:tcW w:w="2268" w:type="dxa"/>
            <w:vAlign w:val="center"/>
          </w:tcPr>
          <w:p w14:paraId="4610AFE2"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AC3044" w14:paraId="6EFF78F0" w14:textId="77777777" w:rsidTr="009F7F8A">
        <w:trPr>
          <w:cantSplit/>
          <w:trHeight w:val="796"/>
        </w:trPr>
        <w:tc>
          <w:tcPr>
            <w:tcW w:w="1242" w:type="dxa"/>
            <w:vMerge w:val="restart"/>
            <w:textDirection w:val="btLr"/>
            <w:vAlign w:val="center"/>
          </w:tcPr>
          <w:p w14:paraId="4E7D7E49" w14:textId="77777777" w:rsidR="009F7F8A" w:rsidRPr="00AC3044" w:rsidRDefault="009F7F8A" w:rsidP="009F7F8A">
            <w:pPr>
              <w:rPr>
                <w:rFonts w:eastAsia="SimSun"/>
              </w:rPr>
            </w:pPr>
            <w:r w:rsidRPr="00AC3044">
              <w:rPr>
                <w:rFonts w:eastAsia="SimSun"/>
              </w:rPr>
              <w:t>Профилактика РТПХ</w:t>
            </w:r>
          </w:p>
        </w:tc>
        <w:tc>
          <w:tcPr>
            <w:tcW w:w="1735" w:type="dxa"/>
            <w:vAlign w:val="center"/>
          </w:tcPr>
          <w:p w14:paraId="3F628A24"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425A55D4" w14:textId="77777777" w:rsidR="009F7F8A" w:rsidRPr="00AC3044" w:rsidRDefault="009F7F8A" w:rsidP="009F7F8A">
            <w:pPr>
              <w:rPr>
                <w:rFonts w:eastAsia="SimSun"/>
              </w:rPr>
            </w:pPr>
            <w:r w:rsidRPr="00AC3044">
              <w:rPr>
                <w:rFonts w:eastAsia="SimSun"/>
              </w:rPr>
              <w:t>50 мг/кг</w:t>
            </w:r>
          </w:p>
        </w:tc>
        <w:tc>
          <w:tcPr>
            <w:tcW w:w="1276" w:type="dxa"/>
            <w:vAlign w:val="center"/>
          </w:tcPr>
          <w:p w14:paraId="1E9B7C2F"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4DF7EC91" w14:textId="77777777" w:rsidR="009F7F8A" w:rsidRPr="00AC3044" w:rsidRDefault="009F7F8A" w:rsidP="009F7F8A">
            <w:pPr>
              <w:rPr>
                <w:rFonts w:eastAsia="SimSun"/>
              </w:rPr>
            </w:pPr>
            <w:r w:rsidRPr="00AC3044">
              <w:rPr>
                <w:rFonts w:eastAsia="SimSun"/>
              </w:rPr>
              <w:t>В +3 день  и +5 день</w:t>
            </w:r>
          </w:p>
        </w:tc>
        <w:tc>
          <w:tcPr>
            <w:tcW w:w="2268" w:type="dxa"/>
            <w:vAlign w:val="center"/>
          </w:tcPr>
          <w:p w14:paraId="3B3B5A2E" w14:textId="77777777" w:rsidR="009F7F8A" w:rsidRPr="00AC3044" w:rsidRDefault="009F7F8A" w:rsidP="009F7F8A">
            <w:pPr>
              <w:rPr>
                <w:rFonts w:eastAsia="SimSun"/>
              </w:rPr>
            </w:pPr>
            <w:r w:rsidRPr="00AC3044">
              <w:rPr>
                <w:rFonts w:eastAsia="SimSun"/>
              </w:rPr>
              <w:t>В/в, в течение 2 ч</w:t>
            </w:r>
          </w:p>
        </w:tc>
      </w:tr>
      <w:tr w:rsidR="009F7F8A" w:rsidRPr="00AC3044" w14:paraId="0BC8192D" w14:textId="77777777" w:rsidTr="009F7F8A">
        <w:trPr>
          <w:cantSplit/>
          <w:trHeight w:val="410"/>
        </w:trPr>
        <w:tc>
          <w:tcPr>
            <w:tcW w:w="1242" w:type="dxa"/>
            <w:vMerge/>
            <w:textDirection w:val="btLr"/>
            <w:vAlign w:val="center"/>
          </w:tcPr>
          <w:p w14:paraId="59CF9469" w14:textId="77777777" w:rsidR="009F7F8A" w:rsidRPr="00AC3044" w:rsidRDefault="009F7F8A" w:rsidP="009F7F8A">
            <w:pPr>
              <w:rPr>
                <w:rFonts w:eastAsia="SimSun"/>
              </w:rPr>
            </w:pPr>
          </w:p>
        </w:tc>
        <w:tc>
          <w:tcPr>
            <w:tcW w:w="1735" w:type="dxa"/>
            <w:vAlign w:val="center"/>
          </w:tcPr>
          <w:p w14:paraId="0B7D587D" w14:textId="77777777" w:rsidR="009F7F8A" w:rsidRPr="00AC3044" w:rsidRDefault="009F7F8A" w:rsidP="009F7F8A">
            <w:pPr>
              <w:rPr>
                <w:rFonts w:eastAsia="SimSun"/>
              </w:rPr>
            </w:pPr>
            <w:r w:rsidRPr="00AC3044">
              <w:rPr>
                <w:rFonts w:eastAsia="SimSun"/>
              </w:rPr>
              <w:t>Микофенолата мофетил</w:t>
            </w:r>
          </w:p>
        </w:tc>
        <w:tc>
          <w:tcPr>
            <w:tcW w:w="1418" w:type="dxa"/>
            <w:vAlign w:val="center"/>
          </w:tcPr>
          <w:p w14:paraId="62B86CCE" w14:textId="77777777" w:rsidR="009F7F8A" w:rsidRPr="00AC3044" w:rsidRDefault="009F7F8A" w:rsidP="009F7F8A">
            <w:pPr>
              <w:rPr>
                <w:rFonts w:eastAsia="SimSun"/>
              </w:rPr>
            </w:pPr>
            <w:r w:rsidRPr="00AC3044">
              <w:rPr>
                <w:rFonts w:eastAsia="SimSun"/>
              </w:rPr>
              <w:t xml:space="preserve">30 мг/кг </w:t>
            </w:r>
          </w:p>
        </w:tc>
        <w:tc>
          <w:tcPr>
            <w:tcW w:w="1276" w:type="dxa"/>
            <w:vAlign w:val="center"/>
          </w:tcPr>
          <w:p w14:paraId="5832F9EB" w14:textId="77777777" w:rsidR="009F7F8A" w:rsidRPr="00AC3044" w:rsidRDefault="009F7F8A" w:rsidP="009F7F8A">
            <w:pPr>
              <w:rPr>
                <w:rFonts w:eastAsia="SimSun"/>
              </w:rPr>
            </w:pPr>
            <w:r w:rsidRPr="00AC3044">
              <w:rPr>
                <w:rFonts w:eastAsia="SimSun"/>
              </w:rPr>
              <w:t>–</w:t>
            </w:r>
          </w:p>
        </w:tc>
        <w:tc>
          <w:tcPr>
            <w:tcW w:w="1701" w:type="dxa"/>
            <w:vAlign w:val="center"/>
          </w:tcPr>
          <w:p w14:paraId="36AA9978" w14:textId="77777777" w:rsidR="009F7F8A" w:rsidRPr="00AC3044" w:rsidRDefault="009F7F8A" w:rsidP="009F7F8A">
            <w:pPr>
              <w:rPr>
                <w:rFonts w:eastAsia="SimSun"/>
              </w:rPr>
            </w:pPr>
            <w:r w:rsidRPr="00AC3044">
              <w:rPr>
                <w:rFonts w:eastAsia="SimSun"/>
              </w:rPr>
              <w:t xml:space="preserve">С +1 дня по +28 день </w:t>
            </w:r>
          </w:p>
        </w:tc>
        <w:tc>
          <w:tcPr>
            <w:tcW w:w="2268" w:type="dxa"/>
            <w:vAlign w:val="center"/>
          </w:tcPr>
          <w:p w14:paraId="49CE560D"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9F7F8A" w:rsidRPr="00AC3044" w14:paraId="14D8836E" w14:textId="77777777" w:rsidTr="009F7F8A">
        <w:trPr>
          <w:cantSplit/>
          <w:trHeight w:val="815"/>
        </w:trPr>
        <w:tc>
          <w:tcPr>
            <w:tcW w:w="1242" w:type="dxa"/>
            <w:vMerge/>
            <w:textDirection w:val="btLr"/>
            <w:vAlign w:val="center"/>
          </w:tcPr>
          <w:p w14:paraId="167A8EC5" w14:textId="77777777" w:rsidR="009F7F8A" w:rsidRPr="00AC3044" w:rsidRDefault="009F7F8A" w:rsidP="009F7F8A">
            <w:pPr>
              <w:rPr>
                <w:rFonts w:eastAsia="SimSun"/>
              </w:rPr>
            </w:pPr>
          </w:p>
        </w:tc>
        <w:tc>
          <w:tcPr>
            <w:tcW w:w="1735" w:type="dxa"/>
            <w:vAlign w:val="center"/>
          </w:tcPr>
          <w:p w14:paraId="76C3D09D" w14:textId="77777777" w:rsidR="009F7F8A" w:rsidRPr="00AC3044" w:rsidRDefault="009F7F8A" w:rsidP="009F7F8A">
            <w:pPr>
              <w:rPr>
                <w:rFonts w:eastAsia="SimSun"/>
              </w:rPr>
            </w:pPr>
            <w:r w:rsidRPr="00AC3044">
              <w:rPr>
                <w:rFonts w:eastAsia="SimSun"/>
              </w:rPr>
              <w:t>Циклоспорин А</w:t>
            </w:r>
          </w:p>
        </w:tc>
        <w:tc>
          <w:tcPr>
            <w:tcW w:w="1418" w:type="dxa"/>
            <w:vAlign w:val="center"/>
          </w:tcPr>
          <w:p w14:paraId="512707F4" w14:textId="77777777" w:rsidR="009F7F8A" w:rsidRPr="00AC3044" w:rsidRDefault="009F7F8A" w:rsidP="009F7F8A">
            <w:pPr>
              <w:rPr>
                <w:rFonts w:eastAsia="SimSun"/>
              </w:rPr>
            </w:pPr>
            <w:r w:rsidRPr="00AC3044">
              <w:rPr>
                <w:rFonts w:eastAsia="SimSun"/>
              </w:rPr>
              <w:t>3  мг/кг</w:t>
            </w:r>
          </w:p>
        </w:tc>
        <w:tc>
          <w:tcPr>
            <w:tcW w:w="1276" w:type="dxa"/>
            <w:vAlign w:val="center"/>
          </w:tcPr>
          <w:p w14:paraId="6168EB4A" w14:textId="77777777" w:rsidR="009F7F8A" w:rsidRPr="00AC3044" w:rsidRDefault="009F7F8A" w:rsidP="009F7F8A">
            <w:pPr>
              <w:rPr>
                <w:rFonts w:eastAsia="SimSun"/>
              </w:rPr>
            </w:pPr>
            <w:r w:rsidRPr="00AC3044">
              <w:rPr>
                <w:rFonts w:eastAsia="SimSun"/>
              </w:rPr>
              <w:t>-</w:t>
            </w:r>
          </w:p>
        </w:tc>
        <w:tc>
          <w:tcPr>
            <w:tcW w:w="1701" w:type="dxa"/>
            <w:vAlign w:val="center"/>
          </w:tcPr>
          <w:p w14:paraId="111752F2" w14:textId="77777777" w:rsidR="009F7F8A" w:rsidRPr="00AC3044" w:rsidRDefault="009F7F8A" w:rsidP="009F7F8A">
            <w:pPr>
              <w:rPr>
                <w:rFonts w:eastAsia="SimSun"/>
              </w:rPr>
            </w:pPr>
            <w:r w:rsidRPr="00AC3044">
              <w:rPr>
                <w:rFonts w:eastAsia="SimSun"/>
              </w:rPr>
              <w:t xml:space="preserve">С -1 дня по +100 день </w:t>
            </w:r>
          </w:p>
        </w:tc>
        <w:tc>
          <w:tcPr>
            <w:tcW w:w="2268" w:type="dxa"/>
            <w:vAlign w:val="center"/>
          </w:tcPr>
          <w:p w14:paraId="46D5D851"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bl>
    <w:p w14:paraId="5136CAEF" w14:textId="77777777" w:rsidR="009F7F8A" w:rsidRPr="00C07B2E" w:rsidRDefault="009F7F8A" w:rsidP="009F7F8A">
      <w:pPr>
        <w:rPr>
          <w:rFonts w:eastAsia="SimSun"/>
        </w:rPr>
      </w:pPr>
    </w:p>
    <w:p w14:paraId="3E14009A" w14:textId="77777777" w:rsidR="009F7F8A" w:rsidRPr="00C07B2E" w:rsidRDefault="009F7F8A" w:rsidP="009F7F8A">
      <w:pPr>
        <w:rPr>
          <w:rFonts w:eastAsia="SimSun"/>
        </w:rPr>
      </w:pPr>
      <w:bookmarkStart w:id="164" w:name="_Toc44401196"/>
      <w:r w:rsidRPr="00042499">
        <w:rPr>
          <w:rFonts w:eastAsia="SimSun"/>
        </w:rPr>
        <w:lastRenderedPageBreak/>
        <w:t>Таблица</w:t>
      </w:r>
      <w:r w:rsidRPr="00C07B2E">
        <w:rPr>
          <w:rFonts w:eastAsia="SimSun"/>
        </w:rPr>
        <w:t xml:space="preserve"> </w:t>
      </w:r>
      <w:r>
        <w:rPr>
          <w:rFonts w:eastAsia="SimSun"/>
        </w:rPr>
        <w:t>5.</w:t>
      </w:r>
      <w:r w:rsidRPr="00C07B2E">
        <w:rPr>
          <w:rFonts w:eastAsia="SimSun"/>
        </w:rPr>
        <w:t>2.1.10  – Flu180+Bu14 / Tx+MMF30</w:t>
      </w:r>
      <w:bookmarkEnd w:id="16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01"/>
        <w:gridCol w:w="1418"/>
        <w:gridCol w:w="1276"/>
        <w:gridCol w:w="1701"/>
        <w:gridCol w:w="2268"/>
      </w:tblGrid>
      <w:tr w:rsidR="009F7F8A" w:rsidRPr="00AC3044" w14:paraId="7BA1ECBA" w14:textId="77777777" w:rsidTr="009F7F8A">
        <w:trPr>
          <w:cantSplit/>
          <w:trHeight w:val="20"/>
          <w:tblHeader/>
        </w:trPr>
        <w:tc>
          <w:tcPr>
            <w:tcW w:w="1242" w:type="dxa"/>
            <w:vAlign w:val="center"/>
          </w:tcPr>
          <w:p w14:paraId="2067DC41" w14:textId="77777777" w:rsidR="009F7F8A" w:rsidRPr="00AC3044" w:rsidRDefault="009F7F8A" w:rsidP="009F7F8A">
            <w:pPr>
              <w:rPr>
                <w:rFonts w:eastAsia="SimSun"/>
              </w:rPr>
            </w:pPr>
          </w:p>
        </w:tc>
        <w:tc>
          <w:tcPr>
            <w:tcW w:w="1701" w:type="dxa"/>
            <w:vAlign w:val="center"/>
          </w:tcPr>
          <w:p w14:paraId="4B7967F4"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0B95DA47" w14:textId="77777777" w:rsidR="009F7F8A" w:rsidRPr="00AC3044" w:rsidRDefault="009F7F8A" w:rsidP="009F7F8A">
            <w:pPr>
              <w:rPr>
                <w:rFonts w:eastAsia="SimSun"/>
              </w:rPr>
            </w:pPr>
            <w:r w:rsidRPr="00AC3044">
              <w:rPr>
                <w:rFonts w:eastAsia="SimSun"/>
              </w:rPr>
              <w:t>Суточная доза</w:t>
            </w:r>
          </w:p>
        </w:tc>
        <w:tc>
          <w:tcPr>
            <w:tcW w:w="1276" w:type="dxa"/>
            <w:vAlign w:val="center"/>
          </w:tcPr>
          <w:p w14:paraId="0EE39915"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4C747273"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2A578BFB"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2759F953" w14:textId="77777777" w:rsidTr="009F7F8A">
        <w:trPr>
          <w:cantSplit/>
          <w:trHeight w:val="20"/>
        </w:trPr>
        <w:tc>
          <w:tcPr>
            <w:tcW w:w="1242" w:type="dxa"/>
            <w:vMerge w:val="restart"/>
            <w:textDirection w:val="btLr"/>
            <w:vAlign w:val="center"/>
          </w:tcPr>
          <w:p w14:paraId="0E03A5E4"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3CFFDB4B"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3E8CA051" w14:textId="77777777" w:rsidR="009F7F8A" w:rsidRPr="00AC3044" w:rsidRDefault="009F7F8A" w:rsidP="009F7F8A">
            <w:pPr>
              <w:rPr>
                <w:rFonts w:eastAsia="SimSun"/>
              </w:rPr>
            </w:pPr>
            <w:r w:rsidRPr="00AC3044">
              <w:rPr>
                <w:rFonts w:eastAsia="SimSun"/>
              </w:rPr>
              <w:t>30 мг/м</w:t>
            </w:r>
            <w:r w:rsidRPr="00DB259E">
              <w:rPr>
                <w:rFonts w:eastAsia="SimSun"/>
                <w:vertAlign w:val="superscript"/>
              </w:rPr>
              <w:t>2</w:t>
            </w:r>
          </w:p>
        </w:tc>
        <w:tc>
          <w:tcPr>
            <w:tcW w:w="1276" w:type="dxa"/>
            <w:vAlign w:val="center"/>
          </w:tcPr>
          <w:p w14:paraId="33EF15A0" w14:textId="77777777" w:rsidR="009F7F8A" w:rsidRPr="00AC3044" w:rsidRDefault="009F7F8A" w:rsidP="009F7F8A">
            <w:pPr>
              <w:rPr>
                <w:rFonts w:eastAsia="SimSun"/>
              </w:rPr>
            </w:pPr>
            <w:r w:rsidRPr="00AC3044">
              <w:rPr>
                <w:rFonts w:eastAsia="SimSun"/>
              </w:rPr>
              <w:t>180 мг/м</w:t>
            </w:r>
            <w:r w:rsidRPr="00DB259E">
              <w:rPr>
                <w:rFonts w:eastAsia="SimSun"/>
                <w:vertAlign w:val="superscript"/>
              </w:rPr>
              <w:t>2</w:t>
            </w:r>
          </w:p>
        </w:tc>
        <w:tc>
          <w:tcPr>
            <w:tcW w:w="1701" w:type="dxa"/>
            <w:vAlign w:val="center"/>
          </w:tcPr>
          <w:p w14:paraId="761D5890"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5EDB8A6A"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4B780E06" w14:textId="77777777" w:rsidTr="009F7F8A">
        <w:trPr>
          <w:cantSplit/>
          <w:trHeight w:val="1207"/>
        </w:trPr>
        <w:tc>
          <w:tcPr>
            <w:tcW w:w="1242" w:type="dxa"/>
            <w:vMerge/>
            <w:vAlign w:val="center"/>
          </w:tcPr>
          <w:p w14:paraId="41BE9F72" w14:textId="77777777" w:rsidR="009F7F8A" w:rsidRPr="00AC3044" w:rsidRDefault="009F7F8A" w:rsidP="009F7F8A">
            <w:pPr>
              <w:rPr>
                <w:rFonts w:eastAsia="SimSun"/>
              </w:rPr>
            </w:pPr>
          </w:p>
        </w:tc>
        <w:tc>
          <w:tcPr>
            <w:tcW w:w="1701" w:type="dxa"/>
            <w:vAlign w:val="center"/>
          </w:tcPr>
          <w:p w14:paraId="48F7BE64" w14:textId="77777777" w:rsidR="009F7F8A" w:rsidRPr="00AC3044" w:rsidRDefault="009F7F8A" w:rsidP="009F7F8A">
            <w:pPr>
              <w:rPr>
                <w:rFonts w:eastAsia="SimSun"/>
              </w:rPr>
            </w:pPr>
            <w:r w:rsidRPr="00AC3044">
              <w:rPr>
                <w:rFonts w:eastAsia="SimSun"/>
              </w:rPr>
              <w:t>Бусульфан</w:t>
            </w:r>
          </w:p>
        </w:tc>
        <w:tc>
          <w:tcPr>
            <w:tcW w:w="1418" w:type="dxa"/>
            <w:vAlign w:val="center"/>
          </w:tcPr>
          <w:p w14:paraId="634FE455" w14:textId="77777777" w:rsidR="009F7F8A" w:rsidRPr="00AC3044" w:rsidRDefault="009F7F8A" w:rsidP="009F7F8A">
            <w:pPr>
              <w:rPr>
                <w:rFonts w:eastAsia="SimSun"/>
              </w:rPr>
            </w:pPr>
            <w:r w:rsidRPr="00AC3044">
              <w:rPr>
                <w:rFonts w:eastAsia="SimSun"/>
              </w:rPr>
              <w:t xml:space="preserve">4 мг/кг </w:t>
            </w:r>
          </w:p>
        </w:tc>
        <w:tc>
          <w:tcPr>
            <w:tcW w:w="1276" w:type="dxa"/>
            <w:vAlign w:val="center"/>
          </w:tcPr>
          <w:p w14:paraId="0AF78133" w14:textId="77777777" w:rsidR="009F7F8A" w:rsidRPr="00AC3044" w:rsidRDefault="009F7F8A" w:rsidP="009F7F8A">
            <w:pPr>
              <w:rPr>
                <w:rFonts w:eastAsia="SimSun"/>
              </w:rPr>
            </w:pPr>
            <w:r w:rsidRPr="00AC3044">
              <w:rPr>
                <w:rFonts w:eastAsia="SimSun"/>
              </w:rPr>
              <w:t xml:space="preserve">14 мг/кг </w:t>
            </w:r>
          </w:p>
        </w:tc>
        <w:tc>
          <w:tcPr>
            <w:tcW w:w="1701" w:type="dxa"/>
            <w:vAlign w:val="center"/>
          </w:tcPr>
          <w:p w14:paraId="54243FB8" w14:textId="77777777" w:rsidR="009F7F8A" w:rsidRPr="00AC3044" w:rsidRDefault="009F7F8A" w:rsidP="009F7F8A">
            <w:pPr>
              <w:rPr>
                <w:rFonts w:eastAsia="SimSun"/>
              </w:rPr>
            </w:pPr>
            <w:r w:rsidRPr="00AC3044">
              <w:rPr>
                <w:rFonts w:eastAsia="SimSun"/>
              </w:rPr>
              <w:t>С -6 дня по -3 день</w:t>
            </w:r>
          </w:p>
        </w:tc>
        <w:tc>
          <w:tcPr>
            <w:tcW w:w="2268" w:type="dxa"/>
            <w:vAlign w:val="center"/>
          </w:tcPr>
          <w:p w14:paraId="0DAD468B"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AC3044" w14:paraId="0BD70627" w14:textId="77777777" w:rsidTr="009F7F8A">
        <w:trPr>
          <w:cantSplit/>
          <w:trHeight w:val="1498"/>
        </w:trPr>
        <w:tc>
          <w:tcPr>
            <w:tcW w:w="1242" w:type="dxa"/>
            <w:vMerge w:val="restart"/>
            <w:textDirection w:val="btLr"/>
            <w:vAlign w:val="center"/>
          </w:tcPr>
          <w:p w14:paraId="57BED99D"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4FAF4948" w14:textId="77777777" w:rsidR="009F7F8A" w:rsidRPr="00AC3044" w:rsidRDefault="009F7F8A" w:rsidP="009F7F8A">
            <w:pPr>
              <w:rPr>
                <w:rFonts w:eastAsia="SimSun"/>
              </w:rPr>
            </w:pPr>
            <w:r w:rsidRPr="00AC3044">
              <w:rPr>
                <w:rFonts w:eastAsia="SimSun"/>
              </w:rPr>
              <w:t xml:space="preserve">Такролимус </w:t>
            </w:r>
          </w:p>
        </w:tc>
        <w:tc>
          <w:tcPr>
            <w:tcW w:w="1418" w:type="dxa"/>
            <w:vAlign w:val="center"/>
          </w:tcPr>
          <w:p w14:paraId="129B228E" w14:textId="77777777" w:rsidR="009F7F8A" w:rsidRPr="00AC3044" w:rsidRDefault="009F7F8A" w:rsidP="009F7F8A">
            <w:pPr>
              <w:rPr>
                <w:rFonts w:eastAsia="SimSun"/>
              </w:rPr>
            </w:pPr>
            <w:r w:rsidRPr="00AC3044">
              <w:rPr>
                <w:rFonts w:eastAsia="SimSun"/>
              </w:rPr>
              <w:t>0,03 мг/кг</w:t>
            </w:r>
          </w:p>
        </w:tc>
        <w:tc>
          <w:tcPr>
            <w:tcW w:w="1276" w:type="dxa"/>
            <w:vAlign w:val="center"/>
          </w:tcPr>
          <w:p w14:paraId="64895B6E" w14:textId="77777777" w:rsidR="009F7F8A" w:rsidRPr="00AC3044" w:rsidRDefault="009F7F8A" w:rsidP="009F7F8A">
            <w:pPr>
              <w:rPr>
                <w:rFonts w:eastAsia="SimSun"/>
              </w:rPr>
            </w:pPr>
            <w:r w:rsidRPr="00AC3044">
              <w:rPr>
                <w:rFonts w:eastAsia="SimSun"/>
              </w:rPr>
              <w:t>–</w:t>
            </w:r>
          </w:p>
        </w:tc>
        <w:tc>
          <w:tcPr>
            <w:tcW w:w="1701" w:type="dxa"/>
            <w:vAlign w:val="center"/>
          </w:tcPr>
          <w:p w14:paraId="04856D7F" w14:textId="77777777" w:rsidR="009F7F8A" w:rsidRPr="00AC3044" w:rsidRDefault="009F7F8A" w:rsidP="009F7F8A">
            <w:pPr>
              <w:rPr>
                <w:rFonts w:eastAsia="SimSun"/>
              </w:rPr>
            </w:pPr>
            <w:r w:rsidRPr="00AC3044">
              <w:rPr>
                <w:rFonts w:eastAsia="SimSun"/>
              </w:rPr>
              <w:t xml:space="preserve">С +5 дня длительно </w:t>
            </w:r>
          </w:p>
        </w:tc>
        <w:tc>
          <w:tcPr>
            <w:tcW w:w="2268" w:type="dxa"/>
            <w:vAlign w:val="center"/>
          </w:tcPr>
          <w:p w14:paraId="0DC64F25"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DB259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6A41EBEB" w14:textId="77777777" w:rsidTr="009F7F8A">
        <w:trPr>
          <w:cantSplit/>
          <w:trHeight w:val="604"/>
        </w:trPr>
        <w:tc>
          <w:tcPr>
            <w:tcW w:w="1242" w:type="dxa"/>
            <w:vMerge/>
            <w:textDirection w:val="btLr"/>
            <w:vAlign w:val="center"/>
          </w:tcPr>
          <w:p w14:paraId="5313B320" w14:textId="77777777" w:rsidR="009F7F8A" w:rsidRPr="00AC3044" w:rsidRDefault="009F7F8A" w:rsidP="009F7F8A">
            <w:pPr>
              <w:rPr>
                <w:rFonts w:eastAsia="SimSun"/>
              </w:rPr>
            </w:pPr>
          </w:p>
        </w:tc>
        <w:tc>
          <w:tcPr>
            <w:tcW w:w="1701" w:type="dxa"/>
            <w:vAlign w:val="center"/>
          </w:tcPr>
          <w:p w14:paraId="35CBABDE" w14:textId="77777777" w:rsidR="009F7F8A" w:rsidRPr="00AC3044" w:rsidRDefault="009F7F8A" w:rsidP="009F7F8A">
            <w:pPr>
              <w:rPr>
                <w:rFonts w:eastAsia="SimSun"/>
              </w:rPr>
            </w:pPr>
            <w:r w:rsidRPr="00AC3044">
              <w:rPr>
                <w:rFonts w:eastAsia="SimSun"/>
              </w:rPr>
              <w:t>Микофенолата мофетил</w:t>
            </w:r>
          </w:p>
        </w:tc>
        <w:tc>
          <w:tcPr>
            <w:tcW w:w="1418" w:type="dxa"/>
            <w:vAlign w:val="center"/>
          </w:tcPr>
          <w:p w14:paraId="618D23EF" w14:textId="77777777" w:rsidR="009F7F8A" w:rsidRPr="00AC3044" w:rsidRDefault="009F7F8A" w:rsidP="009F7F8A">
            <w:pPr>
              <w:rPr>
                <w:rFonts w:eastAsia="SimSun"/>
              </w:rPr>
            </w:pPr>
            <w:r w:rsidRPr="00AC3044">
              <w:rPr>
                <w:rFonts w:eastAsia="SimSun"/>
              </w:rPr>
              <w:t xml:space="preserve">30 мг/кг </w:t>
            </w:r>
          </w:p>
        </w:tc>
        <w:tc>
          <w:tcPr>
            <w:tcW w:w="1276" w:type="dxa"/>
            <w:vAlign w:val="center"/>
          </w:tcPr>
          <w:p w14:paraId="7EA8822E" w14:textId="77777777" w:rsidR="009F7F8A" w:rsidRPr="00AC3044" w:rsidRDefault="009F7F8A" w:rsidP="009F7F8A">
            <w:pPr>
              <w:rPr>
                <w:rFonts w:eastAsia="SimSun"/>
              </w:rPr>
            </w:pPr>
            <w:r w:rsidRPr="00AC3044">
              <w:rPr>
                <w:rFonts w:eastAsia="SimSun"/>
              </w:rPr>
              <w:t>–</w:t>
            </w:r>
          </w:p>
        </w:tc>
        <w:tc>
          <w:tcPr>
            <w:tcW w:w="1701" w:type="dxa"/>
            <w:vAlign w:val="center"/>
          </w:tcPr>
          <w:p w14:paraId="2197104E" w14:textId="77777777" w:rsidR="009F7F8A" w:rsidRPr="00AC3044" w:rsidRDefault="009F7F8A" w:rsidP="009F7F8A">
            <w:pPr>
              <w:rPr>
                <w:rFonts w:eastAsia="SimSun"/>
              </w:rPr>
            </w:pPr>
            <w:r w:rsidRPr="00AC3044">
              <w:rPr>
                <w:rFonts w:eastAsia="SimSun"/>
              </w:rPr>
              <w:t xml:space="preserve">С +5 дня по +35 день </w:t>
            </w:r>
          </w:p>
        </w:tc>
        <w:tc>
          <w:tcPr>
            <w:tcW w:w="2268" w:type="dxa"/>
            <w:vAlign w:val="center"/>
          </w:tcPr>
          <w:p w14:paraId="3B5941E6"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7E048EA1" w14:textId="77777777" w:rsidR="009F7F8A" w:rsidRDefault="009F7F8A" w:rsidP="009F7F8A">
      <w:pPr>
        <w:rPr>
          <w:rFonts w:eastAsia="SimSun"/>
        </w:rPr>
      </w:pPr>
      <w:bookmarkStart w:id="165" w:name="_Toc44401197"/>
    </w:p>
    <w:p w14:paraId="0FE0A4C9"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2.1.11  – Flu180+Treo42 / PT-Cy+Tx+MMF30</w:t>
      </w:r>
      <w:bookmarkEnd w:id="16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01"/>
        <w:gridCol w:w="1418"/>
        <w:gridCol w:w="1276"/>
        <w:gridCol w:w="1701"/>
        <w:gridCol w:w="2268"/>
      </w:tblGrid>
      <w:tr w:rsidR="009F7F8A" w:rsidRPr="00C07B2E" w14:paraId="1D9D584E" w14:textId="77777777" w:rsidTr="009F7F8A">
        <w:trPr>
          <w:cantSplit/>
          <w:trHeight w:val="20"/>
          <w:tblHeader/>
        </w:trPr>
        <w:tc>
          <w:tcPr>
            <w:tcW w:w="1242" w:type="dxa"/>
            <w:vAlign w:val="center"/>
          </w:tcPr>
          <w:p w14:paraId="381E74E2" w14:textId="77777777" w:rsidR="009F7F8A" w:rsidRPr="00470D3D" w:rsidRDefault="009F7F8A" w:rsidP="009F7F8A">
            <w:pPr>
              <w:rPr>
                <w:rFonts w:eastAsia="SimSun"/>
              </w:rPr>
            </w:pPr>
          </w:p>
        </w:tc>
        <w:tc>
          <w:tcPr>
            <w:tcW w:w="1701" w:type="dxa"/>
            <w:vAlign w:val="center"/>
          </w:tcPr>
          <w:p w14:paraId="0376CEFB" w14:textId="77777777" w:rsidR="009F7F8A" w:rsidRPr="00C07B2E" w:rsidRDefault="009F7F8A" w:rsidP="009F7F8A">
            <w:pPr>
              <w:rPr>
                <w:rFonts w:eastAsia="SimSun"/>
              </w:rPr>
            </w:pPr>
            <w:r w:rsidRPr="00C07B2E">
              <w:rPr>
                <w:rFonts w:eastAsia="SimSun"/>
              </w:rPr>
              <w:t>Препарат</w:t>
            </w:r>
          </w:p>
        </w:tc>
        <w:tc>
          <w:tcPr>
            <w:tcW w:w="1418" w:type="dxa"/>
            <w:vAlign w:val="center"/>
          </w:tcPr>
          <w:p w14:paraId="7FEF3498" w14:textId="77777777" w:rsidR="009F7F8A" w:rsidRPr="00C07B2E" w:rsidRDefault="009F7F8A" w:rsidP="009F7F8A">
            <w:pPr>
              <w:rPr>
                <w:rFonts w:eastAsia="SimSun"/>
              </w:rPr>
            </w:pPr>
            <w:r w:rsidRPr="00C07B2E">
              <w:rPr>
                <w:rFonts w:eastAsia="SimSun"/>
              </w:rPr>
              <w:t>Суточная доза</w:t>
            </w:r>
          </w:p>
        </w:tc>
        <w:tc>
          <w:tcPr>
            <w:tcW w:w="1276" w:type="dxa"/>
            <w:vAlign w:val="center"/>
          </w:tcPr>
          <w:p w14:paraId="16C19B04" w14:textId="77777777" w:rsidR="009F7F8A" w:rsidRPr="00C07B2E" w:rsidRDefault="009F7F8A" w:rsidP="009F7F8A">
            <w:pPr>
              <w:rPr>
                <w:rFonts w:eastAsia="SimSun"/>
              </w:rPr>
            </w:pPr>
            <w:r w:rsidRPr="00C07B2E">
              <w:rPr>
                <w:rFonts w:eastAsia="SimSun"/>
              </w:rPr>
              <w:t>Курсовая доза</w:t>
            </w:r>
          </w:p>
        </w:tc>
        <w:tc>
          <w:tcPr>
            <w:tcW w:w="1701" w:type="dxa"/>
            <w:vAlign w:val="center"/>
          </w:tcPr>
          <w:p w14:paraId="1C649C3B" w14:textId="77777777" w:rsidR="009F7F8A" w:rsidRPr="00C07B2E" w:rsidRDefault="009F7F8A" w:rsidP="009F7F8A">
            <w:pPr>
              <w:rPr>
                <w:rFonts w:eastAsia="SimSun"/>
              </w:rPr>
            </w:pPr>
            <w:r w:rsidRPr="00C07B2E">
              <w:rPr>
                <w:rFonts w:eastAsia="SimSun"/>
              </w:rPr>
              <w:t>Дни введения</w:t>
            </w:r>
          </w:p>
        </w:tc>
        <w:tc>
          <w:tcPr>
            <w:tcW w:w="2268" w:type="dxa"/>
            <w:vAlign w:val="center"/>
          </w:tcPr>
          <w:p w14:paraId="5ACA4A9D" w14:textId="77777777" w:rsidR="009F7F8A" w:rsidRPr="00C07B2E" w:rsidRDefault="009F7F8A" w:rsidP="009F7F8A">
            <w:pPr>
              <w:rPr>
                <w:rFonts w:eastAsia="SimSun"/>
              </w:rPr>
            </w:pPr>
            <w:r w:rsidRPr="00C07B2E">
              <w:rPr>
                <w:rFonts w:eastAsia="SimSun"/>
              </w:rPr>
              <w:t>Порядок введения</w:t>
            </w:r>
          </w:p>
        </w:tc>
      </w:tr>
      <w:tr w:rsidR="009F7F8A" w:rsidRPr="00C07B2E" w14:paraId="7AFCF9DC" w14:textId="77777777" w:rsidTr="009F7F8A">
        <w:trPr>
          <w:cantSplit/>
          <w:trHeight w:val="20"/>
        </w:trPr>
        <w:tc>
          <w:tcPr>
            <w:tcW w:w="1242" w:type="dxa"/>
            <w:vMerge w:val="restart"/>
            <w:textDirection w:val="btLr"/>
            <w:vAlign w:val="center"/>
          </w:tcPr>
          <w:p w14:paraId="3851780F" w14:textId="77777777" w:rsidR="009F7F8A" w:rsidRPr="00C07B2E" w:rsidRDefault="009F7F8A" w:rsidP="009F7F8A">
            <w:pPr>
              <w:rPr>
                <w:rFonts w:eastAsia="SimSun"/>
              </w:rPr>
            </w:pPr>
            <w:r w:rsidRPr="00C07B2E">
              <w:rPr>
                <w:rFonts w:eastAsia="SimSun"/>
              </w:rPr>
              <w:t>Кондиционирование</w:t>
            </w:r>
          </w:p>
        </w:tc>
        <w:tc>
          <w:tcPr>
            <w:tcW w:w="1701" w:type="dxa"/>
            <w:vAlign w:val="center"/>
          </w:tcPr>
          <w:p w14:paraId="2877BB7B" w14:textId="77777777" w:rsidR="009F7F8A" w:rsidRPr="00C07B2E" w:rsidRDefault="009F7F8A" w:rsidP="009F7F8A">
            <w:pPr>
              <w:rPr>
                <w:rFonts w:eastAsia="SimSun"/>
              </w:rPr>
            </w:pPr>
            <w:r w:rsidRPr="00C07B2E">
              <w:rPr>
                <w:rFonts w:eastAsia="SimSun"/>
              </w:rPr>
              <w:t xml:space="preserve">Флударабин </w:t>
            </w:r>
          </w:p>
        </w:tc>
        <w:tc>
          <w:tcPr>
            <w:tcW w:w="1418" w:type="dxa"/>
            <w:vAlign w:val="center"/>
          </w:tcPr>
          <w:p w14:paraId="146023F8" w14:textId="77777777" w:rsidR="009F7F8A" w:rsidRPr="00C07B2E" w:rsidRDefault="009F7F8A" w:rsidP="009F7F8A">
            <w:pPr>
              <w:rPr>
                <w:rFonts w:eastAsia="SimSun"/>
              </w:rPr>
            </w:pPr>
            <w:r w:rsidRPr="00C07B2E">
              <w:rPr>
                <w:rFonts w:eastAsia="SimSun"/>
              </w:rPr>
              <w:t>30 мг/м</w:t>
            </w:r>
            <w:r w:rsidRPr="00DB259E">
              <w:rPr>
                <w:rFonts w:eastAsia="SimSun"/>
                <w:vertAlign w:val="superscript"/>
              </w:rPr>
              <w:t>2</w:t>
            </w:r>
          </w:p>
        </w:tc>
        <w:tc>
          <w:tcPr>
            <w:tcW w:w="1276" w:type="dxa"/>
            <w:vAlign w:val="center"/>
          </w:tcPr>
          <w:p w14:paraId="4750A31B" w14:textId="77777777" w:rsidR="009F7F8A" w:rsidRPr="00C07B2E" w:rsidRDefault="009F7F8A" w:rsidP="009F7F8A">
            <w:pPr>
              <w:rPr>
                <w:rFonts w:eastAsia="SimSun"/>
              </w:rPr>
            </w:pPr>
            <w:r w:rsidRPr="00C07B2E">
              <w:rPr>
                <w:rFonts w:eastAsia="SimSun"/>
              </w:rPr>
              <w:t>180 мг/м</w:t>
            </w:r>
            <w:r w:rsidRPr="00DB259E">
              <w:rPr>
                <w:rFonts w:eastAsia="SimSun"/>
                <w:vertAlign w:val="superscript"/>
              </w:rPr>
              <w:t>2</w:t>
            </w:r>
          </w:p>
        </w:tc>
        <w:tc>
          <w:tcPr>
            <w:tcW w:w="1701" w:type="dxa"/>
            <w:vAlign w:val="center"/>
          </w:tcPr>
          <w:p w14:paraId="7B8E1D9E" w14:textId="77777777" w:rsidR="009F7F8A" w:rsidRPr="00C07B2E" w:rsidRDefault="009F7F8A" w:rsidP="009F7F8A">
            <w:pPr>
              <w:rPr>
                <w:rFonts w:eastAsia="SimSun"/>
              </w:rPr>
            </w:pPr>
            <w:r w:rsidRPr="00C07B2E">
              <w:rPr>
                <w:rFonts w:eastAsia="SimSun"/>
              </w:rPr>
              <w:t>С -7 дня по -2 день</w:t>
            </w:r>
          </w:p>
        </w:tc>
        <w:tc>
          <w:tcPr>
            <w:tcW w:w="2268" w:type="dxa"/>
            <w:vAlign w:val="center"/>
          </w:tcPr>
          <w:p w14:paraId="16133C4C" w14:textId="77777777" w:rsidR="009F7F8A" w:rsidRPr="00C07B2E" w:rsidRDefault="009F7F8A" w:rsidP="009F7F8A">
            <w:pPr>
              <w:rPr>
                <w:rFonts w:eastAsia="SimSun"/>
              </w:rPr>
            </w:pPr>
            <w:r w:rsidRPr="00C07B2E">
              <w:rPr>
                <w:rFonts w:eastAsia="SimSun"/>
              </w:rPr>
              <w:t>В/в, в течение 30 -60 мин</w:t>
            </w:r>
          </w:p>
        </w:tc>
      </w:tr>
      <w:tr w:rsidR="009F7F8A" w:rsidRPr="00C07B2E" w14:paraId="2D72EC01" w14:textId="77777777" w:rsidTr="009F7F8A">
        <w:trPr>
          <w:cantSplit/>
          <w:trHeight w:val="872"/>
        </w:trPr>
        <w:tc>
          <w:tcPr>
            <w:tcW w:w="1242" w:type="dxa"/>
            <w:vMerge/>
            <w:vAlign w:val="center"/>
          </w:tcPr>
          <w:p w14:paraId="560A6D59" w14:textId="77777777" w:rsidR="009F7F8A" w:rsidRPr="00C07B2E" w:rsidRDefault="009F7F8A" w:rsidP="009F7F8A">
            <w:pPr>
              <w:rPr>
                <w:rFonts w:eastAsia="SimSun"/>
              </w:rPr>
            </w:pPr>
          </w:p>
        </w:tc>
        <w:tc>
          <w:tcPr>
            <w:tcW w:w="1701" w:type="dxa"/>
            <w:vAlign w:val="center"/>
          </w:tcPr>
          <w:p w14:paraId="6911D60E" w14:textId="77777777" w:rsidR="009F7F8A" w:rsidRPr="00C07B2E" w:rsidRDefault="009F7F8A" w:rsidP="009F7F8A">
            <w:pPr>
              <w:rPr>
                <w:rFonts w:eastAsia="SimSun"/>
              </w:rPr>
            </w:pPr>
            <w:r w:rsidRPr="00C07B2E">
              <w:rPr>
                <w:rFonts w:eastAsia="SimSun"/>
              </w:rPr>
              <w:t xml:space="preserve">Треосульфан </w:t>
            </w:r>
          </w:p>
        </w:tc>
        <w:tc>
          <w:tcPr>
            <w:tcW w:w="1418" w:type="dxa"/>
            <w:vAlign w:val="center"/>
          </w:tcPr>
          <w:p w14:paraId="6C4DD869" w14:textId="77777777" w:rsidR="009F7F8A" w:rsidRPr="00C07B2E" w:rsidRDefault="009F7F8A" w:rsidP="009F7F8A">
            <w:pPr>
              <w:rPr>
                <w:rFonts w:eastAsia="SimSun"/>
              </w:rPr>
            </w:pPr>
            <w:r w:rsidRPr="00C07B2E">
              <w:rPr>
                <w:rFonts w:eastAsia="SimSun"/>
              </w:rPr>
              <w:t>14 г/кг</w:t>
            </w:r>
          </w:p>
        </w:tc>
        <w:tc>
          <w:tcPr>
            <w:tcW w:w="1276" w:type="dxa"/>
            <w:vAlign w:val="center"/>
          </w:tcPr>
          <w:p w14:paraId="0174219E" w14:textId="77777777" w:rsidR="009F7F8A" w:rsidRPr="00C07B2E" w:rsidRDefault="009F7F8A" w:rsidP="009F7F8A">
            <w:pPr>
              <w:rPr>
                <w:rFonts w:eastAsia="SimSun"/>
              </w:rPr>
            </w:pPr>
            <w:r w:rsidRPr="00C07B2E">
              <w:rPr>
                <w:rFonts w:eastAsia="SimSun"/>
                <w:lang w:val="en-US"/>
              </w:rPr>
              <w:t>4</w:t>
            </w:r>
            <w:r w:rsidRPr="00C07B2E">
              <w:rPr>
                <w:rFonts w:eastAsia="SimSun"/>
              </w:rPr>
              <w:t>2 г/кг</w:t>
            </w:r>
          </w:p>
        </w:tc>
        <w:tc>
          <w:tcPr>
            <w:tcW w:w="1701" w:type="dxa"/>
            <w:vAlign w:val="center"/>
          </w:tcPr>
          <w:p w14:paraId="5F3A6C69" w14:textId="77777777" w:rsidR="009F7F8A" w:rsidRPr="00C07B2E" w:rsidRDefault="009F7F8A" w:rsidP="009F7F8A">
            <w:pPr>
              <w:rPr>
                <w:rFonts w:eastAsia="SimSun"/>
              </w:rPr>
            </w:pPr>
            <w:r w:rsidRPr="00C07B2E">
              <w:rPr>
                <w:rFonts w:eastAsia="SimSun"/>
              </w:rPr>
              <w:t xml:space="preserve">С -5 дня по -3 день </w:t>
            </w:r>
          </w:p>
        </w:tc>
        <w:tc>
          <w:tcPr>
            <w:tcW w:w="2268" w:type="dxa"/>
            <w:vAlign w:val="center"/>
          </w:tcPr>
          <w:p w14:paraId="5F5DD2F5" w14:textId="77777777" w:rsidR="009F7F8A" w:rsidRPr="00C07B2E" w:rsidRDefault="009F7F8A" w:rsidP="009F7F8A">
            <w:pPr>
              <w:rPr>
                <w:rFonts w:eastAsia="SimSun"/>
              </w:rPr>
            </w:pPr>
            <w:r w:rsidRPr="00C07B2E">
              <w:rPr>
                <w:rFonts w:eastAsia="SimSun"/>
              </w:rPr>
              <w:t>В/в, в течение 2 часов</w:t>
            </w:r>
          </w:p>
        </w:tc>
      </w:tr>
      <w:tr w:rsidR="009F7F8A" w:rsidRPr="00C07B2E" w14:paraId="3236C8B8" w14:textId="77777777" w:rsidTr="009F7F8A">
        <w:trPr>
          <w:cantSplit/>
          <w:trHeight w:val="1498"/>
        </w:trPr>
        <w:tc>
          <w:tcPr>
            <w:tcW w:w="1242" w:type="dxa"/>
            <w:vMerge w:val="restart"/>
            <w:textDirection w:val="btLr"/>
            <w:vAlign w:val="center"/>
          </w:tcPr>
          <w:p w14:paraId="2CD4A487" w14:textId="77777777" w:rsidR="009F7F8A" w:rsidRPr="00C07B2E" w:rsidRDefault="009F7F8A" w:rsidP="009F7F8A">
            <w:pPr>
              <w:rPr>
                <w:rFonts w:eastAsia="SimSun"/>
              </w:rPr>
            </w:pPr>
            <w:r w:rsidRPr="00C07B2E">
              <w:rPr>
                <w:rFonts w:eastAsia="SimSun"/>
              </w:rPr>
              <w:t>Профилактика РТПХ</w:t>
            </w:r>
          </w:p>
        </w:tc>
        <w:tc>
          <w:tcPr>
            <w:tcW w:w="1701" w:type="dxa"/>
            <w:vAlign w:val="center"/>
          </w:tcPr>
          <w:p w14:paraId="74B8916D" w14:textId="77777777" w:rsidR="009F7F8A" w:rsidRPr="00C07B2E" w:rsidRDefault="009F7F8A" w:rsidP="009F7F8A">
            <w:pPr>
              <w:rPr>
                <w:rFonts w:eastAsia="SimSun"/>
              </w:rPr>
            </w:pPr>
            <w:r w:rsidRPr="00C07B2E">
              <w:rPr>
                <w:rFonts w:eastAsia="SimSun"/>
              </w:rPr>
              <w:t xml:space="preserve">Такролимус </w:t>
            </w:r>
          </w:p>
        </w:tc>
        <w:tc>
          <w:tcPr>
            <w:tcW w:w="1418" w:type="dxa"/>
            <w:vAlign w:val="center"/>
          </w:tcPr>
          <w:p w14:paraId="67B00040" w14:textId="77777777" w:rsidR="009F7F8A" w:rsidRPr="00C07B2E" w:rsidRDefault="009F7F8A" w:rsidP="009F7F8A">
            <w:pPr>
              <w:rPr>
                <w:rFonts w:eastAsia="SimSun"/>
              </w:rPr>
            </w:pPr>
            <w:r w:rsidRPr="00C07B2E">
              <w:rPr>
                <w:rFonts w:eastAsia="SimSun"/>
              </w:rPr>
              <w:t>0,03 мг/кг</w:t>
            </w:r>
          </w:p>
        </w:tc>
        <w:tc>
          <w:tcPr>
            <w:tcW w:w="1276" w:type="dxa"/>
            <w:vAlign w:val="center"/>
          </w:tcPr>
          <w:p w14:paraId="6606889D" w14:textId="77777777" w:rsidR="009F7F8A" w:rsidRPr="00C07B2E" w:rsidRDefault="009F7F8A" w:rsidP="009F7F8A">
            <w:pPr>
              <w:rPr>
                <w:rFonts w:eastAsia="SimSun"/>
              </w:rPr>
            </w:pPr>
            <w:r w:rsidRPr="00C07B2E">
              <w:rPr>
                <w:rFonts w:eastAsia="SimSun"/>
                <w:lang w:val="en-US"/>
              </w:rPr>
              <w:t>–</w:t>
            </w:r>
          </w:p>
        </w:tc>
        <w:tc>
          <w:tcPr>
            <w:tcW w:w="1701" w:type="dxa"/>
            <w:vAlign w:val="center"/>
          </w:tcPr>
          <w:p w14:paraId="23B3E86C" w14:textId="77777777" w:rsidR="009F7F8A" w:rsidRPr="00C07B2E" w:rsidRDefault="009F7F8A" w:rsidP="009F7F8A">
            <w:pPr>
              <w:rPr>
                <w:rFonts w:eastAsia="SimSun"/>
              </w:rPr>
            </w:pPr>
            <w:r w:rsidRPr="00C07B2E">
              <w:rPr>
                <w:rFonts w:eastAsia="SimSun"/>
              </w:rPr>
              <w:t xml:space="preserve">С +5 дня длительно </w:t>
            </w:r>
          </w:p>
        </w:tc>
        <w:tc>
          <w:tcPr>
            <w:tcW w:w="2268" w:type="dxa"/>
            <w:vAlign w:val="center"/>
          </w:tcPr>
          <w:p w14:paraId="47E8349A" w14:textId="77777777" w:rsidR="009F7F8A" w:rsidRPr="00DB259E" w:rsidRDefault="009F7F8A" w:rsidP="009F7F8A">
            <w:pPr>
              <w:rPr>
                <w:rFonts w:eastAsia="SimSun"/>
              </w:rPr>
            </w:pPr>
            <w:r w:rsidRPr="00C07B2E">
              <w:rPr>
                <w:rFonts w:eastAsia="SimSun"/>
              </w:rPr>
              <w:t xml:space="preserve">В/в инфузия в течение 24 ч с последующей коррекцией суточной дозы по концентрации. </w:t>
            </w:r>
            <w:r w:rsidRPr="00DB259E">
              <w:rPr>
                <w:rFonts w:eastAsia="SimSun"/>
              </w:rPr>
              <w:t>Перевод на прием внутрь при условии восстановления лейкоцитов &gt; 1</w:t>
            </w:r>
            <w:r>
              <w:rPr>
                <w:rFonts w:eastAsia="SimSun"/>
              </w:rPr>
              <w:t xml:space="preserve"> х</w:t>
            </w:r>
            <w:r w:rsidRPr="00DB259E">
              <w:rPr>
                <w:rFonts w:eastAsia="SimSun"/>
              </w:rPr>
              <w:t xml:space="preserve"> 10</w:t>
            </w:r>
            <w:r w:rsidRPr="00DB259E">
              <w:rPr>
                <w:rFonts w:eastAsia="SimSun"/>
                <w:vertAlign w:val="superscript"/>
              </w:rPr>
              <w:t>9</w:t>
            </w:r>
            <w:r w:rsidRPr="00DB259E">
              <w:rPr>
                <w:rFonts w:eastAsia="SimSun"/>
              </w:rPr>
              <w:t xml:space="preserve">/л, при отсутствии тошноты, рвоты, диареи и возможности приема внутрь. Концентрация </w:t>
            </w:r>
            <w:r w:rsidRPr="00C07B2E">
              <w:rPr>
                <w:rFonts w:eastAsia="SimSun"/>
              </w:rPr>
              <w:t>Tx</w:t>
            </w:r>
            <w:r w:rsidRPr="00DB259E">
              <w:rPr>
                <w:rFonts w:eastAsia="SimSun"/>
              </w:rPr>
              <w:t xml:space="preserve"> 5-15 нг/мл.    </w:t>
            </w:r>
          </w:p>
        </w:tc>
      </w:tr>
      <w:tr w:rsidR="009F7F8A" w:rsidRPr="00C07B2E" w14:paraId="7E43B9B1" w14:textId="77777777" w:rsidTr="009F7F8A">
        <w:trPr>
          <w:cantSplit/>
          <w:trHeight w:val="542"/>
        </w:trPr>
        <w:tc>
          <w:tcPr>
            <w:tcW w:w="1242" w:type="dxa"/>
            <w:vMerge/>
            <w:textDirection w:val="btLr"/>
            <w:vAlign w:val="center"/>
          </w:tcPr>
          <w:p w14:paraId="7ABF0D56" w14:textId="77777777" w:rsidR="009F7F8A" w:rsidRPr="00DB259E" w:rsidRDefault="009F7F8A" w:rsidP="009F7F8A">
            <w:pPr>
              <w:rPr>
                <w:rFonts w:eastAsia="SimSun"/>
              </w:rPr>
            </w:pPr>
          </w:p>
        </w:tc>
        <w:tc>
          <w:tcPr>
            <w:tcW w:w="1701" w:type="dxa"/>
            <w:vAlign w:val="center"/>
          </w:tcPr>
          <w:p w14:paraId="0E6F9BEC" w14:textId="77777777" w:rsidR="009F7F8A" w:rsidRPr="00C07B2E" w:rsidRDefault="009F7F8A" w:rsidP="009F7F8A">
            <w:pPr>
              <w:rPr>
                <w:rFonts w:eastAsia="SimSun"/>
              </w:rPr>
            </w:pPr>
            <w:r w:rsidRPr="00C07B2E">
              <w:rPr>
                <w:rFonts w:eastAsia="SimSun"/>
              </w:rPr>
              <w:t>Микофенолата мофетил</w:t>
            </w:r>
          </w:p>
        </w:tc>
        <w:tc>
          <w:tcPr>
            <w:tcW w:w="1418" w:type="dxa"/>
            <w:vAlign w:val="center"/>
          </w:tcPr>
          <w:p w14:paraId="6ABD73FD" w14:textId="77777777" w:rsidR="009F7F8A" w:rsidRPr="00C07B2E" w:rsidRDefault="009F7F8A" w:rsidP="009F7F8A">
            <w:pPr>
              <w:rPr>
                <w:rFonts w:eastAsia="SimSun"/>
              </w:rPr>
            </w:pPr>
            <w:r w:rsidRPr="00C07B2E">
              <w:rPr>
                <w:rFonts w:eastAsia="SimSun"/>
                <w:lang w:val="en-US"/>
              </w:rPr>
              <w:t>30</w:t>
            </w:r>
            <w:r w:rsidRPr="00C07B2E">
              <w:rPr>
                <w:rFonts w:eastAsia="SimSun"/>
              </w:rPr>
              <w:t xml:space="preserve"> мг/кг </w:t>
            </w:r>
          </w:p>
        </w:tc>
        <w:tc>
          <w:tcPr>
            <w:tcW w:w="1276" w:type="dxa"/>
            <w:vAlign w:val="center"/>
          </w:tcPr>
          <w:p w14:paraId="0117A727" w14:textId="77777777" w:rsidR="009F7F8A" w:rsidRPr="00C07B2E" w:rsidRDefault="009F7F8A" w:rsidP="009F7F8A">
            <w:pPr>
              <w:rPr>
                <w:rFonts w:eastAsia="SimSun"/>
              </w:rPr>
            </w:pPr>
            <w:r w:rsidRPr="00C07B2E">
              <w:rPr>
                <w:rFonts w:eastAsia="SimSun"/>
              </w:rPr>
              <w:t>–</w:t>
            </w:r>
          </w:p>
        </w:tc>
        <w:tc>
          <w:tcPr>
            <w:tcW w:w="1701" w:type="dxa"/>
            <w:vAlign w:val="center"/>
          </w:tcPr>
          <w:p w14:paraId="03742869" w14:textId="77777777" w:rsidR="009F7F8A" w:rsidRPr="00C07B2E" w:rsidRDefault="009F7F8A" w:rsidP="009F7F8A">
            <w:pPr>
              <w:rPr>
                <w:rFonts w:eastAsia="SimSun"/>
              </w:rPr>
            </w:pPr>
            <w:r w:rsidRPr="00C07B2E">
              <w:rPr>
                <w:rFonts w:eastAsia="SimSun"/>
              </w:rPr>
              <w:t xml:space="preserve">С +5 дня по +35 день </w:t>
            </w:r>
          </w:p>
        </w:tc>
        <w:tc>
          <w:tcPr>
            <w:tcW w:w="2268" w:type="dxa"/>
            <w:vAlign w:val="center"/>
          </w:tcPr>
          <w:p w14:paraId="1A3F0230" w14:textId="77777777" w:rsidR="009F7F8A" w:rsidRPr="00C07B2E" w:rsidRDefault="009F7F8A" w:rsidP="009F7F8A">
            <w:pPr>
              <w:rPr>
                <w:rFonts w:eastAsia="SimSun"/>
              </w:rPr>
            </w:pPr>
            <w:r w:rsidRPr="00C07B2E">
              <w:rPr>
                <w:rFonts w:eastAsia="SimSun"/>
              </w:rPr>
              <w:t xml:space="preserve">Внутрь, суммарная суточная доза разделяется на 2- 4 приема (не более 3г/сут).  </w:t>
            </w:r>
          </w:p>
        </w:tc>
      </w:tr>
      <w:tr w:rsidR="009F7F8A" w:rsidRPr="00C07B2E" w14:paraId="33A91619" w14:textId="77777777" w:rsidTr="009F7F8A">
        <w:trPr>
          <w:cantSplit/>
          <w:trHeight w:val="508"/>
        </w:trPr>
        <w:tc>
          <w:tcPr>
            <w:tcW w:w="1242" w:type="dxa"/>
            <w:vMerge/>
            <w:textDirection w:val="btLr"/>
            <w:vAlign w:val="center"/>
          </w:tcPr>
          <w:p w14:paraId="0737BC76" w14:textId="77777777" w:rsidR="009F7F8A" w:rsidRPr="00C07B2E" w:rsidRDefault="009F7F8A" w:rsidP="009F7F8A">
            <w:pPr>
              <w:rPr>
                <w:rFonts w:eastAsia="SimSun"/>
              </w:rPr>
            </w:pPr>
          </w:p>
        </w:tc>
        <w:tc>
          <w:tcPr>
            <w:tcW w:w="1701" w:type="dxa"/>
            <w:vAlign w:val="center"/>
          </w:tcPr>
          <w:p w14:paraId="0045BBFC" w14:textId="77777777" w:rsidR="009F7F8A" w:rsidRPr="00C07B2E" w:rsidRDefault="009F7F8A" w:rsidP="009F7F8A">
            <w:pPr>
              <w:rPr>
                <w:rFonts w:eastAsia="SimSun"/>
              </w:rPr>
            </w:pPr>
            <w:r w:rsidRPr="00C07B2E">
              <w:rPr>
                <w:rFonts w:eastAsia="SimSun"/>
              </w:rPr>
              <w:t xml:space="preserve">Циклофосфамид </w:t>
            </w:r>
          </w:p>
        </w:tc>
        <w:tc>
          <w:tcPr>
            <w:tcW w:w="1418" w:type="dxa"/>
            <w:vAlign w:val="center"/>
          </w:tcPr>
          <w:p w14:paraId="0E49601B" w14:textId="77777777" w:rsidR="009F7F8A" w:rsidRPr="00C07B2E" w:rsidRDefault="009F7F8A" w:rsidP="009F7F8A">
            <w:pPr>
              <w:rPr>
                <w:rFonts w:eastAsia="SimSun"/>
              </w:rPr>
            </w:pPr>
            <w:r w:rsidRPr="00C07B2E">
              <w:rPr>
                <w:rFonts w:eastAsia="SimSun"/>
              </w:rPr>
              <w:t xml:space="preserve">50 мг/кг </w:t>
            </w:r>
          </w:p>
        </w:tc>
        <w:tc>
          <w:tcPr>
            <w:tcW w:w="1276" w:type="dxa"/>
            <w:vAlign w:val="center"/>
          </w:tcPr>
          <w:p w14:paraId="2FF8B012" w14:textId="77777777" w:rsidR="009F7F8A" w:rsidRPr="00C07B2E" w:rsidRDefault="009F7F8A" w:rsidP="009F7F8A">
            <w:pPr>
              <w:rPr>
                <w:rFonts w:eastAsia="SimSun"/>
              </w:rPr>
            </w:pPr>
            <w:r w:rsidRPr="00C07B2E">
              <w:rPr>
                <w:rFonts w:eastAsia="SimSun"/>
              </w:rPr>
              <w:t>100 мг/кг</w:t>
            </w:r>
          </w:p>
        </w:tc>
        <w:tc>
          <w:tcPr>
            <w:tcW w:w="1701" w:type="dxa"/>
            <w:vAlign w:val="center"/>
          </w:tcPr>
          <w:p w14:paraId="72877696" w14:textId="77777777" w:rsidR="009F7F8A" w:rsidRPr="00C07B2E" w:rsidRDefault="009F7F8A" w:rsidP="009F7F8A">
            <w:pPr>
              <w:rPr>
                <w:rFonts w:eastAsia="SimSun"/>
              </w:rPr>
            </w:pPr>
            <w:r w:rsidRPr="00C07B2E">
              <w:rPr>
                <w:rFonts w:eastAsia="SimSun"/>
              </w:rPr>
              <w:t>С +3 дня по +4 день</w:t>
            </w:r>
          </w:p>
        </w:tc>
        <w:tc>
          <w:tcPr>
            <w:tcW w:w="2268" w:type="dxa"/>
            <w:vAlign w:val="center"/>
          </w:tcPr>
          <w:p w14:paraId="51DD58EB" w14:textId="77777777" w:rsidR="009F7F8A" w:rsidRPr="00C07B2E" w:rsidRDefault="009F7F8A" w:rsidP="009F7F8A">
            <w:pPr>
              <w:rPr>
                <w:rFonts w:eastAsia="SimSun"/>
              </w:rPr>
            </w:pPr>
            <w:r w:rsidRPr="00C07B2E">
              <w:rPr>
                <w:rFonts w:eastAsia="SimSun"/>
              </w:rPr>
              <w:t>В/в, в течение 2 ч</w:t>
            </w:r>
          </w:p>
        </w:tc>
      </w:tr>
    </w:tbl>
    <w:p w14:paraId="78C1980B" w14:textId="77777777" w:rsidR="009F7F8A" w:rsidRPr="00C07B2E" w:rsidRDefault="009F7F8A" w:rsidP="009F7F8A">
      <w:pPr>
        <w:rPr>
          <w:rFonts w:eastAsia="SimSun"/>
        </w:rPr>
      </w:pPr>
    </w:p>
    <w:p w14:paraId="35F2CB78" w14:textId="77777777" w:rsidR="009F7F8A" w:rsidRPr="00C07B2E" w:rsidRDefault="009F7F8A" w:rsidP="009F7F8A">
      <w:pPr>
        <w:rPr>
          <w:rFonts w:eastAsia="SimSun"/>
        </w:rPr>
        <w:sectPr w:rsidR="009F7F8A" w:rsidRPr="00C07B2E" w:rsidSect="009F7F8A">
          <w:footerReference w:type="default" r:id="rId14"/>
          <w:type w:val="continuous"/>
          <w:pgSz w:w="11907" w:h="16839" w:code="9"/>
          <w:pgMar w:top="1134" w:right="850" w:bottom="1134" w:left="1701" w:header="709" w:footer="567" w:gutter="0"/>
          <w:cols w:space="708"/>
          <w:docGrid w:linePitch="360"/>
        </w:sectPr>
      </w:pPr>
      <w:r w:rsidRPr="00C07B2E">
        <w:rPr>
          <w:rFonts w:eastAsia="SimSun"/>
        </w:rPr>
        <w:t xml:space="preserve">Схемы и режимы применения препаратов для </w:t>
      </w:r>
      <w:r w:rsidRPr="00723FEA">
        <w:rPr>
          <w:rFonts w:eastAsia="SimSun"/>
          <w:b/>
        </w:rPr>
        <w:t>кондиционирования в режиме пониженной</w:t>
      </w:r>
      <w:r>
        <w:rPr>
          <w:rFonts w:eastAsia="SimSun"/>
        </w:rPr>
        <w:t xml:space="preserve"> интенсивности</w:t>
      </w:r>
      <w:r w:rsidRPr="00C07B2E">
        <w:rPr>
          <w:rFonts w:eastAsia="SimSun"/>
        </w:rPr>
        <w:t xml:space="preserve"> и профилактики РТПХ указаны в Таблице </w:t>
      </w:r>
      <w:r>
        <w:rPr>
          <w:rFonts w:eastAsia="SimSun"/>
        </w:rPr>
        <w:t>5.</w:t>
      </w:r>
      <w:r w:rsidRPr="00C07B2E">
        <w:rPr>
          <w:rFonts w:eastAsia="SimSun"/>
        </w:rPr>
        <w:t>2.2</w:t>
      </w:r>
    </w:p>
    <w:p w14:paraId="3E747C9B" w14:textId="77777777" w:rsidR="009F7F8A" w:rsidRPr="00C07B2E" w:rsidRDefault="009F7F8A" w:rsidP="009F7F8A">
      <w:pPr>
        <w:rPr>
          <w:rFonts w:eastAsia="SimSun"/>
        </w:rPr>
      </w:pPr>
      <w:r w:rsidRPr="00C07B2E">
        <w:rPr>
          <w:rFonts w:eastAsia="SimSun"/>
        </w:rPr>
        <w:lastRenderedPageBreak/>
        <w:t xml:space="preserve">Таблица </w:t>
      </w:r>
      <w:r>
        <w:rPr>
          <w:rFonts w:eastAsia="SimSun"/>
        </w:rPr>
        <w:t>5.</w:t>
      </w:r>
      <w:r w:rsidRPr="00C07B2E">
        <w:rPr>
          <w:rFonts w:eastAsia="SimSun"/>
        </w:rPr>
        <w:t xml:space="preserve">2.2 Схемы и режимы применения препаратов для кондиционирования и профилактики РТПХ со ссылками на </w:t>
      </w:r>
      <w:r>
        <w:rPr>
          <w:rFonts w:eastAsia="SimSun"/>
        </w:rPr>
        <w:t>таблицы с описанием</w:t>
      </w:r>
    </w:p>
    <w:p w14:paraId="15DD2120" w14:textId="77777777" w:rsidR="009F7F8A" w:rsidRPr="00C07B2E" w:rsidRDefault="009F7F8A" w:rsidP="009F7F8A">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865"/>
        <w:gridCol w:w="880"/>
        <w:gridCol w:w="1222"/>
        <w:gridCol w:w="1177"/>
        <w:gridCol w:w="1031"/>
        <w:gridCol w:w="1265"/>
        <w:gridCol w:w="1228"/>
        <w:gridCol w:w="902"/>
        <w:gridCol w:w="1356"/>
        <w:gridCol w:w="1091"/>
        <w:gridCol w:w="1142"/>
        <w:gridCol w:w="1125"/>
      </w:tblGrid>
      <w:tr w:rsidR="009F7F8A" w:rsidRPr="00470E23" w14:paraId="76CE9EFA" w14:textId="77777777" w:rsidTr="009F7F8A">
        <w:trPr>
          <w:cantSplit/>
          <w:trHeight w:val="498"/>
        </w:trPr>
        <w:tc>
          <w:tcPr>
            <w:tcW w:w="1387" w:type="pct"/>
            <w:gridSpan w:val="4"/>
            <w:vMerge w:val="restart"/>
            <w:shd w:val="clear" w:color="auto" w:fill="auto"/>
            <w:vAlign w:val="center"/>
          </w:tcPr>
          <w:p w14:paraId="5F4C81CB" w14:textId="77777777" w:rsidR="009F7F8A" w:rsidRPr="00470E23" w:rsidRDefault="009F7F8A" w:rsidP="009F7F8A">
            <w:pPr>
              <w:rPr>
                <w:rFonts w:eastAsia="SimSun"/>
                <w:sz w:val="22"/>
              </w:rPr>
            </w:pPr>
            <w:r w:rsidRPr="00470E23">
              <w:rPr>
                <w:rFonts w:eastAsia="SimSun"/>
                <w:sz w:val="22"/>
              </w:rPr>
              <w:t>Профилактика РТПХ</w:t>
            </w:r>
          </w:p>
        </w:tc>
        <w:tc>
          <w:tcPr>
            <w:tcW w:w="3613" w:type="pct"/>
            <w:gridSpan w:val="9"/>
            <w:shd w:val="clear" w:color="auto" w:fill="auto"/>
            <w:vAlign w:val="center"/>
          </w:tcPr>
          <w:p w14:paraId="151C394B" w14:textId="77777777" w:rsidR="009F7F8A" w:rsidRPr="00470E23" w:rsidRDefault="009F7F8A" w:rsidP="009F7F8A">
            <w:pPr>
              <w:rPr>
                <w:rFonts w:eastAsia="SimSun"/>
                <w:sz w:val="22"/>
              </w:rPr>
            </w:pPr>
            <w:r w:rsidRPr="00470E23">
              <w:rPr>
                <w:rFonts w:eastAsia="SimSun"/>
                <w:sz w:val="22"/>
              </w:rPr>
              <w:t>Режим кондиционирования</w:t>
            </w:r>
          </w:p>
        </w:tc>
      </w:tr>
      <w:tr w:rsidR="009F7F8A" w:rsidRPr="00470E23" w14:paraId="33702196" w14:textId="77777777" w:rsidTr="009F7F8A">
        <w:trPr>
          <w:cantSplit/>
          <w:trHeight w:val="433"/>
        </w:trPr>
        <w:tc>
          <w:tcPr>
            <w:tcW w:w="1387" w:type="pct"/>
            <w:gridSpan w:val="4"/>
            <w:vMerge/>
            <w:shd w:val="clear" w:color="auto" w:fill="auto"/>
            <w:vAlign w:val="center"/>
          </w:tcPr>
          <w:p w14:paraId="6FB5C784" w14:textId="77777777" w:rsidR="009F7F8A" w:rsidRPr="00470E23" w:rsidRDefault="009F7F8A" w:rsidP="009F7F8A">
            <w:pPr>
              <w:rPr>
                <w:rFonts w:eastAsia="SimSun"/>
                <w:sz w:val="22"/>
              </w:rPr>
            </w:pPr>
          </w:p>
        </w:tc>
        <w:tc>
          <w:tcPr>
            <w:tcW w:w="412" w:type="pct"/>
            <w:shd w:val="clear" w:color="auto" w:fill="D9D9D9"/>
            <w:vAlign w:val="center"/>
          </w:tcPr>
          <w:p w14:paraId="2BB405F8" w14:textId="77777777" w:rsidR="009F7F8A" w:rsidRPr="00470E23" w:rsidRDefault="009F7F8A" w:rsidP="009F7F8A">
            <w:pPr>
              <w:rPr>
                <w:rFonts w:eastAsia="SimSun"/>
                <w:sz w:val="22"/>
              </w:rPr>
            </w:pPr>
            <w:r w:rsidRPr="00470E23">
              <w:rPr>
                <w:rFonts w:eastAsia="SimSun"/>
                <w:sz w:val="22"/>
              </w:rPr>
              <w:t>Flu90</w:t>
            </w:r>
          </w:p>
        </w:tc>
        <w:tc>
          <w:tcPr>
            <w:tcW w:w="803" w:type="pct"/>
            <w:gridSpan w:val="2"/>
            <w:tcBorders>
              <w:right w:val="single" w:sz="4" w:space="0" w:color="00000A"/>
            </w:tcBorders>
            <w:shd w:val="clear" w:color="auto" w:fill="D9D9D9"/>
            <w:vAlign w:val="center"/>
          </w:tcPr>
          <w:p w14:paraId="3455CE0A" w14:textId="77777777" w:rsidR="009F7F8A" w:rsidRPr="00470E23" w:rsidRDefault="009F7F8A" w:rsidP="009F7F8A">
            <w:pPr>
              <w:rPr>
                <w:rFonts w:eastAsia="SimSun"/>
                <w:sz w:val="22"/>
              </w:rPr>
            </w:pPr>
            <w:r w:rsidRPr="00470E23">
              <w:rPr>
                <w:rFonts w:eastAsia="SimSun"/>
                <w:sz w:val="22"/>
              </w:rPr>
              <w:t>Flu150</w:t>
            </w:r>
          </w:p>
        </w:tc>
        <w:tc>
          <w:tcPr>
            <w:tcW w:w="2398" w:type="pct"/>
            <w:gridSpan w:val="6"/>
            <w:tcBorders>
              <w:left w:val="single" w:sz="4" w:space="0" w:color="00000A"/>
            </w:tcBorders>
            <w:shd w:val="clear" w:color="auto" w:fill="D9D9D9"/>
            <w:vAlign w:val="center"/>
          </w:tcPr>
          <w:p w14:paraId="5ACE3265" w14:textId="77777777" w:rsidR="009F7F8A" w:rsidRPr="00470E23" w:rsidRDefault="009F7F8A" w:rsidP="009F7F8A">
            <w:pPr>
              <w:rPr>
                <w:rFonts w:eastAsia="SimSun"/>
                <w:sz w:val="22"/>
              </w:rPr>
            </w:pPr>
            <w:r w:rsidRPr="00470E23">
              <w:rPr>
                <w:rFonts w:eastAsia="SimSun"/>
                <w:sz w:val="22"/>
              </w:rPr>
              <w:t>Flu180</w:t>
            </w:r>
          </w:p>
        </w:tc>
      </w:tr>
      <w:tr w:rsidR="009F7F8A" w:rsidRPr="00470E23" w14:paraId="2DDDAB4B" w14:textId="77777777" w:rsidTr="009F7F8A">
        <w:trPr>
          <w:cantSplit/>
          <w:trHeight w:val="397"/>
        </w:trPr>
        <w:tc>
          <w:tcPr>
            <w:tcW w:w="1387" w:type="pct"/>
            <w:gridSpan w:val="4"/>
            <w:vMerge/>
            <w:shd w:val="clear" w:color="auto" w:fill="auto"/>
            <w:vAlign w:val="center"/>
          </w:tcPr>
          <w:p w14:paraId="6FC5499C" w14:textId="77777777" w:rsidR="009F7F8A" w:rsidRPr="00470E23" w:rsidRDefault="009F7F8A" w:rsidP="009F7F8A">
            <w:pPr>
              <w:rPr>
                <w:rFonts w:eastAsia="SimSun"/>
                <w:sz w:val="22"/>
              </w:rPr>
            </w:pPr>
          </w:p>
        </w:tc>
        <w:tc>
          <w:tcPr>
            <w:tcW w:w="412" w:type="pct"/>
            <w:shd w:val="clear" w:color="auto" w:fill="D9D9D9"/>
            <w:vAlign w:val="center"/>
          </w:tcPr>
          <w:p w14:paraId="7EA5E8DE" w14:textId="77777777" w:rsidR="009F7F8A" w:rsidRPr="00470E23" w:rsidRDefault="009F7F8A" w:rsidP="009F7F8A">
            <w:pPr>
              <w:rPr>
                <w:rFonts w:eastAsia="SimSun"/>
                <w:sz w:val="22"/>
              </w:rPr>
            </w:pPr>
            <w:r w:rsidRPr="00470E23">
              <w:rPr>
                <w:rFonts w:eastAsia="SimSun"/>
                <w:sz w:val="22"/>
              </w:rPr>
              <w:t>Benda</w:t>
            </w:r>
          </w:p>
        </w:tc>
        <w:tc>
          <w:tcPr>
            <w:tcW w:w="361" w:type="pct"/>
            <w:tcBorders>
              <w:right w:val="single" w:sz="4" w:space="0" w:color="00000A"/>
            </w:tcBorders>
            <w:shd w:val="clear" w:color="auto" w:fill="D9D9D9"/>
            <w:vAlign w:val="center"/>
          </w:tcPr>
          <w:p w14:paraId="3DE38EF3" w14:textId="77777777" w:rsidR="009F7F8A" w:rsidRPr="00470E23" w:rsidRDefault="009F7F8A" w:rsidP="009F7F8A">
            <w:pPr>
              <w:rPr>
                <w:rFonts w:eastAsia="SimSun"/>
                <w:sz w:val="22"/>
              </w:rPr>
            </w:pPr>
            <w:r w:rsidRPr="00470E23">
              <w:rPr>
                <w:rFonts w:eastAsia="SimSun"/>
                <w:sz w:val="22"/>
              </w:rPr>
              <w:t>-</w:t>
            </w:r>
          </w:p>
        </w:tc>
        <w:tc>
          <w:tcPr>
            <w:tcW w:w="443" w:type="pct"/>
            <w:tcBorders>
              <w:left w:val="single" w:sz="4" w:space="0" w:color="00000A"/>
              <w:right w:val="single" w:sz="4" w:space="0" w:color="00000A"/>
            </w:tcBorders>
            <w:shd w:val="clear" w:color="auto" w:fill="D9D9D9"/>
            <w:vAlign w:val="center"/>
          </w:tcPr>
          <w:p w14:paraId="5DEFD552" w14:textId="77777777" w:rsidR="009F7F8A" w:rsidRPr="00470E23" w:rsidRDefault="009F7F8A" w:rsidP="009F7F8A">
            <w:pPr>
              <w:rPr>
                <w:rFonts w:eastAsia="SimSun"/>
                <w:sz w:val="22"/>
              </w:rPr>
            </w:pPr>
            <w:r w:rsidRPr="00470E23">
              <w:rPr>
                <w:rFonts w:eastAsia="SimSun"/>
                <w:sz w:val="22"/>
              </w:rPr>
              <w:t>Bu8</w:t>
            </w:r>
          </w:p>
        </w:tc>
        <w:tc>
          <w:tcPr>
            <w:tcW w:w="746" w:type="pct"/>
            <w:gridSpan w:val="2"/>
            <w:shd w:val="clear" w:color="auto" w:fill="D9D9D9"/>
            <w:vAlign w:val="center"/>
          </w:tcPr>
          <w:p w14:paraId="54D78AD9" w14:textId="77777777" w:rsidR="009F7F8A" w:rsidRPr="00470E23" w:rsidRDefault="009F7F8A" w:rsidP="009F7F8A">
            <w:pPr>
              <w:rPr>
                <w:rFonts w:eastAsia="SimSun"/>
                <w:sz w:val="22"/>
              </w:rPr>
            </w:pPr>
            <w:r w:rsidRPr="00470E23">
              <w:rPr>
                <w:rFonts w:eastAsia="SimSun"/>
                <w:sz w:val="22"/>
              </w:rPr>
              <w:t>Bu8</w:t>
            </w:r>
          </w:p>
        </w:tc>
        <w:tc>
          <w:tcPr>
            <w:tcW w:w="475" w:type="pct"/>
            <w:shd w:val="clear" w:color="auto" w:fill="D9D9D9"/>
            <w:vAlign w:val="center"/>
          </w:tcPr>
          <w:p w14:paraId="6BF67B6C" w14:textId="77777777" w:rsidR="009F7F8A" w:rsidRPr="00470E23" w:rsidRDefault="009F7F8A" w:rsidP="009F7F8A">
            <w:pPr>
              <w:rPr>
                <w:rFonts w:eastAsia="SimSun"/>
                <w:sz w:val="22"/>
              </w:rPr>
            </w:pPr>
            <w:r w:rsidRPr="00470E23">
              <w:rPr>
                <w:rFonts w:eastAsia="SimSun"/>
                <w:sz w:val="22"/>
              </w:rPr>
              <w:t>Bu10</w:t>
            </w:r>
          </w:p>
        </w:tc>
        <w:tc>
          <w:tcPr>
            <w:tcW w:w="382" w:type="pct"/>
            <w:shd w:val="clear" w:color="auto" w:fill="D9D9D9"/>
            <w:vAlign w:val="center"/>
          </w:tcPr>
          <w:p w14:paraId="69E9E135" w14:textId="77777777" w:rsidR="009F7F8A" w:rsidRPr="00470E23" w:rsidRDefault="009F7F8A" w:rsidP="009F7F8A">
            <w:pPr>
              <w:rPr>
                <w:rFonts w:eastAsia="SimSun"/>
                <w:sz w:val="22"/>
              </w:rPr>
            </w:pPr>
            <w:r w:rsidRPr="00470E23">
              <w:rPr>
                <w:rFonts w:eastAsia="SimSun"/>
                <w:sz w:val="22"/>
              </w:rPr>
              <w:t>Treo36</w:t>
            </w:r>
          </w:p>
        </w:tc>
        <w:tc>
          <w:tcPr>
            <w:tcW w:w="400" w:type="pct"/>
            <w:shd w:val="clear" w:color="auto" w:fill="D9D9D9"/>
            <w:vAlign w:val="center"/>
          </w:tcPr>
          <w:p w14:paraId="4C719B93" w14:textId="77777777" w:rsidR="009F7F8A" w:rsidRPr="00470E23" w:rsidRDefault="009F7F8A" w:rsidP="009F7F8A">
            <w:pPr>
              <w:rPr>
                <w:rFonts w:eastAsia="SimSun"/>
                <w:sz w:val="22"/>
              </w:rPr>
            </w:pPr>
            <w:r w:rsidRPr="00470E23">
              <w:rPr>
                <w:rFonts w:eastAsia="SimSun"/>
                <w:sz w:val="22"/>
              </w:rPr>
              <w:t>Cy1200</w:t>
            </w:r>
          </w:p>
        </w:tc>
        <w:tc>
          <w:tcPr>
            <w:tcW w:w="394" w:type="pct"/>
            <w:shd w:val="clear" w:color="auto" w:fill="D9D9D9"/>
            <w:vAlign w:val="center"/>
          </w:tcPr>
          <w:p w14:paraId="3D6A30C4" w14:textId="77777777" w:rsidR="009F7F8A" w:rsidRPr="00470E23" w:rsidRDefault="009F7F8A" w:rsidP="009F7F8A">
            <w:pPr>
              <w:rPr>
                <w:rFonts w:eastAsia="SimSun"/>
                <w:sz w:val="22"/>
              </w:rPr>
            </w:pPr>
            <w:r w:rsidRPr="00470E23">
              <w:rPr>
                <w:rFonts w:eastAsia="SimSun"/>
                <w:sz w:val="22"/>
              </w:rPr>
              <w:t>Mel100</w:t>
            </w:r>
          </w:p>
        </w:tc>
      </w:tr>
      <w:tr w:rsidR="009F7F8A" w:rsidRPr="00470E23" w14:paraId="071C6A76" w14:textId="77777777" w:rsidTr="009F7F8A">
        <w:trPr>
          <w:cantSplit/>
          <w:trHeight w:val="417"/>
        </w:trPr>
        <w:tc>
          <w:tcPr>
            <w:tcW w:w="1387" w:type="pct"/>
            <w:gridSpan w:val="4"/>
            <w:vMerge/>
            <w:shd w:val="clear" w:color="auto" w:fill="auto"/>
            <w:vAlign w:val="center"/>
          </w:tcPr>
          <w:p w14:paraId="2C0118CA" w14:textId="77777777" w:rsidR="009F7F8A" w:rsidRPr="00470E23" w:rsidRDefault="009F7F8A" w:rsidP="009F7F8A">
            <w:pPr>
              <w:rPr>
                <w:rFonts w:eastAsia="SimSun"/>
                <w:sz w:val="22"/>
              </w:rPr>
            </w:pPr>
          </w:p>
        </w:tc>
        <w:tc>
          <w:tcPr>
            <w:tcW w:w="412" w:type="pct"/>
            <w:shd w:val="clear" w:color="auto" w:fill="D9D9D9"/>
            <w:vAlign w:val="center"/>
          </w:tcPr>
          <w:p w14:paraId="4120CE3B" w14:textId="77777777" w:rsidR="009F7F8A" w:rsidRPr="00470E23" w:rsidRDefault="009F7F8A" w:rsidP="009F7F8A">
            <w:pPr>
              <w:rPr>
                <w:rFonts w:eastAsia="SimSun"/>
                <w:sz w:val="22"/>
              </w:rPr>
            </w:pPr>
            <w:r w:rsidRPr="00470E23">
              <w:rPr>
                <w:rFonts w:eastAsia="SimSun"/>
                <w:sz w:val="22"/>
              </w:rPr>
              <w:t>-</w:t>
            </w:r>
          </w:p>
        </w:tc>
        <w:tc>
          <w:tcPr>
            <w:tcW w:w="361" w:type="pct"/>
            <w:tcBorders>
              <w:right w:val="single" w:sz="4" w:space="0" w:color="00000A"/>
            </w:tcBorders>
            <w:shd w:val="clear" w:color="auto" w:fill="D9D9D9"/>
            <w:vAlign w:val="center"/>
          </w:tcPr>
          <w:p w14:paraId="229486E6" w14:textId="77777777" w:rsidR="009F7F8A" w:rsidRPr="00470E23" w:rsidRDefault="009F7F8A" w:rsidP="009F7F8A">
            <w:pPr>
              <w:rPr>
                <w:rFonts w:eastAsia="SimSun"/>
                <w:sz w:val="22"/>
              </w:rPr>
            </w:pPr>
            <w:r w:rsidRPr="00470E23">
              <w:rPr>
                <w:rFonts w:eastAsia="SimSun"/>
                <w:sz w:val="22"/>
              </w:rPr>
              <w:t>Thio</w:t>
            </w:r>
          </w:p>
        </w:tc>
        <w:tc>
          <w:tcPr>
            <w:tcW w:w="443" w:type="pct"/>
            <w:tcBorders>
              <w:left w:val="single" w:sz="4" w:space="0" w:color="00000A"/>
            </w:tcBorders>
            <w:shd w:val="clear" w:color="auto" w:fill="D9D9D9"/>
            <w:vAlign w:val="center"/>
          </w:tcPr>
          <w:p w14:paraId="3707FAC0" w14:textId="77777777" w:rsidR="009F7F8A" w:rsidRPr="00470E23" w:rsidRDefault="009F7F8A" w:rsidP="009F7F8A">
            <w:pPr>
              <w:rPr>
                <w:rFonts w:eastAsia="SimSun"/>
                <w:sz w:val="22"/>
              </w:rPr>
            </w:pPr>
            <w:r w:rsidRPr="00470E23">
              <w:rPr>
                <w:rFonts w:eastAsia="SimSun"/>
                <w:sz w:val="22"/>
              </w:rPr>
              <w:t>Thio</w:t>
            </w:r>
          </w:p>
        </w:tc>
        <w:tc>
          <w:tcPr>
            <w:tcW w:w="430" w:type="pct"/>
            <w:tcBorders>
              <w:right w:val="single" w:sz="4" w:space="0" w:color="00000A"/>
            </w:tcBorders>
            <w:shd w:val="clear" w:color="auto" w:fill="D9D9D9"/>
            <w:vAlign w:val="center"/>
          </w:tcPr>
          <w:p w14:paraId="482B5F62" w14:textId="77777777" w:rsidR="009F7F8A" w:rsidRPr="00470E23" w:rsidRDefault="009F7F8A" w:rsidP="009F7F8A">
            <w:pPr>
              <w:rPr>
                <w:rFonts w:eastAsia="SimSun"/>
                <w:sz w:val="22"/>
              </w:rPr>
            </w:pPr>
            <w:r w:rsidRPr="00470E23">
              <w:rPr>
                <w:rFonts w:eastAsia="SimSun"/>
                <w:sz w:val="22"/>
              </w:rPr>
              <w:t>-</w:t>
            </w:r>
          </w:p>
        </w:tc>
        <w:tc>
          <w:tcPr>
            <w:tcW w:w="316" w:type="pct"/>
            <w:tcBorders>
              <w:left w:val="single" w:sz="4" w:space="0" w:color="00000A"/>
            </w:tcBorders>
            <w:shd w:val="clear" w:color="auto" w:fill="D9D9D9"/>
            <w:vAlign w:val="center"/>
          </w:tcPr>
          <w:p w14:paraId="42F6FEF4" w14:textId="77777777" w:rsidR="009F7F8A" w:rsidRPr="00470E23" w:rsidRDefault="009F7F8A" w:rsidP="009F7F8A">
            <w:pPr>
              <w:rPr>
                <w:rFonts w:eastAsia="SimSun"/>
                <w:sz w:val="22"/>
              </w:rPr>
            </w:pPr>
            <w:r w:rsidRPr="00470E23">
              <w:rPr>
                <w:rFonts w:eastAsia="SimSun"/>
                <w:sz w:val="22"/>
              </w:rPr>
              <w:t>Thio</w:t>
            </w:r>
          </w:p>
        </w:tc>
        <w:tc>
          <w:tcPr>
            <w:tcW w:w="475" w:type="pct"/>
            <w:shd w:val="clear" w:color="auto" w:fill="D9D9D9"/>
            <w:vAlign w:val="center"/>
          </w:tcPr>
          <w:p w14:paraId="189FB401" w14:textId="77777777" w:rsidR="009F7F8A" w:rsidRPr="00470E23" w:rsidRDefault="009F7F8A" w:rsidP="009F7F8A">
            <w:pPr>
              <w:rPr>
                <w:rFonts w:eastAsia="SimSun"/>
                <w:sz w:val="22"/>
              </w:rPr>
            </w:pPr>
            <w:r w:rsidRPr="00470E23">
              <w:rPr>
                <w:rFonts w:eastAsia="SimSun"/>
                <w:sz w:val="22"/>
              </w:rPr>
              <w:t>-</w:t>
            </w:r>
          </w:p>
        </w:tc>
        <w:tc>
          <w:tcPr>
            <w:tcW w:w="382" w:type="pct"/>
            <w:shd w:val="clear" w:color="auto" w:fill="D9D9D9"/>
            <w:vAlign w:val="center"/>
          </w:tcPr>
          <w:p w14:paraId="41C94A47" w14:textId="77777777" w:rsidR="009F7F8A" w:rsidRPr="00470E23" w:rsidRDefault="009F7F8A" w:rsidP="009F7F8A">
            <w:pPr>
              <w:rPr>
                <w:rFonts w:eastAsia="SimSun"/>
                <w:sz w:val="22"/>
              </w:rPr>
            </w:pPr>
            <w:r w:rsidRPr="00470E23">
              <w:rPr>
                <w:rFonts w:eastAsia="SimSun"/>
                <w:sz w:val="22"/>
              </w:rPr>
              <w:t>-</w:t>
            </w:r>
          </w:p>
        </w:tc>
        <w:tc>
          <w:tcPr>
            <w:tcW w:w="400" w:type="pct"/>
            <w:shd w:val="clear" w:color="auto" w:fill="D9D9D9"/>
            <w:vAlign w:val="center"/>
          </w:tcPr>
          <w:p w14:paraId="62335D4F" w14:textId="77777777" w:rsidR="009F7F8A" w:rsidRPr="00470E23" w:rsidRDefault="009F7F8A" w:rsidP="009F7F8A">
            <w:pPr>
              <w:rPr>
                <w:rFonts w:eastAsia="SimSun"/>
                <w:sz w:val="22"/>
              </w:rPr>
            </w:pPr>
          </w:p>
        </w:tc>
        <w:tc>
          <w:tcPr>
            <w:tcW w:w="394" w:type="pct"/>
            <w:shd w:val="clear" w:color="auto" w:fill="D9D9D9"/>
            <w:vAlign w:val="center"/>
          </w:tcPr>
          <w:p w14:paraId="678F7F88" w14:textId="77777777" w:rsidR="009F7F8A" w:rsidRPr="00470E23" w:rsidRDefault="009F7F8A" w:rsidP="009F7F8A">
            <w:pPr>
              <w:rPr>
                <w:rFonts w:eastAsia="SimSun"/>
                <w:sz w:val="22"/>
              </w:rPr>
            </w:pPr>
          </w:p>
        </w:tc>
      </w:tr>
      <w:tr w:rsidR="009F7F8A" w:rsidRPr="00470E23" w14:paraId="112BA4CE" w14:textId="77777777" w:rsidTr="009F7F8A">
        <w:trPr>
          <w:cantSplit/>
          <w:trHeight w:val="606"/>
        </w:trPr>
        <w:tc>
          <w:tcPr>
            <w:tcW w:w="348" w:type="pct"/>
            <w:vMerge w:val="restart"/>
            <w:shd w:val="clear" w:color="auto" w:fill="D9D9D9"/>
            <w:vAlign w:val="center"/>
          </w:tcPr>
          <w:p w14:paraId="682CF37A" w14:textId="77777777" w:rsidR="009F7F8A" w:rsidRPr="00470E23" w:rsidRDefault="009F7F8A" w:rsidP="009F7F8A">
            <w:pPr>
              <w:rPr>
                <w:rFonts w:eastAsia="SimSun"/>
                <w:sz w:val="22"/>
              </w:rPr>
            </w:pPr>
            <w:r w:rsidRPr="00470E23">
              <w:rPr>
                <w:rFonts w:eastAsia="SimSun"/>
                <w:sz w:val="22"/>
              </w:rPr>
              <w:t>hATG</w:t>
            </w:r>
          </w:p>
        </w:tc>
        <w:tc>
          <w:tcPr>
            <w:tcW w:w="303" w:type="pct"/>
            <w:shd w:val="clear" w:color="auto" w:fill="D9D9D9"/>
            <w:vAlign w:val="center"/>
          </w:tcPr>
          <w:p w14:paraId="1F857B85" w14:textId="77777777" w:rsidR="009F7F8A" w:rsidRPr="00470E23" w:rsidRDefault="009F7F8A" w:rsidP="009F7F8A">
            <w:pPr>
              <w:rPr>
                <w:rFonts w:eastAsia="SimSun"/>
                <w:sz w:val="22"/>
              </w:rPr>
            </w:pPr>
            <w:r w:rsidRPr="00470E23">
              <w:rPr>
                <w:rFonts w:eastAsia="SimSun"/>
                <w:sz w:val="22"/>
              </w:rPr>
              <w:t>CSA</w:t>
            </w:r>
          </w:p>
        </w:tc>
        <w:tc>
          <w:tcPr>
            <w:tcW w:w="308" w:type="pct"/>
            <w:shd w:val="clear" w:color="auto" w:fill="D9D9D9"/>
            <w:vAlign w:val="center"/>
          </w:tcPr>
          <w:p w14:paraId="5EE05BE1" w14:textId="77777777" w:rsidR="009F7F8A" w:rsidRPr="00470E23" w:rsidRDefault="009F7F8A" w:rsidP="009F7F8A">
            <w:pPr>
              <w:rPr>
                <w:rFonts w:eastAsia="SimSun"/>
                <w:sz w:val="22"/>
              </w:rPr>
            </w:pPr>
            <w:r w:rsidRPr="00470E23">
              <w:rPr>
                <w:rFonts w:eastAsia="SimSun"/>
                <w:sz w:val="22"/>
              </w:rPr>
              <w:t>MTX</w:t>
            </w:r>
          </w:p>
        </w:tc>
        <w:tc>
          <w:tcPr>
            <w:tcW w:w="428" w:type="pct"/>
            <w:shd w:val="clear" w:color="auto" w:fill="D9D9D9"/>
            <w:vAlign w:val="center"/>
          </w:tcPr>
          <w:p w14:paraId="6031BA47" w14:textId="77777777" w:rsidR="009F7F8A" w:rsidRPr="00470E23" w:rsidRDefault="009F7F8A" w:rsidP="009F7F8A">
            <w:pPr>
              <w:rPr>
                <w:rFonts w:eastAsia="SimSun"/>
                <w:sz w:val="22"/>
              </w:rPr>
            </w:pPr>
            <w:r w:rsidRPr="00470E23">
              <w:rPr>
                <w:rFonts w:eastAsia="SimSun"/>
                <w:sz w:val="22"/>
              </w:rPr>
              <w:t>MMF45</w:t>
            </w:r>
          </w:p>
        </w:tc>
        <w:tc>
          <w:tcPr>
            <w:tcW w:w="412" w:type="pct"/>
            <w:shd w:val="clear" w:color="auto" w:fill="auto"/>
            <w:vAlign w:val="center"/>
          </w:tcPr>
          <w:p w14:paraId="6EC41313" w14:textId="77777777" w:rsidR="009F7F8A" w:rsidRPr="00470E23" w:rsidRDefault="009F7F8A" w:rsidP="009F7F8A">
            <w:pPr>
              <w:rPr>
                <w:rFonts w:eastAsia="SimSun"/>
                <w:sz w:val="22"/>
              </w:rPr>
            </w:pPr>
            <w:r w:rsidRPr="00470E23">
              <w:rPr>
                <w:rFonts w:eastAsia="SimSun"/>
                <w:sz w:val="22"/>
              </w:rPr>
              <w:t>-</w:t>
            </w:r>
          </w:p>
        </w:tc>
        <w:tc>
          <w:tcPr>
            <w:tcW w:w="361" w:type="pct"/>
            <w:tcBorders>
              <w:right w:val="single" w:sz="4" w:space="0" w:color="00000A"/>
            </w:tcBorders>
            <w:shd w:val="clear" w:color="auto" w:fill="auto"/>
            <w:vAlign w:val="center"/>
          </w:tcPr>
          <w:p w14:paraId="731CC592" w14:textId="77777777" w:rsidR="009F7F8A" w:rsidRPr="00470E23" w:rsidRDefault="009F7F8A" w:rsidP="009F7F8A">
            <w:pPr>
              <w:rPr>
                <w:rFonts w:eastAsia="SimSun"/>
                <w:sz w:val="22"/>
              </w:rPr>
            </w:pPr>
          </w:p>
        </w:tc>
        <w:tc>
          <w:tcPr>
            <w:tcW w:w="443" w:type="pct"/>
            <w:tcBorders>
              <w:left w:val="single" w:sz="4" w:space="0" w:color="00000A"/>
            </w:tcBorders>
            <w:shd w:val="clear" w:color="auto" w:fill="auto"/>
            <w:vAlign w:val="center"/>
          </w:tcPr>
          <w:p w14:paraId="31D4740A" w14:textId="77777777" w:rsidR="009F7F8A" w:rsidRPr="00470E23" w:rsidRDefault="009F7F8A" w:rsidP="009F7F8A">
            <w:pPr>
              <w:rPr>
                <w:rFonts w:eastAsia="SimSun"/>
                <w:sz w:val="22"/>
              </w:rPr>
            </w:pPr>
            <w:r w:rsidRPr="00470E23">
              <w:rPr>
                <w:rFonts w:eastAsia="SimSun"/>
                <w:sz w:val="22"/>
              </w:rPr>
              <w:t>5.2.2.1</w:t>
            </w:r>
          </w:p>
        </w:tc>
        <w:tc>
          <w:tcPr>
            <w:tcW w:w="430" w:type="pct"/>
            <w:tcBorders>
              <w:right w:val="single" w:sz="4" w:space="0" w:color="00000A"/>
            </w:tcBorders>
            <w:shd w:val="clear" w:color="auto" w:fill="auto"/>
            <w:vAlign w:val="center"/>
          </w:tcPr>
          <w:p w14:paraId="3E74832B" w14:textId="77777777" w:rsidR="009F7F8A" w:rsidRPr="00470E23" w:rsidRDefault="009F7F8A" w:rsidP="009F7F8A">
            <w:pPr>
              <w:rPr>
                <w:rFonts w:eastAsia="SimSun"/>
                <w:sz w:val="22"/>
              </w:rPr>
            </w:pPr>
            <w:r w:rsidRPr="00470E23">
              <w:rPr>
                <w:rFonts w:eastAsia="SimSun"/>
                <w:sz w:val="22"/>
              </w:rPr>
              <w:t>5.2.2.5</w:t>
            </w:r>
          </w:p>
        </w:tc>
        <w:tc>
          <w:tcPr>
            <w:tcW w:w="316" w:type="pct"/>
            <w:tcBorders>
              <w:left w:val="single" w:sz="4" w:space="0" w:color="00000A"/>
            </w:tcBorders>
            <w:shd w:val="clear" w:color="auto" w:fill="auto"/>
            <w:vAlign w:val="center"/>
          </w:tcPr>
          <w:p w14:paraId="16D8D2CE" w14:textId="77777777" w:rsidR="009F7F8A" w:rsidRPr="00470E23" w:rsidRDefault="009F7F8A" w:rsidP="009F7F8A">
            <w:pPr>
              <w:rPr>
                <w:rFonts w:eastAsia="SimSun"/>
                <w:sz w:val="22"/>
              </w:rPr>
            </w:pPr>
          </w:p>
        </w:tc>
        <w:tc>
          <w:tcPr>
            <w:tcW w:w="475" w:type="pct"/>
            <w:shd w:val="clear" w:color="auto" w:fill="auto"/>
            <w:vAlign w:val="center"/>
          </w:tcPr>
          <w:p w14:paraId="171BD592" w14:textId="77777777" w:rsidR="009F7F8A" w:rsidRPr="00470E23" w:rsidRDefault="009F7F8A" w:rsidP="009F7F8A">
            <w:pPr>
              <w:rPr>
                <w:rFonts w:eastAsia="SimSun"/>
                <w:sz w:val="22"/>
              </w:rPr>
            </w:pPr>
          </w:p>
        </w:tc>
        <w:tc>
          <w:tcPr>
            <w:tcW w:w="382" w:type="pct"/>
            <w:shd w:val="clear" w:color="auto" w:fill="auto"/>
            <w:vAlign w:val="center"/>
          </w:tcPr>
          <w:p w14:paraId="21DD0660" w14:textId="77777777" w:rsidR="009F7F8A" w:rsidRPr="00470E23" w:rsidRDefault="009F7F8A" w:rsidP="009F7F8A">
            <w:pPr>
              <w:rPr>
                <w:rFonts w:eastAsia="SimSun"/>
                <w:sz w:val="22"/>
              </w:rPr>
            </w:pPr>
          </w:p>
        </w:tc>
        <w:tc>
          <w:tcPr>
            <w:tcW w:w="400" w:type="pct"/>
            <w:shd w:val="clear" w:color="auto" w:fill="auto"/>
            <w:vAlign w:val="center"/>
          </w:tcPr>
          <w:p w14:paraId="374A5D87" w14:textId="77777777" w:rsidR="009F7F8A" w:rsidRPr="00470E23" w:rsidRDefault="009F7F8A" w:rsidP="009F7F8A">
            <w:pPr>
              <w:rPr>
                <w:rFonts w:eastAsia="SimSun"/>
                <w:sz w:val="22"/>
              </w:rPr>
            </w:pPr>
          </w:p>
        </w:tc>
        <w:tc>
          <w:tcPr>
            <w:tcW w:w="394" w:type="pct"/>
            <w:vAlign w:val="center"/>
          </w:tcPr>
          <w:p w14:paraId="3AF2D6EA" w14:textId="77777777" w:rsidR="009F7F8A" w:rsidRPr="00470E23" w:rsidRDefault="009F7F8A" w:rsidP="009F7F8A">
            <w:pPr>
              <w:rPr>
                <w:rFonts w:eastAsia="SimSun"/>
                <w:sz w:val="22"/>
              </w:rPr>
            </w:pPr>
          </w:p>
        </w:tc>
      </w:tr>
      <w:tr w:rsidR="009F7F8A" w:rsidRPr="00470E23" w14:paraId="5ECAC0CC" w14:textId="77777777" w:rsidTr="009F7F8A">
        <w:trPr>
          <w:cantSplit/>
          <w:trHeight w:val="606"/>
        </w:trPr>
        <w:tc>
          <w:tcPr>
            <w:tcW w:w="348" w:type="pct"/>
            <w:vMerge/>
            <w:shd w:val="clear" w:color="auto" w:fill="D9D9D9"/>
            <w:vAlign w:val="center"/>
          </w:tcPr>
          <w:p w14:paraId="525E257D" w14:textId="77777777" w:rsidR="009F7F8A" w:rsidRPr="00470E23" w:rsidRDefault="009F7F8A" w:rsidP="009F7F8A">
            <w:pPr>
              <w:rPr>
                <w:rFonts w:eastAsia="SimSun"/>
                <w:sz w:val="22"/>
              </w:rPr>
            </w:pPr>
          </w:p>
        </w:tc>
        <w:tc>
          <w:tcPr>
            <w:tcW w:w="303" w:type="pct"/>
            <w:shd w:val="clear" w:color="auto" w:fill="D9D9D9"/>
            <w:vAlign w:val="center"/>
          </w:tcPr>
          <w:p w14:paraId="00D0FE29" w14:textId="77777777" w:rsidR="009F7F8A" w:rsidRPr="00470E23" w:rsidRDefault="009F7F8A" w:rsidP="009F7F8A">
            <w:pPr>
              <w:rPr>
                <w:rFonts w:eastAsia="SimSun"/>
                <w:sz w:val="22"/>
              </w:rPr>
            </w:pPr>
            <w:r w:rsidRPr="00470E23">
              <w:rPr>
                <w:rFonts w:eastAsia="SimSun"/>
                <w:sz w:val="22"/>
              </w:rPr>
              <w:t>Tx</w:t>
            </w:r>
          </w:p>
        </w:tc>
        <w:tc>
          <w:tcPr>
            <w:tcW w:w="308" w:type="pct"/>
            <w:shd w:val="clear" w:color="auto" w:fill="D9D9D9"/>
            <w:vAlign w:val="center"/>
          </w:tcPr>
          <w:p w14:paraId="6CB324E3" w14:textId="77777777" w:rsidR="009F7F8A" w:rsidRPr="00470E23" w:rsidRDefault="009F7F8A" w:rsidP="009F7F8A">
            <w:pPr>
              <w:rPr>
                <w:rFonts w:eastAsia="SimSun"/>
                <w:sz w:val="22"/>
              </w:rPr>
            </w:pPr>
            <w:r w:rsidRPr="00470E23">
              <w:rPr>
                <w:rFonts w:eastAsia="SimSun"/>
                <w:sz w:val="22"/>
              </w:rPr>
              <w:t>-</w:t>
            </w:r>
          </w:p>
        </w:tc>
        <w:tc>
          <w:tcPr>
            <w:tcW w:w="428" w:type="pct"/>
            <w:shd w:val="clear" w:color="auto" w:fill="D9D9D9"/>
            <w:vAlign w:val="center"/>
          </w:tcPr>
          <w:p w14:paraId="2F9B08EF" w14:textId="77777777" w:rsidR="009F7F8A" w:rsidRPr="00470E23" w:rsidRDefault="009F7F8A" w:rsidP="009F7F8A">
            <w:pPr>
              <w:rPr>
                <w:rFonts w:eastAsia="SimSun"/>
                <w:sz w:val="22"/>
              </w:rPr>
            </w:pPr>
            <w:r w:rsidRPr="00470E23">
              <w:rPr>
                <w:rFonts w:eastAsia="SimSun"/>
                <w:sz w:val="22"/>
              </w:rPr>
              <w:t>MMF30</w:t>
            </w:r>
          </w:p>
        </w:tc>
        <w:tc>
          <w:tcPr>
            <w:tcW w:w="412" w:type="pct"/>
            <w:shd w:val="clear" w:color="auto" w:fill="auto"/>
            <w:vAlign w:val="center"/>
          </w:tcPr>
          <w:p w14:paraId="69B29090" w14:textId="77777777" w:rsidR="009F7F8A" w:rsidRPr="00470E23" w:rsidRDefault="009F7F8A" w:rsidP="009F7F8A">
            <w:pPr>
              <w:rPr>
                <w:rFonts w:eastAsia="SimSun"/>
                <w:sz w:val="22"/>
              </w:rPr>
            </w:pPr>
          </w:p>
        </w:tc>
        <w:tc>
          <w:tcPr>
            <w:tcW w:w="361" w:type="pct"/>
            <w:tcBorders>
              <w:right w:val="single" w:sz="4" w:space="0" w:color="00000A"/>
            </w:tcBorders>
            <w:shd w:val="clear" w:color="auto" w:fill="auto"/>
            <w:vAlign w:val="center"/>
          </w:tcPr>
          <w:p w14:paraId="0260D90E" w14:textId="77777777" w:rsidR="009F7F8A" w:rsidRPr="00470E23" w:rsidRDefault="009F7F8A" w:rsidP="009F7F8A">
            <w:pPr>
              <w:rPr>
                <w:rFonts w:eastAsia="SimSun"/>
                <w:sz w:val="22"/>
              </w:rPr>
            </w:pPr>
            <w:r w:rsidRPr="00470E23">
              <w:rPr>
                <w:rFonts w:eastAsia="SimSun"/>
                <w:sz w:val="22"/>
              </w:rPr>
              <w:t>5.2.2.17</w:t>
            </w:r>
          </w:p>
        </w:tc>
        <w:tc>
          <w:tcPr>
            <w:tcW w:w="443" w:type="pct"/>
            <w:tcBorders>
              <w:left w:val="single" w:sz="4" w:space="0" w:color="00000A"/>
            </w:tcBorders>
            <w:shd w:val="clear" w:color="auto" w:fill="auto"/>
            <w:vAlign w:val="center"/>
          </w:tcPr>
          <w:p w14:paraId="5873A169" w14:textId="77777777" w:rsidR="009F7F8A" w:rsidRPr="00470E23" w:rsidRDefault="009F7F8A" w:rsidP="009F7F8A">
            <w:pPr>
              <w:rPr>
                <w:rFonts w:eastAsia="SimSun"/>
                <w:sz w:val="22"/>
              </w:rPr>
            </w:pPr>
          </w:p>
        </w:tc>
        <w:tc>
          <w:tcPr>
            <w:tcW w:w="430" w:type="pct"/>
            <w:tcBorders>
              <w:right w:val="single" w:sz="4" w:space="0" w:color="00000A"/>
            </w:tcBorders>
            <w:shd w:val="clear" w:color="auto" w:fill="auto"/>
            <w:vAlign w:val="center"/>
          </w:tcPr>
          <w:p w14:paraId="6704233E" w14:textId="77777777" w:rsidR="009F7F8A" w:rsidRPr="00470E23" w:rsidRDefault="009F7F8A" w:rsidP="009F7F8A">
            <w:pPr>
              <w:rPr>
                <w:rFonts w:eastAsia="SimSun"/>
                <w:sz w:val="22"/>
              </w:rPr>
            </w:pPr>
          </w:p>
        </w:tc>
        <w:tc>
          <w:tcPr>
            <w:tcW w:w="316" w:type="pct"/>
            <w:tcBorders>
              <w:left w:val="single" w:sz="4" w:space="0" w:color="00000A"/>
            </w:tcBorders>
            <w:shd w:val="clear" w:color="auto" w:fill="auto"/>
            <w:vAlign w:val="center"/>
          </w:tcPr>
          <w:p w14:paraId="24C8FA29" w14:textId="77777777" w:rsidR="009F7F8A" w:rsidRPr="00470E23" w:rsidRDefault="009F7F8A" w:rsidP="009F7F8A">
            <w:pPr>
              <w:rPr>
                <w:rFonts w:eastAsia="SimSun"/>
                <w:sz w:val="22"/>
              </w:rPr>
            </w:pPr>
          </w:p>
        </w:tc>
        <w:tc>
          <w:tcPr>
            <w:tcW w:w="475" w:type="pct"/>
            <w:shd w:val="clear" w:color="auto" w:fill="auto"/>
            <w:vAlign w:val="center"/>
          </w:tcPr>
          <w:p w14:paraId="4D31BB4E" w14:textId="77777777" w:rsidR="009F7F8A" w:rsidRPr="00470E23" w:rsidRDefault="009F7F8A" w:rsidP="009F7F8A">
            <w:pPr>
              <w:rPr>
                <w:rFonts w:eastAsia="SimSun"/>
                <w:sz w:val="22"/>
              </w:rPr>
            </w:pPr>
          </w:p>
        </w:tc>
        <w:tc>
          <w:tcPr>
            <w:tcW w:w="382" w:type="pct"/>
            <w:shd w:val="clear" w:color="auto" w:fill="auto"/>
            <w:vAlign w:val="center"/>
          </w:tcPr>
          <w:p w14:paraId="07EB72F6" w14:textId="77777777" w:rsidR="009F7F8A" w:rsidRPr="00470E23" w:rsidRDefault="009F7F8A" w:rsidP="009F7F8A">
            <w:pPr>
              <w:rPr>
                <w:rFonts w:eastAsia="SimSun"/>
                <w:sz w:val="22"/>
              </w:rPr>
            </w:pPr>
          </w:p>
        </w:tc>
        <w:tc>
          <w:tcPr>
            <w:tcW w:w="400" w:type="pct"/>
            <w:shd w:val="clear" w:color="auto" w:fill="auto"/>
            <w:vAlign w:val="center"/>
          </w:tcPr>
          <w:p w14:paraId="6EA5EFC0" w14:textId="77777777" w:rsidR="009F7F8A" w:rsidRPr="00470E23" w:rsidRDefault="009F7F8A" w:rsidP="009F7F8A">
            <w:pPr>
              <w:rPr>
                <w:rFonts w:eastAsia="SimSun"/>
                <w:sz w:val="22"/>
              </w:rPr>
            </w:pPr>
            <w:r w:rsidRPr="00470E23">
              <w:rPr>
                <w:rFonts w:eastAsia="SimSun"/>
                <w:sz w:val="22"/>
              </w:rPr>
              <w:t>5.2.2.19</w:t>
            </w:r>
          </w:p>
        </w:tc>
        <w:tc>
          <w:tcPr>
            <w:tcW w:w="394" w:type="pct"/>
            <w:vAlign w:val="center"/>
          </w:tcPr>
          <w:p w14:paraId="6EEB9547" w14:textId="77777777" w:rsidR="009F7F8A" w:rsidRPr="00470E23" w:rsidRDefault="009F7F8A" w:rsidP="009F7F8A">
            <w:pPr>
              <w:rPr>
                <w:rFonts w:eastAsia="SimSun"/>
                <w:sz w:val="22"/>
              </w:rPr>
            </w:pPr>
          </w:p>
        </w:tc>
      </w:tr>
      <w:tr w:rsidR="009F7F8A" w:rsidRPr="00470E23" w14:paraId="6D976DE9" w14:textId="77777777" w:rsidTr="009F7F8A">
        <w:trPr>
          <w:cantSplit/>
          <w:trHeight w:val="606"/>
        </w:trPr>
        <w:tc>
          <w:tcPr>
            <w:tcW w:w="348" w:type="pct"/>
            <w:vMerge w:val="restart"/>
            <w:shd w:val="clear" w:color="auto" w:fill="D9D9D9"/>
            <w:vAlign w:val="center"/>
          </w:tcPr>
          <w:p w14:paraId="235343A1" w14:textId="77777777" w:rsidR="009F7F8A" w:rsidRPr="00470E23" w:rsidRDefault="009F7F8A" w:rsidP="009F7F8A">
            <w:pPr>
              <w:rPr>
                <w:rFonts w:eastAsia="SimSun"/>
                <w:sz w:val="22"/>
              </w:rPr>
            </w:pPr>
            <w:r w:rsidRPr="00470E23">
              <w:rPr>
                <w:rFonts w:eastAsia="SimSun"/>
                <w:sz w:val="22"/>
              </w:rPr>
              <w:t>rATG</w:t>
            </w:r>
          </w:p>
        </w:tc>
        <w:tc>
          <w:tcPr>
            <w:tcW w:w="303" w:type="pct"/>
            <w:shd w:val="clear" w:color="auto" w:fill="D9D9D9"/>
            <w:vAlign w:val="center"/>
          </w:tcPr>
          <w:p w14:paraId="4C563215" w14:textId="77777777" w:rsidR="009F7F8A" w:rsidRPr="00470E23" w:rsidRDefault="009F7F8A" w:rsidP="009F7F8A">
            <w:pPr>
              <w:rPr>
                <w:rFonts w:eastAsia="SimSun"/>
                <w:sz w:val="22"/>
              </w:rPr>
            </w:pPr>
            <w:r w:rsidRPr="00470E23">
              <w:rPr>
                <w:rFonts w:eastAsia="SimSun"/>
                <w:sz w:val="22"/>
              </w:rPr>
              <w:t>CSA</w:t>
            </w:r>
          </w:p>
        </w:tc>
        <w:tc>
          <w:tcPr>
            <w:tcW w:w="308" w:type="pct"/>
            <w:shd w:val="clear" w:color="auto" w:fill="D9D9D9"/>
            <w:vAlign w:val="center"/>
          </w:tcPr>
          <w:p w14:paraId="21CC2B1E" w14:textId="77777777" w:rsidR="009F7F8A" w:rsidRPr="00470E23" w:rsidRDefault="009F7F8A" w:rsidP="009F7F8A">
            <w:pPr>
              <w:rPr>
                <w:rFonts w:eastAsia="SimSun"/>
                <w:sz w:val="22"/>
              </w:rPr>
            </w:pPr>
            <w:r w:rsidRPr="00470E23">
              <w:rPr>
                <w:rFonts w:eastAsia="SimSun"/>
                <w:sz w:val="22"/>
              </w:rPr>
              <w:t>MTX</w:t>
            </w:r>
          </w:p>
        </w:tc>
        <w:tc>
          <w:tcPr>
            <w:tcW w:w="428" w:type="pct"/>
            <w:shd w:val="clear" w:color="auto" w:fill="D9D9D9"/>
            <w:vAlign w:val="center"/>
          </w:tcPr>
          <w:p w14:paraId="309EEF6C" w14:textId="77777777" w:rsidR="009F7F8A" w:rsidRPr="00470E23" w:rsidRDefault="009F7F8A" w:rsidP="009F7F8A">
            <w:pPr>
              <w:rPr>
                <w:rFonts w:eastAsia="SimSun"/>
                <w:sz w:val="22"/>
              </w:rPr>
            </w:pPr>
            <w:r w:rsidRPr="00470E23">
              <w:rPr>
                <w:rFonts w:eastAsia="SimSun"/>
                <w:sz w:val="22"/>
              </w:rPr>
              <w:t>MMF45</w:t>
            </w:r>
          </w:p>
        </w:tc>
        <w:tc>
          <w:tcPr>
            <w:tcW w:w="412" w:type="pct"/>
            <w:shd w:val="clear" w:color="auto" w:fill="auto"/>
            <w:vAlign w:val="center"/>
          </w:tcPr>
          <w:p w14:paraId="5C53CDB0" w14:textId="77777777" w:rsidR="009F7F8A" w:rsidRPr="00470E23" w:rsidRDefault="009F7F8A" w:rsidP="009F7F8A">
            <w:pPr>
              <w:rPr>
                <w:rFonts w:eastAsia="SimSun"/>
                <w:sz w:val="22"/>
              </w:rPr>
            </w:pPr>
          </w:p>
        </w:tc>
        <w:tc>
          <w:tcPr>
            <w:tcW w:w="361" w:type="pct"/>
            <w:tcBorders>
              <w:right w:val="single" w:sz="4" w:space="0" w:color="00000A"/>
            </w:tcBorders>
            <w:shd w:val="clear" w:color="auto" w:fill="auto"/>
            <w:vAlign w:val="center"/>
          </w:tcPr>
          <w:p w14:paraId="1606AF68" w14:textId="77777777" w:rsidR="009F7F8A" w:rsidRPr="00470E23" w:rsidRDefault="009F7F8A" w:rsidP="009F7F8A">
            <w:pPr>
              <w:rPr>
                <w:rFonts w:eastAsia="SimSun"/>
                <w:sz w:val="22"/>
              </w:rPr>
            </w:pPr>
          </w:p>
        </w:tc>
        <w:tc>
          <w:tcPr>
            <w:tcW w:w="443" w:type="pct"/>
            <w:tcBorders>
              <w:left w:val="single" w:sz="4" w:space="0" w:color="00000A"/>
            </w:tcBorders>
            <w:shd w:val="clear" w:color="auto" w:fill="auto"/>
            <w:vAlign w:val="center"/>
          </w:tcPr>
          <w:p w14:paraId="1983F3CA" w14:textId="77777777" w:rsidR="009F7F8A" w:rsidRPr="00470E23" w:rsidRDefault="009F7F8A" w:rsidP="009F7F8A">
            <w:pPr>
              <w:rPr>
                <w:rFonts w:eastAsia="SimSun"/>
                <w:sz w:val="22"/>
              </w:rPr>
            </w:pPr>
            <w:r w:rsidRPr="00470E23">
              <w:rPr>
                <w:rFonts w:eastAsia="SimSun"/>
                <w:sz w:val="22"/>
              </w:rPr>
              <w:t>5.2.2.2</w:t>
            </w:r>
          </w:p>
        </w:tc>
        <w:tc>
          <w:tcPr>
            <w:tcW w:w="430" w:type="pct"/>
            <w:tcBorders>
              <w:right w:val="single" w:sz="4" w:space="0" w:color="00000A"/>
            </w:tcBorders>
            <w:shd w:val="clear" w:color="auto" w:fill="auto"/>
            <w:vAlign w:val="center"/>
          </w:tcPr>
          <w:p w14:paraId="762C3909" w14:textId="77777777" w:rsidR="009F7F8A" w:rsidRPr="00470E23" w:rsidRDefault="009F7F8A" w:rsidP="009F7F8A">
            <w:pPr>
              <w:rPr>
                <w:rFonts w:eastAsia="SimSun"/>
                <w:sz w:val="22"/>
              </w:rPr>
            </w:pPr>
            <w:r w:rsidRPr="00470E23">
              <w:rPr>
                <w:rFonts w:eastAsia="SimSun"/>
                <w:sz w:val="22"/>
              </w:rPr>
              <w:t>5.2.2.6</w:t>
            </w:r>
          </w:p>
        </w:tc>
        <w:tc>
          <w:tcPr>
            <w:tcW w:w="316" w:type="pct"/>
            <w:tcBorders>
              <w:left w:val="single" w:sz="4" w:space="0" w:color="00000A"/>
            </w:tcBorders>
            <w:shd w:val="clear" w:color="auto" w:fill="auto"/>
            <w:vAlign w:val="center"/>
          </w:tcPr>
          <w:p w14:paraId="1995185D" w14:textId="77777777" w:rsidR="009F7F8A" w:rsidRPr="00470E23" w:rsidRDefault="009F7F8A" w:rsidP="009F7F8A">
            <w:pPr>
              <w:rPr>
                <w:rFonts w:eastAsia="SimSun"/>
                <w:sz w:val="22"/>
              </w:rPr>
            </w:pPr>
          </w:p>
        </w:tc>
        <w:tc>
          <w:tcPr>
            <w:tcW w:w="475" w:type="pct"/>
            <w:shd w:val="clear" w:color="auto" w:fill="auto"/>
            <w:vAlign w:val="center"/>
          </w:tcPr>
          <w:p w14:paraId="07D478A3" w14:textId="77777777" w:rsidR="009F7F8A" w:rsidRPr="00470E23" w:rsidRDefault="009F7F8A" w:rsidP="009F7F8A">
            <w:pPr>
              <w:rPr>
                <w:rFonts w:eastAsia="SimSun"/>
                <w:sz w:val="22"/>
              </w:rPr>
            </w:pPr>
          </w:p>
        </w:tc>
        <w:tc>
          <w:tcPr>
            <w:tcW w:w="382" w:type="pct"/>
            <w:shd w:val="clear" w:color="auto" w:fill="auto"/>
            <w:vAlign w:val="center"/>
          </w:tcPr>
          <w:p w14:paraId="7D24B850" w14:textId="77777777" w:rsidR="009F7F8A" w:rsidRPr="00470E23" w:rsidRDefault="009F7F8A" w:rsidP="009F7F8A">
            <w:pPr>
              <w:rPr>
                <w:rFonts w:eastAsia="SimSun"/>
                <w:sz w:val="22"/>
              </w:rPr>
            </w:pPr>
          </w:p>
        </w:tc>
        <w:tc>
          <w:tcPr>
            <w:tcW w:w="400" w:type="pct"/>
            <w:shd w:val="clear" w:color="auto" w:fill="auto"/>
            <w:vAlign w:val="center"/>
          </w:tcPr>
          <w:p w14:paraId="04BFD0A0" w14:textId="77777777" w:rsidR="009F7F8A" w:rsidRPr="00470E23" w:rsidRDefault="009F7F8A" w:rsidP="009F7F8A">
            <w:pPr>
              <w:rPr>
                <w:rFonts w:eastAsia="SimSun"/>
                <w:sz w:val="22"/>
              </w:rPr>
            </w:pPr>
          </w:p>
        </w:tc>
        <w:tc>
          <w:tcPr>
            <w:tcW w:w="394" w:type="pct"/>
            <w:vAlign w:val="center"/>
          </w:tcPr>
          <w:p w14:paraId="4DB32B78" w14:textId="77777777" w:rsidR="009F7F8A" w:rsidRPr="00470E23" w:rsidRDefault="009F7F8A" w:rsidP="009F7F8A">
            <w:pPr>
              <w:rPr>
                <w:rFonts w:eastAsia="SimSun"/>
                <w:sz w:val="22"/>
              </w:rPr>
            </w:pPr>
          </w:p>
        </w:tc>
      </w:tr>
      <w:tr w:rsidR="009F7F8A" w:rsidRPr="00470E23" w14:paraId="0B47057D" w14:textId="77777777" w:rsidTr="009F7F8A">
        <w:trPr>
          <w:cantSplit/>
          <w:trHeight w:val="606"/>
        </w:trPr>
        <w:tc>
          <w:tcPr>
            <w:tcW w:w="348" w:type="pct"/>
            <w:vMerge/>
            <w:shd w:val="clear" w:color="auto" w:fill="D9D9D9"/>
            <w:vAlign w:val="center"/>
          </w:tcPr>
          <w:p w14:paraId="6560833F" w14:textId="77777777" w:rsidR="009F7F8A" w:rsidRPr="00470E23" w:rsidRDefault="009F7F8A" w:rsidP="009F7F8A">
            <w:pPr>
              <w:rPr>
                <w:rFonts w:eastAsia="SimSun"/>
                <w:sz w:val="22"/>
              </w:rPr>
            </w:pPr>
          </w:p>
        </w:tc>
        <w:tc>
          <w:tcPr>
            <w:tcW w:w="303" w:type="pct"/>
            <w:shd w:val="clear" w:color="auto" w:fill="D9D9D9"/>
            <w:vAlign w:val="center"/>
          </w:tcPr>
          <w:p w14:paraId="4297EE9D" w14:textId="77777777" w:rsidR="009F7F8A" w:rsidRPr="00470E23" w:rsidRDefault="009F7F8A" w:rsidP="009F7F8A">
            <w:pPr>
              <w:rPr>
                <w:rFonts w:eastAsia="SimSun"/>
                <w:sz w:val="22"/>
              </w:rPr>
            </w:pPr>
            <w:r w:rsidRPr="00470E23">
              <w:rPr>
                <w:rFonts w:eastAsia="SimSun"/>
                <w:sz w:val="22"/>
              </w:rPr>
              <w:t>Tx</w:t>
            </w:r>
          </w:p>
        </w:tc>
        <w:tc>
          <w:tcPr>
            <w:tcW w:w="308" w:type="pct"/>
            <w:shd w:val="clear" w:color="auto" w:fill="D9D9D9"/>
            <w:vAlign w:val="center"/>
          </w:tcPr>
          <w:p w14:paraId="59A9D7FF" w14:textId="77777777" w:rsidR="009F7F8A" w:rsidRPr="00470E23" w:rsidRDefault="009F7F8A" w:rsidP="009F7F8A">
            <w:pPr>
              <w:rPr>
                <w:rFonts w:eastAsia="SimSun"/>
                <w:sz w:val="22"/>
              </w:rPr>
            </w:pPr>
            <w:r w:rsidRPr="00470E23">
              <w:rPr>
                <w:rFonts w:eastAsia="SimSun"/>
                <w:sz w:val="22"/>
              </w:rPr>
              <w:t>-</w:t>
            </w:r>
          </w:p>
        </w:tc>
        <w:tc>
          <w:tcPr>
            <w:tcW w:w="428" w:type="pct"/>
            <w:shd w:val="clear" w:color="auto" w:fill="D9D9D9"/>
            <w:vAlign w:val="center"/>
          </w:tcPr>
          <w:p w14:paraId="63D03F1B" w14:textId="77777777" w:rsidR="009F7F8A" w:rsidRPr="00470E23" w:rsidRDefault="009F7F8A" w:rsidP="009F7F8A">
            <w:pPr>
              <w:rPr>
                <w:rFonts w:eastAsia="SimSun"/>
                <w:sz w:val="22"/>
              </w:rPr>
            </w:pPr>
            <w:r w:rsidRPr="00470E23">
              <w:rPr>
                <w:rFonts w:eastAsia="SimSun"/>
                <w:sz w:val="22"/>
              </w:rPr>
              <w:t>MMF30</w:t>
            </w:r>
          </w:p>
        </w:tc>
        <w:tc>
          <w:tcPr>
            <w:tcW w:w="412" w:type="pct"/>
            <w:shd w:val="clear" w:color="auto" w:fill="auto"/>
            <w:vAlign w:val="center"/>
          </w:tcPr>
          <w:p w14:paraId="4711D71C" w14:textId="77777777" w:rsidR="009F7F8A" w:rsidRPr="00470E23" w:rsidRDefault="009F7F8A" w:rsidP="009F7F8A">
            <w:pPr>
              <w:rPr>
                <w:rFonts w:eastAsia="SimSun"/>
                <w:sz w:val="22"/>
              </w:rPr>
            </w:pPr>
          </w:p>
        </w:tc>
        <w:tc>
          <w:tcPr>
            <w:tcW w:w="361" w:type="pct"/>
            <w:tcBorders>
              <w:right w:val="single" w:sz="4" w:space="0" w:color="00000A"/>
            </w:tcBorders>
            <w:shd w:val="clear" w:color="auto" w:fill="auto"/>
            <w:vAlign w:val="center"/>
          </w:tcPr>
          <w:p w14:paraId="12762105" w14:textId="77777777" w:rsidR="009F7F8A" w:rsidRPr="00470E23" w:rsidRDefault="009F7F8A" w:rsidP="009F7F8A">
            <w:pPr>
              <w:rPr>
                <w:rFonts w:eastAsia="SimSun"/>
                <w:sz w:val="22"/>
              </w:rPr>
            </w:pPr>
          </w:p>
        </w:tc>
        <w:tc>
          <w:tcPr>
            <w:tcW w:w="443" w:type="pct"/>
            <w:tcBorders>
              <w:left w:val="single" w:sz="4" w:space="0" w:color="00000A"/>
            </w:tcBorders>
            <w:shd w:val="clear" w:color="auto" w:fill="auto"/>
            <w:vAlign w:val="center"/>
          </w:tcPr>
          <w:p w14:paraId="58DD7A1B" w14:textId="77777777" w:rsidR="009F7F8A" w:rsidRPr="00470E23" w:rsidRDefault="009F7F8A" w:rsidP="009F7F8A">
            <w:pPr>
              <w:rPr>
                <w:rFonts w:eastAsia="SimSun"/>
                <w:sz w:val="22"/>
              </w:rPr>
            </w:pPr>
          </w:p>
        </w:tc>
        <w:tc>
          <w:tcPr>
            <w:tcW w:w="430" w:type="pct"/>
            <w:tcBorders>
              <w:right w:val="single" w:sz="4" w:space="0" w:color="00000A"/>
            </w:tcBorders>
            <w:shd w:val="clear" w:color="auto" w:fill="auto"/>
            <w:vAlign w:val="center"/>
          </w:tcPr>
          <w:p w14:paraId="43A24DFA" w14:textId="77777777" w:rsidR="009F7F8A" w:rsidRPr="00470E23" w:rsidRDefault="009F7F8A" w:rsidP="009F7F8A">
            <w:pPr>
              <w:rPr>
                <w:rFonts w:eastAsia="SimSun"/>
                <w:sz w:val="22"/>
              </w:rPr>
            </w:pPr>
          </w:p>
        </w:tc>
        <w:tc>
          <w:tcPr>
            <w:tcW w:w="316" w:type="pct"/>
            <w:tcBorders>
              <w:left w:val="single" w:sz="4" w:space="0" w:color="00000A"/>
            </w:tcBorders>
            <w:shd w:val="clear" w:color="auto" w:fill="auto"/>
            <w:vAlign w:val="center"/>
          </w:tcPr>
          <w:p w14:paraId="44964670" w14:textId="77777777" w:rsidR="009F7F8A" w:rsidRPr="00470E23" w:rsidRDefault="009F7F8A" w:rsidP="009F7F8A">
            <w:pPr>
              <w:rPr>
                <w:rFonts w:eastAsia="SimSun"/>
                <w:sz w:val="22"/>
              </w:rPr>
            </w:pPr>
          </w:p>
        </w:tc>
        <w:tc>
          <w:tcPr>
            <w:tcW w:w="475" w:type="pct"/>
            <w:shd w:val="clear" w:color="auto" w:fill="auto"/>
            <w:vAlign w:val="center"/>
          </w:tcPr>
          <w:p w14:paraId="54190FA0" w14:textId="77777777" w:rsidR="009F7F8A" w:rsidRPr="00470E23" w:rsidRDefault="009F7F8A" w:rsidP="009F7F8A">
            <w:pPr>
              <w:rPr>
                <w:rFonts w:eastAsia="SimSun"/>
                <w:sz w:val="22"/>
              </w:rPr>
            </w:pPr>
          </w:p>
        </w:tc>
        <w:tc>
          <w:tcPr>
            <w:tcW w:w="382" w:type="pct"/>
            <w:shd w:val="clear" w:color="auto" w:fill="auto"/>
            <w:vAlign w:val="center"/>
          </w:tcPr>
          <w:p w14:paraId="60795E44" w14:textId="77777777" w:rsidR="009F7F8A" w:rsidRPr="00470E23" w:rsidRDefault="009F7F8A" w:rsidP="009F7F8A">
            <w:pPr>
              <w:rPr>
                <w:rFonts w:eastAsia="SimSun"/>
                <w:sz w:val="22"/>
              </w:rPr>
            </w:pPr>
          </w:p>
        </w:tc>
        <w:tc>
          <w:tcPr>
            <w:tcW w:w="400" w:type="pct"/>
            <w:shd w:val="clear" w:color="auto" w:fill="auto"/>
            <w:vAlign w:val="center"/>
          </w:tcPr>
          <w:p w14:paraId="2B223B2F" w14:textId="77777777" w:rsidR="009F7F8A" w:rsidRPr="00470E23" w:rsidRDefault="009F7F8A" w:rsidP="009F7F8A">
            <w:pPr>
              <w:rPr>
                <w:rFonts w:eastAsia="SimSun"/>
                <w:sz w:val="22"/>
              </w:rPr>
            </w:pPr>
            <w:r w:rsidRPr="00470E23">
              <w:rPr>
                <w:rFonts w:eastAsia="SimSun"/>
                <w:sz w:val="22"/>
              </w:rPr>
              <w:t>5.2.2.20</w:t>
            </w:r>
          </w:p>
        </w:tc>
        <w:tc>
          <w:tcPr>
            <w:tcW w:w="394" w:type="pct"/>
            <w:vAlign w:val="center"/>
          </w:tcPr>
          <w:p w14:paraId="5B4543CD" w14:textId="77777777" w:rsidR="009F7F8A" w:rsidRPr="00470E23" w:rsidRDefault="009F7F8A" w:rsidP="009F7F8A">
            <w:pPr>
              <w:rPr>
                <w:rFonts w:eastAsia="SimSun"/>
                <w:sz w:val="22"/>
              </w:rPr>
            </w:pPr>
          </w:p>
        </w:tc>
      </w:tr>
      <w:tr w:rsidR="009F7F8A" w:rsidRPr="00470E23" w14:paraId="63088DE0" w14:textId="77777777" w:rsidTr="009F7F8A">
        <w:trPr>
          <w:cantSplit/>
          <w:trHeight w:val="606"/>
        </w:trPr>
        <w:tc>
          <w:tcPr>
            <w:tcW w:w="348" w:type="pct"/>
            <w:vMerge w:val="restart"/>
            <w:shd w:val="clear" w:color="auto" w:fill="D9D9D9"/>
            <w:vAlign w:val="center"/>
          </w:tcPr>
          <w:p w14:paraId="3EAA431C" w14:textId="77777777" w:rsidR="009F7F8A" w:rsidRPr="00470E23" w:rsidRDefault="009F7F8A" w:rsidP="009F7F8A">
            <w:pPr>
              <w:rPr>
                <w:rFonts w:eastAsia="SimSun"/>
                <w:sz w:val="22"/>
              </w:rPr>
            </w:pPr>
            <w:r w:rsidRPr="00470E23">
              <w:rPr>
                <w:rFonts w:eastAsia="SimSun"/>
                <w:sz w:val="22"/>
              </w:rPr>
              <w:t>PT-Cy</w:t>
            </w:r>
          </w:p>
          <w:p w14:paraId="24DD5394" w14:textId="77777777" w:rsidR="009F7F8A" w:rsidRPr="00470E23" w:rsidRDefault="009F7F8A" w:rsidP="009F7F8A">
            <w:pPr>
              <w:rPr>
                <w:rFonts w:eastAsia="SimSun"/>
                <w:sz w:val="22"/>
              </w:rPr>
            </w:pPr>
          </w:p>
        </w:tc>
        <w:tc>
          <w:tcPr>
            <w:tcW w:w="303" w:type="pct"/>
            <w:shd w:val="clear" w:color="auto" w:fill="D9D9D9"/>
            <w:vAlign w:val="center"/>
          </w:tcPr>
          <w:p w14:paraId="59DC1667" w14:textId="77777777" w:rsidR="009F7F8A" w:rsidRPr="00470E23" w:rsidRDefault="009F7F8A" w:rsidP="009F7F8A">
            <w:pPr>
              <w:rPr>
                <w:rFonts w:eastAsia="SimSun"/>
                <w:sz w:val="22"/>
              </w:rPr>
            </w:pPr>
            <w:r w:rsidRPr="00470E23">
              <w:rPr>
                <w:rFonts w:eastAsia="SimSun"/>
                <w:sz w:val="22"/>
              </w:rPr>
              <w:t>-</w:t>
            </w:r>
          </w:p>
        </w:tc>
        <w:tc>
          <w:tcPr>
            <w:tcW w:w="308" w:type="pct"/>
            <w:shd w:val="clear" w:color="auto" w:fill="D9D9D9"/>
            <w:vAlign w:val="center"/>
          </w:tcPr>
          <w:p w14:paraId="6B544BC0" w14:textId="77777777" w:rsidR="009F7F8A" w:rsidRPr="00470E23" w:rsidRDefault="009F7F8A" w:rsidP="009F7F8A">
            <w:pPr>
              <w:rPr>
                <w:rFonts w:eastAsia="SimSun"/>
                <w:sz w:val="22"/>
              </w:rPr>
            </w:pPr>
            <w:r w:rsidRPr="00470E23">
              <w:rPr>
                <w:rFonts w:eastAsia="SimSun"/>
                <w:sz w:val="22"/>
              </w:rPr>
              <w:t>-</w:t>
            </w:r>
          </w:p>
        </w:tc>
        <w:tc>
          <w:tcPr>
            <w:tcW w:w="428" w:type="pct"/>
            <w:shd w:val="clear" w:color="auto" w:fill="D9D9D9"/>
            <w:vAlign w:val="center"/>
          </w:tcPr>
          <w:p w14:paraId="1BEAF8E4" w14:textId="77777777" w:rsidR="009F7F8A" w:rsidRPr="00470E23" w:rsidRDefault="009F7F8A" w:rsidP="009F7F8A">
            <w:pPr>
              <w:rPr>
                <w:rFonts w:eastAsia="SimSun"/>
                <w:sz w:val="22"/>
              </w:rPr>
            </w:pPr>
            <w:r w:rsidRPr="00470E23">
              <w:rPr>
                <w:rFonts w:eastAsia="SimSun"/>
                <w:sz w:val="22"/>
              </w:rPr>
              <w:t>-</w:t>
            </w:r>
          </w:p>
        </w:tc>
        <w:tc>
          <w:tcPr>
            <w:tcW w:w="412" w:type="pct"/>
            <w:shd w:val="clear" w:color="auto" w:fill="auto"/>
            <w:vAlign w:val="center"/>
          </w:tcPr>
          <w:p w14:paraId="205B0B49" w14:textId="77777777" w:rsidR="009F7F8A" w:rsidRPr="00470E23" w:rsidRDefault="009F7F8A" w:rsidP="009F7F8A">
            <w:pPr>
              <w:rPr>
                <w:rFonts w:eastAsia="SimSun"/>
                <w:sz w:val="22"/>
              </w:rPr>
            </w:pPr>
            <w:r w:rsidRPr="00470E23">
              <w:rPr>
                <w:rFonts w:eastAsia="SimSun"/>
                <w:sz w:val="22"/>
              </w:rPr>
              <w:t>5.2.2.16</w:t>
            </w:r>
          </w:p>
        </w:tc>
        <w:tc>
          <w:tcPr>
            <w:tcW w:w="361" w:type="pct"/>
            <w:tcBorders>
              <w:right w:val="single" w:sz="4" w:space="0" w:color="00000A"/>
            </w:tcBorders>
            <w:shd w:val="clear" w:color="auto" w:fill="auto"/>
            <w:vAlign w:val="center"/>
          </w:tcPr>
          <w:p w14:paraId="5FCCBBCB" w14:textId="77777777" w:rsidR="009F7F8A" w:rsidRPr="00470E23" w:rsidRDefault="009F7F8A" w:rsidP="009F7F8A">
            <w:pPr>
              <w:rPr>
                <w:rFonts w:eastAsia="SimSun"/>
                <w:sz w:val="22"/>
              </w:rPr>
            </w:pPr>
          </w:p>
        </w:tc>
        <w:tc>
          <w:tcPr>
            <w:tcW w:w="443" w:type="pct"/>
            <w:tcBorders>
              <w:left w:val="single" w:sz="4" w:space="0" w:color="00000A"/>
            </w:tcBorders>
            <w:shd w:val="clear" w:color="auto" w:fill="auto"/>
            <w:vAlign w:val="center"/>
          </w:tcPr>
          <w:p w14:paraId="4C4D5780" w14:textId="77777777" w:rsidR="009F7F8A" w:rsidRPr="00470E23" w:rsidRDefault="009F7F8A" w:rsidP="009F7F8A">
            <w:pPr>
              <w:rPr>
                <w:rFonts w:eastAsia="SimSun"/>
                <w:sz w:val="22"/>
              </w:rPr>
            </w:pPr>
          </w:p>
        </w:tc>
        <w:tc>
          <w:tcPr>
            <w:tcW w:w="430" w:type="pct"/>
            <w:tcBorders>
              <w:right w:val="single" w:sz="4" w:space="0" w:color="00000A"/>
            </w:tcBorders>
            <w:shd w:val="clear" w:color="auto" w:fill="auto"/>
            <w:vAlign w:val="center"/>
          </w:tcPr>
          <w:p w14:paraId="4E22B3E6" w14:textId="77777777" w:rsidR="009F7F8A" w:rsidRPr="00470E23" w:rsidRDefault="009F7F8A" w:rsidP="009F7F8A">
            <w:pPr>
              <w:rPr>
                <w:rFonts w:eastAsia="SimSun"/>
                <w:sz w:val="22"/>
              </w:rPr>
            </w:pPr>
          </w:p>
        </w:tc>
        <w:tc>
          <w:tcPr>
            <w:tcW w:w="316" w:type="pct"/>
            <w:tcBorders>
              <w:left w:val="single" w:sz="4" w:space="0" w:color="00000A"/>
            </w:tcBorders>
            <w:shd w:val="clear" w:color="auto" w:fill="auto"/>
            <w:vAlign w:val="center"/>
          </w:tcPr>
          <w:p w14:paraId="245C55B3" w14:textId="77777777" w:rsidR="009F7F8A" w:rsidRPr="00470E23" w:rsidRDefault="009F7F8A" w:rsidP="009F7F8A">
            <w:pPr>
              <w:rPr>
                <w:rFonts w:eastAsia="SimSun"/>
                <w:sz w:val="22"/>
              </w:rPr>
            </w:pPr>
            <w:r w:rsidRPr="00470E23">
              <w:rPr>
                <w:rFonts w:eastAsia="SimSun"/>
                <w:sz w:val="22"/>
              </w:rPr>
              <w:t>5.2.2.8</w:t>
            </w:r>
          </w:p>
        </w:tc>
        <w:tc>
          <w:tcPr>
            <w:tcW w:w="475" w:type="pct"/>
            <w:shd w:val="clear" w:color="auto" w:fill="auto"/>
            <w:vAlign w:val="center"/>
          </w:tcPr>
          <w:p w14:paraId="05507106" w14:textId="77777777" w:rsidR="009F7F8A" w:rsidRPr="00470E23" w:rsidRDefault="009F7F8A" w:rsidP="009F7F8A">
            <w:pPr>
              <w:rPr>
                <w:rFonts w:eastAsia="SimSun"/>
                <w:sz w:val="22"/>
              </w:rPr>
            </w:pPr>
            <w:r w:rsidRPr="00470E23">
              <w:rPr>
                <w:rFonts w:eastAsia="SimSun"/>
                <w:sz w:val="22"/>
              </w:rPr>
              <w:t>5.2.2.12</w:t>
            </w:r>
          </w:p>
        </w:tc>
        <w:tc>
          <w:tcPr>
            <w:tcW w:w="382" w:type="pct"/>
            <w:shd w:val="clear" w:color="auto" w:fill="auto"/>
            <w:vAlign w:val="center"/>
          </w:tcPr>
          <w:p w14:paraId="7A0CA11C" w14:textId="77777777" w:rsidR="009F7F8A" w:rsidRPr="00470E23" w:rsidRDefault="009F7F8A" w:rsidP="009F7F8A">
            <w:pPr>
              <w:rPr>
                <w:rFonts w:eastAsia="SimSun"/>
                <w:sz w:val="22"/>
              </w:rPr>
            </w:pPr>
          </w:p>
        </w:tc>
        <w:tc>
          <w:tcPr>
            <w:tcW w:w="400" w:type="pct"/>
            <w:shd w:val="clear" w:color="auto" w:fill="auto"/>
            <w:vAlign w:val="center"/>
          </w:tcPr>
          <w:p w14:paraId="518D9646" w14:textId="77777777" w:rsidR="009F7F8A" w:rsidRPr="00470E23" w:rsidRDefault="009F7F8A" w:rsidP="009F7F8A">
            <w:pPr>
              <w:rPr>
                <w:rFonts w:eastAsia="SimSun"/>
                <w:sz w:val="22"/>
              </w:rPr>
            </w:pPr>
          </w:p>
        </w:tc>
        <w:tc>
          <w:tcPr>
            <w:tcW w:w="394" w:type="pct"/>
            <w:vAlign w:val="center"/>
          </w:tcPr>
          <w:p w14:paraId="3FCAD2DF" w14:textId="77777777" w:rsidR="009F7F8A" w:rsidRPr="00470E23" w:rsidRDefault="009F7F8A" w:rsidP="009F7F8A">
            <w:pPr>
              <w:rPr>
                <w:rFonts w:eastAsia="SimSun"/>
                <w:sz w:val="22"/>
              </w:rPr>
            </w:pPr>
          </w:p>
        </w:tc>
      </w:tr>
      <w:tr w:rsidR="009F7F8A" w:rsidRPr="00470E23" w14:paraId="1163BA46" w14:textId="77777777" w:rsidTr="009F7F8A">
        <w:trPr>
          <w:cantSplit/>
          <w:trHeight w:val="606"/>
        </w:trPr>
        <w:tc>
          <w:tcPr>
            <w:tcW w:w="348" w:type="pct"/>
            <w:vMerge/>
            <w:shd w:val="clear" w:color="auto" w:fill="D9D9D9"/>
            <w:vAlign w:val="center"/>
          </w:tcPr>
          <w:p w14:paraId="5A37B48C" w14:textId="77777777" w:rsidR="009F7F8A" w:rsidRPr="00470E23" w:rsidRDefault="009F7F8A" w:rsidP="009F7F8A">
            <w:pPr>
              <w:rPr>
                <w:rFonts w:eastAsia="SimSun"/>
                <w:sz w:val="22"/>
              </w:rPr>
            </w:pPr>
          </w:p>
        </w:tc>
        <w:tc>
          <w:tcPr>
            <w:tcW w:w="303" w:type="pct"/>
            <w:vMerge w:val="restart"/>
            <w:shd w:val="clear" w:color="auto" w:fill="D9D9D9"/>
            <w:vAlign w:val="center"/>
          </w:tcPr>
          <w:p w14:paraId="26164776" w14:textId="77777777" w:rsidR="009F7F8A" w:rsidRPr="00470E23" w:rsidRDefault="009F7F8A" w:rsidP="009F7F8A">
            <w:pPr>
              <w:rPr>
                <w:rFonts w:eastAsia="SimSun"/>
                <w:sz w:val="22"/>
              </w:rPr>
            </w:pPr>
            <w:r w:rsidRPr="00470E23">
              <w:rPr>
                <w:rFonts w:eastAsia="SimSun"/>
                <w:sz w:val="22"/>
              </w:rPr>
              <w:t>CSA</w:t>
            </w:r>
          </w:p>
          <w:p w14:paraId="3FC04339" w14:textId="77777777" w:rsidR="009F7F8A" w:rsidRPr="00470E23" w:rsidRDefault="009F7F8A" w:rsidP="009F7F8A">
            <w:pPr>
              <w:rPr>
                <w:rFonts w:eastAsia="SimSun"/>
                <w:sz w:val="22"/>
              </w:rPr>
            </w:pPr>
          </w:p>
        </w:tc>
        <w:tc>
          <w:tcPr>
            <w:tcW w:w="308" w:type="pct"/>
            <w:shd w:val="clear" w:color="auto" w:fill="D9D9D9"/>
            <w:vAlign w:val="center"/>
          </w:tcPr>
          <w:p w14:paraId="4DDFB4E0" w14:textId="77777777" w:rsidR="009F7F8A" w:rsidRPr="00470E23" w:rsidRDefault="009F7F8A" w:rsidP="009F7F8A">
            <w:pPr>
              <w:rPr>
                <w:rFonts w:eastAsia="SimSun"/>
                <w:sz w:val="22"/>
              </w:rPr>
            </w:pPr>
            <w:r w:rsidRPr="00470E23">
              <w:rPr>
                <w:rFonts w:eastAsia="SimSun"/>
                <w:sz w:val="22"/>
              </w:rPr>
              <w:t>-</w:t>
            </w:r>
          </w:p>
        </w:tc>
        <w:tc>
          <w:tcPr>
            <w:tcW w:w="428" w:type="pct"/>
            <w:shd w:val="clear" w:color="auto" w:fill="D9D9D9"/>
            <w:vAlign w:val="center"/>
          </w:tcPr>
          <w:p w14:paraId="1A2AE70B" w14:textId="77777777" w:rsidR="009F7F8A" w:rsidRPr="00470E23" w:rsidRDefault="009F7F8A" w:rsidP="009F7F8A">
            <w:pPr>
              <w:rPr>
                <w:rFonts w:eastAsia="SimSun"/>
                <w:sz w:val="22"/>
              </w:rPr>
            </w:pPr>
            <w:r w:rsidRPr="00470E23">
              <w:rPr>
                <w:rFonts w:eastAsia="SimSun"/>
                <w:sz w:val="22"/>
              </w:rPr>
              <w:t>MMF30</w:t>
            </w:r>
          </w:p>
        </w:tc>
        <w:tc>
          <w:tcPr>
            <w:tcW w:w="412" w:type="pct"/>
            <w:shd w:val="clear" w:color="auto" w:fill="auto"/>
            <w:vAlign w:val="center"/>
          </w:tcPr>
          <w:p w14:paraId="7AEE5986" w14:textId="77777777" w:rsidR="009F7F8A" w:rsidRPr="00470E23" w:rsidRDefault="009F7F8A" w:rsidP="009F7F8A">
            <w:pPr>
              <w:rPr>
                <w:rFonts w:eastAsia="SimSun"/>
                <w:sz w:val="22"/>
              </w:rPr>
            </w:pPr>
          </w:p>
        </w:tc>
        <w:tc>
          <w:tcPr>
            <w:tcW w:w="361" w:type="pct"/>
            <w:tcBorders>
              <w:right w:val="single" w:sz="4" w:space="0" w:color="00000A"/>
            </w:tcBorders>
            <w:shd w:val="clear" w:color="auto" w:fill="auto"/>
            <w:vAlign w:val="center"/>
          </w:tcPr>
          <w:p w14:paraId="24ED634A" w14:textId="77777777" w:rsidR="009F7F8A" w:rsidRPr="00470E23" w:rsidRDefault="009F7F8A" w:rsidP="009F7F8A">
            <w:pPr>
              <w:rPr>
                <w:rFonts w:eastAsia="SimSun"/>
                <w:sz w:val="22"/>
              </w:rPr>
            </w:pPr>
          </w:p>
        </w:tc>
        <w:tc>
          <w:tcPr>
            <w:tcW w:w="443" w:type="pct"/>
            <w:tcBorders>
              <w:left w:val="single" w:sz="4" w:space="0" w:color="00000A"/>
            </w:tcBorders>
            <w:shd w:val="clear" w:color="auto" w:fill="auto"/>
            <w:vAlign w:val="center"/>
          </w:tcPr>
          <w:p w14:paraId="4206E03B" w14:textId="77777777" w:rsidR="009F7F8A" w:rsidRPr="00470E23" w:rsidRDefault="009F7F8A" w:rsidP="009F7F8A">
            <w:pPr>
              <w:rPr>
                <w:rFonts w:eastAsia="SimSun"/>
                <w:sz w:val="22"/>
              </w:rPr>
            </w:pPr>
            <w:r w:rsidRPr="00470E23">
              <w:rPr>
                <w:rFonts w:eastAsia="SimSun"/>
                <w:sz w:val="22"/>
              </w:rPr>
              <w:t>5.2.2.3</w:t>
            </w:r>
          </w:p>
        </w:tc>
        <w:tc>
          <w:tcPr>
            <w:tcW w:w="430" w:type="pct"/>
            <w:tcBorders>
              <w:right w:val="single" w:sz="4" w:space="0" w:color="00000A"/>
            </w:tcBorders>
            <w:shd w:val="clear" w:color="auto" w:fill="auto"/>
            <w:vAlign w:val="center"/>
          </w:tcPr>
          <w:p w14:paraId="1CD502D0" w14:textId="77777777" w:rsidR="009F7F8A" w:rsidRPr="00470E23" w:rsidRDefault="009F7F8A" w:rsidP="009F7F8A">
            <w:pPr>
              <w:rPr>
                <w:rFonts w:eastAsia="SimSun"/>
                <w:sz w:val="22"/>
              </w:rPr>
            </w:pPr>
            <w:r w:rsidRPr="00470E23">
              <w:rPr>
                <w:rFonts w:eastAsia="SimSun"/>
                <w:sz w:val="22"/>
              </w:rPr>
              <w:t>5.2.2.7/11</w:t>
            </w:r>
          </w:p>
        </w:tc>
        <w:tc>
          <w:tcPr>
            <w:tcW w:w="316" w:type="pct"/>
            <w:tcBorders>
              <w:left w:val="single" w:sz="4" w:space="0" w:color="00000A"/>
            </w:tcBorders>
            <w:shd w:val="clear" w:color="auto" w:fill="auto"/>
            <w:vAlign w:val="center"/>
          </w:tcPr>
          <w:p w14:paraId="32D9B510" w14:textId="77777777" w:rsidR="009F7F8A" w:rsidRPr="00470E23" w:rsidRDefault="009F7F8A" w:rsidP="009F7F8A">
            <w:pPr>
              <w:rPr>
                <w:rFonts w:eastAsia="SimSun"/>
                <w:sz w:val="22"/>
              </w:rPr>
            </w:pPr>
          </w:p>
        </w:tc>
        <w:tc>
          <w:tcPr>
            <w:tcW w:w="475" w:type="pct"/>
            <w:shd w:val="clear" w:color="auto" w:fill="auto"/>
            <w:vAlign w:val="center"/>
          </w:tcPr>
          <w:p w14:paraId="6503F5EF" w14:textId="77777777" w:rsidR="009F7F8A" w:rsidRPr="00470E23" w:rsidRDefault="009F7F8A" w:rsidP="009F7F8A">
            <w:pPr>
              <w:rPr>
                <w:rFonts w:eastAsia="SimSun"/>
                <w:sz w:val="22"/>
              </w:rPr>
            </w:pPr>
          </w:p>
        </w:tc>
        <w:tc>
          <w:tcPr>
            <w:tcW w:w="382" w:type="pct"/>
            <w:shd w:val="clear" w:color="auto" w:fill="auto"/>
            <w:vAlign w:val="center"/>
          </w:tcPr>
          <w:p w14:paraId="63FECAD5" w14:textId="77777777" w:rsidR="009F7F8A" w:rsidRPr="00470E23" w:rsidRDefault="009F7F8A" w:rsidP="009F7F8A">
            <w:pPr>
              <w:rPr>
                <w:rFonts w:eastAsia="SimSun"/>
                <w:sz w:val="22"/>
              </w:rPr>
            </w:pPr>
            <w:r w:rsidRPr="00470E23">
              <w:rPr>
                <w:rFonts w:eastAsia="SimSun"/>
                <w:sz w:val="22"/>
              </w:rPr>
              <w:t>5.2.2.18</w:t>
            </w:r>
          </w:p>
        </w:tc>
        <w:tc>
          <w:tcPr>
            <w:tcW w:w="400" w:type="pct"/>
            <w:shd w:val="clear" w:color="auto" w:fill="auto"/>
            <w:vAlign w:val="center"/>
          </w:tcPr>
          <w:p w14:paraId="40B834A1" w14:textId="77777777" w:rsidR="009F7F8A" w:rsidRPr="00470E23" w:rsidRDefault="009F7F8A" w:rsidP="009F7F8A">
            <w:pPr>
              <w:rPr>
                <w:rFonts w:eastAsia="SimSun"/>
                <w:sz w:val="22"/>
              </w:rPr>
            </w:pPr>
          </w:p>
        </w:tc>
        <w:tc>
          <w:tcPr>
            <w:tcW w:w="394" w:type="pct"/>
            <w:vAlign w:val="center"/>
          </w:tcPr>
          <w:p w14:paraId="75C7E9DD" w14:textId="77777777" w:rsidR="009F7F8A" w:rsidRPr="00470E23" w:rsidRDefault="009F7F8A" w:rsidP="009F7F8A">
            <w:pPr>
              <w:rPr>
                <w:rFonts w:eastAsia="SimSun"/>
                <w:sz w:val="22"/>
              </w:rPr>
            </w:pPr>
          </w:p>
        </w:tc>
      </w:tr>
      <w:tr w:rsidR="009F7F8A" w:rsidRPr="00470E23" w14:paraId="2325308C" w14:textId="77777777" w:rsidTr="009F7F8A">
        <w:trPr>
          <w:cantSplit/>
          <w:trHeight w:val="606"/>
        </w:trPr>
        <w:tc>
          <w:tcPr>
            <w:tcW w:w="348" w:type="pct"/>
            <w:vMerge/>
            <w:shd w:val="clear" w:color="auto" w:fill="D9D9D9"/>
            <w:vAlign w:val="center"/>
          </w:tcPr>
          <w:p w14:paraId="39EDD3FD" w14:textId="77777777" w:rsidR="009F7F8A" w:rsidRPr="00470E23" w:rsidRDefault="009F7F8A" w:rsidP="009F7F8A">
            <w:pPr>
              <w:rPr>
                <w:rFonts w:eastAsia="SimSun"/>
                <w:sz w:val="22"/>
              </w:rPr>
            </w:pPr>
          </w:p>
        </w:tc>
        <w:tc>
          <w:tcPr>
            <w:tcW w:w="303" w:type="pct"/>
            <w:vMerge/>
            <w:shd w:val="clear" w:color="auto" w:fill="D9D9D9"/>
            <w:vAlign w:val="center"/>
          </w:tcPr>
          <w:p w14:paraId="73EA7277" w14:textId="77777777" w:rsidR="009F7F8A" w:rsidRPr="00470E23" w:rsidRDefault="009F7F8A" w:rsidP="009F7F8A">
            <w:pPr>
              <w:rPr>
                <w:rFonts w:eastAsia="SimSun"/>
                <w:sz w:val="22"/>
              </w:rPr>
            </w:pPr>
          </w:p>
        </w:tc>
        <w:tc>
          <w:tcPr>
            <w:tcW w:w="308" w:type="pct"/>
            <w:shd w:val="clear" w:color="auto" w:fill="D9D9D9"/>
            <w:vAlign w:val="center"/>
          </w:tcPr>
          <w:p w14:paraId="04362C1B" w14:textId="77777777" w:rsidR="009F7F8A" w:rsidRPr="00470E23" w:rsidRDefault="009F7F8A" w:rsidP="009F7F8A">
            <w:pPr>
              <w:rPr>
                <w:rFonts w:eastAsia="SimSun"/>
                <w:sz w:val="22"/>
              </w:rPr>
            </w:pPr>
            <w:r w:rsidRPr="00470E23">
              <w:rPr>
                <w:rFonts w:eastAsia="SimSun"/>
                <w:sz w:val="22"/>
              </w:rPr>
              <w:t>-</w:t>
            </w:r>
          </w:p>
        </w:tc>
        <w:tc>
          <w:tcPr>
            <w:tcW w:w="428" w:type="pct"/>
            <w:shd w:val="clear" w:color="auto" w:fill="D9D9D9"/>
            <w:vAlign w:val="center"/>
          </w:tcPr>
          <w:p w14:paraId="2D46B870" w14:textId="77777777" w:rsidR="009F7F8A" w:rsidRPr="00470E23" w:rsidRDefault="009F7F8A" w:rsidP="009F7F8A">
            <w:pPr>
              <w:rPr>
                <w:rFonts w:eastAsia="SimSun"/>
                <w:sz w:val="22"/>
              </w:rPr>
            </w:pPr>
            <w:r w:rsidRPr="00470E23">
              <w:rPr>
                <w:rFonts w:eastAsia="SimSun"/>
                <w:sz w:val="22"/>
              </w:rPr>
              <w:t>MMF45</w:t>
            </w:r>
          </w:p>
        </w:tc>
        <w:tc>
          <w:tcPr>
            <w:tcW w:w="412" w:type="pct"/>
            <w:shd w:val="clear" w:color="auto" w:fill="auto"/>
            <w:vAlign w:val="center"/>
          </w:tcPr>
          <w:p w14:paraId="0D1E761C" w14:textId="77777777" w:rsidR="009F7F8A" w:rsidRPr="00470E23" w:rsidRDefault="009F7F8A" w:rsidP="009F7F8A">
            <w:pPr>
              <w:rPr>
                <w:rFonts w:eastAsia="SimSun"/>
                <w:sz w:val="22"/>
              </w:rPr>
            </w:pPr>
          </w:p>
        </w:tc>
        <w:tc>
          <w:tcPr>
            <w:tcW w:w="361" w:type="pct"/>
            <w:tcBorders>
              <w:right w:val="single" w:sz="4" w:space="0" w:color="00000A"/>
            </w:tcBorders>
            <w:shd w:val="clear" w:color="auto" w:fill="auto"/>
            <w:vAlign w:val="center"/>
          </w:tcPr>
          <w:p w14:paraId="64A5C658" w14:textId="77777777" w:rsidR="009F7F8A" w:rsidRPr="00470E23" w:rsidRDefault="009F7F8A" w:rsidP="009F7F8A">
            <w:pPr>
              <w:rPr>
                <w:rFonts w:eastAsia="SimSun"/>
                <w:sz w:val="22"/>
              </w:rPr>
            </w:pPr>
          </w:p>
        </w:tc>
        <w:tc>
          <w:tcPr>
            <w:tcW w:w="443" w:type="pct"/>
            <w:tcBorders>
              <w:left w:val="single" w:sz="4" w:space="0" w:color="00000A"/>
            </w:tcBorders>
            <w:shd w:val="clear" w:color="auto" w:fill="auto"/>
            <w:vAlign w:val="center"/>
          </w:tcPr>
          <w:p w14:paraId="46B70452" w14:textId="77777777" w:rsidR="009F7F8A" w:rsidRPr="00470E23" w:rsidRDefault="009F7F8A" w:rsidP="009F7F8A">
            <w:pPr>
              <w:rPr>
                <w:rFonts w:eastAsia="SimSun"/>
                <w:sz w:val="22"/>
              </w:rPr>
            </w:pPr>
            <w:r w:rsidRPr="00470E23">
              <w:rPr>
                <w:rFonts w:eastAsia="SimSun"/>
                <w:sz w:val="22"/>
              </w:rPr>
              <w:t>5.2.2.4</w:t>
            </w:r>
          </w:p>
        </w:tc>
        <w:tc>
          <w:tcPr>
            <w:tcW w:w="430" w:type="pct"/>
            <w:tcBorders>
              <w:right w:val="single" w:sz="4" w:space="0" w:color="00000A"/>
            </w:tcBorders>
            <w:shd w:val="clear" w:color="auto" w:fill="auto"/>
            <w:vAlign w:val="center"/>
          </w:tcPr>
          <w:p w14:paraId="762D9C45" w14:textId="77777777" w:rsidR="009F7F8A" w:rsidRPr="00470E23" w:rsidRDefault="009F7F8A" w:rsidP="009F7F8A">
            <w:pPr>
              <w:rPr>
                <w:rFonts w:eastAsia="SimSun"/>
                <w:sz w:val="22"/>
              </w:rPr>
            </w:pPr>
          </w:p>
        </w:tc>
        <w:tc>
          <w:tcPr>
            <w:tcW w:w="316" w:type="pct"/>
            <w:tcBorders>
              <w:left w:val="single" w:sz="4" w:space="0" w:color="00000A"/>
            </w:tcBorders>
            <w:shd w:val="clear" w:color="auto" w:fill="auto"/>
            <w:vAlign w:val="center"/>
          </w:tcPr>
          <w:p w14:paraId="4ED10524" w14:textId="77777777" w:rsidR="009F7F8A" w:rsidRPr="00470E23" w:rsidRDefault="009F7F8A" w:rsidP="009F7F8A">
            <w:pPr>
              <w:rPr>
                <w:rFonts w:eastAsia="SimSun"/>
                <w:sz w:val="22"/>
              </w:rPr>
            </w:pPr>
          </w:p>
        </w:tc>
        <w:tc>
          <w:tcPr>
            <w:tcW w:w="475" w:type="pct"/>
            <w:shd w:val="clear" w:color="auto" w:fill="auto"/>
            <w:vAlign w:val="center"/>
          </w:tcPr>
          <w:p w14:paraId="43BF1C81" w14:textId="77777777" w:rsidR="009F7F8A" w:rsidRPr="00470E23" w:rsidRDefault="009F7F8A" w:rsidP="009F7F8A">
            <w:pPr>
              <w:rPr>
                <w:rFonts w:eastAsia="SimSun"/>
                <w:sz w:val="22"/>
              </w:rPr>
            </w:pPr>
          </w:p>
        </w:tc>
        <w:tc>
          <w:tcPr>
            <w:tcW w:w="382" w:type="pct"/>
            <w:shd w:val="clear" w:color="auto" w:fill="auto"/>
            <w:vAlign w:val="center"/>
          </w:tcPr>
          <w:p w14:paraId="15B56652" w14:textId="77777777" w:rsidR="009F7F8A" w:rsidRPr="00470E23" w:rsidRDefault="009F7F8A" w:rsidP="009F7F8A">
            <w:pPr>
              <w:rPr>
                <w:rFonts w:eastAsia="SimSun"/>
                <w:sz w:val="22"/>
              </w:rPr>
            </w:pPr>
          </w:p>
        </w:tc>
        <w:tc>
          <w:tcPr>
            <w:tcW w:w="400" w:type="pct"/>
            <w:shd w:val="clear" w:color="auto" w:fill="auto"/>
            <w:vAlign w:val="center"/>
          </w:tcPr>
          <w:p w14:paraId="6B230904" w14:textId="77777777" w:rsidR="009F7F8A" w:rsidRPr="00470E23" w:rsidRDefault="009F7F8A" w:rsidP="009F7F8A">
            <w:pPr>
              <w:rPr>
                <w:rFonts w:eastAsia="SimSun"/>
                <w:sz w:val="22"/>
              </w:rPr>
            </w:pPr>
          </w:p>
        </w:tc>
        <w:tc>
          <w:tcPr>
            <w:tcW w:w="394" w:type="pct"/>
            <w:vAlign w:val="center"/>
          </w:tcPr>
          <w:p w14:paraId="3A1DC541" w14:textId="77777777" w:rsidR="009F7F8A" w:rsidRPr="00470E23" w:rsidRDefault="009F7F8A" w:rsidP="009F7F8A">
            <w:pPr>
              <w:rPr>
                <w:rFonts w:eastAsia="SimSun"/>
                <w:sz w:val="22"/>
              </w:rPr>
            </w:pPr>
          </w:p>
        </w:tc>
      </w:tr>
      <w:tr w:rsidR="009F7F8A" w:rsidRPr="00470E23" w14:paraId="03FA27AC" w14:textId="77777777" w:rsidTr="009F7F8A">
        <w:trPr>
          <w:cantSplit/>
          <w:trHeight w:val="606"/>
        </w:trPr>
        <w:tc>
          <w:tcPr>
            <w:tcW w:w="348" w:type="pct"/>
            <w:vMerge/>
            <w:shd w:val="clear" w:color="auto" w:fill="D9D9D9"/>
            <w:vAlign w:val="center"/>
          </w:tcPr>
          <w:p w14:paraId="64C42DD8" w14:textId="77777777" w:rsidR="009F7F8A" w:rsidRPr="00470E23" w:rsidRDefault="009F7F8A" w:rsidP="009F7F8A">
            <w:pPr>
              <w:rPr>
                <w:rFonts w:eastAsia="SimSun"/>
                <w:sz w:val="22"/>
              </w:rPr>
            </w:pPr>
          </w:p>
        </w:tc>
        <w:tc>
          <w:tcPr>
            <w:tcW w:w="303" w:type="pct"/>
            <w:shd w:val="clear" w:color="auto" w:fill="D9D9D9"/>
            <w:vAlign w:val="center"/>
          </w:tcPr>
          <w:p w14:paraId="551FA025" w14:textId="77777777" w:rsidR="009F7F8A" w:rsidRPr="00470E23" w:rsidRDefault="009F7F8A" w:rsidP="009F7F8A">
            <w:pPr>
              <w:rPr>
                <w:rFonts w:eastAsia="SimSun"/>
                <w:sz w:val="22"/>
              </w:rPr>
            </w:pPr>
            <w:r w:rsidRPr="00470E23">
              <w:rPr>
                <w:rFonts w:eastAsia="SimSun"/>
                <w:sz w:val="22"/>
              </w:rPr>
              <w:t>Tx</w:t>
            </w:r>
          </w:p>
        </w:tc>
        <w:tc>
          <w:tcPr>
            <w:tcW w:w="308" w:type="pct"/>
            <w:shd w:val="clear" w:color="auto" w:fill="D9D9D9"/>
            <w:vAlign w:val="center"/>
          </w:tcPr>
          <w:p w14:paraId="394F7BC4" w14:textId="77777777" w:rsidR="009F7F8A" w:rsidRPr="00470E23" w:rsidRDefault="009F7F8A" w:rsidP="009F7F8A">
            <w:pPr>
              <w:rPr>
                <w:rFonts w:eastAsia="SimSun"/>
                <w:sz w:val="22"/>
              </w:rPr>
            </w:pPr>
            <w:r w:rsidRPr="00470E23">
              <w:rPr>
                <w:rFonts w:eastAsia="SimSun"/>
                <w:sz w:val="22"/>
              </w:rPr>
              <w:t>-</w:t>
            </w:r>
          </w:p>
        </w:tc>
        <w:tc>
          <w:tcPr>
            <w:tcW w:w="428" w:type="pct"/>
            <w:shd w:val="clear" w:color="auto" w:fill="D9D9D9"/>
            <w:vAlign w:val="center"/>
          </w:tcPr>
          <w:p w14:paraId="394BDD41" w14:textId="77777777" w:rsidR="009F7F8A" w:rsidRPr="00470E23" w:rsidRDefault="009F7F8A" w:rsidP="009F7F8A">
            <w:pPr>
              <w:rPr>
                <w:rFonts w:eastAsia="SimSun"/>
                <w:sz w:val="22"/>
              </w:rPr>
            </w:pPr>
            <w:r w:rsidRPr="00470E23">
              <w:rPr>
                <w:rFonts w:eastAsia="SimSun"/>
                <w:sz w:val="22"/>
              </w:rPr>
              <w:t>MMF30</w:t>
            </w:r>
          </w:p>
        </w:tc>
        <w:tc>
          <w:tcPr>
            <w:tcW w:w="412" w:type="pct"/>
            <w:shd w:val="clear" w:color="auto" w:fill="auto"/>
            <w:vAlign w:val="center"/>
          </w:tcPr>
          <w:p w14:paraId="2E73D24B" w14:textId="77777777" w:rsidR="009F7F8A" w:rsidRPr="00470E23" w:rsidRDefault="009F7F8A" w:rsidP="009F7F8A">
            <w:pPr>
              <w:rPr>
                <w:rFonts w:eastAsia="SimSun"/>
                <w:sz w:val="22"/>
              </w:rPr>
            </w:pPr>
            <w:r w:rsidRPr="00470E23">
              <w:rPr>
                <w:rFonts w:eastAsia="SimSun"/>
                <w:sz w:val="22"/>
              </w:rPr>
              <w:t>5.2.2.15</w:t>
            </w:r>
          </w:p>
        </w:tc>
        <w:tc>
          <w:tcPr>
            <w:tcW w:w="361" w:type="pct"/>
            <w:tcBorders>
              <w:right w:val="single" w:sz="4" w:space="0" w:color="00000A"/>
            </w:tcBorders>
            <w:shd w:val="clear" w:color="auto" w:fill="auto"/>
            <w:vAlign w:val="center"/>
          </w:tcPr>
          <w:p w14:paraId="2C574C42" w14:textId="77777777" w:rsidR="009F7F8A" w:rsidRPr="00470E23" w:rsidRDefault="009F7F8A" w:rsidP="009F7F8A">
            <w:pPr>
              <w:rPr>
                <w:rFonts w:eastAsia="SimSun"/>
                <w:sz w:val="22"/>
              </w:rPr>
            </w:pPr>
          </w:p>
        </w:tc>
        <w:tc>
          <w:tcPr>
            <w:tcW w:w="443" w:type="pct"/>
            <w:tcBorders>
              <w:left w:val="single" w:sz="4" w:space="0" w:color="00000A"/>
            </w:tcBorders>
            <w:shd w:val="clear" w:color="auto" w:fill="auto"/>
            <w:vAlign w:val="center"/>
          </w:tcPr>
          <w:p w14:paraId="2C153E9E" w14:textId="77777777" w:rsidR="009F7F8A" w:rsidRPr="00470E23" w:rsidRDefault="009F7F8A" w:rsidP="009F7F8A">
            <w:pPr>
              <w:rPr>
                <w:rFonts w:eastAsia="SimSun"/>
                <w:sz w:val="22"/>
              </w:rPr>
            </w:pPr>
          </w:p>
        </w:tc>
        <w:tc>
          <w:tcPr>
            <w:tcW w:w="430" w:type="pct"/>
            <w:tcBorders>
              <w:right w:val="single" w:sz="4" w:space="0" w:color="00000A"/>
            </w:tcBorders>
            <w:shd w:val="clear" w:color="auto" w:fill="auto"/>
            <w:vAlign w:val="center"/>
          </w:tcPr>
          <w:p w14:paraId="4610078B" w14:textId="77777777" w:rsidR="009F7F8A" w:rsidRPr="00470E23" w:rsidRDefault="009F7F8A" w:rsidP="009F7F8A">
            <w:pPr>
              <w:rPr>
                <w:rFonts w:eastAsia="SimSun"/>
                <w:sz w:val="22"/>
              </w:rPr>
            </w:pPr>
            <w:r w:rsidRPr="00470E23">
              <w:rPr>
                <w:rFonts w:eastAsia="SimSun"/>
                <w:sz w:val="22"/>
              </w:rPr>
              <w:t>5.2.2.9</w:t>
            </w:r>
          </w:p>
        </w:tc>
        <w:tc>
          <w:tcPr>
            <w:tcW w:w="316" w:type="pct"/>
            <w:tcBorders>
              <w:left w:val="single" w:sz="4" w:space="0" w:color="00000A"/>
            </w:tcBorders>
            <w:shd w:val="clear" w:color="auto" w:fill="auto"/>
            <w:vAlign w:val="center"/>
          </w:tcPr>
          <w:p w14:paraId="6FFE38A8" w14:textId="77777777" w:rsidR="009F7F8A" w:rsidRPr="00470E23" w:rsidRDefault="009F7F8A" w:rsidP="009F7F8A">
            <w:pPr>
              <w:rPr>
                <w:rFonts w:eastAsia="SimSun"/>
                <w:sz w:val="22"/>
              </w:rPr>
            </w:pPr>
          </w:p>
        </w:tc>
        <w:tc>
          <w:tcPr>
            <w:tcW w:w="475" w:type="pct"/>
            <w:shd w:val="clear" w:color="auto" w:fill="auto"/>
            <w:vAlign w:val="center"/>
          </w:tcPr>
          <w:p w14:paraId="06D08B15" w14:textId="77777777" w:rsidR="009F7F8A" w:rsidRPr="00470E23" w:rsidRDefault="009F7F8A" w:rsidP="009F7F8A">
            <w:pPr>
              <w:rPr>
                <w:rFonts w:eastAsia="SimSun"/>
                <w:sz w:val="22"/>
              </w:rPr>
            </w:pPr>
            <w:r w:rsidRPr="00470E23">
              <w:rPr>
                <w:rFonts w:eastAsia="SimSun"/>
                <w:sz w:val="22"/>
              </w:rPr>
              <w:t>5.2.2.13</w:t>
            </w:r>
          </w:p>
        </w:tc>
        <w:tc>
          <w:tcPr>
            <w:tcW w:w="382" w:type="pct"/>
            <w:shd w:val="clear" w:color="auto" w:fill="auto"/>
            <w:vAlign w:val="center"/>
          </w:tcPr>
          <w:p w14:paraId="09745676" w14:textId="77777777" w:rsidR="009F7F8A" w:rsidRPr="00470E23" w:rsidRDefault="009F7F8A" w:rsidP="009F7F8A">
            <w:pPr>
              <w:rPr>
                <w:rFonts w:eastAsia="SimSun"/>
                <w:sz w:val="22"/>
              </w:rPr>
            </w:pPr>
          </w:p>
        </w:tc>
        <w:tc>
          <w:tcPr>
            <w:tcW w:w="400" w:type="pct"/>
            <w:shd w:val="clear" w:color="auto" w:fill="auto"/>
            <w:vAlign w:val="center"/>
          </w:tcPr>
          <w:p w14:paraId="4F259853" w14:textId="77777777" w:rsidR="009F7F8A" w:rsidRPr="00470E23" w:rsidRDefault="009F7F8A" w:rsidP="009F7F8A">
            <w:pPr>
              <w:rPr>
                <w:rFonts w:eastAsia="SimSun"/>
                <w:sz w:val="22"/>
              </w:rPr>
            </w:pPr>
          </w:p>
        </w:tc>
        <w:tc>
          <w:tcPr>
            <w:tcW w:w="394" w:type="pct"/>
            <w:vAlign w:val="center"/>
          </w:tcPr>
          <w:p w14:paraId="70518F7A" w14:textId="77777777" w:rsidR="009F7F8A" w:rsidRPr="00470E23" w:rsidRDefault="009F7F8A" w:rsidP="009F7F8A">
            <w:pPr>
              <w:rPr>
                <w:rFonts w:eastAsia="SimSun"/>
                <w:sz w:val="22"/>
              </w:rPr>
            </w:pPr>
            <w:r w:rsidRPr="00470E23">
              <w:rPr>
                <w:rFonts w:eastAsia="SimSun"/>
                <w:sz w:val="22"/>
              </w:rPr>
              <w:t>5.2.2.21</w:t>
            </w:r>
          </w:p>
        </w:tc>
      </w:tr>
      <w:tr w:rsidR="009F7F8A" w:rsidRPr="00470E23" w14:paraId="38627094" w14:textId="77777777" w:rsidTr="009F7F8A">
        <w:trPr>
          <w:cantSplit/>
          <w:trHeight w:val="606"/>
        </w:trPr>
        <w:tc>
          <w:tcPr>
            <w:tcW w:w="348" w:type="pct"/>
            <w:vMerge/>
            <w:shd w:val="clear" w:color="auto" w:fill="D9D9D9"/>
            <w:vAlign w:val="center"/>
          </w:tcPr>
          <w:p w14:paraId="2ED097C6" w14:textId="77777777" w:rsidR="009F7F8A" w:rsidRPr="00470E23" w:rsidRDefault="009F7F8A" w:rsidP="009F7F8A">
            <w:pPr>
              <w:rPr>
                <w:rFonts w:eastAsia="SimSun"/>
                <w:sz w:val="22"/>
              </w:rPr>
            </w:pPr>
          </w:p>
        </w:tc>
        <w:tc>
          <w:tcPr>
            <w:tcW w:w="303" w:type="pct"/>
            <w:shd w:val="clear" w:color="auto" w:fill="D9D9D9"/>
            <w:vAlign w:val="center"/>
          </w:tcPr>
          <w:p w14:paraId="135B59CE" w14:textId="77777777" w:rsidR="009F7F8A" w:rsidRPr="00470E23" w:rsidRDefault="009F7F8A" w:rsidP="009F7F8A">
            <w:pPr>
              <w:rPr>
                <w:rFonts w:eastAsia="SimSun"/>
                <w:sz w:val="22"/>
              </w:rPr>
            </w:pPr>
            <w:r w:rsidRPr="00470E23">
              <w:rPr>
                <w:rFonts w:eastAsia="SimSun"/>
                <w:sz w:val="22"/>
              </w:rPr>
              <w:t>Ruxo</w:t>
            </w:r>
          </w:p>
        </w:tc>
        <w:tc>
          <w:tcPr>
            <w:tcW w:w="308" w:type="pct"/>
            <w:shd w:val="clear" w:color="auto" w:fill="D9D9D9"/>
            <w:vAlign w:val="center"/>
          </w:tcPr>
          <w:p w14:paraId="3290E344" w14:textId="77777777" w:rsidR="009F7F8A" w:rsidRPr="00470E23" w:rsidRDefault="009F7F8A" w:rsidP="009F7F8A">
            <w:pPr>
              <w:rPr>
                <w:rFonts w:eastAsia="SimSun"/>
                <w:sz w:val="22"/>
              </w:rPr>
            </w:pPr>
            <w:r w:rsidRPr="00470E23">
              <w:rPr>
                <w:rFonts w:eastAsia="SimSun"/>
                <w:sz w:val="22"/>
              </w:rPr>
              <w:t>-</w:t>
            </w:r>
          </w:p>
        </w:tc>
        <w:tc>
          <w:tcPr>
            <w:tcW w:w="428" w:type="pct"/>
            <w:shd w:val="clear" w:color="auto" w:fill="D9D9D9"/>
            <w:vAlign w:val="center"/>
          </w:tcPr>
          <w:p w14:paraId="7B6B80B7" w14:textId="77777777" w:rsidR="009F7F8A" w:rsidRPr="00470E23" w:rsidRDefault="009F7F8A" w:rsidP="009F7F8A">
            <w:pPr>
              <w:rPr>
                <w:rFonts w:eastAsia="SimSun"/>
                <w:sz w:val="22"/>
              </w:rPr>
            </w:pPr>
            <w:r w:rsidRPr="00470E23">
              <w:rPr>
                <w:rFonts w:eastAsia="SimSun"/>
                <w:sz w:val="22"/>
              </w:rPr>
              <w:t>-</w:t>
            </w:r>
          </w:p>
        </w:tc>
        <w:tc>
          <w:tcPr>
            <w:tcW w:w="412" w:type="pct"/>
            <w:shd w:val="clear" w:color="auto" w:fill="auto"/>
            <w:vAlign w:val="center"/>
          </w:tcPr>
          <w:p w14:paraId="6635E497" w14:textId="77777777" w:rsidR="009F7F8A" w:rsidRPr="00470E23" w:rsidRDefault="009F7F8A" w:rsidP="009F7F8A">
            <w:pPr>
              <w:rPr>
                <w:rFonts w:eastAsia="SimSun"/>
                <w:sz w:val="22"/>
              </w:rPr>
            </w:pPr>
          </w:p>
        </w:tc>
        <w:tc>
          <w:tcPr>
            <w:tcW w:w="361" w:type="pct"/>
            <w:tcBorders>
              <w:right w:val="single" w:sz="4" w:space="0" w:color="00000A"/>
            </w:tcBorders>
            <w:shd w:val="clear" w:color="auto" w:fill="auto"/>
            <w:vAlign w:val="center"/>
          </w:tcPr>
          <w:p w14:paraId="3C8F554A" w14:textId="77777777" w:rsidR="009F7F8A" w:rsidRPr="00470E23" w:rsidRDefault="009F7F8A" w:rsidP="009F7F8A">
            <w:pPr>
              <w:rPr>
                <w:rFonts w:eastAsia="SimSun"/>
                <w:sz w:val="22"/>
              </w:rPr>
            </w:pPr>
          </w:p>
        </w:tc>
        <w:tc>
          <w:tcPr>
            <w:tcW w:w="443" w:type="pct"/>
            <w:tcBorders>
              <w:left w:val="single" w:sz="4" w:space="0" w:color="00000A"/>
            </w:tcBorders>
            <w:shd w:val="clear" w:color="auto" w:fill="auto"/>
            <w:vAlign w:val="center"/>
          </w:tcPr>
          <w:p w14:paraId="61C7C8F4" w14:textId="77777777" w:rsidR="009F7F8A" w:rsidRPr="00470E23" w:rsidRDefault="009F7F8A" w:rsidP="009F7F8A">
            <w:pPr>
              <w:rPr>
                <w:rFonts w:eastAsia="SimSun"/>
                <w:sz w:val="22"/>
              </w:rPr>
            </w:pPr>
          </w:p>
        </w:tc>
        <w:tc>
          <w:tcPr>
            <w:tcW w:w="430" w:type="pct"/>
            <w:tcBorders>
              <w:right w:val="single" w:sz="4" w:space="0" w:color="00000A"/>
            </w:tcBorders>
            <w:shd w:val="clear" w:color="auto" w:fill="auto"/>
            <w:vAlign w:val="center"/>
          </w:tcPr>
          <w:p w14:paraId="48752703" w14:textId="77777777" w:rsidR="009F7F8A" w:rsidRPr="00470E23" w:rsidRDefault="009F7F8A" w:rsidP="009F7F8A">
            <w:pPr>
              <w:rPr>
                <w:rFonts w:eastAsia="SimSun"/>
                <w:sz w:val="22"/>
              </w:rPr>
            </w:pPr>
          </w:p>
        </w:tc>
        <w:tc>
          <w:tcPr>
            <w:tcW w:w="316" w:type="pct"/>
            <w:tcBorders>
              <w:left w:val="single" w:sz="4" w:space="0" w:color="00000A"/>
            </w:tcBorders>
            <w:shd w:val="clear" w:color="auto" w:fill="auto"/>
            <w:vAlign w:val="center"/>
          </w:tcPr>
          <w:p w14:paraId="516666EB" w14:textId="77777777" w:rsidR="009F7F8A" w:rsidRPr="00470E23" w:rsidRDefault="009F7F8A" w:rsidP="009F7F8A">
            <w:pPr>
              <w:rPr>
                <w:rFonts w:eastAsia="SimSun"/>
                <w:sz w:val="22"/>
              </w:rPr>
            </w:pPr>
          </w:p>
        </w:tc>
        <w:tc>
          <w:tcPr>
            <w:tcW w:w="475" w:type="pct"/>
            <w:shd w:val="clear" w:color="auto" w:fill="auto"/>
            <w:vAlign w:val="center"/>
          </w:tcPr>
          <w:p w14:paraId="6087347D" w14:textId="77777777" w:rsidR="009F7F8A" w:rsidRPr="00470E23" w:rsidRDefault="009F7F8A" w:rsidP="009F7F8A">
            <w:pPr>
              <w:rPr>
                <w:rFonts w:eastAsia="SimSun"/>
                <w:sz w:val="22"/>
              </w:rPr>
            </w:pPr>
            <w:r w:rsidRPr="00470E23">
              <w:rPr>
                <w:rFonts w:eastAsia="SimSun"/>
                <w:sz w:val="22"/>
              </w:rPr>
              <w:t>5.2.2.14</w:t>
            </w:r>
          </w:p>
        </w:tc>
        <w:tc>
          <w:tcPr>
            <w:tcW w:w="382" w:type="pct"/>
            <w:shd w:val="clear" w:color="auto" w:fill="auto"/>
            <w:vAlign w:val="center"/>
          </w:tcPr>
          <w:p w14:paraId="3DF58790" w14:textId="77777777" w:rsidR="009F7F8A" w:rsidRPr="00470E23" w:rsidRDefault="009F7F8A" w:rsidP="009F7F8A">
            <w:pPr>
              <w:rPr>
                <w:rFonts w:eastAsia="SimSun"/>
                <w:sz w:val="22"/>
              </w:rPr>
            </w:pPr>
          </w:p>
        </w:tc>
        <w:tc>
          <w:tcPr>
            <w:tcW w:w="400" w:type="pct"/>
            <w:shd w:val="clear" w:color="auto" w:fill="auto"/>
            <w:vAlign w:val="center"/>
          </w:tcPr>
          <w:p w14:paraId="0F5E6539" w14:textId="77777777" w:rsidR="009F7F8A" w:rsidRPr="00470E23" w:rsidRDefault="009F7F8A" w:rsidP="009F7F8A">
            <w:pPr>
              <w:rPr>
                <w:rFonts w:eastAsia="SimSun"/>
                <w:sz w:val="22"/>
              </w:rPr>
            </w:pPr>
          </w:p>
        </w:tc>
        <w:tc>
          <w:tcPr>
            <w:tcW w:w="394" w:type="pct"/>
            <w:vAlign w:val="center"/>
          </w:tcPr>
          <w:p w14:paraId="335E013E" w14:textId="77777777" w:rsidR="009F7F8A" w:rsidRPr="00470E23" w:rsidRDefault="009F7F8A" w:rsidP="009F7F8A">
            <w:pPr>
              <w:rPr>
                <w:rFonts w:eastAsia="SimSun"/>
                <w:sz w:val="22"/>
              </w:rPr>
            </w:pPr>
          </w:p>
        </w:tc>
      </w:tr>
      <w:tr w:rsidR="009F7F8A" w:rsidRPr="00470E23" w14:paraId="0787EF57" w14:textId="77777777" w:rsidTr="009F7F8A">
        <w:trPr>
          <w:cantSplit/>
          <w:trHeight w:val="606"/>
        </w:trPr>
        <w:tc>
          <w:tcPr>
            <w:tcW w:w="348" w:type="pct"/>
            <w:shd w:val="clear" w:color="auto" w:fill="D9D9D9"/>
            <w:vAlign w:val="center"/>
          </w:tcPr>
          <w:p w14:paraId="3385BB6D" w14:textId="77777777" w:rsidR="009F7F8A" w:rsidRPr="00470E23" w:rsidRDefault="009F7F8A" w:rsidP="009F7F8A">
            <w:pPr>
              <w:rPr>
                <w:rFonts w:eastAsia="SimSun"/>
                <w:sz w:val="22"/>
              </w:rPr>
            </w:pPr>
            <w:r w:rsidRPr="00470E23">
              <w:rPr>
                <w:rFonts w:eastAsia="SimSun"/>
                <w:sz w:val="22"/>
              </w:rPr>
              <w:t>-</w:t>
            </w:r>
          </w:p>
        </w:tc>
        <w:tc>
          <w:tcPr>
            <w:tcW w:w="303" w:type="pct"/>
            <w:shd w:val="clear" w:color="auto" w:fill="D9D9D9"/>
            <w:vAlign w:val="center"/>
          </w:tcPr>
          <w:p w14:paraId="2C742063" w14:textId="77777777" w:rsidR="009F7F8A" w:rsidRPr="00470E23" w:rsidRDefault="009F7F8A" w:rsidP="009F7F8A">
            <w:pPr>
              <w:rPr>
                <w:rFonts w:eastAsia="SimSun"/>
                <w:sz w:val="22"/>
              </w:rPr>
            </w:pPr>
            <w:r w:rsidRPr="00470E23">
              <w:rPr>
                <w:rFonts w:eastAsia="SimSun"/>
                <w:sz w:val="22"/>
              </w:rPr>
              <w:t>Tx</w:t>
            </w:r>
          </w:p>
        </w:tc>
        <w:tc>
          <w:tcPr>
            <w:tcW w:w="308" w:type="pct"/>
            <w:shd w:val="clear" w:color="auto" w:fill="D9D9D9"/>
            <w:vAlign w:val="center"/>
          </w:tcPr>
          <w:p w14:paraId="7E0B3CFE" w14:textId="77777777" w:rsidR="009F7F8A" w:rsidRPr="00470E23" w:rsidRDefault="009F7F8A" w:rsidP="009F7F8A">
            <w:pPr>
              <w:rPr>
                <w:rFonts w:eastAsia="SimSun"/>
                <w:sz w:val="22"/>
              </w:rPr>
            </w:pPr>
            <w:r w:rsidRPr="00470E23">
              <w:rPr>
                <w:rFonts w:eastAsia="SimSun"/>
                <w:sz w:val="22"/>
              </w:rPr>
              <w:t>-</w:t>
            </w:r>
          </w:p>
        </w:tc>
        <w:tc>
          <w:tcPr>
            <w:tcW w:w="428" w:type="pct"/>
            <w:shd w:val="clear" w:color="auto" w:fill="D9D9D9"/>
            <w:vAlign w:val="center"/>
          </w:tcPr>
          <w:p w14:paraId="102FE3F9" w14:textId="77777777" w:rsidR="009F7F8A" w:rsidRPr="00470E23" w:rsidRDefault="009F7F8A" w:rsidP="009F7F8A">
            <w:pPr>
              <w:rPr>
                <w:rFonts w:eastAsia="SimSun"/>
                <w:sz w:val="22"/>
              </w:rPr>
            </w:pPr>
            <w:r w:rsidRPr="00470E23">
              <w:rPr>
                <w:rFonts w:eastAsia="SimSun"/>
                <w:sz w:val="22"/>
              </w:rPr>
              <w:t>MMF30</w:t>
            </w:r>
          </w:p>
        </w:tc>
        <w:tc>
          <w:tcPr>
            <w:tcW w:w="412" w:type="pct"/>
            <w:shd w:val="clear" w:color="auto" w:fill="auto"/>
            <w:vAlign w:val="center"/>
          </w:tcPr>
          <w:p w14:paraId="18497923" w14:textId="77777777" w:rsidR="009F7F8A" w:rsidRPr="00470E23" w:rsidRDefault="009F7F8A" w:rsidP="009F7F8A">
            <w:pPr>
              <w:rPr>
                <w:rFonts w:eastAsia="SimSun"/>
                <w:sz w:val="22"/>
              </w:rPr>
            </w:pPr>
          </w:p>
        </w:tc>
        <w:tc>
          <w:tcPr>
            <w:tcW w:w="361" w:type="pct"/>
            <w:tcBorders>
              <w:right w:val="single" w:sz="4" w:space="0" w:color="00000A"/>
            </w:tcBorders>
            <w:shd w:val="clear" w:color="auto" w:fill="auto"/>
            <w:vAlign w:val="center"/>
          </w:tcPr>
          <w:p w14:paraId="55B8F799" w14:textId="77777777" w:rsidR="009F7F8A" w:rsidRPr="00470E23" w:rsidRDefault="009F7F8A" w:rsidP="009F7F8A">
            <w:pPr>
              <w:rPr>
                <w:rFonts w:eastAsia="SimSun"/>
                <w:sz w:val="22"/>
              </w:rPr>
            </w:pPr>
          </w:p>
        </w:tc>
        <w:tc>
          <w:tcPr>
            <w:tcW w:w="443" w:type="pct"/>
            <w:tcBorders>
              <w:left w:val="single" w:sz="4" w:space="0" w:color="00000A"/>
            </w:tcBorders>
            <w:shd w:val="clear" w:color="auto" w:fill="auto"/>
            <w:vAlign w:val="center"/>
          </w:tcPr>
          <w:p w14:paraId="33FF9827" w14:textId="77777777" w:rsidR="009F7F8A" w:rsidRPr="00470E23" w:rsidRDefault="009F7F8A" w:rsidP="009F7F8A">
            <w:pPr>
              <w:rPr>
                <w:rFonts w:eastAsia="SimSun"/>
                <w:sz w:val="22"/>
              </w:rPr>
            </w:pPr>
          </w:p>
        </w:tc>
        <w:tc>
          <w:tcPr>
            <w:tcW w:w="430" w:type="pct"/>
            <w:tcBorders>
              <w:right w:val="single" w:sz="4" w:space="0" w:color="00000A"/>
            </w:tcBorders>
            <w:shd w:val="clear" w:color="auto" w:fill="auto"/>
            <w:vAlign w:val="center"/>
          </w:tcPr>
          <w:p w14:paraId="6F7CD566" w14:textId="77777777" w:rsidR="009F7F8A" w:rsidRPr="00470E23" w:rsidRDefault="009F7F8A" w:rsidP="009F7F8A">
            <w:pPr>
              <w:rPr>
                <w:rFonts w:eastAsia="SimSun"/>
                <w:sz w:val="22"/>
              </w:rPr>
            </w:pPr>
            <w:r w:rsidRPr="00470E23">
              <w:rPr>
                <w:rFonts w:eastAsia="SimSun"/>
                <w:sz w:val="22"/>
              </w:rPr>
              <w:t>5.2.2.10</w:t>
            </w:r>
          </w:p>
        </w:tc>
        <w:tc>
          <w:tcPr>
            <w:tcW w:w="316" w:type="pct"/>
            <w:tcBorders>
              <w:left w:val="single" w:sz="4" w:space="0" w:color="00000A"/>
            </w:tcBorders>
            <w:shd w:val="clear" w:color="auto" w:fill="auto"/>
            <w:vAlign w:val="center"/>
          </w:tcPr>
          <w:p w14:paraId="2313A3F7" w14:textId="77777777" w:rsidR="009F7F8A" w:rsidRPr="00470E23" w:rsidRDefault="009F7F8A" w:rsidP="009F7F8A">
            <w:pPr>
              <w:rPr>
                <w:rFonts w:eastAsia="SimSun"/>
                <w:sz w:val="22"/>
              </w:rPr>
            </w:pPr>
          </w:p>
        </w:tc>
        <w:tc>
          <w:tcPr>
            <w:tcW w:w="475" w:type="pct"/>
            <w:shd w:val="clear" w:color="auto" w:fill="auto"/>
            <w:vAlign w:val="center"/>
          </w:tcPr>
          <w:p w14:paraId="43860296" w14:textId="77777777" w:rsidR="009F7F8A" w:rsidRPr="00470E23" w:rsidRDefault="009F7F8A" w:rsidP="009F7F8A">
            <w:pPr>
              <w:rPr>
                <w:rFonts w:eastAsia="SimSun"/>
                <w:sz w:val="22"/>
              </w:rPr>
            </w:pPr>
            <w:r w:rsidRPr="00470E23">
              <w:rPr>
                <w:rFonts w:eastAsia="SimSun"/>
                <w:sz w:val="22"/>
              </w:rPr>
              <w:t>5.2.2</w:t>
            </w:r>
          </w:p>
        </w:tc>
        <w:tc>
          <w:tcPr>
            <w:tcW w:w="382" w:type="pct"/>
            <w:shd w:val="clear" w:color="auto" w:fill="auto"/>
            <w:vAlign w:val="center"/>
          </w:tcPr>
          <w:p w14:paraId="071E15C1" w14:textId="77777777" w:rsidR="009F7F8A" w:rsidRPr="00470E23" w:rsidRDefault="009F7F8A" w:rsidP="009F7F8A">
            <w:pPr>
              <w:rPr>
                <w:rFonts w:eastAsia="SimSun"/>
                <w:sz w:val="22"/>
              </w:rPr>
            </w:pPr>
          </w:p>
        </w:tc>
        <w:tc>
          <w:tcPr>
            <w:tcW w:w="400" w:type="pct"/>
            <w:shd w:val="clear" w:color="auto" w:fill="auto"/>
            <w:vAlign w:val="center"/>
          </w:tcPr>
          <w:p w14:paraId="283537C0" w14:textId="77777777" w:rsidR="009F7F8A" w:rsidRPr="00470E23" w:rsidRDefault="009F7F8A" w:rsidP="009F7F8A">
            <w:pPr>
              <w:rPr>
                <w:rFonts w:eastAsia="SimSun"/>
                <w:sz w:val="22"/>
              </w:rPr>
            </w:pPr>
          </w:p>
        </w:tc>
        <w:tc>
          <w:tcPr>
            <w:tcW w:w="394" w:type="pct"/>
            <w:vAlign w:val="center"/>
          </w:tcPr>
          <w:p w14:paraId="1CA881CA" w14:textId="77777777" w:rsidR="009F7F8A" w:rsidRPr="00470E23" w:rsidRDefault="009F7F8A" w:rsidP="009F7F8A">
            <w:pPr>
              <w:rPr>
                <w:rFonts w:eastAsia="SimSun"/>
                <w:sz w:val="22"/>
              </w:rPr>
            </w:pPr>
          </w:p>
        </w:tc>
      </w:tr>
    </w:tbl>
    <w:p w14:paraId="04F57EA0" w14:textId="77777777" w:rsidR="009F7F8A" w:rsidRPr="00C07B2E" w:rsidRDefault="009F7F8A" w:rsidP="009F7F8A">
      <w:pPr>
        <w:rPr>
          <w:rFonts w:eastAsia="SimSun"/>
        </w:rPr>
      </w:pPr>
    </w:p>
    <w:p w14:paraId="5907856F" w14:textId="77777777" w:rsidR="009F7F8A" w:rsidRPr="00C07B2E" w:rsidRDefault="009F7F8A" w:rsidP="009F7F8A">
      <w:pPr>
        <w:rPr>
          <w:rFonts w:eastAsia="SimSun"/>
        </w:rPr>
        <w:sectPr w:rsidR="009F7F8A" w:rsidRPr="00C07B2E" w:rsidSect="009F7F8A">
          <w:type w:val="continuous"/>
          <w:pgSz w:w="16839" w:h="11907" w:orient="landscape" w:code="9"/>
          <w:pgMar w:top="1134" w:right="850" w:bottom="1134" w:left="1701" w:header="709" w:footer="567" w:gutter="0"/>
          <w:cols w:space="708"/>
          <w:docGrid w:linePitch="360"/>
        </w:sectPr>
      </w:pPr>
    </w:p>
    <w:p w14:paraId="1096CDD7" w14:textId="77777777" w:rsidR="009F7F8A" w:rsidRPr="00C07B2E" w:rsidRDefault="009F7F8A" w:rsidP="009F7F8A">
      <w:pPr>
        <w:rPr>
          <w:rFonts w:eastAsia="SimSun"/>
        </w:rPr>
      </w:pPr>
      <w:bookmarkStart w:id="166" w:name="_Toc44401201"/>
      <w:r w:rsidRPr="00042499">
        <w:rPr>
          <w:rFonts w:eastAsia="SimSun"/>
        </w:rPr>
        <w:lastRenderedPageBreak/>
        <w:t>Таблица</w:t>
      </w:r>
      <w:r w:rsidRPr="00C07B2E">
        <w:rPr>
          <w:rFonts w:eastAsia="SimSun"/>
        </w:rPr>
        <w:t xml:space="preserve"> </w:t>
      </w:r>
      <w:r>
        <w:rPr>
          <w:rFonts w:eastAsia="SimSun"/>
        </w:rPr>
        <w:t>5.</w:t>
      </w:r>
      <w:r w:rsidRPr="00C07B2E">
        <w:rPr>
          <w:rFonts w:eastAsia="SimSun"/>
        </w:rPr>
        <w:t>2.2.1  – Flu150+Bu8+Thio / hATG+ CSA+MTX+MMF45</w:t>
      </w:r>
      <w:bookmarkEnd w:id="166"/>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418"/>
        <w:gridCol w:w="1701"/>
        <w:gridCol w:w="2268"/>
      </w:tblGrid>
      <w:tr w:rsidR="009F7F8A" w:rsidRPr="00AC3044" w14:paraId="35785C5D" w14:textId="77777777" w:rsidTr="009F7F8A">
        <w:trPr>
          <w:cantSplit/>
          <w:trHeight w:val="20"/>
          <w:tblHeader/>
        </w:trPr>
        <w:tc>
          <w:tcPr>
            <w:tcW w:w="993" w:type="dxa"/>
            <w:vAlign w:val="center"/>
          </w:tcPr>
          <w:p w14:paraId="046374C5" w14:textId="77777777" w:rsidR="009F7F8A" w:rsidRPr="00470D3D" w:rsidRDefault="009F7F8A" w:rsidP="009F7F8A">
            <w:pPr>
              <w:rPr>
                <w:rFonts w:eastAsia="SimSun"/>
              </w:rPr>
            </w:pPr>
          </w:p>
        </w:tc>
        <w:tc>
          <w:tcPr>
            <w:tcW w:w="1701" w:type="dxa"/>
            <w:vAlign w:val="center"/>
          </w:tcPr>
          <w:p w14:paraId="76835DDD"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28B4DF3F"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3DE54662"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1FC9F6EB"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22125CA1"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06B21FD3" w14:textId="77777777" w:rsidTr="009F7F8A">
        <w:trPr>
          <w:cantSplit/>
          <w:trHeight w:val="20"/>
        </w:trPr>
        <w:tc>
          <w:tcPr>
            <w:tcW w:w="993" w:type="dxa"/>
            <w:vMerge w:val="restart"/>
            <w:textDirection w:val="btLr"/>
            <w:vAlign w:val="center"/>
          </w:tcPr>
          <w:p w14:paraId="657C2763"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66FFE55E"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020F3047" w14:textId="77777777" w:rsidR="009F7F8A" w:rsidRPr="00AC3044" w:rsidRDefault="009F7F8A" w:rsidP="009F7F8A">
            <w:pPr>
              <w:rPr>
                <w:rFonts w:eastAsia="SimSun"/>
              </w:rPr>
            </w:pPr>
            <w:r w:rsidRPr="00AC3044">
              <w:rPr>
                <w:rFonts w:eastAsia="SimSun"/>
              </w:rPr>
              <w:t>50 мг/м</w:t>
            </w:r>
            <w:r w:rsidRPr="00DB259E">
              <w:rPr>
                <w:rFonts w:eastAsia="SimSun"/>
                <w:vertAlign w:val="superscript"/>
              </w:rPr>
              <w:t>2</w:t>
            </w:r>
          </w:p>
        </w:tc>
        <w:tc>
          <w:tcPr>
            <w:tcW w:w="1418" w:type="dxa"/>
            <w:vAlign w:val="center"/>
          </w:tcPr>
          <w:p w14:paraId="1BBBC134" w14:textId="77777777" w:rsidR="009F7F8A" w:rsidRPr="00AC3044" w:rsidRDefault="009F7F8A" w:rsidP="009F7F8A">
            <w:pPr>
              <w:rPr>
                <w:rFonts w:eastAsia="SimSun"/>
              </w:rPr>
            </w:pPr>
            <w:r w:rsidRPr="00AC3044">
              <w:rPr>
                <w:rFonts w:eastAsia="SimSun"/>
              </w:rPr>
              <w:t>150 мг/м</w:t>
            </w:r>
            <w:r w:rsidRPr="00DB259E">
              <w:rPr>
                <w:rFonts w:eastAsia="SimSun"/>
                <w:vertAlign w:val="superscript"/>
              </w:rPr>
              <w:t>2</w:t>
            </w:r>
          </w:p>
        </w:tc>
        <w:tc>
          <w:tcPr>
            <w:tcW w:w="1701" w:type="dxa"/>
            <w:vAlign w:val="center"/>
          </w:tcPr>
          <w:p w14:paraId="0CEF9E38" w14:textId="77777777" w:rsidR="009F7F8A" w:rsidRPr="00AC3044" w:rsidRDefault="009F7F8A" w:rsidP="009F7F8A">
            <w:pPr>
              <w:rPr>
                <w:rFonts w:eastAsia="SimSun"/>
              </w:rPr>
            </w:pPr>
            <w:r w:rsidRPr="00AC3044">
              <w:rPr>
                <w:rFonts w:eastAsia="SimSun"/>
              </w:rPr>
              <w:t>С –4 по –2 день</w:t>
            </w:r>
          </w:p>
        </w:tc>
        <w:tc>
          <w:tcPr>
            <w:tcW w:w="2268" w:type="dxa"/>
            <w:vAlign w:val="center"/>
          </w:tcPr>
          <w:p w14:paraId="5F9588E8"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6081A9AA" w14:textId="77777777" w:rsidTr="009F7F8A">
        <w:trPr>
          <w:cantSplit/>
          <w:trHeight w:val="20"/>
        </w:trPr>
        <w:tc>
          <w:tcPr>
            <w:tcW w:w="993" w:type="dxa"/>
            <w:vMerge/>
            <w:textDirection w:val="btLr"/>
            <w:vAlign w:val="center"/>
          </w:tcPr>
          <w:p w14:paraId="7A7B9892" w14:textId="77777777" w:rsidR="009F7F8A" w:rsidRPr="00AC3044" w:rsidRDefault="009F7F8A" w:rsidP="009F7F8A">
            <w:pPr>
              <w:rPr>
                <w:rFonts w:eastAsia="SimSun"/>
              </w:rPr>
            </w:pPr>
          </w:p>
        </w:tc>
        <w:tc>
          <w:tcPr>
            <w:tcW w:w="1701" w:type="dxa"/>
            <w:vAlign w:val="center"/>
          </w:tcPr>
          <w:p w14:paraId="72991EB5"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773C07C0" w14:textId="77777777" w:rsidR="009F7F8A" w:rsidRPr="00AC3044" w:rsidRDefault="009F7F8A" w:rsidP="009F7F8A">
            <w:pPr>
              <w:rPr>
                <w:rFonts w:eastAsia="SimSun"/>
              </w:rPr>
            </w:pPr>
            <w:r w:rsidRPr="00AC3044">
              <w:rPr>
                <w:rFonts w:eastAsia="SimSun"/>
              </w:rPr>
              <w:t>4 мг/кг</w:t>
            </w:r>
          </w:p>
        </w:tc>
        <w:tc>
          <w:tcPr>
            <w:tcW w:w="1418" w:type="dxa"/>
            <w:vAlign w:val="center"/>
          </w:tcPr>
          <w:p w14:paraId="550256A5" w14:textId="77777777" w:rsidR="009F7F8A" w:rsidRPr="00AC3044" w:rsidRDefault="009F7F8A" w:rsidP="009F7F8A">
            <w:pPr>
              <w:rPr>
                <w:rFonts w:eastAsia="SimSun"/>
              </w:rPr>
            </w:pPr>
            <w:r w:rsidRPr="00AC3044">
              <w:rPr>
                <w:rFonts w:eastAsia="SimSun"/>
              </w:rPr>
              <w:t>8 мг/кг</w:t>
            </w:r>
          </w:p>
        </w:tc>
        <w:tc>
          <w:tcPr>
            <w:tcW w:w="1701" w:type="dxa"/>
            <w:vAlign w:val="center"/>
          </w:tcPr>
          <w:p w14:paraId="55C2E88F" w14:textId="77777777" w:rsidR="009F7F8A" w:rsidRPr="00AC3044" w:rsidRDefault="009F7F8A" w:rsidP="009F7F8A">
            <w:pPr>
              <w:rPr>
                <w:rFonts w:eastAsia="SimSun"/>
              </w:rPr>
            </w:pPr>
            <w:r w:rsidRPr="00AC3044">
              <w:rPr>
                <w:rFonts w:eastAsia="SimSun"/>
              </w:rPr>
              <w:t>–3, –2 дни</w:t>
            </w:r>
          </w:p>
        </w:tc>
        <w:tc>
          <w:tcPr>
            <w:tcW w:w="2268" w:type="dxa"/>
            <w:vAlign w:val="center"/>
          </w:tcPr>
          <w:p w14:paraId="31609004"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316853DC" w14:textId="77777777" w:rsidTr="009F7F8A">
        <w:trPr>
          <w:cantSplit/>
          <w:trHeight w:val="20"/>
        </w:trPr>
        <w:tc>
          <w:tcPr>
            <w:tcW w:w="993" w:type="dxa"/>
            <w:vMerge/>
            <w:textDirection w:val="btLr"/>
            <w:vAlign w:val="center"/>
          </w:tcPr>
          <w:p w14:paraId="6956D225" w14:textId="77777777" w:rsidR="009F7F8A" w:rsidRPr="00AC3044" w:rsidRDefault="009F7F8A" w:rsidP="009F7F8A">
            <w:pPr>
              <w:rPr>
                <w:rFonts w:eastAsia="SimSun"/>
              </w:rPr>
            </w:pPr>
          </w:p>
        </w:tc>
        <w:tc>
          <w:tcPr>
            <w:tcW w:w="1701" w:type="dxa"/>
            <w:vAlign w:val="center"/>
          </w:tcPr>
          <w:p w14:paraId="42C8CB27" w14:textId="77777777" w:rsidR="009F7F8A" w:rsidRPr="00AC3044" w:rsidRDefault="009F7F8A" w:rsidP="009F7F8A">
            <w:pPr>
              <w:rPr>
                <w:rFonts w:eastAsia="SimSun"/>
              </w:rPr>
            </w:pPr>
            <w:r w:rsidRPr="00AC3044">
              <w:rPr>
                <w:rFonts w:eastAsia="SimSun"/>
              </w:rPr>
              <w:t>Тиотепа</w:t>
            </w:r>
          </w:p>
        </w:tc>
        <w:tc>
          <w:tcPr>
            <w:tcW w:w="1559" w:type="dxa"/>
            <w:vAlign w:val="center"/>
          </w:tcPr>
          <w:p w14:paraId="2C267EB8" w14:textId="77777777" w:rsidR="009F7F8A" w:rsidRPr="00AC3044" w:rsidRDefault="009F7F8A" w:rsidP="009F7F8A">
            <w:pPr>
              <w:rPr>
                <w:rFonts w:eastAsia="SimSun"/>
              </w:rPr>
            </w:pPr>
            <w:r w:rsidRPr="00AC3044">
              <w:rPr>
                <w:rFonts w:eastAsia="SimSun"/>
              </w:rPr>
              <w:t>5 мг/кг</w:t>
            </w:r>
          </w:p>
        </w:tc>
        <w:tc>
          <w:tcPr>
            <w:tcW w:w="1418" w:type="dxa"/>
            <w:vAlign w:val="center"/>
          </w:tcPr>
          <w:p w14:paraId="5BD833BB" w14:textId="77777777" w:rsidR="009F7F8A" w:rsidRPr="00AC3044" w:rsidRDefault="009F7F8A" w:rsidP="009F7F8A">
            <w:pPr>
              <w:rPr>
                <w:rFonts w:eastAsia="SimSun"/>
              </w:rPr>
            </w:pPr>
            <w:r w:rsidRPr="00AC3044">
              <w:rPr>
                <w:rFonts w:eastAsia="SimSun"/>
              </w:rPr>
              <w:t>10 мг/кг</w:t>
            </w:r>
          </w:p>
        </w:tc>
        <w:tc>
          <w:tcPr>
            <w:tcW w:w="1701" w:type="dxa"/>
            <w:vAlign w:val="center"/>
          </w:tcPr>
          <w:p w14:paraId="10457370" w14:textId="77777777" w:rsidR="009F7F8A" w:rsidRPr="00AC3044" w:rsidRDefault="009F7F8A" w:rsidP="009F7F8A">
            <w:pPr>
              <w:rPr>
                <w:rFonts w:eastAsia="SimSun"/>
              </w:rPr>
            </w:pPr>
            <w:r w:rsidRPr="00AC3044">
              <w:rPr>
                <w:rFonts w:eastAsia="SimSun"/>
              </w:rPr>
              <w:t>–6, –5 дни</w:t>
            </w:r>
          </w:p>
        </w:tc>
        <w:tc>
          <w:tcPr>
            <w:tcW w:w="2268" w:type="dxa"/>
            <w:vAlign w:val="center"/>
          </w:tcPr>
          <w:p w14:paraId="536A55BF"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7E3858F8" w14:textId="77777777" w:rsidTr="009F7F8A">
        <w:trPr>
          <w:cantSplit/>
          <w:trHeight w:val="20"/>
        </w:trPr>
        <w:tc>
          <w:tcPr>
            <w:tcW w:w="993" w:type="dxa"/>
            <w:vMerge w:val="restart"/>
            <w:textDirection w:val="btLr"/>
            <w:vAlign w:val="center"/>
          </w:tcPr>
          <w:p w14:paraId="0A65DFBD"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01450DB6" w14:textId="77777777" w:rsidR="009F7F8A" w:rsidRPr="00AC3044" w:rsidRDefault="009F7F8A" w:rsidP="009F7F8A">
            <w:pPr>
              <w:rPr>
                <w:rFonts w:eastAsia="SimSun"/>
              </w:rPr>
            </w:pPr>
            <w:r w:rsidRPr="00AC3044">
              <w:rPr>
                <w:rFonts w:eastAsia="SimSun"/>
              </w:rPr>
              <w:t>АТГ (лошадиный)</w:t>
            </w:r>
          </w:p>
        </w:tc>
        <w:tc>
          <w:tcPr>
            <w:tcW w:w="1559" w:type="dxa"/>
            <w:vAlign w:val="center"/>
          </w:tcPr>
          <w:p w14:paraId="512BAD7F" w14:textId="77777777" w:rsidR="009F7F8A" w:rsidRPr="00AC3044" w:rsidRDefault="009F7F8A" w:rsidP="009F7F8A">
            <w:pPr>
              <w:rPr>
                <w:rFonts w:eastAsia="SimSun"/>
              </w:rPr>
            </w:pPr>
            <w:r w:rsidRPr="00AC3044">
              <w:rPr>
                <w:rFonts w:eastAsia="SimSun"/>
              </w:rPr>
              <w:t>10-15 мг/кг</w:t>
            </w:r>
          </w:p>
        </w:tc>
        <w:tc>
          <w:tcPr>
            <w:tcW w:w="1418" w:type="dxa"/>
            <w:vAlign w:val="center"/>
          </w:tcPr>
          <w:p w14:paraId="13ABCBB0" w14:textId="77777777" w:rsidR="009F7F8A" w:rsidRPr="00AC3044" w:rsidRDefault="009F7F8A" w:rsidP="009F7F8A">
            <w:pPr>
              <w:rPr>
                <w:rFonts w:eastAsia="SimSun"/>
              </w:rPr>
            </w:pPr>
            <w:r w:rsidRPr="00AC3044">
              <w:rPr>
                <w:rFonts w:eastAsia="SimSun"/>
              </w:rPr>
              <w:t>40-60 мг/кг</w:t>
            </w:r>
          </w:p>
        </w:tc>
        <w:tc>
          <w:tcPr>
            <w:tcW w:w="1701" w:type="dxa"/>
            <w:vAlign w:val="center"/>
          </w:tcPr>
          <w:p w14:paraId="40B1E91E" w14:textId="77777777" w:rsidR="009F7F8A" w:rsidRPr="00AC3044" w:rsidRDefault="009F7F8A" w:rsidP="009F7F8A">
            <w:pPr>
              <w:rPr>
                <w:rFonts w:eastAsia="SimSun"/>
              </w:rPr>
            </w:pPr>
            <w:r w:rsidRPr="00AC3044">
              <w:rPr>
                <w:rFonts w:eastAsia="SimSun"/>
              </w:rPr>
              <w:t>С –4 по –1 день</w:t>
            </w:r>
          </w:p>
        </w:tc>
        <w:tc>
          <w:tcPr>
            <w:tcW w:w="2268" w:type="dxa"/>
            <w:vAlign w:val="center"/>
          </w:tcPr>
          <w:p w14:paraId="0448F6FF" w14:textId="77777777" w:rsidR="009F7F8A" w:rsidRPr="00AC3044" w:rsidRDefault="009F7F8A" w:rsidP="009F7F8A">
            <w:pPr>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9F7F8A" w:rsidRPr="00AC3044" w14:paraId="75C2B347" w14:textId="77777777" w:rsidTr="009F7F8A">
        <w:trPr>
          <w:cantSplit/>
          <w:trHeight w:val="20"/>
        </w:trPr>
        <w:tc>
          <w:tcPr>
            <w:tcW w:w="993" w:type="dxa"/>
            <w:vMerge/>
            <w:textDirection w:val="btLr"/>
          </w:tcPr>
          <w:p w14:paraId="52BA151C" w14:textId="77777777" w:rsidR="009F7F8A" w:rsidRPr="00AC3044" w:rsidRDefault="009F7F8A" w:rsidP="009F7F8A">
            <w:pPr>
              <w:rPr>
                <w:rFonts w:eastAsia="SimSun"/>
              </w:rPr>
            </w:pPr>
          </w:p>
        </w:tc>
        <w:tc>
          <w:tcPr>
            <w:tcW w:w="1701" w:type="dxa"/>
            <w:vAlign w:val="center"/>
          </w:tcPr>
          <w:p w14:paraId="47C8A61E" w14:textId="77777777" w:rsidR="009F7F8A" w:rsidRPr="00AC3044" w:rsidRDefault="009F7F8A" w:rsidP="009F7F8A">
            <w:pPr>
              <w:rPr>
                <w:rFonts w:eastAsia="SimSun"/>
              </w:rPr>
            </w:pPr>
            <w:r w:rsidRPr="00AC3044">
              <w:rPr>
                <w:rFonts w:eastAsia="SimSun"/>
              </w:rPr>
              <w:t>Циклоспорин</w:t>
            </w:r>
          </w:p>
        </w:tc>
        <w:tc>
          <w:tcPr>
            <w:tcW w:w="1559" w:type="dxa"/>
            <w:vAlign w:val="center"/>
          </w:tcPr>
          <w:p w14:paraId="7799A9A8" w14:textId="77777777" w:rsidR="009F7F8A" w:rsidRPr="00AC3044" w:rsidRDefault="009F7F8A" w:rsidP="009F7F8A">
            <w:pPr>
              <w:rPr>
                <w:rFonts w:eastAsia="SimSun"/>
              </w:rPr>
            </w:pPr>
            <w:r w:rsidRPr="00AC3044">
              <w:rPr>
                <w:rFonts w:eastAsia="SimSun"/>
              </w:rPr>
              <w:t>3 мг/кг</w:t>
            </w:r>
          </w:p>
        </w:tc>
        <w:tc>
          <w:tcPr>
            <w:tcW w:w="1418" w:type="dxa"/>
            <w:vAlign w:val="center"/>
          </w:tcPr>
          <w:p w14:paraId="5D0E8D49" w14:textId="77777777" w:rsidR="009F7F8A" w:rsidRPr="00AC3044" w:rsidRDefault="009F7F8A" w:rsidP="009F7F8A">
            <w:pPr>
              <w:rPr>
                <w:rFonts w:eastAsia="SimSun"/>
              </w:rPr>
            </w:pPr>
            <w:r w:rsidRPr="00AC3044">
              <w:rPr>
                <w:rFonts w:eastAsia="SimSun"/>
              </w:rPr>
              <w:t>–</w:t>
            </w:r>
          </w:p>
        </w:tc>
        <w:tc>
          <w:tcPr>
            <w:tcW w:w="1701" w:type="dxa"/>
            <w:vAlign w:val="center"/>
          </w:tcPr>
          <w:p w14:paraId="124F2215" w14:textId="77777777" w:rsidR="009F7F8A" w:rsidRPr="00AC3044" w:rsidRDefault="009F7F8A" w:rsidP="009F7F8A">
            <w:pPr>
              <w:rPr>
                <w:rFonts w:eastAsia="SimSun"/>
              </w:rPr>
            </w:pPr>
            <w:r w:rsidRPr="00AC3044">
              <w:rPr>
                <w:rFonts w:eastAsia="SimSun"/>
              </w:rPr>
              <w:t>С –1 по +90 день, затем постепенное снижение к +180 дню</w:t>
            </w:r>
          </w:p>
        </w:tc>
        <w:tc>
          <w:tcPr>
            <w:tcW w:w="2268" w:type="dxa"/>
            <w:vAlign w:val="center"/>
          </w:tcPr>
          <w:p w14:paraId="00DB3D13"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 xml:space="preserve">х </w:t>
            </w:r>
            <w:r w:rsidRPr="00AC3044">
              <w:rPr>
                <w:rFonts w:eastAsia="SimSun"/>
              </w:rPr>
              <w:t>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1875BD00" w14:textId="77777777" w:rsidTr="009F7F8A">
        <w:trPr>
          <w:cantSplit/>
          <w:trHeight w:val="20"/>
        </w:trPr>
        <w:tc>
          <w:tcPr>
            <w:tcW w:w="993" w:type="dxa"/>
            <w:vMerge/>
          </w:tcPr>
          <w:p w14:paraId="49649F88" w14:textId="77777777" w:rsidR="009F7F8A" w:rsidRPr="00AC3044" w:rsidRDefault="009F7F8A" w:rsidP="009F7F8A">
            <w:pPr>
              <w:rPr>
                <w:rFonts w:eastAsia="SimSun"/>
              </w:rPr>
            </w:pPr>
          </w:p>
        </w:tc>
        <w:tc>
          <w:tcPr>
            <w:tcW w:w="1701" w:type="dxa"/>
            <w:vMerge w:val="restart"/>
            <w:vAlign w:val="center"/>
          </w:tcPr>
          <w:p w14:paraId="344909A3" w14:textId="77777777" w:rsidR="009F7F8A" w:rsidRPr="00AC3044" w:rsidRDefault="009F7F8A" w:rsidP="009F7F8A">
            <w:pPr>
              <w:rPr>
                <w:rFonts w:eastAsia="SimSun"/>
              </w:rPr>
            </w:pPr>
            <w:r w:rsidRPr="00AC3044">
              <w:rPr>
                <w:rFonts w:eastAsia="SimSun"/>
              </w:rPr>
              <w:t>Метотрексат</w:t>
            </w:r>
          </w:p>
        </w:tc>
        <w:tc>
          <w:tcPr>
            <w:tcW w:w="1559" w:type="dxa"/>
            <w:vAlign w:val="center"/>
          </w:tcPr>
          <w:p w14:paraId="710374E6" w14:textId="77777777" w:rsidR="009F7F8A" w:rsidRPr="00AC3044" w:rsidRDefault="009F7F8A" w:rsidP="009F7F8A">
            <w:pPr>
              <w:rPr>
                <w:rFonts w:eastAsia="SimSun"/>
              </w:rPr>
            </w:pPr>
            <w:r w:rsidRPr="00AC3044">
              <w:rPr>
                <w:rFonts w:eastAsia="SimSun"/>
              </w:rPr>
              <w:t>15 мг/м</w:t>
            </w:r>
            <w:r w:rsidRPr="00DB259E">
              <w:rPr>
                <w:rFonts w:eastAsia="SimSun"/>
                <w:vertAlign w:val="superscript"/>
              </w:rPr>
              <w:t>2</w:t>
            </w:r>
          </w:p>
        </w:tc>
        <w:tc>
          <w:tcPr>
            <w:tcW w:w="1418" w:type="dxa"/>
            <w:vAlign w:val="center"/>
          </w:tcPr>
          <w:p w14:paraId="2CA88EB9" w14:textId="77777777" w:rsidR="009F7F8A" w:rsidRPr="00AC3044" w:rsidRDefault="009F7F8A" w:rsidP="009F7F8A">
            <w:pPr>
              <w:rPr>
                <w:rFonts w:eastAsia="SimSun"/>
              </w:rPr>
            </w:pPr>
            <w:r w:rsidRPr="00AC3044">
              <w:rPr>
                <w:rFonts w:eastAsia="SimSun"/>
              </w:rPr>
              <w:t>–</w:t>
            </w:r>
          </w:p>
        </w:tc>
        <w:tc>
          <w:tcPr>
            <w:tcW w:w="1701" w:type="dxa"/>
            <w:vAlign w:val="center"/>
          </w:tcPr>
          <w:p w14:paraId="597809BA" w14:textId="77777777" w:rsidR="009F7F8A" w:rsidRPr="00AC3044" w:rsidRDefault="009F7F8A" w:rsidP="009F7F8A">
            <w:pPr>
              <w:rPr>
                <w:rFonts w:eastAsia="SimSun"/>
              </w:rPr>
            </w:pPr>
            <w:r w:rsidRPr="00AC3044">
              <w:rPr>
                <w:rFonts w:eastAsia="SimSun"/>
              </w:rPr>
              <w:t>+1 день</w:t>
            </w:r>
          </w:p>
        </w:tc>
        <w:tc>
          <w:tcPr>
            <w:tcW w:w="2268" w:type="dxa"/>
            <w:vAlign w:val="center"/>
          </w:tcPr>
          <w:p w14:paraId="6D19F916" w14:textId="77777777" w:rsidR="009F7F8A" w:rsidRPr="00AC3044" w:rsidRDefault="009F7F8A" w:rsidP="009F7F8A">
            <w:pPr>
              <w:rPr>
                <w:rFonts w:eastAsia="SimSun"/>
              </w:rPr>
            </w:pPr>
            <w:r w:rsidRPr="00AC3044">
              <w:rPr>
                <w:rFonts w:eastAsia="SimSun"/>
              </w:rPr>
              <w:t>В/в, в 20 мл физ. р-ра</w:t>
            </w:r>
          </w:p>
        </w:tc>
      </w:tr>
      <w:tr w:rsidR="009F7F8A" w:rsidRPr="00AC3044" w14:paraId="6D721FA6" w14:textId="77777777" w:rsidTr="009F7F8A">
        <w:trPr>
          <w:cantSplit/>
          <w:trHeight w:val="464"/>
        </w:trPr>
        <w:tc>
          <w:tcPr>
            <w:tcW w:w="993" w:type="dxa"/>
            <w:vMerge/>
          </w:tcPr>
          <w:p w14:paraId="77E07426" w14:textId="77777777" w:rsidR="009F7F8A" w:rsidRPr="00AC3044" w:rsidRDefault="009F7F8A" w:rsidP="009F7F8A">
            <w:pPr>
              <w:rPr>
                <w:rFonts w:eastAsia="SimSun"/>
              </w:rPr>
            </w:pPr>
          </w:p>
        </w:tc>
        <w:tc>
          <w:tcPr>
            <w:tcW w:w="1701" w:type="dxa"/>
            <w:vMerge/>
            <w:vAlign w:val="center"/>
          </w:tcPr>
          <w:p w14:paraId="78D4DD1F" w14:textId="77777777" w:rsidR="009F7F8A" w:rsidRPr="00AC3044" w:rsidRDefault="009F7F8A" w:rsidP="009F7F8A">
            <w:pPr>
              <w:rPr>
                <w:rFonts w:eastAsia="SimSun"/>
              </w:rPr>
            </w:pPr>
          </w:p>
        </w:tc>
        <w:tc>
          <w:tcPr>
            <w:tcW w:w="1559" w:type="dxa"/>
            <w:vAlign w:val="center"/>
          </w:tcPr>
          <w:p w14:paraId="1933F044" w14:textId="77777777" w:rsidR="009F7F8A" w:rsidRPr="00AC3044" w:rsidRDefault="009F7F8A" w:rsidP="009F7F8A">
            <w:pPr>
              <w:rPr>
                <w:rFonts w:eastAsia="SimSun"/>
              </w:rPr>
            </w:pPr>
            <w:r w:rsidRPr="00AC3044">
              <w:rPr>
                <w:rFonts w:eastAsia="SimSun"/>
              </w:rPr>
              <w:t>10 мг/м</w:t>
            </w:r>
            <w:r w:rsidRPr="00DB259E">
              <w:rPr>
                <w:rFonts w:eastAsia="SimSun"/>
                <w:vertAlign w:val="superscript"/>
              </w:rPr>
              <w:t>2</w:t>
            </w:r>
          </w:p>
        </w:tc>
        <w:tc>
          <w:tcPr>
            <w:tcW w:w="1418" w:type="dxa"/>
            <w:vAlign w:val="center"/>
          </w:tcPr>
          <w:p w14:paraId="789519DF" w14:textId="77777777" w:rsidR="009F7F8A" w:rsidRPr="00AC3044" w:rsidRDefault="009F7F8A" w:rsidP="009F7F8A">
            <w:pPr>
              <w:rPr>
                <w:rFonts w:eastAsia="SimSun"/>
              </w:rPr>
            </w:pPr>
            <w:r w:rsidRPr="00AC3044">
              <w:rPr>
                <w:rFonts w:eastAsia="SimSun"/>
              </w:rPr>
              <w:t>–</w:t>
            </w:r>
          </w:p>
        </w:tc>
        <w:tc>
          <w:tcPr>
            <w:tcW w:w="1701" w:type="dxa"/>
            <w:vAlign w:val="center"/>
          </w:tcPr>
          <w:p w14:paraId="0B0E708F" w14:textId="77777777" w:rsidR="009F7F8A" w:rsidRPr="00AC3044" w:rsidRDefault="009F7F8A" w:rsidP="009F7F8A">
            <w:pPr>
              <w:rPr>
                <w:rFonts w:eastAsia="SimSun"/>
              </w:rPr>
            </w:pPr>
            <w:r w:rsidRPr="00AC3044">
              <w:rPr>
                <w:rFonts w:eastAsia="SimSun"/>
              </w:rPr>
              <w:t>+3, +6, +11 дни</w:t>
            </w:r>
          </w:p>
        </w:tc>
        <w:tc>
          <w:tcPr>
            <w:tcW w:w="2268" w:type="dxa"/>
            <w:vAlign w:val="center"/>
          </w:tcPr>
          <w:p w14:paraId="4400CAD5" w14:textId="77777777" w:rsidR="009F7F8A" w:rsidRPr="00AC3044" w:rsidRDefault="009F7F8A" w:rsidP="009F7F8A">
            <w:pPr>
              <w:rPr>
                <w:rFonts w:eastAsia="SimSun"/>
              </w:rPr>
            </w:pPr>
            <w:r w:rsidRPr="00AC3044">
              <w:rPr>
                <w:rFonts w:eastAsia="SimSun"/>
              </w:rPr>
              <w:t>В/в, в 20 мл физ. р-ра</w:t>
            </w:r>
          </w:p>
        </w:tc>
      </w:tr>
      <w:tr w:rsidR="009F7F8A" w:rsidRPr="00AC3044" w14:paraId="4DA4766A" w14:textId="77777777" w:rsidTr="009F7F8A">
        <w:trPr>
          <w:cantSplit/>
          <w:trHeight w:val="464"/>
        </w:trPr>
        <w:tc>
          <w:tcPr>
            <w:tcW w:w="993" w:type="dxa"/>
            <w:vMerge/>
          </w:tcPr>
          <w:p w14:paraId="4E350E14" w14:textId="77777777" w:rsidR="009F7F8A" w:rsidRPr="00AC3044" w:rsidRDefault="009F7F8A" w:rsidP="009F7F8A">
            <w:pPr>
              <w:rPr>
                <w:rFonts w:eastAsia="SimSun"/>
              </w:rPr>
            </w:pPr>
          </w:p>
        </w:tc>
        <w:tc>
          <w:tcPr>
            <w:tcW w:w="1701" w:type="dxa"/>
            <w:vAlign w:val="center"/>
          </w:tcPr>
          <w:p w14:paraId="6469E8F5"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4E1AFB16" w14:textId="77777777" w:rsidR="009F7F8A" w:rsidRPr="00AC3044" w:rsidRDefault="009F7F8A" w:rsidP="009F7F8A">
            <w:pPr>
              <w:rPr>
                <w:rFonts w:eastAsia="SimSun"/>
              </w:rPr>
            </w:pPr>
            <w:r w:rsidRPr="00AC3044">
              <w:rPr>
                <w:rFonts w:eastAsia="SimSun"/>
              </w:rPr>
              <w:t>45 мг/кг</w:t>
            </w:r>
          </w:p>
        </w:tc>
        <w:tc>
          <w:tcPr>
            <w:tcW w:w="1418" w:type="dxa"/>
            <w:vAlign w:val="center"/>
          </w:tcPr>
          <w:p w14:paraId="7C1F4D09" w14:textId="77777777" w:rsidR="009F7F8A" w:rsidRPr="00AC3044" w:rsidRDefault="009F7F8A" w:rsidP="009F7F8A">
            <w:pPr>
              <w:rPr>
                <w:rFonts w:eastAsia="SimSun"/>
              </w:rPr>
            </w:pPr>
            <w:r w:rsidRPr="00AC3044">
              <w:rPr>
                <w:rFonts w:eastAsia="SimSun"/>
              </w:rPr>
              <w:t>–</w:t>
            </w:r>
          </w:p>
        </w:tc>
        <w:tc>
          <w:tcPr>
            <w:tcW w:w="1701" w:type="dxa"/>
            <w:vAlign w:val="center"/>
          </w:tcPr>
          <w:p w14:paraId="57DB4E80" w14:textId="77777777" w:rsidR="009F7F8A" w:rsidRPr="00AC3044" w:rsidRDefault="009F7F8A" w:rsidP="009F7F8A">
            <w:pPr>
              <w:rPr>
                <w:rFonts w:eastAsia="SimSun"/>
              </w:rPr>
            </w:pPr>
            <w:r w:rsidRPr="00AC3044">
              <w:rPr>
                <w:rFonts w:eastAsia="SimSun"/>
              </w:rPr>
              <w:t>С +1 по +90 день</w:t>
            </w:r>
          </w:p>
        </w:tc>
        <w:tc>
          <w:tcPr>
            <w:tcW w:w="2268" w:type="dxa"/>
            <w:vAlign w:val="center"/>
          </w:tcPr>
          <w:p w14:paraId="135F64A3"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395F9900" w14:textId="77777777" w:rsidR="009F7F8A" w:rsidRDefault="009F7F8A" w:rsidP="009F7F8A">
      <w:pPr>
        <w:rPr>
          <w:rFonts w:eastAsia="SimSun"/>
        </w:rPr>
      </w:pPr>
      <w:bookmarkStart w:id="167" w:name="_Toc44401202"/>
    </w:p>
    <w:p w14:paraId="237D5C55"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2.2.2  – Flu150+Bu8+Thio / rATG+ CSA+MTX+MMF45</w:t>
      </w:r>
      <w:bookmarkEnd w:id="167"/>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418"/>
        <w:gridCol w:w="1701"/>
        <w:gridCol w:w="2268"/>
      </w:tblGrid>
      <w:tr w:rsidR="009F7F8A" w:rsidRPr="00AC3044" w14:paraId="66CEC609" w14:textId="77777777" w:rsidTr="009F7F8A">
        <w:trPr>
          <w:cantSplit/>
          <w:trHeight w:val="20"/>
          <w:tblHeader/>
        </w:trPr>
        <w:tc>
          <w:tcPr>
            <w:tcW w:w="993" w:type="dxa"/>
          </w:tcPr>
          <w:p w14:paraId="1B4BFFB9" w14:textId="77777777" w:rsidR="009F7F8A" w:rsidRPr="00470D3D" w:rsidRDefault="009F7F8A" w:rsidP="009F7F8A">
            <w:pPr>
              <w:rPr>
                <w:rFonts w:eastAsia="SimSun"/>
              </w:rPr>
            </w:pPr>
          </w:p>
        </w:tc>
        <w:tc>
          <w:tcPr>
            <w:tcW w:w="1701" w:type="dxa"/>
            <w:vAlign w:val="center"/>
          </w:tcPr>
          <w:p w14:paraId="4D9E23B0"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46CBFBB7"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1A848116"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6858E828"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35CF2517"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981D56F" w14:textId="77777777" w:rsidTr="009F7F8A">
        <w:trPr>
          <w:cantSplit/>
          <w:trHeight w:val="20"/>
        </w:trPr>
        <w:tc>
          <w:tcPr>
            <w:tcW w:w="993" w:type="dxa"/>
            <w:vMerge w:val="restart"/>
            <w:textDirection w:val="btLr"/>
            <w:vAlign w:val="center"/>
          </w:tcPr>
          <w:p w14:paraId="25902994"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2697D23B"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2968F581" w14:textId="77777777" w:rsidR="009F7F8A" w:rsidRPr="00AC3044" w:rsidRDefault="009F7F8A" w:rsidP="009F7F8A">
            <w:pPr>
              <w:rPr>
                <w:rFonts w:eastAsia="SimSun"/>
              </w:rPr>
            </w:pPr>
            <w:r w:rsidRPr="00AC3044">
              <w:rPr>
                <w:rFonts w:eastAsia="SimSun"/>
              </w:rPr>
              <w:t>50 мг/м</w:t>
            </w:r>
            <w:r w:rsidRPr="00DB259E">
              <w:rPr>
                <w:rFonts w:eastAsia="SimSun"/>
                <w:vertAlign w:val="superscript"/>
              </w:rPr>
              <w:t>2</w:t>
            </w:r>
          </w:p>
        </w:tc>
        <w:tc>
          <w:tcPr>
            <w:tcW w:w="1418" w:type="dxa"/>
            <w:vAlign w:val="center"/>
          </w:tcPr>
          <w:p w14:paraId="3A9F280F" w14:textId="77777777" w:rsidR="009F7F8A" w:rsidRPr="00AC3044" w:rsidRDefault="009F7F8A" w:rsidP="009F7F8A">
            <w:pPr>
              <w:rPr>
                <w:rFonts w:eastAsia="SimSun"/>
              </w:rPr>
            </w:pPr>
            <w:r w:rsidRPr="00AC3044">
              <w:rPr>
                <w:rFonts w:eastAsia="SimSun"/>
              </w:rPr>
              <w:t>150 мг/м</w:t>
            </w:r>
            <w:r w:rsidRPr="00DB259E">
              <w:rPr>
                <w:rFonts w:eastAsia="SimSun"/>
                <w:vertAlign w:val="superscript"/>
              </w:rPr>
              <w:t>2</w:t>
            </w:r>
          </w:p>
        </w:tc>
        <w:tc>
          <w:tcPr>
            <w:tcW w:w="1701" w:type="dxa"/>
            <w:vAlign w:val="center"/>
          </w:tcPr>
          <w:p w14:paraId="06D0AB42" w14:textId="77777777" w:rsidR="009F7F8A" w:rsidRPr="00AC3044" w:rsidRDefault="009F7F8A" w:rsidP="009F7F8A">
            <w:pPr>
              <w:rPr>
                <w:rFonts w:eastAsia="SimSun"/>
              </w:rPr>
            </w:pPr>
            <w:r w:rsidRPr="00AC3044">
              <w:rPr>
                <w:rFonts w:eastAsia="SimSun"/>
              </w:rPr>
              <w:t>С –4 по –2 день</w:t>
            </w:r>
          </w:p>
        </w:tc>
        <w:tc>
          <w:tcPr>
            <w:tcW w:w="2268" w:type="dxa"/>
            <w:vAlign w:val="center"/>
          </w:tcPr>
          <w:p w14:paraId="0E46B45C"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62A04109" w14:textId="77777777" w:rsidTr="009F7F8A">
        <w:trPr>
          <w:cantSplit/>
          <w:trHeight w:val="20"/>
        </w:trPr>
        <w:tc>
          <w:tcPr>
            <w:tcW w:w="993" w:type="dxa"/>
            <w:vMerge/>
            <w:textDirection w:val="btLr"/>
            <w:vAlign w:val="center"/>
          </w:tcPr>
          <w:p w14:paraId="14E5DD04" w14:textId="77777777" w:rsidR="009F7F8A" w:rsidRPr="00AC3044" w:rsidRDefault="009F7F8A" w:rsidP="009F7F8A">
            <w:pPr>
              <w:rPr>
                <w:rFonts w:eastAsia="SimSun"/>
              </w:rPr>
            </w:pPr>
          </w:p>
        </w:tc>
        <w:tc>
          <w:tcPr>
            <w:tcW w:w="1701" w:type="dxa"/>
            <w:vAlign w:val="center"/>
          </w:tcPr>
          <w:p w14:paraId="515CA630"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6A606111" w14:textId="77777777" w:rsidR="009F7F8A" w:rsidRPr="00AC3044" w:rsidRDefault="009F7F8A" w:rsidP="009F7F8A">
            <w:pPr>
              <w:rPr>
                <w:rFonts w:eastAsia="SimSun"/>
              </w:rPr>
            </w:pPr>
            <w:r w:rsidRPr="00AC3044">
              <w:rPr>
                <w:rFonts w:eastAsia="SimSun"/>
              </w:rPr>
              <w:t>4 мг/кг</w:t>
            </w:r>
          </w:p>
        </w:tc>
        <w:tc>
          <w:tcPr>
            <w:tcW w:w="1418" w:type="dxa"/>
            <w:vAlign w:val="center"/>
          </w:tcPr>
          <w:p w14:paraId="0E78BD05" w14:textId="77777777" w:rsidR="009F7F8A" w:rsidRPr="00AC3044" w:rsidRDefault="009F7F8A" w:rsidP="009F7F8A">
            <w:pPr>
              <w:rPr>
                <w:rFonts w:eastAsia="SimSun"/>
              </w:rPr>
            </w:pPr>
            <w:r w:rsidRPr="00AC3044">
              <w:rPr>
                <w:rFonts w:eastAsia="SimSun"/>
              </w:rPr>
              <w:t>8 мг/кг</w:t>
            </w:r>
          </w:p>
        </w:tc>
        <w:tc>
          <w:tcPr>
            <w:tcW w:w="1701" w:type="dxa"/>
            <w:vAlign w:val="center"/>
          </w:tcPr>
          <w:p w14:paraId="48F81540" w14:textId="77777777" w:rsidR="009F7F8A" w:rsidRPr="00AC3044" w:rsidRDefault="009F7F8A" w:rsidP="009F7F8A">
            <w:pPr>
              <w:rPr>
                <w:rFonts w:eastAsia="SimSun"/>
              </w:rPr>
            </w:pPr>
            <w:r w:rsidRPr="00AC3044">
              <w:rPr>
                <w:rFonts w:eastAsia="SimSun"/>
              </w:rPr>
              <w:t>–3, –2 дни</w:t>
            </w:r>
          </w:p>
        </w:tc>
        <w:tc>
          <w:tcPr>
            <w:tcW w:w="2268" w:type="dxa"/>
            <w:vAlign w:val="center"/>
          </w:tcPr>
          <w:p w14:paraId="70540712"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12E958C4" w14:textId="77777777" w:rsidTr="009F7F8A">
        <w:trPr>
          <w:cantSplit/>
          <w:trHeight w:val="20"/>
        </w:trPr>
        <w:tc>
          <w:tcPr>
            <w:tcW w:w="993" w:type="dxa"/>
            <w:vMerge/>
            <w:textDirection w:val="btLr"/>
            <w:vAlign w:val="center"/>
          </w:tcPr>
          <w:p w14:paraId="38EBEE15" w14:textId="77777777" w:rsidR="009F7F8A" w:rsidRPr="00AC3044" w:rsidRDefault="009F7F8A" w:rsidP="009F7F8A">
            <w:pPr>
              <w:rPr>
                <w:rFonts w:eastAsia="SimSun"/>
              </w:rPr>
            </w:pPr>
          </w:p>
        </w:tc>
        <w:tc>
          <w:tcPr>
            <w:tcW w:w="1701" w:type="dxa"/>
            <w:vAlign w:val="center"/>
          </w:tcPr>
          <w:p w14:paraId="4E19601D" w14:textId="77777777" w:rsidR="009F7F8A" w:rsidRPr="00AC3044" w:rsidRDefault="009F7F8A" w:rsidP="009F7F8A">
            <w:pPr>
              <w:rPr>
                <w:rFonts w:eastAsia="SimSun"/>
              </w:rPr>
            </w:pPr>
            <w:r w:rsidRPr="00AC3044">
              <w:rPr>
                <w:rFonts w:eastAsia="SimSun"/>
              </w:rPr>
              <w:t>Тиотепа</w:t>
            </w:r>
          </w:p>
        </w:tc>
        <w:tc>
          <w:tcPr>
            <w:tcW w:w="1559" w:type="dxa"/>
            <w:vAlign w:val="center"/>
          </w:tcPr>
          <w:p w14:paraId="3E891320" w14:textId="77777777" w:rsidR="009F7F8A" w:rsidRPr="00AC3044" w:rsidRDefault="009F7F8A" w:rsidP="009F7F8A">
            <w:pPr>
              <w:rPr>
                <w:rFonts w:eastAsia="SimSun"/>
              </w:rPr>
            </w:pPr>
            <w:r w:rsidRPr="00AC3044">
              <w:rPr>
                <w:rFonts w:eastAsia="SimSun"/>
              </w:rPr>
              <w:t>5 мг/кг</w:t>
            </w:r>
          </w:p>
        </w:tc>
        <w:tc>
          <w:tcPr>
            <w:tcW w:w="1418" w:type="dxa"/>
            <w:vAlign w:val="center"/>
          </w:tcPr>
          <w:p w14:paraId="2BAF7D41" w14:textId="77777777" w:rsidR="009F7F8A" w:rsidRPr="00AC3044" w:rsidRDefault="009F7F8A" w:rsidP="009F7F8A">
            <w:pPr>
              <w:rPr>
                <w:rFonts w:eastAsia="SimSun"/>
              </w:rPr>
            </w:pPr>
            <w:r w:rsidRPr="00AC3044">
              <w:rPr>
                <w:rFonts w:eastAsia="SimSun"/>
              </w:rPr>
              <w:t>10 мг/кг</w:t>
            </w:r>
          </w:p>
        </w:tc>
        <w:tc>
          <w:tcPr>
            <w:tcW w:w="1701" w:type="dxa"/>
            <w:vAlign w:val="center"/>
          </w:tcPr>
          <w:p w14:paraId="0664FD29" w14:textId="77777777" w:rsidR="009F7F8A" w:rsidRPr="00AC3044" w:rsidRDefault="009F7F8A" w:rsidP="009F7F8A">
            <w:pPr>
              <w:rPr>
                <w:rFonts w:eastAsia="SimSun"/>
              </w:rPr>
            </w:pPr>
            <w:r w:rsidRPr="00AC3044">
              <w:rPr>
                <w:rFonts w:eastAsia="SimSun"/>
              </w:rPr>
              <w:t>–6,–5 дни</w:t>
            </w:r>
          </w:p>
        </w:tc>
        <w:tc>
          <w:tcPr>
            <w:tcW w:w="2268" w:type="dxa"/>
            <w:vAlign w:val="center"/>
          </w:tcPr>
          <w:p w14:paraId="6B50B980"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6637F6B4" w14:textId="77777777" w:rsidTr="009F7F8A">
        <w:trPr>
          <w:cantSplit/>
          <w:trHeight w:val="20"/>
        </w:trPr>
        <w:tc>
          <w:tcPr>
            <w:tcW w:w="993" w:type="dxa"/>
            <w:vMerge w:val="restart"/>
            <w:textDirection w:val="btLr"/>
            <w:vAlign w:val="center"/>
          </w:tcPr>
          <w:p w14:paraId="1CFF1505"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00D6350A" w14:textId="77777777" w:rsidR="009F7F8A" w:rsidRPr="00AC3044" w:rsidRDefault="009F7F8A" w:rsidP="009F7F8A">
            <w:pPr>
              <w:rPr>
                <w:rFonts w:eastAsia="SimSun"/>
              </w:rPr>
            </w:pPr>
            <w:r w:rsidRPr="00AC3044">
              <w:rPr>
                <w:rFonts w:eastAsia="SimSun"/>
              </w:rPr>
              <w:t>АТГ (кроличий)</w:t>
            </w:r>
          </w:p>
        </w:tc>
        <w:tc>
          <w:tcPr>
            <w:tcW w:w="1559" w:type="dxa"/>
            <w:vAlign w:val="center"/>
          </w:tcPr>
          <w:p w14:paraId="34BD7A67" w14:textId="77777777" w:rsidR="009F7F8A" w:rsidRPr="00AC3044" w:rsidRDefault="009F7F8A" w:rsidP="009F7F8A">
            <w:pPr>
              <w:rPr>
                <w:rFonts w:eastAsia="SimSun"/>
              </w:rPr>
            </w:pPr>
            <w:r w:rsidRPr="00AC3044">
              <w:rPr>
                <w:rFonts w:eastAsia="SimSun"/>
              </w:rPr>
              <w:t>2,5 мг/кг</w:t>
            </w:r>
          </w:p>
        </w:tc>
        <w:tc>
          <w:tcPr>
            <w:tcW w:w="1418" w:type="dxa"/>
            <w:vAlign w:val="center"/>
          </w:tcPr>
          <w:p w14:paraId="640D9CFB" w14:textId="77777777" w:rsidR="009F7F8A" w:rsidRPr="00AC3044" w:rsidRDefault="009F7F8A" w:rsidP="009F7F8A">
            <w:pPr>
              <w:rPr>
                <w:rFonts w:eastAsia="SimSun"/>
              </w:rPr>
            </w:pPr>
            <w:r w:rsidRPr="00AC3044">
              <w:rPr>
                <w:rFonts w:eastAsia="SimSun"/>
              </w:rPr>
              <w:t>5-7,5 мг/кг</w:t>
            </w:r>
          </w:p>
        </w:tc>
        <w:tc>
          <w:tcPr>
            <w:tcW w:w="1701" w:type="dxa"/>
            <w:vAlign w:val="center"/>
          </w:tcPr>
          <w:p w14:paraId="794C2D2C" w14:textId="77777777" w:rsidR="009F7F8A" w:rsidRPr="00AC3044" w:rsidRDefault="009F7F8A" w:rsidP="009F7F8A">
            <w:pPr>
              <w:rPr>
                <w:rFonts w:eastAsia="SimSun"/>
              </w:rPr>
            </w:pPr>
            <w:r w:rsidRPr="00AC3044">
              <w:rPr>
                <w:rFonts w:eastAsia="SimSun"/>
              </w:rPr>
              <w:t>С –3 по –2 (-1) день</w:t>
            </w:r>
          </w:p>
        </w:tc>
        <w:tc>
          <w:tcPr>
            <w:tcW w:w="2268" w:type="dxa"/>
            <w:vAlign w:val="center"/>
          </w:tcPr>
          <w:p w14:paraId="7A6DED5D" w14:textId="77777777" w:rsidR="009F7F8A" w:rsidRPr="00AC3044" w:rsidRDefault="009F7F8A" w:rsidP="009F7F8A">
            <w:pPr>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9F7F8A" w:rsidRPr="00AC3044" w14:paraId="1A2B6A4C" w14:textId="77777777" w:rsidTr="009F7F8A">
        <w:trPr>
          <w:cantSplit/>
          <w:trHeight w:val="20"/>
        </w:trPr>
        <w:tc>
          <w:tcPr>
            <w:tcW w:w="993" w:type="dxa"/>
            <w:vMerge/>
            <w:textDirection w:val="btLr"/>
          </w:tcPr>
          <w:p w14:paraId="0C004337" w14:textId="77777777" w:rsidR="009F7F8A" w:rsidRPr="00AC3044" w:rsidRDefault="009F7F8A" w:rsidP="009F7F8A">
            <w:pPr>
              <w:rPr>
                <w:rFonts w:eastAsia="SimSun"/>
              </w:rPr>
            </w:pPr>
          </w:p>
        </w:tc>
        <w:tc>
          <w:tcPr>
            <w:tcW w:w="1701" w:type="dxa"/>
            <w:vAlign w:val="center"/>
          </w:tcPr>
          <w:p w14:paraId="011F5712" w14:textId="77777777" w:rsidR="009F7F8A" w:rsidRPr="00AC3044" w:rsidRDefault="009F7F8A" w:rsidP="009F7F8A">
            <w:pPr>
              <w:rPr>
                <w:rFonts w:eastAsia="SimSun"/>
              </w:rPr>
            </w:pPr>
            <w:r w:rsidRPr="00AC3044">
              <w:rPr>
                <w:rFonts w:eastAsia="SimSun"/>
              </w:rPr>
              <w:t>Циклоспорин</w:t>
            </w:r>
          </w:p>
        </w:tc>
        <w:tc>
          <w:tcPr>
            <w:tcW w:w="1559" w:type="dxa"/>
            <w:vAlign w:val="center"/>
          </w:tcPr>
          <w:p w14:paraId="2A5C08F5" w14:textId="77777777" w:rsidR="009F7F8A" w:rsidRPr="00AC3044" w:rsidRDefault="009F7F8A" w:rsidP="009F7F8A">
            <w:pPr>
              <w:rPr>
                <w:rFonts w:eastAsia="SimSun"/>
              </w:rPr>
            </w:pPr>
            <w:r w:rsidRPr="00AC3044">
              <w:rPr>
                <w:rFonts w:eastAsia="SimSun"/>
              </w:rPr>
              <w:t>3 мг/кг</w:t>
            </w:r>
          </w:p>
        </w:tc>
        <w:tc>
          <w:tcPr>
            <w:tcW w:w="1418" w:type="dxa"/>
            <w:vAlign w:val="center"/>
          </w:tcPr>
          <w:p w14:paraId="27D07A6B" w14:textId="77777777" w:rsidR="009F7F8A" w:rsidRPr="00AC3044" w:rsidRDefault="009F7F8A" w:rsidP="009F7F8A">
            <w:pPr>
              <w:rPr>
                <w:rFonts w:eastAsia="SimSun"/>
              </w:rPr>
            </w:pPr>
            <w:r w:rsidRPr="00AC3044">
              <w:rPr>
                <w:rFonts w:eastAsia="SimSun"/>
              </w:rPr>
              <w:t>–</w:t>
            </w:r>
          </w:p>
        </w:tc>
        <w:tc>
          <w:tcPr>
            <w:tcW w:w="1701" w:type="dxa"/>
            <w:vAlign w:val="center"/>
          </w:tcPr>
          <w:p w14:paraId="03F530EE" w14:textId="77777777" w:rsidR="009F7F8A" w:rsidRPr="00AC3044" w:rsidRDefault="009F7F8A" w:rsidP="009F7F8A">
            <w:pPr>
              <w:rPr>
                <w:rFonts w:eastAsia="SimSun"/>
              </w:rPr>
            </w:pPr>
            <w:r w:rsidRPr="00AC3044">
              <w:rPr>
                <w:rFonts w:eastAsia="SimSun"/>
              </w:rPr>
              <w:t>С–1 по +90 день, затем постепенное снижение к +180 дню</w:t>
            </w:r>
          </w:p>
        </w:tc>
        <w:tc>
          <w:tcPr>
            <w:tcW w:w="2268" w:type="dxa"/>
            <w:vAlign w:val="center"/>
          </w:tcPr>
          <w:p w14:paraId="7062D251"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6DF3A7E0" w14:textId="77777777" w:rsidTr="009F7F8A">
        <w:trPr>
          <w:cantSplit/>
          <w:trHeight w:val="20"/>
        </w:trPr>
        <w:tc>
          <w:tcPr>
            <w:tcW w:w="993" w:type="dxa"/>
            <w:vMerge/>
          </w:tcPr>
          <w:p w14:paraId="0E99A108" w14:textId="77777777" w:rsidR="009F7F8A" w:rsidRPr="00AC3044" w:rsidRDefault="009F7F8A" w:rsidP="009F7F8A">
            <w:pPr>
              <w:rPr>
                <w:rFonts w:eastAsia="SimSun"/>
              </w:rPr>
            </w:pPr>
          </w:p>
        </w:tc>
        <w:tc>
          <w:tcPr>
            <w:tcW w:w="1701" w:type="dxa"/>
            <w:vMerge w:val="restart"/>
            <w:vAlign w:val="center"/>
          </w:tcPr>
          <w:p w14:paraId="36C364F5" w14:textId="77777777" w:rsidR="009F7F8A" w:rsidRPr="00AC3044" w:rsidRDefault="009F7F8A" w:rsidP="009F7F8A">
            <w:pPr>
              <w:rPr>
                <w:rFonts w:eastAsia="SimSun"/>
              </w:rPr>
            </w:pPr>
            <w:r w:rsidRPr="00AC3044">
              <w:rPr>
                <w:rFonts w:eastAsia="SimSun"/>
              </w:rPr>
              <w:t>Метотрексат</w:t>
            </w:r>
          </w:p>
        </w:tc>
        <w:tc>
          <w:tcPr>
            <w:tcW w:w="1559" w:type="dxa"/>
            <w:vAlign w:val="center"/>
          </w:tcPr>
          <w:p w14:paraId="0104D590" w14:textId="77777777" w:rsidR="009F7F8A" w:rsidRPr="00AC3044" w:rsidRDefault="009F7F8A" w:rsidP="009F7F8A">
            <w:pPr>
              <w:rPr>
                <w:rFonts w:eastAsia="SimSun"/>
              </w:rPr>
            </w:pPr>
            <w:r w:rsidRPr="00AC3044">
              <w:rPr>
                <w:rFonts w:eastAsia="SimSun"/>
              </w:rPr>
              <w:t>15 мг/м</w:t>
            </w:r>
            <w:r w:rsidRPr="00DB259E">
              <w:rPr>
                <w:rFonts w:eastAsia="SimSun"/>
                <w:vertAlign w:val="superscript"/>
              </w:rPr>
              <w:t>2</w:t>
            </w:r>
          </w:p>
        </w:tc>
        <w:tc>
          <w:tcPr>
            <w:tcW w:w="1418" w:type="dxa"/>
            <w:vAlign w:val="center"/>
          </w:tcPr>
          <w:p w14:paraId="31819E86" w14:textId="77777777" w:rsidR="009F7F8A" w:rsidRPr="00AC3044" w:rsidRDefault="009F7F8A" w:rsidP="009F7F8A">
            <w:pPr>
              <w:rPr>
                <w:rFonts w:eastAsia="SimSun"/>
              </w:rPr>
            </w:pPr>
            <w:r w:rsidRPr="00AC3044">
              <w:rPr>
                <w:rFonts w:eastAsia="SimSun"/>
              </w:rPr>
              <w:t>–</w:t>
            </w:r>
          </w:p>
        </w:tc>
        <w:tc>
          <w:tcPr>
            <w:tcW w:w="1701" w:type="dxa"/>
            <w:vAlign w:val="center"/>
          </w:tcPr>
          <w:p w14:paraId="54AB50C6" w14:textId="77777777" w:rsidR="009F7F8A" w:rsidRPr="00AC3044" w:rsidRDefault="009F7F8A" w:rsidP="009F7F8A">
            <w:pPr>
              <w:rPr>
                <w:rFonts w:eastAsia="SimSun"/>
              </w:rPr>
            </w:pPr>
            <w:r w:rsidRPr="00AC3044">
              <w:rPr>
                <w:rFonts w:eastAsia="SimSun"/>
              </w:rPr>
              <w:t>+1 день</w:t>
            </w:r>
          </w:p>
        </w:tc>
        <w:tc>
          <w:tcPr>
            <w:tcW w:w="2268" w:type="dxa"/>
            <w:vAlign w:val="center"/>
          </w:tcPr>
          <w:p w14:paraId="4B4695F5"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6010D842" w14:textId="77777777" w:rsidTr="009F7F8A">
        <w:trPr>
          <w:cantSplit/>
          <w:trHeight w:val="464"/>
        </w:trPr>
        <w:tc>
          <w:tcPr>
            <w:tcW w:w="993" w:type="dxa"/>
            <w:vMerge/>
          </w:tcPr>
          <w:p w14:paraId="377C2E57" w14:textId="77777777" w:rsidR="009F7F8A" w:rsidRPr="00AC3044" w:rsidRDefault="009F7F8A" w:rsidP="009F7F8A">
            <w:pPr>
              <w:rPr>
                <w:rFonts w:eastAsia="SimSun"/>
              </w:rPr>
            </w:pPr>
          </w:p>
        </w:tc>
        <w:tc>
          <w:tcPr>
            <w:tcW w:w="1701" w:type="dxa"/>
            <w:vMerge/>
            <w:vAlign w:val="center"/>
          </w:tcPr>
          <w:p w14:paraId="320AA416" w14:textId="77777777" w:rsidR="009F7F8A" w:rsidRPr="00AC3044" w:rsidRDefault="009F7F8A" w:rsidP="009F7F8A">
            <w:pPr>
              <w:rPr>
                <w:rFonts w:eastAsia="SimSun"/>
              </w:rPr>
            </w:pPr>
          </w:p>
        </w:tc>
        <w:tc>
          <w:tcPr>
            <w:tcW w:w="1559" w:type="dxa"/>
            <w:vAlign w:val="center"/>
          </w:tcPr>
          <w:p w14:paraId="5D45A9B8" w14:textId="77777777" w:rsidR="009F7F8A" w:rsidRPr="00AC3044" w:rsidRDefault="009F7F8A" w:rsidP="009F7F8A">
            <w:pPr>
              <w:rPr>
                <w:rFonts w:eastAsia="SimSun"/>
              </w:rPr>
            </w:pPr>
            <w:r w:rsidRPr="00AC3044">
              <w:rPr>
                <w:rFonts w:eastAsia="SimSun"/>
              </w:rPr>
              <w:t>10 мг/м</w:t>
            </w:r>
            <w:r w:rsidRPr="00DB259E">
              <w:rPr>
                <w:rFonts w:eastAsia="SimSun"/>
                <w:vertAlign w:val="superscript"/>
              </w:rPr>
              <w:t>2</w:t>
            </w:r>
          </w:p>
        </w:tc>
        <w:tc>
          <w:tcPr>
            <w:tcW w:w="1418" w:type="dxa"/>
            <w:vAlign w:val="center"/>
          </w:tcPr>
          <w:p w14:paraId="548CEDDB" w14:textId="77777777" w:rsidR="009F7F8A" w:rsidRPr="00AC3044" w:rsidRDefault="009F7F8A" w:rsidP="009F7F8A">
            <w:pPr>
              <w:rPr>
                <w:rFonts w:eastAsia="SimSun"/>
              </w:rPr>
            </w:pPr>
            <w:r w:rsidRPr="00AC3044">
              <w:rPr>
                <w:rFonts w:eastAsia="SimSun"/>
              </w:rPr>
              <w:t>–</w:t>
            </w:r>
          </w:p>
        </w:tc>
        <w:tc>
          <w:tcPr>
            <w:tcW w:w="1701" w:type="dxa"/>
            <w:vAlign w:val="center"/>
          </w:tcPr>
          <w:p w14:paraId="3D8DC79F" w14:textId="77777777" w:rsidR="009F7F8A" w:rsidRPr="00AC3044" w:rsidRDefault="009F7F8A" w:rsidP="009F7F8A">
            <w:pPr>
              <w:rPr>
                <w:rFonts w:eastAsia="SimSun"/>
              </w:rPr>
            </w:pPr>
            <w:r w:rsidRPr="00AC3044">
              <w:rPr>
                <w:rFonts w:eastAsia="SimSun"/>
              </w:rPr>
              <w:t>+3, +6, +11 дни</w:t>
            </w:r>
          </w:p>
        </w:tc>
        <w:tc>
          <w:tcPr>
            <w:tcW w:w="2268" w:type="dxa"/>
            <w:vAlign w:val="center"/>
          </w:tcPr>
          <w:p w14:paraId="032FE92B"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2CFF4E3A" w14:textId="77777777" w:rsidTr="009F7F8A">
        <w:trPr>
          <w:cantSplit/>
          <w:trHeight w:val="464"/>
        </w:trPr>
        <w:tc>
          <w:tcPr>
            <w:tcW w:w="993" w:type="dxa"/>
            <w:vMerge/>
          </w:tcPr>
          <w:p w14:paraId="01453A51" w14:textId="77777777" w:rsidR="009F7F8A" w:rsidRPr="00AC3044" w:rsidRDefault="009F7F8A" w:rsidP="009F7F8A">
            <w:pPr>
              <w:rPr>
                <w:rFonts w:eastAsia="SimSun"/>
              </w:rPr>
            </w:pPr>
          </w:p>
        </w:tc>
        <w:tc>
          <w:tcPr>
            <w:tcW w:w="1701" w:type="dxa"/>
            <w:vAlign w:val="center"/>
          </w:tcPr>
          <w:p w14:paraId="57DAF3D7"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05C964B7" w14:textId="77777777" w:rsidR="009F7F8A" w:rsidRPr="00AC3044" w:rsidRDefault="009F7F8A" w:rsidP="009F7F8A">
            <w:pPr>
              <w:rPr>
                <w:rFonts w:eastAsia="SimSun"/>
              </w:rPr>
            </w:pPr>
            <w:r w:rsidRPr="00AC3044">
              <w:rPr>
                <w:rFonts w:eastAsia="SimSun"/>
              </w:rPr>
              <w:t>45 мг/кг</w:t>
            </w:r>
          </w:p>
        </w:tc>
        <w:tc>
          <w:tcPr>
            <w:tcW w:w="1418" w:type="dxa"/>
            <w:vAlign w:val="center"/>
          </w:tcPr>
          <w:p w14:paraId="1A2964C0" w14:textId="77777777" w:rsidR="009F7F8A" w:rsidRPr="00AC3044" w:rsidRDefault="009F7F8A" w:rsidP="009F7F8A">
            <w:pPr>
              <w:rPr>
                <w:rFonts w:eastAsia="SimSun"/>
              </w:rPr>
            </w:pPr>
            <w:r w:rsidRPr="00AC3044">
              <w:rPr>
                <w:rFonts w:eastAsia="SimSun"/>
              </w:rPr>
              <w:t>–</w:t>
            </w:r>
          </w:p>
        </w:tc>
        <w:tc>
          <w:tcPr>
            <w:tcW w:w="1701" w:type="dxa"/>
            <w:vAlign w:val="center"/>
          </w:tcPr>
          <w:p w14:paraId="410AC9EE" w14:textId="77777777" w:rsidR="009F7F8A" w:rsidRPr="00AC3044" w:rsidRDefault="009F7F8A" w:rsidP="009F7F8A">
            <w:pPr>
              <w:rPr>
                <w:rFonts w:eastAsia="SimSun"/>
              </w:rPr>
            </w:pPr>
            <w:r w:rsidRPr="00AC3044">
              <w:rPr>
                <w:rFonts w:eastAsia="SimSun"/>
              </w:rPr>
              <w:t>С +1 по +90 день</w:t>
            </w:r>
          </w:p>
        </w:tc>
        <w:tc>
          <w:tcPr>
            <w:tcW w:w="2268" w:type="dxa"/>
            <w:vAlign w:val="center"/>
          </w:tcPr>
          <w:p w14:paraId="55F1816E"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5968C4CF" w14:textId="77777777" w:rsidR="009F7F8A" w:rsidRDefault="009F7F8A" w:rsidP="009F7F8A">
      <w:pPr>
        <w:rPr>
          <w:rFonts w:eastAsia="SimSun"/>
        </w:rPr>
      </w:pPr>
      <w:bookmarkStart w:id="168" w:name="_Toc44401203"/>
    </w:p>
    <w:p w14:paraId="23532CD1"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2.2.3  – Flu150+Bu8+Thio / PT-Cy+ CSA+MMF30</w:t>
      </w:r>
      <w:bookmarkEnd w:id="168"/>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418"/>
        <w:gridCol w:w="1701"/>
        <w:gridCol w:w="2268"/>
      </w:tblGrid>
      <w:tr w:rsidR="009F7F8A" w:rsidRPr="00AC3044" w14:paraId="5EB130C6" w14:textId="77777777" w:rsidTr="009F7F8A">
        <w:trPr>
          <w:cantSplit/>
          <w:trHeight w:val="20"/>
          <w:tblHeader/>
        </w:trPr>
        <w:tc>
          <w:tcPr>
            <w:tcW w:w="993" w:type="dxa"/>
          </w:tcPr>
          <w:p w14:paraId="48EB0BD1" w14:textId="77777777" w:rsidR="009F7F8A" w:rsidRPr="00470D3D" w:rsidRDefault="009F7F8A" w:rsidP="009F7F8A">
            <w:pPr>
              <w:rPr>
                <w:rFonts w:eastAsia="SimSun"/>
              </w:rPr>
            </w:pPr>
          </w:p>
        </w:tc>
        <w:tc>
          <w:tcPr>
            <w:tcW w:w="1701" w:type="dxa"/>
            <w:vAlign w:val="center"/>
          </w:tcPr>
          <w:p w14:paraId="7C312C1C"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0576308D"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223146CC"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5775D514"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5E7C395B"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2FF41D6E" w14:textId="77777777" w:rsidTr="009F7F8A">
        <w:trPr>
          <w:cantSplit/>
          <w:trHeight w:val="20"/>
        </w:trPr>
        <w:tc>
          <w:tcPr>
            <w:tcW w:w="993" w:type="dxa"/>
            <w:vMerge w:val="restart"/>
            <w:textDirection w:val="btLr"/>
            <w:vAlign w:val="center"/>
          </w:tcPr>
          <w:p w14:paraId="4EA8F82A"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4345541A"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55B8320D" w14:textId="77777777" w:rsidR="009F7F8A" w:rsidRPr="00AC3044" w:rsidRDefault="009F7F8A" w:rsidP="009F7F8A">
            <w:pPr>
              <w:rPr>
                <w:rFonts w:eastAsia="SimSun"/>
              </w:rPr>
            </w:pPr>
            <w:r w:rsidRPr="00AC3044">
              <w:rPr>
                <w:rFonts w:eastAsia="SimSun"/>
              </w:rPr>
              <w:t>50 мг/м</w:t>
            </w:r>
            <w:r w:rsidRPr="00DB259E">
              <w:rPr>
                <w:rFonts w:eastAsia="SimSun"/>
                <w:vertAlign w:val="superscript"/>
              </w:rPr>
              <w:t>2</w:t>
            </w:r>
          </w:p>
        </w:tc>
        <w:tc>
          <w:tcPr>
            <w:tcW w:w="1418" w:type="dxa"/>
            <w:vAlign w:val="center"/>
          </w:tcPr>
          <w:p w14:paraId="1664F6F0" w14:textId="77777777" w:rsidR="009F7F8A" w:rsidRPr="00AC3044" w:rsidRDefault="009F7F8A" w:rsidP="009F7F8A">
            <w:pPr>
              <w:rPr>
                <w:rFonts w:eastAsia="SimSun"/>
              </w:rPr>
            </w:pPr>
            <w:r w:rsidRPr="00AC3044">
              <w:rPr>
                <w:rFonts w:eastAsia="SimSun"/>
              </w:rPr>
              <w:t>150 мг/м</w:t>
            </w:r>
            <w:r w:rsidRPr="00DB259E">
              <w:rPr>
                <w:rFonts w:eastAsia="SimSun"/>
                <w:vertAlign w:val="superscript"/>
              </w:rPr>
              <w:t>2</w:t>
            </w:r>
          </w:p>
        </w:tc>
        <w:tc>
          <w:tcPr>
            <w:tcW w:w="1701" w:type="dxa"/>
            <w:vAlign w:val="center"/>
          </w:tcPr>
          <w:p w14:paraId="3A622357" w14:textId="77777777" w:rsidR="009F7F8A" w:rsidRPr="00AC3044" w:rsidRDefault="009F7F8A" w:rsidP="009F7F8A">
            <w:pPr>
              <w:rPr>
                <w:rFonts w:eastAsia="SimSun"/>
              </w:rPr>
            </w:pPr>
            <w:r w:rsidRPr="00AC3044">
              <w:rPr>
                <w:rFonts w:eastAsia="SimSun"/>
              </w:rPr>
              <w:t>С –4 по –2 день</w:t>
            </w:r>
          </w:p>
        </w:tc>
        <w:tc>
          <w:tcPr>
            <w:tcW w:w="2268" w:type="dxa"/>
            <w:vAlign w:val="center"/>
          </w:tcPr>
          <w:p w14:paraId="61F28563"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7B97D8ED" w14:textId="77777777" w:rsidTr="009F7F8A">
        <w:trPr>
          <w:cantSplit/>
          <w:trHeight w:val="560"/>
        </w:trPr>
        <w:tc>
          <w:tcPr>
            <w:tcW w:w="993" w:type="dxa"/>
            <w:vMerge/>
            <w:textDirection w:val="btLr"/>
            <w:vAlign w:val="center"/>
          </w:tcPr>
          <w:p w14:paraId="4319BF1B" w14:textId="77777777" w:rsidR="009F7F8A" w:rsidRPr="00AC3044" w:rsidRDefault="009F7F8A" w:rsidP="009F7F8A">
            <w:pPr>
              <w:rPr>
                <w:rFonts w:eastAsia="SimSun"/>
              </w:rPr>
            </w:pPr>
          </w:p>
        </w:tc>
        <w:tc>
          <w:tcPr>
            <w:tcW w:w="1701" w:type="dxa"/>
            <w:vAlign w:val="center"/>
          </w:tcPr>
          <w:p w14:paraId="4DC546D9"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243BDD15" w14:textId="77777777" w:rsidR="009F7F8A" w:rsidRPr="00AC3044" w:rsidRDefault="009F7F8A" w:rsidP="009F7F8A">
            <w:pPr>
              <w:rPr>
                <w:rFonts w:eastAsia="SimSun"/>
              </w:rPr>
            </w:pPr>
            <w:r w:rsidRPr="00AC3044">
              <w:rPr>
                <w:rFonts w:eastAsia="SimSun"/>
              </w:rPr>
              <w:t>4 мг/кг</w:t>
            </w:r>
          </w:p>
        </w:tc>
        <w:tc>
          <w:tcPr>
            <w:tcW w:w="1418" w:type="dxa"/>
            <w:vAlign w:val="center"/>
          </w:tcPr>
          <w:p w14:paraId="279D37D6" w14:textId="77777777" w:rsidR="009F7F8A" w:rsidRPr="00AC3044" w:rsidRDefault="009F7F8A" w:rsidP="009F7F8A">
            <w:pPr>
              <w:rPr>
                <w:rFonts w:eastAsia="SimSun"/>
              </w:rPr>
            </w:pPr>
            <w:r w:rsidRPr="00AC3044">
              <w:rPr>
                <w:rFonts w:eastAsia="SimSun"/>
              </w:rPr>
              <w:t>8 мг/кг</w:t>
            </w:r>
          </w:p>
        </w:tc>
        <w:tc>
          <w:tcPr>
            <w:tcW w:w="1701" w:type="dxa"/>
            <w:vAlign w:val="center"/>
          </w:tcPr>
          <w:p w14:paraId="5573D1FA" w14:textId="77777777" w:rsidR="009F7F8A" w:rsidRPr="00AC3044" w:rsidRDefault="009F7F8A" w:rsidP="009F7F8A">
            <w:pPr>
              <w:rPr>
                <w:rFonts w:eastAsia="SimSun"/>
              </w:rPr>
            </w:pPr>
            <w:r w:rsidRPr="00AC3044">
              <w:rPr>
                <w:rFonts w:eastAsia="SimSun"/>
              </w:rPr>
              <w:t>–3, –2 дни</w:t>
            </w:r>
          </w:p>
        </w:tc>
        <w:tc>
          <w:tcPr>
            <w:tcW w:w="2268" w:type="dxa"/>
            <w:vAlign w:val="center"/>
          </w:tcPr>
          <w:p w14:paraId="574B375D"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0114BF58" w14:textId="77777777" w:rsidTr="009F7F8A">
        <w:trPr>
          <w:cantSplit/>
          <w:trHeight w:val="809"/>
        </w:trPr>
        <w:tc>
          <w:tcPr>
            <w:tcW w:w="993" w:type="dxa"/>
            <w:vMerge/>
            <w:textDirection w:val="btLr"/>
            <w:vAlign w:val="center"/>
          </w:tcPr>
          <w:p w14:paraId="0B69FCC1" w14:textId="77777777" w:rsidR="009F7F8A" w:rsidRPr="00AC3044" w:rsidRDefault="009F7F8A" w:rsidP="009F7F8A">
            <w:pPr>
              <w:rPr>
                <w:rFonts w:eastAsia="SimSun"/>
              </w:rPr>
            </w:pPr>
          </w:p>
        </w:tc>
        <w:tc>
          <w:tcPr>
            <w:tcW w:w="1701" w:type="dxa"/>
            <w:vAlign w:val="center"/>
          </w:tcPr>
          <w:p w14:paraId="7C1226F1" w14:textId="77777777" w:rsidR="009F7F8A" w:rsidRPr="00AC3044" w:rsidRDefault="009F7F8A" w:rsidP="009F7F8A">
            <w:pPr>
              <w:rPr>
                <w:rFonts w:eastAsia="SimSun"/>
              </w:rPr>
            </w:pPr>
            <w:r w:rsidRPr="00AC3044">
              <w:rPr>
                <w:rFonts w:eastAsia="SimSun"/>
              </w:rPr>
              <w:t>Тиотепа</w:t>
            </w:r>
          </w:p>
        </w:tc>
        <w:tc>
          <w:tcPr>
            <w:tcW w:w="1559" w:type="dxa"/>
            <w:vAlign w:val="center"/>
          </w:tcPr>
          <w:p w14:paraId="5F6CD98B" w14:textId="77777777" w:rsidR="009F7F8A" w:rsidRPr="00AC3044" w:rsidRDefault="009F7F8A" w:rsidP="009F7F8A">
            <w:pPr>
              <w:rPr>
                <w:rFonts w:eastAsia="SimSun"/>
              </w:rPr>
            </w:pPr>
            <w:r w:rsidRPr="00AC3044">
              <w:rPr>
                <w:rFonts w:eastAsia="SimSun"/>
              </w:rPr>
              <w:t>5 мг/кг</w:t>
            </w:r>
          </w:p>
        </w:tc>
        <w:tc>
          <w:tcPr>
            <w:tcW w:w="1418" w:type="dxa"/>
            <w:vAlign w:val="center"/>
          </w:tcPr>
          <w:p w14:paraId="6DE29C35" w14:textId="77777777" w:rsidR="009F7F8A" w:rsidRPr="00AC3044" w:rsidRDefault="009F7F8A" w:rsidP="009F7F8A">
            <w:pPr>
              <w:rPr>
                <w:rFonts w:eastAsia="SimSun"/>
              </w:rPr>
            </w:pPr>
            <w:r w:rsidRPr="00AC3044">
              <w:rPr>
                <w:rFonts w:eastAsia="SimSun"/>
              </w:rPr>
              <w:t>10 мг/кг</w:t>
            </w:r>
          </w:p>
        </w:tc>
        <w:tc>
          <w:tcPr>
            <w:tcW w:w="1701" w:type="dxa"/>
            <w:vAlign w:val="center"/>
          </w:tcPr>
          <w:p w14:paraId="298FA0FB" w14:textId="77777777" w:rsidR="009F7F8A" w:rsidRPr="00AC3044" w:rsidRDefault="009F7F8A" w:rsidP="009F7F8A">
            <w:pPr>
              <w:rPr>
                <w:rFonts w:eastAsia="SimSun"/>
              </w:rPr>
            </w:pPr>
            <w:r w:rsidRPr="00AC3044">
              <w:rPr>
                <w:rFonts w:eastAsia="SimSun"/>
              </w:rPr>
              <w:t>-6,-5 дни</w:t>
            </w:r>
          </w:p>
        </w:tc>
        <w:tc>
          <w:tcPr>
            <w:tcW w:w="2268" w:type="dxa"/>
            <w:vAlign w:val="center"/>
          </w:tcPr>
          <w:p w14:paraId="061F7D40"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2BFAA031" w14:textId="77777777" w:rsidTr="009F7F8A">
        <w:trPr>
          <w:cantSplit/>
          <w:trHeight w:val="1133"/>
        </w:trPr>
        <w:tc>
          <w:tcPr>
            <w:tcW w:w="993" w:type="dxa"/>
            <w:vMerge w:val="restart"/>
            <w:textDirection w:val="btLr"/>
            <w:vAlign w:val="center"/>
          </w:tcPr>
          <w:p w14:paraId="13FD4433"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762E18F7" w14:textId="77777777" w:rsidR="009F7F8A" w:rsidRPr="00AC3044" w:rsidRDefault="009F7F8A" w:rsidP="009F7F8A">
            <w:pPr>
              <w:rPr>
                <w:rFonts w:eastAsia="SimSun"/>
              </w:rPr>
            </w:pPr>
            <w:r w:rsidRPr="00AC3044">
              <w:rPr>
                <w:rFonts w:eastAsia="SimSun"/>
              </w:rPr>
              <w:t>Циклоспорин</w:t>
            </w:r>
          </w:p>
        </w:tc>
        <w:tc>
          <w:tcPr>
            <w:tcW w:w="1559" w:type="dxa"/>
            <w:vAlign w:val="center"/>
          </w:tcPr>
          <w:p w14:paraId="6180A929" w14:textId="77777777" w:rsidR="009F7F8A" w:rsidRPr="00AC3044" w:rsidRDefault="009F7F8A" w:rsidP="009F7F8A">
            <w:pPr>
              <w:rPr>
                <w:rFonts w:eastAsia="SimSun"/>
              </w:rPr>
            </w:pPr>
            <w:r w:rsidRPr="00AC3044">
              <w:rPr>
                <w:rFonts w:eastAsia="SimSun"/>
              </w:rPr>
              <w:t>3 мг/кг</w:t>
            </w:r>
          </w:p>
        </w:tc>
        <w:tc>
          <w:tcPr>
            <w:tcW w:w="1418" w:type="dxa"/>
            <w:vAlign w:val="center"/>
          </w:tcPr>
          <w:p w14:paraId="1FE68202" w14:textId="77777777" w:rsidR="009F7F8A" w:rsidRPr="00AC3044" w:rsidRDefault="009F7F8A" w:rsidP="009F7F8A">
            <w:pPr>
              <w:rPr>
                <w:rFonts w:eastAsia="SimSun"/>
              </w:rPr>
            </w:pPr>
            <w:r w:rsidRPr="00AC3044">
              <w:rPr>
                <w:rFonts w:eastAsia="SimSun"/>
              </w:rPr>
              <w:t>–</w:t>
            </w:r>
          </w:p>
        </w:tc>
        <w:tc>
          <w:tcPr>
            <w:tcW w:w="1701" w:type="dxa"/>
            <w:vAlign w:val="center"/>
          </w:tcPr>
          <w:p w14:paraId="691640B8" w14:textId="77777777" w:rsidR="009F7F8A" w:rsidRPr="00AC3044" w:rsidRDefault="009F7F8A" w:rsidP="009F7F8A">
            <w:pPr>
              <w:rPr>
                <w:rFonts w:eastAsia="SimSun"/>
              </w:rPr>
            </w:pPr>
            <w:r w:rsidRPr="00AC3044">
              <w:rPr>
                <w:rFonts w:eastAsia="SimSun"/>
              </w:rPr>
              <w:t>С +5 дня по +90 день затем постепенное снижение к +180 дню</w:t>
            </w:r>
          </w:p>
        </w:tc>
        <w:tc>
          <w:tcPr>
            <w:tcW w:w="2268" w:type="dxa"/>
            <w:vAlign w:val="center"/>
          </w:tcPr>
          <w:p w14:paraId="15BDC350"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1B78FD4D" w14:textId="77777777" w:rsidTr="009F7F8A">
        <w:trPr>
          <w:cantSplit/>
          <w:trHeight w:val="20"/>
        </w:trPr>
        <w:tc>
          <w:tcPr>
            <w:tcW w:w="993" w:type="dxa"/>
            <w:vMerge/>
            <w:textDirection w:val="btLr"/>
          </w:tcPr>
          <w:p w14:paraId="48E04042" w14:textId="77777777" w:rsidR="009F7F8A" w:rsidRPr="00AC3044" w:rsidRDefault="009F7F8A" w:rsidP="009F7F8A">
            <w:pPr>
              <w:rPr>
                <w:rFonts w:eastAsia="SimSun"/>
              </w:rPr>
            </w:pPr>
          </w:p>
        </w:tc>
        <w:tc>
          <w:tcPr>
            <w:tcW w:w="1701" w:type="dxa"/>
            <w:vAlign w:val="center"/>
          </w:tcPr>
          <w:p w14:paraId="5E0DF041"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57C6C401" w14:textId="77777777" w:rsidR="009F7F8A" w:rsidRPr="00AC3044" w:rsidRDefault="009F7F8A" w:rsidP="009F7F8A">
            <w:pPr>
              <w:rPr>
                <w:rFonts w:eastAsia="SimSun"/>
              </w:rPr>
            </w:pPr>
            <w:r w:rsidRPr="00AC3044">
              <w:rPr>
                <w:rFonts w:eastAsia="SimSun"/>
              </w:rPr>
              <w:t>30 мг/кг</w:t>
            </w:r>
          </w:p>
        </w:tc>
        <w:tc>
          <w:tcPr>
            <w:tcW w:w="1418" w:type="dxa"/>
            <w:vAlign w:val="center"/>
          </w:tcPr>
          <w:p w14:paraId="7F5A44C2" w14:textId="77777777" w:rsidR="009F7F8A" w:rsidRPr="00AC3044" w:rsidRDefault="009F7F8A" w:rsidP="009F7F8A">
            <w:pPr>
              <w:rPr>
                <w:rFonts w:eastAsia="SimSun"/>
              </w:rPr>
            </w:pPr>
            <w:r w:rsidRPr="00AC3044">
              <w:rPr>
                <w:rFonts w:eastAsia="SimSun"/>
              </w:rPr>
              <w:t>–</w:t>
            </w:r>
          </w:p>
        </w:tc>
        <w:tc>
          <w:tcPr>
            <w:tcW w:w="1701" w:type="dxa"/>
            <w:vAlign w:val="center"/>
          </w:tcPr>
          <w:p w14:paraId="450CC3FB" w14:textId="77777777" w:rsidR="009F7F8A" w:rsidRPr="00AC3044" w:rsidRDefault="009F7F8A" w:rsidP="009F7F8A">
            <w:pPr>
              <w:rPr>
                <w:rFonts w:eastAsia="SimSun"/>
              </w:rPr>
            </w:pPr>
            <w:r w:rsidRPr="00AC3044">
              <w:rPr>
                <w:rFonts w:eastAsia="SimSun"/>
              </w:rPr>
              <w:t>С +5 по +90 день</w:t>
            </w:r>
          </w:p>
        </w:tc>
        <w:tc>
          <w:tcPr>
            <w:tcW w:w="2268" w:type="dxa"/>
            <w:vAlign w:val="center"/>
          </w:tcPr>
          <w:p w14:paraId="15C7579E"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9F7F8A" w:rsidRPr="00AC3044" w14:paraId="52C0CC52" w14:textId="77777777" w:rsidTr="009F7F8A">
        <w:trPr>
          <w:cantSplit/>
          <w:trHeight w:val="20"/>
        </w:trPr>
        <w:tc>
          <w:tcPr>
            <w:tcW w:w="993" w:type="dxa"/>
            <w:vMerge/>
            <w:textDirection w:val="btLr"/>
          </w:tcPr>
          <w:p w14:paraId="0B9A2F98" w14:textId="77777777" w:rsidR="009F7F8A" w:rsidRPr="00AC3044" w:rsidRDefault="009F7F8A" w:rsidP="009F7F8A">
            <w:pPr>
              <w:rPr>
                <w:rFonts w:eastAsia="SimSun"/>
              </w:rPr>
            </w:pPr>
          </w:p>
        </w:tc>
        <w:tc>
          <w:tcPr>
            <w:tcW w:w="1701" w:type="dxa"/>
            <w:vAlign w:val="center"/>
          </w:tcPr>
          <w:p w14:paraId="35208BAC"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3C9B1AD4"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25610C96"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172C9A9B" w14:textId="77777777" w:rsidR="009F7F8A" w:rsidRPr="00AC3044" w:rsidRDefault="009F7F8A" w:rsidP="009F7F8A">
            <w:pPr>
              <w:rPr>
                <w:rFonts w:eastAsia="SimSun"/>
              </w:rPr>
            </w:pPr>
            <w:r w:rsidRPr="00AC3044">
              <w:rPr>
                <w:rFonts w:eastAsia="SimSun"/>
              </w:rPr>
              <w:t xml:space="preserve">+3,+4 дни </w:t>
            </w:r>
          </w:p>
        </w:tc>
        <w:tc>
          <w:tcPr>
            <w:tcW w:w="2268" w:type="dxa"/>
            <w:vAlign w:val="center"/>
          </w:tcPr>
          <w:p w14:paraId="2533E40F" w14:textId="77777777" w:rsidR="009F7F8A" w:rsidRPr="00AC3044" w:rsidRDefault="009F7F8A" w:rsidP="009F7F8A">
            <w:pPr>
              <w:rPr>
                <w:rFonts w:eastAsia="SimSun"/>
              </w:rPr>
            </w:pPr>
            <w:r w:rsidRPr="00AC3044">
              <w:rPr>
                <w:rFonts w:eastAsia="SimSun"/>
              </w:rPr>
              <w:t>В/в, в течение 2 часов</w:t>
            </w:r>
          </w:p>
        </w:tc>
      </w:tr>
    </w:tbl>
    <w:p w14:paraId="496B3A75" w14:textId="77777777" w:rsidR="009F7F8A" w:rsidRPr="00C07B2E" w:rsidRDefault="009F7F8A" w:rsidP="009F7F8A">
      <w:pPr>
        <w:rPr>
          <w:rFonts w:eastAsia="SimSun"/>
        </w:rPr>
      </w:pPr>
    </w:p>
    <w:p w14:paraId="31AE7E16" w14:textId="77777777" w:rsidR="009F7F8A" w:rsidRPr="00C07B2E" w:rsidRDefault="009F7F8A" w:rsidP="009F7F8A">
      <w:pPr>
        <w:rPr>
          <w:rFonts w:eastAsia="SimSun"/>
        </w:rPr>
      </w:pPr>
      <w:bookmarkStart w:id="169" w:name="_Toc44401204"/>
      <w:r w:rsidRPr="00042499">
        <w:rPr>
          <w:rFonts w:eastAsia="SimSun"/>
        </w:rPr>
        <w:t>Таблица</w:t>
      </w:r>
      <w:r w:rsidRPr="00C07B2E">
        <w:rPr>
          <w:rFonts w:eastAsia="SimSun"/>
        </w:rPr>
        <w:t xml:space="preserve"> </w:t>
      </w:r>
      <w:r>
        <w:rPr>
          <w:rFonts w:eastAsia="SimSun"/>
        </w:rPr>
        <w:t>5.</w:t>
      </w:r>
      <w:r w:rsidRPr="00C07B2E">
        <w:rPr>
          <w:rFonts w:eastAsia="SimSun"/>
        </w:rPr>
        <w:t>2.2.4  – Flu150+Bu8+Thio / PT-Cy+ CSA+MMF45</w:t>
      </w:r>
      <w:bookmarkEnd w:id="169"/>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9F7F8A" w:rsidRPr="00AC3044" w14:paraId="251CB0A1" w14:textId="77777777" w:rsidTr="009F7F8A">
        <w:trPr>
          <w:cantSplit/>
          <w:trHeight w:val="20"/>
          <w:tblHeader/>
        </w:trPr>
        <w:tc>
          <w:tcPr>
            <w:tcW w:w="851" w:type="dxa"/>
          </w:tcPr>
          <w:p w14:paraId="0E27D4D5" w14:textId="77777777" w:rsidR="009F7F8A" w:rsidRPr="00470D3D" w:rsidRDefault="009F7F8A" w:rsidP="009F7F8A">
            <w:pPr>
              <w:rPr>
                <w:rFonts w:eastAsia="SimSun"/>
              </w:rPr>
            </w:pPr>
          </w:p>
        </w:tc>
        <w:tc>
          <w:tcPr>
            <w:tcW w:w="1701" w:type="dxa"/>
            <w:vAlign w:val="center"/>
          </w:tcPr>
          <w:p w14:paraId="291CA3C1"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4AC2FBAE"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353E1083"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290C4450"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56A578EB"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0591983A" w14:textId="77777777" w:rsidTr="009F7F8A">
        <w:trPr>
          <w:cantSplit/>
          <w:trHeight w:val="20"/>
        </w:trPr>
        <w:tc>
          <w:tcPr>
            <w:tcW w:w="851" w:type="dxa"/>
            <w:vMerge w:val="restart"/>
            <w:textDirection w:val="btLr"/>
            <w:vAlign w:val="center"/>
          </w:tcPr>
          <w:p w14:paraId="58B0E17C"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14C73973"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39F3BDBB" w14:textId="77777777" w:rsidR="009F7F8A" w:rsidRPr="00AC3044" w:rsidRDefault="009F7F8A" w:rsidP="009F7F8A">
            <w:pPr>
              <w:rPr>
                <w:rFonts w:eastAsia="SimSun"/>
              </w:rPr>
            </w:pPr>
            <w:r w:rsidRPr="00AC3044">
              <w:rPr>
                <w:rFonts w:eastAsia="SimSun"/>
              </w:rPr>
              <w:t>50 мг/м</w:t>
            </w:r>
            <w:r w:rsidRPr="00DB259E">
              <w:rPr>
                <w:rFonts w:eastAsia="SimSun"/>
                <w:vertAlign w:val="superscript"/>
              </w:rPr>
              <w:t>2</w:t>
            </w:r>
          </w:p>
        </w:tc>
        <w:tc>
          <w:tcPr>
            <w:tcW w:w="1418" w:type="dxa"/>
            <w:vAlign w:val="center"/>
          </w:tcPr>
          <w:p w14:paraId="56C27750" w14:textId="77777777" w:rsidR="009F7F8A" w:rsidRPr="00AC3044" w:rsidRDefault="009F7F8A" w:rsidP="009F7F8A">
            <w:pPr>
              <w:rPr>
                <w:rFonts w:eastAsia="SimSun"/>
              </w:rPr>
            </w:pPr>
            <w:r w:rsidRPr="00AC3044">
              <w:rPr>
                <w:rFonts w:eastAsia="SimSun"/>
              </w:rPr>
              <w:t>150 мг/м</w:t>
            </w:r>
            <w:r w:rsidRPr="00DB259E">
              <w:rPr>
                <w:rFonts w:eastAsia="SimSun"/>
                <w:vertAlign w:val="superscript"/>
              </w:rPr>
              <w:t>2</w:t>
            </w:r>
          </w:p>
        </w:tc>
        <w:tc>
          <w:tcPr>
            <w:tcW w:w="1701" w:type="dxa"/>
            <w:vAlign w:val="center"/>
          </w:tcPr>
          <w:p w14:paraId="7D6823BB" w14:textId="77777777" w:rsidR="009F7F8A" w:rsidRPr="00AC3044" w:rsidRDefault="009F7F8A" w:rsidP="009F7F8A">
            <w:pPr>
              <w:rPr>
                <w:rFonts w:eastAsia="SimSun"/>
              </w:rPr>
            </w:pPr>
            <w:r w:rsidRPr="00AC3044">
              <w:rPr>
                <w:rFonts w:eastAsia="SimSun"/>
              </w:rPr>
              <w:t>С –4 по –2 день</w:t>
            </w:r>
          </w:p>
        </w:tc>
        <w:tc>
          <w:tcPr>
            <w:tcW w:w="2268" w:type="dxa"/>
            <w:vAlign w:val="center"/>
          </w:tcPr>
          <w:p w14:paraId="1F2FBDD0"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2C1553B1" w14:textId="77777777" w:rsidTr="009F7F8A">
        <w:trPr>
          <w:cantSplit/>
          <w:trHeight w:val="1015"/>
        </w:trPr>
        <w:tc>
          <w:tcPr>
            <w:tcW w:w="851" w:type="dxa"/>
            <w:vMerge/>
            <w:textDirection w:val="btLr"/>
            <w:vAlign w:val="center"/>
          </w:tcPr>
          <w:p w14:paraId="3D899D5F" w14:textId="77777777" w:rsidR="009F7F8A" w:rsidRPr="00AC3044" w:rsidRDefault="009F7F8A" w:rsidP="009F7F8A">
            <w:pPr>
              <w:rPr>
                <w:rFonts w:eastAsia="SimSun"/>
              </w:rPr>
            </w:pPr>
          </w:p>
        </w:tc>
        <w:tc>
          <w:tcPr>
            <w:tcW w:w="1701" w:type="dxa"/>
            <w:vAlign w:val="center"/>
          </w:tcPr>
          <w:p w14:paraId="6367171B"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04EE5F99" w14:textId="77777777" w:rsidR="009F7F8A" w:rsidRPr="00AC3044" w:rsidRDefault="009F7F8A" w:rsidP="009F7F8A">
            <w:pPr>
              <w:rPr>
                <w:rFonts w:eastAsia="SimSun"/>
              </w:rPr>
            </w:pPr>
            <w:r w:rsidRPr="00AC3044">
              <w:rPr>
                <w:rFonts w:eastAsia="SimSun"/>
              </w:rPr>
              <w:t>4 мг/кг</w:t>
            </w:r>
          </w:p>
        </w:tc>
        <w:tc>
          <w:tcPr>
            <w:tcW w:w="1418" w:type="dxa"/>
            <w:vAlign w:val="center"/>
          </w:tcPr>
          <w:p w14:paraId="47D61C91" w14:textId="77777777" w:rsidR="009F7F8A" w:rsidRPr="00AC3044" w:rsidRDefault="009F7F8A" w:rsidP="009F7F8A">
            <w:pPr>
              <w:rPr>
                <w:rFonts w:eastAsia="SimSun"/>
              </w:rPr>
            </w:pPr>
            <w:r w:rsidRPr="00AC3044">
              <w:rPr>
                <w:rFonts w:eastAsia="SimSun"/>
              </w:rPr>
              <w:t>8 мг/кг</w:t>
            </w:r>
          </w:p>
        </w:tc>
        <w:tc>
          <w:tcPr>
            <w:tcW w:w="1701" w:type="dxa"/>
            <w:vAlign w:val="center"/>
          </w:tcPr>
          <w:p w14:paraId="7C12B20D" w14:textId="77777777" w:rsidR="009F7F8A" w:rsidRPr="00AC3044" w:rsidRDefault="009F7F8A" w:rsidP="009F7F8A">
            <w:pPr>
              <w:rPr>
                <w:rFonts w:eastAsia="SimSun"/>
              </w:rPr>
            </w:pPr>
            <w:r w:rsidRPr="00AC3044">
              <w:rPr>
                <w:rFonts w:eastAsia="SimSun"/>
              </w:rPr>
              <w:t>–3, –2 дни</w:t>
            </w:r>
          </w:p>
        </w:tc>
        <w:tc>
          <w:tcPr>
            <w:tcW w:w="2268" w:type="dxa"/>
            <w:vAlign w:val="center"/>
          </w:tcPr>
          <w:p w14:paraId="74459295"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2FB2DA66" w14:textId="77777777" w:rsidTr="009F7F8A">
        <w:trPr>
          <w:cantSplit/>
          <w:trHeight w:val="238"/>
        </w:trPr>
        <w:tc>
          <w:tcPr>
            <w:tcW w:w="851" w:type="dxa"/>
            <w:vMerge/>
            <w:textDirection w:val="btLr"/>
            <w:vAlign w:val="center"/>
          </w:tcPr>
          <w:p w14:paraId="493886FD" w14:textId="77777777" w:rsidR="009F7F8A" w:rsidRPr="00AC3044" w:rsidRDefault="009F7F8A" w:rsidP="009F7F8A">
            <w:pPr>
              <w:rPr>
                <w:rFonts w:eastAsia="SimSun"/>
              </w:rPr>
            </w:pPr>
          </w:p>
        </w:tc>
        <w:tc>
          <w:tcPr>
            <w:tcW w:w="1701" w:type="dxa"/>
            <w:vAlign w:val="center"/>
          </w:tcPr>
          <w:p w14:paraId="189F8203" w14:textId="77777777" w:rsidR="009F7F8A" w:rsidRPr="00AC3044" w:rsidRDefault="009F7F8A" w:rsidP="009F7F8A">
            <w:pPr>
              <w:rPr>
                <w:rFonts w:eastAsia="SimSun"/>
              </w:rPr>
            </w:pPr>
            <w:r w:rsidRPr="00AC3044">
              <w:rPr>
                <w:rFonts w:eastAsia="SimSun"/>
              </w:rPr>
              <w:t>Тиотепа</w:t>
            </w:r>
          </w:p>
        </w:tc>
        <w:tc>
          <w:tcPr>
            <w:tcW w:w="1559" w:type="dxa"/>
            <w:vAlign w:val="center"/>
          </w:tcPr>
          <w:p w14:paraId="3A4B685C" w14:textId="77777777" w:rsidR="009F7F8A" w:rsidRPr="00AC3044" w:rsidRDefault="009F7F8A" w:rsidP="009F7F8A">
            <w:pPr>
              <w:rPr>
                <w:rFonts w:eastAsia="SimSun"/>
              </w:rPr>
            </w:pPr>
            <w:r w:rsidRPr="00AC3044">
              <w:rPr>
                <w:rFonts w:eastAsia="SimSun"/>
              </w:rPr>
              <w:t>5 мг/кг</w:t>
            </w:r>
          </w:p>
        </w:tc>
        <w:tc>
          <w:tcPr>
            <w:tcW w:w="1418" w:type="dxa"/>
            <w:vAlign w:val="center"/>
          </w:tcPr>
          <w:p w14:paraId="79EF5EE5" w14:textId="77777777" w:rsidR="009F7F8A" w:rsidRPr="00AC3044" w:rsidRDefault="009F7F8A" w:rsidP="009F7F8A">
            <w:pPr>
              <w:rPr>
                <w:rFonts w:eastAsia="SimSun"/>
              </w:rPr>
            </w:pPr>
            <w:r w:rsidRPr="00AC3044">
              <w:rPr>
                <w:rFonts w:eastAsia="SimSun"/>
              </w:rPr>
              <w:t>10 мг/кг</w:t>
            </w:r>
          </w:p>
        </w:tc>
        <w:tc>
          <w:tcPr>
            <w:tcW w:w="1701" w:type="dxa"/>
            <w:vAlign w:val="center"/>
          </w:tcPr>
          <w:p w14:paraId="6F187059" w14:textId="77777777" w:rsidR="009F7F8A" w:rsidRPr="00AC3044" w:rsidRDefault="009F7F8A" w:rsidP="009F7F8A">
            <w:pPr>
              <w:rPr>
                <w:rFonts w:eastAsia="SimSun"/>
              </w:rPr>
            </w:pPr>
            <w:r w:rsidRPr="00AC3044">
              <w:rPr>
                <w:rFonts w:eastAsia="SimSun"/>
              </w:rPr>
              <w:t>-6,-5 дни</w:t>
            </w:r>
          </w:p>
        </w:tc>
        <w:tc>
          <w:tcPr>
            <w:tcW w:w="2268" w:type="dxa"/>
            <w:vAlign w:val="center"/>
          </w:tcPr>
          <w:p w14:paraId="179AFB99"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39F0C22D" w14:textId="77777777" w:rsidTr="009F7F8A">
        <w:trPr>
          <w:cantSplit/>
          <w:trHeight w:val="2464"/>
        </w:trPr>
        <w:tc>
          <w:tcPr>
            <w:tcW w:w="851" w:type="dxa"/>
            <w:vMerge w:val="restart"/>
            <w:textDirection w:val="btLr"/>
            <w:vAlign w:val="center"/>
          </w:tcPr>
          <w:p w14:paraId="7B714F45"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44FB1090" w14:textId="77777777" w:rsidR="009F7F8A" w:rsidRPr="00AC3044" w:rsidRDefault="009F7F8A" w:rsidP="009F7F8A">
            <w:pPr>
              <w:rPr>
                <w:rFonts w:eastAsia="SimSun"/>
              </w:rPr>
            </w:pPr>
            <w:r w:rsidRPr="00AC3044">
              <w:rPr>
                <w:rFonts w:eastAsia="SimSun"/>
              </w:rPr>
              <w:t>Циклоспорин</w:t>
            </w:r>
          </w:p>
        </w:tc>
        <w:tc>
          <w:tcPr>
            <w:tcW w:w="1559" w:type="dxa"/>
            <w:vAlign w:val="center"/>
          </w:tcPr>
          <w:p w14:paraId="6EB73FF3" w14:textId="77777777" w:rsidR="009F7F8A" w:rsidRPr="00AC3044" w:rsidRDefault="009F7F8A" w:rsidP="009F7F8A">
            <w:pPr>
              <w:rPr>
                <w:rFonts w:eastAsia="SimSun"/>
              </w:rPr>
            </w:pPr>
            <w:r w:rsidRPr="00AC3044">
              <w:rPr>
                <w:rFonts w:eastAsia="SimSun"/>
              </w:rPr>
              <w:t>3 мг/кг</w:t>
            </w:r>
          </w:p>
        </w:tc>
        <w:tc>
          <w:tcPr>
            <w:tcW w:w="1418" w:type="dxa"/>
            <w:vAlign w:val="center"/>
          </w:tcPr>
          <w:p w14:paraId="071D2CBD" w14:textId="77777777" w:rsidR="009F7F8A" w:rsidRPr="00AC3044" w:rsidRDefault="009F7F8A" w:rsidP="009F7F8A">
            <w:pPr>
              <w:rPr>
                <w:rFonts w:eastAsia="SimSun"/>
              </w:rPr>
            </w:pPr>
            <w:r w:rsidRPr="00AC3044">
              <w:rPr>
                <w:rFonts w:eastAsia="SimSun"/>
              </w:rPr>
              <w:t>–</w:t>
            </w:r>
          </w:p>
        </w:tc>
        <w:tc>
          <w:tcPr>
            <w:tcW w:w="1701" w:type="dxa"/>
            <w:vAlign w:val="center"/>
          </w:tcPr>
          <w:p w14:paraId="054A1206" w14:textId="77777777" w:rsidR="009F7F8A" w:rsidRPr="00AC3044" w:rsidRDefault="009F7F8A" w:rsidP="009F7F8A">
            <w:pPr>
              <w:rPr>
                <w:rFonts w:eastAsia="SimSun"/>
              </w:rPr>
            </w:pPr>
            <w:r w:rsidRPr="00AC3044">
              <w:rPr>
                <w:rFonts w:eastAsia="SimSun"/>
              </w:rPr>
              <w:t>С +5 дня по +90 день затем постепенное снижение к +180 дню</w:t>
            </w:r>
          </w:p>
        </w:tc>
        <w:tc>
          <w:tcPr>
            <w:tcW w:w="2268" w:type="dxa"/>
            <w:vAlign w:val="center"/>
          </w:tcPr>
          <w:p w14:paraId="05A22EF9"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634C7CA0" w14:textId="77777777" w:rsidTr="009F7F8A">
        <w:trPr>
          <w:cantSplit/>
          <w:trHeight w:val="20"/>
        </w:trPr>
        <w:tc>
          <w:tcPr>
            <w:tcW w:w="851" w:type="dxa"/>
            <w:vMerge/>
            <w:textDirection w:val="btLr"/>
          </w:tcPr>
          <w:p w14:paraId="64560945" w14:textId="77777777" w:rsidR="009F7F8A" w:rsidRPr="00AC3044" w:rsidRDefault="009F7F8A" w:rsidP="009F7F8A">
            <w:pPr>
              <w:rPr>
                <w:rFonts w:eastAsia="SimSun"/>
              </w:rPr>
            </w:pPr>
          </w:p>
        </w:tc>
        <w:tc>
          <w:tcPr>
            <w:tcW w:w="1701" w:type="dxa"/>
            <w:vAlign w:val="center"/>
          </w:tcPr>
          <w:p w14:paraId="53AE7C80"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67EB0B92" w14:textId="77777777" w:rsidR="009F7F8A" w:rsidRPr="00AC3044" w:rsidRDefault="009F7F8A" w:rsidP="009F7F8A">
            <w:pPr>
              <w:rPr>
                <w:rFonts w:eastAsia="SimSun"/>
              </w:rPr>
            </w:pPr>
            <w:r w:rsidRPr="00AC3044">
              <w:rPr>
                <w:rFonts w:eastAsia="SimSun"/>
              </w:rPr>
              <w:t>45 мг/кг</w:t>
            </w:r>
          </w:p>
        </w:tc>
        <w:tc>
          <w:tcPr>
            <w:tcW w:w="1418" w:type="dxa"/>
            <w:vAlign w:val="center"/>
          </w:tcPr>
          <w:p w14:paraId="3F27CE69" w14:textId="77777777" w:rsidR="009F7F8A" w:rsidRPr="00AC3044" w:rsidRDefault="009F7F8A" w:rsidP="009F7F8A">
            <w:pPr>
              <w:rPr>
                <w:rFonts w:eastAsia="SimSun"/>
              </w:rPr>
            </w:pPr>
            <w:r w:rsidRPr="00AC3044">
              <w:rPr>
                <w:rFonts w:eastAsia="SimSun"/>
              </w:rPr>
              <w:t>–</w:t>
            </w:r>
          </w:p>
        </w:tc>
        <w:tc>
          <w:tcPr>
            <w:tcW w:w="1701" w:type="dxa"/>
            <w:vAlign w:val="center"/>
          </w:tcPr>
          <w:p w14:paraId="75265AF9" w14:textId="77777777" w:rsidR="009F7F8A" w:rsidRPr="00AC3044" w:rsidRDefault="009F7F8A" w:rsidP="009F7F8A">
            <w:pPr>
              <w:rPr>
                <w:rFonts w:eastAsia="SimSun"/>
              </w:rPr>
            </w:pPr>
            <w:r w:rsidRPr="00AC3044">
              <w:rPr>
                <w:rFonts w:eastAsia="SimSun"/>
              </w:rPr>
              <w:t>С +5 по +90 день</w:t>
            </w:r>
          </w:p>
        </w:tc>
        <w:tc>
          <w:tcPr>
            <w:tcW w:w="2268" w:type="dxa"/>
            <w:vAlign w:val="center"/>
          </w:tcPr>
          <w:p w14:paraId="5B7CF193"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r w:rsidR="009F7F8A" w:rsidRPr="00AC3044" w14:paraId="6DFC0BBA" w14:textId="77777777" w:rsidTr="009F7F8A">
        <w:trPr>
          <w:cantSplit/>
          <w:trHeight w:val="20"/>
        </w:trPr>
        <w:tc>
          <w:tcPr>
            <w:tcW w:w="851" w:type="dxa"/>
            <w:vMerge/>
            <w:textDirection w:val="btLr"/>
          </w:tcPr>
          <w:p w14:paraId="0855F95E" w14:textId="77777777" w:rsidR="009F7F8A" w:rsidRPr="00AC3044" w:rsidRDefault="009F7F8A" w:rsidP="009F7F8A">
            <w:pPr>
              <w:rPr>
                <w:rFonts w:eastAsia="SimSun"/>
              </w:rPr>
            </w:pPr>
          </w:p>
        </w:tc>
        <w:tc>
          <w:tcPr>
            <w:tcW w:w="1701" w:type="dxa"/>
            <w:vAlign w:val="center"/>
          </w:tcPr>
          <w:p w14:paraId="654C4C8F"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3B21F9BE"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2176C82A"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64E9BA70" w14:textId="77777777" w:rsidR="009F7F8A" w:rsidRPr="00AC3044" w:rsidRDefault="009F7F8A" w:rsidP="009F7F8A">
            <w:pPr>
              <w:rPr>
                <w:rFonts w:eastAsia="SimSun"/>
              </w:rPr>
            </w:pPr>
            <w:r w:rsidRPr="00AC3044">
              <w:rPr>
                <w:rFonts w:eastAsia="SimSun"/>
              </w:rPr>
              <w:t xml:space="preserve">+3,+4 дни </w:t>
            </w:r>
          </w:p>
        </w:tc>
        <w:tc>
          <w:tcPr>
            <w:tcW w:w="2268" w:type="dxa"/>
            <w:vAlign w:val="center"/>
          </w:tcPr>
          <w:p w14:paraId="75A249F4" w14:textId="77777777" w:rsidR="009F7F8A" w:rsidRPr="00AC3044" w:rsidRDefault="009F7F8A" w:rsidP="009F7F8A">
            <w:pPr>
              <w:rPr>
                <w:rFonts w:eastAsia="SimSun"/>
              </w:rPr>
            </w:pPr>
            <w:r w:rsidRPr="00AC3044">
              <w:rPr>
                <w:rFonts w:eastAsia="SimSun"/>
              </w:rPr>
              <w:t>В/в, в течение 2 часов</w:t>
            </w:r>
          </w:p>
        </w:tc>
      </w:tr>
    </w:tbl>
    <w:p w14:paraId="795AC299" w14:textId="77777777" w:rsidR="009F7F8A" w:rsidRPr="00C07B2E" w:rsidRDefault="009F7F8A" w:rsidP="009F7F8A">
      <w:pPr>
        <w:rPr>
          <w:rFonts w:eastAsia="SimSun"/>
        </w:rPr>
      </w:pPr>
    </w:p>
    <w:p w14:paraId="29E8544E" w14:textId="77777777" w:rsidR="009F7F8A" w:rsidRPr="00C07B2E" w:rsidRDefault="009F7F8A" w:rsidP="009F7F8A">
      <w:pPr>
        <w:rPr>
          <w:rFonts w:eastAsia="SimSun"/>
        </w:rPr>
      </w:pPr>
      <w:bookmarkStart w:id="170" w:name="_Toc44401205"/>
      <w:r w:rsidRPr="00042499">
        <w:rPr>
          <w:rFonts w:eastAsia="SimSun"/>
        </w:rPr>
        <w:t>Таблица</w:t>
      </w:r>
      <w:r w:rsidRPr="00C07B2E">
        <w:rPr>
          <w:rFonts w:eastAsia="SimSun"/>
        </w:rPr>
        <w:t xml:space="preserve"> </w:t>
      </w:r>
      <w:r>
        <w:rPr>
          <w:rFonts w:eastAsia="SimSun"/>
        </w:rPr>
        <w:t>5.</w:t>
      </w:r>
      <w:r w:rsidRPr="00C07B2E">
        <w:rPr>
          <w:rFonts w:eastAsia="SimSun"/>
        </w:rPr>
        <w:t>2.2.5  – Flu180+Bu8 / hATG+CSA+MTX+MMF45</w:t>
      </w:r>
      <w:bookmarkEnd w:id="170"/>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9F7F8A" w:rsidRPr="00AC3044" w14:paraId="56B0D80A" w14:textId="77777777" w:rsidTr="009F7F8A">
        <w:trPr>
          <w:cantSplit/>
          <w:trHeight w:val="20"/>
          <w:tblHeader/>
        </w:trPr>
        <w:tc>
          <w:tcPr>
            <w:tcW w:w="851" w:type="dxa"/>
            <w:vAlign w:val="center"/>
          </w:tcPr>
          <w:p w14:paraId="50F6FD64" w14:textId="77777777" w:rsidR="009F7F8A" w:rsidRPr="00470D3D" w:rsidRDefault="009F7F8A" w:rsidP="009F7F8A">
            <w:pPr>
              <w:rPr>
                <w:rFonts w:eastAsia="SimSun"/>
              </w:rPr>
            </w:pPr>
          </w:p>
        </w:tc>
        <w:tc>
          <w:tcPr>
            <w:tcW w:w="1701" w:type="dxa"/>
            <w:vAlign w:val="center"/>
          </w:tcPr>
          <w:p w14:paraId="2E63C2FD"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443C3FB3"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56647D0F"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681E89C7"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7698959E"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69FE8280" w14:textId="77777777" w:rsidTr="009F7F8A">
        <w:trPr>
          <w:cantSplit/>
          <w:trHeight w:val="20"/>
        </w:trPr>
        <w:tc>
          <w:tcPr>
            <w:tcW w:w="851" w:type="dxa"/>
            <w:vMerge w:val="restart"/>
            <w:textDirection w:val="btLr"/>
            <w:vAlign w:val="center"/>
          </w:tcPr>
          <w:p w14:paraId="595CEB65"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5CBF73E1"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37CD780C" w14:textId="77777777" w:rsidR="009F7F8A" w:rsidRPr="00AC3044" w:rsidRDefault="009F7F8A" w:rsidP="009F7F8A">
            <w:pPr>
              <w:rPr>
                <w:rFonts w:eastAsia="SimSun"/>
              </w:rPr>
            </w:pPr>
            <w:r w:rsidRPr="00AC3044">
              <w:rPr>
                <w:rFonts w:eastAsia="SimSun"/>
              </w:rPr>
              <w:t>30 мг/м</w:t>
            </w:r>
            <w:r w:rsidRPr="00DB259E">
              <w:rPr>
                <w:rFonts w:eastAsia="SimSun"/>
                <w:vertAlign w:val="superscript"/>
              </w:rPr>
              <w:t>2</w:t>
            </w:r>
          </w:p>
        </w:tc>
        <w:tc>
          <w:tcPr>
            <w:tcW w:w="1418" w:type="dxa"/>
            <w:vAlign w:val="center"/>
          </w:tcPr>
          <w:p w14:paraId="6083411E" w14:textId="77777777" w:rsidR="009F7F8A" w:rsidRPr="00AC3044" w:rsidRDefault="009F7F8A" w:rsidP="009F7F8A">
            <w:pPr>
              <w:rPr>
                <w:rFonts w:eastAsia="SimSun"/>
              </w:rPr>
            </w:pPr>
            <w:r w:rsidRPr="00AC3044">
              <w:rPr>
                <w:rFonts w:eastAsia="SimSun"/>
              </w:rPr>
              <w:t>180 мг/м</w:t>
            </w:r>
            <w:r w:rsidRPr="00DB259E">
              <w:rPr>
                <w:rFonts w:eastAsia="SimSun"/>
                <w:vertAlign w:val="superscript"/>
              </w:rPr>
              <w:t>2</w:t>
            </w:r>
          </w:p>
        </w:tc>
        <w:tc>
          <w:tcPr>
            <w:tcW w:w="1701" w:type="dxa"/>
            <w:vAlign w:val="center"/>
          </w:tcPr>
          <w:p w14:paraId="26661728" w14:textId="77777777" w:rsidR="009F7F8A" w:rsidRPr="00AC3044" w:rsidRDefault="009F7F8A" w:rsidP="009F7F8A">
            <w:pPr>
              <w:rPr>
                <w:rFonts w:eastAsia="SimSun"/>
              </w:rPr>
            </w:pPr>
            <w:r w:rsidRPr="00AC3044">
              <w:rPr>
                <w:rFonts w:eastAsia="SimSun"/>
              </w:rPr>
              <w:t>С –10 по –5 день</w:t>
            </w:r>
          </w:p>
        </w:tc>
        <w:tc>
          <w:tcPr>
            <w:tcW w:w="2268" w:type="dxa"/>
            <w:vAlign w:val="center"/>
          </w:tcPr>
          <w:p w14:paraId="35932BA7"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50E60FC1" w14:textId="77777777" w:rsidTr="009F7F8A">
        <w:trPr>
          <w:cantSplit/>
          <w:trHeight w:val="20"/>
        </w:trPr>
        <w:tc>
          <w:tcPr>
            <w:tcW w:w="851" w:type="dxa"/>
            <w:vMerge/>
            <w:textDirection w:val="btLr"/>
            <w:vAlign w:val="center"/>
          </w:tcPr>
          <w:p w14:paraId="63E16AB9" w14:textId="77777777" w:rsidR="009F7F8A" w:rsidRPr="00AC3044" w:rsidRDefault="009F7F8A" w:rsidP="009F7F8A">
            <w:pPr>
              <w:rPr>
                <w:rFonts w:eastAsia="SimSun"/>
              </w:rPr>
            </w:pPr>
          </w:p>
        </w:tc>
        <w:tc>
          <w:tcPr>
            <w:tcW w:w="1701" w:type="dxa"/>
            <w:vAlign w:val="center"/>
          </w:tcPr>
          <w:p w14:paraId="59C82F92"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6FD5D13F" w14:textId="77777777" w:rsidR="009F7F8A" w:rsidRPr="00AC3044" w:rsidRDefault="009F7F8A" w:rsidP="009F7F8A">
            <w:pPr>
              <w:rPr>
                <w:rFonts w:eastAsia="SimSun"/>
              </w:rPr>
            </w:pPr>
            <w:r w:rsidRPr="00AC3044">
              <w:rPr>
                <w:rFonts w:eastAsia="SimSun"/>
              </w:rPr>
              <w:t>4 мг/кг</w:t>
            </w:r>
          </w:p>
        </w:tc>
        <w:tc>
          <w:tcPr>
            <w:tcW w:w="1418" w:type="dxa"/>
            <w:vAlign w:val="center"/>
          </w:tcPr>
          <w:p w14:paraId="78C95C96" w14:textId="77777777" w:rsidR="009F7F8A" w:rsidRPr="00AC3044" w:rsidRDefault="009F7F8A" w:rsidP="009F7F8A">
            <w:pPr>
              <w:rPr>
                <w:rFonts w:eastAsia="SimSun"/>
              </w:rPr>
            </w:pPr>
            <w:r w:rsidRPr="00AC3044">
              <w:rPr>
                <w:rFonts w:eastAsia="SimSun"/>
              </w:rPr>
              <w:t>8 мг/кг</w:t>
            </w:r>
          </w:p>
        </w:tc>
        <w:tc>
          <w:tcPr>
            <w:tcW w:w="1701" w:type="dxa"/>
            <w:vAlign w:val="center"/>
          </w:tcPr>
          <w:p w14:paraId="5FF1ECB0" w14:textId="77777777" w:rsidR="009F7F8A" w:rsidRPr="00AC3044" w:rsidRDefault="009F7F8A" w:rsidP="009F7F8A">
            <w:pPr>
              <w:rPr>
                <w:rFonts w:eastAsia="SimSun"/>
              </w:rPr>
            </w:pPr>
            <w:r w:rsidRPr="00AC3044">
              <w:rPr>
                <w:rFonts w:eastAsia="SimSun"/>
              </w:rPr>
              <w:t>С –6 по –5 день</w:t>
            </w:r>
          </w:p>
        </w:tc>
        <w:tc>
          <w:tcPr>
            <w:tcW w:w="2268" w:type="dxa"/>
            <w:vAlign w:val="center"/>
          </w:tcPr>
          <w:p w14:paraId="5F120210"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62F54933" w14:textId="77777777" w:rsidTr="009F7F8A">
        <w:trPr>
          <w:cantSplit/>
          <w:trHeight w:val="20"/>
        </w:trPr>
        <w:tc>
          <w:tcPr>
            <w:tcW w:w="851" w:type="dxa"/>
            <w:vMerge w:val="restart"/>
            <w:textDirection w:val="btLr"/>
            <w:vAlign w:val="center"/>
          </w:tcPr>
          <w:p w14:paraId="24F74731"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3D72E1BE" w14:textId="77777777" w:rsidR="009F7F8A" w:rsidRPr="00AC3044" w:rsidRDefault="009F7F8A" w:rsidP="009F7F8A">
            <w:pPr>
              <w:rPr>
                <w:rFonts w:eastAsia="SimSun"/>
              </w:rPr>
            </w:pPr>
            <w:r w:rsidRPr="00AC3044">
              <w:rPr>
                <w:rFonts w:eastAsia="SimSun"/>
              </w:rPr>
              <w:t>АТГ (лошадиный)</w:t>
            </w:r>
          </w:p>
        </w:tc>
        <w:tc>
          <w:tcPr>
            <w:tcW w:w="1559" w:type="dxa"/>
            <w:vAlign w:val="center"/>
          </w:tcPr>
          <w:p w14:paraId="7B4AFFAD" w14:textId="77777777" w:rsidR="009F7F8A" w:rsidRPr="00AC3044" w:rsidRDefault="009F7F8A" w:rsidP="009F7F8A">
            <w:pPr>
              <w:rPr>
                <w:rFonts w:eastAsia="SimSun"/>
              </w:rPr>
            </w:pPr>
            <w:r w:rsidRPr="00AC3044">
              <w:rPr>
                <w:rFonts w:eastAsia="SimSun"/>
              </w:rPr>
              <w:t>10-15 мг/кг</w:t>
            </w:r>
          </w:p>
        </w:tc>
        <w:tc>
          <w:tcPr>
            <w:tcW w:w="1418" w:type="dxa"/>
            <w:vAlign w:val="center"/>
          </w:tcPr>
          <w:p w14:paraId="073F7EE5" w14:textId="77777777" w:rsidR="009F7F8A" w:rsidRPr="00AC3044" w:rsidRDefault="009F7F8A" w:rsidP="009F7F8A">
            <w:pPr>
              <w:rPr>
                <w:rFonts w:eastAsia="SimSun"/>
              </w:rPr>
            </w:pPr>
            <w:r w:rsidRPr="00AC3044">
              <w:rPr>
                <w:rFonts w:eastAsia="SimSun"/>
              </w:rPr>
              <w:t>40-60 мг/кг</w:t>
            </w:r>
          </w:p>
        </w:tc>
        <w:tc>
          <w:tcPr>
            <w:tcW w:w="1701" w:type="dxa"/>
            <w:vAlign w:val="center"/>
          </w:tcPr>
          <w:p w14:paraId="29F3D229" w14:textId="77777777" w:rsidR="009F7F8A" w:rsidRPr="00AC3044" w:rsidRDefault="009F7F8A" w:rsidP="009F7F8A">
            <w:pPr>
              <w:rPr>
                <w:rFonts w:eastAsia="SimSun"/>
              </w:rPr>
            </w:pPr>
            <w:r w:rsidRPr="00AC3044">
              <w:rPr>
                <w:rFonts w:eastAsia="SimSun"/>
              </w:rPr>
              <w:t>С –4 по –1 день</w:t>
            </w:r>
          </w:p>
        </w:tc>
        <w:tc>
          <w:tcPr>
            <w:tcW w:w="2268" w:type="dxa"/>
            <w:vAlign w:val="center"/>
          </w:tcPr>
          <w:p w14:paraId="09D246DD" w14:textId="77777777" w:rsidR="009F7F8A" w:rsidRPr="00AC3044" w:rsidRDefault="009F7F8A" w:rsidP="009F7F8A">
            <w:pPr>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9F7F8A" w:rsidRPr="00AC3044" w14:paraId="3B966907" w14:textId="77777777" w:rsidTr="009F7F8A">
        <w:trPr>
          <w:cantSplit/>
          <w:trHeight w:val="20"/>
        </w:trPr>
        <w:tc>
          <w:tcPr>
            <w:tcW w:w="851" w:type="dxa"/>
            <w:vMerge/>
            <w:textDirection w:val="btLr"/>
          </w:tcPr>
          <w:p w14:paraId="77061D37" w14:textId="77777777" w:rsidR="009F7F8A" w:rsidRPr="00AC3044" w:rsidRDefault="009F7F8A" w:rsidP="009F7F8A">
            <w:pPr>
              <w:rPr>
                <w:rFonts w:eastAsia="SimSun"/>
              </w:rPr>
            </w:pPr>
          </w:p>
        </w:tc>
        <w:tc>
          <w:tcPr>
            <w:tcW w:w="1701" w:type="dxa"/>
            <w:vAlign w:val="center"/>
          </w:tcPr>
          <w:p w14:paraId="409BB234" w14:textId="77777777" w:rsidR="009F7F8A" w:rsidRPr="00AC3044" w:rsidRDefault="009F7F8A" w:rsidP="009F7F8A">
            <w:pPr>
              <w:rPr>
                <w:rFonts w:eastAsia="SimSun"/>
              </w:rPr>
            </w:pPr>
            <w:r w:rsidRPr="00AC3044">
              <w:rPr>
                <w:rFonts w:eastAsia="SimSun"/>
              </w:rPr>
              <w:t>Циклоспорин</w:t>
            </w:r>
          </w:p>
        </w:tc>
        <w:tc>
          <w:tcPr>
            <w:tcW w:w="1559" w:type="dxa"/>
            <w:vAlign w:val="center"/>
          </w:tcPr>
          <w:p w14:paraId="30104C09" w14:textId="77777777" w:rsidR="009F7F8A" w:rsidRPr="00AC3044" w:rsidRDefault="009F7F8A" w:rsidP="009F7F8A">
            <w:pPr>
              <w:rPr>
                <w:rFonts w:eastAsia="SimSun"/>
              </w:rPr>
            </w:pPr>
            <w:r w:rsidRPr="00AC3044">
              <w:rPr>
                <w:rFonts w:eastAsia="SimSun"/>
              </w:rPr>
              <w:t>3 мг/кг</w:t>
            </w:r>
          </w:p>
        </w:tc>
        <w:tc>
          <w:tcPr>
            <w:tcW w:w="1418" w:type="dxa"/>
            <w:vAlign w:val="center"/>
          </w:tcPr>
          <w:p w14:paraId="7C41B242" w14:textId="77777777" w:rsidR="009F7F8A" w:rsidRPr="00AC3044" w:rsidRDefault="009F7F8A" w:rsidP="009F7F8A">
            <w:pPr>
              <w:rPr>
                <w:rFonts w:eastAsia="SimSun"/>
              </w:rPr>
            </w:pPr>
            <w:r w:rsidRPr="00AC3044">
              <w:rPr>
                <w:rFonts w:eastAsia="SimSun"/>
              </w:rPr>
              <w:t>–</w:t>
            </w:r>
          </w:p>
        </w:tc>
        <w:tc>
          <w:tcPr>
            <w:tcW w:w="1701" w:type="dxa"/>
            <w:vAlign w:val="center"/>
          </w:tcPr>
          <w:p w14:paraId="7F6088A1" w14:textId="77777777" w:rsidR="009F7F8A" w:rsidRPr="00AC3044" w:rsidRDefault="009F7F8A" w:rsidP="009F7F8A">
            <w:pPr>
              <w:rPr>
                <w:rFonts w:eastAsia="SimSun"/>
              </w:rPr>
            </w:pPr>
            <w:r w:rsidRPr="00AC3044">
              <w:rPr>
                <w:rFonts w:eastAsia="SimSun"/>
              </w:rPr>
              <w:t>С –1 по +90 день, затем постепенное снижение к +180 дню</w:t>
            </w:r>
          </w:p>
        </w:tc>
        <w:tc>
          <w:tcPr>
            <w:tcW w:w="2268" w:type="dxa"/>
            <w:vAlign w:val="center"/>
          </w:tcPr>
          <w:p w14:paraId="35669607"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sidRPr="00DB259E">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370C88AE" w14:textId="77777777" w:rsidTr="009F7F8A">
        <w:trPr>
          <w:cantSplit/>
          <w:trHeight w:val="20"/>
        </w:trPr>
        <w:tc>
          <w:tcPr>
            <w:tcW w:w="851" w:type="dxa"/>
            <w:vMerge/>
          </w:tcPr>
          <w:p w14:paraId="14480D42" w14:textId="77777777" w:rsidR="009F7F8A" w:rsidRPr="00AC3044" w:rsidRDefault="009F7F8A" w:rsidP="009F7F8A">
            <w:pPr>
              <w:rPr>
                <w:rFonts w:eastAsia="SimSun"/>
              </w:rPr>
            </w:pPr>
          </w:p>
        </w:tc>
        <w:tc>
          <w:tcPr>
            <w:tcW w:w="1701" w:type="dxa"/>
            <w:vMerge w:val="restart"/>
            <w:vAlign w:val="center"/>
          </w:tcPr>
          <w:p w14:paraId="2B315D0B" w14:textId="77777777" w:rsidR="009F7F8A" w:rsidRPr="00AC3044" w:rsidRDefault="009F7F8A" w:rsidP="009F7F8A">
            <w:pPr>
              <w:rPr>
                <w:rFonts w:eastAsia="SimSun"/>
              </w:rPr>
            </w:pPr>
            <w:r w:rsidRPr="00AC3044">
              <w:rPr>
                <w:rFonts w:eastAsia="SimSun"/>
              </w:rPr>
              <w:t>Метотрексат</w:t>
            </w:r>
          </w:p>
        </w:tc>
        <w:tc>
          <w:tcPr>
            <w:tcW w:w="1559" w:type="dxa"/>
            <w:vAlign w:val="center"/>
          </w:tcPr>
          <w:p w14:paraId="1FCB2E17" w14:textId="77777777" w:rsidR="009F7F8A" w:rsidRPr="00AC3044" w:rsidRDefault="009F7F8A" w:rsidP="009F7F8A">
            <w:pPr>
              <w:rPr>
                <w:rFonts w:eastAsia="SimSun"/>
              </w:rPr>
            </w:pPr>
            <w:r w:rsidRPr="00AC3044">
              <w:rPr>
                <w:rFonts w:eastAsia="SimSun"/>
              </w:rPr>
              <w:t>15 мг/м</w:t>
            </w:r>
            <w:r w:rsidRPr="00DB259E">
              <w:rPr>
                <w:rFonts w:eastAsia="SimSun"/>
                <w:vertAlign w:val="superscript"/>
              </w:rPr>
              <w:t>2</w:t>
            </w:r>
          </w:p>
        </w:tc>
        <w:tc>
          <w:tcPr>
            <w:tcW w:w="1418" w:type="dxa"/>
            <w:vAlign w:val="center"/>
          </w:tcPr>
          <w:p w14:paraId="50B3D995" w14:textId="77777777" w:rsidR="009F7F8A" w:rsidRPr="00AC3044" w:rsidRDefault="009F7F8A" w:rsidP="009F7F8A">
            <w:pPr>
              <w:rPr>
                <w:rFonts w:eastAsia="SimSun"/>
              </w:rPr>
            </w:pPr>
            <w:r w:rsidRPr="00AC3044">
              <w:rPr>
                <w:rFonts w:eastAsia="SimSun"/>
              </w:rPr>
              <w:t>–</w:t>
            </w:r>
          </w:p>
        </w:tc>
        <w:tc>
          <w:tcPr>
            <w:tcW w:w="1701" w:type="dxa"/>
            <w:vAlign w:val="center"/>
          </w:tcPr>
          <w:p w14:paraId="1EAF0FEF" w14:textId="77777777" w:rsidR="009F7F8A" w:rsidRPr="00AC3044" w:rsidRDefault="009F7F8A" w:rsidP="009F7F8A">
            <w:pPr>
              <w:rPr>
                <w:rFonts w:eastAsia="SimSun"/>
              </w:rPr>
            </w:pPr>
            <w:r w:rsidRPr="00AC3044">
              <w:rPr>
                <w:rFonts w:eastAsia="SimSun"/>
              </w:rPr>
              <w:t>+1 день</w:t>
            </w:r>
          </w:p>
        </w:tc>
        <w:tc>
          <w:tcPr>
            <w:tcW w:w="2268" w:type="dxa"/>
            <w:vAlign w:val="center"/>
          </w:tcPr>
          <w:p w14:paraId="3D02FF65"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61873604" w14:textId="77777777" w:rsidTr="009F7F8A">
        <w:trPr>
          <w:cantSplit/>
          <w:trHeight w:val="464"/>
        </w:trPr>
        <w:tc>
          <w:tcPr>
            <w:tcW w:w="851" w:type="dxa"/>
            <w:vMerge/>
          </w:tcPr>
          <w:p w14:paraId="76E43D85" w14:textId="77777777" w:rsidR="009F7F8A" w:rsidRPr="00AC3044" w:rsidRDefault="009F7F8A" w:rsidP="009F7F8A">
            <w:pPr>
              <w:rPr>
                <w:rFonts w:eastAsia="SimSun"/>
              </w:rPr>
            </w:pPr>
          </w:p>
        </w:tc>
        <w:tc>
          <w:tcPr>
            <w:tcW w:w="1701" w:type="dxa"/>
            <w:vMerge/>
            <w:vAlign w:val="center"/>
          </w:tcPr>
          <w:p w14:paraId="2D190E01" w14:textId="77777777" w:rsidR="009F7F8A" w:rsidRPr="00AC3044" w:rsidRDefault="009F7F8A" w:rsidP="009F7F8A">
            <w:pPr>
              <w:rPr>
                <w:rFonts w:eastAsia="SimSun"/>
              </w:rPr>
            </w:pPr>
          </w:p>
        </w:tc>
        <w:tc>
          <w:tcPr>
            <w:tcW w:w="1559" w:type="dxa"/>
            <w:vAlign w:val="center"/>
          </w:tcPr>
          <w:p w14:paraId="353B0B6A" w14:textId="77777777" w:rsidR="009F7F8A" w:rsidRPr="00AC3044" w:rsidRDefault="009F7F8A" w:rsidP="009F7F8A">
            <w:pPr>
              <w:rPr>
                <w:rFonts w:eastAsia="SimSun"/>
              </w:rPr>
            </w:pPr>
            <w:r w:rsidRPr="00AC3044">
              <w:rPr>
                <w:rFonts w:eastAsia="SimSun"/>
              </w:rPr>
              <w:t>10 мг/м</w:t>
            </w:r>
            <w:r w:rsidRPr="00DB259E">
              <w:rPr>
                <w:rFonts w:eastAsia="SimSun"/>
                <w:vertAlign w:val="superscript"/>
              </w:rPr>
              <w:t>2</w:t>
            </w:r>
          </w:p>
        </w:tc>
        <w:tc>
          <w:tcPr>
            <w:tcW w:w="1418" w:type="dxa"/>
            <w:vAlign w:val="center"/>
          </w:tcPr>
          <w:p w14:paraId="3531AD30" w14:textId="77777777" w:rsidR="009F7F8A" w:rsidRPr="00AC3044" w:rsidRDefault="009F7F8A" w:rsidP="009F7F8A">
            <w:pPr>
              <w:rPr>
                <w:rFonts w:eastAsia="SimSun"/>
              </w:rPr>
            </w:pPr>
            <w:r w:rsidRPr="00AC3044">
              <w:rPr>
                <w:rFonts w:eastAsia="SimSun"/>
              </w:rPr>
              <w:t>–</w:t>
            </w:r>
          </w:p>
        </w:tc>
        <w:tc>
          <w:tcPr>
            <w:tcW w:w="1701" w:type="dxa"/>
            <w:vAlign w:val="center"/>
          </w:tcPr>
          <w:p w14:paraId="4DCDCF72" w14:textId="77777777" w:rsidR="009F7F8A" w:rsidRPr="00AC3044" w:rsidRDefault="009F7F8A" w:rsidP="009F7F8A">
            <w:pPr>
              <w:rPr>
                <w:rFonts w:eastAsia="SimSun"/>
              </w:rPr>
            </w:pPr>
            <w:r w:rsidRPr="00AC3044">
              <w:rPr>
                <w:rFonts w:eastAsia="SimSun"/>
              </w:rPr>
              <w:t>+3, +6, +11 дни</w:t>
            </w:r>
          </w:p>
        </w:tc>
        <w:tc>
          <w:tcPr>
            <w:tcW w:w="2268" w:type="dxa"/>
            <w:vAlign w:val="center"/>
          </w:tcPr>
          <w:p w14:paraId="6B9C2D6A" w14:textId="77777777" w:rsidR="009F7F8A" w:rsidRPr="00AC3044" w:rsidRDefault="009F7F8A" w:rsidP="009F7F8A">
            <w:pPr>
              <w:rPr>
                <w:rFonts w:eastAsia="SimSun"/>
              </w:rPr>
            </w:pPr>
            <w:r w:rsidRPr="00AC3044">
              <w:rPr>
                <w:rFonts w:eastAsia="SimSun"/>
              </w:rPr>
              <w:t>В/в, в 20 мл физ. р-ра</w:t>
            </w:r>
          </w:p>
        </w:tc>
      </w:tr>
      <w:tr w:rsidR="009F7F8A" w:rsidRPr="00AC3044" w14:paraId="48E2A755" w14:textId="77777777" w:rsidTr="009F7F8A">
        <w:trPr>
          <w:cantSplit/>
          <w:trHeight w:val="464"/>
        </w:trPr>
        <w:tc>
          <w:tcPr>
            <w:tcW w:w="851" w:type="dxa"/>
            <w:vMerge/>
          </w:tcPr>
          <w:p w14:paraId="1B3010B2" w14:textId="77777777" w:rsidR="009F7F8A" w:rsidRPr="00AC3044" w:rsidRDefault="009F7F8A" w:rsidP="009F7F8A">
            <w:pPr>
              <w:rPr>
                <w:rFonts w:eastAsia="SimSun"/>
              </w:rPr>
            </w:pPr>
          </w:p>
        </w:tc>
        <w:tc>
          <w:tcPr>
            <w:tcW w:w="1701" w:type="dxa"/>
            <w:vAlign w:val="center"/>
          </w:tcPr>
          <w:p w14:paraId="1DFD3CF4"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171830A3" w14:textId="77777777" w:rsidR="009F7F8A" w:rsidRPr="00AC3044" w:rsidRDefault="009F7F8A" w:rsidP="009F7F8A">
            <w:pPr>
              <w:rPr>
                <w:rFonts w:eastAsia="SimSun"/>
              </w:rPr>
            </w:pPr>
            <w:r w:rsidRPr="00AC3044">
              <w:rPr>
                <w:rFonts w:eastAsia="SimSun"/>
              </w:rPr>
              <w:t>45 мг/кг</w:t>
            </w:r>
          </w:p>
        </w:tc>
        <w:tc>
          <w:tcPr>
            <w:tcW w:w="1418" w:type="dxa"/>
            <w:vAlign w:val="center"/>
          </w:tcPr>
          <w:p w14:paraId="160EA872" w14:textId="77777777" w:rsidR="009F7F8A" w:rsidRPr="00AC3044" w:rsidRDefault="009F7F8A" w:rsidP="009F7F8A">
            <w:pPr>
              <w:rPr>
                <w:rFonts w:eastAsia="SimSun"/>
              </w:rPr>
            </w:pPr>
            <w:r w:rsidRPr="00AC3044">
              <w:rPr>
                <w:rFonts w:eastAsia="SimSun"/>
              </w:rPr>
              <w:t>–</w:t>
            </w:r>
          </w:p>
        </w:tc>
        <w:tc>
          <w:tcPr>
            <w:tcW w:w="1701" w:type="dxa"/>
            <w:vAlign w:val="center"/>
          </w:tcPr>
          <w:p w14:paraId="4B60DEFA" w14:textId="77777777" w:rsidR="009F7F8A" w:rsidRPr="00AC3044" w:rsidRDefault="009F7F8A" w:rsidP="009F7F8A">
            <w:pPr>
              <w:rPr>
                <w:rFonts w:eastAsia="SimSun"/>
              </w:rPr>
            </w:pPr>
            <w:r w:rsidRPr="00AC3044">
              <w:rPr>
                <w:rFonts w:eastAsia="SimSun"/>
              </w:rPr>
              <w:t>С +1 по +90 день</w:t>
            </w:r>
          </w:p>
        </w:tc>
        <w:tc>
          <w:tcPr>
            <w:tcW w:w="2268" w:type="dxa"/>
            <w:vAlign w:val="center"/>
          </w:tcPr>
          <w:p w14:paraId="5E56F42F"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3A3A562D" w14:textId="77777777" w:rsidR="009F7F8A" w:rsidRDefault="009F7F8A" w:rsidP="009F7F8A">
      <w:pPr>
        <w:rPr>
          <w:rFonts w:eastAsia="SimSun"/>
        </w:rPr>
      </w:pPr>
      <w:bookmarkStart w:id="171" w:name="_Toc44401206"/>
    </w:p>
    <w:p w14:paraId="6B08BE35"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2.2.6  – Flu180+Bu8 / rATG+CSA+MTX+MMF45</w:t>
      </w:r>
      <w:bookmarkEnd w:id="171"/>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9F7F8A" w:rsidRPr="00AC3044" w14:paraId="4F3D6EA8" w14:textId="77777777" w:rsidTr="009F7F8A">
        <w:trPr>
          <w:cantSplit/>
          <w:trHeight w:val="20"/>
          <w:tblHeader/>
        </w:trPr>
        <w:tc>
          <w:tcPr>
            <w:tcW w:w="851" w:type="dxa"/>
          </w:tcPr>
          <w:p w14:paraId="4975EA7E" w14:textId="77777777" w:rsidR="009F7F8A" w:rsidRPr="00470D3D" w:rsidRDefault="009F7F8A" w:rsidP="009F7F8A">
            <w:pPr>
              <w:rPr>
                <w:rFonts w:eastAsia="SimSun"/>
              </w:rPr>
            </w:pPr>
          </w:p>
        </w:tc>
        <w:tc>
          <w:tcPr>
            <w:tcW w:w="1701" w:type="dxa"/>
            <w:vAlign w:val="center"/>
          </w:tcPr>
          <w:p w14:paraId="4BB1CBB3"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7EE06964"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02381998"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3D3A7DDD"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07FB501F"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0F26A316" w14:textId="77777777" w:rsidTr="009F7F8A">
        <w:trPr>
          <w:cantSplit/>
          <w:trHeight w:val="20"/>
        </w:trPr>
        <w:tc>
          <w:tcPr>
            <w:tcW w:w="851" w:type="dxa"/>
            <w:vMerge w:val="restart"/>
            <w:textDirection w:val="btLr"/>
            <w:vAlign w:val="center"/>
          </w:tcPr>
          <w:p w14:paraId="02CB021F"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411CFFA2"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1087AF51" w14:textId="77777777" w:rsidR="009F7F8A" w:rsidRPr="00AC3044" w:rsidRDefault="009F7F8A" w:rsidP="009F7F8A">
            <w:pPr>
              <w:rPr>
                <w:rFonts w:eastAsia="SimSun"/>
              </w:rPr>
            </w:pPr>
            <w:r w:rsidRPr="00AC3044">
              <w:rPr>
                <w:rFonts w:eastAsia="SimSun"/>
              </w:rPr>
              <w:t>30 мг/м</w:t>
            </w:r>
            <w:r w:rsidRPr="00DB259E">
              <w:rPr>
                <w:rFonts w:eastAsia="SimSun"/>
                <w:vertAlign w:val="superscript"/>
              </w:rPr>
              <w:t>2</w:t>
            </w:r>
          </w:p>
        </w:tc>
        <w:tc>
          <w:tcPr>
            <w:tcW w:w="1418" w:type="dxa"/>
            <w:vAlign w:val="center"/>
          </w:tcPr>
          <w:p w14:paraId="405D6927" w14:textId="77777777" w:rsidR="009F7F8A" w:rsidRPr="00AC3044" w:rsidRDefault="009F7F8A" w:rsidP="009F7F8A">
            <w:pPr>
              <w:rPr>
                <w:rFonts w:eastAsia="SimSun"/>
              </w:rPr>
            </w:pPr>
            <w:r w:rsidRPr="00AC3044">
              <w:rPr>
                <w:rFonts w:eastAsia="SimSun"/>
              </w:rPr>
              <w:t>180 мг/м</w:t>
            </w:r>
            <w:r w:rsidRPr="00DB259E">
              <w:rPr>
                <w:rFonts w:eastAsia="SimSun"/>
                <w:vertAlign w:val="superscript"/>
              </w:rPr>
              <w:t>2</w:t>
            </w:r>
          </w:p>
        </w:tc>
        <w:tc>
          <w:tcPr>
            <w:tcW w:w="1701" w:type="dxa"/>
            <w:vAlign w:val="center"/>
          </w:tcPr>
          <w:p w14:paraId="5A97D5E2" w14:textId="77777777" w:rsidR="009F7F8A" w:rsidRPr="00AC3044" w:rsidRDefault="009F7F8A" w:rsidP="009F7F8A">
            <w:pPr>
              <w:rPr>
                <w:rFonts w:eastAsia="SimSun"/>
              </w:rPr>
            </w:pPr>
            <w:r w:rsidRPr="00AC3044">
              <w:rPr>
                <w:rFonts w:eastAsia="SimSun"/>
              </w:rPr>
              <w:t>С –9 по –4 день</w:t>
            </w:r>
          </w:p>
        </w:tc>
        <w:tc>
          <w:tcPr>
            <w:tcW w:w="2268" w:type="dxa"/>
            <w:vAlign w:val="center"/>
          </w:tcPr>
          <w:p w14:paraId="0DF51B57"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68A36564" w14:textId="77777777" w:rsidTr="009F7F8A">
        <w:trPr>
          <w:cantSplit/>
          <w:trHeight w:val="20"/>
        </w:trPr>
        <w:tc>
          <w:tcPr>
            <w:tcW w:w="851" w:type="dxa"/>
            <w:vMerge/>
            <w:textDirection w:val="btLr"/>
            <w:vAlign w:val="center"/>
          </w:tcPr>
          <w:p w14:paraId="584B4B99" w14:textId="77777777" w:rsidR="009F7F8A" w:rsidRPr="00AC3044" w:rsidRDefault="009F7F8A" w:rsidP="009F7F8A">
            <w:pPr>
              <w:rPr>
                <w:rFonts w:eastAsia="SimSun"/>
              </w:rPr>
            </w:pPr>
          </w:p>
        </w:tc>
        <w:tc>
          <w:tcPr>
            <w:tcW w:w="1701" w:type="dxa"/>
            <w:vAlign w:val="center"/>
          </w:tcPr>
          <w:p w14:paraId="5BA006CB"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25318E43" w14:textId="77777777" w:rsidR="009F7F8A" w:rsidRPr="00AC3044" w:rsidRDefault="009F7F8A" w:rsidP="009F7F8A">
            <w:pPr>
              <w:rPr>
                <w:rFonts w:eastAsia="SimSun"/>
              </w:rPr>
            </w:pPr>
            <w:r w:rsidRPr="00AC3044">
              <w:rPr>
                <w:rFonts w:eastAsia="SimSun"/>
              </w:rPr>
              <w:t>4 мг/кг</w:t>
            </w:r>
          </w:p>
        </w:tc>
        <w:tc>
          <w:tcPr>
            <w:tcW w:w="1418" w:type="dxa"/>
            <w:vAlign w:val="center"/>
          </w:tcPr>
          <w:p w14:paraId="792B651F" w14:textId="77777777" w:rsidR="009F7F8A" w:rsidRPr="00AC3044" w:rsidRDefault="009F7F8A" w:rsidP="009F7F8A">
            <w:pPr>
              <w:rPr>
                <w:rFonts w:eastAsia="SimSun"/>
              </w:rPr>
            </w:pPr>
            <w:r w:rsidRPr="00AC3044">
              <w:rPr>
                <w:rFonts w:eastAsia="SimSun"/>
              </w:rPr>
              <w:t>8 мг/кг</w:t>
            </w:r>
          </w:p>
        </w:tc>
        <w:tc>
          <w:tcPr>
            <w:tcW w:w="1701" w:type="dxa"/>
            <w:vAlign w:val="center"/>
          </w:tcPr>
          <w:p w14:paraId="10D34CBA" w14:textId="77777777" w:rsidR="009F7F8A" w:rsidRPr="00AC3044" w:rsidRDefault="009F7F8A" w:rsidP="009F7F8A">
            <w:pPr>
              <w:rPr>
                <w:rFonts w:eastAsia="SimSun"/>
              </w:rPr>
            </w:pPr>
            <w:r w:rsidRPr="00AC3044">
              <w:rPr>
                <w:rFonts w:eastAsia="SimSun"/>
              </w:rPr>
              <w:t>С –5 по –4 день</w:t>
            </w:r>
          </w:p>
        </w:tc>
        <w:tc>
          <w:tcPr>
            <w:tcW w:w="2268" w:type="dxa"/>
            <w:vAlign w:val="center"/>
          </w:tcPr>
          <w:p w14:paraId="153335CB"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52C244C6" w14:textId="77777777" w:rsidTr="009F7F8A">
        <w:trPr>
          <w:cantSplit/>
          <w:trHeight w:val="20"/>
        </w:trPr>
        <w:tc>
          <w:tcPr>
            <w:tcW w:w="851" w:type="dxa"/>
            <w:vMerge w:val="restart"/>
            <w:textDirection w:val="btLr"/>
            <w:vAlign w:val="center"/>
          </w:tcPr>
          <w:p w14:paraId="5F759374"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3CA6B916" w14:textId="77777777" w:rsidR="009F7F8A" w:rsidRPr="00AC3044" w:rsidRDefault="009F7F8A" w:rsidP="009F7F8A">
            <w:pPr>
              <w:rPr>
                <w:rFonts w:eastAsia="SimSun"/>
              </w:rPr>
            </w:pPr>
            <w:r w:rsidRPr="00AC3044">
              <w:rPr>
                <w:rFonts w:eastAsia="SimSun"/>
              </w:rPr>
              <w:t>АТГ (кроличий)</w:t>
            </w:r>
          </w:p>
        </w:tc>
        <w:tc>
          <w:tcPr>
            <w:tcW w:w="1559" w:type="dxa"/>
            <w:vAlign w:val="center"/>
          </w:tcPr>
          <w:p w14:paraId="631742B4" w14:textId="77777777" w:rsidR="009F7F8A" w:rsidRPr="00AC3044" w:rsidRDefault="009F7F8A" w:rsidP="009F7F8A">
            <w:pPr>
              <w:rPr>
                <w:rFonts w:eastAsia="SimSun"/>
              </w:rPr>
            </w:pPr>
            <w:r w:rsidRPr="00AC3044">
              <w:rPr>
                <w:rFonts w:eastAsia="SimSun"/>
              </w:rPr>
              <w:t>2,5 мг/кг</w:t>
            </w:r>
          </w:p>
        </w:tc>
        <w:tc>
          <w:tcPr>
            <w:tcW w:w="1418" w:type="dxa"/>
            <w:vAlign w:val="center"/>
          </w:tcPr>
          <w:p w14:paraId="0E66D8B2" w14:textId="77777777" w:rsidR="009F7F8A" w:rsidRPr="00AC3044" w:rsidRDefault="009F7F8A" w:rsidP="009F7F8A">
            <w:pPr>
              <w:rPr>
                <w:rFonts w:eastAsia="SimSun"/>
              </w:rPr>
            </w:pPr>
            <w:r w:rsidRPr="00AC3044">
              <w:rPr>
                <w:rFonts w:eastAsia="SimSun"/>
              </w:rPr>
              <w:t>5- 7,5 мг/кг2</w:t>
            </w:r>
          </w:p>
        </w:tc>
        <w:tc>
          <w:tcPr>
            <w:tcW w:w="1701" w:type="dxa"/>
            <w:vAlign w:val="center"/>
          </w:tcPr>
          <w:p w14:paraId="1A93EE52" w14:textId="77777777" w:rsidR="009F7F8A" w:rsidRPr="00AC3044" w:rsidRDefault="009F7F8A" w:rsidP="009F7F8A">
            <w:pPr>
              <w:rPr>
                <w:rFonts w:eastAsia="SimSun"/>
              </w:rPr>
            </w:pPr>
            <w:r w:rsidRPr="00AC3044">
              <w:rPr>
                <w:rFonts w:eastAsia="SimSun"/>
              </w:rPr>
              <w:t>С –3 по –2 (-1) день</w:t>
            </w:r>
          </w:p>
        </w:tc>
        <w:tc>
          <w:tcPr>
            <w:tcW w:w="2268" w:type="dxa"/>
            <w:vAlign w:val="center"/>
          </w:tcPr>
          <w:p w14:paraId="382A8878" w14:textId="77777777" w:rsidR="009F7F8A" w:rsidRPr="00AC3044" w:rsidRDefault="009F7F8A" w:rsidP="009F7F8A">
            <w:pPr>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9F7F8A" w:rsidRPr="00AC3044" w14:paraId="4725296D" w14:textId="77777777" w:rsidTr="009F7F8A">
        <w:trPr>
          <w:cantSplit/>
          <w:trHeight w:val="20"/>
        </w:trPr>
        <w:tc>
          <w:tcPr>
            <w:tcW w:w="851" w:type="dxa"/>
            <w:vMerge/>
            <w:textDirection w:val="btLr"/>
          </w:tcPr>
          <w:p w14:paraId="01D55054" w14:textId="77777777" w:rsidR="009F7F8A" w:rsidRPr="00AC3044" w:rsidRDefault="009F7F8A" w:rsidP="009F7F8A">
            <w:pPr>
              <w:rPr>
                <w:rFonts w:eastAsia="SimSun"/>
              </w:rPr>
            </w:pPr>
          </w:p>
        </w:tc>
        <w:tc>
          <w:tcPr>
            <w:tcW w:w="1701" w:type="dxa"/>
            <w:vAlign w:val="center"/>
          </w:tcPr>
          <w:p w14:paraId="6F77454F" w14:textId="77777777" w:rsidR="009F7F8A" w:rsidRPr="00AC3044" w:rsidRDefault="009F7F8A" w:rsidP="009F7F8A">
            <w:pPr>
              <w:rPr>
                <w:rFonts w:eastAsia="SimSun"/>
              </w:rPr>
            </w:pPr>
            <w:r w:rsidRPr="00AC3044">
              <w:rPr>
                <w:rFonts w:eastAsia="SimSun"/>
              </w:rPr>
              <w:t>Циклоспорин</w:t>
            </w:r>
          </w:p>
        </w:tc>
        <w:tc>
          <w:tcPr>
            <w:tcW w:w="1559" w:type="dxa"/>
            <w:vAlign w:val="center"/>
          </w:tcPr>
          <w:p w14:paraId="4DAADAA4" w14:textId="77777777" w:rsidR="009F7F8A" w:rsidRPr="00AC3044" w:rsidRDefault="009F7F8A" w:rsidP="009F7F8A">
            <w:pPr>
              <w:rPr>
                <w:rFonts w:eastAsia="SimSun"/>
              </w:rPr>
            </w:pPr>
            <w:r w:rsidRPr="00AC3044">
              <w:rPr>
                <w:rFonts w:eastAsia="SimSun"/>
              </w:rPr>
              <w:t>3 мг/кг</w:t>
            </w:r>
          </w:p>
        </w:tc>
        <w:tc>
          <w:tcPr>
            <w:tcW w:w="1418" w:type="dxa"/>
            <w:vAlign w:val="center"/>
          </w:tcPr>
          <w:p w14:paraId="2E92A88F" w14:textId="77777777" w:rsidR="009F7F8A" w:rsidRPr="00AC3044" w:rsidRDefault="009F7F8A" w:rsidP="009F7F8A">
            <w:pPr>
              <w:rPr>
                <w:rFonts w:eastAsia="SimSun"/>
              </w:rPr>
            </w:pPr>
            <w:r w:rsidRPr="00AC3044">
              <w:rPr>
                <w:rFonts w:eastAsia="SimSun"/>
              </w:rPr>
              <w:t>–</w:t>
            </w:r>
          </w:p>
        </w:tc>
        <w:tc>
          <w:tcPr>
            <w:tcW w:w="1701" w:type="dxa"/>
            <w:vAlign w:val="center"/>
          </w:tcPr>
          <w:p w14:paraId="4B594DC4" w14:textId="77777777" w:rsidR="009F7F8A" w:rsidRPr="00AC3044" w:rsidRDefault="009F7F8A" w:rsidP="009F7F8A">
            <w:pPr>
              <w:rPr>
                <w:rFonts w:eastAsia="SimSun"/>
              </w:rPr>
            </w:pPr>
            <w:r w:rsidRPr="00AC3044">
              <w:rPr>
                <w:rFonts w:eastAsia="SimSun"/>
              </w:rPr>
              <w:t>С–1 по +90 день, затем постепенное снижение к +180 дню</w:t>
            </w:r>
          </w:p>
        </w:tc>
        <w:tc>
          <w:tcPr>
            <w:tcW w:w="2268" w:type="dxa"/>
            <w:vAlign w:val="center"/>
          </w:tcPr>
          <w:p w14:paraId="3C092D8C"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sidRPr="00AC3044">
              <w:rPr>
                <w:rFonts w:eastAsia="SimSun"/>
              </w:rPr>
              <w:t> 109/л, при отсутствии тошноты, рвоты, диареи и возможности приема внутрь. Концентрация 150-350 нг/мл</w:t>
            </w:r>
          </w:p>
        </w:tc>
      </w:tr>
      <w:tr w:rsidR="009F7F8A" w:rsidRPr="00AC3044" w14:paraId="7719A978" w14:textId="77777777" w:rsidTr="009F7F8A">
        <w:trPr>
          <w:cantSplit/>
          <w:trHeight w:val="20"/>
        </w:trPr>
        <w:tc>
          <w:tcPr>
            <w:tcW w:w="851" w:type="dxa"/>
            <w:vMerge/>
          </w:tcPr>
          <w:p w14:paraId="77B32511" w14:textId="77777777" w:rsidR="009F7F8A" w:rsidRPr="00AC3044" w:rsidRDefault="009F7F8A" w:rsidP="009F7F8A">
            <w:pPr>
              <w:rPr>
                <w:rFonts w:eastAsia="SimSun"/>
              </w:rPr>
            </w:pPr>
          </w:p>
        </w:tc>
        <w:tc>
          <w:tcPr>
            <w:tcW w:w="1701" w:type="dxa"/>
            <w:vMerge w:val="restart"/>
            <w:vAlign w:val="center"/>
          </w:tcPr>
          <w:p w14:paraId="2EA201A6" w14:textId="77777777" w:rsidR="009F7F8A" w:rsidRPr="00AC3044" w:rsidRDefault="009F7F8A" w:rsidP="009F7F8A">
            <w:pPr>
              <w:rPr>
                <w:rFonts w:eastAsia="SimSun"/>
              </w:rPr>
            </w:pPr>
            <w:r w:rsidRPr="00AC3044">
              <w:rPr>
                <w:rFonts w:eastAsia="SimSun"/>
              </w:rPr>
              <w:t>Метотрексат</w:t>
            </w:r>
          </w:p>
        </w:tc>
        <w:tc>
          <w:tcPr>
            <w:tcW w:w="1559" w:type="dxa"/>
            <w:vAlign w:val="center"/>
          </w:tcPr>
          <w:p w14:paraId="18261C8B" w14:textId="77777777" w:rsidR="009F7F8A" w:rsidRPr="00AC3044" w:rsidRDefault="009F7F8A" w:rsidP="009F7F8A">
            <w:pPr>
              <w:rPr>
                <w:rFonts w:eastAsia="SimSun"/>
              </w:rPr>
            </w:pPr>
            <w:r w:rsidRPr="00AC3044">
              <w:rPr>
                <w:rFonts w:eastAsia="SimSun"/>
              </w:rPr>
              <w:t>15 мг/м</w:t>
            </w:r>
            <w:r w:rsidRPr="00DB259E">
              <w:rPr>
                <w:rFonts w:eastAsia="SimSun"/>
                <w:vertAlign w:val="superscript"/>
              </w:rPr>
              <w:t>2</w:t>
            </w:r>
          </w:p>
        </w:tc>
        <w:tc>
          <w:tcPr>
            <w:tcW w:w="1418" w:type="dxa"/>
            <w:vAlign w:val="center"/>
          </w:tcPr>
          <w:p w14:paraId="0921AECE" w14:textId="77777777" w:rsidR="009F7F8A" w:rsidRPr="00AC3044" w:rsidRDefault="009F7F8A" w:rsidP="009F7F8A">
            <w:pPr>
              <w:rPr>
                <w:rFonts w:eastAsia="SimSun"/>
              </w:rPr>
            </w:pPr>
            <w:r w:rsidRPr="00AC3044">
              <w:rPr>
                <w:rFonts w:eastAsia="SimSun"/>
              </w:rPr>
              <w:t>–</w:t>
            </w:r>
          </w:p>
        </w:tc>
        <w:tc>
          <w:tcPr>
            <w:tcW w:w="1701" w:type="dxa"/>
            <w:vAlign w:val="center"/>
          </w:tcPr>
          <w:p w14:paraId="6C3BD20D" w14:textId="77777777" w:rsidR="009F7F8A" w:rsidRPr="00AC3044" w:rsidRDefault="009F7F8A" w:rsidP="009F7F8A">
            <w:pPr>
              <w:rPr>
                <w:rFonts w:eastAsia="SimSun"/>
              </w:rPr>
            </w:pPr>
            <w:r w:rsidRPr="00AC3044">
              <w:rPr>
                <w:rFonts w:eastAsia="SimSun"/>
              </w:rPr>
              <w:t>+1 день</w:t>
            </w:r>
          </w:p>
        </w:tc>
        <w:tc>
          <w:tcPr>
            <w:tcW w:w="2268" w:type="dxa"/>
            <w:vAlign w:val="center"/>
          </w:tcPr>
          <w:p w14:paraId="4DF625EC"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7418FF5A" w14:textId="77777777" w:rsidTr="009F7F8A">
        <w:trPr>
          <w:cantSplit/>
          <w:trHeight w:val="464"/>
        </w:trPr>
        <w:tc>
          <w:tcPr>
            <w:tcW w:w="851" w:type="dxa"/>
            <w:vMerge/>
          </w:tcPr>
          <w:p w14:paraId="2E875F86" w14:textId="77777777" w:rsidR="009F7F8A" w:rsidRPr="00AC3044" w:rsidRDefault="009F7F8A" w:rsidP="009F7F8A">
            <w:pPr>
              <w:rPr>
                <w:rFonts w:eastAsia="SimSun"/>
              </w:rPr>
            </w:pPr>
          </w:p>
        </w:tc>
        <w:tc>
          <w:tcPr>
            <w:tcW w:w="1701" w:type="dxa"/>
            <w:vMerge/>
            <w:vAlign w:val="center"/>
          </w:tcPr>
          <w:p w14:paraId="1A686622" w14:textId="77777777" w:rsidR="009F7F8A" w:rsidRPr="00AC3044" w:rsidRDefault="009F7F8A" w:rsidP="009F7F8A">
            <w:pPr>
              <w:rPr>
                <w:rFonts w:eastAsia="SimSun"/>
              </w:rPr>
            </w:pPr>
          </w:p>
        </w:tc>
        <w:tc>
          <w:tcPr>
            <w:tcW w:w="1559" w:type="dxa"/>
            <w:vAlign w:val="center"/>
          </w:tcPr>
          <w:p w14:paraId="3222E0A6" w14:textId="77777777" w:rsidR="009F7F8A" w:rsidRPr="00AC3044" w:rsidRDefault="009F7F8A" w:rsidP="009F7F8A">
            <w:pPr>
              <w:rPr>
                <w:rFonts w:eastAsia="SimSun"/>
              </w:rPr>
            </w:pPr>
            <w:r w:rsidRPr="00AC3044">
              <w:rPr>
                <w:rFonts w:eastAsia="SimSun"/>
              </w:rPr>
              <w:t>10 мг/м</w:t>
            </w:r>
            <w:r w:rsidRPr="00DB259E">
              <w:rPr>
                <w:rFonts w:eastAsia="SimSun"/>
                <w:vertAlign w:val="superscript"/>
              </w:rPr>
              <w:t>2</w:t>
            </w:r>
          </w:p>
        </w:tc>
        <w:tc>
          <w:tcPr>
            <w:tcW w:w="1418" w:type="dxa"/>
            <w:vAlign w:val="center"/>
          </w:tcPr>
          <w:p w14:paraId="7F10FFEA" w14:textId="77777777" w:rsidR="009F7F8A" w:rsidRPr="00AC3044" w:rsidRDefault="009F7F8A" w:rsidP="009F7F8A">
            <w:pPr>
              <w:rPr>
                <w:rFonts w:eastAsia="SimSun"/>
              </w:rPr>
            </w:pPr>
            <w:r w:rsidRPr="00AC3044">
              <w:rPr>
                <w:rFonts w:eastAsia="SimSun"/>
              </w:rPr>
              <w:t>–</w:t>
            </w:r>
          </w:p>
        </w:tc>
        <w:tc>
          <w:tcPr>
            <w:tcW w:w="1701" w:type="dxa"/>
            <w:vAlign w:val="center"/>
          </w:tcPr>
          <w:p w14:paraId="4A36BC61" w14:textId="77777777" w:rsidR="009F7F8A" w:rsidRPr="00AC3044" w:rsidRDefault="009F7F8A" w:rsidP="009F7F8A">
            <w:pPr>
              <w:rPr>
                <w:rFonts w:eastAsia="SimSun"/>
              </w:rPr>
            </w:pPr>
            <w:r w:rsidRPr="00AC3044">
              <w:rPr>
                <w:rFonts w:eastAsia="SimSun"/>
              </w:rPr>
              <w:t>+3, +6, +11 дни</w:t>
            </w:r>
          </w:p>
        </w:tc>
        <w:tc>
          <w:tcPr>
            <w:tcW w:w="2268" w:type="dxa"/>
            <w:vAlign w:val="center"/>
          </w:tcPr>
          <w:p w14:paraId="30E59F32"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66438D49" w14:textId="77777777" w:rsidTr="009F7F8A">
        <w:trPr>
          <w:cantSplit/>
          <w:trHeight w:val="464"/>
        </w:trPr>
        <w:tc>
          <w:tcPr>
            <w:tcW w:w="851" w:type="dxa"/>
            <w:vMerge/>
          </w:tcPr>
          <w:p w14:paraId="7E0916C1" w14:textId="77777777" w:rsidR="009F7F8A" w:rsidRPr="00AC3044" w:rsidRDefault="009F7F8A" w:rsidP="009F7F8A">
            <w:pPr>
              <w:rPr>
                <w:rFonts w:eastAsia="SimSun"/>
              </w:rPr>
            </w:pPr>
          </w:p>
        </w:tc>
        <w:tc>
          <w:tcPr>
            <w:tcW w:w="1701" w:type="dxa"/>
            <w:vAlign w:val="center"/>
          </w:tcPr>
          <w:p w14:paraId="3DBADC14"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4499CFBF" w14:textId="77777777" w:rsidR="009F7F8A" w:rsidRPr="00AC3044" w:rsidRDefault="009F7F8A" w:rsidP="009F7F8A">
            <w:pPr>
              <w:rPr>
                <w:rFonts w:eastAsia="SimSun"/>
              </w:rPr>
            </w:pPr>
            <w:r w:rsidRPr="00AC3044">
              <w:rPr>
                <w:rFonts w:eastAsia="SimSun"/>
              </w:rPr>
              <w:t>45 мг/кг</w:t>
            </w:r>
          </w:p>
        </w:tc>
        <w:tc>
          <w:tcPr>
            <w:tcW w:w="1418" w:type="dxa"/>
            <w:vAlign w:val="center"/>
          </w:tcPr>
          <w:p w14:paraId="5BC39C1D" w14:textId="77777777" w:rsidR="009F7F8A" w:rsidRPr="00AC3044" w:rsidRDefault="009F7F8A" w:rsidP="009F7F8A">
            <w:pPr>
              <w:rPr>
                <w:rFonts w:eastAsia="SimSun"/>
              </w:rPr>
            </w:pPr>
            <w:r w:rsidRPr="00AC3044">
              <w:rPr>
                <w:rFonts w:eastAsia="SimSun"/>
              </w:rPr>
              <w:t>–</w:t>
            </w:r>
          </w:p>
        </w:tc>
        <w:tc>
          <w:tcPr>
            <w:tcW w:w="1701" w:type="dxa"/>
            <w:vAlign w:val="center"/>
          </w:tcPr>
          <w:p w14:paraId="7A48FA8B" w14:textId="77777777" w:rsidR="009F7F8A" w:rsidRPr="00AC3044" w:rsidRDefault="009F7F8A" w:rsidP="009F7F8A">
            <w:pPr>
              <w:rPr>
                <w:rFonts w:eastAsia="SimSun"/>
              </w:rPr>
            </w:pPr>
            <w:r w:rsidRPr="00AC3044">
              <w:rPr>
                <w:rFonts w:eastAsia="SimSun"/>
              </w:rPr>
              <w:t>С +1 по +90 день</w:t>
            </w:r>
          </w:p>
        </w:tc>
        <w:tc>
          <w:tcPr>
            <w:tcW w:w="2268" w:type="dxa"/>
            <w:vAlign w:val="center"/>
          </w:tcPr>
          <w:p w14:paraId="5CC0A9EB"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48901F75" w14:textId="77777777" w:rsidR="009F7F8A" w:rsidRDefault="009F7F8A" w:rsidP="009F7F8A">
      <w:pPr>
        <w:rPr>
          <w:rFonts w:eastAsia="SimSun"/>
        </w:rPr>
      </w:pPr>
      <w:bookmarkStart w:id="172" w:name="_Toc44401207"/>
    </w:p>
    <w:p w14:paraId="5C13A198"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2.2.7  – Flu180+Bu8 / PT-Cy+CSA+MMF30</w:t>
      </w:r>
      <w:bookmarkEnd w:id="172"/>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9F7F8A" w:rsidRPr="00AC3044" w14:paraId="1926D6B6" w14:textId="77777777" w:rsidTr="009F7F8A">
        <w:trPr>
          <w:cantSplit/>
          <w:trHeight w:val="20"/>
          <w:tblHeader/>
        </w:trPr>
        <w:tc>
          <w:tcPr>
            <w:tcW w:w="851" w:type="dxa"/>
          </w:tcPr>
          <w:p w14:paraId="782B391B" w14:textId="77777777" w:rsidR="009F7F8A" w:rsidRPr="00470D3D" w:rsidRDefault="009F7F8A" w:rsidP="009F7F8A">
            <w:pPr>
              <w:rPr>
                <w:rFonts w:eastAsia="SimSun"/>
              </w:rPr>
            </w:pPr>
          </w:p>
        </w:tc>
        <w:tc>
          <w:tcPr>
            <w:tcW w:w="1701" w:type="dxa"/>
            <w:vAlign w:val="center"/>
          </w:tcPr>
          <w:p w14:paraId="2D3AA870"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3E5C8C42"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7F7D82F5"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0D16000C"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200C7665"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7B3B24A0" w14:textId="77777777" w:rsidTr="009F7F8A">
        <w:trPr>
          <w:cantSplit/>
          <w:trHeight w:val="20"/>
        </w:trPr>
        <w:tc>
          <w:tcPr>
            <w:tcW w:w="851" w:type="dxa"/>
            <w:vMerge w:val="restart"/>
            <w:textDirection w:val="btLr"/>
            <w:vAlign w:val="center"/>
          </w:tcPr>
          <w:p w14:paraId="0207CBAE"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001D713C"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048DC5EC" w14:textId="77777777" w:rsidR="009F7F8A" w:rsidRPr="00AC3044" w:rsidRDefault="009F7F8A" w:rsidP="009F7F8A">
            <w:pPr>
              <w:rPr>
                <w:rFonts w:eastAsia="SimSun"/>
              </w:rPr>
            </w:pPr>
            <w:r w:rsidRPr="00AC3044">
              <w:rPr>
                <w:rFonts w:eastAsia="SimSun"/>
              </w:rPr>
              <w:t>30 мг/м</w:t>
            </w:r>
            <w:r w:rsidRPr="00DB259E">
              <w:rPr>
                <w:rFonts w:eastAsia="SimSun"/>
                <w:vertAlign w:val="superscript"/>
              </w:rPr>
              <w:t>2</w:t>
            </w:r>
          </w:p>
        </w:tc>
        <w:tc>
          <w:tcPr>
            <w:tcW w:w="1418" w:type="dxa"/>
            <w:vAlign w:val="center"/>
          </w:tcPr>
          <w:p w14:paraId="4DEE9EE8" w14:textId="77777777" w:rsidR="009F7F8A" w:rsidRPr="00AC3044" w:rsidRDefault="009F7F8A" w:rsidP="009F7F8A">
            <w:pPr>
              <w:rPr>
                <w:rFonts w:eastAsia="SimSun"/>
              </w:rPr>
            </w:pPr>
            <w:r w:rsidRPr="00AC3044">
              <w:rPr>
                <w:rFonts w:eastAsia="SimSun"/>
              </w:rPr>
              <w:t>150 мг/м</w:t>
            </w:r>
            <w:r w:rsidRPr="00DB259E">
              <w:rPr>
                <w:rFonts w:eastAsia="SimSun"/>
                <w:vertAlign w:val="superscript"/>
              </w:rPr>
              <w:t>2</w:t>
            </w:r>
          </w:p>
        </w:tc>
        <w:tc>
          <w:tcPr>
            <w:tcW w:w="1701" w:type="dxa"/>
            <w:vAlign w:val="center"/>
          </w:tcPr>
          <w:p w14:paraId="5653125D" w14:textId="77777777" w:rsidR="009F7F8A" w:rsidRPr="00AC3044" w:rsidRDefault="009F7F8A" w:rsidP="009F7F8A">
            <w:pPr>
              <w:rPr>
                <w:rFonts w:eastAsia="SimSun"/>
              </w:rPr>
            </w:pPr>
            <w:r w:rsidRPr="00AC3044">
              <w:rPr>
                <w:rFonts w:eastAsia="SimSun"/>
              </w:rPr>
              <w:t>С –6 по –2 день</w:t>
            </w:r>
          </w:p>
        </w:tc>
        <w:tc>
          <w:tcPr>
            <w:tcW w:w="2268" w:type="dxa"/>
            <w:vAlign w:val="center"/>
          </w:tcPr>
          <w:p w14:paraId="4BF46E60"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4481C194" w14:textId="77777777" w:rsidTr="009F7F8A">
        <w:trPr>
          <w:cantSplit/>
          <w:trHeight w:val="772"/>
        </w:trPr>
        <w:tc>
          <w:tcPr>
            <w:tcW w:w="851" w:type="dxa"/>
            <w:vMerge/>
            <w:textDirection w:val="btLr"/>
            <w:vAlign w:val="center"/>
          </w:tcPr>
          <w:p w14:paraId="26F90078" w14:textId="77777777" w:rsidR="009F7F8A" w:rsidRPr="00AC3044" w:rsidRDefault="009F7F8A" w:rsidP="009F7F8A">
            <w:pPr>
              <w:rPr>
                <w:rFonts w:eastAsia="SimSun"/>
              </w:rPr>
            </w:pPr>
          </w:p>
        </w:tc>
        <w:tc>
          <w:tcPr>
            <w:tcW w:w="1701" w:type="dxa"/>
            <w:vAlign w:val="center"/>
          </w:tcPr>
          <w:p w14:paraId="3993B643"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72C40ACB" w14:textId="77777777" w:rsidR="009F7F8A" w:rsidRPr="00AC3044" w:rsidRDefault="009F7F8A" w:rsidP="009F7F8A">
            <w:pPr>
              <w:rPr>
                <w:rFonts w:eastAsia="SimSun"/>
              </w:rPr>
            </w:pPr>
            <w:r w:rsidRPr="00AC3044">
              <w:rPr>
                <w:rFonts w:eastAsia="SimSun"/>
              </w:rPr>
              <w:t>4 мг/кг</w:t>
            </w:r>
          </w:p>
        </w:tc>
        <w:tc>
          <w:tcPr>
            <w:tcW w:w="1418" w:type="dxa"/>
            <w:vAlign w:val="center"/>
          </w:tcPr>
          <w:p w14:paraId="65DF0182" w14:textId="77777777" w:rsidR="009F7F8A" w:rsidRPr="00AC3044" w:rsidRDefault="009F7F8A" w:rsidP="009F7F8A">
            <w:pPr>
              <w:rPr>
                <w:rFonts w:eastAsia="SimSun"/>
              </w:rPr>
            </w:pPr>
            <w:r w:rsidRPr="00AC3044">
              <w:rPr>
                <w:rFonts w:eastAsia="SimSun"/>
              </w:rPr>
              <w:t>8 мг/кг</w:t>
            </w:r>
          </w:p>
        </w:tc>
        <w:tc>
          <w:tcPr>
            <w:tcW w:w="1701" w:type="dxa"/>
            <w:vAlign w:val="center"/>
          </w:tcPr>
          <w:p w14:paraId="3749CA7E" w14:textId="77777777" w:rsidR="009F7F8A" w:rsidRPr="00AC3044" w:rsidRDefault="009F7F8A" w:rsidP="009F7F8A">
            <w:pPr>
              <w:rPr>
                <w:rFonts w:eastAsia="SimSun"/>
              </w:rPr>
            </w:pPr>
            <w:r w:rsidRPr="00AC3044">
              <w:rPr>
                <w:rFonts w:eastAsia="SimSun"/>
              </w:rPr>
              <w:t>С –5 по –4 день</w:t>
            </w:r>
          </w:p>
        </w:tc>
        <w:tc>
          <w:tcPr>
            <w:tcW w:w="2268" w:type="dxa"/>
            <w:vAlign w:val="center"/>
          </w:tcPr>
          <w:p w14:paraId="24EA1DB0"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1535C20A" w14:textId="77777777" w:rsidTr="009F7F8A">
        <w:trPr>
          <w:cantSplit/>
          <w:trHeight w:val="1337"/>
        </w:trPr>
        <w:tc>
          <w:tcPr>
            <w:tcW w:w="851" w:type="dxa"/>
            <w:vMerge w:val="restart"/>
            <w:textDirection w:val="btLr"/>
            <w:vAlign w:val="center"/>
          </w:tcPr>
          <w:p w14:paraId="40EC2009"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3D95C7DF" w14:textId="77777777" w:rsidR="009F7F8A" w:rsidRPr="00AC3044" w:rsidRDefault="009F7F8A" w:rsidP="009F7F8A">
            <w:pPr>
              <w:rPr>
                <w:rFonts w:eastAsia="SimSun"/>
              </w:rPr>
            </w:pPr>
            <w:r w:rsidRPr="00AC3044">
              <w:rPr>
                <w:rFonts w:eastAsia="SimSun"/>
              </w:rPr>
              <w:t>Циклоспорин</w:t>
            </w:r>
          </w:p>
        </w:tc>
        <w:tc>
          <w:tcPr>
            <w:tcW w:w="1559" w:type="dxa"/>
            <w:vAlign w:val="center"/>
          </w:tcPr>
          <w:p w14:paraId="36217E3E" w14:textId="77777777" w:rsidR="009F7F8A" w:rsidRPr="00AC3044" w:rsidRDefault="009F7F8A" w:rsidP="009F7F8A">
            <w:pPr>
              <w:rPr>
                <w:rFonts w:eastAsia="SimSun"/>
              </w:rPr>
            </w:pPr>
            <w:r w:rsidRPr="00AC3044">
              <w:rPr>
                <w:rFonts w:eastAsia="SimSun"/>
              </w:rPr>
              <w:t>3 мг/кг</w:t>
            </w:r>
          </w:p>
        </w:tc>
        <w:tc>
          <w:tcPr>
            <w:tcW w:w="1418" w:type="dxa"/>
            <w:vAlign w:val="center"/>
          </w:tcPr>
          <w:p w14:paraId="3DF4EE42" w14:textId="77777777" w:rsidR="009F7F8A" w:rsidRPr="00AC3044" w:rsidRDefault="009F7F8A" w:rsidP="009F7F8A">
            <w:pPr>
              <w:rPr>
                <w:rFonts w:eastAsia="SimSun"/>
              </w:rPr>
            </w:pPr>
            <w:r w:rsidRPr="00AC3044">
              <w:rPr>
                <w:rFonts w:eastAsia="SimSun"/>
              </w:rPr>
              <w:t>–</w:t>
            </w:r>
          </w:p>
        </w:tc>
        <w:tc>
          <w:tcPr>
            <w:tcW w:w="1701" w:type="dxa"/>
            <w:vAlign w:val="center"/>
          </w:tcPr>
          <w:p w14:paraId="78653CBB" w14:textId="77777777" w:rsidR="009F7F8A" w:rsidRPr="00AC3044" w:rsidRDefault="009F7F8A" w:rsidP="009F7F8A">
            <w:pPr>
              <w:rPr>
                <w:rFonts w:eastAsia="SimSun"/>
              </w:rPr>
            </w:pPr>
            <w:r w:rsidRPr="00AC3044">
              <w:rPr>
                <w:rFonts w:eastAsia="SimSun"/>
              </w:rPr>
              <w:t>С +5 дня по +90 день затем постепенное снижение к +180 дню</w:t>
            </w:r>
          </w:p>
        </w:tc>
        <w:tc>
          <w:tcPr>
            <w:tcW w:w="2268" w:type="dxa"/>
            <w:vAlign w:val="center"/>
          </w:tcPr>
          <w:p w14:paraId="5ED7BB35"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2443733A" w14:textId="77777777" w:rsidTr="009F7F8A">
        <w:trPr>
          <w:cantSplit/>
          <w:trHeight w:val="308"/>
        </w:trPr>
        <w:tc>
          <w:tcPr>
            <w:tcW w:w="851" w:type="dxa"/>
            <w:vMerge/>
            <w:textDirection w:val="btLr"/>
          </w:tcPr>
          <w:p w14:paraId="4A61AEAF" w14:textId="77777777" w:rsidR="009F7F8A" w:rsidRPr="00AC3044" w:rsidRDefault="009F7F8A" w:rsidP="009F7F8A">
            <w:pPr>
              <w:rPr>
                <w:rFonts w:eastAsia="SimSun"/>
              </w:rPr>
            </w:pPr>
          </w:p>
        </w:tc>
        <w:tc>
          <w:tcPr>
            <w:tcW w:w="1701" w:type="dxa"/>
            <w:vAlign w:val="center"/>
          </w:tcPr>
          <w:p w14:paraId="20773A21"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18FDD391" w14:textId="77777777" w:rsidR="009F7F8A" w:rsidRPr="00AC3044" w:rsidRDefault="009F7F8A" w:rsidP="009F7F8A">
            <w:pPr>
              <w:rPr>
                <w:rFonts w:eastAsia="SimSun"/>
              </w:rPr>
            </w:pPr>
            <w:r w:rsidRPr="00AC3044">
              <w:rPr>
                <w:rFonts w:eastAsia="SimSun"/>
              </w:rPr>
              <w:t>30 мг/кг</w:t>
            </w:r>
          </w:p>
        </w:tc>
        <w:tc>
          <w:tcPr>
            <w:tcW w:w="1418" w:type="dxa"/>
            <w:vAlign w:val="center"/>
          </w:tcPr>
          <w:p w14:paraId="5CAA1167" w14:textId="77777777" w:rsidR="009F7F8A" w:rsidRPr="00AC3044" w:rsidRDefault="009F7F8A" w:rsidP="009F7F8A">
            <w:pPr>
              <w:rPr>
                <w:rFonts w:eastAsia="SimSun"/>
              </w:rPr>
            </w:pPr>
            <w:r w:rsidRPr="00AC3044">
              <w:rPr>
                <w:rFonts w:eastAsia="SimSun"/>
              </w:rPr>
              <w:t>–</w:t>
            </w:r>
          </w:p>
        </w:tc>
        <w:tc>
          <w:tcPr>
            <w:tcW w:w="1701" w:type="dxa"/>
            <w:vAlign w:val="center"/>
          </w:tcPr>
          <w:p w14:paraId="036A914F" w14:textId="77777777" w:rsidR="009F7F8A" w:rsidRPr="00AC3044" w:rsidRDefault="009F7F8A" w:rsidP="009F7F8A">
            <w:pPr>
              <w:rPr>
                <w:rFonts w:eastAsia="SimSun"/>
              </w:rPr>
            </w:pPr>
            <w:r w:rsidRPr="00AC3044">
              <w:rPr>
                <w:rFonts w:eastAsia="SimSun"/>
              </w:rPr>
              <w:t>С +5 по +90 день</w:t>
            </w:r>
          </w:p>
        </w:tc>
        <w:tc>
          <w:tcPr>
            <w:tcW w:w="2268" w:type="dxa"/>
            <w:vAlign w:val="center"/>
          </w:tcPr>
          <w:p w14:paraId="2A5544F7"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9F7F8A" w:rsidRPr="00AC3044" w14:paraId="75276E4E" w14:textId="77777777" w:rsidTr="009F7F8A">
        <w:trPr>
          <w:cantSplit/>
          <w:trHeight w:val="20"/>
        </w:trPr>
        <w:tc>
          <w:tcPr>
            <w:tcW w:w="851" w:type="dxa"/>
            <w:vMerge/>
            <w:textDirection w:val="btLr"/>
          </w:tcPr>
          <w:p w14:paraId="4AA83416" w14:textId="77777777" w:rsidR="009F7F8A" w:rsidRPr="00AC3044" w:rsidRDefault="009F7F8A" w:rsidP="009F7F8A">
            <w:pPr>
              <w:rPr>
                <w:rFonts w:eastAsia="SimSun"/>
              </w:rPr>
            </w:pPr>
          </w:p>
        </w:tc>
        <w:tc>
          <w:tcPr>
            <w:tcW w:w="1701" w:type="dxa"/>
            <w:vAlign w:val="center"/>
          </w:tcPr>
          <w:p w14:paraId="31E31CCA"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70D44154"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19DB2C74"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08451837" w14:textId="77777777" w:rsidR="009F7F8A" w:rsidRPr="00AC3044" w:rsidRDefault="009F7F8A" w:rsidP="009F7F8A">
            <w:pPr>
              <w:rPr>
                <w:rFonts w:eastAsia="SimSun"/>
              </w:rPr>
            </w:pPr>
            <w:r w:rsidRPr="00AC3044">
              <w:rPr>
                <w:rFonts w:eastAsia="SimSun"/>
              </w:rPr>
              <w:t xml:space="preserve">+3,+4 дни </w:t>
            </w:r>
          </w:p>
        </w:tc>
        <w:tc>
          <w:tcPr>
            <w:tcW w:w="2268" w:type="dxa"/>
            <w:vAlign w:val="center"/>
          </w:tcPr>
          <w:p w14:paraId="5DBEA0B0" w14:textId="77777777" w:rsidR="009F7F8A" w:rsidRPr="00AC3044" w:rsidRDefault="009F7F8A" w:rsidP="009F7F8A">
            <w:pPr>
              <w:rPr>
                <w:rFonts w:eastAsia="SimSun"/>
              </w:rPr>
            </w:pPr>
            <w:r w:rsidRPr="00AC3044">
              <w:rPr>
                <w:rFonts w:eastAsia="SimSun"/>
              </w:rPr>
              <w:t>В/в, в течение 2 часов</w:t>
            </w:r>
          </w:p>
        </w:tc>
      </w:tr>
    </w:tbl>
    <w:p w14:paraId="04BF9589" w14:textId="77777777" w:rsidR="009F7F8A" w:rsidRDefault="009F7F8A" w:rsidP="009F7F8A">
      <w:pPr>
        <w:rPr>
          <w:rFonts w:eastAsia="SimSun"/>
        </w:rPr>
      </w:pPr>
      <w:bookmarkStart w:id="173" w:name="_Toc44401208"/>
    </w:p>
    <w:p w14:paraId="44D84B29" w14:textId="77777777" w:rsidR="009F7F8A" w:rsidRPr="00042499" w:rsidRDefault="009F7F8A" w:rsidP="009F7F8A">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2.2.8  – </w:t>
      </w:r>
      <w:r w:rsidRPr="009F7F8A">
        <w:rPr>
          <w:rFonts w:eastAsia="SimSun"/>
          <w:lang w:val="en-US"/>
        </w:rPr>
        <w:t>Flu</w:t>
      </w:r>
      <w:r w:rsidRPr="00042499">
        <w:rPr>
          <w:rFonts w:eastAsia="SimSun"/>
          <w:lang w:val="en-US"/>
        </w:rPr>
        <w:t>180+</w:t>
      </w:r>
      <w:r w:rsidRPr="009F7F8A">
        <w:rPr>
          <w:rFonts w:eastAsia="SimSun"/>
          <w:lang w:val="en-US"/>
        </w:rPr>
        <w:t>Bu</w:t>
      </w:r>
      <w:r w:rsidRPr="00042499">
        <w:rPr>
          <w:rFonts w:eastAsia="SimSun"/>
          <w:lang w:val="en-US"/>
        </w:rPr>
        <w:t>8+</w:t>
      </w:r>
      <w:r w:rsidRPr="009F7F8A">
        <w:rPr>
          <w:rFonts w:eastAsia="SimSun"/>
          <w:lang w:val="en-US"/>
        </w:rPr>
        <w:t>Thio</w:t>
      </w:r>
      <w:r w:rsidRPr="00042499">
        <w:rPr>
          <w:rFonts w:eastAsia="SimSun"/>
          <w:lang w:val="en-US"/>
        </w:rPr>
        <w:t xml:space="preserve"> / </w:t>
      </w:r>
      <w:r w:rsidRPr="009F7F8A">
        <w:rPr>
          <w:rFonts w:eastAsia="SimSun"/>
          <w:lang w:val="en-US"/>
        </w:rPr>
        <w:t>PT</w:t>
      </w:r>
      <w:r w:rsidRPr="00042499">
        <w:rPr>
          <w:rFonts w:eastAsia="SimSun"/>
          <w:lang w:val="en-US"/>
        </w:rPr>
        <w:t>-</w:t>
      </w:r>
      <w:r w:rsidRPr="009F7F8A">
        <w:rPr>
          <w:rFonts w:eastAsia="SimSun"/>
          <w:lang w:val="en-US"/>
        </w:rPr>
        <w:t>Cy</w:t>
      </w:r>
      <w:bookmarkEnd w:id="173"/>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9F7F8A" w:rsidRPr="00AC3044" w14:paraId="20B12D1C" w14:textId="77777777" w:rsidTr="009F7F8A">
        <w:trPr>
          <w:cantSplit/>
          <w:trHeight w:val="20"/>
          <w:tblHeader/>
        </w:trPr>
        <w:tc>
          <w:tcPr>
            <w:tcW w:w="851" w:type="dxa"/>
            <w:vAlign w:val="center"/>
          </w:tcPr>
          <w:p w14:paraId="38C84C0C" w14:textId="77777777" w:rsidR="009F7F8A" w:rsidRPr="00723FEA" w:rsidRDefault="009F7F8A" w:rsidP="009F7F8A">
            <w:pPr>
              <w:rPr>
                <w:rFonts w:eastAsia="SimSun"/>
                <w:lang w:val="en-US"/>
              </w:rPr>
            </w:pPr>
          </w:p>
        </w:tc>
        <w:tc>
          <w:tcPr>
            <w:tcW w:w="1701" w:type="dxa"/>
            <w:vAlign w:val="center"/>
          </w:tcPr>
          <w:p w14:paraId="771A2E44"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426DD29A"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0A352701"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342608A9"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3227172F"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1521661C" w14:textId="77777777" w:rsidTr="009F7F8A">
        <w:trPr>
          <w:cantSplit/>
          <w:trHeight w:val="20"/>
        </w:trPr>
        <w:tc>
          <w:tcPr>
            <w:tcW w:w="851" w:type="dxa"/>
            <w:vMerge w:val="restart"/>
            <w:textDirection w:val="btLr"/>
            <w:vAlign w:val="center"/>
          </w:tcPr>
          <w:p w14:paraId="481C4624"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7FBBAB0A"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5D9DA846"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044D7933" w14:textId="77777777" w:rsidR="009F7F8A" w:rsidRPr="00AC3044" w:rsidRDefault="009F7F8A" w:rsidP="009F7F8A">
            <w:pPr>
              <w:rPr>
                <w:rFonts w:eastAsia="SimSun"/>
              </w:rPr>
            </w:pPr>
            <w:r w:rsidRPr="00AC3044">
              <w:rPr>
                <w:rFonts w:eastAsia="SimSun"/>
              </w:rPr>
              <w:t>180 мг/м2</w:t>
            </w:r>
          </w:p>
        </w:tc>
        <w:tc>
          <w:tcPr>
            <w:tcW w:w="1701" w:type="dxa"/>
            <w:vAlign w:val="center"/>
          </w:tcPr>
          <w:p w14:paraId="2B2F3EFE"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4E906938"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712C2942" w14:textId="77777777" w:rsidTr="009F7F8A">
        <w:trPr>
          <w:cantSplit/>
          <w:trHeight w:val="687"/>
        </w:trPr>
        <w:tc>
          <w:tcPr>
            <w:tcW w:w="851" w:type="dxa"/>
            <w:vMerge/>
            <w:vAlign w:val="center"/>
          </w:tcPr>
          <w:p w14:paraId="3D56EEB4" w14:textId="77777777" w:rsidR="009F7F8A" w:rsidRPr="00AC3044" w:rsidRDefault="009F7F8A" w:rsidP="009F7F8A">
            <w:pPr>
              <w:rPr>
                <w:rFonts w:eastAsia="SimSun"/>
              </w:rPr>
            </w:pPr>
          </w:p>
        </w:tc>
        <w:tc>
          <w:tcPr>
            <w:tcW w:w="1701" w:type="dxa"/>
            <w:vAlign w:val="center"/>
          </w:tcPr>
          <w:p w14:paraId="4B104183"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49AE1B6D" w14:textId="77777777" w:rsidR="009F7F8A" w:rsidRPr="00AC3044" w:rsidRDefault="009F7F8A" w:rsidP="009F7F8A">
            <w:pPr>
              <w:rPr>
                <w:rFonts w:eastAsia="SimSun"/>
              </w:rPr>
            </w:pPr>
            <w:r w:rsidRPr="00AC3044">
              <w:rPr>
                <w:rFonts w:eastAsia="SimSun"/>
              </w:rPr>
              <w:t xml:space="preserve">4 мг/кг </w:t>
            </w:r>
          </w:p>
        </w:tc>
        <w:tc>
          <w:tcPr>
            <w:tcW w:w="1418" w:type="dxa"/>
            <w:vAlign w:val="center"/>
          </w:tcPr>
          <w:p w14:paraId="375F0076" w14:textId="77777777" w:rsidR="009F7F8A" w:rsidRPr="00AC3044" w:rsidRDefault="009F7F8A" w:rsidP="009F7F8A">
            <w:pPr>
              <w:rPr>
                <w:rFonts w:eastAsia="SimSun"/>
              </w:rPr>
            </w:pPr>
            <w:r w:rsidRPr="00AC3044">
              <w:rPr>
                <w:rFonts w:eastAsia="SimSun"/>
              </w:rPr>
              <w:t xml:space="preserve">8 мг/кг </w:t>
            </w:r>
          </w:p>
        </w:tc>
        <w:tc>
          <w:tcPr>
            <w:tcW w:w="1701" w:type="dxa"/>
            <w:vAlign w:val="center"/>
          </w:tcPr>
          <w:p w14:paraId="52A17CDE" w14:textId="77777777" w:rsidR="009F7F8A" w:rsidRPr="00AC3044" w:rsidRDefault="009F7F8A" w:rsidP="009F7F8A">
            <w:pPr>
              <w:rPr>
                <w:rFonts w:eastAsia="SimSun"/>
              </w:rPr>
            </w:pPr>
            <w:r w:rsidRPr="00AC3044">
              <w:rPr>
                <w:rFonts w:eastAsia="SimSun"/>
              </w:rPr>
              <w:t>С -4 дня по -3 день</w:t>
            </w:r>
          </w:p>
        </w:tc>
        <w:tc>
          <w:tcPr>
            <w:tcW w:w="2268" w:type="dxa"/>
            <w:vAlign w:val="center"/>
          </w:tcPr>
          <w:p w14:paraId="18402DDD"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13D4DFC1" w14:textId="77777777" w:rsidTr="009F7F8A">
        <w:trPr>
          <w:cantSplit/>
          <w:trHeight w:val="555"/>
        </w:trPr>
        <w:tc>
          <w:tcPr>
            <w:tcW w:w="851" w:type="dxa"/>
            <w:vMerge/>
            <w:vAlign w:val="center"/>
          </w:tcPr>
          <w:p w14:paraId="4637CF19" w14:textId="77777777" w:rsidR="009F7F8A" w:rsidRPr="00AC3044" w:rsidRDefault="009F7F8A" w:rsidP="009F7F8A">
            <w:pPr>
              <w:rPr>
                <w:rFonts w:eastAsia="SimSun"/>
              </w:rPr>
            </w:pPr>
          </w:p>
        </w:tc>
        <w:tc>
          <w:tcPr>
            <w:tcW w:w="1701" w:type="dxa"/>
            <w:vAlign w:val="center"/>
          </w:tcPr>
          <w:p w14:paraId="6610D150" w14:textId="77777777" w:rsidR="009F7F8A" w:rsidRPr="00AC3044" w:rsidRDefault="009F7F8A" w:rsidP="009F7F8A">
            <w:pPr>
              <w:rPr>
                <w:rFonts w:eastAsia="SimSun"/>
              </w:rPr>
            </w:pPr>
            <w:r w:rsidRPr="00AC3044">
              <w:rPr>
                <w:rFonts w:eastAsia="SimSun"/>
              </w:rPr>
              <w:t>Тиотепа</w:t>
            </w:r>
          </w:p>
        </w:tc>
        <w:tc>
          <w:tcPr>
            <w:tcW w:w="1559" w:type="dxa"/>
            <w:vAlign w:val="center"/>
          </w:tcPr>
          <w:p w14:paraId="2E3AE519" w14:textId="77777777" w:rsidR="009F7F8A" w:rsidRPr="00AC3044" w:rsidRDefault="009F7F8A" w:rsidP="009F7F8A">
            <w:pPr>
              <w:rPr>
                <w:rFonts w:eastAsia="SimSun"/>
              </w:rPr>
            </w:pPr>
            <w:r w:rsidRPr="00AC3044">
              <w:rPr>
                <w:rFonts w:eastAsia="SimSun"/>
              </w:rPr>
              <w:t>5 мг/кг</w:t>
            </w:r>
          </w:p>
        </w:tc>
        <w:tc>
          <w:tcPr>
            <w:tcW w:w="1418" w:type="dxa"/>
            <w:vAlign w:val="center"/>
          </w:tcPr>
          <w:p w14:paraId="2473AD4D" w14:textId="77777777" w:rsidR="009F7F8A" w:rsidRPr="00AC3044" w:rsidRDefault="009F7F8A" w:rsidP="009F7F8A">
            <w:pPr>
              <w:rPr>
                <w:rFonts w:eastAsia="SimSun"/>
              </w:rPr>
            </w:pPr>
            <w:r w:rsidRPr="00AC3044">
              <w:rPr>
                <w:rFonts w:eastAsia="SimSun"/>
              </w:rPr>
              <w:t>10 мг/кг</w:t>
            </w:r>
          </w:p>
        </w:tc>
        <w:tc>
          <w:tcPr>
            <w:tcW w:w="1701" w:type="dxa"/>
            <w:vAlign w:val="center"/>
          </w:tcPr>
          <w:p w14:paraId="04CC25D0" w14:textId="77777777" w:rsidR="009F7F8A" w:rsidRPr="00AC3044" w:rsidRDefault="009F7F8A" w:rsidP="009F7F8A">
            <w:pPr>
              <w:rPr>
                <w:rFonts w:eastAsia="SimSun"/>
              </w:rPr>
            </w:pPr>
            <w:r w:rsidRPr="00AC3044">
              <w:rPr>
                <w:rFonts w:eastAsia="SimSun"/>
              </w:rPr>
              <w:t>-6,-5 дни</w:t>
            </w:r>
          </w:p>
        </w:tc>
        <w:tc>
          <w:tcPr>
            <w:tcW w:w="2268" w:type="dxa"/>
            <w:vAlign w:val="center"/>
          </w:tcPr>
          <w:p w14:paraId="26D350F0"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524D5049" w14:textId="77777777" w:rsidTr="009F7F8A">
        <w:trPr>
          <w:cantSplit/>
          <w:trHeight w:val="1498"/>
        </w:trPr>
        <w:tc>
          <w:tcPr>
            <w:tcW w:w="851" w:type="dxa"/>
            <w:textDirection w:val="btLr"/>
            <w:vAlign w:val="center"/>
          </w:tcPr>
          <w:p w14:paraId="6898BD69"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46A75E3B"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1DD6C54B"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535B8924"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79A8FB13" w14:textId="77777777" w:rsidR="009F7F8A" w:rsidRPr="00AC3044" w:rsidRDefault="009F7F8A" w:rsidP="009F7F8A">
            <w:pPr>
              <w:rPr>
                <w:rFonts w:eastAsia="SimSun"/>
              </w:rPr>
            </w:pPr>
            <w:r w:rsidRPr="00AC3044">
              <w:rPr>
                <w:rFonts w:eastAsia="SimSun"/>
              </w:rPr>
              <w:t>С +3 дня по +4 день</w:t>
            </w:r>
          </w:p>
        </w:tc>
        <w:tc>
          <w:tcPr>
            <w:tcW w:w="2268" w:type="dxa"/>
            <w:vAlign w:val="center"/>
          </w:tcPr>
          <w:p w14:paraId="62B4EF4D" w14:textId="77777777" w:rsidR="009F7F8A" w:rsidRPr="00AC3044" w:rsidRDefault="009F7F8A" w:rsidP="009F7F8A">
            <w:pPr>
              <w:rPr>
                <w:rFonts w:eastAsia="SimSun"/>
              </w:rPr>
            </w:pPr>
            <w:r w:rsidRPr="00AC3044">
              <w:rPr>
                <w:rFonts w:eastAsia="SimSun"/>
              </w:rPr>
              <w:t>В/в, в течение 2 часов</w:t>
            </w:r>
          </w:p>
        </w:tc>
      </w:tr>
    </w:tbl>
    <w:p w14:paraId="7B0DEF43" w14:textId="77777777" w:rsidR="009F7F8A" w:rsidRDefault="009F7F8A" w:rsidP="009F7F8A">
      <w:pPr>
        <w:rPr>
          <w:rFonts w:eastAsia="SimSun"/>
        </w:rPr>
      </w:pPr>
      <w:bookmarkStart w:id="174" w:name="_Toc44401209"/>
    </w:p>
    <w:p w14:paraId="60A0C903"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2.2.9 – Flu180+Bu8 / PT-Cy+Tx+MMF30</w:t>
      </w:r>
      <w:bookmarkEnd w:id="17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F7F8A" w:rsidRPr="00AC3044" w14:paraId="1B9A3A3D" w14:textId="77777777" w:rsidTr="009F7F8A">
        <w:trPr>
          <w:cantSplit/>
          <w:trHeight w:val="20"/>
          <w:tblHeader/>
        </w:trPr>
        <w:tc>
          <w:tcPr>
            <w:tcW w:w="817" w:type="dxa"/>
            <w:vAlign w:val="center"/>
          </w:tcPr>
          <w:p w14:paraId="134C52AE" w14:textId="77777777" w:rsidR="009F7F8A" w:rsidRPr="00470D3D" w:rsidRDefault="009F7F8A" w:rsidP="009F7F8A">
            <w:pPr>
              <w:rPr>
                <w:rFonts w:eastAsia="SimSun"/>
              </w:rPr>
            </w:pPr>
          </w:p>
        </w:tc>
        <w:tc>
          <w:tcPr>
            <w:tcW w:w="1701" w:type="dxa"/>
            <w:vAlign w:val="center"/>
          </w:tcPr>
          <w:p w14:paraId="720CA7D6"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6A8FB9A5"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26D1E75A"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5DA53D90"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27379D4C"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1626A794" w14:textId="77777777" w:rsidTr="009F7F8A">
        <w:trPr>
          <w:cantSplit/>
          <w:trHeight w:val="20"/>
        </w:trPr>
        <w:tc>
          <w:tcPr>
            <w:tcW w:w="817" w:type="dxa"/>
            <w:vMerge w:val="restart"/>
            <w:textDirection w:val="btLr"/>
            <w:vAlign w:val="center"/>
          </w:tcPr>
          <w:p w14:paraId="06B8F088"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7FF057FC"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426C62CC"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5316F683"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701" w:type="dxa"/>
            <w:vAlign w:val="center"/>
          </w:tcPr>
          <w:p w14:paraId="32FBE797"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04F06A32"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7DB0C53D" w14:textId="77777777" w:rsidTr="009F7F8A">
        <w:trPr>
          <w:cantSplit/>
          <w:trHeight w:val="889"/>
        </w:trPr>
        <w:tc>
          <w:tcPr>
            <w:tcW w:w="817" w:type="dxa"/>
            <w:vMerge/>
            <w:vAlign w:val="center"/>
          </w:tcPr>
          <w:p w14:paraId="63F7A112" w14:textId="77777777" w:rsidR="009F7F8A" w:rsidRPr="00AC3044" w:rsidRDefault="009F7F8A" w:rsidP="009F7F8A">
            <w:pPr>
              <w:rPr>
                <w:rFonts w:eastAsia="SimSun"/>
              </w:rPr>
            </w:pPr>
          </w:p>
        </w:tc>
        <w:tc>
          <w:tcPr>
            <w:tcW w:w="1701" w:type="dxa"/>
            <w:vAlign w:val="center"/>
          </w:tcPr>
          <w:p w14:paraId="2DEB143E"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2E746D29" w14:textId="77777777" w:rsidR="009F7F8A" w:rsidRPr="00AC3044" w:rsidRDefault="009F7F8A" w:rsidP="009F7F8A">
            <w:pPr>
              <w:rPr>
                <w:rFonts w:eastAsia="SimSun"/>
              </w:rPr>
            </w:pPr>
            <w:r w:rsidRPr="00AC3044">
              <w:rPr>
                <w:rFonts w:eastAsia="SimSun"/>
              </w:rPr>
              <w:t xml:space="preserve">4 мг/кг </w:t>
            </w:r>
          </w:p>
        </w:tc>
        <w:tc>
          <w:tcPr>
            <w:tcW w:w="1418" w:type="dxa"/>
            <w:vAlign w:val="center"/>
          </w:tcPr>
          <w:p w14:paraId="438C812E" w14:textId="77777777" w:rsidR="009F7F8A" w:rsidRPr="00AC3044" w:rsidRDefault="009F7F8A" w:rsidP="009F7F8A">
            <w:pPr>
              <w:rPr>
                <w:rFonts w:eastAsia="SimSun"/>
              </w:rPr>
            </w:pPr>
            <w:r w:rsidRPr="00AC3044">
              <w:rPr>
                <w:rFonts w:eastAsia="SimSun"/>
              </w:rPr>
              <w:t xml:space="preserve">8 мг/кг </w:t>
            </w:r>
          </w:p>
        </w:tc>
        <w:tc>
          <w:tcPr>
            <w:tcW w:w="1701" w:type="dxa"/>
            <w:vAlign w:val="center"/>
          </w:tcPr>
          <w:p w14:paraId="00449FE6" w14:textId="77777777" w:rsidR="009F7F8A" w:rsidRPr="00AC3044" w:rsidRDefault="009F7F8A" w:rsidP="009F7F8A">
            <w:pPr>
              <w:rPr>
                <w:rFonts w:eastAsia="SimSun"/>
              </w:rPr>
            </w:pPr>
            <w:r w:rsidRPr="00AC3044">
              <w:rPr>
                <w:rFonts w:eastAsia="SimSun"/>
              </w:rPr>
              <w:t>С -4 дня по -3 день</w:t>
            </w:r>
          </w:p>
        </w:tc>
        <w:tc>
          <w:tcPr>
            <w:tcW w:w="2268" w:type="dxa"/>
            <w:vAlign w:val="center"/>
          </w:tcPr>
          <w:p w14:paraId="63B6FA64"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428DE697" w14:textId="77777777" w:rsidTr="009F7F8A">
        <w:trPr>
          <w:cantSplit/>
          <w:trHeight w:val="548"/>
        </w:trPr>
        <w:tc>
          <w:tcPr>
            <w:tcW w:w="817" w:type="dxa"/>
            <w:vMerge w:val="restart"/>
            <w:textDirection w:val="btLr"/>
            <w:vAlign w:val="center"/>
          </w:tcPr>
          <w:p w14:paraId="018BA781"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65A5BA88"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21F1D5DE"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55A65826"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699093FA" w14:textId="77777777" w:rsidR="009F7F8A" w:rsidRPr="00AC3044" w:rsidRDefault="009F7F8A" w:rsidP="009F7F8A">
            <w:pPr>
              <w:rPr>
                <w:rFonts w:eastAsia="SimSun"/>
              </w:rPr>
            </w:pPr>
            <w:r w:rsidRPr="00AC3044">
              <w:rPr>
                <w:rFonts w:eastAsia="SimSun"/>
              </w:rPr>
              <w:t>С +3 дня по +4 день</w:t>
            </w:r>
          </w:p>
        </w:tc>
        <w:tc>
          <w:tcPr>
            <w:tcW w:w="2268" w:type="dxa"/>
            <w:vAlign w:val="center"/>
          </w:tcPr>
          <w:p w14:paraId="6A89C66B"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31DBB3E2" w14:textId="77777777" w:rsidTr="009F7F8A">
        <w:trPr>
          <w:cantSplit/>
          <w:trHeight w:val="958"/>
        </w:trPr>
        <w:tc>
          <w:tcPr>
            <w:tcW w:w="817" w:type="dxa"/>
            <w:vMerge/>
            <w:textDirection w:val="btLr"/>
            <w:vAlign w:val="center"/>
          </w:tcPr>
          <w:p w14:paraId="58D40206" w14:textId="77777777" w:rsidR="009F7F8A" w:rsidRPr="00AC3044" w:rsidRDefault="009F7F8A" w:rsidP="009F7F8A">
            <w:pPr>
              <w:rPr>
                <w:rFonts w:eastAsia="SimSun"/>
              </w:rPr>
            </w:pPr>
          </w:p>
        </w:tc>
        <w:tc>
          <w:tcPr>
            <w:tcW w:w="1701" w:type="dxa"/>
            <w:vAlign w:val="center"/>
          </w:tcPr>
          <w:p w14:paraId="585E91D8" w14:textId="77777777" w:rsidR="009F7F8A" w:rsidRPr="00AC3044" w:rsidRDefault="009F7F8A" w:rsidP="009F7F8A">
            <w:pPr>
              <w:rPr>
                <w:rFonts w:eastAsia="SimSun"/>
              </w:rPr>
            </w:pPr>
            <w:r w:rsidRPr="00AC3044">
              <w:rPr>
                <w:rFonts w:eastAsia="SimSun"/>
              </w:rPr>
              <w:t xml:space="preserve">Такролимус </w:t>
            </w:r>
          </w:p>
        </w:tc>
        <w:tc>
          <w:tcPr>
            <w:tcW w:w="1559" w:type="dxa"/>
            <w:vAlign w:val="center"/>
          </w:tcPr>
          <w:p w14:paraId="3F0DFA5D" w14:textId="77777777" w:rsidR="009F7F8A" w:rsidRPr="00AC3044" w:rsidRDefault="009F7F8A" w:rsidP="009F7F8A">
            <w:pPr>
              <w:rPr>
                <w:rFonts w:eastAsia="SimSun"/>
              </w:rPr>
            </w:pPr>
            <w:r w:rsidRPr="00AC3044">
              <w:rPr>
                <w:rFonts w:eastAsia="SimSun"/>
              </w:rPr>
              <w:t>0,03 мг/кг</w:t>
            </w:r>
          </w:p>
        </w:tc>
        <w:tc>
          <w:tcPr>
            <w:tcW w:w="1418" w:type="dxa"/>
            <w:vAlign w:val="center"/>
          </w:tcPr>
          <w:p w14:paraId="164A9509" w14:textId="77777777" w:rsidR="009F7F8A" w:rsidRPr="00AC3044" w:rsidRDefault="009F7F8A" w:rsidP="009F7F8A">
            <w:pPr>
              <w:rPr>
                <w:rFonts w:eastAsia="SimSun"/>
              </w:rPr>
            </w:pPr>
            <w:r w:rsidRPr="00AC3044">
              <w:rPr>
                <w:rFonts w:eastAsia="SimSun"/>
              </w:rPr>
              <w:t>–</w:t>
            </w:r>
          </w:p>
        </w:tc>
        <w:tc>
          <w:tcPr>
            <w:tcW w:w="1701" w:type="dxa"/>
            <w:vAlign w:val="center"/>
          </w:tcPr>
          <w:p w14:paraId="4644262D" w14:textId="77777777" w:rsidR="009F7F8A" w:rsidRPr="00AC3044" w:rsidRDefault="009F7F8A" w:rsidP="009F7F8A">
            <w:pPr>
              <w:rPr>
                <w:rFonts w:eastAsia="SimSun"/>
              </w:rPr>
            </w:pPr>
            <w:r w:rsidRPr="00AC3044">
              <w:rPr>
                <w:rFonts w:eastAsia="SimSun"/>
              </w:rPr>
              <w:t xml:space="preserve">С +5 дня длительно </w:t>
            </w:r>
          </w:p>
        </w:tc>
        <w:tc>
          <w:tcPr>
            <w:tcW w:w="2268" w:type="dxa"/>
            <w:vAlign w:val="center"/>
          </w:tcPr>
          <w:p w14:paraId="3F79771F"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109/л, при отсутствии тошноты, рвоты, диареи и возможности приема внутрь. Концентрация Tx 5-15 нг/мл.    </w:t>
            </w:r>
          </w:p>
        </w:tc>
      </w:tr>
      <w:tr w:rsidR="009F7F8A" w:rsidRPr="00AC3044" w14:paraId="23C1DF39" w14:textId="77777777" w:rsidTr="009F7F8A">
        <w:trPr>
          <w:cantSplit/>
          <w:trHeight w:val="214"/>
        </w:trPr>
        <w:tc>
          <w:tcPr>
            <w:tcW w:w="817" w:type="dxa"/>
            <w:vMerge/>
            <w:textDirection w:val="btLr"/>
            <w:vAlign w:val="center"/>
          </w:tcPr>
          <w:p w14:paraId="5490B3DA" w14:textId="77777777" w:rsidR="009F7F8A" w:rsidRPr="00AC3044" w:rsidRDefault="009F7F8A" w:rsidP="009F7F8A">
            <w:pPr>
              <w:rPr>
                <w:rFonts w:eastAsia="SimSun"/>
              </w:rPr>
            </w:pPr>
          </w:p>
        </w:tc>
        <w:tc>
          <w:tcPr>
            <w:tcW w:w="1701" w:type="dxa"/>
            <w:vAlign w:val="center"/>
          </w:tcPr>
          <w:p w14:paraId="4E50885D"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028C2D48" w14:textId="77777777" w:rsidR="009F7F8A" w:rsidRPr="00AC3044" w:rsidRDefault="009F7F8A" w:rsidP="009F7F8A">
            <w:pPr>
              <w:rPr>
                <w:rFonts w:eastAsia="SimSun"/>
              </w:rPr>
            </w:pPr>
            <w:r w:rsidRPr="00AC3044">
              <w:rPr>
                <w:rFonts w:eastAsia="SimSun"/>
              </w:rPr>
              <w:t xml:space="preserve">30 мг/кг </w:t>
            </w:r>
          </w:p>
        </w:tc>
        <w:tc>
          <w:tcPr>
            <w:tcW w:w="1418" w:type="dxa"/>
            <w:vAlign w:val="center"/>
          </w:tcPr>
          <w:p w14:paraId="56B1E04C" w14:textId="77777777" w:rsidR="009F7F8A" w:rsidRPr="00AC3044" w:rsidRDefault="009F7F8A" w:rsidP="009F7F8A">
            <w:pPr>
              <w:rPr>
                <w:rFonts w:eastAsia="SimSun"/>
              </w:rPr>
            </w:pPr>
            <w:r w:rsidRPr="00AC3044">
              <w:rPr>
                <w:rFonts w:eastAsia="SimSun"/>
              </w:rPr>
              <w:t>–</w:t>
            </w:r>
          </w:p>
        </w:tc>
        <w:tc>
          <w:tcPr>
            <w:tcW w:w="1701" w:type="dxa"/>
            <w:vAlign w:val="center"/>
          </w:tcPr>
          <w:p w14:paraId="00F6A5D9" w14:textId="77777777" w:rsidR="009F7F8A" w:rsidRPr="00AC3044" w:rsidRDefault="009F7F8A" w:rsidP="009F7F8A">
            <w:pPr>
              <w:rPr>
                <w:rFonts w:eastAsia="SimSun"/>
              </w:rPr>
            </w:pPr>
            <w:r w:rsidRPr="00AC3044">
              <w:rPr>
                <w:rFonts w:eastAsia="SimSun"/>
              </w:rPr>
              <w:t xml:space="preserve">С +5 дня по +35 день </w:t>
            </w:r>
          </w:p>
        </w:tc>
        <w:tc>
          <w:tcPr>
            <w:tcW w:w="2268" w:type="dxa"/>
            <w:vAlign w:val="center"/>
          </w:tcPr>
          <w:p w14:paraId="11451EF9"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5F9D457D" w14:textId="77777777" w:rsidR="009F7F8A" w:rsidRDefault="009F7F8A" w:rsidP="009F7F8A">
      <w:pPr>
        <w:rPr>
          <w:rFonts w:eastAsia="SimSun"/>
        </w:rPr>
      </w:pPr>
      <w:bookmarkStart w:id="175" w:name="_Toc44401210"/>
    </w:p>
    <w:p w14:paraId="2F7FC250"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2.2.10  – Flu180+Bu8 / Tx+MMF30</w:t>
      </w:r>
      <w:bookmarkEnd w:id="17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F7F8A" w:rsidRPr="00AC3044" w14:paraId="549AA848" w14:textId="77777777" w:rsidTr="009F7F8A">
        <w:trPr>
          <w:cantSplit/>
          <w:trHeight w:val="20"/>
          <w:tblHeader/>
        </w:trPr>
        <w:tc>
          <w:tcPr>
            <w:tcW w:w="817" w:type="dxa"/>
            <w:vAlign w:val="center"/>
          </w:tcPr>
          <w:p w14:paraId="534E3673" w14:textId="77777777" w:rsidR="009F7F8A" w:rsidRPr="00AC3044" w:rsidRDefault="009F7F8A" w:rsidP="009F7F8A">
            <w:pPr>
              <w:rPr>
                <w:rFonts w:eastAsia="SimSun"/>
              </w:rPr>
            </w:pPr>
          </w:p>
        </w:tc>
        <w:tc>
          <w:tcPr>
            <w:tcW w:w="1701" w:type="dxa"/>
            <w:vAlign w:val="center"/>
          </w:tcPr>
          <w:p w14:paraId="7A8BCD3D"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604D99D7"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1C13B08A"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3A685308"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4F463CE3"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3F89DAC0" w14:textId="77777777" w:rsidTr="009F7F8A">
        <w:trPr>
          <w:cantSplit/>
          <w:trHeight w:val="20"/>
        </w:trPr>
        <w:tc>
          <w:tcPr>
            <w:tcW w:w="817" w:type="dxa"/>
            <w:vMerge w:val="restart"/>
            <w:textDirection w:val="btLr"/>
            <w:vAlign w:val="center"/>
          </w:tcPr>
          <w:p w14:paraId="4C36A780"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67C4AF11"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7F7D09A5"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7AE80369"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701" w:type="dxa"/>
            <w:vAlign w:val="center"/>
          </w:tcPr>
          <w:p w14:paraId="31D7D8BE"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40A2C5C5"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440B175D" w14:textId="77777777" w:rsidTr="009F7F8A">
        <w:trPr>
          <w:cantSplit/>
          <w:trHeight w:val="1207"/>
        </w:trPr>
        <w:tc>
          <w:tcPr>
            <w:tcW w:w="817" w:type="dxa"/>
            <w:vMerge/>
            <w:vAlign w:val="center"/>
          </w:tcPr>
          <w:p w14:paraId="2699DCD5" w14:textId="77777777" w:rsidR="009F7F8A" w:rsidRPr="00AC3044" w:rsidRDefault="009F7F8A" w:rsidP="009F7F8A">
            <w:pPr>
              <w:rPr>
                <w:rFonts w:eastAsia="SimSun"/>
              </w:rPr>
            </w:pPr>
          </w:p>
        </w:tc>
        <w:tc>
          <w:tcPr>
            <w:tcW w:w="1701" w:type="dxa"/>
            <w:vAlign w:val="center"/>
          </w:tcPr>
          <w:p w14:paraId="77B98C20"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2441A309" w14:textId="77777777" w:rsidR="009F7F8A" w:rsidRPr="00AC3044" w:rsidRDefault="009F7F8A" w:rsidP="009F7F8A">
            <w:pPr>
              <w:rPr>
                <w:rFonts w:eastAsia="SimSun"/>
              </w:rPr>
            </w:pPr>
            <w:r w:rsidRPr="00AC3044">
              <w:rPr>
                <w:rFonts w:eastAsia="SimSun"/>
              </w:rPr>
              <w:t xml:space="preserve">4 мг/кг </w:t>
            </w:r>
          </w:p>
        </w:tc>
        <w:tc>
          <w:tcPr>
            <w:tcW w:w="1418" w:type="dxa"/>
            <w:vAlign w:val="center"/>
          </w:tcPr>
          <w:p w14:paraId="05184A0B" w14:textId="77777777" w:rsidR="009F7F8A" w:rsidRPr="00AC3044" w:rsidRDefault="009F7F8A" w:rsidP="009F7F8A">
            <w:pPr>
              <w:rPr>
                <w:rFonts w:eastAsia="SimSun"/>
              </w:rPr>
            </w:pPr>
            <w:r w:rsidRPr="00AC3044">
              <w:rPr>
                <w:rFonts w:eastAsia="SimSun"/>
              </w:rPr>
              <w:t xml:space="preserve">8 мг/кг </w:t>
            </w:r>
          </w:p>
        </w:tc>
        <w:tc>
          <w:tcPr>
            <w:tcW w:w="1701" w:type="dxa"/>
            <w:vAlign w:val="center"/>
          </w:tcPr>
          <w:p w14:paraId="0FDD3D33" w14:textId="77777777" w:rsidR="009F7F8A" w:rsidRPr="00AC3044" w:rsidRDefault="009F7F8A" w:rsidP="009F7F8A">
            <w:pPr>
              <w:rPr>
                <w:rFonts w:eastAsia="SimSun"/>
              </w:rPr>
            </w:pPr>
            <w:r w:rsidRPr="00AC3044">
              <w:rPr>
                <w:rFonts w:eastAsia="SimSun"/>
              </w:rPr>
              <w:t>С -4 дня по -3 день</w:t>
            </w:r>
          </w:p>
        </w:tc>
        <w:tc>
          <w:tcPr>
            <w:tcW w:w="2268" w:type="dxa"/>
            <w:vAlign w:val="center"/>
          </w:tcPr>
          <w:p w14:paraId="35817FA8"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2868446F" w14:textId="77777777" w:rsidTr="009F7F8A">
        <w:trPr>
          <w:cantSplit/>
          <w:trHeight w:val="1498"/>
        </w:trPr>
        <w:tc>
          <w:tcPr>
            <w:tcW w:w="817" w:type="dxa"/>
            <w:vMerge w:val="restart"/>
            <w:textDirection w:val="btLr"/>
            <w:vAlign w:val="center"/>
          </w:tcPr>
          <w:p w14:paraId="788C21A0"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32F2E4F9" w14:textId="77777777" w:rsidR="009F7F8A" w:rsidRPr="00AC3044" w:rsidRDefault="009F7F8A" w:rsidP="009F7F8A">
            <w:pPr>
              <w:rPr>
                <w:rFonts w:eastAsia="SimSun"/>
              </w:rPr>
            </w:pPr>
            <w:r w:rsidRPr="00AC3044">
              <w:rPr>
                <w:rFonts w:eastAsia="SimSun"/>
              </w:rPr>
              <w:t xml:space="preserve">Такролимус </w:t>
            </w:r>
          </w:p>
        </w:tc>
        <w:tc>
          <w:tcPr>
            <w:tcW w:w="1559" w:type="dxa"/>
            <w:vAlign w:val="center"/>
          </w:tcPr>
          <w:p w14:paraId="2B46E306" w14:textId="77777777" w:rsidR="009F7F8A" w:rsidRPr="00AC3044" w:rsidRDefault="009F7F8A" w:rsidP="009F7F8A">
            <w:pPr>
              <w:rPr>
                <w:rFonts w:eastAsia="SimSun"/>
              </w:rPr>
            </w:pPr>
            <w:r w:rsidRPr="00AC3044">
              <w:rPr>
                <w:rFonts w:eastAsia="SimSun"/>
              </w:rPr>
              <w:t>0,03 мг/кг</w:t>
            </w:r>
          </w:p>
        </w:tc>
        <w:tc>
          <w:tcPr>
            <w:tcW w:w="1418" w:type="dxa"/>
            <w:vAlign w:val="center"/>
          </w:tcPr>
          <w:p w14:paraId="59802A5B" w14:textId="77777777" w:rsidR="009F7F8A" w:rsidRPr="00AC3044" w:rsidRDefault="009F7F8A" w:rsidP="009F7F8A">
            <w:pPr>
              <w:rPr>
                <w:rFonts w:eastAsia="SimSun"/>
              </w:rPr>
            </w:pPr>
            <w:r w:rsidRPr="00AC3044">
              <w:rPr>
                <w:rFonts w:eastAsia="SimSun"/>
              </w:rPr>
              <w:t>–</w:t>
            </w:r>
          </w:p>
        </w:tc>
        <w:tc>
          <w:tcPr>
            <w:tcW w:w="1701" w:type="dxa"/>
            <w:vAlign w:val="center"/>
          </w:tcPr>
          <w:p w14:paraId="24E5C259" w14:textId="77777777" w:rsidR="009F7F8A" w:rsidRPr="00AC3044" w:rsidRDefault="009F7F8A" w:rsidP="009F7F8A">
            <w:pPr>
              <w:rPr>
                <w:rFonts w:eastAsia="SimSun"/>
              </w:rPr>
            </w:pPr>
            <w:r w:rsidRPr="00AC3044">
              <w:rPr>
                <w:rFonts w:eastAsia="SimSun"/>
              </w:rPr>
              <w:t xml:space="preserve">С +5 дня длительно </w:t>
            </w:r>
          </w:p>
        </w:tc>
        <w:tc>
          <w:tcPr>
            <w:tcW w:w="2268" w:type="dxa"/>
            <w:vAlign w:val="center"/>
          </w:tcPr>
          <w:p w14:paraId="1D5D8948"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2385D8DA" w14:textId="77777777" w:rsidTr="009F7F8A">
        <w:trPr>
          <w:cantSplit/>
          <w:trHeight w:val="570"/>
        </w:trPr>
        <w:tc>
          <w:tcPr>
            <w:tcW w:w="817" w:type="dxa"/>
            <w:vMerge/>
            <w:textDirection w:val="btLr"/>
            <w:vAlign w:val="center"/>
          </w:tcPr>
          <w:p w14:paraId="43160F6B" w14:textId="77777777" w:rsidR="009F7F8A" w:rsidRPr="00AC3044" w:rsidRDefault="009F7F8A" w:rsidP="009F7F8A">
            <w:pPr>
              <w:rPr>
                <w:rFonts w:eastAsia="SimSun"/>
              </w:rPr>
            </w:pPr>
          </w:p>
        </w:tc>
        <w:tc>
          <w:tcPr>
            <w:tcW w:w="1701" w:type="dxa"/>
            <w:vAlign w:val="center"/>
          </w:tcPr>
          <w:p w14:paraId="405A6572"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66F29DA1" w14:textId="77777777" w:rsidR="009F7F8A" w:rsidRPr="00AC3044" w:rsidRDefault="009F7F8A" w:rsidP="009F7F8A">
            <w:pPr>
              <w:rPr>
                <w:rFonts w:eastAsia="SimSun"/>
              </w:rPr>
            </w:pPr>
            <w:r w:rsidRPr="00AC3044">
              <w:rPr>
                <w:rFonts w:eastAsia="SimSun"/>
              </w:rPr>
              <w:t xml:space="preserve">30 мг/кг </w:t>
            </w:r>
          </w:p>
        </w:tc>
        <w:tc>
          <w:tcPr>
            <w:tcW w:w="1418" w:type="dxa"/>
            <w:vAlign w:val="center"/>
          </w:tcPr>
          <w:p w14:paraId="049613D1" w14:textId="77777777" w:rsidR="009F7F8A" w:rsidRPr="00AC3044" w:rsidRDefault="009F7F8A" w:rsidP="009F7F8A">
            <w:pPr>
              <w:rPr>
                <w:rFonts w:eastAsia="SimSun"/>
              </w:rPr>
            </w:pPr>
            <w:r w:rsidRPr="00AC3044">
              <w:rPr>
                <w:rFonts w:eastAsia="SimSun"/>
              </w:rPr>
              <w:t>–</w:t>
            </w:r>
          </w:p>
        </w:tc>
        <w:tc>
          <w:tcPr>
            <w:tcW w:w="1701" w:type="dxa"/>
            <w:vAlign w:val="center"/>
          </w:tcPr>
          <w:p w14:paraId="0C82E2BD" w14:textId="77777777" w:rsidR="009F7F8A" w:rsidRPr="00AC3044" w:rsidRDefault="009F7F8A" w:rsidP="009F7F8A">
            <w:pPr>
              <w:rPr>
                <w:rFonts w:eastAsia="SimSun"/>
              </w:rPr>
            </w:pPr>
            <w:r w:rsidRPr="00AC3044">
              <w:rPr>
                <w:rFonts w:eastAsia="SimSun"/>
              </w:rPr>
              <w:t xml:space="preserve">С +5 дня по +35 день </w:t>
            </w:r>
          </w:p>
        </w:tc>
        <w:tc>
          <w:tcPr>
            <w:tcW w:w="2268" w:type="dxa"/>
            <w:vAlign w:val="center"/>
          </w:tcPr>
          <w:p w14:paraId="14412DC7"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60DCE774" w14:textId="77777777" w:rsidR="009F7F8A" w:rsidRPr="00C07B2E" w:rsidRDefault="009F7F8A" w:rsidP="009F7F8A">
      <w:pPr>
        <w:rPr>
          <w:rFonts w:eastAsia="SimSun"/>
        </w:rPr>
      </w:pPr>
    </w:p>
    <w:p w14:paraId="15A83931" w14:textId="77777777" w:rsidR="009F7F8A" w:rsidRPr="00C07B2E" w:rsidRDefault="009F7F8A" w:rsidP="009F7F8A">
      <w:pPr>
        <w:rPr>
          <w:rFonts w:eastAsia="SimSun"/>
        </w:rPr>
      </w:pPr>
      <w:bookmarkStart w:id="176" w:name="_Toc44401211"/>
      <w:r w:rsidRPr="00042499">
        <w:rPr>
          <w:rFonts w:eastAsia="SimSun"/>
        </w:rPr>
        <w:t>Таблица</w:t>
      </w:r>
      <w:r w:rsidRPr="00C07B2E">
        <w:rPr>
          <w:rFonts w:eastAsia="SimSun"/>
        </w:rPr>
        <w:t xml:space="preserve"> </w:t>
      </w:r>
      <w:r>
        <w:rPr>
          <w:rFonts w:eastAsia="SimSun"/>
        </w:rPr>
        <w:t>5.</w:t>
      </w:r>
      <w:r w:rsidRPr="00C07B2E">
        <w:rPr>
          <w:rFonts w:eastAsia="SimSun"/>
        </w:rPr>
        <w:t>2.2.11 – Flu180+Bu8 / PT-Cy+CSA+MMF30</w:t>
      </w:r>
      <w:bookmarkEnd w:id="17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F7F8A" w:rsidRPr="00AC3044" w14:paraId="7523F94F" w14:textId="77777777" w:rsidTr="009F7F8A">
        <w:trPr>
          <w:cantSplit/>
          <w:trHeight w:val="20"/>
          <w:tblHeader/>
        </w:trPr>
        <w:tc>
          <w:tcPr>
            <w:tcW w:w="817" w:type="dxa"/>
            <w:vAlign w:val="center"/>
          </w:tcPr>
          <w:p w14:paraId="71A6BD6D" w14:textId="77777777" w:rsidR="009F7F8A" w:rsidRPr="00470D3D" w:rsidRDefault="009F7F8A" w:rsidP="009F7F8A">
            <w:pPr>
              <w:rPr>
                <w:rFonts w:eastAsia="SimSun"/>
              </w:rPr>
            </w:pPr>
          </w:p>
        </w:tc>
        <w:tc>
          <w:tcPr>
            <w:tcW w:w="1701" w:type="dxa"/>
            <w:vAlign w:val="center"/>
          </w:tcPr>
          <w:p w14:paraId="24BDFA62"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273B37C7"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25D78D49"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5953E1A4"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02042C4B"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5FFDD0C7" w14:textId="77777777" w:rsidTr="009F7F8A">
        <w:trPr>
          <w:cantSplit/>
          <w:trHeight w:val="20"/>
        </w:trPr>
        <w:tc>
          <w:tcPr>
            <w:tcW w:w="817" w:type="dxa"/>
            <w:vMerge w:val="restart"/>
            <w:textDirection w:val="btLr"/>
            <w:vAlign w:val="center"/>
          </w:tcPr>
          <w:p w14:paraId="00203129"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6E0A93D6"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26D65D73"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08CBCB70"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701" w:type="dxa"/>
            <w:vAlign w:val="center"/>
          </w:tcPr>
          <w:p w14:paraId="0D48462E"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28B918EC"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69089211" w14:textId="77777777" w:rsidTr="009F7F8A">
        <w:trPr>
          <w:cantSplit/>
          <w:trHeight w:val="1207"/>
        </w:trPr>
        <w:tc>
          <w:tcPr>
            <w:tcW w:w="817" w:type="dxa"/>
            <w:vMerge/>
            <w:vAlign w:val="center"/>
          </w:tcPr>
          <w:p w14:paraId="273F413B" w14:textId="77777777" w:rsidR="009F7F8A" w:rsidRPr="00AC3044" w:rsidRDefault="009F7F8A" w:rsidP="009F7F8A">
            <w:pPr>
              <w:rPr>
                <w:rFonts w:eastAsia="SimSun"/>
              </w:rPr>
            </w:pPr>
          </w:p>
        </w:tc>
        <w:tc>
          <w:tcPr>
            <w:tcW w:w="1701" w:type="dxa"/>
            <w:vAlign w:val="center"/>
          </w:tcPr>
          <w:p w14:paraId="40B62D3B"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27F1FE23" w14:textId="77777777" w:rsidR="009F7F8A" w:rsidRPr="00AC3044" w:rsidRDefault="009F7F8A" w:rsidP="009F7F8A">
            <w:pPr>
              <w:rPr>
                <w:rFonts w:eastAsia="SimSun"/>
              </w:rPr>
            </w:pPr>
            <w:r w:rsidRPr="00AC3044">
              <w:rPr>
                <w:rFonts w:eastAsia="SimSun"/>
              </w:rPr>
              <w:t xml:space="preserve">4 мг/кг </w:t>
            </w:r>
          </w:p>
        </w:tc>
        <w:tc>
          <w:tcPr>
            <w:tcW w:w="1418" w:type="dxa"/>
            <w:vAlign w:val="center"/>
          </w:tcPr>
          <w:p w14:paraId="09AF460E" w14:textId="77777777" w:rsidR="009F7F8A" w:rsidRPr="00AC3044" w:rsidRDefault="009F7F8A" w:rsidP="009F7F8A">
            <w:pPr>
              <w:rPr>
                <w:rFonts w:eastAsia="SimSun"/>
              </w:rPr>
            </w:pPr>
            <w:r w:rsidRPr="00AC3044">
              <w:rPr>
                <w:rFonts w:eastAsia="SimSun"/>
              </w:rPr>
              <w:t xml:space="preserve">8 мг/кг </w:t>
            </w:r>
          </w:p>
        </w:tc>
        <w:tc>
          <w:tcPr>
            <w:tcW w:w="1701" w:type="dxa"/>
            <w:vAlign w:val="center"/>
          </w:tcPr>
          <w:p w14:paraId="241F498D" w14:textId="77777777" w:rsidR="009F7F8A" w:rsidRPr="00AC3044" w:rsidRDefault="009F7F8A" w:rsidP="009F7F8A">
            <w:pPr>
              <w:rPr>
                <w:rFonts w:eastAsia="SimSun"/>
              </w:rPr>
            </w:pPr>
            <w:r w:rsidRPr="00AC3044">
              <w:rPr>
                <w:rFonts w:eastAsia="SimSun"/>
              </w:rPr>
              <w:t>С -4 дня по -3 день</w:t>
            </w:r>
          </w:p>
        </w:tc>
        <w:tc>
          <w:tcPr>
            <w:tcW w:w="2268" w:type="dxa"/>
            <w:vAlign w:val="center"/>
          </w:tcPr>
          <w:p w14:paraId="5F555E1E"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66A3CC8C" w14:textId="77777777" w:rsidTr="009F7F8A">
        <w:trPr>
          <w:cantSplit/>
          <w:trHeight w:val="520"/>
        </w:trPr>
        <w:tc>
          <w:tcPr>
            <w:tcW w:w="817" w:type="dxa"/>
            <w:vMerge w:val="restart"/>
            <w:textDirection w:val="btLr"/>
            <w:vAlign w:val="center"/>
          </w:tcPr>
          <w:p w14:paraId="08D888F8"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760B500E"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2B0B319B"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677ADF59"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6FD74394" w14:textId="77777777" w:rsidR="009F7F8A" w:rsidRPr="00AC3044" w:rsidRDefault="009F7F8A" w:rsidP="009F7F8A">
            <w:pPr>
              <w:rPr>
                <w:rFonts w:eastAsia="SimSun"/>
              </w:rPr>
            </w:pPr>
            <w:r w:rsidRPr="00AC3044">
              <w:rPr>
                <w:rFonts w:eastAsia="SimSun"/>
              </w:rPr>
              <w:t>В +3 день  и +5 день</w:t>
            </w:r>
          </w:p>
        </w:tc>
        <w:tc>
          <w:tcPr>
            <w:tcW w:w="2268" w:type="dxa"/>
            <w:vAlign w:val="center"/>
          </w:tcPr>
          <w:p w14:paraId="30487456"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68900A32" w14:textId="77777777" w:rsidTr="009F7F8A">
        <w:trPr>
          <w:cantSplit/>
          <w:trHeight w:val="486"/>
        </w:trPr>
        <w:tc>
          <w:tcPr>
            <w:tcW w:w="817" w:type="dxa"/>
            <w:vMerge/>
            <w:textDirection w:val="btLr"/>
            <w:vAlign w:val="center"/>
          </w:tcPr>
          <w:p w14:paraId="34EB17BD" w14:textId="77777777" w:rsidR="009F7F8A" w:rsidRPr="00AC3044" w:rsidRDefault="009F7F8A" w:rsidP="009F7F8A">
            <w:pPr>
              <w:rPr>
                <w:rFonts w:eastAsia="SimSun"/>
              </w:rPr>
            </w:pPr>
          </w:p>
        </w:tc>
        <w:tc>
          <w:tcPr>
            <w:tcW w:w="1701" w:type="dxa"/>
            <w:vAlign w:val="center"/>
          </w:tcPr>
          <w:p w14:paraId="39FA7152"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57DA3173" w14:textId="77777777" w:rsidR="009F7F8A" w:rsidRPr="00AC3044" w:rsidRDefault="009F7F8A" w:rsidP="009F7F8A">
            <w:pPr>
              <w:rPr>
                <w:rFonts w:eastAsia="SimSun"/>
              </w:rPr>
            </w:pPr>
            <w:r w:rsidRPr="00AC3044">
              <w:rPr>
                <w:rFonts w:eastAsia="SimSun"/>
              </w:rPr>
              <w:t xml:space="preserve">30 мг/кг </w:t>
            </w:r>
          </w:p>
        </w:tc>
        <w:tc>
          <w:tcPr>
            <w:tcW w:w="1418" w:type="dxa"/>
            <w:vAlign w:val="center"/>
          </w:tcPr>
          <w:p w14:paraId="68A800BC" w14:textId="77777777" w:rsidR="009F7F8A" w:rsidRPr="00AC3044" w:rsidRDefault="009F7F8A" w:rsidP="009F7F8A">
            <w:pPr>
              <w:rPr>
                <w:rFonts w:eastAsia="SimSun"/>
              </w:rPr>
            </w:pPr>
            <w:r w:rsidRPr="00AC3044">
              <w:rPr>
                <w:rFonts w:eastAsia="SimSun"/>
              </w:rPr>
              <w:t>–</w:t>
            </w:r>
          </w:p>
        </w:tc>
        <w:tc>
          <w:tcPr>
            <w:tcW w:w="1701" w:type="dxa"/>
            <w:vAlign w:val="center"/>
          </w:tcPr>
          <w:p w14:paraId="10312516" w14:textId="77777777" w:rsidR="009F7F8A" w:rsidRPr="00AC3044" w:rsidRDefault="009F7F8A" w:rsidP="009F7F8A">
            <w:pPr>
              <w:rPr>
                <w:rFonts w:eastAsia="SimSun"/>
              </w:rPr>
            </w:pPr>
            <w:r w:rsidRPr="00AC3044">
              <w:rPr>
                <w:rFonts w:eastAsia="SimSun"/>
              </w:rPr>
              <w:t xml:space="preserve">С +1 дня по +28 день </w:t>
            </w:r>
          </w:p>
        </w:tc>
        <w:tc>
          <w:tcPr>
            <w:tcW w:w="2268" w:type="dxa"/>
            <w:vAlign w:val="center"/>
          </w:tcPr>
          <w:p w14:paraId="486868FA"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r w:rsidR="009F7F8A" w:rsidRPr="00AC3044" w14:paraId="340CFC1C" w14:textId="77777777" w:rsidTr="009F7F8A">
        <w:trPr>
          <w:cantSplit/>
          <w:trHeight w:val="958"/>
        </w:trPr>
        <w:tc>
          <w:tcPr>
            <w:tcW w:w="817" w:type="dxa"/>
            <w:vMerge/>
            <w:textDirection w:val="btLr"/>
            <w:vAlign w:val="center"/>
          </w:tcPr>
          <w:p w14:paraId="78E41606" w14:textId="77777777" w:rsidR="009F7F8A" w:rsidRPr="00AC3044" w:rsidRDefault="009F7F8A" w:rsidP="009F7F8A">
            <w:pPr>
              <w:rPr>
                <w:rFonts w:eastAsia="SimSun"/>
              </w:rPr>
            </w:pPr>
          </w:p>
        </w:tc>
        <w:tc>
          <w:tcPr>
            <w:tcW w:w="1701" w:type="dxa"/>
            <w:vAlign w:val="center"/>
          </w:tcPr>
          <w:p w14:paraId="612DD9AA" w14:textId="77777777" w:rsidR="009F7F8A" w:rsidRPr="00AC3044" w:rsidRDefault="009F7F8A" w:rsidP="009F7F8A">
            <w:pPr>
              <w:rPr>
                <w:rFonts w:eastAsia="SimSun"/>
              </w:rPr>
            </w:pPr>
            <w:r w:rsidRPr="00AC3044">
              <w:rPr>
                <w:rFonts w:eastAsia="SimSun"/>
              </w:rPr>
              <w:t>Циклоспорин А</w:t>
            </w:r>
          </w:p>
        </w:tc>
        <w:tc>
          <w:tcPr>
            <w:tcW w:w="1559" w:type="dxa"/>
            <w:vAlign w:val="center"/>
          </w:tcPr>
          <w:p w14:paraId="370447C5" w14:textId="77777777" w:rsidR="009F7F8A" w:rsidRPr="00AC3044" w:rsidRDefault="009F7F8A" w:rsidP="009F7F8A">
            <w:pPr>
              <w:rPr>
                <w:rFonts w:eastAsia="SimSun"/>
              </w:rPr>
            </w:pPr>
            <w:r w:rsidRPr="00AC3044">
              <w:rPr>
                <w:rFonts w:eastAsia="SimSun"/>
              </w:rPr>
              <w:t>3  мг/кг</w:t>
            </w:r>
          </w:p>
        </w:tc>
        <w:tc>
          <w:tcPr>
            <w:tcW w:w="1418" w:type="dxa"/>
            <w:vAlign w:val="center"/>
          </w:tcPr>
          <w:p w14:paraId="3A421174" w14:textId="77777777" w:rsidR="009F7F8A" w:rsidRPr="00AC3044" w:rsidRDefault="009F7F8A" w:rsidP="009F7F8A">
            <w:pPr>
              <w:rPr>
                <w:rFonts w:eastAsia="SimSun"/>
              </w:rPr>
            </w:pPr>
            <w:r w:rsidRPr="00AC3044">
              <w:rPr>
                <w:rFonts w:eastAsia="SimSun"/>
              </w:rPr>
              <w:t>-</w:t>
            </w:r>
          </w:p>
        </w:tc>
        <w:tc>
          <w:tcPr>
            <w:tcW w:w="1701" w:type="dxa"/>
            <w:vAlign w:val="center"/>
          </w:tcPr>
          <w:p w14:paraId="13A47486" w14:textId="77777777" w:rsidR="009F7F8A" w:rsidRPr="00AC3044" w:rsidRDefault="009F7F8A" w:rsidP="009F7F8A">
            <w:pPr>
              <w:rPr>
                <w:rFonts w:eastAsia="SimSun"/>
              </w:rPr>
            </w:pPr>
            <w:r w:rsidRPr="00AC3044">
              <w:rPr>
                <w:rFonts w:eastAsia="SimSun"/>
              </w:rPr>
              <w:t xml:space="preserve">С -1 дня по +100 день </w:t>
            </w:r>
          </w:p>
        </w:tc>
        <w:tc>
          <w:tcPr>
            <w:tcW w:w="2268" w:type="dxa"/>
            <w:vAlign w:val="center"/>
          </w:tcPr>
          <w:p w14:paraId="2716E2F1"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bl>
    <w:p w14:paraId="71309FBA" w14:textId="77777777" w:rsidR="009F7F8A" w:rsidRPr="00C07B2E" w:rsidRDefault="009F7F8A" w:rsidP="009F7F8A">
      <w:pPr>
        <w:rPr>
          <w:rFonts w:eastAsia="SimSun"/>
        </w:rPr>
      </w:pPr>
    </w:p>
    <w:p w14:paraId="716C8F70" w14:textId="77777777" w:rsidR="009F7F8A" w:rsidRPr="00C07B2E" w:rsidRDefault="009F7F8A" w:rsidP="009F7F8A">
      <w:pPr>
        <w:rPr>
          <w:rFonts w:eastAsia="SimSun"/>
        </w:rPr>
      </w:pPr>
      <w:bookmarkStart w:id="177" w:name="_Toc44401212"/>
      <w:r w:rsidRPr="00042499">
        <w:rPr>
          <w:rFonts w:eastAsia="SimSun"/>
        </w:rPr>
        <w:t>Таблица</w:t>
      </w:r>
      <w:r w:rsidRPr="00C07B2E">
        <w:rPr>
          <w:rFonts w:eastAsia="SimSun"/>
        </w:rPr>
        <w:t xml:space="preserve"> </w:t>
      </w:r>
      <w:r>
        <w:rPr>
          <w:rFonts w:eastAsia="SimSun"/>
        </w:rPr>
        <w:t>5.</w:t>
      </w:r>
      <w:r w:rsidRPr="00C07B2E">
        <w:rPr>
          <w:rFonts w:eastAsia="SimSun"/>
        </w:rPr>
        <w:t>2.2.12  – Flu180+Bu10 / PT-Cy</w:t>
      </w:r>
      <w:bookmarkEnd w:id="17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F7F8A" w:rsidRPr="00AC3044" w14:paraId="6B6715C9" w14:textId="77777777" w:rsidTr="009F7F8A">
        <w:trPr>
          <w:cantSplit/>
          <w:trHeight w:val="20"/>
          <w:tblHeader/>
        </w:trPr>
        <w:tc>
          <w:tcPr>
            <w:tcW w:w="817" w:type="dxa"/>
            <w:vAlign w:val="center"/>
          </w:tcPr>
          <w:p w14:paraId="6CC7B90A" w14:textId="77777777" w:rsidR="009F7F8A" w:rsidRPr="00AC3044" w:rsidRDefault="009F7F8A" w:rsidP="009F7F8A">
            <w:pPr>
              <w:rPr>
                <w:rFonts w:eastAsia="SimSun"/>
              </w:rPr>
            </w:pPr>
          </w:p>
        </w:tc>
        <w:tc>
          <w:tcPr>
            <w:tcW w:w="1701" w:type="dxa"/>
            <w:vAlign w:val="center"/>
          </w:tcPr>
          <w:p w14:paraId="4512B07D"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79098EFD"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7EBF691B"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103031EA"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23F79049"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541EF132" w14:textId="77777777" w:rsidTr="009F7F8A">
        <w:trPr>
          <w:cantSplit/>
          <w:trHeight w:val="20"/>
        </w:trPr>
        <w:tc>
          <w:tcPr>
            <w:tcW w:w="817" w:type="dxa"/>
            <w:vMerge w:val="restart"/>
            <w:textDirection w:val="btLr"/>
            <w:vAlign w:val="center"/>
          </w:tcPr>
          <w:p w14:paraId="6CBBB4FB"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781AEFD9"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3C7062F9"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3E91D023"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701" w:type="dxa"/>
            <w:vAlign w:val="center"/>
          </w:tcPr>
          <w:p w14:paraId="7AEA94D8"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145D2346"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41A18DE7" w14:textId="77777777" w:rsidTr="009F7F8A">
        <w:trPr>
          <w:cantSplit/>
          <w:trHeight w:val="1207"/>
        </w:trPr>
        <w:tc>
          <w:tcPr>
            <w:tcW w:w="817" w:type="dxa"/>
            <w:vMerge/>
            <w:vAlign w:val="center"/>
          </w:tcPr>
          <w:p w14:paraId="4217F0EB" w14:textId="77777777" w:rsidR="009F7F8A" w:rsidRPr="00AC3044" w:rsidRDefault="009F7F8A" w:rsidP="009F7F8A">
            <w:pPr>
              <w:rPr>
                <w:rFonts w:eastAsia="SimSun"/>
              </w:rPr>
            </w:pPr>
          </w:p>
        </w:tc>
        <w:tc>
          <w:tcPr>
            <w:tcW w:w="1701" w:type="dxa"/>
            <w:vAlign w:val="center"/>
          </w:tcPr>
          <w:p w14:paraId="2B823479"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3D23DC46" w14:textId="77777777" w:rsidR="009F7F8A" w:rsidRPr="00AC3044" w:rsidRDefault="009F7F8A" w:rsidP="009F7F8A">
            <w:pPr>
              <w:rPr>
                <w:rFonts w:eastAsia="SimSun"/>
              </w:rPr>
            </w:pPr>
            <w:r w:rsidRPr="00AC3044">
              <w:rPr>
                <w:rFonts w:eastAsia="SimSun"/>
              </w:rPr>
              <w:t xml:space="preserve">4 мг/кг </w:t>
            </w:r>
          </w:p>
        </w:tc>
        <w:tc>
          <w:tcPr>
            <w:tcW w:w="1418" w:type="dxa"/>
            <w:vAlign w:val="center"/>
          </w:tcPr>
          <w:p w14:paraId="23C64CDD" w14:textId="77777777" w:rsidR="009F7F8A" w:rsidRPr="00AC3044" w:rsidRDefault="009F7F8A" w:rsidP="009F7F8A">
            <w:pPr>
              <w:rPr>
                <w:rFonts w:eastAsia="SimSun"/>
              </w:rPr>
            </w:pPr>
            <w:r w:rsidRPr="00AC3044">
              <w:rPr>
                <w:rFonts w:eastAsia="SimSun"/>
              </w:rPr>
              <w:t xml:space="preserve">10 мг/кг </w:t>
            </w:r>
          </w:p>
        </w:tc>
        <w:tc>
          <w:tcPr>
            <w:tcW w:w="1701" w:type="dxa"/>
            <w:vAlign w:val="center"/>
          </w:tcPr>
          <w:p w14:paraId="097F6F30" w14:textId="77777777" w:rsidR="009F7F8A" w:rsidRPr="00AC3044" w:rsidRDefault="009F7F8A" w:rsidP="009F7F8A">
            <w:pPr>
              <w:rPr>
                <w:rFonts w:eastAsia="SimSun"/>
              </w:rPr>
            </w:pPr>
            <w:r w:rsidRPr="00AC3044">
              <w:rPr>
                <w:rFonts w:eastAsia="SimSun"/>
              </w:rPr>
              <w:t>С -5 дня по -3 день</w:t>
            </w:r>
          </w:p>
        </w:tc>
        <w:tc>
          <w:tcPr>
            <w:tcW w:w="2268" w:type="dxa"/>
            <w:vAlign w:val="center"/>
          </w:tcPr>
          <w:p w14:paraId="78D9410D"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AC3044" w14:paraId="25B590AA" w14:textId="77777777" w:rsidTr="009F7F8A">
        <w:trPr>
          <w:cantSplit/>
          <w:trHeight w:val="1498"/>
        </w:trPr>
        <w:tc>
          <w:tcPr>
            <w:tcW w:w="817" w:type="dxa"/>
            <w:textDirection w:val="btLr"/>
            <w:vAlign w:val="center"/>
          </w:tcPr>
          <w:p w14:paraId="6DCDAC42"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06565BE9"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3A10BDE8"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2F5232F7"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7F7A04B8" w14:textId="77777777" w:rsidR="009F7F8A" w:rsidRPr="00AC3044" w:rsidRDefault="009F7F8A" w:rsidP="009F7F8A">
            <w:pPr>
              <w:rPr>
                <w:rFonts w:eastAsia="SimSun"/>
              </w:rPr>
            </w:pPr>
            <w:r w:rsidRPr="00AC3044">
              <w:rPr>
                <w:rFonts w:eastAsia="SimSun"/>
              </w:rPr>
              <w:t>С +3 дня по +4 день</w:t>
            </w:r>
          </w:p>
        </w:tc>
        <w:tc>
          <w:tcPr>
            <w:tcW w:w="2268" w:type="dxa"/>
            <w:vAlign w:val="center"/>
          </w:tcPr>
          <w:p w14:paraId="071402A1" w14:textId="77777777" w:rsidR="009F7F8A" w:rsidRPr="00AC3044" w:rsidRDefault="009F7F8A" w:rsidP="009F7F8A">
            <w:pPr>
              <w:rPr>
                <w:rFonts w:eastAsia="SimSun"/>
              </w:rPr>
            </w:pPr>
            <w:r w:rsidRPr="00AC3044">
              <w:rPr>
                <w:rFonts w:eastAsia="SimSun"/>
              </w:rPr>
              <w:t>В/в, в течение 2 часов</w:t>
            </w:r>
          </w:p>
        </w:tc>
      </w:tr>
    </w:tbl>
    <w:p w14:paraId="417B89BF" w14:textId="77777777" w:rsidR="009F7F8A" w:rsidRDefault="009F7F8A" w:rsidP="009F7F8A">
      <w:pPr>
        <w:rPr>
          <w:rFonts w:eastAsia="SimSun"/>
        </w:rPr>
      </w:pPr>
      <w:bookmarkStart w:id="178" w:name="_Toc44401213"/>
    </w:p>
    <w:p w14:paraId="3B6042DF"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2.2.13  – Flu180+Bu10 / PT-Cy+Tx+MMF30</w:t>
      </w:r>
      <w:bookmarkEnd w:id="17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F7F8A" w:rsidRPr="00AC3044" w14:paraId="6402BAB2" w14:textId="77777777" w:rsidTr="009F7F8A">
        <w:trPr>
          <w:cantSplit/>
          <w:trHeight w:val="20"/>
          <w:tblHeader/>
        </w:trPr>
        <w:tc>
          <w:tcPr>
            <w:tcW w:w="817" w:type="dxa"/>
            <w:vAlign w:val="center"/>
          </w:tcPr>
          <w:p w14:paraId="76F240B9" w14:textId="77777777" w:rsidR="009F7F8A" w:rsidRPr="00470D3D" w:rsidRDefault="009F7F8A" w:rsidP="009F7F8A">
            <w:pPr>
              <w:rPr>
                <w:rFonts w:eastAsia="SimSun"/>
              </w:rPr>
            </w:pPr>
          </w:p>
        </w:tc>
        <w:tc>
          <w:tcPr>
            <w:tcW w:w="1701" w:type="dxa"/>
            <w:vAlign w:val="center"/>
          </w:tcPr>
          <w:p w14:paraId="46A9DFA2"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7DF52F60"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42277ACC"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7F9EC6F0"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0942D56F"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5F418F4C" w14:textId="77777777" w:rsidTr="009F7F8A">
        <w:trPr>
          <w:cantSplit/>
          <w:trHeight w:val="20"/>
        </w:trPr>
        <w:tc>
          <w:tcPr>
            <w:tcW w:w="817" w:type="dxa"/>
            <w:vMerge w:val="restart"/>
            <w:textDirection w:val="btLr"/>
            <w:vAlign w:val="center"/>
          </w:tcPr>
          <w:p w14:paraId="57C1216B"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272BEF26"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5B824026"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2EE3C640"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701" w:type="dxa"/>
            <w:vAlign w:val="center"/>
          </w:tcPr>
          <w:p w14:paraId="733953EC"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79557A4B"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609D8F3D" w14:textId="77777777" w:rsidTr="009F7F8A">
        <w:trPr>
          <w:cantSplit/>
          <w:trHeight w:val="1207"/>
        </w:trPr>
        <w:tc>
          <w:tcPr>
            <w:tcW w:w="817" w:type="dxa"/>
            <w:vMerge/>
            <w:vAlign w:val="center"/>
          </w:tcPr>
          <w:p w14:paraId="712340C8" w14:textId="77777777" w:rsidR="009F7F8A" w:rsidRPr="00AC3044" w:rsidRDefault="009F7F8A" w:rsidP="009F7F8A">
            <w:pPr>
              <w:rPr>
                <w:rFonts w:eastAsia="SimSun"/>
              </w:rPr>
            </w:pPr>
          </w:p>
        </w:tc>
        <w:tc>
          <w:tcPr>
            <w:tcW w:w="1701" w:type="dxa"/>
            <w:vAlign w:val="center"/>
          </w:tcPr>
          <w:p w14:paraId="70792141"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71FDAA54" w14:textId="77777777" w:rsidR="009F7F8A" w:rsidRPr="00AC3044" w:rsidRDefault="009F7F8A" w:rsidP="009F7F8A">
            <w:pPr>
              <w:rPr>
                <w:rFonts w:eastAsia="SimSun"/>
              </w:rPr>
            </w:pPr>
            <w:r w:rsidRPr="00AC3044">
              <w:rPr>
                <w:rFonts w:eastAsia="SimSun"/>
              </w:rPr>
              <w:t xml:space="preserve">4 мг/кг </w:t>
            </w:r>
          </w:p>
        </w:tc>
        <w:tc>
          <w:tcPr>
            <w:tcW w:w="1418" w:type="dxa"/>
            <w:vAlign w:val="center"/>
          </w:tcPr>
          <w:p w14:paraId="2B7C5220" w14:textId="77777777" w:rsidR="009F7F8A" w:rsidRPr="00AC3044" w:rsidRDefault="009F7F8A" w:rsidP="009F7F8A">
            <w:pPr>
              <w:rPr>
                <w:rFonts w:eastAsia="SimSun"/>
              </w:rPr>
            </w:pPr>
            <w:r w:rsidRPr="00AC3044">
              <w:rPr>
                <w:rFonts w:eastAsia="SimSun"/>
              </w:rPr>
              <w:t xml:space="preserve">10 мг/кг </w:t>
            </w:r>
          </w:p>
        </w:tc>
        <w:tc>
          <w:tcPr>
            <w:tcW w:w="1701" w:type="dxa"/>
            <w:vAlign w:val="center"/>
          </w:tcPr>
          <w:p w14:paraId="5B6767F8" w14:textId="77777777" w:rsidR="009F7F8A" w:rsidRPr="00AC3044" w:rsidRDefault="009F7F8A" w:rsidP="009F7F8A">
            <w:pPr>
              <w:rPr>
                <w:rFonts w:eastAsia="SimSun"/>
              </w:rPr>
            </w:pPr>
            <w:r w:rsidRPr="00AC3044">
              <w:rPr>
                <w:rFonts w:eastAsia="SimSun"/>
              </w:rPr>
              <w:t>С -5 дня по -3 день</w:t>
            </w:r>
          </w:p>
        </w:tc>
        <w:tc>
          <w:tcPr>
            <w:tcW w:w="2268" w:type="dxa"/>
            <w:vAlign w:val="center"/>
          </w:tcPr>
          <w:p w14:paraId="290C86D6"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AC3044" w14:paraId="1A4F8A3E" w14:textId="77777777" w:rsidTr="009F7F8A">
        <w:trPr>
          <w:cantSplit/>
          <w:trHeight w:val="368"/>
        </w:trPr>
        <w:tc>
          <w:tcPr>
            <w:tcW w:w="817" w:type="dxa"/>
            <w:vMerge w:val="restart"/>
            <w:textDirection w:val="btLr"/>
            <w:vAlign w:val="center"/>
          </w:tcPr>
          <w:p w14:paraId="178D0CA7"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192B0EF4"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23E96788"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4C358B6C"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3D327EDC" w14:textId="77777777" w:rsidR="009F7F8A" w:rsidRPr="00AC3044" w:rsidRDefault="009F7F8A" w:rsidP="009F7F8A">
            <w:pPr>
              <w:rPr>
                <w:rFonts w:eastAsia="SimSun"/>
              </w:rPr>
            </w:pPr>
            <w:r w:rsidRPr="00AC3044">
              <w:rPr>
                <w:rFonts w:eastAsia="SimSun"/>
              </w:rPr>
              <w:t>С +3 дня по +4 день</w:t>
            </w:r>
          </w:p>
        </w:tc>
        <w:tc>
          <w:tcPr>
            <w:tcW w:w="2268" w:type="dxa"/>
            <w:vAlign w:val="center"/>
          </w:tcPr>
          <w:p w14:paraId="5539827B"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780BCF79" w14:textId="77777777" w:rsidTr="009F7F8A">
        <w:trPr>
          <w:cantSplit/>
          <w:trHeight w:val="958"/>
        </w:trPr>
        <w:tc>
          <w:tcPr>
            <w:tcW w:w="817" w:type="dxa"/>
            <w:vMerge/>
            <w:textDirection w:val="btLr"/>
            <w:vAlign w:val="center"/>
          </w:tcPr>
          <w:p w14:paraId="78773307" w14:textId="77777777" w:rsidR="009F7F8A" w:rsidRPr="00AC3044" w:rsidRDefault="009F7F8A" w:rsidP="009F7F8A">
            <w:pPr>
              <w:rPr>
                <w:rFonts w:eastAsia="SimSun"/>
              </w:rPr>
            </w:pPr>
          </w:p>
        </w:tc>
        <w:tc>
          <w:tcPr>
            <w:tcW w:w="1701" w:type="dxa"/>
            <w:vAlign w:val="center"/>
          </w:tcPr>
          <w:p w14:paraId="0FED90D4" w14:textId="77777777" w:rsidR="009F7F8A" w:rsidRPr="00AC3044" w:rsidRDefault="009F7F8A" w:rsidP="009F7F8A">
            <w:pPr>
              <w:rPr>
                <w:rFonts w:eastAsia="SimSun"/>
              </w:rPr>
            </w:pPr>
            <w:r w:rsidRPr="00AC3044">
              <w:rPr>
                <w:rFonts w:eastAsia="SimSun"/>
              </w:rPr>
              <w:t xml:space="preserve">Такролимус </w:t>
            </w:r>
          </w:p>
        </w:tc>
        <w:tc>
          <w:tcPr>
            <w:tcW w:w="1559" w:type="dxa"/>
            <w:vAlign w:val="center"/>
          </w:tcPr>
          <w:p w14:paraId="27D9BD1B" w14:textId="77777777" w:rsidR="009F7F8A" w:rsidRPr="00AC3044" w:rsidRDefault="009F7F8A" w:rsidP="009F7F8A">
            <w:pPr>
              <w:rPr>
                <w:rFonts w:eastAsia="SimSun"/>
              </w:rPr>
            </w:pPr>
            <w:r w:rsidRPr="00AC3044">
              <w:rPr>
                <w:rFonts w:eastAsia="SimSun"/>
              </w:rPr>
              <w:t>0,03 мг/кг</w:t>
            </w:r>
          </w:p>
        </w:tc>
        <w:tc>
          <w:tcPr>
            <w:tcW w:w="1418" w:type="dxa"/>
            <w:vAlign w:val="center"/>
          </w:tcPr>
          <w:p w14:paraId="67386F1A" w14:textId="77777777" w:rsidR="009F7F8A" w:rsidRPr="00AC3044" w:rsidRDefault="009F7F8A" w:rsidP="009F7F8A">
            <w:pPr>
              <w:rPr>
                <w:rFonts w:eastAsia="SimSun"/>
              </w:rPr>
            </w:pPr>
            <w:r w:rsidRPr="00AC3044">
              <w:rPr>
                <w:rFonts w:eastAsia="SimSun"/>
              </w:rPr>
              <w:t>–</w:t>
            </w:r>
          </w:p>
        </w:tc>
        <w:tc>
          <w:tcPr>
            <w:tcW w:w="1701" w:type="dxa"/>
            <w:vAlign w:val="center"/>
          </w:tcPr>
          <w:p w14:paraId="7B0B1E6B" w14:textId="77777777" w:rsidR="009F7F8A" w:rsidRPr="00AC3044" w:rsidRDefault="009F7F8A" w:rsidP="009F7F8A">
            <w:pPr>
              <w:rPr>
                <w:rFonts w:eastAsia="SimSun"/>
              </w:rPr>
            </w:pPr>
            <w:r w:rsidRPr="00AC3044">
              <w:rPr>
                <w:rFonts w:eastAsia="SimSun"/>
              </w:rPr>
              <w:t xml:space="preserve">С +5 дня длительно </w:t>
            </w:r>
          </w:p>
        </w:tc>
        <w:tc>
          <w:tcPr>
            <w:tcW w:w="2268" w:type="dxa"/>
            <w:vAlign w:val="center"/>
          </w:tcPr>
          <w:p w14:paraId="749AF73D"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464744C6" w14:textId="77777777" w:rsidTr="009F7F8A">
        <w:trPr>
          <w:cantSplit/>
          <w:trHeight w:val="446"/>
        </w:trPr>
        <w:tc>
          <w:tcPr>
            <w:tcW w:w="817" w:type="dxa"/>
            <w:vMerge/>
            <w:textDirection w:val="btLr"/>
            <w:vAlign w:val="center"/>
          </w:tcPr>
          <w:p w14:paraId="78235FF2" w14:textId="77777777" w:rsidR="009F7F8A" w:rsidRPr="00AC3044" w:rsidRDefault="009F7F8A" w:rsidP="009F7F8A">
            <w:pPr>
              <w:rPr>
                <w:rFonts w:eastAsia="SimSun"/>
              </w:rPr>
            </w:pPr>
          </w:p>
        </w:tc>
        <w:tc>
          <w:tcPr>
            <w:tcW w:w="1701" w:type="dxa"/>
            <w:vAlign w:val="center"/>
          </w:tcPr>
          <w:p w14:paraId="0024C506"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1DA71F45" w14:textId="77777777" w:rsidR="009F7F8A" w:rsidRPr="00AC3044" w:rsidRDefault="009F7F8A" w:rsidP="009F7F8A">
            <w:pPr>
              <w:rPr>
                <w:rFonts w:eastAsia="SimSun"/>
              </w:rPr>
            </w:pPr>
            <w:r w:rsidRPr="00AC3044">
              <w:rPr>
                <w:rFonts w:eastAsia="SimSun"/>
              </w:rPr>
              <w:t xml:space="preserve">30 мг/кг </w:t>
            </w:r>
          </w:p>
        </w:tc>
        <w:tc>
          <w:tcPr>
            <w:tcW w:w="1418" w:type="dxa"/>
            <w:vAlign w:val="center"/>
          </w:tcPr>
          <w:p w14:paraId="2F67545D" w14:textId="77777777" w:rsidR="009F7F8A" w:rsidRPr="00AC3044" w:rsidRDefault="009F7F8A" w:rsidP="009F7F8A">
            <w:pPr>
              <w:rPr>
                <w:rFonts w:eastAsia="SimSun"/>
              </w:rPr>
            </w:pPr>
            <w:r w:rsidRPr="00AC3044">
              <w:rPr>
                <w:rFonts w:eastAsia="SimSun"/>
              </w:rPr>
              <w:t>–</w:t>
            </w:r>
          </w:p>
        </w:tc>
        <w:tc>
          <w:tcPr>
            <w:tcW w:w="1701" w:type="dxa"/>
            <w:vAlign w:val="center"/>
          </w:tcPr>
          <w:p w14:paraId="2A1C41CA" w14:textId="77777777" w:rsidR="009F7F8A" w:rsidRPr="00AC3044" w:rsidRDefault="009F7F8A" w:rsidP="009F7F8A">
            <w:pPr>
              <w:rPr>
                <w:rFonts w:eastAsia="SimSun"/>
              </w:rPr>
            </w:pPr>
            <w:r w:rsidRPr="00AC3044">
              <w:rPr>
                <w:rFonts w:eastAsia="SimSun"/>
              </w:rPr>
              <w:t xml:space="preserve">С +5 дня по +35 день </w:t>
            </w:r>
          </w:p>
        </w:tc>
        <w:tc>
          <w:tcPr>
            <w:tcW w:w="2268" w:type="dxa"/>
            <w:vAlign w:val="center"/>
          </w:tcPr>
          <w:p w14:paraId="1914993C"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37263FB0" w14:textId="77777777" w:rsidR="009F7F8A" w:rsidRDefault="009F7F8A" w:rsidP="009F7F8A">
      <w:pPr>
        <w:rPr>
          <w:rFonts w:eastAsia="SimSun"/>
        </w:rPr>
      </w:pPr>
      <w:bookmarkStart w:id="179" w:name="_Toc44401214"/>
    </w:p>
    <w:p w14:paraId="51662205"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2.2.14  – Flu180+Bu10 / PT-Cy+Ruxo</w:t>
      </w:r>
      <w:bookmarkEnd w:id="179"/>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F7F8A" w:rsidRPr="00AC3044" w14:paraId="52FB3B59" w14:textId="77777777" w:rsidTr="009F7F8A">
        <w:trPr>
          <w:cantSplit/>
          <w:trHeight w:val="20"/>
          <w:tblHeader/>
        </w:trPr>
        <w:tc>
          <w:tcPr>
            <w:tcW w:w="817" w:type="dxa"/>
            <w:vAlign w:val="center"/>
          </w:tcPr>
          <w:p w14:paraId="563406E9" w14:textId="77777777" w:rsidR="009F7F8A" w:rsidRPr="00470D3D" w:rsidRDefault="009F7F8A" w:rsidP="009F7F8A">
            <w:pPr>
              <w:rPr>
                <w:rFonts w:eastAsia="SimSun"/>
              </w:rPr>
            </w:pPr>
          </w:p>
        </w:tc>
        <w:tc>
          <w:tcPr>
            <w:tcW w:w="1701" w:type="dxa"/>
            <w:vAlign w:val="center"/>
          </w:tcPr>
          <w:p w14:paraId="24FA0478"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268A31AF"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1EA0C1FF"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183F08B0"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453D127E"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7E711C05" w14:textId="77777777" w:rsidTr="009F7F8A">
        <w:trPr>
          <w:cantSplit/>
          <w:trHeight w:val="20"/>
        </w:trPr>
        <w:tc>
          <w:tcPr>
            <w:tcW w:w="817" w:type="dxa"/>
            <w:vMerge w:val="restart"/>
            <w:textDirection w:val="btLr"/>
            <w:vAlign w:val="center"/>
          </w:tcPr>
          <w:p w14:paraId="0B209B6E"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7CF7731E"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3C0853E3"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26870D66"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701" w:type="dxa"/>
            <w:vAlign w:val="center"/>
          </w:tcPr>
          <w:p w14:paraId="2619C50B"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45A8F94F"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7CB69B28" w14:textId="77777777" w:rsidTr="009F7F8A">
        <w:trPr>
          <w:cantSplit/>
          <w:trHeight w:val="1207"/>
        </w:trPr>
        <w:tc>
          <w:tcPr>
            <w:tcW w:w="817" w:type="dxa"/>
            <w:vMerge/>
            <w:vAlign w:val="center"/>
          </w:tcPr>
          <w:p w14:paraId="544CE13A" w14:textId="77777777" w:rsidR="009F7F8A" w:rsidRPr="00AC3044" w:rsidRDefault="009F7F8A" w:rsidP="009F7F8A">
            <w:pPr>
              <w:rPr>
                <w:rFonts w:eastAsia="SimSun"/>
              </w:rPr>
            </w:pPr>
          </w:p>
        </w:tc>
        <w:tc>
          <w:tcPr>
            <w:tcW w:w="1701" w:type="dxa"/>
            <w:vAlign w:val="center"/>
          </w:tcPr>
          <w:p w14:paraId="24696030" w14:textId="77777777" w:rsidR="009F7F8A" w:rsidRPr="00AC3044" w:rsidRDefault="009F7F8A" w:rsidP="009F7F8A">
            <w:pPr>
              <w:rPr>
                <w:rFonts w:eastAsia="SimSun"/>
              </w:rPr>
            </w:pPr>
            <w:r w:rsidRPr="00AC3044">
              <w:rPr>
                <w:rFonts w:eastAsia="SimSun"/>
              </w:rPr>
              <w:t>Бусульфан</w:t>
            </w:r>
          </w:p>
        </w:tc>
        <w:tc>
          <w:tcPr>
            <w:tcW w:w="1559" w:type="dxa"/>
            <w:vAlign w:val="center"/>
          </w:tcPr>
          <w:p w14:paraId="799BDD69" w14:textId="77777777" w:rsidR="009F7F8A" w:rsidRPr="00AC3044" w:rsidRDefault="009F7F8A" w:rsidP="009F7F8A">
            <w:pPr>
              <w:rPr>
                <w:rFonts w:eastAsia="SimSun"/>
              </w:rPr>
            </w:pPr>
            <w:r w:rsidRPr="00AC3044">
              <w:rPr>
                <w:rFonts w:eastAsia="SimSun"/>
              </w:rPr>
              <w:t xml:space="preserve">4 мг/кг </w:t>
            </w:r>
          </w:p>
        </w:tc>
        <w:tc>
          <w:tcPr>
            <w:tcW w:w="1418" w:type="dxa"/>
            <w:vAlign w:val="center"/>
          </w:tcPr>
          <w:p w14:paraId="6B8A0C63" w14:textId="77777777" w:rsidR="009F7F8A" w:rsidRPr="00AC3044" w:rsidRDefault="009F7F8A" w:rsidP="009F7F8A">
            <w:pPr>
              <w:rPr>
                <w:rFonts w:eastAsia="SimSun"/>
              </w:rPr>
            </w:pPr>
            <w:r w:rsidRPr="00AC3044">
              <w:rPr>
                <w:rFonts w:eastAsia="SimSun"/>
              </w:rPr>
              <w:t xml:space="preserve">10 мг/кг </w:t>
            </w:r>
          </w:p>
        </w:tc>
        <w:tc>
          <w:tcPr>
            <w:tcW w:w="1701" w:type="dxa"/>
            <w:vAlign w:val="center"/>
          </w:tcPr>
          <w:p w14:paraId="2A0A2CED" w14:textId="77777777" w:rsidR="009F7F8A" w:rsidRPr="00AC3044" w:rsidRDefault="009F7F8A" w:rsidP="009F7F8A">
            <w:pPr>
              <w:rPr>
                <w:rFonts w:eastAsia="SimSun"/>
              </w:rPr>
            </w:pPr>
            <w:r w:rsidRPr="00AC3044">
              <w:rPr>
                <w:rFonts w:eastAsia="SimSun"/>
              </w:rPr>
              <w:t>С -5 дня по -3 день</w:t>
            </w:r>
          </w:p>
        </w:tc>
        <w:tc>
          <w:tcPr>
            <w:tcW w:w="2268" w:type="dxa"/>
            <w:vAlign w:val="center"/>
          </w:tcPr>
          <w:p w14:paraId="636A366B"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AC3044" w14:paraId="30A49B19" w14:textId="77777777" w:rsidTr="009F7F8A">
        <w:trPr>
          <w:cantSplit/>
          <w:trHeight w:val="716"/>
        </w:trPr>
        <w:tc>
          <w:tcPr>
            <w:tcW w:w="817" w:type="dxa"/>
            <w:vMerge w:val="restart"/>
            <w:textDirection w:val="btLr"/>
            <w:vAlign w:val="center"/>
          </w:tcPr>
          <w:p w14:paraId="046B4A24"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2307FD41"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048B669B"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72EC006D"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62D957AC" w14:textId="77777777" w:rsidR="009F7F8A" w:rsidRPr="00AC3044" w:rsidRDefault="009F7F8A" w:rsidP="009F7F8A">
            <w:pPr>
              <w:rPr>
                <w:rFonts w:eastAsia="SimSun"/>
              </w:rPr>
            </w:pPr>
            <w:r w:rsidRPr="00AC3044">
              <w:rPr>
                <w:rFonts w:eastAsia="SimSun"/>
              </w:rPr>
              <w:t>С +3 дня по +4 день</w:t>
            </w:r>
          </w:p>
        </w:tc>
        <w:tc>
          <w:tcPr>
            <w:tcW w:w="2268" w:type="dxa"/>
            <w:vAlign w:val="center"/>
          </w:tcPr>
          <w:p w14:paraId="470547E9"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0B8D647B" w14:textId="77777777" w:rsidTr="009F7F8A">
        <w:trPr>
          <w:cantSplit/>
          <w:trHeight w:val="574"/>
        </w:trPr>
        <w:tc>
          <w:tcPr>
            <w:tcW w:w="817" w:type="dxa"/>
            <w:vMerge/>
            <w:textDirection w:val="btLr"/>
            <w:vAlign w:val="center"/>
          </w:tcPr>
          <w:p w14:paraId="35DEE5AD" w14:textId="77777777" w:rsidR="009F7F8A" w:rsidRPr="00AC3044" w:rsidRDefault="009F7F8A" w:rsidP="009F7F8A">
            <w:pPr>
              <w:rPr>
                <w:rFonts w:eastAsia="SimSun"/>
              </w:rPr>
            </w:pPr>
          </w:p>
        </w:tc>
        <w:tc>
          <w:tcPr>
            <w:tcW w:w="1701" w:type="dxa"/>
            <w:vAlign w:val="center"/>
          </w:tcPr>
          <w:p w14:paraId="431DDE49" w14:textId="77777777" w:rsidR="009F7F8A" w:rsidRPr="00AC3044" w:rsidRDefault="009F7F8A" w:rsidP="009F7F8A">
            <w:pPr>
              <w:rPr>
                <w:rFonts w:eastAsia="SimSun"/>
              </w:rPr>
            </w:pPr>
            <w:r w:rsidRPr="00AC3044">
              <w:rPr>
                <w:rFonts w:eastAsia="SimSun"/>
              </w:rPr>
              <w:t>Руксолитиниб</w:t>
            </w:r>
          </w:p>
        </w:tc>
        <w:tc>
          <w:tcPr>
            <w:tcW w:w="1559" w:type="dxa"/>
            <w:vAlign w:val="center"/>
          </w:tcPr>
          <w:p w14:paraId="6BE57873" w14:textId="77777777" w:rsidR="009F7F8A" w:rsidRPr="00AC3044" w:rsidRDefault="009F7F8A" w:rsidP="009F7F8A">
            <w:pPr>
              <w:rPr>
                <w:rFonts w:eastAsia="SimSun"/>
              </w:rPr>
            </w:pPr>
            <w:r w:rsidRPr="00AC3044">
              <w:rPr>
                <w:rFonts w:eastAsia="SimSun"/>
              </w:rPr>
              <w:t>45 мг</w:t>
            </w:r>
          </w:p>
        </w:tc>
        <w:tc>
          <w:tcPr>
            <w:tcW w:w="1418" w:type="dxa"/>
            <w:vAlign w:val="center"/>
          </w:tcPr>
          <w:p w14:paraId="5D4ABD20" w14:textId="77777777" w:rsidR="009F7F8A" w:rsidRPr="00AC3044" w:rsidRDefault="009F7F8A" w:rsidP="009F7F8A">
            <w:pPr>
              <w:rPr>
                <w:rFonts w:eastAsia="SimSun"/>
              </w:rPr>
            </w:pPr>
            <w:r w:rsidRPr="00AC3044">
              <w:rPr>
                <w:rFonts w:eastAsia="SimSun"/>
              </w:rPr>
              <w:t>270 мг</w:t>
            </w:r>
          </w:p>
        </w:tc>
        <w:tc>
          <w:tcPr>
            <w:tcW w:w="1701" w:type="dxa"/>
            <w:vAlign w:val="center"/>
          </w:tcPr>
          <w:p w14:paraId="17465D74" w14:textId="77777777" w:rsidR="009F7F8A" w:rsidRPr="00AC3044" w:rsidRDefault="009F7F8A" w:rsidP="009F7F8A">
            <w:pPr>
              <w:rPr>
                <w:rFonts w:eastAsia="SimSun"/>
              </w:rPr>
            </w:pPr>
            <w:r w:rsidRPr="00AC3044">
              <w:rPr>
                <w:rFonts w:eastAsia="SimSun"/>
              </w:rPr>
              <w:t xml:space="preserve">С -7 дня по -2 день </w:t>
            </w:r>
          </w:p>
        </w:tc>
        <w:tc>
          <w:tcPr>
            <w:tcW w:w="2268" w:type="dxa"/>
            <w:vAlign w:val="center"/>
          </w:tcPr>
          <w:p w14:paraId="017BE30B" w14:textId="77777777" w:rsidR="009F7F8A" w:rsidRPr="00AC3044" w:rsidRDefault="009F7F8A" w:rsidP="009F7F8A">
            <w:pPr>
              <w:rPr>
                <w:rFonts w:eastAsia="SimSun"/>
              </w:rPr>
            </w:pPr>
            <w:r w:rsidRPr="00AC3044">
              <w:rPr>
                <w:rFonts w:eastAsia="SimSun"/>
              </w:rPr>
              <w:t xml:space="preserve">Внутрь суточную дозу </w:t>
            </w:r>
          </w:p>
          <w:p w14:paraId="08C1BD72" w14:textId="77777777" w:rsidR="009F7F8A" w:rsidRPr="00AC3044" w:rsidRDefault="009F7F8A" w:rsidP="009F7F8A">
            <w:pPr>
              <w:rPr>
                <w:rFonts w:eastAsia="SimSun"/>
              </w:rPr>
            </w:pPr>
            <w:r w:rsidRPr="00AC3044">
              <w:rPr>
                <w:rFonts w:eastAsia="SimSun"/>
              </w:rPr>
              <w:t>за 3 приема</w:t>
            </w:r>
          </w:p>
        </w:tc>
      </w:tr>
      <w:tr w:rsidR="009F7F8A" w:rsidRPr="00AC3044" w14:paraId="56667573" w14:textId="77777777" w:rsidTr="009F7F8A">
        <w:trPr>
          <w:cantSplit/>
          <w:trHeight w:val="498"/>
        </w:trPr>
        <w:tc>
          <w:tcPr>
            <w:tcW w:w="817" w:type="dxa"/>
            <w:vMerge/>
            <w:textDirection w:val="btLr"/>
            <w:vAlign w:val="center"/>
          </w:tcPr>
          <w:p w14:paraId="4A548C27" w14:textId="77777777" w:rsidR="009F7F8A" w:rsidRPr="00AC3044" w:rsidRDefault="009F7F8A" w:rsidP="009F7F8A">
            <w:pPr>
              <w:rPr>
                <w:rFonts w:eastAsia="SimSun"/>
              </w:rPr>
            </w:pPr>
          </w:p>
        </w:tc>
        <w:tc>
          <w:tcPr>
            <w:tcW w:w="1701" w:type="dxa"/>
            <w:vAlign w:val="center"/>
          </w:tcPr>
          <w:p w14:paraId="28917E9C" w14:textId="77777777" w:rsidR="009F7F8A" w:rsidRPr="00AC3044" w:rsidRDefault="009F7F8A" w:rsidP="009F7F8A">
            <w:pPr>
              <w:rPr>
                <w:rFonts w:eastAsia="SimSun"/>
              </w:rPr>
            </w:pPr>
            <w:r w:rsidRPr="00AC3044">
              <w:rPr>
                <w:rFonts w:eastAsia="SimSun"/>
              </w:rPr>
              <w:t xml:space="preserve">Руксолитиниб </w:t>
            </w:r>
          </w:p>
        </w:tc>
        <w:tc>
          <w:tcPr>
            <w:tcW w:w="1559" w:type="dxa"/>
            <w:vAlign w:val="center"/>
          </w:tcPr>
          <w:p w14:paraId="70B2FEEF" w14:textId="77777777" w:rsidR="009F7F8A" w:rsidRPr="00AC3044" w:rsidRDefault="009F7F8A" w:rsidP="009F7F8A">
            <w:pPr>
              <w:rPr>
                <w:rFonts w:eastAsia="SimSun"/>
              </w:rPr>
            </w:pPr>
            <w:r w:rsidRPr="00AC3044">
              <w:rPr>
                <w:rFonts w:eastAsia="SimSun"/>
              </w:rPr>
              <w:t>15 мг</w:t>
            </w:r>
          </w:p>
        </w:tc>
        <w:tc>
          <w:tcPr>
            <w:tcW w:w="1418" w:type="dxa"/>
            <w:vAlign w:val="center"/>
          </w:tcPr>
          <w:p w14:paraId="1DEB15FB" w14:textId="77777777" w:rsidR="009F7F8A" w:rsidRPr="00AC3044" w:rsidRDefault="009F7F8A" w:rsidP="009F7F8A">
            <w:pPr>
              <w:rPr>
                <w:rFonts w:eastAsia="SimSun"/>
              </w:rPr>
            </w:pPr>
            <w:r w:rsidRPr="00AC3044">
              <w:rPr>
                <w:rFonts w:eastAsia="SimSun"/>
              </w:rPr>
              <w:t>-</w:t>
            </w:r>
          </w:p>
        </w:tc>
        <w:tc>
          <w:tcPr>
            <w:tcW w:w="1701" w:type="dxa"/>
            <w:vAlign w:val="center"/>
          </w:tcPr>
          <w:p w14:paraId="5EB6FB19" w14:textId="77777777" w:rsidR="009F7F8A" w:rsidRPr="00AC3044" w:rsidRDefault="009F7F8A" w:rsidP="009F7F8A">
            <w:pPr>
              <w:rPr>
                <w:rFonts w:eastAsia="SimSun"/>
              </w:rPr>
            </w:pPr>
            <w:r w:rsidRPr="00AC3044">
              <w:rPr>
                <w:rFonts w:eastAsia="SimSun"/>
              </w:rPr>
              <w:t>С +5 дня по +100 день</w:t>
            </w:r>
          </w:p>
        </w:tc>
        <w:tc>
          <w:tcPr>
            <w:tcW w:w="2268" w:type="dxa"/>
            <w:vAlign w:val="center"/>
          </w:tcPr>
          <w:p w14:paraId="2CCBE1C6" w14:textId="77777777" w:rsidR="009F7F8A" w:rsidRPr="00AC3044" w:rsidRDefault="009F7F8A" w:rsidP="009F7F8A">
            <w:pPr>
              <w:rPr>
                <w:rFonts w:eastAsia="SimSun"/>
              </w:rPr>
            </w:pPr>
            <w:r w:rsidRPr="00AC3044">
              <w:rPr>
                <w:rFonts w:eastAsia="SimSun"/>
              </w:rPr>
              <w:t xml:space="preserve">Внутрь суточную дозу </w:t>
            </w:r>
          </w:p>
          <w:p w14:paraId="24A12DCA" w14:textId="77777777" w:rsidR="009F7F8A" w:rsidRPr="00AC3044" w:rsidRDefault="009F7F8A" w:rsidP="009F7F8A">
            <w:pPr>
              <w:rPr>
                <w:rFonts w:eastAsia="SimSun"/>
              </w:rPr>
            </w:pPr>
            <w:r w:rsidRPr="00AC3044">
              <w:rPr>
                <w:rFonts w:eastAsia="SimSun"/>
              </w:rPr>
              <w:t>за 2 приема</w:t>
            </w:r>
          </w:p>
        </w:tc>
      </w:tr>
    </w:tbl>
    <w:p w14:paraId="33B4992A" w14:textId="77777777" w:rsidR="009F7F8A" w:rsidRDefault="009F7F8A" w:rsidP="009F7F8A">
      <w:pPr>
        <w:rPr>
          <w:rFonts w:eastAsia="SimSun"/>
        </w:rPr>
      </w:pPr>
      <w:bookmarkStart w:id="180" w:name="_Toc44401215"/>
    </w:p>
    <w:p w14:paraId="3264B8AD"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2.2.15  – Flu90+Benda / PT-Cy+Tx+MMF30</w:t>
      </w:r>
      <w:bookmarkEnd w:id="18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F7F8A" w:rsidRPr="00AC3044" w14:paraId="0CFA32DE" w14:textId="77777777" w:rsidTr="009F7F8A">
        <w:trPr>
          <w:cantSplit/>
          <w:trHeight w:val="20"/>
          <w:tblHeader/>
        </w:trPr>
        <w:tc>
          <w:tcPr>
            <w:tcW w:w="817" w:type="dxa"/>
            <w:vAlign w:val="center"/>
          </w:tcPr>
          <w:p w14:paraId="5D0D8536" w14:textId="77777777" w:rsidR="009F7F8A" w:rsidRPr="00AC3044" w:rsidRDefault="009F7F8A" w:rsidP="009F7F8A">
            <w:pPr>
              <w:rPr>
                <w:rFonts w:eastAsia="SimSun"/>
              </w:rPr>
            </w:pPr>
          </w:p>
        </w:tc>
        <w:tc>
          <w:tcPr>
            <w:tcW w:w="1701" w:type="dxa"/>
            <w:vAlign w:val="center"/>
          </w:tcPr>
          <w:p w14:paraId="6ABC4394"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5379723C"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75205018"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73ADA2ED"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675041D3"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3928707A" w14:textId="77777777" w:rsidTr="009F7F8A">
        <w:trPr>
          <w:cantSplit/>
          <w:trHeight w:val="20"/>
        </w:trPr>
        <w:tc>
          <w:tcPr>
            <w:tcW w:w="817" w:type="dxa"/>
            <w:vMerge w:val="restart"/>
            <w:textDirection w:val="btLr"/>
            <w:vAlign w:val="center"/>
          </w:tcPr>
          <w:p w14:paraId="757E21BF"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02E197F3"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238EE69F"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3C323516" w14:textId="77777777" w:rsidR="009F7F8A" w:rsidRPr="00AC3044" w:rsidRDefault="009F7F8A" w:rsidP="009F7F8A">
            <w:pPr>
              <w:rPr>
                <w:rFonts w:eastAsia="SimSun"/>
              </w:rPr>
            </w:pPr>
            <w:r w:rsidRPr="00AC3044">
              <w:rPr>
                <w:rFonts w:eastAsia="SimSun"/>
              </w:rPr>
              <w:t>90 мг/м</w:t>
            </w:r>
            <w:r w:rsidRPr="0074195F">
              <w:rPr>
                <w:rFonts w:eastAsia="SimSun"/>
                <w:vertAlign w:val="superscript"/>
              </w:rPr>
              <w:t>2</w:t>
            </w:r>
          </w:p>
        </w:tc>
        <w:tc>
          <w:tcPr>
            <w:tcW w:w="1701" w:type="dxa"/>
            <w:vAlign w:val="center"/>
          </w:tcPr>
          <w:p w14:paraId="6D2B56DE" w14:textId="77777777" w:rsidR="009F7F8A" w:rsidRPr="00AC3044" w:rsidRDefault="009F7F8A" w:rsidP="009F7F8A">
            <w:pPr>
              <w:rPr>
                <w:rFonts w:eastAsia="SimSun"/>
              </w:rPr>
            </w:pPr>
            <w:r w:rsidRPr="00AC3044">
              <w:rPr>
                <w:rFonts w:eastAsia="SimSun"/>
              </w:rPr>
              <w:t>С -4 дня по -2 день</w:t>
            </w:r>
          </w:p>
        </w:tc>
        <w:tc>
          <w:tcPr>
            <w:tcW w:w="2268" w:type="dxa"/>
            <w:vAlign w:val="center"/>
          </w:tcPr>
          <w:p w14:paraId="32B08699"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2E738E58" w14:textId="77777777" w:rsidTr="009F7F8A">
        <w:trPr>
          <w:cantSplit/>
          <w:trHeight w:val="704"/>
        </w:trPr>
        <w:tc>
          <w:tcPr>
            <w:tcW w:w="817" w:type="dxa"/>
            <w:vMerge/>
            <w:vAlign w:val="center"/>
          </w:tcPr>
          <w:p w14:paraId="5F6FCA71" w14:textId="77777777" w:rsidR="009F7F8A" w:rsidRPr="00AC3044" w:rsidRDefault="009F7F8A" w:rsidP="009F7F8A">
            <w:pPr>
              <w:rPr>
                <w:rFonts w:eastAsia="SimSun"/>
              </w:rPr>
            </w:pPr>
          </w:p>
        </w:tc>
        <w:tc>
          <w:tcPr>
            <w:tcW w:w="1701" w:type="dxa"/>
            <w:vAlign w:val="center"/>
          </w:tcPr>
          <w:p w14:paraId="5EB62DE3" w14:textId="77777777" w:rsidR="009F7F8A" w:rsidRPr="00AC3044" w:rsidRDefault="009F7F8A" w:rsidP="009F7F8A">
            <w:pPr>
              <w:rPr>
                <w:rFonts w:eastAsia="SimSun"/>
              </w:rPr>
            </w:pPr>
            <w:r w:rsidRPr="00AC3044">
              <w:rPr>
                <w:rFonts w:eastAsia="SimSun"/>
              </w:rPr>
              <w:t>Бендамустин</w:t>
            </w:r>
          </w:p>
        </w:tc>
        <w:tc>
          <w:tcPr>
            <w:tcW w:w="1559" w:type="dxa"/>
            <w:vAlign w:val="center"/>
          </w:tcPr>
          <w:p w14:paraId="0E0B3955" w14:textId="77777777" w:rsidR="009F7F8A" w:rsidRPr="00AC3044" w:rsidRDefault="009F7F8A" w:rsidP="009F7F8A">
            <w:pPr>
              <w:rPr>
                <w:rFonts w:eastAsia="SimSun"/>
              </w:rPr>
            </w:pPr>
            <w:r w:rsidRPr="00AC3044">
              <w:rPr>
                <w:rFonts w:eastAsia="SimSun"/>
              </w:rPr>
              <w:t>130 мг/м</w:t>
            </w:r>
            <w:r w:rsidRPr="0074195F">
              <w:rPr>
                <w:rFonts w:eastAsia="SimSun"/>
                <w:vertAlign w:val="superscript"/>
              </w:rPr>
              <w:t>2</w:t>
            </w:r>
            <w:r w:rsidRPr="00AC3044">
              <w:rPr>
                <w:rFonts w:eastAsia="SimSun"/>
              </w:rPr>
              <w:t xml:space="preserve"> </w:t>
            </w:r>
          </w:p>
        </w:tc>
        <w:tc>
          <w:tcPr>
            <w:tcW w:w="1418" w:type="dxa"/>
            <w:vAlign w:val="center"/>
          </w:tcPr>
          <w:p w14:paraId="5FA31984" w14:textId="77777777" w:rsidR="009F7F8A" w:rsidRPr="00AC3044" w:rsidRDefault="009F7F8A" w:rsidP="009F7F8A">
            <w:pPr>
              <w:rPr>
                <w:rFonts w:eastAsia="SimSun"/>
              </w:rPr>
            </w:pPr>
            <w:r w:rsidRPr="00AC3044">
              <w:rPr>
                <w:rFonts w:eastAsia="SimSun"/>
              </w:rPr>
              <w:t>10 мг/м</w:t>
            </w:r>
            <w:r w:rsidRPr="0074195F">
              <w:rPr>
                <w:rFonts w:eastAsia="SimSun"/>
                <w:vertAlign w:val="superscript"/>
              </w:rPr>
              <w:t>2</w:t>
            </w:r>
          </w:p>
        </w:tc>
        <w:tc>
          <w:tcPr>
            <w:tcW w:w="1701" w:type="dxa"/>
            <w:vAlign w:val="center"/>
          </w:tcPr>
          <w:p w14:paraId="0F16BA2B" w14:textId="77777777" w:rsidR="009F7F8A" w:rsidRPr="00AC3044" w:rsidRDefault="009F7F8A" w:rsidP="009F7F8A">
            <w:pPr>
              <w:rPr>
                <w:rFonts w:eastAsia="SimSun"/>
              </w:rPr>
            </w:pPr>
            <w:r w:rsidRPr="00AC3044">
              <w:rPr>
                <w:rFonts w:eastAsia="SimSun"/>
              </w:rPr>
              <w:t xml:space="preserve">  С -4 дня по -2 день</w:t>
            </w:r>
          </w:p>
        </w:tc>
        <w:tc>
          <w:tcPr>
            <w:tcW w:w="2268" w:type="dxa"/>
            <w:vAlign w:val="center"/>
          </w:tcPr>
          <w:p w14:paraId="75F0B598" w14:textId="77777777" w:rsidR="009F7F8A" w:rsidRPr="00AC3044" w:rsidRDefault="009F7F8A" w:rsidP="009F7F8A">
            <w:pPr>
              <w:rPr>
                <w:rFonts w:eastAsia="SimSun"/>
              </w:rPr>
            </w:pPr>
            <w:r w:rsidRPr="00AC3044">
              <w:rPr>
                <w:rFonts w:eastAsia="SimSun"/>
              </w:rPr>
              <w:t>В/в, в течение 1 часа</w:t>
            </w:r>
          </w:p>
        </w:tc>
      </w:tr>
      <w:tr w:rsidR="009F7F8A" w:rsidRPr="00AC3044" w14:paraId="72866F5E" w14:textId="77777777" w:rsidTr="009F7F8A">
        <w:trPr>
          <w:cantSplit/>
          <w:trHeight w:val="958"/>
        </w:trPr>
        <w:tc>
          <w:tcPr>
            <w:tcW w:w="817" w:type="dxa"/>
            <w:vMerge w:val="restart"/>
            <w:textDirection w:val="btLr"/>
            <w:vAlign w:val="center"/>
          </w:tcPr>
          <w:p w14:paraId="22287ED7"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0696D2C7" w14:textId="77777777" w:rsidR="009F7F8A" w:rsidRPr="00AC3044" w:rsidRDefault="009F7F8A" w:rsidP="009F7F8A">
            <w:pPr>
              <w:rPr>
                <w:rFonts w:eastAsia="SimSun"/>
              </w:rPr>
            </w:pPr>
            <w:r w:rsidRPr="00AC3044">
              <w:rPr>
                <w:rFonts w:eastAsia="SimSun"/>
              </w:rPr>
              <w:t xml:space="preserve">Такролимус </w:t>
            </w:r>
          </w:p>
        </w:tc>
        <w:tc>
          <w:tcPr>
            <w:tcW w:w="1559" w:type="dxa"/>
            <w:vAlign w:val="center"/>
          </w:tcPr>
          <w:p w14:paraId="6320D982" w14:textId="77777777" w:rsidR="009F7F8A" w:rsidRPr="00AC3044" w:rsidRDefault="009F7F8A" w:rsidP="009F7F8A">
            <w:pPr>
              <w:rPr>
                <w:rFonts w:eastAsia="SimSun"/>
              </w:rPr>
            </w:pPr>
            <w:r w:rsidRPr="00AC3044">
              <w:rPr>
                <w:rFonts w:eastAsia="SimSun"/>
              </w:rPr>
              <w:t>0,03 мг/кг</w:t>
            </w:r>
          </w:p>
        </w:tc>
        <w:tc>
          <w:tcPr>
            <w:tcW w:w="1418" w:type="dxa"/>
            <w:vAlign w:val="center"/>
          </w:tcPr>
          <w:p w14:paraId="7E45396C" w14:textId="77777777" w:rsidR="009F7F8A" w:rsidRPr="00AC3044" w:rsidRDefault="009F7F8A" w:rsidP="009F7F8A">
            <w:pPr>
              <w:rPr>
                <w:rFonts w:eastAsia="SimSun"/>
              </w:rPr>
            </w:pPr>
            <w:r w:rsidRPr="00AC3044">
              <w:rPr>
                <w:rFonts w:eastAsia="SimSun"/>
              </w:rPr>
              <w:t>–</w:t>
            </w:r>
          </w:p>
        </w:tc>
        <w:tc>
          <w:tcPr>
            <w:tcW w:w="1701" w:type="dxa"/>
            <w:vAlign w:val="center"/>
          </w:tcPr>
          <w:p w14:paraId="40B8E556" w14:textId="77777777" w:rsidR="009F7F8A" w:rsidRPr="00AC3044" w:rsidRDefault="009F7F8A" w:rsidP="009F7F8A">
            <w:pPr>
              <w:rPr>
                <w:rFonts w:eastAsia="SimSun"/>
              </w:rPr>
            </w:pPr>
            <w:r w:rsidRPr="00AC3044">
              <w:rPr>
                <w:rFonts w:eastAsia="SimSun"/>
              </w:rPr>
              <w:t xml:space="preserve">С +5 дня длительно </w:t>
            </w:r>
          </w:p>
        </w:tc>
        <w:tc>
          <w:tcPr>
            <w:tcW w:w="2268" w:type="dxa"/>
            <w:vAlign w:val="center"/>
          </w:tcPr>
          <w:p w14:paraId="1042ECE3"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33E91DC6" w14:textId="77777777" w:rsidTr="009F7F8A">
        <w:trPr>
          <w:cantSplit/>
          <w:trHeight w:val="542"/>
        </w:trPr>
        <w:tc>
          <w:tcPr>
            <w:tcW w:w="817" w:type="dxa"/>
            <w:vMerge/>
            <w:textDirection w:val="btLr"/>
            <w:vAlign w:val="center"/>
          </w:tcPr>
          <w:p w14:paraId="2A6B5E1D" w14:textId="77777777" w:rsidR="009F7F8A" w:rsidRPr="00AC3044" w:rsidRDefault="009F7F8A" w:rsidP="009F7F8A">
            <w:pPr>
              <w:rPr>
                <w:rFonts w:eastAsia="SimSun"/>
              </w:rPr>
            </w:pPr>
          </w:p>
        </w:tc>
        <w:tc>
          <w:tcPr>
            <w:tcW w:w="1701" w:type="dxa"/>
            <w:vAlign w:val="center"/>
          </w:tcPr>
          <w:p w14:paraId="740646D7"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2FD88ACF"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215205D6"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62B6A607" w14:textId="77777777" w:rsidR="009F7F8A" w:rsidRPr="00AC3044" w:rsidRDefault="009F7F8A" w:rsidP="009F7F8A">
            <w:pPr>
              <w:rPr>
                <w:rFonts w:eastAsia="SimSun"/>
              </w:rPr>
            </w:pPr>
            <w:r w:rsidRPr="00AC3044">
              <w:rPr>
                <w:rFonts w:eastAsia="SimSun"/>
              </w:rPr>
              <w:t xml:space="preserve">В дни +3, +4 </w:t>
            </w:r>
          </w:p>
        </w:tc>
        <w:tc>
          <w:tcPr>
            <w:tcW w:w="2268" w:type="dxa"/>
            <w:vAlign w:val="center"/>
          </w:tcPr>
          <w:p w14:paraId="140C38BB"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6F087654" w14:textId="77777777" w:rsidTr="009F7F8A">
        <w:trPr>
          <w:cantSplit/>
          <w:trHeight w:val="550"/>
        </w:trPr>
        <w:tc>
          <w:tcPr>
            <w:tcW w:w="817" w:type="dxa"/>
            <w:vMerge/>
            <w:textDirection w:val="btLr"/>
            <w:vAlign w:val="center"/>
          </w:tcPr>
          <w:p w14:paraId="1128057B" w14:textId="77777777" w:rsidR="009F7F8A" w:rsidRPr="00AC3044" w:rsidRDefault="009F7F8A" w:rsidP="009F7F8A">
            <w:pPr>
              <w:rPr>
                <w:rFonts w:eastAsia="SimSun"/>
              </w:rPr>
            </w:pPr>
          </w:p>
        </w:tc>
        <w:tc>
          <w:tcPr>
            <w:tcW w:w="1701" w:type="dxa"/>
            <w:vAlign w:val="center"/>
          </w:tcPr>
          <w:p w14:paraId="4766FD46"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550F4C1B" w14:textId="77777777" w:rsidR="009F7F8A" w:rsidRPr="00AC3044" w:rsidRDefault="009F7F8A" w:rsidP="009F7F8A">
            <w:pPr>
              <w:rPr>
                <w:rFonts w:eastAsia="SimSun"/>
              </w:rPr>
            </w:pPr>
            <w:r w:rsidRPr="00AC3044">
              <w:rPr>
                <w:rFonts w:eastAsia="SimSun"/>
              </w:rPr>
              <w:t xml:space="preserve">30 мг/кг </w:t>
            </w:r>
          </w:p>
        </w:tc>
        <w:tc>
          <w:tcPr>
            <w:tcW w:w="1418" w:type="dxa"/>
            <w:vAlign w:val="center"/>
          </w:tcPr>
          <w:p w14:paraId="46E7944E" w14:textId="77777777" w:rsidR="009F7F8A" w:rsidRPr="00AC3044" w:rsidRDefault="009F7F8A" w:rsidP="009F7F8A">
            <w:pPr>
              <w:rPr>
                <w:rFonts w:eastAsia="SimSun"/>
              </w:rPr>
            </w:pPr>
            <w:r w:rsidRPr="00AC3044">
              <w:rPr>
                <w:rFonts w:eastAsia="SimSun"/>
              </w:rPr>
              <w:t>–</w:t>
            </w:r>
          </w:p>
        </w:tc>
        <w:tc>
          <w:tcPr>
            <w:tcW w:w="1701" w:type="dxa"/>
            <w:vAlign w:val="center"/>
          </w:tcPr>
          <w:p w14:paraId="3D314EC6" w14:textId="77777777" w:rsidR="009F7F8A" w:rsidRPr="00AC3044" w:rsidRDefault="009F7F8A" w:rsidP="009F7F8A">
            <w:pPr>
              <w:rPr>
                <w:rFonts w:eastAsia="SimSun"/>
              </w:rPr>
            </w:pPr>
            <w:r w:rsidRPr="00AC3044">
              <w:rPr>
                <w:rFonts w:eastAsia="SimSun"/>
              </w:rPr>
              <w:t xml:space="preserve">С +5 дня по +35 день </w:t>
            </w:r>
          </w:p>
        </w:tc>
        <w:tc>
          <w:tcPr>
            <w:tcW w:w="2268" w:type="dxa"/>
            <w:vAlign w:val="center"/>
          </w:tcPr>
          <w:p w14:paraId="27A7E4FD"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32B06C1A" w14:textId="77777777" w:rsidR="009F7F8A" w:rsidRPr="0074195F" w:rsidRDefault="009F7F8A" w:rsidP="009F7F8A">
      <w:pPr>
        <w:rPr>
          <w:rFonts w:eastAsia="SimSun"/>
        </w:rPr>
      </w:pPr>
      <w:bookmarkStart w:id="181" w:name="_Toc44401216"/>
    </w:p>
    <w:p w14:paraId="352FF764" w14:textId="77777777" w:rsidR="009F7F8A" w:rsidRPr="00042499" w:rsidRDefault="009F7F8A" w:rsidP="009F7F8A">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2.2.16  – </w:t>
      </w:r>
      <w:r w:rsidRPr="00C07B2E">
        <w:rPr>
          <w:rFonts w:eastAsia="SimSun"/>
        </w:rPr>
        <w:t>Flu</w:t>
      </w:r>
      <w:r w:rsidRPr="00042499">
        <w:rPr>
          <w:rFonts w:eastAsia="SimSun"/>
          <w:lang w:val="en-US"/>
        </w:rPr>
        <w:t>90+</w:t>
      </w:r>
      <w:r w:rsidRPr="00C07B2E">
        <w:rPr>
          <w:rFonts w:eastAsia="SimSun"/>
        </w:rPr>
        <w:t>Benda</w:t>
      </w:r>
      <w:r w:rsidRPr="00042499">
        <w:rPr>
          <w:rFonts w:eastAsia="SimSun"/>
          <w:lang w:val="en-US"/>
        </w:rPr>
        <w:t xml:space="preserve"> / </w:t>
      </w:r>
      <w:r w:rsidRPr="00C07B2E">
        <w:rPr>
          <w:rFonts w:eastAsia="SimSun"/>
        </w:rPr>
        <w:t>PT</w:t>
      </w:r>
      <w:r w:rsidRPr="00042499">
        <w:rPr>
          <w:rFonts w:eastAsia="SimSun"/>
          <w:lang w:val="en-US"/>
        </w:rPr>
        <w:t>-</w:t>
      </w:r>
      <w:r w:rsidRPr="00C07B2E">
        <w:rPr>
          <w:rFonts w:eastAsia="SimSun"/>
        </w:rPr>
        <w:t>Cy</w:t>
      </w:r>
      <w:bookmarkEnd w:id="18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F7F8A" w:rsidRPr="00AC3044" w14:paraId="1BBC3178" w14:textId="77777777" w:rsidTr="009F7F8A">
        <w:trPr>
          <w:cantSplit/>
          <w:trHeight w:val="20"/>
          <w:tblHeader/>
        </w:trPr>
        <w:tc>
          <w:tcPr>
            <w:tcW w:w="817" w:type="dxa"/>
            <w:vAlign w:val="center"/>
          </w:tcPr>
          <w:p w14:paraId="0C3277EB" w14:textId="77777777" w:rsidR="009F7F8A" w:rsidRPr="00942A16" w:rsidRDefault="009F7F8A" w:rsidP="009F7F8A">
            <w:pPr>
              <w:rPr>
                <w:rFonts w:eastAsia="SimSun"/>
                <w:lang w:val="en-US"/>
              </w:rPr>
            </w:pPr>
          </w:p>
        </w:tc>
        <w:tc>
          <w:tcPr>
            <w:tcW w:w="1701" w:type="dxa"/>
            <w:vAlign w:val="center"/>
          </w:tcPr>
          <w:p w14:paraId="072F3BE1"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3A18E17C"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678F151B"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77299C73"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1263DA59"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EE2BF13" w14:textId="77777777" w:rsidTr="009F7F8A">
        <w:trPr>
          <w:cantSplit/>
          <w:trHeight w:val="20"/>
        </w:trPr>
        <w:tc>
          <w:tcPr>
            <w:tcW w:w="817" w:type="dxa"/>
            <w:vMerge w:val="restart"/>
            <w:textDirection w:val="btLr"/>
            <w:vAlign w:val="center"/>
          </w:tcPr>
          <w:p w14:paraId="1DC297B8"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4D43407D"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280DE2AA"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37BD52C6" w14:textId="77777777" w:rsidR="009F7F8A" w:rsidRPr="00AC3044" w:rsidRDefault="009F7F8A" w:rsidP="009F7F8A">
            <w:pPr>
              <w:rPr>
                <w:rFonts w:eastAsia="SimSun"/>
              </w:rPr>
            </w:pPr>
            <w:r w:rsidRPr="00AC3044">
              <w:rPr>
                <w:rFonts w:eastAsia="SimSun"/>
              </w:rPr>
              <w:t>90 мг/м</w:t>
            </w:r>
            <w:r w:rsidRPr="0074195F">
              <w:rPr>
                <w:rFonts w:eastAsia="SimSun"/>
                <w:vertAlign w:val="superscript"/>
              </w:rPr>
              <w:t>2</w:t>
            </w:r>
          </w:p>
        </w:tc>
        <w:tc>
          <w:tcPr>
            <w:tcW w:w="1701" w:type="dxa"/>
            <w:vAlign w:val="center"/>
          </w:tcPr>
          <w:p w14:paraId="751D468D" w14:textId="77777777" w:rsidR="009F7F8A" w:rsidRPr="00AC3044" w:rsidRDefault="009F7F8A" w:rsidP="009F7F8A">
            <w:pPr>
              <w:rPr>
                <w:rFonts w:eastAsia="SimSun"/>
              </w:rPr>
            </w:pPr>
            <w:r w:rsidRPr="00AC3044">
              <w:rPr>
                <w:rFonts w:eastAsia="SimSun"/>
              </w:rPr>
              <w:t>С -4 дня по -2 день</w:t>
            </w:r>
          </w:p>
        </w:tc>
        <w:tc>
          <w:tcPr>
            <w:tcW w:w="2268" w:type="dxa"/>
            <w:vAlign w:val="center"/>
          </w:tcPr>
          <w:p w14:paraId="7F287A24"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7BCD1D34" w14:textId="77777777" w:rsidTr="009F7F8A">
        <w:trPr>
          <w:cantSplit/>
          <w:trHeight w:val="1207"/>
        </w:trPr>
        <w:tc>
          <w:tcPr>
            <w:tcW w:w="817" w:type="dxa"/>
            <w:vMerge/>
            <w:vAlign w:val="center"/>
          </w:tcPr>
          <w:p w14:paraId="6BC90973" w14:textId="77777777" w:rsidR="009F7F8A" w:rsidRPr="00AC3044" w:rsidRDefault="009F7F8A" w:rsidP="009F7F8A">
            <w:pPr>
              <w:rPr>
                <w:rFonts w:eastAsia="SimSun"/>
              </w:rPr>
            </w:pPr>
          </w:p>
        </w:tc>
        <w:tc>
          <w:tcPr>
            <w:tcW w:w="1701" w:type="dxa"/>
            <w:vAlign w:val="center"/>
          </w:tcPr>
          <w:p w14:paraId="1A7C80E8" w14:textId="77777777" w:rsidR="009F7F8A" w:rsidRPr="00AC3044" w:rsidRDefault="009F7F8A" w:rsidP="009F7F8A">
            <w:pPr>
              <w:rPr>
                <w:rFonts w:eastAsia="SimSun"/>
              </w:rPr>
            </w:pPr>
            <w:r w:rsidRPr="00AC3044">
              <w:rPr>
                <w:rFonts w:eastAsia="SimSun"/>
              </w:rPr>
              <w:t>Бендамустин</w:t>
            </w:r>
          </w:p>
        </w:tc>
        <w:tc>
          <w:tcPr>
            <w:tcW w:w="1559" w:type="dxa"/>
            <w:vAlign w:val="center"/>
          </w:tcPr>
          <w:p w14:paraId="356A0F23" w14:textId="77777777" w:rsidR="009F7F8A" w:rsidRPr="00AC3044" w:rsidRDefault="009F7F8A" w:rsidP="009F7F8A">
            <w:pPr>
              <w:rPr>
                <w:rFonts w:eastAsia="SimSun"/>
              </w:rPr>
            </w:pPr>
            <w:r w:rsidRPr="00AC3044">
              <w:rPr>
                <w:rFonts w:eastAsia="SimSun"/>
              </w:rPr>
              <w:t>130 мг/м</w:t>
            </w:r>
            <w:r w:rsidRPr="0074195F">
              <w:rPr>
                <w:rFonts w:eastAsia="SimSun"/>
                <w:vertAlign w:val="superscript"/>
              </w:rPr>
              <w:t>2</w:t>
            </w:r>
            <w:r w:rsidRPr="00AC3044">
              <w:rPr>
                <w:rFonts w:eastAsia="SimSun"/>
              </w:rPr>
              <w:t xml:space="preserve"> </w:t>
            </w:r>
          </w:p>
        </w:tc>
        <w:tc>
          <w:tcPr>
            <w:tcW w:w="1418" w:type="dxa"/>
            <w:vAlign w:val="center"/>
          </w:tcPr>
          <w:p w14:paraId="40D376CD" w14:textId="77777777" w:rsidR="009F7F8A" w:rsidRPr="00AC3044" w:rsidRDefault="009F7F8A" w:rsidP="009F7F8A">
            <w:pPr>
              <w:rPr>
                <w:rFonts w:eastAsia="SimSun"/>
              </w:rPr>
            </w:pPr>
            <w:r w:rsidRPr="00AC3044">
              <w:rPr>
                <w:rFonts w:eastAsia="SimSun"/>
              </w:rPr>
              <w:t>10 мг/м</w:t>
            </w:r>
            <w:r w:rsidRPr="0074195F">
              <w:rPr>
                <w:rFonts w:eastAsia="SimSun"/>
                <w:vertAlign w:val="superscript"/>
              </w:rPr>
              <w:t>2</w:t>
            </w:r>
          </w:p>
        </w:tc>
        <w:tc>
          <w:tcPr>
            <w:tcW w:w="1701" w:type="dxa"/>
            <w:vAlign w:val="center"/>
          </w:tcPr>
          <w:p w14:paraId="0B815C16" w14:textId="77777777" w:rsidR="009F7F8A" w:rsidRPr="00AC3044" w:rsidRDefault="009F7F8A" w:rsidP="009F7F8A">
            <w:pPr>
              <w:rPr>
                <w:rFonts w:eastAsia="SimSun"/>
              </w:rPr>
            </w:pPr>
            <w:r w:rsidRPr="00AC3044">
              <w:rPr>
                <w:rFonts w:eastAsia="SimSun"/>
              </w:rPr>
              <w:t xml:space="preserve">  С -4 дня по -2 день</w:t>
            </w:r>
          </w:p>
        </w:tc>
        <w:tc>
          <w:tcPr>
            <w:tcW w:w="2268" w:type="dxa"/>
            <w:vAlign w:val="center"/>
          </w:tcPr>
          <w:p w14:paraId="7CB661A6" w14:textId="77777777" w:rsidR="009F7F8A" w:rsidRPr="00AC3044" w:rsidRDefault="009F7F8A" w:rsidP="009F7F8A">
            <w:pPr>
              <w:rPr>
                <w:rFonts w:eastAsia="SimSun"/>
              </w:rPr>
            </w:pPr>
            <w:r w:rsidRPr="00AC3044">
              <w:rPr>
                <w:rFonts w:eastAsia="SimSun"/>
              </w:rPr>
              <w:t>В/в, в течение 1 часа</w:t>
            </w:r>
          </w:p>
        </w:tc>
      </w:tr>
      <w:tr w:rsidR="009F7F8A" w:rsidRPr="00AC3044" w14:paraId="781B066F" w14:textId="77777777" w:rsidTr="009F7F8A">
        <w:trPr>
          <w:cantSplit/>
          <w:trHeight w:val="958"/>
        </w:trPr>
        <w:tc>
          <w:tcPr>
            <w:tcW w:w="817" w:type="dxa"/>
            <w:textDirection w:val="btLr"/>
            <w:vAlign w:val="center"/>
          </w:tcPr>
          <w:p w14:paraId="06E6567F"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4D90EA54"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4B7A6817"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31F81073"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149BDA4E" w14:textId="77777777" w:rsidR="009F7F8A" w:rsidRPr="00AC3044" w:rsidRDefault="009F7F8A" w:rsidP="009F7F8A">
            <w:pPr>
              <w:rPr>
                <w:rFonts w:eastAsia="SimSun"/>
              </w:rPr>
            </w:pPr>
            <w:r w:rsidRPr="00AC3044">
              <w:rPr>
                <w:rFonts w:eastAsia="SimSun"/>
              </w:rPr>
              <w:t xml:space="preserve">В дни +3, +4 </w:t>
            </w:r>
          </w:p>
        </w:tc>
        <w:tc>
          <w:tcPr>
            <w:tcW w:w="2268" w:type="dxa"/>
            <w:vAlign w:val="center"/>
          </w:tcPr>
          <w:p w14:paraId="3A12A399" w14:textId="77777777" w:rsidR="009F7F8A" w:rsidRPr="00AC3044" w:rsidRDefault="009F7F8A" w:rsidP="009F7F8A">
            <w:pPr>
              <w:rPr>
                <w:rFonts w:eastAsia="SimSun"/>
              </w:rPr>
            </w:pPr>
            <w:r w:rsidRPr="00AC3044">
              <w:rPr>
                <w:rFonts w:eastAsia="SimSun"/>
              </w:rPr>
              <w:t>В/в, в течение 2 часов</w:t>
            </w:r>
          </w:p>
        </w:tc>
      </w:tr>
    </w:tbl>
    <w:p w14:paraId="3FD2D912" w14:textId="77777777" w:rsidR="009F7F8A" w:rsidRDefault="009F7F8A" w:rsidP="009F7F8A">
      <w:pPr>
        <w:rPr>
          <w:rFonts w:eastAsia="SimSun"/>
        </w:rPr>
      </w:pPr>
      <w:bookmarkStart w:id="182" w:name="_Toc44401217"/>
    </w:p>
    <w:p w14:paraId="16DE4E0D" w14:textId="77777777" w:rsidR="009F7F8A" w:rsidRPr="00042499" w:rsidRDefault="009F7F8A" w:rsidP="009F7F8A">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2.2.17  – </w:t>
      </w:r>
      <w:r w:rsidRPr="009F7F8A">
        <w:rPr>
          <w:rFonts w:eastAsia="SimSun"/>
          <w:lang w:val="en-US"/>
        </w:rPr>
        <w:t>Flu</w:t>
      </w:r>
      <w:r w:rsidRPr="00042499">
        <w:rPr>
          <w:rFonts w:eastAsia="SimSun"/>
          <w:lang w:val="en-US"/>
        </w:rPr>
        <w:t>150+</w:t>
      </w:r>
      <w:r w:rsidRPr="009F7F8A">
        <w:rPr>
          <w:rFonts w:eastAsia="SimSun"/>
          <w:lang w:val="en-US"/>
        </w:rPr>
        <w:t>Thio</w:t>
      </w:r>
      <w:r w:rsidRPr="00042499">
        <w:rPr>
          <w:rFonts w:eastAsia="SimSun"/>
          <w:lang w:val="en-US"/>
        </w:rPr>
        <w:t xml:space="preserve"> / </w:t>
      </w:r>
      <w:r w:rsidRPr="009F7F8A">
        <w:rPr>
          <w:rFonts w:eastAsia="SimSun"/>
          <w:lang w:val="en-US"/>
        </w:rPr>
        <w:t>hATG</w:t>
      </w:r>
      <w:r w:rsidRPr="00042499">
        <w:rPr>
          <w:rFonts w:eastAsia="SimSun"/>
          <w:lang w:val="en-US"/>
        </w:rPr>
        <w:t>+</w:t>
      </w:r>
      <w:r w:rsidRPr="009F7F8A">
        <w:rPr>
          <w:rFonts w:eastAsia="SimSun"/>
          <w:lang w:val="en-US"/>
        </w:rPr>
        <w:t>Tx</w:t>
      </w:r>
      <w:r w:rsidRPr="00042499">
        <w:rPr>
          <w:rFonts w:eastAsia="SimSun"/>
          <w:lang w:val="en-US"/>
        </w:rPr>
        <w:t>+</w:t>
      </w:r>
      <w:r w:rsidRPr="009F7F8A">
        <w:rPr>
          <w:rFonts w:eastAsia="SimSun"/>
          <w:lang w:val="en-US"/>
        </w:rPr>
        <w:t>MMF</w:t>
      </w:r>
      <w:r w:rsidRPr="00042499">
        <w:rPr>
          <w:rFonts w:eastAsia="SimSun"/>
          <w:lang w:val="en-US"/>
        </w:rPr>
        <w:t>30</w:t>
      </w:r>
      <w:bookmarkEnd w:id="18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F7F8A" w:rsidRPr="00AC3044" w14:paraId="6FA80F59" w14:textId="77777777" w:rsidTr="009F7F8A">
        <w:trPr>
          <w:cantSplit/>
          <w:trHeight w:val="20"/>
          <w:tblHeader/>
        </w:trPr>
        <w:tc>
          <w:tcPr>
            <w:tcW w:w="817" w:type="dxa"/>
            <w:vAlign w:val="center"/>
          </w:tcPr>
          <w:p w14:paraId="6964F946" w14:textId="77777777" w:rsidR="009F7F8A" w:rsidRPr="00942A16" w:rsidRDefault="009F7F8A" w:rsidP="009F7F8A">
            <w:pPr>
              <w:rPr>
                <w:rFonts w:eastAsia="SimSun"/>
                <w:lang w:val="en-US"/>
              </w:rPr>
            </w:pPr>
          </w:p>
        </w:tc>
        <w:tc>
          <w:tcPr>
            <w:tcW w:w="1701" w:type="dxa"/>
            <w:vAlign w:val="center"/>
          </w:tcPr>
          <w:p w14:paraId="61BBE73E"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00A3162F"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0B96C8B1"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329DE9F2"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6F24BE5E"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614B379D" w14:textId="77777777" w:rsidTr="009F7F8A">
        <w:trPr>
          <w:cantSplit/>
          <w:trHeight w:val="20"/>
        </w:trPr>
        <w:tc>
          <w:tcPr>
            <w:tcW w:w="817" w:type="dxa"/>
            <w:vMerge w:val="restart"/>
            <w:textDirection w:val="btLr"/>
            <w:vAlign w:val="center"/>
          </w:tcPr>
          <w:p w14:paraId="1D61C0D8"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4A2FED85"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2BB7D2FF"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462645A5" w14:textId="77777777" w:rsidR="009F7F8A" w:rsidRPr="00AC3044" w:rsidRDefault="009F7F8A" w:rsidP="009F7F8A">
            <w:pPr>
              <w:rPr>
                <w:rFonts w:eastAsia="SimSun"/>
              </w:rPr>
            </w:pPr>
            <w:r w:rsidRPr="00AC3044">
              <w:rPr>
                <w:rFonts w:eastAsia="SimSun"/>
              </w:rPr>
              <w:t>150 мг/м</w:t>
            </w:r>
            <w:r w:rsidRPr="0074195F">
              <w:rPr>
                <w:rFonts w:eastAsia="SimSun"/>
                <w:vertAlign w:val="superscript"/>
              </w:rPr>
              <w:t>2</w:t>
            </w:r>
          </w:p>
        </w:tc>
        <w:tc>
          <w:tcPr>
            <w:tcW w:w="1701" w:type="dxa"/>
            <w:vAlign w:val="center"/>
          </w:tcPr>
          <w:p w14:paraId="454AAFF2" w14:textId="77777777" w:rsidR="009F7F8A" w:rsidRPr="00AC3044" w:rsidRDefault="009F7F8A" w:rsidP="009F7F8A">
            <w:pPr>
              <w:rPr>
                <w:rFonts w:eastAsia="SimSun"/>
              </w:rPr>
            </w:pPr>
            <w:r w:rsidRPr="00AC3044">
              <w:rPr>
                <w:rFonts w:eastAsia="SimSun"/>
              </w:rPr>
              <w:t>С -6 дня по -2 день</w:t>
            </w:r>
          </w:p>
        </w:tc>
        <w:tc>
          <w:tcPr>
            <w:tcW w:w="2268" w:type="dxa"/>
            <w:vAlign w:val="center"/>
          </w:tcPr>
          <w:p w14:paraId="5D4CAB0F"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66ED8D2B" w14:textId="77777777" w:rsidTr="009F7F8A">
        <w:trPr>
          <w:cantSplit/>
          <w:trHeight w:val="510"/>
        </w:trPr>
        <w:tc>
          <w:tcPr>
            <w:tcW w:w="817" w:type="dxa"/>
            <w:vMerge/>
            <w:vAlign w:val="center"/>
          </w:tcPr>
          <w:p w14:paraId="1DA161B9" w14:textId="77777777" w:rsidR="009F7F8A" w:rsidRPr="00AC3044" w:rsidRDefault="009F7F8A" w:rsidP="009F7F8A">
            <w:pPr>
              <w:rPr>
                <w:rFonts w:eastAsia="SimSun"/>
              </w:rPr>
            </w:pPr>
          </w:p>
        </w:tc>
        <w:tc>
          <w:tcPr>
            <w:tcW w:w="1701" w:type="dxa"/>
            <w:vAlign w:val="center"/>
          </w:tcPr>
          <w:p w14:paraId="532EA7F5" w14:textId="77777777" w:rsidR="009F7F8A" w:rsidRPr="00AC3044" w:rsidRDefault="009F7F8A" w:rsidP="009F7F8A">
            <w:pPr>
              <w:rPr>
                <w:rFonts w:eastAsia="SimSun"/>
              </w:rPr>
            </w:pPr>
            <w:r w:rsidRPr="00AC3044">
              <w:rPr>
                <w:rFonts w:eastAsia="SimSun"/>
              </w:rPr>
              <w:t>Тиотепа</w:t>
            </w:r>
          </w:p>
        </w:tc>
        <w:tc>
          <w:tcPr>
            <w:tcW w:w="1559" w:type="dxa"/>
            <w:vAlign w:val="center"/>
          </w:tcPr>
          <w:p w14:paraId="3FEE5339" w14:textId="77777777" w:rsidR="009F7F8A" w:rsidRPr="00AC3044" w:rsidRDefault="009F7F8A" w:rsidP="009F7F8A">
            <w:pPr>
              <w:rPr>
                <w:rFonts w:eastAsia="SimSun"/>
              </w:rPr>
            </w:pPr>
            <w:r w:rsidRPr="00AC3044">
              <w:rPr>
                <w:rFonts w:eastAsia="SimSun"/>
              </w:rPr>
              <w:t>5 мг/м</w:t>
            </w:r>
            <w:r w:rsidRPr="0074195F">
              <w:rPr>
                <w:rFonts w:eastAsia="SimSun"/>
                <w:vertAlign w:val="superscript"/>
              </w:rPr>
              <w:t>2</w:t>
            </w:r>
            <w:r w:rsidRPr="00AC3044">
              <w:rPr>
                <w:rFonts w:eastAsia="SimSun"/>
              </w:rPr>
              <w:t xml:space="preserve"> </w:t>
            </w:r>
          </w:p>
        </w:tc>
        <w:tc>
          <w:tcPr>
            <w:tcW w:w="1418" w:type="dxa"/>
            <w:vAlign w:val="center"/>
          </w:tcPr>
          <w:p w14:paraId="34FB76CB" w14:textId="77777777" w:rsidR="009F7F8A" w:rsidRPr="00AC3044" w:rsidRDefault="009F7F8A" w:rsidP="009F7F8A">
            <w:pPr>
              <w:rPr>
                <w:rFonts w:eastAsia="SimSun"/>
              </w:rPr>
            </w:pPr>
            <w:r w:rsidRPr="00AC3044">
              <w:rPr>
                <w:rFonts w:eastAsia="SimSun"/>
              </w:rPr>
              <w:t>10 мг/м</w:t>
            </w:r>
            <w:r w:rsidRPr="0074195F">
              <w:rPr>
                <w:rFonts w:eastAsia="SimSun"/>
                <w:vertAlign w:val="superscript"/>
              </w:rPr>
              <w:t>2</w:t>
            </w:r>
          </w:p>
        </w:tc>
        <w:tc>
          <w:tcPr>
            <w:tcW w:w="1701" w:type="dxa"/>
            <w:vAlign w:val="center"/>
          </w:tcPr>
          <w:p w14:paraId="2E090F5B" w14:textId="77777777" w:rsidR="009F7F8A" w:rsidRPr="00AC3044" w:rsidRDefault="009F7F8A" w:rsidP="009F7F8A">
            <w:pPr>
              <w:rPr>
                <w:rFonts w:eastAsia="SimSun"/>
              </w:rPr>
            </w:pPr>
            <w:r w:rsidRPr="00AC3044">
              <w:rPr>
                <w:rFonts w:eastAsia="SimSun"/>
              </w:rPr>
              <w:t xml:space="preserve"> Дни -5; -4  </w:t>
            </w:r>
          </w:p>
        </w:tc>
        <w:tc>
          <w:tcPr>
            <w:tcW w:w="2268" w:type="dxa"/>
            <w:vAlign w:val="center"/>
          </w:tcPr>
          <w:p w14:paraId="2C9EE615"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61D61C8E" w14:textId="77777777" w:rsidTr="009F7F8A">
        <w:trPr>
          <w:cantSplit/>
          <w:trHeight w:val="712"/>
        </w:trPr>
        <w:tc>
          <w:tcPr>
            <w:tcW w:w="817" w:type="dxa"/>
            <w:vMerge w:val="restart"/>
            <w:textDirection w:val="btLr"/>
            <w:vAlign w:val="center"/>
          </w:tcPr>
          <w:p w14:paraId="424D86C8"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33389088" w14:textId="77777777" w:rsidR="009F7F8A" w:rsidRPr="00AC3044" w:rsidRDefault="009F7F8A" w:rsidP="009F7F8A">
            <w:pPr>
              <w:rPr>
                <w:rFonts w:eastAsia="SimSun"/>
              </w:rPr>
            </w:pPr>
            <w:r w:rsidRPr="00AC3044">
              <w:rPr>
                <w:rFonts w:eastAsia="SimSun"/>
              </w:rPr>
              <w:t>АТГ (лошадиный)</w:t>
            </w:r>
          </w:p>
        </w:tc>
        <w:tc>
          <w:tcPr>
            <w:tcW w:w="1559" w:type="dxa"/>
            <w:vAlign w:val="center"/>
          </w:tcPr>
          <w:p w14:paraId="1C0D7E23" w14:textId="77777777" w:rsidR="009F7F8A" w:rsidRPr="00AC3044" w:rsidRDefault="009F7F8A" w:rsidP="009F7F8A">
            <w:pPr>
              <w:rPr>
                <w:rFonts w:eastAsia="SimSun"/>
              </w:rPr>
            </w:pPr>
            <w:r w:rsidRPr="00AC3044">
              <w:rPr>
                <w:rFonts w:eastAsia="SimSun"/>
              </w:rPr>
              <w:t>20 мг/кг</w:t>
            </w:r>
          </w:p>
        </w:tc>
        <w:tc>
          <w:tcPr>
            <w:tcW w:w="1418" w:type="dxa"/>
            <w:vAlign w:val="center"/>
          </w:tcPr>
          <w:p w14:paraId="4CACB831" w14:textId="77777777" w:rsidR="009F7F8A" w:rsidRPr="00AC3044" w:rsidRDefault="009F7F8A" w:rsidP="009F7F8A">
            <w:pPr>
              <w:rPr>
                <w:rFonts w:eastAsia="SimSun"/>
              </w:rPr>
            </w:pPr>
            <w:r w:rsidRPr="00AC3044">
              <w:rPr>
                <w:rFonts w:eastAsia="SimSun"/>
              </w:rPr>
              <w:t>60 мг/кг</w:t>
            </w:r>
          </w:p>
        </w:tc>
        <w:tc>
          <w:tcPr>
            <w:tcW w:w="1701" w:type="dxa"/>
            <w:vAlign w:val="center"/>
          </w:tcPr>
          <w:p w14:paraId="1923017A" w14:textId="77777777" w:rsidR="009F7F8A" w:rsidRPr="00AC3044" w:rsidRDefault="009F7F8A" w:rsidP="009F7F8A">
            <w:pPr>
              <w:rPr>
                <w:rFonts w:eastAsia="SimSun"/>
              </w:rPr>
            </w:pPr>
            <w:r w:rsidRPr="00AC3044">
              <w:rPr>
                <w:rFonts w:eastAsia="SimSun"/>
              </w:rPr>
              <w:t>В дни -3, -2, -1</w:t>
            </w:r>
          </w:p>
        </w:tc>
        <w:tc>
          <w:tcPr>
            <w:tcW w:w="2268" w:type="dxa"/>
            <w:vAlign w:val="center"/>
          </w:tcPr>
          <w:p w14:paraId="6EFC5858" w14:textId="77777777" w:rsidR="009F7F8A" w:rsidRPr="00AC3044" w:rsidRDefault="009F7F8A" w:rsidP="009F7F8A">
            <w:pPr>
              <w:rPr>
                <w:rFonts w:eastAsia="SimSun"/>
              </w:rPr>
            </w:pPr>
            <w:r w:rsidRPr="00AC3044">
              <w:rPr>
                <w:rFonts w:eastAsia="SimSun"/>
              </w:rPr>
              <w:t xml:space="preserve"> В/в. Суточная доза разделяется на 2 введения (см. «Инфузия АТГ»)</w:t>
            </w:r>
          </w:p>
        </w:tc>
      </w:tr>
      <w:tr w:rsidR="009F7F8A" w:rsidRPr="00AC3044" w14:paraId="33AB08AC" w14:textId="77777777" w:rsidTr="009F7F8A">
        <w:trPr>
          <w:cantSplit/>
          <w:trHeight w:val="958"/>
        </w:trPr>
        <w:tc>
          <w:tcPr>
            <w:tcW w:w="817" w:type="dxa"/>
            <w:vMerge/>
            <w:textDirection w:val="btLr"/>
            <w:vAlign w:val="center"/>
          </w:tcPr>
          <w:p w14:paraId="6E1265B3" w14:textId="77777777" w:rsidR="009F7F8A" w:rsidRPr="00AC3044" w:rsidRDefault="009F7F8A" w:rsidP="009F7F8A">
            <w:pPr>
              <w:rPr>
                <w:rFonts w:eastAsia="SimSun"/>
              </w:rPr>
            </w:pPr>
          </w:p>
        </w:tc>
        <w:tc>
          <w:tcPr>
            <w:tcW w:w="1701" w:type="dxa"/>
            <w:vAlign w:val="center"/>
          </w:tcPr>
          <w:p w14:paraId="52D4765E" w14:textId="77777777" w:rsidR="009F7F8A" w:rsidRPr="00AC3044" w:rsidRDefault="009F7F8A" w:rsidP="009F7F8A">
            <w:pPr>
              <w:rPr>
                <w:rFonts w:eastAsia="SimSun"/>
              </w:rPr>
            </w:pPr>
            <w:r w:rsidRPr="00AC3044">
              <w:rPr>
                <w:rFonts w:eastAsia="SimSun"/>
              </w:rPr>
              <w:t xml:space="preserve">Такролимус </w:t>
            </w:r>
          </w:p>
        </w:tc>
        <w:tc>
          <w:tcPr>
            <w:tcW w:w="1559" w:type="dxa"/>
            <w:vAlign w:val="center"/>
          </w:tcPr>
          <w:p w14:paraId="3BCDD52E" w14:textId="77777777" w:rsidR="009F7F8A" w:rsidRPr="00AC3044" w:rsidRDefault="009F7F8A" w:rsidP="009F7F8A">
            <w:pPr>
              <w:rPr>
                <w:rFonts w:eastAsia="SimSun"/>
              </w:rPr>
            </w:pPr>
            <w:r w:rsidRPr="00AC3044">
              <w:rPr>
                <w:rFonts w:eastAsia="SimSun"/>
              </w:rPr>
              <w:t>0,03 мг/кг</w:t>
            </w:r>
          </w:p>
        </w:tc>
        <w:tc>
          <w:tcPr>
            <w:tcW w:w="1418" w:type="dxa"/>
            <w:vAlign w:val="center"/>
          </w:tcPr>
          <w:p w14:paraId="6278282A" w14:textId="77777777" w:rsidR="009F7F8A" w:rsidRPr="00AC3044" w:rsidRDefault="009F7F8A" w:rsidP="009F7F8A">
            <w:pPr>
              <w:rPr>
                <w:rFonts w:eastAsia="SimSun"/>
              </w:rPr>
            </w:pPr>
            <w:r w:rsidRPr="00AC3044">
              <w:rPr>
                <w:rFonts w:eastAsia="SimSun"/>
              </w:rPr>
              <w:t>–</w:t>
            </w:r>
          </w:p>
        </w:tc>
        <w:tc>
          <w:tcPr>
            <w:tcW w:w="1701" w:type="dxa"/>
            <w:vAlign w:val="center"/>
          </w:tcPr>
          <w:p w14:paraId="36A9C706" w14:textId="77777777" w:rsidR="009F7F8A" w:rsidRPr="00AC3044" w:rsidRDefault="009F7F8A" w:rsidP="009F7F8A">
            <w:pPr>
              <w:rPr>
                <w:rFonts w:eastAsia="SimSun"/>
              </w:rPr>
            </w:pPr>
            <w:r w:rsidRPr="00AC3044">
              <w:rPr>
                <w:rFonts w:eastAsia="SimSun"/>
              </w:rPr>
              <w:t xml:space="preserve">С -1 дня длительно </w:t>
            </w:r>
          </w:p>
        </w:tc>
        <w:tc>
          <w:tcPr>
            <w:tcW w:w="2268" w:type="dxa"/>
            <w:vAlign w:val="center"/>
          </w:tcPr>
          <w:p w14:paraId="2A44FD02"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27150ACF" w14:textId="77777777" w:rsidTr="009F7F8A">
        <w:trPr>
          <w:cantSplit/>
          <w:trHeight w:val="362"/>
        </w:trPr>
        <w:tc>
          <w:tcPr>
            <w:tcW w:w="817" w:type="dxa"/>
            <w:vMerge/>
            <w:textDirection w:val="btLr"/>
            <w:vAlign w:val="center"/>
          </w:tcPr>
          <w:p w14:paraId="43788B3F" w14:textId="77777777" w:rsidR="009F7F8A" w:rsidRPr="00AC3044" w:rsidRDefault="009F7F8A" w:rsidP="009F7F8A">
            <w:pPr>
              <w:rPr>
                <w:rFonts w:eastAsia="SimSun"/>
              </w:rPr>
            </w:pPr>
          </w:p>
        </w:tc>
        <w:tc>
          <w:tcPr>
            <w:tcW w:w="1701" w:type="dxa"/>
            <w:vAlign w:val="center"/>
          </w:tcPr>
          <w:p w14:paraId="0282C4C9"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6DC3FEC6" w14:textId="77777777" w:rsidR="009F7F8A" w:rsidRPr="00AC3044" w:rsidRDefault="009F7F8A" w:rsidP="009F7F8A">
            <w:pPr>
              <w:rPr>
                <w:rFonts w:eastAsia="SimSun"/>
              </w:rPr>
            </w:pPr>
            <w:r w:rsidRPr="00AC3044">
              <w:rPr>
                <w:rFonts w:eastAsia="SimSun"/>
              </w:rPr>
              <w:t xml:space="preserve">30 мг/кг </w:t>
            </w:r>
          </w:p>
        </w:tc>
        <w:tc>
          <w:tcPr>
            <w:tcW w:w="1418" w:type="dxa"/>
            <w:vAlign w:val="center"/>
          </w:tcPr>
          <w:p w14:paraId="1311F522" w14:textId="77777777" w:rsidR="009F7F8A" w:rsidRPr="00AC3044" w:rsidRDefault="009F7F8A" w:rsidP="009F7F8A">
            <w:pPr>
              <w:rPr>
                <w:rFonts w:eastAsia="SimSun"/>
              </w:rPr>
            </w:pPr>
            <w:r w:rsidRPr="00AC3044">
              <w:rPr>
                <w:rFonts w:eastAsia="SimSun"/>
              </w:rPr>
              <w:t>–</w:t>
            </w:r>
          </w:p>
        </w:tc>
        <w:tc>
          <w:tcPr>
            <w:tcW w:w="1701" w:type="dxa"/>
            <w:vAlign w:val="center"/>
          </w:tcPr>
          <w:p w14:paraId="32F5E5DB" w14:textId="77777777" w:rsidR="009F7F8A" w:rsidRPr="00AC3044" w:rsidRDefault="009F7F8A" w:rsidP="009F7F8A">
            <w:pPr>
              <w:rPr>
                <w:rFonts w:eastAsia="SimSun"/>
              </w:rPr>
            </w:pPr>
            <w:r w:rsidRPr="00AC3044">
              <w:rPr>
                <w:rFonts w:eastAsia="SimSun"/>
              </w:rPr>
              <w:t xml:space="preserve">С -1 дня по +30 день </w:t>
            </w:r>
          </w:p>
        </w:tc>
        <w:tc>
          <w:tcPr>
            <w:tcW w:w="2268" w:type="dxa"/>
            <w:vAlign w:val="center"/>
          </w:tcPr>
          <w:p w14:paraId="1E7FC77F"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6D4C7F76" w14:textId="77777777" w:rsidR="009F7F8A" w:rsidRDefault="009F7F8A" w:rsidP="009F7F8A">
      <w:pPr>
        <w:rPr>
          <w:rFonts w:eastAsia="SimSun"/>
        </w:rPr>
      </w:pPr>
      <w:bookmarkStart w:id="183" w:name="_Toc44401218"/>
    </w:p>
    <w:p w14:paraId="2AC2D106" w14:textId="77777777" w:rsidR="009F7F8A" w:rsidRPr="00C07B2E" w:rsidRDefault="009F7F8A" w:rsidP="009F7F8A">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2.2.18  – Flu180+Treo36 / PT-Cy+CSA+MMF30</w:t>
      </w:r>
      <w:bookmarkEnd w:id="183"/>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701"/>
        <w:gridCol w:w="1559"/>
        <w:gridCol w:w="1418"/>
        <w:gridCol w:w="1701"/>
        <w:gridCol w:w="2268"/>
      </w:tblGrid>
      <w:tr w:rsidR="009F7F8A" w:rsidRPr="00AC3044" w14:paraId="45F8421D" w14:textId="77777777" w:rsidTr="009F7F8A">
        <w:trPr>
          <w:cantSplit/>
          <w:trHeight w:val="20"/>
          <w:tblHeader/>
        </w:trPr>
        <w:tc>
          <w:tcPr>
            <w:tcW w:w="709" w:type="dxa"/>
          </w:tcPr>
          <w:p w14:paraId="0ED9901A" w14:textId="77777777" w:rsidR="009F7F8A" w:rsidRPr="00470D3D" w:rsidRDefault="009F7F8A" w:rsidP="009F7F8A">
            <w:pPr>
              <w:rPr>
                <w:rFonts w:eastAsia="SimSun"/>
              </w:rPr>
            </w:pPr>
          </w:p>
        </w:tc>
        <w:tc>
          <w:tcPr>
            <w:tcW w:w="1701" w:type="dxa"/>
            <w:vAlign w:val="center"/>
          </w:tcPr>
          <w:p w14:paraId="4B79DC68"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1D096D02"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0DA7966F"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7142D658"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2C25ECC0"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738809FA" w14:textId="77777777" w:rsidTr="009F7F8A">
        <w:trPr>
          <w:cantSplit/>
          <w:trHeight w:val="20"/>
        </w:trPr>
        <w:tc>
          <w:tcPr>
            <w:tcW w:w="709" w:type="dxa"/>
            <w:vMerge w:val="restart"/>
            <w:textDirection w:val="btLr"/>
            <w:vAlign w:val="center"/>
          </w:tcPr>
          <w:p w14:paraId="600D2D7F"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74974E9B"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6BAF789B"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45B2CC84" w14:textId="77777777" w:rsidR="009F7F8A" w:rsidRPr="00AC3044" w:rsidRDefault="009F7F8A" w:rsidP="009F7F8A">
            <w:pPr>
              <w:rPr>
                <w:rFonts w:eastAsia="SimSun"/>
              </w:rPr>
            </w:pPr>
            <w:r w:rsidRPr="00AC3044">
              <w:rPr>
                <w:rFonts w:eastAsia="SimSun"/>
              </w:rPr>
              <w:t>150 мг/м</w:t>
            </w:r>
            <w:r w:rsidRPr="0074195F">
              <w:rPr>
                <w:rFonts w:eastAsia="SimSun"/>
                <w:vertAlign w:val="superscript"/>
              </w:rPr>
              <w:t>2</w:t>
            </w:r>
          </w:p>
        </w:tc>
        <w:tc>
          <w:tcPr>
            <w:tcW w:w="1701" w:type="dxa"/>
            <w:vAlign w:val="center"/>
          </w:tcPr>
          <w:p w14:paraId="775CC7AE" w14:textId="77777777" w:rsidR="009F7F8A" w:rsidRPr="00AC3044" w:rsidRDefault="009F7F8A" w:rsidP="009F7F8A">
            <w:pPr>
              <w:rPr>
                <w:rFonts w:eastAsia="SimSun"/>
              </w:rPr>
            </w:pPr>
            <w:r w:rsidRPr="00AC3044">
              <w:rPr>
                <w:rFonts w:eastAsia="SimSun"/>
              </w:rPr>
              <w:t>С –6 по –2 день</w:t>
            </w:r>
          </w:p>
        </w:tc>
        <w:tc>
          <w:tcPr>
            <w:tcW w:w="2268" w:type="dxa"/>
            <w:vAlign w:val="center"/>
          </w:tcPr>
          <w:p w14:paraId="3D655559"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5E51D749" w14:textId="77777777" w:rsidTr="009F7F8A">
        <w:trPr>
          <w:cantSplit/>
          <w:trHeight w:val="899"/>
        </w:trPr>
        <w:tc>
          <w:tcPr>
            <w:tcW w:w="709" w:type="dxa"/>
            <w:vMerge/>
            <w:textDirection w:val="btLr"/>
            <w:vAlign w:val="center"/>
          </w:tcPr>
          <w:p w14:paraId="44F3A312" w14:textId="77777777" w:rsidR="009F7F8A" w:rsidRPr="00AC3044" w:rsidRDefault="009F7F8A" w:rsidP="009F7F8A">
            <w:pPr>
              <w:rPr>
                <w:rFonts w:eastAsia="SimSun"/>
              </w:rPr>
            </w:pPr>
          </w:p>
        </w:tc>
        <w:tc>
          <w:tcPr>
            <w:tcW w:w="1701" w:type="dxa"/>
            <w:vAlign w:val="center"/>
          </w:tcPr>
          <w:p w14:paraId="51C3CF11" w14:textId="77777777" w:rsidR="009F7F8A" w:rsidRPr="00AC3044" w:rsidRDefault="009F7F8A" w:rsidP="009F7F8A">
            <w:pPr>
              <w:rPr>
                <w:rFonts w:eastAsia="SimSun"/>
              </w:rPr>
            </w:pPr>
            <w:r w:rsidRPr="00AC3044">
              <w:rPr>
                <w:rFonts w:eastAsia="SimSun"/>
              </w:rPr>
              <w:t>Треосульфан</w:t>
            </w:r>
          </w:p>
        </w:tc>
        <w:tc>
          <w:tcPr>
            <w:tcW w:w="1559" w:type="dxa"/>
            <w:vAlign w:val="center"/>
          </w:tcPr>
          <w:p w14:paraId="5FEB9DBC" w14:textId="77777777" w:rsidR="009F7F8A" w:rsidRPr="00AC3044" w:rsidRDefault="009F7F8A" w:rsidP="009F7F8A">
            <w:pPr>
              <w:rPr>
                <w:rFonts w:eastAsia="SimSun"/>
              </w:rPr>
            </w:pPr>
            <w:r w:rsidRPr="00AC3044">
              <w:rPr>
                <w:rFonts w:eastAsia="SimSun"/>
              </w:rPr>
              <w:t>12 г/м</w:t>
            </w:r>
            <w:r w:rsidRPr="0074195F">
              <w:rPr>
                <w:rFonts w:eastAsia="SimSun"/>
                <w:vertAlign w:val="superscript"/>
              </w:rPr>
              <w:t>2</w:t>
            </w:r>
          </w:p>
        </w:tc>
        <w:tc>
          <w:tcPr>
            <w:tcW w:w="1418" w:type="dxa"/>
            <w:vAlign w:val="center"/>
          </w:tcPr>
          <w:p w14:paraId="6D0F17FA" w14:textId="77777777" w:rsidR="009F7F8A" w:rsidRPr="00AC3044" w:rsidRDefault="009F7F8A" w:rsidP="009F7F8A">
            <w:pPr>
              <w:rPr>
                <w:rFonts w:eastAsia="SimSun"/>
              </w:rPr>
            </w:pPr>
            <w:r w:rsidRPr="00AC3044">
              <w:rPr>
                <w:rFonts w:eastAsia="SimSun"/>
              </w:rPr>
              <w:t>36 г/м</w:t>
            </w:r>
            <w:r w:rsidRPr="0074195F">
              <w:rPr>
                <w:rFonts w:eastAsia="SimSun"/>
                <w:vertAlign w:val="superscript"/>
              </w:rPr>
              <w:t>2</w:t>
            </w:r>
          </w:p>
        </w:tc>
        <w:tc>
          <w:tcPr>
            <w:tcW w:w="1701" w:type="dxa"/>
            <w:vAlign w:val="center"/>
          </w:tcPr>
          <w:p w14:paraId="7717B420" w14:textId="77777777" w:rsidR="009F7F8A" w:rsidRPr="00AC3044" w:rsidRDefault="009F7F8A" w:rsidP="009F7F8A">
            <w:pPr>
              <w:rPr>
                <w:rFonts w:eastAsia="SimSun"/>
              </w:rPr>
            </w:pPr>
            <w:r w:rsidRPr="00AC3044">
              <w:rPr>
                <w:rFonts w:eastAsia="SimSun"/>
              </w:rPr>
              <w:t>С –6 по –4 день</w:t>
            </w:r>
          </w:p>
        </w:tc>
        <w:tc>
          <w:tcPr>
            <w:tcW w:w="2268" w:type="dxa"/>
            <w:vAlign w:val="center"/>
          </w:tcPr>
          <w:p w14:paraId="63661573"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41B16CD7" w14:textId="77777777" w:rsidTr="009F7F8A">
        <w:trPr>
          <w:cantSplit/>
          <w:trHeight w:val="1394"/>
        </w:trPr>
        <w:tc>
          <w:tcPr>
            <w:tcW w:w="709" w:type="dxa"/>
            <w:vMerge w:val="restart"/>
            <w:textDirection w:val="btLr"/>
            <w:vAlign w:val="center"/>
          </w:tcPr>
          <w:p w14:paraId="04BCE4B0" w14:textId="77777777" w:rsidR="009F7F8A" w:rsidRPr="00AC3044" w:rsidRDefault="009F7F8A" w:rsidP="009F7F8A">
            <w:pPr>
              <w:rPr>
                <w:rFonts w:eastAsia="SimSun"/>
              </w:rPr>
            </w:pPr>
            <w:r w:rsidRPr="00AC3044">
              <w:rPr>
                <w:rFonts w:eastAsia="SimSun"/>
              </w:rPr>
              <w:lastRenderedPageBreak/>
              <w:t>Профилактика РТПХ</w:t>
            </w:r>
          </w:p>
        </w:tc>
        <w:tc>
          <w:tcPr>
            <w:tcW w:w="1701" w:type="dxa"/>
            <w:vAlign w:val="center"/>
          </w:tcPr>
          <w:p w14:paraId="5D9DED42" w14:textId="77777777" w:rsidR="009F7F8A" w:rsidRPr="00AC3044" w:rsidRDefault="009F7F8A" w:rsidP="009F7F8A">
            <w:pPr>
              <w:rPr>
                <w:rFonts w:eastAsia="SimSun"/>
              </w:rPr>
            </w:pPr>
            <w:r w:rsidRPr="00AC3044">
              <w:rPr>
                <w:rFonts w:eastAsia="SimSun"/>
              </w:rPr>
              <w:t>Циклоспорин</w:t>
            </w:r>
          </w:p>
        </w:tc>
        <w:tc>
          <w:tcPr>
            <w:tcW w:w="1559" w:type="dxa"/>
            <w:vAlign w:val="center"/>
          </w:tcPr>
          <w:p w14:paraId="0EA3D518" w14:textId="77777777" w:rsidR="009F7F8A" w:rsidRPr="00AC3044" w:rsidRDefault="009F7F8A" w:rsidP="009F7F8A">
            <w:pPr>
              <w:rPr>
                <w:rFonts w:eastAsia="SimSun"/>
              </w:rPr>
            </w:pPr>
            <w:r w:rsidRPr="00AC3044">
              <w:rPr>
                <w:rFonts w:eastAsia="SimSun"/>
              </w:rPr>
              <w:t>3 мг/кг</w:t>
            </w:r>
          </w:p>
        </w:tc>
        <w:tc>
          <w:tcPr>
            <w:tcW w:w="1418" w:type="dxa"/>
            <w:vAlign w:val="center"/>
          </w:tcPr>
          <w:p w14:paraId="3E32C493" w14:textId="77777777" w:rsidR="009F7F8A" w:rsidRPr="00AC3044" w:rsidRDefault="009F7F8A" w:rsidP="009F7F8A">
            <w:pPr>
              <w:rPr>
                <w:rFonts w:eastAsia="SimSun"/>
              </w:rPr>
            </w:pPr>
            <w:r w:rsidRPr="00AC3044">
              <w:rPr>
                <w:rFonts w:eastAsia="SimSun"/>
              </w:rPr>
              <w:t>–</w:t>
            </w:r>
          </w:p>
        </w:tc>
        <w:tc>
          <w:tcPr>
            <w:tcW w:w="1701" w:type="dxa"/>
            <w:vAlign w:val="center"/>
          </w:tcPr>
          <w:p w14:paraId="3CAC007D" w14:textId="77777777" w:rsidR="009F7F8A" w:rsidRPr="00AC3044" w:rsidRDefault="009F7F8A" w:rsidP="009F7F8A">
            <w:pPr>
              <w:rPr>
                <w:rFonts w:eastAsia="SimSun"/>
              </w:rPr>
            </w:pPr>
            <w:r w:rsidRPr="00AC3044">
              <w:rPr>
                <w:rFonts w:eastAsia="SimSun"/>
              </w:rPr>
              <w:t>С +5 дня по +90 день затем постепенное снижение к +180 дню</w:t>
            </w:r>
          </w:p>
        </w:tc>
        <w:tc>
          <w:tcPr>
            <w:tcW w:w="2268" w:type="dxa"/>
            <w:vAlign w:val="center"/>
          </w:tcPr>
          <w:p w14:paraId="2D9B8105"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74195F">
              <w:rPr>
                <w:rFonts w:eastAsia="SimSun"/>
              </w:rPr>
              <w:t>/</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54174442" w14:textId="77777777" w:rsidTr="009F7F8A">
        <w:trPr>
          <w:cantSplit/>
          <w:trHeight w:val="20"/>
        </w:trPr>
        <w:tc>
          <w:tcPr>
            <w:tcW w:w="709" w:type="dxa"/>
            <w:vMerge/>
            <w:textDirection w:val="btLr"/>
          </w:tcPr>
          <w:p w14:paraId="4EA94DA5" w14:textId="77777777" w:rsidR="009F7F8A" w:rsidRPr="00AC3044" w:rsidRDefault="009F7F8A" w:rsidP="009F7F8A">
            <w:pPr>
              <w:rPr>
                <w:rFonts w:eastAsia="SimSun"/>
              </w:rPr>
            </w:pPr>
          </w:p>
        </w:tc>
        <w:tc>
          <w:tcPr>
            <w:tcW w:w="1701" w:type="dxa"/>
            <w:vAlign w:val="center"/>
          </w:tcPr>
          <w:p w14:paraId="50148F1A"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3FC2C252" w14:textId="77777777" w:rsidR="009F7F8A" w:rsidRPr="00AC3044" w:rsidRDefault="009F7F8A" w:rsidP="009F7F8A">
            <w:pPr>
              <w:rPr>
                <w:rFonts w:eastAsia="SimSun"/>
              </w:rPr>
            </w:pPr>
            <w:r w:rsidRPr="00AC3044">
              <w:rPr>
                <w:rFonts w:eastAsia="SimSun"/>
              </w:rPr>
              <w:t>30 мг/кг</w:t>
            </w:r>
          </w:p>
        </w:tc>
        <w:tc>
          <w:tcPr>
            <w:tcW w:w="1418" w:type="dxa"/>
            <w:vAlign w:val="center"/>
          </w:tcPr>
          <w:p w14:paraId="2DA59084" w14:textId="77777777" w:rsidR="009F7F8A" w:rsidRPr="00AC3044" w:rsidRDefault="009F7F8A" w:rsidP="009F7F8A">
            <w:pPr>
              <w:rPr>
                <w:rFonts w:eastAsia="SimSun"/>
              </w:rPr>
            </w:pPr>
            <w:r w:rsidRPr="00AC3044">
              <w:rPr>
                <w:rFonts w:eastAsia="SimSun"/>
              </w:rPr>
              <w:t>–</w:t>
            </w:r>
          </w:p>
        </w:tc>
        <w:tc>
          <w:tcPr>
            <w:tcW w:w="1701" w:type="dxa"/>
            <w:vAlign w:val="center"/>
          </w:tcPr>
          <w:p w14:paraId="43A5F1CB" w14:textId="77777777" w:rsidR="009F7F8A" w:rsidRPr="00AC3044" w:rsidRDefault="009F7F8A" w:rsidP="009F7F8A">
            <w:pPr>
              <w:rPr>
                <w:rFonts w:eastAsia="SimSun"/>
              </w:rPr>
            </w:pPr>
            <w:r w:rsidRPr="00AC3044">
              <w:rPr>
                <w:rFonts w:eastAsia="SimSun"/>
              </w:rPr>
              <w:t>С +5 по +90 день</w:t>
            </w:r>
          </w:p>
        </w:tc>
        <w:tc>
          <w:tcPr>
            <w:tcW w:w="2268" w:type="dxa"/>
            <w:vAlign w:val="center"/>
          </w:tcPr>
          <w:p w14:paraId="5039CA6B"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9F7F8A" w:rsidRPr="00AC3044" w14:paraId="2CAEECCC" w14:textId="77777777" w:rsidTr="009F7F8A">
        <w:trPr>
          <w:cantSplit/>
          <w:trHeight w:val="20"/>
        </w:trPr>
        <w:tc>
          <w:tcPr>
            <w:tcW w:w="709" w:type="dxa"/>
            <w:vMerge/>
            <w:textDirection w:val="btLr"/>
          </w:tcPr>
          <w:p w14:paraId="1BA28C91" w14:textId="77777777" w:rsidR="009F7F8A" w:rsidRPr="00AC3044" w:rsidRDefault="009F7F8A" w:rsidP="009F7F8A">
            <w:pPr>
              <w:rPr>
                <w:rFonts w:eastAsia="SimSun"/>
              </w:rPr>
            </w:pPr>
          </w:p>
        </w:tc>
        <w:tc>
          <w:tcPr>
            <w:tcW w:w="1701" w:type="dxa"/>
            <w:vAlign w:val="center"/>
          </w:tcPr>
          <w:p w14:paraId="45F7626E"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3E87E1F0"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7DF39511"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04AAA810" w14:textId="77777777" w:rsidR="009F7F8A" w:rsidRPr="00AC3044" w:rsidRDefault="009F7F8A" w:rsidP="009F7F8A">
            <w:pPr>
              <w:rPr>
                <w:rFonts w:eastAsia="SimSun"/>
              </w:rPr>
            </w:pPr>
            <w:r w:rsidRPr="00AC3044">
              <w:rPr>
                <w:rFonts w:eastAsia="SimSun"/>
              </w:rPr>
              <w:t xml:space="preserve">+3,+4 дни </w:t>
            </w:r>
          </w:p>
        </w:tc>
        <w:tc>
          <w:tcPr>
            <w:tcW w:w="2268" w:type="dxa"/>
            <w:vAlign w:val="center"/>
          </w:tcPr>
          <w:p w14:paraId="21FE1D18" w14:textId="77777777" w:rsidR="009F7F8A" w:rsidRPr="00AC3044" w:rsidRDefault="009F7F8A" w:rsidP="009F7F8A">
            <w:pPr>
              <w:rPr>
                <w:rFonts w:eastAsia="SimSun"/>
              </w:rPr>
            </w:pPr>
            <w:r w:rsidRPr="00AC3044">
              <w:rPr>
                <w:rFonts w:eastAsia="SimSun"/>
              </w:rPr>
              <w:t>В/в, в течение 2 часов</w:t>
            </w:r>
          </w:p>
        </w:tc>
      </w:tr>
    </w:tbl>
    <w:p w14:paraId="4DBF2819" w14:textId="77777777" w:rsidR="009F7F8A" w:rsidRDefault="009F7F8A" w:rsidP="009F7F8A">
      <w:pPr>
        <w:rPr>
          <w:rFonts w:eastAsia="SimSun"/>
        </w:rPr>
      </w:pPr>
      <w:bookmarkStart w:id="184" w:name="_Toc44401219"/>
    </w:p>
    <w:p w14:paraId="397226B1" w14:textId="77777777" w:rsidR="009F7F8A" w:rsidRPr="00C07B2E" w:rsidRDefault="009F7F8A" w:rsidP="009F7F8A">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2.2.19  – Flu180+Cy1200 / hATG+Tx+MMF30</w:t>
      </w:r>
      <w:bookmarkEnd w:id="18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F7F8A" w:rsidRPr="00AC3044" w14:paraId="2B6E6695" w14:textId="77777777" w:rsidTr="009F7F8A">
        <w:trPr>
          <w:cantSplit/>
          <w:trHeight w:val="20"/>
          <w:tblHeader/>
        </w:trPr>
        <w:tc>
          <w:tcPr>
            <w:tcW w:w="817" w:type="dxa"/>
            <w:vAlign w:val="center"/>
          </w:tcPr>
          <w:p w14:paraId="6B432572" w14:textId="77777777" w:rsidR="009F7F8A" w:rsidRPr="00AC3044" w:rsidRDefault="009F7F8A" w:rsidP="009F7F8A">
            <w:pPr>
              <w:rPr>
                <w:rFonts w:eastAsia="SimSun"/>
              </w:rPr>
            </w:pPr>
          </w:p>
        </w:tc>
        <w:tc>
          <w:tcPr>
            <w:tcW w:w="1701" w:type="dxa"/>
            <w:vAlign w:val="center"/>
          </w:tcPr>
          <w:p w14:paraId="0A007BC1"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4F985FF9"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23A6AA87"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4BE8B311"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392A6B98"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133A5C8" w14:textId="77777777" w:rsidTr="009F7F8A">
        <w:trPr>
          <w:cantSplit/>
          <w:trHeight w:val="20"/>
        </w:trPr>
        <w:tc>
          <w:tcPr>
            <w:tcW w:w="817" w:type="dxa"/>
            <w:vMerge w:val="restart"/>
            <w:textDirection w:val="btLr"/>
            <w:vAlign w:val="center"/>
          </w:tcPr>
          <w:p w14:paraId="45623D18"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64CE88D3"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6263EEF3"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2ED2DA7D"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701" w:type="dxa"/>
            <w:vAlign w:val="center"/>
          </w:tcPr>
          <w:p w14:paraId="6A14AAB3"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35E58532"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3F73FC88" w14:textId="77777777" w:rsidTr="009F7F8A">
        <w:trPr>
          <w:cantSplit/>
          <w:trHeight w:val="736"/>
        </w:trPr>
        <w:tc>
          <w:tcPr>
            <w:tcW w:w="817" w:type="dxa"/>
            <w:vMerge/>
            <w:vAlign w:val="center"/>
          </w:tcPr>
          <w:p w14:paraId="756BC298" w14:textId="77777777" w:rsidR="009F7F8A" w:rsidRPr="00AC3044" w:rsidRDefault="009F7F8A" w:rsidP="009F7F8A">
            <w:pPr>
              <w:rPr>
                <w:rFonts w:eastAsia="SimSun"/>
              </w:rPr>
            </w:pPr>
          </w:p>
        </w:tc>
        <w:tc>
          <w:tcPr>
            <w:tcW w:w="1701" w:type="dxa"/>
            <w:vAlign w:val="center"/>
          </w:tcPr>
          <w:p w14:paraId="4215325C"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4239D80D" w14:textId="77777777" w:rsidR="009F7F8A" w:rsidRPr="00AC3044" w:rsidRDefault="009F7F8A" w:rsidP="009F7F8A">
            <w:pPr>
              <w:rPr>
                <w:rFonts w:eastAsia="SimSun"/>
              </w:rPr>
            </w:pPr>
            <w:r w:rsidRPr="00AC3044">
              <w:rPr>
                <w:rFonts w:eastAsia="SimSun"/>
              </w:rPr>
              <w:t>300 мг/м</w:t>
            </w:r>
            <w:r w:rsidRPr="0074195F">
              <w:rPr>
                <w:rFonts w:eastAsia="SimSun"/>
                <w:vertAlign w:val="superscript"/>
              </w:rPr>
              <w:t>2</w:t>
            </w:r>
            <w:r w:rsidRPr="00AC3044">
              <w:rPr>
                <w:rFonts w:eastAsia="SimSun"/>
              </w:rPr>
              <w:t xml:space="preserve"> </w:t>
            </w:r>
          </w:p>
        </w:tc>
        <w:tc>
          <w:tcPr>
            <w:tcW w:w="1418" w:type="dxa"/>
            <w:vAlign w:val="center"/>
          </w:tcPr>
          <w:p w14:paraId="40224264" w14:textId="77777777" w:rsidR="009F7F8A" w:rsidRPr="00AC3044" w:rsidRDefault="009F7F8A" w:rsidP="009F7F8A">
            <w:pPr>
              <w:rPr>
                <w:rFonts w:eastAsia="SimSun"/>
              </w:rPr>
            </w:pPr>
            <w:r w:rsidRPr="00AC3044">
              <w:rPr>
                <w:rFonts w:eastAsia="SimSun"/>
              </w:rPr>
              <w:t>1200 мг/м</w:t>
            </w:r>
            <w:r w:rsidRPr="0074195F">
              <w:rPr>
                <w:rFonts w:eastAsia="SimSun"/>
                <w:vertAlign w:val="superscript"/>
              </w:rPr>
              <w:t>2</w:t>
            </w:r>
          </w:p>
        </w:tc>
        <w:tc>
          <w:tcPr>
            <w:tcW w:w="1701" w:type="dxa"/>
            <w:vAlign w:val="center"/>
          </w:tcPr>
          <w:p w14:paraId="7D59BDBB" w14:textId="77777777" w:rsidR="009F7F8A" w:rsidRPr="00AC3044" w:rsidRDefault="009F7F8A" w:rsidP="009F7F8A">
            <w:pPr>
              <w:rPr>
                <w:rFonts w:eastAsia="SimSun"/>
              </w:rPr>
            </w:pPr>
            <w:r w:rsidRPr="00AC3044">
              <w:rPr>
                <w:rFonts w:eastAsia="SimSun"/>
              </w:rPr>
              <w:t xml:space="preserve"> С -5 дня по -2 день </w:t>
            </w:r>
          </w:p>
        </w:tc>
        <w:tc>
          <w:tcPr>
            <w:tcW w:w="2268" w:type="dxa"/>
            <w:vAlign w:val="center"/>
          </w:tcPr>
          <w:p w14:paraId="76D0B31B"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6189C4E0" w14:textId="77777777" w:rsidTr="009F7F8A">
        <w:trPr>
          <w:cantSplit/>
          <w:trHeight w:val="654"/>
        </w:trPr>
        <w:tc>
          <w:tcPr>
            <w:tcW w:w="817" w:type="dxa"/>
            <w:vMerge w:val="restart"/>
            <w:textDirection w:val="btLr"/>
            <w:vAlign w:val="center"/>
          </w:tcPr>
          <w:p w14:paraId="5FABD2A2" w14:textId="77777777" w:rsidR="009F7F8A" w:rsidRPr="00AC3044" w:rsidRDefault="009F7F8A" w:rsidP="009F7F8A">
            <w:pPr>
              <w:rPr>
                <w:rFonts w:eastAsia="SimSun"/>
              </w:rPr>
            </w:pPr>
            <w:r w:rsidRPr="00AC3044">
              <w:rPr>
                <w:rFonts w:eastAsia="SimSun"/>
              </w:rPr>
              <w:lastRenderedPageBreak/>
              <w:t>Профилактика РТПХ</w:t>
            </w:r>
          </w:p>
        </w:tc>
        <w:tc>
          <w:tcPr>
            <w:tcW w:w="1701" w:type="dxa"/>
            <w:vAlign w:val="center"/>
          </w:tcPr>
          <w:p w14:paraId="5DBC79E6" w14:textId="77777777" w:rsidR="009F7F8A" w:rsidRPr="00AC3044" w:rsidRDefault="009F7F8A" w:rsidP="009F7F8A">
            <w:pPr>
              <w:rPr>
                <w:rFonts w:eastAsia="SimSun"/>
              </w:rPr>
            </w:pPr>
            <w:r w:rsidRPr="00AC3044">
              <w:rPr>
                <w:rFonts w:eastAsia="SimSun"/>
              </w:rPr>
              <w:t xml:space="preserve">АТГ (лошадиный) </w:t>
            </w:r>
          </w:p>
        </w:tc>
        <w:tc>
          <w:tcPr>
            <w:tcW w:w="1559" w:type="dxa"/>
            <w:vAlign w:val="center"/>
          </w:tcPr>
          <w:p w14:paraId="229D5FB9" w14:textId="77777777" w:rsidR="009F7F8A" w:rsidRPr="00AC3044" w:rsidRDefault="009F7F8A" w:rsidP="009F7F8A">
            <w:pPr>
              <w:rPr>
                <w:rFonts w:eastAsia="SimSun"/>
              </w:rPr>
            </w:pPr>
            <w:r w:rsidRPr="00AC3044">
              <w:rPr>
                <w:rFonts w:eastAsia="SimSun"/>
              </w:rPr>
              <w:t>20 мг/кг</w:t>
            </w:r>
          </w:p>
        </w:tc>
        <w:tc>
          <w:tcPr>
            <w:tcW w:w="1418" w:type="dxa"/>
            <w:vAlign w:val="center"/>
          </w:tcPr>
          <w:p w14:paraId="0A6DF6A8" w14:textId="77777777" w:rsidR="009F7F8A" w:rsidRPr="00AC3044" w:rsidRDefault="009F7F8A" w:rsidP="009F7F8A">
            <w:pPr>
              <w:rPr>
                <w:rFonts w:eastAsia="SimSun"/>
              </w:rPr>
            </w:pPr>
            <w:r w:rsidRPr="00AC3044">
              <w:rPr>
                <w:rFonts w:eastAsia="SimSun"/>
              </w:rPr>
              <w:t>60 мг/кг</w:t>
            </w:r>
          </w:p>
        </w:tc>
        <w:tc>
          <w:tcPr>
            <w:tcW w:w="1701" w:type="dxa"/>
            <w:vAlign w:val="center"/>
          </w:tcPr>
          <w:p w14:paraId="379C3238" w14:textId="77777777" w:rsidR="009F7F8A" w:rsidRPr="00AC3044" w:rsidRDefault="009F7F8A" w:rsidP="009F7F8A">
            <w:pPr>
              <w:rPr>
                <w:rFonts w:eastAsia="SimSun"/>
              </w:rPr>
            </w:pPr>
            <w:r w:rsidRPr="00AC3044">
              <w:rPr>
                <w:rFonts w:eastAsia="SimSun"/>
              </w:rPr>
              <w:t>В дни -3, -2, -1</w:t>
            </w:r>
          </w:p>
        </w:tc>
        <w:tc>
          <w:tcPr>
            <w:tcW w:w="2268" w:type="dxa"/>
            <w:vAlign w:val="center"/>
          </w:tcPr>
          <w:p w14:paraId="7E3F681B" w14:textId="77777777" w:rsidR="009F7F8A" w:rsidRPr="00AC3044" w:rsidRDefault="009F7F8A" w:rsidP="009F7F8A">
            <w:pPr>
              <w:rPr>
                <w:rFonts w:eastAsia="SimSun"/>
              </w:rPr>
            </w:pPr>
            <w:r w:rsidRPr="00AC3044">
              <w:rPr>
                <w:rFonts w:eastAsia="SimSun"/>
              </w:rPr>
              <w:t>В/в. Суточная доза разделяется на 2 введения (см. «Инфузия АТГ»)</w:t>
            </w:r>
          </w:p>
        </w:tc>
      </w:tr>
      <w:tr w:rsidR="009F7F8A" w:rsidRPr="00AC3044" w14:paraId="1FE1CC57" w14:textId="77777777" w:rsidTr="009F7F8A">
        <w:trPr>
          <w:cantSplit/>
          <w:trHeight w:val="958"/>
        </w:trPr>
        <w:tc>
          <w:tcPr>
            <w:tcW w:w="817" w:type="dxa"/>
            <w:vMerge/>
            <w:textDirection w:val="btLr"/>
            <w:vAlign w:val="center"/>
          </w:tcPr>
          <w:p w14:paraId="7D52A2F5" w14:textId="77777777" w:rsidR="009F7F8A" w:rsidRPr="00AC3044" w:rsidRDefault="009F7F8A" w:rsidP="009F7F8A">
            <w:pPr>
              <w:rPr>
                <w:rFonts w:eastAsia="SimSun"/>
              </w:rPr>
            </w:pPr>
          </w:p>
        </w:tc>
        <w:tc>
          <w:tcPr>
            <w:tcW w:w="1701" w:type="dxa"/>
            <w:vAlign w:val="center"/>
          </w:tcPr>
          <w:p w14:paraId="66428C2F" w14:textId="77777777" w:rsidR="009F7F8A" w:rsidRPr="00AC3044" w:rsidRDefault="009F7F8A" w:rsidP="009F7F8A">
            <w:pPr>
              <w:rPr>
                <w:rFonts w:eastAsia="SimSun"/>
              </w:rPr>
            </w:pPr>
            <w:r w:rsidRPr="00AC3044">
              <w:rPr>
                <w:rFonts w:eastAsia="SimSun"/>
              </w:rPr>
              <w:t xml:space="preserve">Такролимус </w:t>
            </w:r>
          </w:p>
        </w:tc>
        <w:tc>
          <w:tcPr>
            <w:tcW w:w="1559" w:type="dxa"/>
            <w:vAlign w:val="center"/>
          </w:tcPr>
          <w:p w14:paraId="2208D898" w14:textId="77777777" w:rsidR="009F7F8A" w:rsidRPr="00AC3044" w:rsidRDefault="009F7F8A" w:rsidP="009F7F8A">
            <w:pPr>
              <w:rPr>
                <w:rFonts w:eastAsia="SimSun"/>
              </w:rPr>
            </w:pPr>
            <w:r w:rsidRPr="00AC3044">
              <w:rPr>
                <w:rFonts w:eastAsia="SimSun"/>
              </w:rPr>
              <w:t>0,03 мг/кг</w:t>
            </w:r>
          </w:p>
        </w:tc>
        <w:tc>
          <w:tcPr>
            <w:tcW w:w="1418" w:type="dxa"/>
            <w:vAlign w:val="center"/>
          </w:tcPr>
          <w:p w14:paraId="4869F9D0" w14:textId="77777777" w:rsidR="009F7F8A" w:rsidRPr="00AC3044" w:rsidRDefault="009F7F8A" w:rsidP="009F7F8A">
            <w:pPr>
              <w:rPr>
                <w:rFonts w:eastAsia="SimSun"/>
              </w:rPr>
            </w:pPr>
            <w:r w:rsidRPr="00AC3044">
              <w:rPr>
                <w:rFonts w:eastAsia="SimSun"/>
              </w:rPr>
              <w:t>–</w:t>
            </w:r>
          </w:p>
        </w:tc>
        <w:tc>
          <w:tcPr>
            <w:tcW w:w="1701" w:type="dxa"/>
            <w:vAlign w:val="center"/>
          </w:tcPr>
          <w:p w14:paraId="24A17C0D" w14:textId="77777777" w:rsidR="009F7F8A" w:rsidRPr="00AC3044" w:rsidRDefault="009F7F8A" w:rsidP="009F7F8A">
            <w:pPr>
              <w:rPr>
                <w:rFonts w:eastAsia="SimSun"/>
              </w:rPr>
            </w:pPr>
            <w:r w:rsidRPr="00AC3044">
              <w:rPr>
                <w:rFonts w:eastAsia="SimSun"/>
              </w:rPr>
              <w:t xml:space="preserve">С -1 дня длительно </w:t>
            </w:r>
          </w:p>
        </w:tc>
        <w:tc>
          <w:tcPr>
            <w:tcW w:w="2268" w:type="dxa"/>
            <w:vAlign w:val="center"/>
          </w:tcPr>
          <w:p w14:paraId="6220D03E"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737B3D51" w14:textId="77777777" w:rsidTr="009F7F8A">
        <w:trPr>
          <w:cantSplit/>
          <w:trHeight w:val="392"/>
        </w:trPr>
        <w:tc>
          <w:tcPr>
            <w:tcW w:w="817" w:type="dxa"/>
            <w:vMerge/>
            <w:textDirection w:val="btLr"/>
            <w:vAlign w:val="center"/>
          </w:tcPr>
          <w:p w14:paraId="3468FC13" w14:textId="77777777" w:rsidR="009F7F8A" w:rsidRPr="00AC3044" w:rsidRDefault="009F7F8A" w:rsidP="009F7F8A">
            <w:pPr>
              <w:rPr>
                <w:rFonts w:eastAsia="SimSun"/>
              </w:rPr>
            </w:pPr>
          </w:p>
        </w:tc>
        <w:tc>
          <w:tcPr>
            <w:tcW w:w="1701" w:type="dxa"/>
            <w:vAlign w:val="center"/>
          </w:tcPr>
          <w:p w14:paraId="3A9B2FE8"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6E89AA4D" w14:textId="77777777" w:rsidR="009F7F8A" w:rsidRPr="00AC3044" w:rsidRDefault="009F7F8A" w:rsidP="009F7F8A">
            <w:pPr>
              <w:rPr>
                <w:rFonts w:eastAsia="SimSun"/>
              </w:rPr>
            </w:pPr>
            <w:r w:rsidRPr="00AC3044">
              <w:rPr>
                <w:rFonts w:eastAsia="SimSun"/>
              </w:rPr>
              <w:t xml:space="preserve">30 мг/кг </w:t>
            </w:r>
          </w:p>
        </w:tc>
        <w:tc>
          <w:tcPr>
            <w:tcW w:w="1418" w:type="dxa"/>
            <w:vAlign w:val="center"/>
          </w:tcPr>
          <w:p w14:paraId="32572FB4" w14:textId="77777777" w:rsidR="009F7F8A" w:rsidRPr="00AC3044" w:rsidRDefault="009F7F8A" w:rsidP="009F7F8A">
            <w:pPr>
              <w:rPr>
                <w:rFonts w:eastAsia="SimSun"/>
              </w:rPr>
            </w:pPr>
            <w:r w:rsidRPr="00AC3044">
              <w:rPr>
                <w:rFonts w:eastAsia="SimSun"/>
              </w:rPr>
              <w:t>–</w:t>
            </w:r>
          </w:p>
        </w:tc>
        <w:tc>
          <w:tcPr>
            <w:tcW w:w="1701" w:type="dxa"/>
            <w:vAlign w:val="center"/>
          </w:tcPr>
          <w:p w14:paraId="55CDDD3D" w14:textId="77777777" w:rsidR="009F7F8A" w:rsidRPr="00AC3044" w:rsidRDefault="009F7F8A" w:rsidP="009F7F8A">
            <w:pPr>
              <w:rPr>
                <w:rFonts w:eastAsia="SimSun"/>
              </w:rPr>
            </w:pPr>
            <w:r w:rsidRPr="00AC3044">
              <w:rPr>
                <w:rFonts w:eastAsia="SimSun"/>
              </w:rPr>
              <w:t xml:space="preserve">С -1 дня по +30 день </w:t>
            </w:r>
          </w:p>
        </w:tc>
        <w:tc>
          <w:tcPr>
            <w:tcW w:w="2268" w:type="dxa"/>
            <w:vAlign w:val="center"/>
          </w:tcPr>
          <w:p w14:paraId="55AD46A0"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59EC3A6B" w14:textId="77777777" w:rsidR="009F7F8A" w:rsidRPr="0074195F" w:rsidRDefault="009F7F8A" w:rsidP="009F7F8A">
      <w:pPr>
        <w:rPr>
          <w:rFonts w:eastAsia="SimSun"/>
        </w:rPr>
      </w:pPr>
      <w:bookmarkStart w:id="185" w:name="_Toc44401220"/>
    </w:p>
    <w:p w14:paraId="568A0D96" w14:textId="77777777" w:rsidR="009F7F8A" w:rsidRPr="00EE51B1" w:rsidRDefault="009F7F8A" w:rsidP="009F7F8A">
      <w:pPr>
        <w:rPr>
          <w:rFonts w:eastAsia="SimSun"/>
          <w:lang w:val="en-US"/>
        </w:rPr>
      </w:pPr>
      <w:r>
        <w:rPr>
          <w:rFonts w:eastAsia="SimSun"/>
        </w:rPr>
        <w:t>Таблица</w:t>
      </w:r>
      <w:r w:rsidRPr="00EE51B1">
        <w:rPr>
          <w:rFonts w:eastAsia="SimSun"/>
          <w:lang w:val="en-US"/>
        </w:rPr>
        <w:t xml:space="preserve"> </w:t>
      </w:r>
      <w:r>
        <w:rPr>
          <w:rFonts w:eastAsia="SimSun"/>
          <w:lang w:val="en-US"/>
        </w:rPr>
        <w:t>5.</w:t>
      </w:r>
      <w:r w:rsidRPr="00EE51B1">
        <w:rPr>
          <w:rFonts w:eastAsia="SimSun"/>
          <w:lang w:val="en-US"/>
        </w:rPr>
        <w:t xml:space="preserve">2.2.20  – </w:t>
      </w:r>
      <w:r w:rsidRPr="009F7F8A">
        <w:rPr>
          <w:rFonts w:eastAsia="SimSun"/>
          <w:lang w:val="en-US"/>
        </w:rPr>
        <w:t>Flu</w:t>
      </w:r>
      <w:r w:rsidRPr="00EE51B1">
        <w:rPr>
          <w:rFonts w:eastAsia="SimSun"/>
          <w:lang w:val="en-US"/>
        </w:rPr>
        <w:t>180+</w:t>
      </w:r>
      <w:r w:rsidRPr="009F7F8A">
        <w:rPr>
          <w:rFonts w:eastAsia="SimSun"/>
          <w:lang w:val="en-US"/>
        </w:rPr>
        <w:t>Cy</w:t>
      </w:r>
      <w:r w:rsidRPr="00EE51B1">
        <w:rPr>
          <w:rFonts w:eastAsia="SimSun"/>
          <w:lang w:val="en-US"/>
        </w:rPr>
        <w:t xml:space="preserve">1200 / </w:t>
      </w:r>
      <w:r w:rsidRPr="009F7F8A">
        <w:rPr>
          <w:rFonts w:eastAsia="SimSun"/>
          <w:lang w:val="en-US"/>
        </w:rPr>
        <w:t>rATG</w:t>
      </w:r>
      <w:r w:rsidRPr="00EE51B1">
        <w:rPr>
          <w:rFonts w:eastAsia="SimSun"/>
          <w:lang w:val="en-US"/>
        </w:rPr>
        <w:t>+</w:t>
      </w:r>
      <w:r w:rsidRPr="009F7F8A">
        <w:rPr>
          <w:rFonts w:eastAsia="SimSun"/>
          <w:lang w:val="en-US"/>
        </w:rPr>
        <w:t>Tx</w:t>
      </w:r>
      <w:r w:rsidRPr="00EE51B1">
        <w:rPr>
          <w:rFonts w:eastAsia="SimSun"/>
          <w:lang w:val="en-US"/>
        </w:rPr>
        <w:t>+</w:t>
      </w:r>
      <w:r w:rsidRPr="009F7F8A">
        <w:rPr>
          <w:rFonts w:eastAsia="SimSun"/>
          <w:lang w:val="en-US"/>
        </w:rPr>
        <w:t>MMF</w:t>
      </w:r>
      <w:r w:rsidRPr="00EE51B1">
        <w:rPr>
          <w:rFonts w:eastAsia="SimSun"/>
          <w:lang w:val="en-US"/>
        </w:rPr>
        <w:t>30</w:t>
      </w:r>
      <w:bookmarkEnd w:id="18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F7F8A" w:rsidRPr="00AC3044" w14:paraId="5F19ACCE" w14:textId="77777777" w:rsidTr="009F7F8A">
        <w:trPr>
          <w:cantSplit/>
          <w:trHeight w:val="20"/>
          <w:tblHeader/>
        </w:trPr>
        <w:tc>
          <w:tcPr>
            <w:tcW w:w="817" w:type="dxa"/>
            <w:vAlign w:val="center"/>
          </w:tcPr>
          <w:p w14:paraId="093810DB" w14:textId="77777777" w:rsidR="009F7F8A" w:rsidRPr="00AC3044" w:rsidRDefault="009F7F8A" w:rsidP="009F7F8A">
            <w:pPr>
              <w:rPr>
                <w:rFonts w:eastAsia="SimSun"/>
                <w:lang w:val="en-US"/>
              </w:rPr>
            </w:pPr>
          </w:p>
        </w:tc>
        <w:tc>
          <w:tcPr>
            <w:tcW w:w="1701" w:type="dxa"/>
            <w:vAlign w:val="center"/>
          </w:tcPr>
          <w:p w14:paraId="46EB6179"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4F073679"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62C19FCA"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391BEE70"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7F97014C"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18C1D2F1" w14:textId="77777777" w:rsidTr="009F7F8A">
        <w:trPr>
          <w:cantSplit/>
          <w:trHeight w:val="20"/>
        </w:trPr>
        <w:tc>
          <w:tcPr>
            <w:tcW w:w="817" w:type="dxa"/>
            <w:vMerge w:val="restart"/>
            <w:textDirection w:val="btLr"/>
            <w:vAlign w:val="center"/>
          </w:tcPr>
          <w:p w14:paraId="77073FC3"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6C260F60"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0B28D9AD" w14:textId="77777777" w:rsidR="009F7F8A" w:rsidRPr="0074195F" w:rsidRDefault="009F7F8A" w:rsidP="009F7F8A">
            <w:pPr>
              <w:rPr>
                <w:rFonts w:eastAsia="SimSun"/>
                <w:vertAlign w:val="superscript"/>
              </w:rPr>
            </w:pPr>
            <w:r w:rsidRPr="00AC3044">
              <w:rPr>
                <w:rFonts w:eastAsia="SimSun"/>
              </w:rPr>
              <w:t>30 мг/м</w:t>
            </w:r>
            <w:r w:rsidRPr="0074195F">
              <w:rPr>
                <w:rFonts w:eastAsia="SimSun"/>
                <w:vertAlign w:val="superscript"/>
              </w:rPr>
              <w:t>2</w:t>
            </w:r>
          </w:p>
        </w:tc>
        <w:tc>
          <w:tcPr>
            <w:tcW w:w="1418" w:type="dxa"/>
            <w:vAlign w:val="center"/>
          </w:tcPr>
          <w:p w14:paraId="393388CE"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701" w:type="dxa"/>
            <w:vAlign w:val="center"/>
          </w:tcPr>
          <w:p w14:paraId="09142134"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644A7D9D"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7CD6E8AD" w14:textId="77777777" w:rsidTr="009F7F8A">
        <w:trPr>
          <w:cantSplit/>
          <w:trHeight w:val="721"/>
        </w:trPr>
        <w:tc>
          <w:tcPr>
            <w:tcW w:w="817" w:type="dxa"/>
            <w:vMerge/>
            <w:vAlign w:val="center"/>
          </w:tcPr>
          <w:p w14:paraId="5EC63866" w14:textId="77777777" w:rsidR="009F7F8A" w:rsidRPr="00AC3044" w:rsidRDefault="009F7F8A" w:rsidP="009F7F8A">
            <w:pPr>
              <w:rPr>
                <w:rFonts w:eastAsia="SimSun"/>
              </w:rPr>
            </w:pPr>
          </w:p>
        </w:tc>
        <w:tc>
          <w:tcPr>
            <w:tcW w:w="1701" w:type="dxa"/>
            <w:vAlign w:val="center"/>
          </w:tcPr>
          <w:p w14:paraId="756E7A84"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2A5F1583" w14:textId="77777777" w:rsidR="009F7F8A" w:rsidRPr="00AC3044" w:rsidRDefault="009F7F8A" w:rsidP="009F7F8A">
            <w:pPr>
              <w:rPr>
                <w:rFonts w:eastAsia="SimSun"/>
              </w:rPr>
            </w:pPr>
            <w:r w:rsidRPr="00AC3044">
              <w:rPr>
                <w:rFonts w:eastAsia="SimSun"/>
              </w:rPr>
              <w:t>300 мг/м</w:t>
            </w:r>
            <w:r w:rsidRPr="0074195F">
              <w:rPr>
                <w:rFonts w:eastAsia="SimSun"/>
                <w:vertAlign w:val="superscript"/>
              </w:rPr>
              <w:t>2</w:t>
            </w:r>
            <w:r w:rsidRPr="00AC3044">
              <w:rPr>
                <w:rFonts w:eastAsia="SimSun"/>
              </w:rPr>
              <w:t xml:space="preserve"> </w:t>
            </w:r>
          </w:p>
        </w:tc>
        <w:tc>
          <w:tcPr>
            <w:tcW w:w="1418" w:type="dxa"/>
            <w:vAlign w:val="center"/>
          </w:tcPr>
          <w:p w14:paraId="1CC90A4C" w14:textId="77777777" w:rsidR="009F7F8A" w:rsidRPr="00AC3044" w:rsidRDefault="009F7F8A" w:rsidP="009F7F8A">
            <w:pPr>
              <w:rPr>
                <w:rFonts w:eastAsia="SimSun"/>
              </w:rPr>
            </w:pPr>
            <w:r w:rsidRPr="00AC3044">
              <w:rPr>
                <w:rFonts w:eastAsia="SimSun"/>
              </w:rPr>
              <w:t>1200 мг/м</w:t>
            </w:r>
            <w:r w:rsidRPr="0074195F">
              <w:rPr>
                <w:rFonts w:eastAsia="SimSun"/>
                <w:vertAlign w:val="superscript"/>
              </w:rPr>
              <w:t>2</w:t>
            </w:r>
          </w:p>
        </w:tc>
        <w:tc>
          <w:tcPr>
            <w:tcW w:w="1701" w:type="dxa"/>
            <w:vAlign w:val="center"/>
          </w:tcPr>
          <w:p w14:paraId="679CD8ED" w14:textId="77777777" w:rsidR="009F7F8A" w:rsidRPr="00AC3044" w:rsidRDefault="009F7F8A" w:rsidP="009F7F8A">
            <w:pPr>
              <w:rPr>
                <w:rFonts w:eastAsia="SimSun"/>
              </w:rPr>
            </w:pPr>
            <w:r w:rsidRPr="00AC3044">
              <w:rPr>
                <w:rFonts w:eastAsia="SimSun"/>
              </w:rPr>
              <w:t xml:space="preserve"> С -5 дня по -2 день </w:t>
            </w:r>
          </w:p>
        </w:tc>
        <w:tc>
          <w:tcPr>
            <w:tcW w:w="2268" w:type="dxa"/>
            <w:vAlign w:val="center"/>
          </w:tcPr>
          <w:p w14:paraId="073AFBB4"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3C8EE744" w14:textId="77777777" w:rsidTr="009F7F8A">
        <w:trPr>
          <w:cantSplit/>
          <w:trHeight w:val="547"/>
        </w:trPr>
        <w:tc>
          <w:tcPr>
            <w:tcW w:w="817" w:type="dxa"/>
            <w:vMerge w:val="restart"/>
            <w:textDirection w:val="btLr"/>
            <w:vAlign w:val="center"/>
          </w:tcPr>
          <w:p w14:paraId="5BA92F34"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0484CF90" w14:textId="77777777" w:rsidR="009F7F8A" w:rsidRPr="00AC3044" w:rsidRDefault="009F7F8A" w:rsidP="009F7F8A">
            <w:pPr>
              <w:rPr>
                <w:rFonts w:eastAsia="SimSun"/>
              </w:rPr>
            </w:pPr>
            <w:r w:rsidRPr="00AC3044">
              <w:rPr>
                <w:rFonts w:eastAsia="SimSun"/>
              </w:rPr>
              <w:t>АТГ (кроличий)</w:t>
            </w:r>
          </w:p>
        </w:tc>
        <w:tc>
          <w:tcPr>
            <w:tcW w:w="1559" w:type="dxa"/>
            <w:vAlign w:val="center"/>
          </w:tcPr>
          <w:p w14:paraId="761B697A" w14:textId="77777777" w:rsidR="009F7F8A" w:rsidRPr="00AC3044" w:rsidRDefault="009F7F8A" w:rsidP="009F7F8A">
            <w:pPr>
              <w:rPr>
                <w:rFonts w:eastAsia="SimSun"/>
              </w:rPr>
            </w:pPr>
            <w:r w:rsidRPr="00AC3044">
              <w:rPr>
                <w:rFonts w:eastAsia="SimSun"/>
              </w:rPr>
              <w:t>5 мг/кг</w:t>
            </w:r>
          </w:p>
        </w:tc>
        <w:tc>
          <w:tcPr>
            <w:tcW w:w="1418" w:type="dxa"/>
            <w:vAlign w:val="center"/>
          </w:tcPr>
          <w:p w14:paraId="14AA66EF" w14:textId="77777777" w:rsidR="009F7F8A" w:rsidRPr="00AC3044" w:rsidRDefault="009F7F8A" w:rsidP="009F7F8A">
            <w:pPr>
              <w:rPr>
                <w:rFonts w:eastAsia="SimSun"/>
              </w:rPr>
            </w:pPr>
            <w:r w:rsidRPr="00AC3044">
              <w:rPr>
                <w:rFonts w:eastAsia="SimSun"/>
              </w:rPr>
              <w:t>10 мг/кг</w:t>
            </w:r>
          </w:p>
        </w:tc>
        <w:tc>
          <w:tcPr>
            <w:tcW w:w="1701" w:type="dxa"/>
            <w:vAlign w:val="center"/>
          </w:tcPr>
          <w:p w14:paraId="683B8ACE" w14:textId="77777777" w:rsidR="009F7F8A" w:rsidRPr="00AC3044" w:rsidRDefault="009F7F8A" w:rsidP="009F7F8A">
            <w:pPr>
              <w:rPr>
                <w:rFonts w:eastAsia="SimSun"/>
              </w:rPr>
            </w:pPr>
            <w:r w:rsidRPr="00AC3044">
              <w:rPr>
                <w:rFonts w:eastAsia="SimSun"/>
              </w:rPr>
              <w:t>В дни -2, -1</w:t>
            </w:r>
          </w:p>
        </w:tc>
        <w:tc>
          <w:tcPr>
            <w:tcW w:w="2268" w:type="dxa"/>
            <w:vAlign w:val="center"/>
          </w:tcPr>
          <w:p w14:paraId="4F48F294" w14:textId="77777777" w:rsidR="009F7F8A" w:rsidRPr="00AC3044" w:rsidRDefault="009F7F8A" w:rsidP="009F7F8A">
            <w:pPr>
              <w:rPr>
                <w:rFonts w:eastAsia="SimSun"/>
              </w:rPr>
            </w:pPr>
            <w:r w:rsidRPr="00AC3044">
              <w:rPr>
                <w:rFonts w:eastAsia="SimSun"/>
              </w:rPr>
              <w:t>В/в. Суточная доза разделяется на 2 введения (см.</w:t>
            </w:r>
            <w:r>
              <w:rPr>
                <w:rFonts w:eastAsia="SimSun"/>
              </w:rPr>
              <w:t xml:space="preserve"> </w:t>
            </w:r>
            <w:r w:rsidRPr="00AC3044">
              <w:rPr>
                <w:rFonts w:eastAsia="SimSun"/>
              </w:rPr>
              <w:t>«Инфузия АТГ»)</w:t>
            </w:r>
          </w:p>
        </w:tc>
      </w:tr>
      <w:tr w:rsidR="009F7F8A" w:rsidRPr="00AC3044" w14:paraId="18459CCF" w14:textId="77777777" w:rsidTr="009F7F8A">
        <w:trPr>
          <w:cantSplit/>
          <w:trHeight w:val="958"/>
        </w:trPr>
        <w:tc>
          <w:tcPr>
            <w:tcW w:w="817" w:type="dxa"/>
            <w:vMerge/>
            <w:textDirection w:val="btLr"/>
            <w:vAlign w:val="center"/>
          </w:tcPr>
          <w:p w14:paraId="514AEAD4" w14:textId="77777777" w:rsidR="009F7F8A" w:rsidRPr="00AC3044" w:rsidRDefault="009F7F8A" w:rsidP="009F7F8A">
            <w:pPr>
              <w:rPr>
                <w:rFonts w:eastAsia="SimSun"/>
              </w:rPr>
            </w:pPr>
          </w:p>
        </w:tc>
        <w:tc>
          <w:tcPr>
            <w:tcW w:w="1701" w:type="dxa"/>
            <w:vAlign w:val="center"/>
          </w:tcPr>
          <w:p w14:paraId="421F99A9" w14:textId="77777777" w:rsidR="009F7F8A" w:rsidRPr="00AC3044" w:rsidRDefault="009F7F8A" w:rsidP="009F7F8A">
            <w:pPr>
              <w:rPr>
                <w:rFonts w:eastAsia="SimSun"/>
              </w:rPr>
            </w:pPr>
            <w:r w:rsidRPr="00AC3044">
              <w:rPr>
                <w:rFonts w:eastAsia="SimSun"/>
              </w:rPr>
              <w:t xml:space="preserve">Такролимус </w:t>
            </w:r>
          </w:p>
        </w:tc>
        <w:tc>
          <w:tcPr>
            <w:tcW w:w="1559" w:type="dxa"/>
            <w:vAlign w:val="center"/>
          </w:tcPr>
          <w:p w14:paraId="5156CFA5" w14:textId="77777777" w:rsidR="009F7F8A" w:rsidRPr="00AC3044" w:rsidRDefault="009F7F8A" w:rsidP="009F7F8A">
            <w:pPr>
              <w:rPr>
                <w:rFonts w:eastAsia="SimSun"/>
              </w:rPr>
            </w:pPr>
            <w:r w:rsidRPr="00AC3044">
              <w:rPr>
                <w:rFonts w:eastAsia="SimSun"/>
              </w:rPr>
              <w:t>0,03 мг/кг</w:t>
            </w:r>
          </w:p>
        </w:tc>
        <w:tc>
          <w:tcPr>
            <w:tcW w:w="1418" w:type="dxa"/>
            <w:vAlign w:val="center"/>
          </w:tcPr>
          <w:p w14:paraId="0A68D253" w14:textId="77777777" w:rsidR="009F7F8A" w:rsidRPr="00AC3044" w:rsidRDefault="009F7F8A" w:rsidP="009F7F8A">
            <w:pPr>
              <w:rPr>
                <w:rFonts w:eastAsia="SimSun"/>
              </w:rPr>
            </w:pPr>
            <w:r w:rsidRPr="00AC3044">
              <w:rPr>
                <w:rFonts w:eastAsia="SimSun"/>
              </w:rPr>
              <w:t>–</w:t>
            </w:r>
          </w:p>
        </w:tc>
        <w:tc>
          <w:tcPr>
            <w:tcW w:w="1701" w:type="dxa"/>
            <w:vAlign w:val="center"/>
          </w:tcPr>
          <w:p w14:paraId="72596469" w14:textId="77777777" w:rsidR="009F7F8A" w:rsidRPr="00AC3044" w:rsidRDefault="009F7F8A" w:rsidP="009F7F8A">
            <w:pPr>
              <w:rPr>
                <w:rFonts w:eastAsia="SimSun"/>
              </w:rPr>
            </w:pPr>
            <w:r w:rsidRPr="00AC3044">
              <w:rPr>
                <w:rFonts w:eastAsia="SimSun"/>
              </w:rPr>
              <w:t xml:space="preserve">С -1 дня длительно </w:t>
            </w:r>
          </w:p>
        </w:tc>
        <w:tc>
          <w:tcPr>
            <w:tcW w:w="2268" w:type="dxa"/>
            <w:vAlign w:val="center"/>
          </w:tcPr>
          <w:p w14:paraId="6A6DFB11"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74FFE2BC" w14:textId="77777777" w:rsidTr="009F7F8A">
        <w:trPr>
          <w:cantSplit/>
          <w:trHeight w:val="654"/>
        </w:trPr>
        <w:tc>
          <w:tcPr>
            <w:tcW w:w="817" w:type="dxa"/>
            <w:vMerge/>
            <w:textDirection w:val="btLr"/>
            <w:vAlign w:val="center"/>
          </w:tcPr>
          <w:p w14:paraId="419D7EAD" w14:textId="77777777" w:rsidR="009F7F8A" w:rsidRPr="00AC3044" w:rsidRDefault="009F7F8A" w:rsidP="009F7F8A">
            <w:pPr>
              <w:rPr>
                <w:rFonts w:eastAsia="SimSun"/>
              </w:rPr>
            </w:pPr>
          </w:p>
        </w:tc>
        <w:tc>
          <w:tcPr>
            <w:tcW w:w="1701" w:type="dxa"/>
            <w:vAlign w:val="center"/>
          </w:tcPr>
          <w:p w14:paraId="521185A5"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0540D9C5" w14:textId="77777777" w:rsidR="009F7F8A" w:rsidRPr="00AC3044" w:rsidRDefault="009F7F8A" w:rsidP="009F7F8A">
            <w:pPr>
              <w:rPr>
                <w:rFonts w:eastAsia="SimSun"/>
              </w:rPr>
            </w:pPr>
            <w:r w:rsidRPr="00AC3044">
              <w:rPr>
                <w:rFonts w:eastAsia="SimSun"/>
              </w:rPr>
              <w:t xml:space="preserve">30 мг/кг </w:t>
            </w:r>
          </w:p>
        </w:tc>
        <w:tc>
          <w:tcPr>
            <w:tcW w:w="1418" w:type="dxa"/>
            <w:vAlign w:val="center"/>
          </w:tcPr>
          <w:p w14:paraId="23EF1157" w14:textId="77777777" w:rsidR="009F7F8A" w:rsidRPr="00AC3044" w:rsidRDefault="009F7F8A" w:rsidP="009F7F8A">
            <w:pPr>
              <w:rPr>
                <w:rFonts w:eastAsia="SimSun"/>
              </w:rPr>
            </w:pPr>
            <w:r w:rsidRPr="00AC3044">
              <w:rPr>
                <w:rFonts w:eastAsia="SimSun"/>
              </w:rPr>
              <w:t>–</w:t>
            </w:r>
          </w:p>
        </w:tc>
        <w:tc>
          <w:tcPr>
            <w:tcW w:w="1701" w:type="dxa"/>
            <w:vAlign w:val="center"/>
          </w:tcPr>
          <w:p w14:paraId="257907FB" w14:textId="77777777" w:rsidR="009F7F8A" w:rsidRPr="00AC3044" w:rsidRDefault="009F7F8A" w:rsidP="009F7F8A">
            <w:pPr>
              <w:rPr>
                <w:rFonts w:eastAsia="SimSun"/>
              </w:rPr>
            </w:pPr>
            <w:r w:rsidRPr="00AC3044">
              <w:rPr>
                <w:rFonts w:eastAsia="SimSun"/>
              </w:rPr>
              <w:t xml:space="preserve">С -1 дня по +30 день </w:t>
            </w:r>
          </w:p>
        </w:tc>
        <w:tc>
          <w:tcPr>
            <w:tcW w:w="2268" w:type="dxa"/>
            <w:vAlign w:val="center"/>
          </w:tcPr>
          <w:p w14:paraId="2F33E5B3"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17AA36EB" w14:textId="77777777" w:rsidR="009F7F8A" w:rsidRPr="00C07B2E" w:rsidRDefault="009F7F8A" w:rsidP="009F7F8A">
      <w:pPr>
        <w:rPr>
          <w:rFonts w:eastAsia="SimSun"/>
        </w:rPr>
      </w:pPr>
    </w:p>
    <w:p w14:paraId="78098925" w14:textId="77777777" w:rsidR="009F7F8A" w:rsidRPr="00C07B2E" w:rsidRDefault="009F7F8A" w:rsidP="009F7F8A">
      <w:pPr>
        <w:rPr>
          <w:rFonts w:eastAsia="SimSun"/>
        </w:rPr>
      </w:pPr>
      <w:bookmarkStart w:id="186" w:name="_Toc44401221"/>
      <w:r w:rsidRPr="00EE51B1">
        <w:rPr>
          <w:rFonts w:eastAsia="SimSun"/>
        </w:rPr>
        <w:t>Таблица</w:t>
      </w:r>
      <w:r w:rsidRPr="00C07B2E">
        <w:rPr>
          <w:rFonts w:eastAsia="SimSun"/>
        </w:rPr>
        <w:t xml:space="preserve"> </w:t>
      </w:r>
      <w:r>
        <w:rPr>
          <w:rFonts w:eastAsia="SimSun"/>
        </w:rPr>
        <w:t>5.</w:t>
      </w:r>
      <w:r w:rsidRPr="00C07B2E">
        <w:rPr>
          <w:rFonts w:eastAsia="SimSun"/>
        </w:rPr>
        <w:t>2.2.21 – Flu180+Mel100/ PT-Cy+Tx+MMF30</w:t>
      </w:r>
      <w:bookmarkEnd w:id="18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F7F8A" w:rsidRPr="00AC3044" w14:paraId="0E7E97B7" w14:textId="77777777" w:rsidTr="009F7F8A">
        <w:trPr>
          <w:cantSplit/>
          <w:trHeight w:val="20"/>
          <w:tblHeader/>
        </w:trPr>
        <w:tc>
          <w:tcPr>
            <w:tcW w:w="817" w:type="dxa"/>
            <w:vAlign w:val="center"/>
          </w:tcPr>
          <w:p w14:paraId="20DF3DFD" w14:textId="77777777" w:rsidR="009F7F8A" w:rsidRPr="00AC3044" w:rsidRDefault="009F7F8A" w:rsidP="009F7F8A">
            <w:pPr>
              <w:rPr>
                <w:rFonts w:eastAsia="SimSun"/>
              </w:rPr>
            </w:pPr>
          </w:p>
        </w:tc>
        <w:tc>
          <w:tcPr>
            <w:tcW w:w="1701" w:type="dxa"/>
            <w:vAlign w:val="center"/>
          </w:tcPr>
          <w:p w14:paraId="2F59DBF7" w14:textId="77777777" w:rsidR="009F7F8A" w:rsidRPr="00AC3044" w:rsidRDefault="009F7F8A" w:rsidP="009F7F8A">
            <w:pPr>
              <w:rPr>
                <w:rFonts w:eastAsia="SimSun"/>
              </w:rPr>
            </w:pPr>
            <w:r w:rsidRPr="00AC3044">
              <w:rPr>
                <w:rFonts w:eastAsia="SimSun"/>
              </w:rPr>
              <w:t>Препарат</w:t>
            </w:r>
          </w:p>
        </w:tc>
        <w:tc>
          <w:tcPr>
            <w:tcW w:w="1559" w:type="dxa"/>
            <w:vAlign w:val="center"/>
          </w:tcPr>
          <w:p w14:paraId="25587065" w14:textId="77777777" w:rsidR="009F7F8A" w:rsidRPr="00AC3044" w:rsidRDefault="009F7F8A" w:rsidP="009F7F8A">
            <w:pPr>
              <w:rPr>
                <w:rFonts w:eastAsia="SimSun"/>
              </w:rPr>
            </w:pPr>
            <w:r w:rsidRPr="00AC3044">
              <w:rPr>
                <w:rFonts w:eastAsia="SimSun"/>
              </w:rPr>
              <w:t>Суточная доза</w:t>
            </w:r>
          </w:p>
        </w:tc>
        <w:tc>
          <w:tcPr>
            <w:tcW w:w="1418" w:type="dxa"/>
            <w:vAlign w:val="center"/>
          </w:tcPr>
          <w:p w14:paraId="4CDC881D" w14:textId="77777777" w:rsidR="009F7F8A" w:rsidRPr="00AC3044" w:rsidRDefault="009F7F8A" w:rsidP="009F7F8A">
            <w:pPr>
              <w:rPr>
                <w:rFonts w:eastAsia="SimSun"/>
              </w:rPr>
            </w:pPr>
            <w:r w:rsidRPr="00AC3044">
              <w:rPr>
                <w:rFonts w:eastAsia="SimSun"/>
              </w:rPr>
              <w:t>Курсовая доза</w:t>
            </w:r>
          </w:p>
        </w:tc>
        <w:tc>
          <w:tcPr>
            <w:tcW w:w="1701" w:type="dxa"/>
            <w:vAlign w:val="center"/>
          </w:tcPr>
          <w:p w14:paraId="435EADEE" w14:textId="77777777" w:rsidR="009F7F8A" w:rsidRPr="00AC3044" w:rsidRDefault="009F7F8A" w:rsidP="009F7F8A">
            <w:pPr>
              <w:rPr>
                <w:rFonts w:eastAsia="SimSun"/>
              </w:rPr>
            </w:pPr>
            <w:r w:rsidRPr="00AC3044">
              <w:rPr>
                <w:rFonts w:eastAsia="SimSun"/>
              </w:rPr>
              <w:t>Дни введения</w:t>
            </w:r>
          </w:p>
        </w:tc>
        <w:tc>
          <w:tcPr>
            <w:tcW w:w="2268" w:type="dxa"/>
            <w:vAlign w:val="center"/>
          </w:tcPr>
          <w:p w14:paraId="224364CC"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1B7C7DD7" w14:textId="77777777" w:rsidTr="009F7F8A">
        <w:trPr>
          <w:cantSplit/>
          <w:trHeight w:val="20"/>
        </w:trPr>
        <w:tc>
          <w:tcPr>
            <w:tcW w:w="817" w:type="dxa"/>
            <w:vMerge w:val="restart"/>
            <w:textDirection w:val="btLr"/>
            <w:vAlign w:val="center"/>
          </w:tcPr>
          <w:p w14:paraId="298F0466" w14:textId="77777777" w:rsidR="009F7F8A" w:rsidRPr="00AC3044" w:rsidRDefault="009F7F8A" w:rsidP="009F7F8A">
            <w:pPr>
              <w:rPr>
                <w:rFonts w:eastAsia="SimSun"/>
              </w:rPr>
            </w:pPr>
            <w:r w:rsidRPr="00AC3044">
              <w:rPr>
                <w:rFonts w:eastAsia="SimSun"/>
              </w:rPr>
              <w:t>Кондиционирование</w:t>
            </w:r>
          </w:p>
        </w:tc>
        <w:tc>
          <w:tcPr>
            <w:tcW w:w="1701" w:type="dxa"/>
            <w:vAlign w:val="center"/>
          </w:tcPr>
          <w:p w14:paraId="6EA88A61" w14:textId="77777777" w:rsidR="009F7F8A" w:rsidRPr="00AC3044" w:rsidRDefault="009F7F8A" w:rsidP="009F7F8A">
            <w:pPr>
              <w:rPr>
                <w:rFonts w:eastAsia="SimSun"/>
              </w:rPr>
            </w:pPr>
            <w:r w:rsidRPr="00AC3044">
              <w:rPr>
                <w:rFonts w:eastAsia="SimSun"/>
              </w:rPr>
              <w:t xml:space="preserve">Флударабин </w:t>
            </w:r>
          </w:p>
        </w:tc>
        <w:tc>
          <w:tcPr>
            <w:tcW w:w="1559" w:type="dxa"/>
            <w:vAlign w:val="center"/>
          </w:tcPr>
          <w:p w14:paraId="52D19676"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4D860402"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701" w:type="dxa"/>
            <w:vAlign w:val="center"/>
          </w:tcPr>
          <w:p w14:paraId="2954A415" w14:textId="77777777" w:rsidR="009F7F8A" w:rsidRPr="00AC3044" w:rsidRDefault="009F7F8A" w:rsidP="009F7F8A">
            <w:pPr>
              <w:rPr>
                <w:rFonts w:eastAsia="SimSun"/>
              </w:rPr>
            </w:pPr>
            <w:r w:rsidRPr="00AC3044">
              <w:rPr>
                <w:rFonts w:eastAsia="SimSun"/>
              </w:rPr>
              <w:t>С -7 дня по -2 день</w:t>
            </w:r>
          </w:p>
        </w:tc>
        <w:tc>
          <w:tcPr>
            <w:tcW w:w="2268" w:type="dxa"/>
            <w:vAlign w:val="center"/>
          </w:tcPr>
          <w:p w14:paraId="2F278DED"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3C3955DB" w14:textId="77777777" w:rsidTr="009F7F8A">
        <w:trPr>
          <w:cantSplit/>
          <w:trHeight w:val="450"/>
        </w:trPr>
        <w:tc>
          <w:tcPr>
            <w:tcW w:w="817" w:type="dxa"/>
            <w:vMerge/>
            <w:vAlign w:val="center"/>
          </w:tcPr>
          <w:p w14:paraId="11F45230" w14:textId="77777777" w:rsidR="009F7F8A" w:rsidRPr="00AC3044" w:rsidRDefault="009F7F8A" w:rsidP="009F7F8A">
            <w:pPr>
              <w:rPr>
                <w:rFonts w:eastAsia="SimSun"/>
              </w:rPr>
            </w:pPr>
          </w:p>
        </w:tc>
        <w:tc>
          <w:tcPr>
            <w:tcW w:w="1701" w:type="dxa"/>
            <w:vAlign w:val="center"/>
          </w:tcPr>
          <w:p w14:paraId="6501ADF0" w14:textId="77777777" w:rsidR="009F7F8A" w:rsidRPr="00AC3044" w:rsidRDefault="009F7F8A" w:rsidP="009F7F8A">
            <w:pPr>
              <w:rPr>
                <w:rFonts w:eastAsia="SimSun"/>
              </w:rPr>
            </w:pPr>
            <w:r w:rsidRPr="00AC3044">
              <w:rPr>
                <w:rFonts w:eastAsia="SimSun"/>
              </w:rPr>
              <w:t>Мелфалан</w:t>
            </w:r>
          </w:p>
        </w:tc>
        <w:tc>
          <w:tcPr>
            <w:tcW w:w="1559" w:type="dxa"/>
            <w:vAlign w:val="center"/>
          </w:tcPr>
          <w:p w14:paraId="0C7ABA5D" w14:textId="77777777" w:rsidR="009F7F8A" w:rsidRPr="00AC3044" w:rsidRDefault="009F7F8A" w:rsidP="009F7F8A">
            <w:pPr>
              <w:rPr>
                <w:rFonts w:eastAsia="SimSun"/>
              </w:rPr>
            </w:pPr>
            <w:r w:rsidRPr="00AC3044">
              <w:rPr>
                <w:rFonts w:eastAsia="SimSun"/>
              </w:rPr>
              <w:t>100 мг/м</w:t>
            </w:r>
            <w:r w:rsidRPr="0074195F">
              <w:rPr>
                <w:rFonts w:eastAsia="SimSun"/>
                <w:vertAlign w:val="superscript"/>
              </w:rPr>
              <w:t>2</w:t>
            </w:r>
            <w:r w:rsidRPr="00AC3044">
              <w:rPr>
                <w:rFonts w:eastAsia="SimSun"/>
              </w:rPr>
              <w:t xml:space="preserve"> </w:t>
            </w:r>
          </w:p>
        </w:tc>
        <w:tc>
          <w:tcPr>
            <w:tcW w:w="1418" w:type="dxa"/>
            <w:vAlign w:val="center"/>
          </w:tcPr>
          <w:p w14:paraId="5B4C4405" w14:textId="77777777" w:rsidR="009F7F8A" w:rsidRPr="00AC3044" w:rsidRDefault="009F7F8A" w:rsidP="009F7F8A">
            <w:pPr>
              <w:rPr>
                <w:rFonts w:eastAsia="SimSun"/>
              </w:rPr>
            </w:pPr>
            <w:r w:rsidRPr="00AC3044">
              <w:rPr>
                <w:rFonts w:eastAsia="SimSun"/>
              </w:rPr>
              <w:t>100 мг/м</w:t>
            </w:r>
            <w:r w:rsidRPr="0074195F">
              <w:rPr>
                <w:rFonts w:eastAsia="SimSun"/>
                <w:vertAlign w:val="superscript"/>
              </w:rPr>
              <w:t>2</w:t>
            </w:r>
          </w:p>
        </w:tc>
        <w:tc>
          <w:tcPr>
            <w:tcW w:w="1701" w:type="dxa"/>
            <w:vAlign w:val="center"/>
          </w:tcPr>
          <w:p w14:paraId="17DA638A" w14:textId="77777777" w:rsidR="009F7F8A" w:rsidRPr="00AC3044" w:rsidRDefault="009F7F8A" w:rsidP="009F7F8A">
            <w:pPr>
              <w:rPr>
                <w:rFonts w:eastAsia="SimSun"/>
              </w:rPr>
            </w:pPr>
            <w:r w:rsidRPr="00AC3044">
              <w:rPr>
                <w:rFonts w:eastAsia="SimSun"/>
              </w:rPr>
              <w:t xml:space="preserve">В -2 день </w:t>
            </w:r>
          </w:p>
        </w:tc>
        <w:tc>
          <w:tcPr>
            <w:tcW w:w="2268" w:type="dxa"/>
            <w:vAlign w:val="center"/>
          </w:tcPr>
          <w:p w14:paraId="302951F1" w14:textId="77777777" w:rsidR="009F7F8A" w:rsidRPr="00AC3044" w:rsidRDefault="009F7F8A" w:rsidP="009F7F8A">
            <w:pPr>
              <w:rPr>
                <w:rFonts w:eastAsia="SimSun"/>
              </w:rPr>
            </w:pPr>
            <w:r w:rsidRPr="00AC3044">
              <w:rPr>
                <w:rFonts w:eastAsia="SimSun"/>
              </w:rPr>
              <w:t>В/в, в течение 1 часа</w:t>
            </w:r>
          </w:p>
        </w:tc>
      </w:tr>
      <w:tr w:rsidR="009F7F8A" w:rsidRPr="00AC3044" w14:paraId="5B62F1D7" w14:textId="77777777" w:rsidTr="009F7F8A">
        <w:trPr>
          <w:cantSplit/>
          <w:trHeight w:val="450"/>
        </w:trPr>
        <w:tc>
          <w:tcPr>
            <w:tcW w:w="817" w:type="dxa"/>
            <w:vMerge w:val="restart"/>
            <w:textDirection w:val="btLr"/>
            <w:vAlign w:val="center"/>
          </w:tcPr>
          <w:p w14:paraId="7E9F7B16" w14:textId="77777777" w:rsidR="009F7F8A" w:rsidRPr="00AC3044" w:rsidRDefault="009F7F8A" w:rsidP="009F7F8A">
            <w:pPr>
              <w:rPr>
                <w:rFonts w:eastAsia="SimSun"/>
              </w:rPr>
            </w:pPr>
            <w:r w:rsidRPr="00AC3044">
              <w:rPr>
                <w:rFonts w:eastAsia="SimSun"/>
              </w:rPr>
              <w:t>Профилактика РТПХ</w:t>
            </w:r>
          </w:p>
        </w:tc>
        <w:tc>
          <w:tcPr>
            <w:tcW w:w="1701" w:type="dxa"/>
            <w:vAlign w:val="center"/>
          </w:tcPr>
          <w:p w14:paraId="4741F49A" w14:textId="77777777" w:rsidR="009F7F8A" w:rsidRPr="00AC3044" w:rsidRDefault="009F7F8A" w:rsidP="009F7F8A">
            <w:pPr>
              <w:rPr>
                <w:rFonts w:eastAsia="SimSun"/>
              </w:rPr>
            </w:pPr>
            <w:r w:rsidRPr="00AC3044">
              <w:rPr>
                <w:rFonts w:eastAsia="SimSun"/>
              </w:rPr>
              <w:t>Циклофосфамид</w:t>
            </w:r>
          </w:p>
        </w:tc>
        <w:tc>
          <w:tcPr>
            <w:tcW w:w="1559" w:type="dxa"/>
            <w:vAlign w:val="center"/>
          </w:tcPr>
          <w:p w14:paraId="48518A4B" w14:textId="77777777" w:rsidR="009F7F8A" w:rsidRPr="00AC3044" w:rsidRDefault="009F7F8A" w:rsidP="009F7F8A">
            <w:pPr>
              <w:rPr>
                <w:rFonts w:eastAsia="SimSun"/>
              </w:rPr>
            </w:pPr>
            <w:r w:rsidRPr="00AC3044">
              <w:rPr>
                <w:rFonts w:eastAsia="SimSun"/>
              </w:rPr>
              <w:t>50 мг/кг</w:t>
            </w:r>
          </w:p>
        </w:tc>
        <w:tc>
          <w:tcPr>
            <w:tcW w:w="1418" w:type="dxa"/>
            <w:vAlign w:val="center"/>
          </w:tcPr>
          <w:p w14:paraId="7B332A9F" w14:textId="77777777" w:rsidR="009F7F8A" w:rsidRPr="00AC3044" w:rsidRDefault="009F7F8A" w:rsidP="009F7F8A">
            <w:pPr>
              <w:rPr>
                <w:rFonts w:eastAsia="SimSun"/>
              </w:rPr>
            </w:pPr>
            <w:r w:rsidRPr="00AC3044">
              <w:rPr>
                <w:rFonts w:eastAsia="SimSun"/>
              </w:rPr>
              <w:t>100 мг/кг</w:t>
            </w:r>
          </w:p>
        </w:tc>
        <w:tc>
          <w:tcPr>
            <w:tcW w:w="1701" w:type="dxa"/>
            <w:vAlign w:val="center"/>
          </w:tcPr>
          <w:p w14:paraId="74F70B9F" w14:textId="77777777" w:rsidR="009F7F8A" w:rsidRPr="00AC3044" w:rsidRDefault="009F7F8A" w:rsidP="009F7F8A">
            <w:pPr>
              <w:rPr>
                <w:rFonts w:eastAsia="SimSun"/>
              </w:rPr>
            </w:pPr>
            <w:r w:rsidRPr="00AC3044">
              <w:rPr>
                <w:rFonts w:eastAsia="SimSun"/>
              </w:rPr>
              <w:t xml:space="preserve">+3,+4 дни </w:t>
            </w:r>
          </w:p>
        </w:tc>
        <w:tc>
          <w:tcPr>
            <w:tcW w:w="2268" w:type="dxa"/>
            <w:vAlign w:val="center"/>
          </w:tcPr>
          <w:p w14:paraId="4485C853"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7F3CE6C3" w14:textId="77777777" w:rsidTr="009F7F8A">
        <w:trPr>
          <w:cantSplit/>
          <w:trHeight w:val="958"/>
        </w:trPr>
        <w:tc>
          <w:tcPr>
            <w:tcW w:w="817" w:type="dxa"/>
            <w:vMerge/>
            <w:textDirection w:val="btLr"/>
            <w:vAlign w:val="center"/>
          </w:tcPr>
          <w:p w14:paraId="7DE4AF33" w14:textId="77777777" w:rsidR="009F7F8A" w:rsidRPr="00AC3044" w:rsidRDefault="009F7F8A" w:rsidP="009F7F8A">
            <w:pPr>
              <w:rPr>
                <w:rFonts w:eastAsia="SimSun"/>
              </w:rPr>
            </w:pPr>
          </w:p>
        </w:tc>
        <w:tc>
          <w:tcPr>
            <w:tcW w:w="1701" w:type="dxa"/>
            <w:vAlign w:val="center"/>
          </w:tcPr>
          <w:p w14:paraId="49223F86" w14:textId="77777777" w:rsidR="009F7F8A" w:rsidRPr="00AC3044" w:rsidRDefault="009F7F8A" w:rsidP="009F7F8A">
            <w:pPr>
              <w:rPr>
                <w:rFonts w:eastAsia="SimSun"/>
              </w:rPr>
            </w:pPr>
            <w:r w:rsidRPr="00AC3044">
              <w:rPr>
                <w:rFonts w:eastAsia="SimSun"/>
              </w:rPr>
              <w:t xml:space="preserve">Такролимус </w:t>
            </w:r>
          </w:p>
        </w:tc>
        <w:tc>
          <w:tcPr>
            <w:tcW w:w="1559" w:type="dxa"/>
            <w:vAlign w:val="center"/>
          </w:tcPr>
          <w:p w14:paraId="41EBC53B" w14:textId="77777777" w:rsidR="009F7F8A" w:rsidRPr="00AC3044" w:rsidRDefault="009F7F8A" w:rsidP="009F7F8A">
            <w:pPr>
              <w:rPr>
                <w:rFonts w:eastAsia="SimSun"/>
              </w:rPr>
            </w:pPr>
            <w:r w:rsidRPr="00AC3044">
              <w:rPr>
                <w:rFonts w:eastAsia="SimSun"/>
              </w:rPr>
              <w:t>0,03 мг/кг</w:t>
            </w:r>
          </w:p>
        </w:tc>
        <w:tc>
          <w:tcPr>
            <w:tcW w:w="1418" w:type="dxa"/>
            <w:vAlign w:val="center"/>
          </w:tcPr>
          <w:p w14:paraId="0CFA4233" w14:textId="77777777" w:rsidR="009F7F8A" w:rsidRPr="00AC3044" w:rsidRDefault="009F7F8A" w:rsidP="009F7F8A">
            <w:pPr>
              <w:rPr>
                <w:rFonts w:eastAsia="SimSun"/>
              </w:rPr>
            </w:pPr>
            <w:r w:rsidRPr="00AC3044">
              <w:rPr>
                <w:rFonts w:eastAsia="SimSun"/>
              </w:rPr>
              <w:t>–</w:t>
            </w:r>
          </w:p>
        </w:tc>
        <w:tc>
          <w:tcPr>
            <w:tcW w:w="1701" w:type="dxa"/>
            <w:vAlign w:val="center"/>
          </w:tcPr>
          <w:p w14:paraId="77CA693A" w14:textId="77777777" w:rsidR="009F7F8A" w:rsidRPr="00AC3044" w:rsidRDefault="009F7F8A" w:rsidP="009F7F8A">
            <w:pPr>
              <w:rPr>
                <w:rFonts w:eastAsia="SimSun"/>
              </w:rPr>
            </w:pPr>
            <w:r w:rsidRPr="00AC3044">
              <w:rPr>
                <w:rFonts w:eastAsia="SimSun"/>
              </w:rPr>
              <w:t xml:space="preserve">С -1 дня длительно </w:t>
            </w:r>
          </w:p>
        </w:tc>
        <w:tc>
          <w:tcPr>
            <w:tcW w:w="2268" w:type="dxa"/>
            <w:vAlign w:val="center"/>
          </w:tcPr>
          <w:p w14:paraId="2B33D9F2"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0B135482" w14:textId="77777777" w:rsidTr="009F7F8A">
        <w:trPr>
          <w:cantSplit/>
          <w:trHeight w:val="528"/>
        </w:trPr>
        <w:tc>
          <w:tcPr>
            <w:tcW w:w="817" w:type="dxa"/>
            <w:vMerge/>
            <w:textDirection w:val="btLr"/>
            <w:vAlign w:val="center"/>
          </w:tcPr>
          <w:p w14:paraId="5E6DBC7A" w14:textId="77777777" w:rsidR="009F7F8A" w:rsidRPr="00AC3044" w:rsidRDefault="009F7F8A" w:rsidP="009F7F8A">
            <w:pPr>
              <w:rPr>
                <w:rFonts w:eastAsia="SimSun"/>
              </w:rPr>
            </w:pPr>
          </w:p>
        </w:tc>
        <w:tc>
          <w:tcPr>
            <w:tcW w:w="1701" w:type="dxa"/>
            <w:vAlign w:val="center"/>
          </w:tcPr>
          <w:p w14:paraId="32E4750E" w14:textId="77777777" w:rsidR="009F7F8A" w:rsidRPr="00AC3044" w:rsidRDefault="009F7F8A" w:rsidP="009F7F8A">
            <w:pPr>
              <w:rPr>
                <w:rFonts w:eastAsia="SimSun"/>
              </w:rPr>
            </w:pPr>
            <w:r w:rsidRPr="00AC3044">
              <w:rPr>
                <w:rFonts w:eastAsia="SimSun"/>
              </w:rPr>
              <w:t>Микофенолата мофетил</w:t>
            </w:r>
          </w:p>
        </w:tc>
        <w:tc>
          <w:tcPr>
            <w:tcW w:w="1559" w:type="dxa"/>
            <w:vAlign w:val="center"/>
          </w:tcPr>
          <w:p w14:paraId="016B60AC" w14:textId="77777777" w:rsidR="009F7F8A" w:rsidRPr="00AC3044" w:rsidRDefault="009F7F8A" w:rsidP="009F7F8A">
            <w:pPr>
              <w:rPr>
                <w:rFonts w:eastAsia="SimSun"/>
              </w:rPr>
            </w:pPr>
            <w:r w:rsidRPr="00AC3044">
              <w:rPr>
                <w:rFonts w:eastAsia="SimSun"/>
              </w:rPr>
              <w:t xml:space="preserve">30 мг/кг </w:t>
            </w:r>
          </w:p>
        </w:tc>
        <w:tc>
          <w:tcPr>
            <w:tcW w:w="1418" w:type="dxa"/>
            <w:vAlign w:val="center"/>
          </w:tcPr>
          <w:p w14:paraId="0F685E02" w14:textId="77777777" w:rsidR="009F7F8A" w:rsidRPr="00AC3044" w:rsidRDefault="009F7F8A" w:rsidP="009F7F8A">
            <w:pPr>
              <w:rPr>
                <w:rFonts w:eastAsia="SimSun"/>
              </w:rPr>
            </w:pPr>
            <w:r w:rsidRPr="00AC3044">
              <w:rPr>
                <w:rFonts w:eastAsia="SimSun"/>
              </w:rPr>
              <w:t>–</w:t>
            </w:r>
          </w:p>
        </w:tc>
        <w:tc>
          <w:tcPr>
            <w:tcW w:w="1701" w:type="dxa"/>
            <w:vAlign w:val="center"/>
          </w:tcPr>
          <w:p w14:paraId="31EB3D0F" w14:textId="77777777" w:rsidR="009F7F8A" w:rsidRPr="00AC3044" w:rsidRDefault="009F7F8A" w:rsidP="009F7F8A">
            <w:pPr>
              <w:rPr>
                <w:rFonts w:eastAsia="SimSun"/>
              </w:rPr>
            </w:pPr>
            <w:r w:rsidRPr="00AC3044">
              <w:rPr>
                <w:rFonts w:eastAsia="SimSun"/>
              </w:rPr>
              <w:t xml:space="preserve">С -1 дня по +30 день </w:t>
            </w:r>
          </w:p>
        </w:tc>
        <w:tc>
          <w:tcPr>
            <w:tcW w:w="2268" w:type="dxa"/>
            <w:vAlign w:val="center"/>
          </w:tcPr>
          <w:p w14:paraId="28922E9F"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7F9DA6AC" w14:textId="77777777" w:rsidR="009F7F8A" w:rsidRPr="00C07B2E" w:rsidRDefault="009F7F8A" w:rsidP="009F7F8A">
      <w:pPr>
        <w:rPr>
          <w:rFonts w:eastAsia="SimSun"/>
        </w:rPr>
        <w:sectPr w:rsidR="009F7F8A" w:rsidRPr="00C07B2E" w:rsidSect="009F7F8A">
          <w:footerReference w:type="default" r:id="rId15"/>
          <w:type w:val="continuous"/>
          <w:pgSz w:w="11907" w:h="16839" w:code="9"/>
          <w:pgMar w:top="1134" w:right="850" w:bottom="1134" w:left="1701" w:header="709" w:footer="567" w:gutter="0"/>
          <w:cols w:space="708"/>
          <w:docGrid w:linePitch="360"/>
        </w:sectPr>
      </w:pPr>
    </w:p>
    <w:p w14:paraId="5E1019D1" w14:textId="77777777" w:rsidR="009F7F8A" w:rsidRPr="0074195F" w:rsidRDefault="009F7F8A" w:rsidP="009F7F8A">
      <w:pPr>
        <w:rPr>
          <w:rFonts w:eastAsia="SimSun"/>
        </w:rPr>
      </w:pPr>
      <w:bookmarkStart w:id="187" w:name="_Toc44401222"/>
    </w:p>
    <w:p w14:paraId="2ABB5CCA" w14:textId="77777777" w:rsidR="009F7F8A" w:rsidRPr="00030511" w:rsidRDefault="009F7F8A" w:rsidP="009F7F8A">
      <w:pPr>
        <w:rPr>
          <w:rFonts w:eastAsia="SimSun"/>
          <w:i/>
          <w:u w:val="single"/>
        </w:rPr>
      </w:pPr>
      <w:r w:rsidRPr="00030511">
        <w:rPr>
          <w:rFonts w:eastAsia="SimSun"/>
          <w:i/>
          <w:u w:val="single"/>
        </w:rPr>
        <w:t>3. Неродственный частично совместимый или родственный гаплоидентичный донор</w:t>
      </w:r>
      <w:bookmarkEnd w:id="187"/>
    </w:p>
    <w:p w14:paraId="70E38081" w14:textId="77777777" w:rsidR="009F7F8A" w:rsidRDefault="009F7F8A" w:rsidP="009F7F8A">
      <w:pPr>
        <w:rPr>
          <w:rFonts w:eastAsia="SimSun"/>
        </w:rPr>
      </w:pPr>
      <w:bookmarkStart w:id="188" w:name="_Toc44401223"/>
    </w:p>
    <w:bookmarkEnd w:id="188"/>
    <w:p w14:paraId="62C5CDDF" w14:textId="77777777" w:rsidR="009F7F8A" w:rsidRDefault="009F7F8A" w:rsidP="009F7F8A">
      <w:pPr>
        <w:rPr>
          <w:rFonts w:eastAsia="SimSun"/>
        </w:rPr>
      </w:pPr>
      <w:r w:rsidRPr="00C07B2E">
        <w:rPr>
          <w:rFonts w:eastAsia="SimSun"/>
        </w:rPr>
        <w:lastRenderedPageBreak/>
        <w:t>Схемы и режимы применения препаратов для кондиционирования</w:t>
      </w:r>
      <w:r>
        <w:rPr>
          <w:rFonts w:eastAsia="SimSun"/>
        </w:rPr>
        <w:t xml:space="preserve"> </w:t>
      </w:r>
      <w:r w:rsidRPr="00030511">
        <w:rPr>
          <w:rFonts w:eastAsia="SimSun"/>
        </w:rPr>
        <w:t>в миелоаблативном режиме и режиме пониженной интенсивности</w:t>
      </w:r>
      <w:r w:rsidRPr="00C07B2E">
        <w:rPr>
          <w:rFonts w:eastAsia="SimSun"/>
        </w:rPr>
        <w:t xml:space="preserve"> и профилактики РТПХ со ссылками на приложения указаны в Таблице </w:t>
      </w:r>
      <w:r>
        <w:rPr>
          <w:rFonts w:eastAsia="SimSun"/>
        </w:rPr>
        <w:t>5.</w:t>
      </w:r>
      <w:r w:rsidRPr="00C07B2E">
        <w:rPr>
          <w:rFonts w:eastAsia="SimSun"/>
        </w:rPr>
        <w:t>3.1</w:t>
      </w:r>
    </w:p>
    <w:p w14:paraId="5977CB56" w14:textId="77777777" w:rsidR="009F7F8A" w:rsidRPr="00C07B2E" w:rsidRDefault="009F7F8A" w:rsidP="009F7F8A">
      <w:pPr>
        <w:rPr>
          <w:rFonts w:eastAsia="SimSun"/>
        </w:rPr>
        <w:sectPr w:rsidR="009F7F8A" w:rsidRPr="00C07B2E" w:rsidSect="009F7F8A">
          <w:footerReference w:type="default" r:id="rId16"/>
          <w:type w:val="continuous"/>
          <w:pgSz w:w="11907" w:h="16839" w:code="9"/>
          <w:pgMar w:top="1134" w:right="850" w:bottom="1134" w:left="1701" w:header="709" w:footer="567" w:gutter="0"/>
          <w:cols w:space="708"/>
          <w:docGrid w:linePitch="360"/>
        </w:sectPr>
      </w:pPr>
    </w:p>
    <w:p w14:paraId="63C08E96" w14:textId="77777777" w:rsidR="009F7F8A" w:rsidRPr="00C07B2E" w:rsidRDefault="009F7F8A" w:rsidP="009F7F8A">
      <w:pPr>
        <w:rPr>
          <w:rFonts w:eastAsia="SimSun"/>
        </w:rPr>
      </w:pPr>
      <w:r w:rsidRPr="00C07B2E">
        <w:rPr>
          <w:rFonts w:eastAsia="SimSun"/>
        </w:rPr>
        <w:lastRenderedPageBreak/>
        <w:t xml:space="preserve">Таблица </w:t>
      </w:r>
      <w:r>
        <w:rPr>
          <w:rFonts w:eastAsia="SimSun"/>
        </w:rPr>
        <w:t>5.</w:t>
      </w:r>
      <w:r w:rsidRPr="00C07B2E">
        <w:rPr>
          <w:rFonts w:eastAsia="SimSun"/>
        </w:rPr>
        <w:t>3.1 Схемы и режимы применения препаратов для кондиционирования и профилактики РТПХ со ссылками на приложения</w:t>
      </w:r>
    </w:p>
    <w:p w14:paraId="6D2B035B" w14:textId="77777777" w:rsidR="009F7F8A" w:rsidRPr="00C07B2E" w:rsidRDefault="009F7F8A" w:rsidP="009F7F8A">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053"/>
        <w:gridCol w:w="917"/>
        <w:gridCol w:w="1302"/>
        <w:gridCol w:w="1268"/>
        <w:gridCol w:w="1154"/>
        <w:gridCol w:w="1331"/>
        <w:gridCol w:w="1268"/>
        <w:gridCol w:w="954"/>
        <w:gridCol w:w="954"/>
        <w:gridCol w:w="954"/>
        <w:gridCol w:w="1214"/>
        <w:gridCol w:w="1202"/>
      </w:tblGrid>
      <w:tr w:rsidR="009F7F8A" w:rsidRPr="00470E23" w14:paraId="6CB5DAFB" w14:textId="77777777" w:rsidTr="009F7F8A">
        <w:trPr>
          <w:cantSplit/>
          <w:trHeight w:val="1020"/>
        </w:trPr>
        <w:tc>
          <w:tcPr>
            <w:tcW w:w="1394" w:type="pct"/>
            <w:gridSpan w:val="4"/>
            <w:vMerge w:val="restart"/>
            <w:tcBorders>
              <w:right w:val="single" w:sz="4" w:space="0" w:color="00000A"/>
            </w:tcBorders>
            <w:shd w:val="clear" w:color="auto" w:fill="auto"/>
            <w:vAlign w:val="center"/>
          </w:tcPr>
          <w:p w14:paraId="262CA55C" w14:textId="77777777" w:rsidR="009F7F8A" w:rsidRPr="00470E23" w:rsidRDefault="009F7F8A" w:rsidP="009F7F8A">
            <w:pPr>
              <w:rPr>
                <w:rFonts w:eastAsia="SimSun"/>
                <w:sz w:val="22"/>
              </w:rPr>
            </w:pPr>
            <w:r w:rsidRPr="00470E23">
              <w:rPr>
                <w:rFonts w:eastAsia="SimSun"/>
                <w:sz w:val="22"/>
              </w:rPr>
              <w:t>Профилактика РТПХ</w:t>
            </w:r>
          </w:p>
        </w:tc>
        <w:tc>
          <w:tcPr>
            <w:tcW w:w="3606" w:type="pct"/>
            <w:gridSpan w:val="9"/>
            <w:tcBorders>
              <w:left w:val="single" w:sz="4" w:space="0" w:color="00000A"/>
              <w:right w:val="single" w:sz="4" w:space="0" w:color="00000A"/>
            </w:tcBorders>
            <w:shd w:val="clear" w:color="auto" w:fill="auto"/>
            <w:vAlign w:val="center"/>
          </w:tcPr>
          <w:p w14:paraId="19D07219" w14:textId="77777777" w:rsidR="009F7F8A" w:rsidRPr="00470E23" w:rsidRDefault="009F7F8A" w:rsidP="009F7F8A">
            <w:pPr>
              <w:rPr>
                <w:rFonts w:eastAsia="SimSun"/>
                <w:sz w:val="22"/>
              </w:rPr>
            </w:pPr>
            <w:r w:rsidRPr="00470E23">
              <w:rPr>
                <w:rFonts w:eastAsia="SimSun"/>
                <w:sz w:val="22"/>
              </w:rPr>
              <w:t>Режим кондиционирования</w:t>
            </w:r>
          </w:p>
        </w:tc>
      </w:tr>
      <w:tr w:rsidR="009F7F8A" w:rsidRPr="00470E23" w14:paraId="30FFA796" w14:textId="77777777" w:rsidTr="009F7F8A">
        <w:trPr>
          <w:cantSplit/>
          <w:trHeight w:val="1020"/>
        </w:trPr>
        <w:tc>
          <w:tcPr>
            <w:tcW w:w="1394" w:type="pct"/>
            <w:gridSpan w:val="4"/>
            <w:vMerge/>
            <w:tcBorders>
              <w:right w:val="single" w:sz="4" w:space="0" w:color="00000A"/>
            </w:tcBorders>
            <w:shd w:val="clear" w:color="auto" w:fill="auto"/>
            <w:vAlign w:val="center"/>
          </w:tcPr>
          <w:p w14:paraId="179ECE57" w14:textId="77777777" w:rsidR="009F7F8A" w:rsidRPr="00470E23" w:rsidRDefault="009F7F8A" w:rsidP="009F7F8A">
            <w:pPr>
              <w:rPr>
                <w:rFonts w:eastAsia="SimSun"/>
                <w:sz w:val="22"/>
              </w:rPr>
            </w:pPr>
          </w:p>
        </w:tc>
        <w:tc>
          <w:tcPr>
            <w:tcW w:w="1314" w:type="pct"/>
            <w:gridSpan w:val="3"/>
            <w:tcBorders>
              <w:left w:val="single" w:sz="4" w:space="0" w:color="00000A"/>
              <w:right w:val="single" w:sz="4" w:space="0" w:color="00000A"/>
            </w:tcBorders>
            <w:shd w:val="clear" w:color="auto" w:fill="D9D9D9"/>
            <w:vAlign w:val="center"/>
          </w:tcPr>
          <w:p w14:paraId="425E9C86" w14:textId="77777777" w:rsidR="009F7F8A" w:rsidRPr="00470E23" w:rsidRDefault="009F7F8A" w:rsidP="009F7F8A">
            <w:pPr>
              <w:rPr>
                <w:rFonts w:eastAsia="SimSun"/>
                <w:sz w:val="22"/>
              </w:rPr>
            </w:pPr>
            <w:r w:rsidRPr="00470E23">
              <w:rPr>
                <w:rFonts w:eastAsia="SimSun"/>
                <w:sz w:val="22"/>
              </w:rPr>
              <w:t>Flu150</w:t>
            </w:r>
          </w:p>
        </w:tc>
        <w:tc>
          <w:tcPr>
            <w:tcW w:w="2293" w:type="pct"/>
            <w:gridSpan w:val="6"/>
            <w:tcBorders>
              <w:left w:val="single" w:sz="4" w:space="0" w:color="00000A"/>
              <w:right w:val="single" w:sz="4" w:space="0" w:color="00000A"/>
            </w:tcBorders>
            <w:shd w:val="clear" w:color="auto" w:fill="D9D9D9"/>
            <w:vAlign w:val="center"/>
          </w:tcPr>
          <w:p w14:paraId="42A78E01" w14:textId="77777777" w:rsidR="009F7F8A" w:rsidRPr="00470E23" w:rsidRDefault="009F7F8A" w:rsidP="009F7F8A">
            <w:pPr>
              <w:rPr>
                <w:rFonts w:eastAsia="SimSun"/>
                <w:sz w:val="22"/>
              </w:rPr>
            </w:pPr>
            <w:r w:rsidRPr="00470E23">
              <w:rPr>
                <w:rFonts w:eastAsia="SimSun"/>
                <w:sz w:val="22"/>
              </w:rPr>
              <w:t>Flu180</w:t>
            </w:r>
          </w:p>
        </w:tc>
      </w:tr>
      <w:tr w:rsidR="009F7F8A" w:rsidRPr="00470E23" w14:paraId="64279636" w14:textId="77777777" w:rsidTr="009F7F8A">
        <w:trPr>
          <w:cantSplit/>
          <w:trHeight w:val="1020"/>
        </w:trPr>
        <w:tc>
          <w:tcPr>
            <w:tcW w:w="1394" w:type="pct"/>
            <w:gridSpan w:val="4"/>
            <w:vMerge/>
            <w:tcBorders>
              <w:right w:val="single" w:sz="4" w:space="0" w:color="00000A"/>
            </w:tcBorders>
            <w:shd w:val="clear" w:color="auto" w:fill="auto"/>
            <w:vAlign w:val="center"/>
          </w:tcPr>
          <w:p w14:paraId="5ACCFC8F" w14:textId="77777777" w:rsidR="009F7F8A" w:rsidRPr="00470E23" w:rsidRDefault="009F7F8A" w:rsidP="009F7F8A">
            <w:pPr>
              <w:rPr>
                <w:rFonts w:eastAsia="SimSun"/>
                <w:sz w:val="22"/>
              </w:rPr>
            </w:pPr>
          </w:p>
        </w:tc>
        <w:tc>
          <w:tcPr>
            <w:tcW w:w="444" w:type="pct"/>
            <w:tcBorders>
              <w:left w:val="single" w:sz="4" w:space="0" w:color="00000A"/>
              <w:right w:val="single" w:sz="4" w:space="0" w:color="00000A"/>
            </w:tcBorders>
            <w:shd w:val="clear" w:color="auto" w:fill="D9D9D9"/>
            <w:vAlign w:val="center"/>
          </w:tcPr>
          <w:p w14:paraId="0501D657" w14:textId="77777777" w:rsidR="009F7F8A" w:rsidRPr="00470E23" w:rsidRDefault="009F7F8A" w:rsidP="009F7F8A">
            <w:pPr>
              <w:rPr>
                <w:rFonts w:eastAsia="SimSun"/>
                <w:sz w:val="22"/>
              </w:rPr>
            </w:pPr>
            <w:r w:rsidRPr="00470E23">
              <w:rPr>
                <w:rFonts w:eastAsia="SimSun"/>
                <w:sz w:val="22"/>
              </w:rPr>
              <w:t>Bu8</w:t>
            </w:r>
          </w:p>
        </w:tc>
        <w:tc>
          <w:tcPr>
            <w:tcW w:w="404" w:type="pct"/>
            <w:shd w:val="clear" w:color="auto" w:fill="D9D9D9"/>
            <w:vAlign w:val="center"/>
          </w:tcPr>
          <w:p w14:paraId="328879A9" w14:textId="77777777" w:rsidR="009F7F8A" w:rsidRPr="00470E23" w:rsidRDefault="009F7F8A" w:rsidP="009F7F8A">
            <w:pPr>
              <w:rPr>
                <w:rFonts w:eastAsia="SimSun"/>
                <w:sz w:val="22"/>
              </w:rPr>
            </w:pPr>
            <w:r w:rsidRPr="00470E23">
              <w:rPr>
                <w:rFonts w:eastAsia="SimSun"/>
                <w:sz w:val="22"/>
              </w:rPr>
              <w:t>Treo36</w:t>
            </w:r>
          </w:p>
        </w:tc>
        <w:tc>
          <w:tcPr>
            <w:tcW w:w="466" w:type="pct"/>
            <w:shd w:val="clear" w:color="auto" w:fill="D9D9D9"/>
            <w:vAlign w:val="center"/>
          </w:tcPr>
          <w:p w14:paraId="38B008C2" w14:textId="77777777" w:rsidR="009F7F8A" w:rsidRPr="00470E23" w:rsidRDefault="009F7F8A" w:rsidP="009F7F8A">
            <w:pPr>
              <w:rPr>
                <w:rFonts w:eastAsia="SimSun"/>
                <w:sz w:val="22"/>
              </w:rPr>
            </w:pPr>
            <w:r w:rsidRPr="00470E23">
              <w:rPr>
                <w:rFonts w:eastAsia="SimSun"/>
                <w:sz w:val="22"/>
              </w:rPr>
              <w:t>Cy14</w:t>
            </w:r>
          </w:p>
        </w:tc>
        <w:tc>
          <w:tcPr>
            <w:tcW w:w="444" w:type="pct"/>
            <w:shd w:val="clear" w:color="auto" w:fill="D9D9D9"/>
            <w:vAlign w:val="center"/>
          </w:tcPr>
          <w:p w14:paraId="544CD570" w14:textId="77777777" w:rsidR="009F7F8A" w:rsidRPr="00470E23" w:rsidRDefault="009F7F8A" w:rsidP="009F7F8A">
            <w:pPr>
              <w:rPr>
                <w:rFonts w:eastAsia="SimSun"/>
                <w:sz w:val="22"/>
              </w:rPr>
            </w:pPr>
            <w:r w:rsidRPr="00470E23">
              <w:rPr>
                <w:rFonts w:eastAsia="SimSun"/>
                <w:sz w:val="22"/>
              </w:rPr>
              <w:t>Bu8</w:t>
            </w:r>
          </w:p>
        </w:tc>
        <w:tc>
          <w:tcPr>
            <w:tcW w:w="334" w:type="pct"/>
            <w:shd w:val="clear" w:color="auto" w:fill="D9D9D9"/>
            <w:vAlign w:val="center"/>
          </w:tcPr>
          <w:p w14:paraId="22A51729" w14:textId="77777777" w:rsidR="009F7F8A" w:rsidRPr="00470E23" w:rsidRDefault="009F7F8A" w:rsidP="009F7F8A">
            <w:pPr>
              <w:rPr>
                <w:rFonts w:eastAsia="SimSun"/>
                <w:sz w:val="22"/>
              </w:rPr>
            </w:pPr>
            <w:r w:rsidRPr="00470E23">
              <w:rPr>
                <w:rFonts w:eastAsia="SimSun"/>
                <w:sz w:val="22"/>
              </w:rPr>
              <w:t>Bu10</w:t>
            </w:r>
          </w:p>
        </w:tc>
        <w:tc>
          <w:tcPr>
            <w:tcW w:w="334" w:type="pct"/>
            <w:shd w:val="clear" w:color="auto" w:fill="D9D9D9"/>
            <w:vAlign w:val="center"/>
          </w:tcPr>
          <w:p w14:paraId="327641D5" w14:textId="77777777" w:rsidR="009F7F8A" w:rsidRPr="00470E23" w:rsidRDefault="009F7F8A" w:rsidP="009F7F8A">
            <w:pPr>
              <w:rPr>
                <w:rFonts w:eastAsia="SimSun"/>
                <w:sz w:val="22"/>
              </w:rPr>
            </w:pPr>
            <w:r w:rsidRPr="00470E23">
              <w:rPr>
                <w:rFonts w:eastAsia="SimSun"/>
                <w:sz w:val="22"/>
              </w:rPr>
              <w:t>Bu12</w:t>
            </w:r>
          </w:p>
        </w:tc>
        <w:tc>
          <w:tcPr>
            <w:tcW w:w="334" w:type="pct"/>
            <w:shd w:val="clear" w:color="auto" w:fill="D9D9D9"/>
            <w:vAlign w:val="center"/>
          </w:tcPr>
          <w:p w14:paraId="7DC85C38" w14:textId="77777777" w:rsidR="009F7F8A" w:rsidRPr="00470E23" w:rsidRDefault="009F7F8A" w:rsidP="009F7F8A">
            <w:pPr>
              <w:rPr>
                <w:rFonts w:eastAsia="SimSun"/>
                <w:sz w:val="22"/>
              </w:rPr>
            </w:pPr>
            <w:r w:rsidRPr="00470E23">
              <w:rPr>
                <w:rFonts w:eastAsia="SimSun"/>
                <w:sz w:val="22"/>
              </w:rPr>
              <w:t>Bu14</w:t>
            </w:r>
          </w:p>
        </w:tc>
        <w:tc>
          <w:tcPr>
            <w:tcW w:w="425" w:type="pct"/>
            <w:shd w:val="clear" w:color="auto" w:fill="D9D9D9"/>
            <w:vAlign w:val="center"/>
          </w:tcPr>
          <w:p w14:paraId="0A86DA5E" w14:textId="77777777" w:rsidR="009F7F8A" w:rsidRPr="00470E23" w:rsidRDefault="009F7F8A" w:rsidP="009F7F8A">
            <w:pPr>
              <w:rPr>
                <w:rFonts w:eastAsia="SimSun"/>
                <w:sz w:val="22"/>
              </w:rPr>
            </w:pPr>
            <w:r w:rsidRPr="00470E23">
              <w:rPr>
                <w:rFonts w:eastAsia="SimSun"/>
                <w:sz w:val="22"/>
              </w:rPr>
              <w:t>Cy1200</w:t>
            </w:r>
          </w:p>
        </w:tc>
        <w:tc>
          <w:tcPr>
            <w:tcW w:w="422" w:type="pct"/>
            <w:shd w:val="clear" w:color="auto" w:fill="D9D9D9"/>
            <w:vAlign w:val="center"/>
          </w:tcPr>
          <w:p w14:paraId="7273EBBD" w14:textId="77777777" w:rsidR="009F7F8A" w:rsidRPr="00470E23" w:rsidRDefault="009F7F8A" w:rsidP="009F7F8A">
            <w:pPr>
              <w:rPr>
                <w:rFonts w:eastAsia="SimSun"/>
                <w:sz w:val="22"/>
              </w:rPr>
            </w:pPr>
            <w:r w:rsidRPr="00470E23">
              <w:rPr>
                <w:rFonts w:eastAsia="SimSun"/>
                <w:sz w:val="22"/>
              </w:rPr>
              <w:t>Mel100</w:t>
            </w:r>
          </w:p>
        </w:tc>
      </w:tr>
      <w:tr w:rsidR="009F7F8A" w:rsidRPr="00470E23" w14:paraId="0A6EC257" w14:textId="77777777" w:rsidTr="009F7F8A">
        <w:trPr>
          <w:cantSplit/>
          <w:trHeight w:val="1020"/>
        </w:trPr>
        <w:tc>
          <w:tcPr>
            <w:tcW w:w="1394" w:type="pct"/>
            <w:gridSpan w:val="4"/>
            <w:vMerge/>
            <w:tcBorders>
              <w:right w:val="single" w:sz="4" w:space="0" w:color="00000A"/>
            </w:tcBorders>
            <w:shd w:val="clear" w:color="auto" w:fill="auto"/>
            <w:vAlign w:val="center"/>
          </w:tcPr>
          <w:p w14:paraId="5DBA8CD4" w14:textId="77777777" w:rsidR="009F7F8A" w:rsidRPr="00470E23" w:rsidRDefault="009F7F8A" w:rsidP="009F7F8A">
            <w:pPr>
              <w:rPr>
                <w:rFonts w:eastAsia="SimSun"/>
                <w:sz w:val="22"/>
              </w:rPr>
            </w:pPr>
          </w:p>
        </w:tc>
        <w:tc>
          <w:tcPr>
            <w:tcW w:w="444" w:type="pct"/>
            <w:tcBorders>
              <w:left w:val="single" w:sz="4" w:space="0" w:color="00000A"/>
            </w:tcBorders>
            <w:shd w:val="clear" w:color="auto" w:fill="D9D9D9"/>
            <w:vAlign w:val="center"/>
          </w:tcPr>
          <w:p w14:paraId="58B97A7B" w14:textId="77777777" w:rsidR="009F7F8A" w:rsidRPr="00470E23" w:rsidRDefault="009F7F8A" w:rsidP="009F7F8A">
            <w:pPr>
              <w:rPr>
                <w:rFonts w:eastAsia="SimSun"/>
                <w:sz w:val="22"/>
              </w:rPr>
            </w:pPr>
          </w:p>
          <w:p w14:paraId="5E9C95E0" w14:textId="77777777" w:rsidR="009F7F8A" w:rsidRPr="00470E23" w:rsidRDefault="009F7F8A" w:rsidP="009F7F8A">
            <w:pPr>
              <w:rPr>
                <w:rFonts w:eastAsia="SimSun"/>
                <w:sz w:val="22"/>
              </w:rPr>
            </w:pPr>
            <w:r w:rsidRPr="00470E23">
              <w:rPr>
                <w:rFonts w:eastAsia="SimSun"/>
                <w:sz w:val="22"/>
              </w:rPr>
              <w:t>Thio</w:t>
            </w:r>
          </w:p>
        </w:tc>
        <w:tc>
          <w:tcPr>
            <w:tcW w:w="404" w:type="pct"/>
            <w:shd w:val="clear" w:color="auto" w:fill="D9D9D9"/>
            <w:vAlign w:val="center"/>
          </w:tcPr>
          <w:p w14:paraId="382EA05F" w14:textId="77777777" w:rsidR="009F7F8A" w:rsidRPr="00470E23" w:rsidRDefault="009F7F8A" w:rsidP="009F7F8A">
            <w:pPr>
              <w:rPr>
                <w:rFonts w:eastAsia="SimSun"/>
                <w:sz w:val="22"/>
              </w:rPr>
            </w:pPr>
            <w:r w:rsidRPr="00470E23">
              <w:rPr>
                <w:rFonts w:eastAsia="SimSun"/>
                <w:sz w:val="22"/>
              </w:rPr>
              <w:t>-</w:t>
            </w:r>
          </w:p>
        </w:tc>
        <w:tc>
          <w:tcPr>
            <w:tcW w:w="466" w:type="pct"/>
            <w:shd w:val="clear" w:color="auto" w:fill="D9D9D9"/>
            <w:vAlign w:val="center"/>
          </w:tcPr>
          <w:p w14:paraId="6FCB28DC" w14:textId="77777777" w:rsidR="009F7F8A" w:rsidRPr="00470E23" w:rsidRDefault="009F7F8A" w:rsidP="009F7F8A">
            <w:pPr>
              <w:rPr>
                <w:rFonts w:eastAsia="SimSun"/>
                <w:sz w:val="22"/>
              </w:rPr>
            </w:pPr>
            <w:r w:rsidRPr="00470E23">
              <w:rPr>
                <w:rFonts w:eastAsia="SimSun"/>
                <w:sz w:val="22"/>
              </w:rPr>
              <w:t>TBI</w:t>
            </w:r>
          </w:p>
        </w:tc>
        <w:tc>
          <w:tcPr>
            <w:tcW w:w="444" w:type="pct"/>
            <w:shd w:val="clear" w:color="auto" w:fill="D9D9D9"/>
            <w:vAlign w:val="center"/>
          </w:tcPr>
          <w:p w14:paraId="5FEB83A5" w14:textId="77777777" w:rsidR="009F7F8A" w:rsidRPr="00470E23" w:rsidRDefault="009F7F8A" w:rsidP="009F7F8A">
            <w:pPr>
              <w:rPr>
                <w:rFonts w:eastAsia="SimSun"/>
                <w:sz w:val="22"/>
              </w:rPr>
            </w:pPr>
            <w:r w:rsidRPr="00470E23">
              <w:rPr>
                <w:rFonts w:eastAsia="SimSun"/>
                <w:sz w:val="22"/>
              </w:rPr>
              <w:t>-</w:t>
            </w:r>
          </w:p>
        </w:tc>
        <w:tc>
          <w:tcPr>
            <w:tcW w:w="334" w:type="pct"/>
            <w:shd w:val="clear" w:color="auto" w:fill="D9D9D9"/>
            <w:vAlign w:val="center"/>
          </w:tcPr>
          <w:p w14:paraId="6926375E" w14:textId="77777777" w:rsidR="009F7F8A" w:rsidRPr="00470E23" w:rsidRDefault="009F7F8A" w:rsidP="009F7F8A">
            <w:pPr>
              <w:rPr>
                <w:rFonts w:eastAsia="SimSun"/>
                <w:sz w:val="22"/>
              </w:rPr>
            </w:pPr>
            <w:r w:rsidRPr="00470E23">
              <w:rPr>
                <w:rFonts w:eastAsia="SimSun"/>
                <w:sz w:val="22"/>
              </w:rPr>
              <w:t>-</w:t>
            </w:r>
          </w:p>
        </w:tc>
        <w:tc>
          <w:tcPr>
            <w:tcW w:w="334" w:type="pct"/>
            <w:shd w:val="clear" w:color="auto" w:fill="D9D9D9"/>
            <w:vAlign w:val="center"/>
          </w:tcPr>
          <w:p w14:paraId="7A26F699" w14:textId="77777777" w:rsidR="009F7F8A" w:rsidRPr="00470E23" w:rsidRDefault="009F7F8A" w:rsidP="009F7F8A">
            <w:pPr>
              <w:rPr>
                <w:rFonts w:eastAsia="SimSun"/>
                <w:sz w:val="22"/>
              </w:rPr>
            </w:pPr>
            <w:r w:rsidRPr="00470E23">
              <w:rPr>
                <w:rFonts w:eastAsia="SimSun"/>
                <w:sz w:val="22"/>
              </w:rPr>
              <w:t>-</w:t>
            </w:r>
          </w:p>
        </w:tc>
        <w:tc>
          <w:tcPr>
            <w:tcW w:w="334" w:type="pct"/>
            <w:shd w:val="clear" w:color="auto" w:fill="D9D9D9"/>
            <w:vAlign w:val="center"/>
          </w:tcPr>
          <w:p w14:paraId="43CF4989" w14:textId="77777777" w:rsidR="009F7F8A" w:rsidRPr="00470E23" w:rsidRDefault="009F7F8A" w:rsidP="009F7F8A">
            <w:pPr>
              <w:rPr>
                <w:rFonts w:eastAsia="SimSun"/>
                <w:sz w:val="22"/>
              </w:rPr>
            </w:pPr>
            <w:r w:rsidRPr="00470E23">
              <w:rPr>
                <w:rFonts w:eastAsia="SimSun"/>
                <w:sz w:val="22"/>
              </w:rPr>
              <w:t>-</w:t>
            </w:r>
          </w:p>
        </w:tc>
        <w:tc>
          <w:tcPr>
            <w:tcW w:w="425" w:type="pct"/>
            <w:shd w:val="clear" w:color="auto" w:fill="D9D9D9"/>
            <w:vAlign w:val="center"/>
          </w:tcPr>
          <w:p w14:paraId="0244F3A6" w14:textId="77777777" w:rsidR="009F7F8A" w:rsidRPr="00470E23" w:rsidRDefault="009F7F8A" w:rsidP="009F7F8A">
            <w:pPr>
              <w:rPr>
                <w:rFonts w:eastAsia="SimSun"/>
                <w:sz w:val="22"/>
              </w:rPr>
            </w:pPr>
            <w:r w:rsidRPr="00470E23">
              <w:rPr>
                <w:rFonts w:eastAsia="SimSun"/>
                <w:sz w:val="22"/>
              </w:rPr>
              <w:t>-</w:t>
            </w:r>
          </w:p>
        </w:tc>
        <w:tc>
          <w:tcPr>
            <w:tcW w:w="422" w:type="pct"/>
            <w:shd w:val="clear" w:color="auto" w:fill="D9D9D9"/>
            <w:vAlign w:val="center"/>
          </w:tcPr>
          <w:p w14:paraId="2A43E9D8" w14:textId="77777777" w:rsidR="009F7F8A" w:rsidRPr="00470E23" w:rsidRDefault="009F7F8A" w:rsidP="009F7F8A">
            <w:pPr>
              <w:rPr>
                <w:rFonts w:eastAsia="SimSun"/>
                <w:sz w:val="22"/>
              </w:rPr>
            </w:pPr>
            <w:r w:rsidRPr="00470E23">
              <w:rPr>
                <w:rFonts w:eastAsia="SimSun"/>
                <w:sz w:val="22"/>
              </w:rPr>
              <w:t>-</w:t>
            </w:r>
          </w:p>
        </w:tc>
      </w:tr>
      <w:tr w:rsidR="009F7F8A" w:rsidRPr="00470E23" w14:paraId="122D058D" w14:textId="77777777" w:rsidTr="009F7F8A">
        <w:trPr>
          <w:cantSplit/>
          <w:trHeight w:val="1020"/>
        </w:trPr>
        <w:tc>
          <w:tcPr>
            <w:tcW w:w="248" w:type="pct"/>
            <w:vMerge w:val="restart"/>
            <w:tcBorders>
              <w:top w:val="single" w:sz="4" w:space="0" w:color="00000A"/>
            </w:tcBorders>
            <w:shd w:val="clear" w:color="auto" w:fill="D9D9D9"/>
            <w:vAlign w:val="center"/>
          </w:tcPr>
          <w:p w14:paraId="562236EE" w14:textId="77777777" w:rsidR="009F7F8A" w:rsidRPr="00470E23" w:rsidRDefault="009F7F8A" w:rsidP="009F7F8A">
            <w:pPr>
              <w:rPr>
                <w:rFonts w:eastAsia="SimSun"/>
                <w:sz w:val="22"/>
              </w:rPr>
            </w:pPr>
            <w:r w:rsidRPr="00470E23">
              <w:rPr>
                <w:rFonts w:eastAsia="SimSun"/>
                <w:sz w:val="22"/>
              </w:rPr>
              <w:t>PT-Cy</w:t>
            </w:r>
          </w:p>
        </w:tc>
        <w:tc>
          <w:tcPr>
            <w:tcW w:w="369" w:type="pct"/>
            <w:shd w:val="clear" w:color="auto" w:fill="D9D9D9"/>
            <w:vAlign w:val="center"/>
          </w:tcPr>
          <w:p w14:paraId="79A2328E" w14:textId="77777777" w:rsidR="009F7F8A" w:rsidRPr="00470E23" w:rsidRDefault="009F7F8A" w:rsidP="009F7F8A">
            <w:pPr>
              <w:rPr>
                <w:rFonts w:eastAsia="SimSun"/>
                <w:sz w:val="22"/>
              </w:rPr>
            </w:pPr>
            <w:r w:rsidRPr="00470E23">
              <w:rPr>
                <w:rFonts w:eastAsia="SimSun"/>
                <w:sz w:val="22"/>
              </w:rPr>
              <w:t>-</w:t>
            </w:r>
          </w:p>
        </w:tc>
        <w:tc>
          <w:tcPr>
            <w:tcW w:w="321" w:type="pct"/>
            <w:shd w:val="clear" w:color="auto" w:fill="D9D9D9"/>
            <w:vAlign w:val="center"/>
          </w:tcPr>
          <w:p w14:paraId="5E7A7994" w14:textId="77777777" w:rsidR="009F7F8A" w:rsidRPr="00470E23" w:rsidRDefault="009F7F8A" w:rsidP="009F7F8A">
            <w:pPr>
              <w:rPr>
                <w:rFonts w:eastAsia="SimSun"/>
                <w:sz w:val="22"/>
              </w:rPr>
            </w:pPr>
            <w:r w:rsidRPr="00470E23">
              <w:rPr>
                <w:rFonts w:eastAsia="SimSun"/>
                <w:sz w:val="22"/>
              </w:rPr>
              <w:t>CSA</w:t>
            </w:r>
          </w:p>
        </w:tc>
        <w:tc>
          <w:tcPr>
            <w:tcW w:w="455" w:type="pct"/>
            <w:shd w:val="clear" w:color="auto" w:fill="D9D9D9"/>
            <w:vAlign w:val="center"/>
          </w:tcPr>
          <w:p w14:paraId="1B9716AF" w14:textId="77777777" w:rsidR="009F7F8A" w:rsidRPr="00470E23" w:rsidRDefault="009F7F8A" w:rsidP="009F7F8A">
            <w:pPr>
              <w:rPr>
                <w:rFonts w:eastAsia="SimSun"/>
                <w:sz w:val="22"/>
              </w:rPr>
            </w:pPr>
            <w:r w:rsidRPr="00470E23">
              <w:rPr>
                <w:rFonts w:eastAsia="SimSun"/>
                <w:sz w:val="22"/>
              </w:rPr>
              <w:t>MMF30</w:t>
            </w:r>
          </w:p>
        </w:tc>
        <w:tc>
          <w:tcPr>
            <w:tcW w:w="444" w:type="pct"/>
            <w:tcBorders>
              <w:left w:val="single" w:sz="4" w:space="0" w:color="00000A"/>
            </w:tcBorders>
            <w:shd w:val="clear" w:color="auto" w:fill="auto"/>
            <w:vAlign w:val="center"/>
          </w:tcPr>
          <w:p w14:paraId="0E4DEAFA" w14:textId="77777777" w:rsidR="009F7F8A" w:rsidRPr="00470E23" w:rsidRDefault="009F7F8A" w:rsidP="009F7F8A">
            <w:pPr>
              <w:rPr>
                <w:rFonts w:eastAsia="SimSun"/>
                <w:sz w:val="22"/>
              </w:rPr>
            </w:pPr>
            <w:r w:rsidRPr="00470E23">
              <w:rPr>
                <w:rFonts w:eastAsia="SimSun"/>
                <w:sz w:val="22"/>
              </w:rPr>
              <w:t>5.3.1.1</w:t>
            </w:r>
          </w:p>
        </w:tc>
        <w:tc>
          <w:tcPr>
            <w:tcW w:w="404" w:type="pct"/>
            <w:shd w:val="clear" w:color="auto" w:fill="auto"/>
            <w:vAlign w:val="center"/>
          </w:tcPr>
          <w:p w14:paraId="5E3C4386" w14:textId="77777777" w:rsidR="009F7F8A" w:rsidRPr="00470E23" w:rsidRDefault="009F7F8A" w:rsidP="009F7F8A">
            <w:pPr>
              <w:rPr>
                <w:rFonts w:eastAsia="SimSun"/>
                <w:sz w:val="22"/>
              </w:rPr>
            </w:pPr>
            <w:r w:rsidRPr="00470E23">
              <w:rPr>
                <w:rFonts w:eastAsia="SimSun"/>
                <w:sz w:val="22"/>
              </w:rPr>
              <w:t>5.3.1.10</w:t>
            </w:r>
          </w:p>
        </w:tc>
        <w:tc>
          <w:tcPr>
            <w:tcW w:w="466" w:type="pct"/>
            <w:shd w:val="clear" w:color="auto" w:fill="auto"/>
            <w:vAlign w:val="center"/>
          </w:tcPr>
          <w:p w14:paraId="48F74931" w14:textId="77777777" w:rsidR="009F7F8A" w:rsidRPr="00470E23" w:rsidRDefault="009F7F8A" w:rsidP="009F7F8A">
            <w:pPr>
              <w:rPr>
                <w:rFonts w:eastAsia="SimSun"/>
                <w:sz w:val="22"/>
              </w:rPr>
            </w:pPr>
            <w:r w:rsidRPr="00470E23">
              <w:rPr>
                <w:rFonts w:eastAsia="SimSun"/>
                <w:sz w:val="22"/>
              </w:rPr>
              <w:t>-</w:t>
            </w:r>
          </w:p>
        </w:tc>
        <w:tc>
          <w:tcPr>
            <w:tcW w:w="444" w:type="pct"/>
            <w:shd w:val="clear" w:color="auto" w:fill="auto"/>
            <w:vAlign w:val="center"/>
          </w:tcPr>
          <w:p w14:paraId="51BFAAA7" w14:textId="77777777" w:rsidR="009F7F8A" w:rsidRPr="00470E23" w:rsidRDefault="009F7F8A" w:rsidP="009F7F8A">
            <w:pPr>
              <w:rPr>
                <w:rFonts w:eastAsia="SimSun"/>
                <w:sz w:val="22"/>
              </w:rPr>
            </w:pPr>
            <w:r w:rsidRPr="00470E23">
              <w:rPr>
                <w:rFonts w:eastAsia="SimSun"/>
                <w:sz w:val="22"/>
              </w:rPr>
              <w:t>5.3.1.4</w:t>
            </w:r>
          </w:p>
        </w:tc>
        <w:tc>
          <w:tcPr>
            <w:tcW w:w="334" w:type="pct"/>
            <w:shd w:val="clear" w:color="auto" w:fill="auto"/>
            <w:vAlign w:val="center"/>
          </w:tcPr>
          <w:p w14:paraId="410297F1" w14:textId="77777777" w:rsidR="009F7F8A" w:rsidRPr="00470E23" w:rsidRDefault="009F7F8A" w:rsidP="009F7F8A">
            <w:pPr>
              <w:rPr>
                <w:rFonts w:eastAsia="SimSun"/>
                <w:sz w:val="22"/>
              </w:rPr>
            </w:pPr>
            <w:r w:rsidRPr="00470E23">
              <w:rPr>
                <w:rFonts w:eastAsia="SimSun"/>
                <w:sz w:val="22"/>
              </w:rPr>
              <w:t>-</w:t>
            </w:r>
          </w:p>
        </w:tc>
        <w:tc>
          <w:tcPr>
            <w:tcW w:w="334" w:type="pct"/>
            <w:shd w:val="clear" w:color="auto" w:fill="auto"/>
            <w:vAlign w:val="center"/>
          </w:tcPr>
          <w:p w14:paraId="1B8BD923" w14:textId="77777777" w:rsidR="009F7F8A" w:rsidRPr="00470E23" w:rsidRDefault="009F7F8A" w:rsidP="009F7F8A">
            <w:pPr>
              <w:rPr>
                <w:rFonts w:eastAsia="SimSun"/>
                <w:sz w:val="22"/>
              </w:rPr>
            </w:pPr>
            <w:r w:rsidRPr="00470E23">
              <w:rPr>
                <w:rFonts w:eastAsia="SimSun"/>
                <w:sz w:val="22"/>
              </w:rPr>
              <w:t>-</w:t>
            </w:r>
          </w:p>
        </w:tc>
        <w:tc>
          <w:tcPr>
            <w:tcW w:w="334" w:type="pct"/>
            <w:shd w:val="clear" w:color="auto" w:fill="auto"/>
            <w:vAlign w:val="center"/>
          </w:tcPr>
          <w:p w14:paraId="5F15CC5C" w14:textId="77777777" w:rsidR="009F7F8A" w:rsidRPr="00470E23" w:rsidRDefault="009F7F8A" w:rsidP="009F7F8A">
            <w:pPr>
              <w:rPr>
                <w:rFonts w:eastAsia="SimSun"/>
                <w:sz w:val="22"/>
              </w:rPr>
            </w:pPr>
            <w:r w:rsidRPr="00470E23">
              <w:rPr>
                <w:rFonts w:eastAsia="SimSun"/>
                <w:sz w:val="22"/>
              </w:rPr>
              <w:t>-</w:t>
            </w:r>
          </w:p>
        </w:tc>
        <w:tc>
          <w:tcPr>
            <w:tcW w:w="425" w:type="pct"/>
            <w:shd w:val="clear" w:color="auto" w:fill="auto"/>
            <w:vAlign w:val="center"/>
          </w:tcPr>
          <w:p w14:paraId="624DCB8C" w14:textId="77777777" w:rsidR="009F7F8A" w:rsidRPr="00470E23" w:rsidRDefault="009F7F8A" w:rsidP="009F7F8A">
            <w:pPr>
              <w:rPr>
                <w:rFonts w:eastAsia="SimSun"/>
                <w:sz w:val="22"/>
              </w:rPr>
            </w:pPr>
            <w:r w:rsidRPr="00470E23">
              <w:rPr>
                <w:rFonts w:eastAsia="SimSun"/>
                <w:sz w:val="22"/>
              </w:rPr>
              <w:t>-</w:t>
            </w:r>
          </w:p>
        </w:tc>
        <w:tc>
          <w:tcPr>
            <w:tcW w:w="422" w:type="pct"/>
            <w:vAlign w:val="center"/>
          </w:tcPr>
          <w:p w14:paraId="5D86A9CD" w14:textId="77777777" w:rsidR="009F7F8A" w:rsidRPr="00470E23" w:rsidRDefault="009F7F8A" w:rsidP="009F7F8A">
            <w:pPr>
              <w:rPr>
                <w:rFonts w:eastAsia="SimSun"/>
                <w:sz w:val="22"/>
              </w:rPr>
            </w:pPr>
          </w:p>
        </w:tc>
      </w:tr>
      <w:tr w:rsidR="009F7F8A" w:rsidRPr="00470E23" w14:paraId="66DF230F" w14:textId="77777777" w:rsidTr="009F7F8A">
        <w:trPr>
          <w:cantSplit/>
          <w:trHeight w:val="1020"/>
        </w:trPr>
        <w:tc>
          <w:tcPr>
            <w:tcW w:w="248" w:type="pct"/>
            <w:vMerge/>
            <w:shd w:val="clear" w:color="auto" w:fill="D9D9D9"/>
            <w:vAlign w:val="center"/>
          </w:tcPr>
          <w:p w14:paraId="643AB129" w14:textId="77777777" w:rsidR="009F7F8A" w:rsidRPr="00470E23" w:rsidRDefault="009F7F8A" w:rsidP="009F7F8A">
            <w:pPr>
              <w:rPr>
                <w:rFonts w:eastAsia="SimSun"/>
                <w:sz w:val="22"/>
              </w:rPr>
            </w:pPr>
          </w:p>
        </w:tc>
        <w:tc>
          <w:tcPr>
            <w:tcW w:w="369" w:type="pct"/>
            <w:tcBorders>
              <w:bottom w:val="single" w:sz="4" w:space="0" w:color="00000A"/>
            </w:tcBorders>
            <w:shd w:val="clear" w:color="auto" w:fill="D9D9D9"/>
            <w:vAlign w:val="center"/>
          </w:tcPr>
          <w:p w14:paraId="3AAB61EA" w14:textId="77777777" w:rsidR="009F7F8A" w:rsidRPr="00470E23" w:rsidRDefault="009F7F8A" w:rsidP="009F7F8A">
            <w:pPr>
              <w:rPr>
                <w:rFonts w:eastAsia="SimSun"/>
                <w:sz w:val="22"/>
              </w:rPr>
            </w:pPr>
            <w:r w:rsidRPr="00470E23">
              <w:rPr>
                <w:rFonts w:eastAsia="SimSun"/>
                <w:sz w:val="22"/>
              </w:rPr>
              <w:t>hATG</w:t>
            </w:r>
          </w:p>
        </w:tc>
        <w:tc>
          <w:tcPr>
            <w:tcW w:w="321" w:type="pct"/>
            <w:tcBorders>
              <w:bottom w:val="single" w:sz="4" w:space="0" w:color="00000A"/>
            </w:tcBorders>
            <w:shd w:val="clear" w:color="auto" w:fill="D9D9D9"/>
            <w:vAlign w:val="center"/>
          </w:tcPr>
          <w:p w14:paraId="5BD816B0" w14:textId="77777777" w:rsidR="009F7F8A" w:rsidRPr="00470E23" w:rsidRDefault="009F7F8A" w:rsidP="009F7F8A">
            <w:pPr>
              <w:rPr>
                <w:rFonts w:eastAsia="SimSun"/>
                <w:sz w:val="22"/>
              </w:rPr>
            </w:pPr>
            <w:r w:rsidRPr="00470E23">
              <w:rPr>
                <w:rFonts w:eastAsia="SimSun"/>
                <w:sz w:val="22"/>
              </w:rPr>
              <w:t>CSA</w:t>
            </w:r>
          </w:p>
        </w:tc>
        <w:tc>
          <w:tcPr>
            <w:tcW w:w="455" w:type="pct"/>
            <w:shd w:val="clear" w:color="auto" w:fill="D9D9D9"/>
            <w:vAlign w:val="center"/>
          </w:tcPr>
          <w:p w14:paraId="0BEB3F1F" w14:textId="77777777" w:rsidR="009F7F8A" w:rsidRPr="00470E23" w:rsidRDefault="009F7F8A" w:rsidP="009F7F8A">
            <w:pPr>
              <w:rPr>
                <w:rFonts w:eastAsia="SimSun"/>
                <w:sz w:val="22"/>
              </w:rPr>
            </w:pPr>
            <w:r w:rsidRPr="00470E23">
              <w:rPr>
                <w:rFonts w:eastAsia="SimSun"/>
                <w:sz w:val="22"/>
              </w:rPr>
              <w:t>MMF45</w:t>
            </w:r>
          </w:p>
        </w:tc>
        <w:tc>
          <w:tcPr>
            <w:tcW w:w="444" w:type="pct"/>
            <w:tcBorders>
              <w:left w:val="single" w:sz="4" w:space="0" w:color="00000A"/>
            </w:tcBorders>
            <w:shd w:val="clear" w:color="auto" w:fill="auto"/>
            <w:vAlign w:val="center"/>
          </w:tcPr>
          <w:p w14:paraId="5AE1524A" w14:textId="77777777" w:rsidR="009F7F8A" w:rsidRPr="00470E23" w:rsidRDefault="009F7F8A" w:rsidP="009F7F8A">
            <w:pPr>
              <w:rPr>
                <w:rFonts w:eastAsia="SimSun"/>
                <w:sz w:val="22"/>
              </w:rPr>
            </w:pPr>
            <w:r w:rsidRPr="00470E23">
              <w:rPr>
                <w:rFonts w:eastAsia="SimSun"/>
                <w:sz w:val="22"/>
              </w:rPr>
              <w:t>-</w:t>
            </w:r>
          </w:p>
        </w:tc>
        <w:tc>
          <w:tcPr>
            <w:tcW w:w="404" w:type="pct"/>
            <w:shd w:val="clear" w:color="auto" w:fill="auto"/>
            <w:vAlign w:val="center"/>
          </w:tcPr>
          <w:p w14:paraId="111ECC68" w14:textId="77777777" w:rsidR="009F7F8A" w:rsidRPr="00470E23" w:rsidRDefault="009F7F8A" w:rsidP="009F7F8A">
            <w:pPr>
              <w:rPr>
                <w:rFonts w:eastAsia="SimSun"/>
                <w:sz w:val="22"/>
              </w:rPr>
            </w:pPr>
            <w:r w:rsidRPr="00470E23">
              <w:rPr>
                <w:rFonts w:eastAsia="SimSun"/>
                <w:sz w:val="22"/>
              </w:rPr>
              <w:t>-</w:t>
            </w:r>
          </w:p>
        </w:tc>
        <w:tc>
          <w:tcPr>
            <w:tcW w:w="466" w:type="pct"/>
            <w:shd w:val="clear" w:color="auto" w:fill="auto"/>
            <w:vAlign w:val="center"/>
          </w:tcPr>
          <w:p w14:paraId="65947E5B" w14:textId="77777777" w:rsidR="009F7F8A" w:rsidRPr="00470E23" w:rsidRDefault="009F7F8A" w:rsidP="009F7F8A">
            <w:pPr>
              <w:rPr>
                <w:rFonts w:eastAsia="SimSun"/>
                <w:sz w:val="22"/>
              </w:rPr>
            </w:pPr>
            <w:r w:rsidRPr="00470E23">
              <w:rPr>
                <w:rFonts w:eastAsia="SimSun"/>
                <w:sz w:val="22"/>
              </w:rPr>
              <w:t>-</w:t>
            </w:r>
          </w:p>
        </w:tc>
        <w:tc>
          <w:tcPr>
            <w:tcW w:w="444" w:type="pct"/>
            <w:shd w:val="clear" w:color="auto" w:fill="auto"/>
            <w:vAlign w:val="center"/>
          </w:tcPr>
          <w:p w14:paraId="0CC05B54" w14:textId="77777777" w:rsidR="009F7F8A" w:rsidRPr="00470E23" w:rsidRDefault="009F7F8A" w:rsidP="009F7F8A">
            <w:pPr>
              <w:rPr>
                <w:rFonts w:eastAsia="SimSun"/>
                <w:sz w:val="22"/>
              </w:rPr>
            </w:pPr>
            <w:r w:rsidRPr="00470E23">
              <w:rPr>
                <w:rFonts w:eastAsia="SimSun"/>
                <w:sz w:val="22"/>
              </w:rPr>
              <w:t>5.3.1.3</w:t>
            </w:r>
          </w:p>
        </w:tc>
        <w:tc>
          <w:tcPr>
            <w:tcW w:w="334" w:type="pct"/>
            <w:shd w:val="clear" w:color="auto" w:fill="auto"/>
            <w:vAlign w:val="center"/>
          </w:tcPr>
          <w:p w14:paraId="4A7C5911" w14:textId="77777777" w:rsidR="009F7F8A" w:rsidRPr="00470E23" w:rsidRDefault="009F7F8A" w:rsidP="009F7F8A">
            <w:pPr>
              <w:rPr>
                <w:rFonts w:eastAsia="SimSun"/>
                <w:sz w:val="22"/>
              </w:rPr>
            </w:pPr>
            <w:r w:rsidRPr="00470E23">
              <w:rPr>
                <w:rFonts w:eastAsia="SimSun"/>
                <w:sz w:val="22"/>
              </w:rPr>
              <w:t>-</w:t>
            </w:r>
          </w:p>
        </w:tc>
        <w:tc>
          <w:tcPr>
            <w:tcW w:w="334" w:type="pct"/>
            <w:shd w:val="clear" w:color="auto" w:fill="auto"/>
            <w:vAlign w:val="center"/>
          </w:tcPr>
          <w:p w14:paraId="1F71B9D1" w14:textId="77777777" w:rsidR="009F7F8A" w:rsidRPr="00470E23" w:rsidRDefault="009F7F8A" w:rsidP="009F7F8A">
            <w:pPr>
              <w:rPr>
                <w:rFonts w:eastAsia="SimSun"/>
                <w:sz w:val="22"/>
              </w:rPr>
            </w:pPr>
            <w:r w:rsidRPr="00470E23">
              <w:rPr>
                <w:rFonts w:eastAsia="SimSun"/>
                <w:sz w:val="22"/>
              </w:rPr>
              <w:t>-</w:t>
            </w:r>
          </w:p>
        </w:tc>
        <w:tc>
          <w:tcPr>
            <w:tcW w:w="334" w:type="pct"/>
            <w:shd w:val="clear" w:color="auto" w:fill="auto"/>
            <w:vAlign w:val="center"/>
          </w:tcPr>
          <w:p w14:paraId="68F25C31" w14:textId="77777777" w:rsidR="009F7F8A" w:rsidRPr="00470E23" w:rsidRDefault="009F7F8A" w:rsidP="009F7F8A">
            <w:pPr>
              <w:rPr>
                <w:rFonts w:eastAsia="SimSun"/>
                <w:sz w:val="22"/>
              </w:rPr>
            </w:pPr>
            <w:r w:rsidRPr="00470E23">
              <w:rPr>
                <w:rFonts w:eastAsia="SimSun"/>
                <w:sz w:val="22"/>
              </w:rPr>
              <w:t>-</w:t>
            </w:r>
          </w:p>
        </w:tc>
        <w:tc>
          <w:tcPr>
            <w:tcW w:w="425" w:type="pct"/>
            <w:shd w:val="clear" w:color="auto" w:fill="auto"/>
            <w:vAlign w:val="center"/>
          </w:tcPr>
          <w:p w14:paraId="34C7B8C4" w14:textId="77777777" w:rsidR="009F7F8A" w:rsidRPr="00470E23" w:rsidRDefault="009F7F8A" w:rsidP="009F7F8A">
            <w:pPr>
              <w:rPr>
                <w:rFonts w:eastAsia="SimSun"/>
                <w:sz w:val="22"/>
              </w:rPr>
            </w:pPr>
            <w:r w:rsidRPr="00470E23">
              <w:rPr>
                <w:rFonts w:eastAsia="SimSun"/>
                <w:sz w:val="22"/>
              </w:rPr>
              <w:t>-</w:t>
            </w:r>
          </w:p>
        </w:tc>
        <w:tc>
          <w:tcPr>
            <w:tcW w:w="422" w:type="pct"/>
            <w:vAlign w:val="center"/>
          </w:tcPr>
          <w:p w14:paraId="6D07FF6E" w14:textId="77777777" w:rsidR="009F7F8A" w:rsidRPr="00470E23" w:rsidRDefault="009F7F8A" w:rsidP="009F7F8A">
            <w:pPr>
              <w:rPr>
                <w:rFonts w:eastAsia="SimSun"/>
                <w:sz w:val="22"/>
              </w:rPr>
            </w:pPr>
          </w:p>
        </w:tc>
      </w:tr>
      <w:tr w:rsidR="009F7F8A" w:rsidRPr="00470E23" w14:paraId="3881056B" w14:textId="77777777" w:rsidTr="009F7F8A">
        <w:trPr>
          <w:cantSplit/>
          <w:trHeight w:val="1020"/>
        </w:trPr>
        <w:tc>
          <w:tcPr>
            <w:tcW w:w="248" w:type="pct"/>
            <w:vMerge/>
            <w:shd w:val="clear" w:color="auto" w:fill="D9D9D9"/>
            <w:vAlign w:val="center"/>
          </w:tcPr>
          <w:p w14:paraId="1950D948" w14:textId="77777777" w:rsidR="009F7F8A" w:rsidRPr="00470E23" w:rsidRDefault="009F7F8A" w:rsidP="009F7F8A">
            <w:pPr>
              <w:rPr>
                <w:rFonts w:eastAsia="SimSun"/>
                <w:sz w:val="22"/>
              </w:rPr>
            </w:pPr>
          </w:p>
        </w:tc>
        <w:tc>
          <w:tcPr>
            <w:tcW w:w="369" w:type="pct"/>
            <w:tcBorders>
              <w:top w:val="single" w:sz="4" w:space="0" w:color="00000A"/>
              <w:bottom w:val="single" w:sz="4" w:space="0" w:color="00000A"/>
            </w:tcBorders>
            <w:shd w:val="clear" w:color="auto" w:fill="D9D9D9"/>
            <w:vAlign w:val="center"/>
          </w:tcPr>
          <w:p w14:paraId="4DAC6909" w14:textId="77777777" w:rsidR="009F7F8A" w:rsidRPr="00470E23" w:rsidRDefault="009F7F8A" w:rsidP="009F7F8A">
            <w:pPr>
              <w:rPr>
                <w:rFonts w:eastAsia="SimSun"/>
                <w:sz w:val="22"/>
              </w:rPr>
            </w:pPr>
            <w:r w:rsidRPr="00470E23">
              <w:rPr>
                <w:rFonts w:eastAsia="SimSun"/>
                <w:sz w:val="22"/>
              </w:rPr>
              <w:t>-</w:t>
            </w:r>
          </w:p>
        </w:tc>
        <w:tc>
          <w:tcPr>
            <w:tcW w:w="321" w:type="pct"/>
            <w:tcBorders>
              <w:top w:val="single" w:sz="4" w:space="0" w:color="00000A"/>
              <w:bottom w:val="single" w:sz="4" w:space="0" w:color="00000A"/>
            </w:tcBorders>
            <w:shd w:val="clear" w:color="auto" w:fill="D9D9D9"/>
            <w:vAlign w:val="center"/>
          </w:tcPr>
          <w:p w14:paraId="6A465BDA" w14:textId="77777777" w:rsidR="009F7F8A" w:rsidRPr="00470E23" w:rsidRDefault="009F7F8A" w:rsidP="009F7F8A">
            <w:pPr>
              <w:rPr>
                <w:rFonts w:eastAsia="SimSun"/>
                <w:sz w:val="22"/>
              </w:rPr>
            </w:pPr>
            <w:r w:rsidRPr="00470E23">
              <w:rPr>
                <w:rFonts w:eastAsia="SimSun"/>
                <w:sz w:val="22"/>
              </w:rPr>
              <w:t>CSA</w:t>
            </w:r>
          </w:p>
        </w:tc>
        <w:tc>
          <w:tcPr>
            <w:tcW w:w="455" w:type="pct"/>
            <w:shd w:val="clear" w:color="auto" w:fill="D9D9D9"/>
            <w:vAlign w:val="center"/>
          </w:tcPr>
          <w:p w14:paraId="283EB561" w14:textId="77777777" w:rsidR="009F7F8A" w:rsidRPr="00470E23" w:rsidRDefault="009F7F8A" w:rsidP="009F7F8A">
            <w:pPr>
              <w:rPr>
                <w:rFonts w:eastAsia="SimSun"/>
                <w:sz w:val="22"/>
              </w:rPr>
            </w:pPr>
            <w:r w:rsidRPr="00470E23">
              <w:rPr>
                <w:rFonts w:eastAsia="SimSun"/>
                <w:sz w:val="22"/>
              </w:rPr>
              <w:t>MMF45</w:t>
            </w:r>
          </w:p>
        </w:tc>
        <w:tc>
          <w:tcPr>
            <w:tcW w:w="444" w:type="pct"/>
            <w:tcBorders>
              <w:left w:val="single" w:sz="4" w:space="0" w:color="00000A"/>
            </w:tcBorders>
            <w:shd w:val="clear" w:color="auto" w:fill="auto"/>
            <w:vAlign w:val="center"/>
          </w:tcPr>
          <w:p w14:paraId="08C11565" w14:textId="77777777" w:rsidR="009F7F8A" w:rsidRPr="00470E23" w:rsidRDefault="009F7F8A" w:rsidP="009F7F8A">
            <w:pPr>
              <w:rPr>
                <w:rFonts w:eastAsia="SimSun"/>
                <w:sz w:val="22"/>
              </w:rPr>
            </w:pPr>
            <w:r w:rsidRPr="00470E23">
              <w:rPr>
                <w:rFonts w:eastAsia="SimSun"/>
                <w:sz w:val="22"/>
              </w:rPr>
              <w:t>5.3.1.2</w:t>
            </w:r>
          </w:p>
        </w:tc>
        <w:tc>
          <w:tcPr>
            <w:tcW w:w="404" w:type="pct"/>
            <w:shd w:val="clear" w:color="auto" w:fill="auto"/>
            <w:vAlign w:val="center"/>
          </w:tcPr>
          <w:p w14:paraId="725E7E48" w14:textId="77777777" w:rsidR="009F7F8A" w:rsidRPr="00470E23" w:rsidRDefault="009F7F8A" w:rsidP="009F7F8A">
            <w:pPr>
              <w:rPr>
                <w:rFonts w:eastAsia="SimSun"/>
                <w:sz w:val="22"/>
              </w:rPr>
            </w:pPr>
            <w:r w:rsidRPr="00470E23">
              <w:rPr>
                <w:rFonts w:eastAsia="SimSun"/>
                <w:sz w:val="22"/>
              </w:rPr>
              <w:t>5.3.1.11</w:t>
            </w:r>
          </w:p>
        </w:tc>
        <w:tc>
          <w:tcPr>
            <w:tcW w:w="466" w:type="pct"/>
            <w:shd w:val="clear" w:color="auto" w:fill="auto"/>
            <w:vAlign w:val="center"/>
          </w:tcPr>
          <w:p w14:paraId="2E1F9202" w14:textId="77777777" w:rsidR="009F7F8A" w:rsidRPr="00470E23" w:rsidRDefault="009F7F8A" w:rsidP="009F7F8A">
            <w:pPr>
              <w:rPr>
                <w:rFonts w:eastAsia="SimSun"/>
                <w:sz w:val="22"/>
              </w:rPr>
            </w:pPr>
            <w:r w:rsidRPr="00470E23">
              <w:rPr>
                <w:rFonts w:eastAsia="SimSun"/>
                <w:sz w:val="22"/>
              </w:rPr>
              <w:t>5.3.1.12</w:t>
            </w:r>
          </w:p>
        </w:tc>
        <w:tc>
          <w:tcPr>
            <w:tcW w:w="444" w:type="pct"/>
            <w:shd w:val="clear" w:color="auto" w:fill="auto"/>
            <w:vAlign w:val="center"/>
          </w:tcPr>
          <w:p w14:paraId="0C312854" w14:textId="77777777" w:rsidR="009F7F8A" w:rsidRPr="00470E23" w:rsidRDefault="009F7F8A" w:rsidP="009F7F8A">
            <w:pPr>
              <w:rPr>
                <w:rFonts w:eastAsia="SimSun"/>
                <w:sz w:val="22"/>
              </w:rPr>
            </w:pPr>
            <w:r w:rsidRPr="00470E23">
              <w:rPr>
                <w:rFonts w:eastAsia="SimSun"/>
                <w:sz w:val="22"/>
              </w:rPr>
              <w:t>5.3.1.5</w:t>
            </w:r>
          </w:p>
        </w:tc>
        <w:tc>
          <w:tcPr>
            <w:tcW w:w="334" w:type="pct"/>
            <w:shd w:val="clear" w:color="auto" w:fill="auto"/>
            <w:vAlign w:val="center"/>
          </w:tcPr>
          <w:p w14:paraId="54E4CA93" w14:textId="77777777" w:rsidR="009F7F8A" w:rsidRPr="00470E23" w:rsidRDefault="009F7F8A" w:rsidP="009F7F8A">
            <w:pPr>
              <w:rPr>
                <w:rFonts w:eastAsia="SimSun"/>
                <w:sz w:val="22"/>
              </w:rPr>
            </w:pPr>
          </w:p>
        </w:tc>
        <w:tc>
          <w:tcPr>
            <w:tcW w:w="334" w:type="pct"/>
            <w:shd w:val="clear" w:color="auto" w:fill="auto"/>
            <w:vAlign w:val="center"/>
          </w:tcPr>
          <w:p w14:paraId="683C3BBF" w14:textId="77777777" w:rsidR="009F7F8A" w:rsidRPr="00470E23" w:rsidRDefault="009F7F8A" w:rsidP="009F7F8A">
            <w:pPr>
              <w:rPr>
                <w:rFonts w:eastAsia="SimSun"/>
                <w:sz w:val="22"/>
              </w:rPr>
            </w:pPr>
          </w:p>
        </w:tc>
        <w:tc>
          <w:tcPr>
            <w:tcW w:w="334" w:type="pct"/>
            <w:shd w:val="clear" w:color="auto" w:fill="auto"/>
            <w:vAlign w:val="center"/>
          </w:tcPr>
          <w:p w14:paraId="69CD0020" w14:textId="77777777" w:rsidR="009F7F8A" w:rsidRPr="00470E23" w:rsidRDefault="009F7F8A" w:rsidP="009F7F8A">
            <w:pPr>
              <w:rPr>
                <w:rFonts w:eastAsia="SimSun"/>
                <w:sz w:val="22"/>
              </w:rPr>
            </w:pPr>
          </w:p>
        </w:tc>
        <w:tc>
          <w:tcPr>
            <w:tcW w:w="425" w:type="pct"/>
            <w:shd w:val="clear" w:color="auto" w:fill="auto"/>
            <w:vAlign w:val="center"/>
          </w:tcPr>
          <w:p w14:paraId="788AC17C" w14:textId="77777777" w:rsidR="009F7F8A" w:rsidRPr="00470E23" w:rsidRDefault="009F7F8A" w:rsidP="009F7F8A">
            <w:pPr>
              <w:rPr>
                <w:rFonts w:eastAsia="SimSun"/>
                <w:sz w:val="22"/>
              </w:rPr>
            </w:pPr>
          </w:p>
        </w:tc>
        <w:tc>
          <w:tcPr>
            <w:tcW w:w="422" w:type="pct"/>
            <w:vAlign w:val="center"/>
          </w:tcPr>
          <w:p w14:paraId="7E2DA788" w14:textId="77777777" w:rsidR="009F7F8A" w:rsidRPr="00470E23" w:rsidRDefault="009F7F8A" w:rsidP="009F7F8A">
            <w:pPr>
              <w:rPr>
                <w:rFonts w:eastAsia="SimSun"/>
                <w:sz w:val="22"/>
              </w:rPr>
            </w:pPr>
          </w:p>
        </w:tc>
      </w:tr>
      <w:tr w:rsidR="009F7F8A" w:rsidRPr="00470E23" w14:paraId="7D803B69" w14:textId="77777777" w:rsidTr="009F7F8A">
        <w:trPr>
          <w:cantSplit/>
          <w:trHeight w:val="1020"/>
        </w:trPr>
        <w:tc>
          <w:tcPr>
            <w:tcW w:w="248" w:type="pct"/>
            <w:vMerge/>
            <w:tcBorders>
              <w:bottom w:val="single" w:sz="4" w:space="0" w:color="00000A"/>
            </w:tcBorders>
            <w:shd w:val="clear" w:color="auto" w:fill="D9D9D9"/>
            <w:vAlign w:val="center"/>
          </w:tcPr>
          <w:p w14:paraId="48B99AD5" w14:textId="77777777" w:rsidR="009F7F8A" w:rsidRPr="00470E23" w:rsidRDefault="009F7F8A" w:rsidP="009F7F8A">
            <w:pPr>
              <w:rPr>
                <w:rFonts w:eastAsia="SimSun"/>
                <w:sz w:val="22"/>
              </w:rPr>
            </w:pPr>
          </w:p>
        </w:tc>
        <w:tc>
          <w:tcPr>
            <w:tcW w:w="369" w:type="pct"/>
            <w:tcBorders>
              <w:top w:val="single" w:sz="4" w:space="0" w:color="00000A"/>
            </w:tcBorders>
            <w:shd w:val="clear" w:color="auto" w:fill="D9D9D9"/>
            <w:vAlign w:val="center"/>
          </w:tcPr>
          <w:p w14:paraId="1375C9BA" w14:textId="77777777" w:rsidR="009F7F8A" w:rsidRPr="00470E23" w:rsidRDefault="009F7F8A" w:rsidP="009F7F8A">
            <w:pPr>
              <w:rPr>
                <w:rFonts w:eastAsia="SimSun"/>
                <w:sz w:val="22"/>
              </w:rPr>
            </w:pPr>
            <w:r w:rsidRPr="00470E23">
              <w:rPr>
                <w:rFonts w:eastAsia="SimSun"/>
                <w:sz w:val="22"/>
              </w:rPr>
              <w:t>-</w:t>
            </w:r>
          </w:p>
        </w:tc>
        <w:tc>
          <w:tcPr>
            <w:tcW w:w="321" w:type="pct"/>
            <w:tcBorders>
              <w:top w:val="single" w:sz="4" w:space="0" w:color="00000A"/>
            </w:tcBorders>
            <w:shd w:val="clear" w:color="auto" w:fill="D9D9D9"/>
            <w:vAlign w:val="center"/>
          </w:tcPr>
          <w:p w14:paraId="28C8B113" w14:textId="77777777" w:rsidR="009F7F8A" w:rsidRPr="00470E23" w:rsidRDefault="009F7F8A" w:rsidP="009F7F8A">
            <w:pPr>
              <w:rPr>
                <w:rFonts w:eastAsia="SimSun"/>
                <w:sz w:val="22"/>
              </w:rPr>
            </w:pPr>
            <w:r w:rsidRPr="00470E23">
              <w:rPr>
                <w:rFonts w:eastAsia="SimSun"/>
                <w:sz w:val="22"/>
              </w:rPr>
              <w:t>Tx</w:t>
            </w:r>
          </w:p>
        </w:tc>
        <w:tc>
          <w:tcPr>
            <w:tcW w:w="455" w:type="pct"/>
            <w:shd w:val="clear" w:color="auto" w:fill="D9D9D9"/>
            <w:vAlign w:val="center"/>
          </w:tcPr>
          <w:p w14:paraId="363DEAD6" w14:textId="77777777" w:rsidR="009F7F8A" w:rsidRPr="00470E23" w:rsidRDefault="009F7F8A" w:rsidP="009F7F8A">
            <w:pPr>
              <w:rPr>
                <w:rFonts w:eastAsia="SimSun"/>
                <w:sz w:val="22"/>
              </w:rPr>
            </w:pPr>
            <w:r w:rsidRPr="00470E23">
              <w:rPr>
                <w:rFonts w:eastAsia="SimSun"/>
                <w:sz w:val="22"/>
              </w:rPr>
              <w:t>MMF45</w:t>
            </w:r>
          </w:p>
        </w:tc>
        <w:tc>
          <w:tcPr>
            <w:tcW w:w="444" w:type="pct"/>
            <w:tcBorders>
              <w:left w:val="single" w:sz="4" w:space="0" w:color="00000A"/>
            </w:tcBorders>
            <w:shd w:val="clear" w:color="auto" w:fill="auto"/>
            <w:vAlign w:val="center"/>
          </w:tcPr>
          <w:p w14:paraId="0066F1C8" w14:textId="77777777" w:rsidR="009F7F8A" w:rsidRPr="00470E23" w:rsidRDefault="009F7F8A" w:rsidP="009F7F8A">
            <w:pPr>
              <w:rPr>
                <w:rFonts w:eastAsia="SimSun"/>
                <w:sz w:val="22"/>
              </w:rPr>
            </w:pPr>
            <w:r w:rsidRPr="00470E23">
              <w:rPr>
                <w:rFonts w:eastAsia="SimSun"/>
                <w:sz w:val="22"/>
              </w:rPr>
              <w:t>-</w:t>
            </w:r>
          </w:p>
        </w:tc>
        <w:tc>
          <w:tcPr>
            <w:tcW w:w="404" w:type="pct"/>
            <w:shd w:val="clear" w:color="auto" w:fill="auto"/>
            <w:vAlign w:val="center"/>
          </w:tcPr>
          <w:p w14:paraId="08563790" w14:textId="77777777" w:rsidR="009F7F8A" w:rsidRPr="00470E23" w:rsidRDefault="009F7F8A" w:rsidP="009F7F8A">
            <w:pPr>
              <w:rPr>
                <w:rFonts w:eastAsia="SimSun"/>
                <w:sz w:val="22"/>
              </w:rPr>
            </w:pPr>
            <w:r w:rsidRPr="00470E23">
              <w:rPr>
                <w:rFonts w:eastAsia="SimSun"/>
                <w:sz w:val="22"/>
              </w:rPr>
              <w:t>-</w:t>
            </w:r>
          </w:p>
        </w:tc>
        <w:tc>
          <w:tcPr>
            <w:tcW w:w="466" w:type="pct"/>
            <w:shd w:val="clear" w:color="auto" w:fill="auto"/>
            <w:vAlign w:val="center"/>
          </w:tcPr>
          <w:p w14:paraId="6E9E41BD" w14:textId="77777777" w:rsidR="009F7F8A" w:rsidRPr="00470E23" w:rsidRDefault="009F7F8A" w:rsidP="009F7F8A">
            <w:pPr>
              <w:rPr>
                <w:rFonts w:eastAsia="SimSun"/>
                <w:sz w:val="22"/>
              </w:rPr>
            </w:pPr>
            <w:r w:rsidRPr="00470E23">
              <w:rPr>
                <w:rFonts w:eastAsia="SimSun"/>
                <w:sz w:val="22"/>
              </w:rPr>
              <w:t>-</w:t>
            </w:r>
          </w:p>
        </w:tc>
        <w:tc>
          <w:tcPr>
            <w:tcW w:w="444" w:type="pct"/>
            <w:shd w:val="clear" w:color="auto" w:fill="auto"/>
            <w:vAlign w:val="center"/>
          </w:tcPr>
          <w:p w14:paraId="484CE13E" w14:textId="77777777" w:rsidR="009F7F8A" w:rsidRPr="00470E23" w:rsidRDefault="009F7F8A" w:rsidP="009F7F8A">
            <w:pPr>
              <w:rPr>
                <w:rFonts w:eastAsia="SimSun"/>
                <w:sz w:val="22"/>
              </w:rPr>
            </w:pPr>
            <w:r w:rsidRPr="00470E23">
              <w:rPr>
                <w:rFonts w:eastAsia="SimSun"/>
                <w:sz w:val="22"/>
              </w:rPr>
              <w:t>5.3.1.6</w:t>
            </w:r>
          </w:p>
        </w:tc>
        <w:tc>
          <w:tcPr>
            <w:tcW w:w="334" w:type="pct"/>
            <w:shd w:val="clear" w:color="auto" w:fill="auto"/>
            <w:vAlign w:val="center"/>
          </w:tcPr>
          <w:p w14:paraId="4869E050" w14:textId="77777777" w:rsidR="009F7F8A" w:rsidRPr="00470E23" w:rsidRDefault="009F7F8A" w:rsidP="009F7F8A">
            <w:pPr>
              <w:rPr>
                <w:rFonts w:eastAsia="SimSun"/>
                <w:sz w:val="22"/>
              </w:rPr>
            </w:pPr>
            <w:r w:rsidRPr="00470E23">
              <w:rPr>
                <w:rFonts w:eastAsia="SimSun"/>
                <w:sz w:val="22"/>
              </w:rPr>
              <w:t>5.3.1.7</w:t>
            </w:r>
          </w:p>
        </w:tc>
        <w:tc>
          <w:tcPr>
            <w:tcW w:w="334" w:type="pct"/>
            <w:shd w:val="clear" w:color="auto" w:fill="auto"/>
            <w:vAlign w:val="center"/>
          </w:tcPr>
          <w:p w14:paraId="20CF4045" w14:textId="77777777" w:rsidR="009F7F8A" w:rsidRPr="00470E23" w:rsidRDefault="009F7F8A" w:rsidP="009F7F8A">
            <w:pPr>
              <w:rPr>
                <w:rFonts w:eastAsia="SimSun"/>
                <w:sz w:val="22"/>
              </w:rPr>
            </w:pPr>
            <w:r w:rsidRPr="00470E23">
              <w:rPr>
                <w:rFonts w:eastAsia="SimSun"/>
                <w:sz w:val="22"/>
              </w:rPr>
              <w:t>5.3.1.8</w:t>
            </w:r>
          </w:p>
        </w:tc>
        <w:tc>
          <w:tcPr>
            <w:tcW w:w="334" w:type="pct"/>
            <w:shd w:val="clear" w:color="auto" w:fill="auto"/>
            <w:vAlign w:val="center"/>
          </w:tcPr>
          <w:p w14:paraId="49E15D6C" w14:textId="77777777" w:rsidR="009F7F8A" w:rsidRPr="00470E23" w:rsidRDefault="009F7F8A" w:rsidP="009F7F8A">
            <w:pPr>
              <w:rPr>
                <w:rFonts w:eastAsia="SimSun"/>
                <w:sz w:val="22"/>
              </w:rPr>
            </w:pPr>
            <w:r w:rsidRPr="00470E23">
              <w:rPr>
                <w:rFonts w:eastAsia="SimSun"/>
                <w:sz w:val="22"/>
              </w:rPr>
              <w:t>5.3.1.9</w:t>
            </w:r>
          </w:p>
        </w:tc>
        <w:tc>
          <w:tcPr>
            <w:tcW w:w="425" w:type="pct"/>
            <w:shd w:val="clear" w:color="auto" w:fill="auto"/>
            <w:vAlign w:val="center"/>
          </w:tcPr>
          <w:p w14:paraId="65C9E793" w14:textId="77777777" w:rsidR="009F7F8A" w:rsidRPr="00470E23" w:rsidRDefault="009F7F8A" w:rsidP="009F7F8A">
            <w:pPr>
              <w:rPr>
                <w:rFonts w:eastAsia="SimSun"/>
                <w:sz w:val="22"/>
              </w:rPr>
            </w:pPr>
            <w:r w:rsidRPr="00470E23">
              <w:rPr>
                <w:rFonts w:eastAsia="SimSun"/>
                <w:sz w:val="22"/>
              </w:rPr>
              <w:t>5.3.1.13</w:t>
            </w:r>
          </w:p>
        </w:tc>
        <w:tc>
          <w:tcPr>
            <w:tcW w:w="422" w:type="pct"/>
            <w:vAlign w:val="center"/>
          </w:tcPr>
          <w:p w14:paraId="0DC5EF76" w14:textId="77777777" w:rsidR="009F7F8A" w:rsidRPr="00470E23" w:rsidRDefault="009F7F8A" w:rsidP="009F7F8A">
            <w:pPr>
              <w:rPr>
                <w:rFonts w:eastAsia="SimSun"/>
                <w:sz w:val="22"/>
              </w:rPr>
            </w:pPr>
            <w:r w:rsidRPr="00470E23">
              <w:rPr>
                <w:rFonts w:eastAsia="SimSun"/>
                <w:sz w:val="22"/>
              </w:rPr>
              <w:t>5.3.1.14</w:t>
            </w:r>
          </w:p>
        </w:tc>
      </w:tr>
    </w:tbl>
    <w:p w14:paraId="3B74182A" w14:textId="77777777" w:rsidR="009F7F8A" w:rsidRPr="00C07B2E" w:rsidRDefault="009F7F8A" w:rsidP="009F7F8A">
      <w:pPr>
        <w:rPr>
          <w:rFonts w:eastAsia="SimSun"/>
        </w:rPr>
      </w:pPr>
    </w:p>
    <w:p w14:paraId="6FCFE82F" w14:textId="77777777" w:rsidR="009F7F8A" w:rsidRPr="00C07B2E" w:rsidRDefault="009F7F8A" w:rsidP="009F7F8A">
      <w:pPr>
        <w:rPr>
          <w:rFonts w:eastAsia="SimSun"/>
        </w:rPr>
        <w:sectPr w:rsidR="009F7F8A" w:rsidRPr="00C07B2E" w:rsidSect="009F7F8A">
          <w:headerReference w:type="default" r:id="rId17"/>
          <w:footerReference w:type="default" r:id="rId18"/>
          <w:type w:val="continuous"/>
          <w:pgSz w:w="16839" w:h="11907" w:orient="landscape" w:code="9"/>
          <w:pgMar w:top="1134" w:right="850" w:bottom="1134" w:left="1701" w:header="709" w:footer="567" w:gutter="0"/>
          <w:cols w:space="708"/>
          <w:docGrid w:linePitch="360"/>
        </w:sectPr>
      </w:pPr>
    </w:p>
    <w:p w14:paraId="160B469E" w14:textId="77777777" w:rsidR="009F7F8A" w:rsidRPr="00C07B2E" w:rsidRDefault="009F7F8A" w:rsidP="009F7F8A">
      <w:pPr>
        <w:rPr>
          <w:rFonts w:eastAsia="SimSun"/>
        </w:rPr>
      </w:pPr>
      <w:bookmarkStart w:id="189" w:name="_Toc44401226"/>
      <w:r w:rsidRPr="00EE51B1">
        <w:rPr>
          <w:rFonts w:eastAsia="SimSun"/>
        </w:rPr>
        <w:lastRenderedPageBreak/>
        <w:t>Таблица</w:t>
      </w:r>
      <w:r w:rsidRPr="00C07B2E">
        <w:rPr>
          <w:rFonts w:eastAsia="SimSun"/>
        </w:rPr>
        <w:t xml:space="preserve"> </w:t>
      </w:r>
      <w:r>
        <w:rPr>
          <w:rFonts w:eastAsia="SimSun"/>
        </w:rPr>
        <w:t>5.</w:t>
      </w:r>
      <w:r w:rsidRPr="00C07B2E">
        <w:rPr>
          <w:rFonts w:eastAsia="SimSun"/>
        </w:rPr>
        <w:t>3.1.1  – Flu150+Bu8+Thio / PT-Cy+CSA+MMF30</w:t>
      </w:r>
      <w:bookmarkEnd w:id="189"/>
    </w:p>
    <w:p w14:paraId="49A0D278" w14:textId="77777777" w:rsidR="009F7F8A" w:rsidRPr="00C07B2E" w:rsidRDefault="009F7F8A" w:rsidP="009F7F8A">
      <w:pPr>
        <w:rPr>
          <w:rFonts w:eastAsia="SimSun"/>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9F7F8A" w:rsidRPr="00AC3044" w14:paraId="66EE71D4" w14:textId="77777777" w:rsidTr="009F7F8A">
        <w:trPr>
          <w:cantSplit/>
          <w:trHeight w:val="20"/>
          <w:tblHeader/>
        </w:trPr>
        <w:tc>
          <w:tcPr>
            <w:tcW w:w="1135" w:type="dxa"/>
          </w:tcPr>
          <w:p w14:paraId="39B732D7" w14:textId="77777777" w:rsidR="009F7F8A" w:rsidRPr="006A5E21" w:rsidRDefault="009F7F8A" w:rsidP="009F7F8A">
            <w:pPr>
              <w:rPr>
                <w:rFonts w:eastAsia="SimSun"/>
              </w:rPr>
            </w:pPr>
          </w:p>
        </w:tc>
        <w:tc>
          <w:tcPr>
            <w:tcW w:w="1559" w:type="dxa"/>
          </w:tcPr>
          <w:p w14:paraId="44263580" w14:textId="77777777" w:rsidR="009F7F8A" w:rsidRPr="00AC3044" w:rsidRDefault="009F7F8A" w:rsidP="009F7F8A">
            <w:pPr>
              <w:rPr>
                <w:rFonts w:eastAsia="SimSun"/>
              </w:rPr>
            </w:pPr>
            <w:r w:rsidRPr="00AC3044">
              <w:rPr>
                <w:rFonts w:eastAsia="SimSun"/>
              </w:rPr>
              <w:t>Препарат</w:t>
            </w:r>
          </w:p>
        </w:tc>
        <w:tc>
          <w:tcPr>
            <w:tcW w:w="1418" w:type="dxa"/>
          </w:tcPr>
          <w:p w14:paraId="08DF4FB6" w14:textId="77777777" w:rsidR="009F7F8A" w:rsidRPr="00AC3044" w:rsidRDefault="009F7F8A" w:rsidP="009F7F8A">
            <w:pPr>
              <w:rPr>
                <w:rFonts w:eastAsia="SimSun"/>
              </w:rPr>
            </w:pPr>
            <w:r w:rsidRPr="00AC3044">
              <w:rPr>
                <w:rFonts w:eastAsia="SimSun"/>
              </w:rPr>
              <w:t>Суточная доза</w:t>
            </w:r>
          </w:p>
        </w:tc>
        <w:tc>
          <w:tcPr>
            <w:tcW w:w="1559" w:type="dxa"/>
          </w:tcPr>
          <w:p w14:paraId="7A01B548" w14:textId="77777777" w:rsidR="009F7F8A" w:rsidRPr="00AC3044" w:rsidRDefault="009F7F8A" w:rsidP="009F7F8A">
            <w:pPr>
              <w:rPr>
                <w:rFonts w:eastAsia="SimSun"/>
              </w:rPr>
            </w:pPr>
            <w:r w:rsidRPr="00AC3044">
              <w:rPr>
                <w:rFonts w:eastAsia="SimSun"/>
              </w:rPr>
              <w:t>Курсовая доза</w:t>
            </w:r>
          </w:p>
        </w:tc>
        <w:tc>
          <w:tcPr>
            <w:tcW w:w="1559" w:type="dxa"/>
          </w:tcPr>
          <w:p w14:paraId="2E9485E4" w14:textId="77777777" w:rsidR="009F7F8A" w:rsidRPr="00AC3044" w:rsidRDefault="009F7F8A" w:rsidP="009F7F8A">
            <w:pPr>
              <w:rPr>
                <w:rFonts w:eastAsia="SimSun"/>
              </w:rPr>
            </w:pPr>
            <w:r w:rsidRPr="00AC3044">
              <w:rPr>
                <w:rFonts w:eastAsia="SimSun"/>
              </w:rPr>
              <w:t>Дни введения</w:t>
            </w:r>
          </w:p>
        </w:tc>
        <w:tc>
          <w:tcPr>
            <w:tcW w:w="2410" w:type="dxa"/>
          </w:tcPr>
          <w:p w14:paraId="12E143B0"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14657D7E" w14:textId="77777777" w:rsidTr="009F7F8A">
        <w:trPr>
          <w:cantSplit/>
          <w:trHeight w:val="20"/>
        </w:trPr>
        <w:tc>
          <w:tcPr>
            <w:tcW w:w="1135" w:type="dxa"/>
            <w:vMerge w:val="restart"/>
            <w:textDirection w:val="btLr"/>
          </w:tcPr>
          <w:p w14:paraId="6491C960" w14:textId="77777777" w:rsidR="009F7F8A" w:rsidRPr="00AC3044" w:rsidRDefault="009F7F8A" w:rsidP="009F7F8A">
            <w:pPr>
              <w:rPr>
                <w:rFonts w:eastAsia="SimSun"/>
              </w:rPr>
            </w:pPr>
            <w:r w:rsidRPr="00AC3044">
              <w:rPr>
                <w:rFonts w:eastAsia="SimSun"/>
              </w:rPr>
              <w:t>Кондиционирование</w:t>
            </w:r>
          </w:p>
        </w:tc>
        <w:tc>
          <w:tcPr>
            <w:tcW w:w="1559" w:type="dxa"/>
          </w:tcPr>
          <w:p w14:paraId="47E74F47" w14:textId="77777777" w:rsidR="009F7F8A" w:rsidRPr="00AC3044" w:rsidRDefault="009F7F8A" w:rsidP="009F7F8A">
            <w:pPr>
              <w:rPr>
                <w:rFonts w:eastAsia="SimSun"/>
              </w:rPr>
            </w:pPr>
            <w:r w:rsidRPr="00AC3044">
              <w:rPr>
                <w:rFonts w:eastAsia="SimSun"/>
              </w:rPr>
              <w:t xml:space="preserve">Флударабин </w:t>
            </w:r>
          </w:p>
        </w:tc>
        <w:tc>
          <w:tcPr>
            <w:tcW w:w="1418" w:type="dxa"/>
          </w:tcPr>
          <w:p w14:paraId="0FD923BF" w14:textId="77777777" w:rsidR="009F7F8A" w:rsidRPr="00AC3044" w:rsidRDefault="009F7F8A" w:rsidP="009F7F8A">
            <w:pPr>
              <w:rPr>
                <w:rFonts w:eastAsia="SimSun"/>
              </w:rPr>
            </w:pPr>
            <w:r w:rsidRPr="00AC3044">
              <w:rPr>
                <w:rFonts w:eastAsia="SimSun"/>
              </w:rPr>
              <w:t>50 мг/м</w:t>
            </w:r>
            <w:r w:rsidRPr="0074195F">
              <w:rPr>
                <w:rFonts w:eastAsia="SimSun"/>
                <w:vertAlign w:val="superscript"/>
              </w:rPr>
              <w:t>2</w:t>
            </w:r>
          </w:p>
        </w:tc>
        <w:tc>
          <w:tcPr>
            <w:tcW w:w="1559" w:type="dxa"/>
          </w:tcPr>
          <w:p w14:paraId="183D1EC5" w14:textId="77777777" w:rsidR="009F7F8A" w:rsidRPr="00AC3044" w:rsidRDefault="009F7F8A" w:rsidP="009F7F8A">
            <w:pPr>
              <w:rPr>
                <w:rFonts w:eastAsia="SimSun"/>
              </w:rPr>
            </w:pPr>
            <w:r w:rsidRPr="00AC3044">
              <w:rPr>
                <w:rFonts w:eastAsia="SimSun"/>
              </w:rPr>
              <w:t>150 мг/м</w:t>
            </w:r>
            <w:r w:rsidRPr="0074195F">
              <w:rPr>
                <w:rFonts w:eastAsia="SimSun"/>
                <w:vertAlign w:val="superscript"/>
              </w:rPr>
              <w:t>2</w:t>
            </w:r>
          </w:p>
        </w:tc>
        <w:tc>
          <w:tcPr>
            <w:tcW w:w="1559" w:type="dxa"/>
          </w:tcPr>
          <w:p w14:paraId="7BD230DF" w14:textId="77777777" w:rsidR="009F7F8A" w:rsidRPr="00AC3044" w:rsidRDefault="009F7F8A" w:rsidP="009F7F8A">
            <w:pPr>
              <w:rPr>
                <w:rFonts w:eastAsia="SimSun"/>
              </w:rPr>
            </w:pPr>
            <w:r w:rsidRPr="00AC3044">
              <w:rPr>
                <w:rFonts w:eastAsia="SimSun"/>
              </w:rPr>
              <w:t>С –4 по –2 день</w:t>
            </w:r>
          </w:p>
        </w:tc>
        <w:tc>
          <w:tcPr>
            <w:tcW w:w="2410" w:type="dxa"/>
          </w:tcPr>
          <w:p w14:paraId="49A9DBE3"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4EEEEA8F" w14:textId="77777777" w:rsidTr="009F7F8A">
        <w:trPr>
          <w:cantSplit/>
          <w:trHeight w:val="642"/>
        </w:trPr>
        <w:tc>
          <w:tcPr>
            <w:tcW w:w="1135" w:type="dxa"/>
            <w:vMerge/>
            <w:textDirection w:val="btLr"/>
          </w:tcPr>
          <w:p w14:paraId="148BFF14" w14:textId="77777777" w:rsidR="009F7F8A" w:rsidRPr="00AC3044" w:rsidRDefault="009F7F8A" w:rsidP="009F7F8A">
            <w:pPr>
              <w:rPr>
                <w:rFonts w:eastAsia="SimSun"/>
              </w:rPr>
            </w:pPr>
          </w:p>
        </w:tc>
        <w:tc>
          <w:tcPr>
            <w:tcW w:w="1559" w:type="dxa"/>
          </w:tcPr>
          <w:p w14:paraId="59C54D7F" w14:textId="77777777" w:rsidR="009F7F8A" w:rsidRPr="00AC3044" w:rsidRDefault="009F7F8A" w:rsidP="009F7F8A">
            <w:pPr>
              <w:rPr>
                <w:rFonts w:eastAsia="SimSun"/>
              </w:rPr>
            </w:pPr>
            <w:r w:rsidRPr="00AC3044">
              <w:rPr>
                <w:rFonts w:eastAsia="SimSun"/>
              </w:rPr>
              <w:t>Бусульфан</w:t>
            </w:r>
          </w:p>
        </w:tc>
        <w:tc>
          <w:tcPr>
            <w:tcW w:w="1418" w:type="dxa"/>
          </w:tcPr>
          <w:p w14:paraId="013AF9ED" w14:textId="77777777" w:rsidR="009F7F8A" w:rsidRPr="00AC3044" w:rsidRDefault="009F7F8A" w:rsidP="009F7F8A">
            <w:pPr>
              <w:rPr>
                <w:rFonts w:eastAsia="SimSun"/>
              </w:rPr>
            </w:pPr>
            <w:r w:rsidRPr="00AC3044">
              <w:rPr>
                <w:rFonts w:eastAsia="SimSun"/>
              </w:rPr>
              <w:t>4 мг/кг</w:t>
            </w:r>
          </w:p>
        </w:tc>
        <w:tc>
          <w:tcPr>
            <w:tcW w:w="1559" w:type="dxa"/>
          </w:tcPr>
          <w:p w14:paraId="4E92A514" w14:textId="77777777" w:rsidR="009F7F8A" w:rsidRPr="00AC3044" w:rsidRDefault="009F7F8A" w:rsidP="009F7F8A">
            <w:pPr>
              <w:rPr>
                <w:rFonts w:eastAsia="SimSun"/>
              </w:rPr>
            </w:pPr>
            <w:r w:rsidRPr="00AC3044">
              <w:rPr>
                <w:rFonts w:eastAsia="SimSun"/>
              </w:rPr>
              <w:t>8 мг/кг</w:t>
            </w:r>
          </w:p>
        </w:tc>
        <w:tc>
          <w:tcPr>
            <w:tcW w:w="1559" w:type="dxa"/>
          </w:tcPr>
          <w:p w14:paraId="6AD3E201" w14:textId="77777777" w:rsidR="009F7F8A" w:rsidRPr="00AC3044" w:rsidRDefault="009F7F8A" w:rsidP="009F7F8A">
            <w:pPr>
              <w:rPr>
                <w:rFonts w:eastAsia="SimSun"/>
              </w:rPr>
            </w:pPr>
            <w:r w:rsidRPr="00AC3044">
              <w:rPr>
                <w:rFonts w:eastAsia="SimSun"/>
              </w:rPr>
              <w:t>–3, –2 дни</w:t>
            </w:r>
          </w:p>
        </w:tc>
        <w:tc>
          <w:tcPr>
            <w:tcW w:w="2410" w:type="dxa"/>
          </w:tcPr>
          <w:p w14:paraId="5D9241B0"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3279886F" w14:textId="77777777" w:rsidTr="009F7F8A">
        <w:trPr>
          <w:cantSplit/>
          <w:trHeight w:val="552"/>
        </w:trPr>
        <w:tc>
          <w:tcPr>
            <w:tcW w:w="1135" w:type="dxa"/>
            <w:vMerge/>
            <w:textDirection w:val="btLr"/>
          </w:tcPr>
          <w:p w14:paraId="3EA93FD3" w14:textId="77777777" w:rsidR="009F7F8A" w:rsidRPr="00AC3044" w:rsidRDefault="009F7F8A" w:rsidP="009F7F8A">
            <w:pPr>
              <w:rPr>
                <w:rFonts w:eastAsia="SimSun"/>
              </w:rPr>
            </w:pPr>
          </w:p>
        </w:tc>
        <w:tc>
          <w:tcPr>
            <w:tcW w:w="1559" w:type="dxa"/>
          </w:tcPr>
          <w:p w14:paraId="7E024D40" w14:textId="77777777" w:rsidR="009F7F8A" w:rsidRPr="00AC3044" w:rsidRDefault="009F7F8A" w:rsidP="009F7F8A">
            <w:pPr>
              <w:rPr>
                <w:rFonts w:eastAsia="SimSun"/>
              </w:rPr>
            </w:pPr>
            <w:r w:rsidRPr="00AC3044">
              <w:rPr>
                <w:rFonts w:eastAsia="SimSun"/>
              </w:rPr>
              <w:t>Тиотепа</w:t>
            </w:r>
          </w:p>
        </w:tc>
        <w:tc>
          <w:tcPr>
            <w:tcW w:w="1418" w:type="dxa"/>
          </w:tcPr>
          <w:p w14:paraId="395A9B05" w14:textId="77777777" w:rsidR="009F7F8A" w:rsidRPr="00AC3044" w:rsidRDefault="009F7F8A" w:rsidP="009F7F8A">
            <w:pPr>
              <w:rPr>
                <w:rFonts w:eastAsia="SimSun"/>
              </w:rPr>
            </w:pPr>
            <w:r w:rsidRPr="00AC3044">
              <w:rPr>
                <w:rFonts w:eastAsia="SimSun"/>
              </w:rPr>
              <w:t>5 мг/кг</w:t>
            </w:r>
          </w:p>
        </w:tc>
        <w:tc>
          <w:tcPr>
            <w:tcW w:w="1559" w:type="dxa"/>
          </w:tcPr>
          <w:p w14:paraId="63F9D193" w14:textId="77777777" w:rsidR="009F7F8A" w:rsidRPr="00AC3044" w:rsidRDefault="009F7F8A" w:rsidP="009F7F8A">
            <w:pPr>
              <w:rPr>
                <w:rFonts w:eastAsia="SimSun"/>
              </w:rPr>
            </w:pPr>
            <w:r w:rsidRPr="00AC3044">
              <w:rPr>
                <w:rFonts w:eastAsia="SimSun"/>
              </w:rPr>
              <w:t>10 мг/кг</w:t>
            </w:r>
          </w:p>
        </w:tc>
        <w:tc>
          <w:tcPr>
            <w:tcW w:w="1559" w:type="dxa"/>
          </w:tcPr>
          <w:p w14:paraId="01E9EE8A" w14:textId="77777777" w:rsidR="009F7F8A" w:rsidRPr="00AC3044" w:rsidRDefault="009F7F8A" w:rsidP="009F7F8A">
            <w:pPr>
              <w:rPr>
                <w:rFonts w:eastAsia="SimSun"/>
              </w:rPr>
            </w:pPr>
            <w:r w:rsidRPr="00AC3044">
              <w:rPr>
                <w:rFonts w:eastAsia="SimSun"/>
              </w:rPr>
              <w:t>-6,-5 дни</w:t>
            </w:r>
          </w:p>
        </w:tc>
        <w:tc>
          <w:tcPr>
            <w:tcW w:w="2410" w:type="dxa"/>
          </w:tcPr>
          <w:p w14:paraId="0670DA76"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1ED1254D" w14:textId="77777777" w:rsidTr="009F7F8A">
        <w:trPr>
          <w:cantSplit/>
          <w:trHeight w:val="1357"/>
        </w:trPr>
        <w:tc>
          <w:tcPr>
            <w:tcW w:w="1135" w:type="dxa"/>
            <w:vMerge w:val="restart"/>
            <w:textDirection w:val="btLr"/>
          </w:tcPr>
          <w:p w14:paraId="7B73D132" w14:textId="77777777" w:rsidR="009F7F8A" w:rsidRPr="00AC3044" w:rsidRDefault="009F7F8A" w:rsidP="009F7F8A">
            <w:pPr>
              <w:rPr>
                <w:rFonts w:eastAsia="SimSun"/>
              </w:rPr>
            </w:pPr>
            <w:r w:rsidRPr="00AC3044">
              <w:rPr>
                <w:rFonts w:eastAsia="SimSun"/>
              </w:rPr>
              <w:t>Профилактика РТПХ</w:t>
            </w:r>
          </w:p>
        </w:tc>
        <w:tc>
          <w:tcPr>
            <w:tcW w:w="1559" w:type="dxa"/>
          </w:tcPr>
          <w:p w14:paraId="252D55AD" w14:textId="77777777" w:rsidR="009F7F8A" w:rsidRPr="00AC3044" w:rsidRDefault="009F7F8A" w:rsidP="009F7F8A">
            <w:pPr>
              <w:rPr>
                <w:rFonts w:eastAsia="SimSun"/>
              </w:rPr>
            </w:pPr>
            <w:r w:rsidRPr="00AC3044">
              <w:rPr>
                <w:rFonts w:eastAsia="SimSun"/>
              </w:rPr>
              <w:t>Циклоспорин</w:t>
            </w:r>
          </w:p>
        </w:tc>
        <w:tc>
          <w:tcPr>
            <w:tcW w:w="1418" w:type="dxa"/>
          </w:tcPr>
          <w:p w14:paraId="573C9C4C" w14:textId="77777777" w:rsidR="009F7F8A" w:rsidRPr="00AC3044" w:rsidRDefault="009F7F8A" w:rsidP="009F7F8A">
            <w:pPr>
              <w:rPr>
                <w:rFonts w:eastAsia="SimSun"/>
              </w:rPr>
            </w:pPr>
            <w:r w:rsidRPr="00AC3044">
              <w:rPr>
                <w:rFonts w:eastAsia="SimSun"/>
              </w:rPr>
              <w:t>3 мг/кг</w:t>
            </w:r>
          </w:p>
        </w:tc>
        <w:tc>
          <w:tcPr>
            <w:tcW w:w="1559" w:type="dxa"/>
          </w:tcPr>
          <w:p w14:paraId="4B44F044" w14:textId="77777777" w:rsidR="009F7F8A" w:rsidRPr="00AC3044" w:rsidRDefault="009F7F8A" w:rsidP="009F7F8A">
            <w:pPr>
              <w:rPr>
                <w:rFonts w:eastAsia="SimSun"/>
              </w:rPr>
            </w:pPr>
            <w:r w:rsidRPr="00AC3044">
              <w:rPr>
                <w:rFonts w:eastAsia="SimSun"/>
              </w:rPr>
              <w:t>–</w:t>
            </w:r>
          </w:p>
        </w:tc>
        <w:tc>
          <w:tcPr>
            <w:tcW w:w="1559" w:type="dxa"/>
          </w:tcPr>
          <w:p w14:paraId="2EC246AF" w14:textId="77777777" w:rsidR="009F7F8A" w:rsidRPr="00AC3044" w:rsidRDefault="009F7F8A" w:rsidP="009F7F8A">
            <w:pPr>
              <w:rPr>
                <w:rFonts w:eastAsia="SimSun"/>
              </w:rPr>
            </w:pPr>
            <w:r w:rsidRPr="00AC3044">
              <w:rPr>
                <w:rFonts w:eastAsia="SimSun"/>
              </w:rPr>
              <w:t>С +5 дня по +90 день затем постепенное снижение к +180 дню</w:t>
            </w:r>
          </w:p>
        </w:tc>
        <w:tc>
          <w:tcPr>
            <w:tcW w:w="2410" w:type="dxa"/>
          </w:tcPr>
          <w:p w14:paraId="6E1E6337"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611C97B7" w14:textId="77777777" w:rsidTr="009F7F8A">
        <w:trPr>
          <w:cantSplit/>
          <w:trHeight w:val="20"/>
        </w:trPr>
        <w:tc>
          <w:tcPr>
            <w:tcW w:w="1135" w:type="dxa"/>
            <w:vMerge/>
            <w:textDirection w:val="btLr"/>
          </w:tcPr>
          <w:p w14:paraId="5890B93D" w14:textId="77777777" w:rsidR="009F7F8A" w:rsidRPr="00AC3044" w:rsidRDefault="009F7F8A" w:rsidP="009F7F8A">
            <w:pPr>
              <w:rPr>
                <w:rFonts w:eastAsia="SimSun"/>
              </w:rPr>
            </w:pPr>
          </w:p>
        </w:tc>
        <w:tc>
          <w:tcPr>
            <w:tcW w:w="1559" w:type="dxa"/>
          </w:tcPr>
          <w:p w14:paraId="431F30D4" w14:textId="77777777" w:rsidR="009F7F8A" w:rsidRPr="00AC3044" w:rsidRDefault="009F7F8A" w:rsidP="009F7F8A">
            <w:pPr>
              <w:rPr>
                <w:rFonts w:eastAsia="SimSun"/>
              </w:rPr>
            </w:pPr>
            <w:r w:rsidRPr="00AC3044">
              <w:rPr>
                <w:rFonts w:eastAsia="SimSun"/>
              </w:rPr>
              <w:t>Микофенолата мофетил</w:t>
            </w:r>
          </w:p>
        </w:tc>
        <w:tc>
          <w:tcPr>
            <w:tcW w:w="1418" w:type="dxa"/>
          </w:tcPr>
          <w:p w14:paraId="1EA0FC6D" w14:textId="77777777" w:rsidR="009F7F8A" w:rsidRPr="00AC3044" w:rsidRDefault="009F7F8A" w:rsidP="009F7F8A">
            <w:pPr>
              <w:rPr>
                <w:rFonts w:eastAsia="SimSun"/>
              </w:rPr>
            </w:pPr>
            <w:r w:rsidRPr="00AC3044">
              <w:rPr>
                <w:rFonts w:eastAsia="SimSun"/>
              </w:rPr>
              <w:t>30 мг/кг</w:t>
            </w:r>
          </w:p>
        </w:tc>
        <w:tc>
          <w:tcPr>
            <w:tcW w:w="1559" w:type="dxa"/>
          </w:tcPr>
          <w:p w14:paraId="2100990C" w14:textId="77777777" w:rsidR="009F7F8A" w:rsidRPr="00AC3044" w:rsidRDefault="009F7F8A" w:rsidP="009F7F8A">
            <w:pPr>
              <w:rPr>
                <w:rFonts w:eastAsia="SimSun"/>
              </w:rPr>
            </w:pPr>
            <w:r w:rsidRPr="00AC3044">
              <w:rPr>
                <w:rFonts w:eastAsia="SimSun"/>
              </w:rPr>
              <w:t>–</w:t>
            </w:r>
          </w:p>
        </w:tc>
        <w:tc>
          <w:tcPr>
            <w:tcW w:w="1559" w:type="dxa"/>
          </w:tcPr>
          <w:p w14:paraId="2EFC24B9" w14:textId="77777777" w:rsidR="009F7F8A" w:rsidRPr="00AC3044" w:rsidRDefault="009F7F8A" w:rsidP="009F7F8A">
            <w:pPr>
              <w:rPr>
                <w:rFonts w:eastAsia="SimSun"/>
              </w:rPr>
            </w:pPr>
            <w:r w:rsidRPr="00AC3044">
              <w:rPr>
                <w:rFonts w:eastAsia="SimSun"/>
              </w:rPr>
              <w:t>С +5 по +90 день</w:t>
            </w:r>
          </w:p>
        </w:tc>
        <w:tc>
          <w:tcPr>
            <w:tcW w:w="2410" w:type="dxa"/>
          </w:tcPr>
          <w:p w14:paraId="1A198C00"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9F7F8A" w:rsidRPr="00AC3044" w14:paraId="1E29F041" w14:textId="77777777" w:rsidTr="009F7F8A">
        <w:trPr>
          <w:cantSplit/>
          <w:trHeight w:val="20"/>
        </w:trPr>
        <w:tc>
          <w:tcPr>
            <w:tcW w:w="1135" w:type="dxa"/>
            <w:vMerge/>
            <w:textDirection w:val="btLr"/>
          </w:tcPr>
          <w:p w14:paraId="20F53EC5" w14:textId="77777777" w:rsidR="009F7F8A" w:rsidRPr="00AC3044" w:rsidRDefault="009F7F8A" w:rsidP="009F7F8A">
            <w:pPr>
              <w:rPr>
                <w:rFonts w:eastAsia="SimSun"/>
              </w:rPr>
            </w:pPr>
          </w:p>
        </w:tc>
        <w:tc>
          <w:tcPr>
            <w:tcW w:w="1559" w:type="dxa"/>
          </w:tcPr>
          <w:p w14:paraId="7B75C5A2" w14:textId="77777777" w:rsidR="009F7F8A" w:rsidRPr="00AC3044" w:rsidRDefault="009F7F8A" w:rsidP="009F7F8A">
            <w:pPr>
              <w:rPr>
                <w:rFonts w:eastAsia="SimSun"/>
              </w:rPr>
            </w:pPr>
            <w:r w:rsidRPr="00AC3044">
              <w:rPr>
                <w:rFonts w:eastAsia="SimSun"/>
              </w:rPr>
              <w:t>Циклофосфамид</w:t>
            </w:r>
          </w:p>
        </w:tc>
        <w:tc>
          <w:tcPr>
            <w:tcW w:w="1418" w:type="dxa"/>
          </w:tcPr>
          <w:p w14:paraId="702BCF49" w14:textId="77777777" w:rsidR="009F7F8A" w:rsidRPr="00AC3044" w:rsidRDefault="009F7F8A" w:rsidP="009F7F8A">
            <w:pPr>
              <w:rPr>
                <w:rFonts w:eastAsia="SimSun"/>
              </w:rPr>
            </w:pPr>
            <w:r w:rsidRPr="00AC3044">
              <w:rPr>
                <w:rFonts w:eastAsia="SimSun"/>
              </w:rPr>
              <w:t>50 мг/кг</w:t>
            </w:r>
          </w:p>
        </w:tc>
        <w:tc>
          <w:tcPr>
            <w:tcW w:w="1559" w:type="dxa"/>
          </w:tcPr>
          <w:p w14:paraId="5BBC120A" w14:textId="77777777" w:rsidR="009F7F8A" w:rsidRPr="00AC3044" w:rsidRDefault="009F7F8A" w:rsidP="009F7F8A">
            <w:pPr>
              <w:rPr>
                <w:rFonts w:eastAsia="SimSun"/>
              </w:rPr>
            </w:pPr>
            <w:r w:rsidRPr="00AC3044">
              <w:rPr>
                <w:rFonts w:eastAsia="SimSun"/>
              </w:rPr>
              <w:t>100 мг/кг</w:t>
            </w:r>
          </w:p>
        </w:tc>
        <w:tc>
          <w:tcPr>
            <w:tcW w:w="1559" w:type="dxa"/>
          </w:tcPr>
          <w:p w14:paraId="590CE079" w14:textId="77777777" w:rsidR="009F7F8A" w:rsidRPr="00AC3044" w:rsidRDefault="009F7F8A" w:rsidP="009F7F8A">
            <w:pPr>
              <w:rPr>
                <w:rFonts w:eastAsia="SimSun"/>
              </w:rPr>
            </w:pPr>
            <w:r w:rsidRPr="00AC3044">
              <w:rPr>
                <w:rFonts w:eastAsia="SimSun"/>
              </w:rPr>
              <w:t xml:space="preserve">+3,+4 дни </w:t>
            </w:r>
          </w:p>
        </w:tc>
        <w:tc>
          <w:tcPr>
            <w:tcW w:w="2410" w:type="dxa"/>
          </w:tcPr>
          <w:p w14:paraId="5E0C6FCD" w14:textId="77777777" w:rsidR="009F7F8A" w:rsidRPr="00AC3044" w:rsidRDefault="009F7F8A" w:rsidP="009F7F8A">
            <w:pPr>
              <w:rPr>
                <w:rFonts w:eastAsia="SimSun"/>
              </w:rPr>
            </w:pPr>
            <w:r w:rsidRPr="00AC3044">
              <w:rPr>
                <w:rFonts w:eastAsia="SimSun"/>
              </w:rPr>
              <w:t>В/в, в течение 2 часов</w:t>
            </w:r>
          </w:p>
        </w:tc>
      </w:tr>
    </w:tbl>
    <w:p w14:paraId="49F2ACDA" w14:textId="77777777" w:rsidR="009F7F8A" w:rsidRDefault="009F7F8A" w:rsidP="009F7F8A">
      <w:pPr>
        <w:rPr>
          <w:rFonts w:eastAsia="SimSun"/>
        </w:rPr>
      </w:pPr>
      <w:bookmarkStart w:id="190" w:name="_Toc44401227"/>
    </w:p>
    <w:p w14:paraId="7DDE0CB8" w14:textId="77777777" w:rsidR="009F7F8A" w:rsidRPr="00C07B2E" w:rsidRDefault="009F7F8A" w:rsidP="009F7F8A">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3.1.2  – Flu150+Bu8+Thio / PT-Cy+CSA+MMF45</w:t>
      </w:r>
      <w:bookmarkEnd w:id="190"/>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9F7F8A" w:rsidRPr="00AC3044" w14:paraId="7351EFF5" w14:textId="77777777" w:rsidTr="009F7F8A">
        <w:trPr>
          <w:cantSplit/>
          <w:trHeight w:val="20"/>
          <w:tblHeader/>
        </w:trPr>
        <w:tc>
          <w:tcPr>
            <w:tcW w:w="1135" w:type="dxa"/>
          </w:tcPr>
          <w:p w14:paraId="4A9AF3C4" w14:textId="77777777" w:rsidR="009F7F8A" w:rsidRPr="006A5E21" w:rsidRDefault="009F7F8A" w:rsidP="009F7F8A">
            <w:pPr>
              <w:rPr>
                <w:rFonts w:eastAsia="SimSun"/>
              </w:rPr>
            </w:pPr>
          </w:p>
        </w:tc>
        <w:tc>
          <w:tcPr>
            <w:tcW w:w="1559" w:type="dxa"/>
            <w:vAlign w:val="center"/>
          </w:tcPr>
          <w:p w14:paraId="35868909"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0543E827"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192DD765" w14:textId="77777777" w:rsidR="009F7F8A" w:rsidRPr="00AC3044" w:rsidRDefault="009F7F8A" w:rsidP="009F7F8A">
            <w:pPr>
              <w:rPr>
                <w:rFonts w:eastAsia="SimSun"/>
              </w:rPr>
            </w:pPr>
            <w:r w:rsidRPr="00AC3044">
              <w:rPr>
                <w:rFonts w:eastAsia="SimSun"/>
              </w:rPr>
              <w:t>Курсовая доза</w:t>
            </w:r>
          </w:p>
        </w:tc>
        <w:tc>
          <w:tcPr>
            <w:tcW w:w="1559" w:type="dxa"/>
            <w:vAlign w:val="center"/>
          </w:tcPr>
          <w:p w14:paraId="0EACEC26" w14:textId="77777777" w:rsidR="009F7F8A" w:rsidRPr="00AC3044" w:rsidRDefault="009F7F8A" w:rsidP="009F7F8A">
            <w:pPr>
              <w:rPr>
                <w:rFonts w:eastAsia="SimSun"/>
              </w:rPr>
            </w:pPr>
            <w:r w:rsidRPr="00AC3044">
              <w:rPr>
                <w:rFonts w:eastAsia="SimSun"/>
              </w:rPr>
              <w:t>Дни введения</w:t>
            </w:r>
          </w:p>
        </w:tc>
        <w:tc>
          <w:tcPr>
            <w:tcW w:w="2410" w:type="dxa"/>
            <w:vAlign w:val="center"/>
          </w:tcPr>
          <w:p w14:paraId="1AEC38F6"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3DBA5DBA" w14:textId="77777777" w:rsidTr="009F7F8A">
        <w:trPr>
          <w:cantSplit/>
          <w:trHeight w:val="20"/>
        </w:trPr>
        <w:tc>
          <w:tcPr>
            <w:tcW w:w="1135" w:type="dxa"/>
            <w:vMerge w:val="restart"/>
            <w:textDirection w:val="btLr"/>
            <w:vAlign w:val="center"/>
          </w:tcPr>
          <w:p w14:paraId="296F8BDB" w14:textId="77777777" w:rsidR="009F7F8A" w:rsidRPr="00AC3044" w:rsidRDefault="009F7F8A" w:rsidP="009F7F8A">
            <w:pPr>
              <w:rPr>
                <w:rFonts w:eastAsia="SimSun"/>
              </w:rPr>
            </w:pPr>
            <w:r w:rsidRPr="00AC3044">
              <w:rPr>
                <w:rFonts w:eastAsia="SimSun"/>
              </w:rPr>
              <w:t>Кондиционирование</w:t>
            </w:r>
          </w:p>
        </w:tc>
        <w:tc>
          <w:tcPr>
            <w:tcW w:w="1559" w:type="dxa"/>
            <w:vAlign w:val="center"/>
          </w:tcPr>
          <w:p w14:paraId="37552228"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580C2AF4" w14:textId="77777777" w:rsidR="009F7F8A" w:rsidRPr="00AC3044" w:rsidRDefault="009F7F8A" w:rsidP="009F7F8A">
            <w:pPr>
              <w:rPr>
                <w:rFonts w:eastAsia="SimSun"/>
              </w:rPr>
            </w:pPr>
            <w:r w:rsidRPr="00AC3044">
              <w:rPr>
                <w:rFonts w:eastAsia="SimSun"/>
              </w:rPr>
              <w:t>50 мг/м</w:t>
            </w:r>
            <w:r w:rsidRPr="0074195F">
              <w:rPr>
                <w:rFonts w:eastAsia="SimSun"/>
                <w:vertAlign w:val="superscript"/>
              </w:rPr>
              <w:t>2</w:t>
            </w:r>
          </w:p>
        </w:tc>
        <w:tc>
          <w:tcPr>
            <w:tcW w:w="1559" w:type="dxa"/>
            <w:vAlign w:val="center"/>
          </w:tcPr>
          <w:p w14:paraId="65D8A4FC" w14:textId="77777777" w:rsidR="009F7F8A" w:rsidRPr="00AC3044" w:rsidRDefault="009F7F8A" w:rsidP="009F7F8A">
            <w:pPr>
              <w:rPr>
                <w:rFonts w:eastAsia="SimSun"/>
              </w:rPr>
            </w:pPr>
            <w:r w:rsidRPr="00AC3044">
              <w:rPr>
                <w:rFonts w:eastAsia="SimSun"/>
              </w:rPr>
              <w:t>150 мг/м</w:t>
            </w:r>
            <w:r w:rsidRPr="0074195F">
              <w:rPr>
                <w:rFonts w:eastAsia="SimSun"/>
                <w:vertAlign w:val="superscript"/>
              </w:rPr>
              <w:t>2</w:t>
            </w:r>
          </w:p>
        </w:tc>
        <w:tc>
          <w:tcPr>
            <w:tcW w:w="1559" w:type="dxa"/>
            <w:vAlign w:val="center"/>
          </w:tcPr>
          <w:p w14:paraId="433E494A" w14:textId="77777777" w:rsidR="009F7F8A" w:rsidRPr="00AC3044" w:rsidRDefault="009F7F8A" w:rsidP="009F7F8A">
            <w:pPr>
              <w:rPr>
                <w:rFonts w:eastAsia="SimSun"/>
              </w:rPr>
            </w:pPr>
            <w:r w:rsidRPr="00AC3044">
              <w:rPr>
                <w:rFonts w:eastAsia="SimSun"/>
              </w:rPr>
              <w:t>С –4 по –2 день</w:t>
            </w:r>
          </w:p>
        </w:tc>
        <w:tc>
          <w:tcPr>
            <w:tcW w:w="2410" w:type="dxa"/>
            <w:vAlign w:val="center"/>
          </w:tcPr>
          <w:p w14:paraId="478E6B62"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578055E0" w14:textId="77777777" w:rsidTr="009F7F8A">
        <w:trPr>
          <w:cantSplit/>
          <w:trHeight w:val="550"/>
        </w:trPr>
        <w:tc>
          <w:tcPr>
            <w:tcW w:w="1135" w:type="dxa"/>
            <w:vMerge/>
            <w:textDirection w:val="btLr"/>
            <w:vAlign w:val="center"/>
          </w:tcPr>
          <w:p w14:paraId="31AA7B38" w14:textId="77777777" w:rsidR="009F7F8A" w:rsidRPr="00AC3044" w:rsidRDefault="009F7F8A" w:rsidP="009F7F8A">
            <w:pPr>
              <w:rPr>
                <w:rFonts w:eastAsia="SimSun"/>
              </w:rPr>
            </w:pPr>
          </w:p>
        </w:tc>
        <w:tc>
          <w:tcPr>
            <w:tcW w:w="1559" w:type="dxa"/>
            <w:vAlign w:val="center"/>
          </w:tcPr>
          <w:p w14:paraId="7445D43B" w14:textId="77777777" w:rsidR="009F7F8A" w:rsidRPr="00AC3044" w:rsidRDefault="009F7F8A" w:rsidP="009F7F8A">
            <w:pPr>
              <w:rPr>
                <w:rFonts w:eastAsia="SimSun"/>
              </w:rPr>
            </w:pPr>
            <w:r w:rsidRPr="00AC3044">
              <w:rPr>
                <w:rFonts w:eastAsia="SimSun"/>
              </w:rPr>
              <w:t>Бусульфан</w:t>
            </w:r>
          </w:p>
        </w:tc>
        <w:tc>
          <w:tcPr>
            <w:tcW w:w="1418" w:type="dxa"/>
            <w:vAlign w:val="center"/>
          </w:tcPr>
          <w:p w14:paraId="35EBC0D0" w14:textId="77777777" w:rsidR="009F7F8A" w:rsidRPr="00AC3044" w:rsidRDefault="009F7F8A" w:rsidP="009F7F8A">
            <w:pPr>
              <w:rPr>
                <w:rFonts w:eastAsia="SimSun"/>
              </w:rPr>
            </w:pPr>
            <w:r w:rsidRPr="00AC3044">
              <w:rPr>
                <w:rFonts w:eastAsia="SimSun"/>
              </w:rPr>
              <w:t>4 мг/кг</w:t>
            </w:r>
          </w:p>
        </w:tc>
        <w:tc>
          <w:tcPr>
            <w:tcW w:w="1559" w:type="dxa"/>
            <w:vAlign w:val="center"/>
          </w:tcPr>
          <w:p w14:paraId="3050BC43" w14:textId="77777777" w:rsidR="009F7F8A" w:rsidRPr="00AC3044" w:rsidRDefault="009F7F8A" w:rsidP="009F7F8A">
            <w:pPr>
              <w:rPr>
                <w:rFonts w:eastAsia="SimSun"/>
              </w:rPr>
            </w:pPr>
            <w:r w:rsidRPr="00AC3044">
              <w:rPr>
                <w:rFonts w:eastAsia="SimSun"/>
              </w:rPr>
              <w:t>8 мг/кг</w:t>
            </w:r>
          </w:p>
        </w:tc>
        <w:tc>
          <w:tcPr>
            <w:tcW w:w="1559" w:type="dxa"/>
            <w:vAlign w:val="center"/>
          </w:tcPr>
          <w:p w14:paraId="245321DF" w14:textId="77777777" w:rsidR="009F7F8A" w:rsidRPr="00AC3044" w:rsidRDefault="009F7F8A" w:rsidP="009F7F8A">
            <w:pPr>
              <w:rPr>
                <w:rFonts w:eastAsia="SimSun"/>
              </w:rPr>
            </w:pPr>
            <w:r w:rsidRPr="00AC3044">
              <w:rPr>
                <w:rFonts w:eastAsia="SimSun"/>
              </w:rPr>
              <w:t>–3, –2 дни</w:t>
            </w:r>
          </w:p>
        </w:tc>
        <w:tc>
          <w:tcPr>
            <w:tcW w:w="2410" w:type="dxa"/>
            <w:vAlign w:val="center"/>
          </w:tcPr>
          <w:p w14:paraId="24471F16"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5D617043" w14:textId="77777777" w:rsidTr="009F7F8A">
        <w:trPr>
          <w:cantSplit/>
          <w:trHeight w:val="516"/>
        </w:trPr>
        <w:tc>
          <w:tcPr>
            <w:tcW w:w="1135" w:type="dxa"/>
            <w:vMerge/>
            <w:textDirection w:val="btLr"/>
            <w:vAlign w:val="center"/>
          </w:tcPr>
          <w:p w14:paraId="716B45C4" w14:textId="77777777" w:rsidR="009F7F8A" w:rsidRPr="00AC3044" w:rsidRDefault="009F7F8A" w:rsidP="009F7F8A">
            <w:pPr>
              <w:rPr>
                <w:rFonts w:eastAsia="SimSun"/>
              </w:rPr>
            </w:pPr>
          </w:p>
        </w:tc>
        <w:tc>
          <w:tcPr>
            <w:tcW w:w="1559" w:type="dxa"/>
            <w:vAlign w:val="center"/>
          </w:tcPr>
          <w:p w14:paraId="3B6076C6" w14:textId="77777777" w:rsidR="009F7F8A" w:rsidRPr="00AC3044" w:rsidRDefault="009F7F8A" w:rsidP="009F7F8A">
            <w:pPr>
              <w:rPr>
                <w:rFonts w:eastAsia="SimSun"/>
              </w:rPr>
            </w:pPr>
            <w:r w:rsidRPr="00AC3044">
              <w:rPr>
                <w:rFonts w:eastAsia="SimSun"/>
              </w:rPr>
              <w:t>Тиотепа</w:t>
            </w:r>
          </w:p>
        </w:tc>
        <w:tc>
          <w:tcPr>
            <w:tcW w:w="1418" w:type="dxa"/>
            <w:vAlign w:val="center"/>
          </w:tcPr>
          <w:p w14:paraId="7EB96C75" w14:textId="77777777" w:rsidR="009F7F8A" w:rsidRPr="00AC3044" w:rsidRDefault="009F7F8A" w:rsidP="009F7F8A">
            <w:pPr>
              <w:rPr>
                <w:rFonts w:eastAsia="SimSun"/>
              </w:rPr>
            </w:pPr>
            <w:r w:rsidRPr="00AC3044">
              <w:rPr>
                <w:rFonts w:eastAsia="SimSun"/>
              </w:rPr>
              <w:t>5 мг/кг</w:t>
            </w:r>
          </w:p>
        </w:tc>
        <w:tc>
          <w:tcPr>
            <w:tcW w:w="1559" w:type="dxa"/>
            <w:vAlign w:val="center"/>
          </w:tcPr>
          <w:p w14:paraId="2A82BF3D" w14:textId="77777777" w:rsidR="009F7F8A" w:rsidRPr="00AC3044" w:rsidRDefault="009F7F8A" w:rsidP="009F7F8A">
            <w:pPr>
              <w:rPr>
                <w:rFonts w:eastAsia="SimSun"/>
              </w:rPr>
            </w:pPr>
            <w:r w:rsidRPr="00AC3044">
              <w:rPr>
                <w:rFonts w:eastAsia="SimSun"/>
              </w:rPr>
              <w:t>10 мг/кг</w:t>
            </w:r>
          </w:p>
        </w:tc>
        <w:tc>
          <w:tcPr>
            <w:tcW w:w="1559" w:type="dxa"/>
            <w:vAlign w:val="center"/>
          </w:tcPr>
          <w:p w14:paraId="74EF4F03" w14:textId="77777777" w:rsidR="009F7F8A" w:rsidRPr="00AC3044" w:rsidRDefault="009F7F8A" w:rsidP="009F7F8A">
            <w:pPr>
              <w:rPr>
                <w:rFonts w:eastAsia="SimSun"/>
              </w:rPr>
            </w:pPr>
            <w:r w:rsidRPr="00AC3044">
              <w:rPr>
                <w:rFonts w:eastAsia="SimSun"/>
              </w:rPr>
              <w:t>-6,-5 дни</w:t>
            </w:r>
          </w:p>
        </w:tc>
        <w:tc>
          <w:tcPr>
            <w:tcW w:w="2410" w:type="dxa"/>
            <w:vAlign w:val="center"/>
          </w:tcPr>
          <w:p w14:paraId="1BB72DB6"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524930F1" w14:textId="77777777" w:rsidTr="009F7F8A">
        <w:trPr>
          <w:cantSplit/>
          <w:trHeight w:val="1558"/>
        </w:trPr>
        <w:tc>
          <w:tcPr>
            <w:tcW w:w="1135" w:type="dxa"/>
            <w:vMerge w:val="restart"/>
            <w:textDirection w:val="btLr"/>
            <w:vAlign w:val="center"/>
          </w:tcPr>
          <w:p w14:paraId="7E1CAFAD" w14:textId="77777777" w:rsidR="009F7F8A" w:rsidRPr="00AC3044" w:rsidRDefault="009F7F8A" w:rsidP="009F7F8A">
            <w:pPr>
              <w:rPr>
                <w:rFonts w:eastAsia="SimSun"/>
              </w:rPr>
            </w:pPr>
            <w:r w:rsidRPr="00AC3044">
              <w:rPr>
                <w:rFonts w:eastAsia="SimSun"/>
              </w:rPr>
              <w:t>Профилактика РТПХ</w:t>
            </w:r>
          </w:p>
        </w:tc>
        <w:tc>
          <w:tcPr>
            <w:tcW w:w="1559" w:type="dxa"/>
            <w:vAlign w:val="center"/>
          </w:tcPr>
          <w:p w14:paraId="2D8C6AEC" w14:textId="77777777" w:rsidR="009F7F8A" w:rsidRPr="00AC3044" w:rsidRDefault="009F7F8A" w:rsidP="009F7F8A">
            <w:pPr>
              <w:rPr>
                <w:rFonts w:eastAsia="SimSun"/>
              </w:rPr>
            </w:pPr>
            <w:r w:rsidRPr="00AC3044">
              <w:rPr>
                <w:rFonts w:eastAsia="SimSun"/>
              </w:rPr>
              <w:t>Циклоспорин</w:t>
            </w:r>
          </w:p>
        </w:tc>
        <w:tc>
          <w:tcPr>
            <w:tcW w:w="1418" w:type="dxa"/>
            <w:vAlign w:val="center"/>
          </w:tcPr>
          <w:p w14:paraId="7EEEA8F0" w14:textId="77777777" w:rsidR="009F7F8A" w:rsidRPr="00AC3044" w:rsidRDefault="009F7F8A" w:rsidP="009F7F8A">
            <w:pPr>
              <w:rPr>
                <w:rFonts w:eastAsia="SimSun"/>
              </w:rPr>
            </w:pPr>
            <w:r w:rsidRPr="00AC3044">
              <w:rPr>
                <w:rFonts w:eastAsia="SimSun"/>
              </w:rPr>
              <w:t>3 мг/кг</w:t>
            </w:r>
          </w:p>
        </w:tc>
        <w:tc>
          <w:tcPr>
            <w:tcW w:w="1559" w:type="dxa"/>
            <w:vAlign w:val="center"/>
          </w:tcPr>
          <w:p w14:paraId="24D3EAC9" w14:textId="77777777" w:rsidR="009F7F8A" w:rsidRPr="00AC3044" w:rsidRDefault="009F7F8A" w:rsidP="009F7F8A">
            <w:pPr>
              <w:rPr>
                <w:rFonts w:eastAsia="SimSun"/>
              </w:rPr>
            </w:pPr>
            <w:r w:rsidRPr="00AC3044">
              <w:rPr>
                <w:rFonts w:eastAsia="SimSun"/>
              </w:rPr>
              <w:t>–</w:t>
            </w:r>
          </w:p>
        </w:tc>
        <w:tc>
          <w:tcPr>
            <w:tcW w:w="1559" w:type="dxa"/>
            <w:vAlign w:val="center"/>
          </w:tcPr>
          <w:p w14:paraId="70E2F490" w14:textId="77777777" w:rsidR="009F7F8A" w:rsidRPr="00AC3044" w:rsidRDefault="009F7F8A" w:rsidP="009F7F8A">
            <w:pPr>
              <w:rPr>
                <w:rFonts w:eastAsia="SimSun"/>
              </w:rPr>
            </w:pPr>
            <w:r w:rsidRPr="00AC3044">
              <w:rPr>
                <w:rFonts w:eastAsia="SimSun"/>
              </w:rPr>
              <w:t>С +5 дня по +90 день затем постепенное снижение к +180 дню</w:t>
            </w:r>
          </w:p>
        </w:tc>
        <w:tc>
          <w:tcPr>
            <w:tcW w:w="2410" w:type="dxa"/>
            <w:vAlign w:val="center"/>
          </w:tcPr>
          <w:p w14:paraId="4DCD2675"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4C5F73C0" w14:textId="77777777" w:rsidTr="009F7F8A">
        <w:trPr>
          <w:cantSplit/>
          <w:trHeight w:val="20"/>
        </w:trPr>
        <w:tc>
          <w:tcPr>
            <w:tcW w:w="1135" w:type="dxa"/>
            <w:vMerge/>
            <w:textDirection w:val="btLr"/>
          </w:tcPr>
          <w:p w14:paraId="5CE7709B" w14:textId="77777777" w:rsidR="009F7F8A" w:rsidRPr="00AC3044" w:rsidRDefault="009F7F8A" w:rsidP="009F7F8A">
            <w:pPr>
              <w:rPr>
                <w:rFonts w:eastAsia="SimSun"/>
              </w:rPr>
            </w:pPr>
          </w:p>
        </w:tc>
        <w:tc>
          <w:tcPr>
            <w:tcW w:w="1559" w:type="dxa"/>
            <w:vAlign w:val="center"/>
          </w:tcPr>
          <w:p w14:paraId="35D7C918" w14:textId="77777777" w:rsidR="009F7F8A" w:rsidRPr="00AC3044" w:rsidRDefault="009F7F8A" w:rsidP="009F7F8A">
            <w:pPr>
              <w:rPr>
                <w:rFonts w:eastAsia="SimSun"/>
              </w:rPr>
            </w:pPr>
            <w:r w:rsidRPr="00AC3044">
              <w:rPr>
                <w:rFonts w:eastAsia="SimSun"/>
              </w:rPr>
              <w:t>Микофенолата мофетил</w:t>
            </w:r>
          </w:p>
        </w:tc>
        <w:tc>
          <w:tcPr>
            <w:tcW w:w="1418" w:type="dxa"/>
            <w:vAlign w:val="center"/>
          </w:tcPr>
          <w:p w14:paraId="324A6EF1" w14:textId="77777777" w:rsidR="009F7F8A" w:rsidRPr="00AC3044" w:rsidRDefault="009F7F8A" w:rsidP="009F7F8A">
            <w:pPr>
              <w:rPr>
                <w:rFonts w:eastAsia="SimSun"/>
              </w:rPr>
            </w:pPr>
            <w:r w:rsidRPr="00AC3044">
              <w:rPr>
                <w:rFonts w:eastAsia="SimSun"/>
              </w:rPr>
              <w:t>45 мг/кг</w:t>
            </w:r>
          </w:p>
        </w:tc>
        <w:tc>
          <w:tcPr>
            <w:tcW w:w="1559" w:type="dxa"/>
            <w:vAlign w:val="center"/>
          </w:tcPr>
          <w:p w14:paraId="6C8EE97E" w14:textId="77777777" w:rsidR="009F7F8A" w:rsidRPr="00AC3044" w:rsidRDefault="009F7F8A" w:rsidP="009F7F8A">
            <w:pPr>
              <w:rPr>
                <w:rFonts w:eastAsia="SimSun"/>
              </w:rPr>
            </w:pPr>
            <w:r w:rsidRPr="00AC3044">
              <w:rPr>
                <w:rFonts w:eastAsia="SimSun"/>
              </w:rPr>
              <w:t>–</w:t>
            </w:r>
          </w:p>
        </w:tc>
        <w:tc>
          <w:tcPr>
            <w:tcW w:w="1559" w:type="dxa"/>
            <w:vAlign w:val="center"/>
          </w:tcPr>
          <w:p w14:paraId="41A06DBA" w14:textId="77777777" w:rsidR="009F7F8A" w:rsidRPr="00AC3044" w:rsidRDefault="009F7F8A" w:rsidP="009F7F8A">
            <w:pPr>
              <w:rPr>
                <w:rFonts w:eastAsia="SimSun"/>
              </w:rPr>
            </w:pPr>
            <w:r w:rsidRPr="00AC3044">
              <w:rPr>
                <w:rFonts w:eastAsia="SimSun"/>
              </w:rPr>
              <w:t>С +5 по +90 день</w:t>
            </w:r>
          </w:p>
        </w:tc>
        <w:tc>
          <w:tcPr>
            <w:tcW w:w="2410" w:type="dxa"/>
            <w:vAlign w:val="center"/>
          </w:tcPr>
          <w:p w14:paraId="429E423A"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r w:rsidR="009F7F8A" w:rsidRPr="00AC3044" w14:paraId="14D12010" w14:textId="77777777" w:rsidTr="009F7F8A">
        <w:trPr>
          <w:cantSplit/>
          <w:trHeight w:val="20"/>
        </w:trPr>
        <w:tc>
          <w:tcPr>
            <w:tcW w:w="1135" w:type="dxa"/>
            <w:vMerge/>
            <w:textDirection w:val="btLr"/>
          </w:tcPr>
          <w:p w14:paraId="04E86DF0" w14:textId="77777777" w:rsidR="009F7F8A" w:rsidRPr="00AC3044" w:rsidRDefault="009F7F8A" w:rsidP="009F7F8A">
            <w:pPr>
              <w:rPr>
                <w:rFonts w:eastAsia="SimSun"/>
              </w:rPr>
            </w:pPr>
          </w:p>
        </w:tc>
        <w:tc>
          <w:tcPr>
            <w:tcW w:w="1559" w:type="dxa"/>
            <w:vAlign w:val="center"/>
          </w:tcPr>
          <w:p w14:paraId="63CE33DA"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78A81DB7"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6488E86B" w14:textId="77777777" w:rsidR="009F7F8A" w:rsidRPr="00AC3044" w:rsidRDefault="009F7F8A" w:rsidP="009F7F8A">
            <w:pPr>
              <w:rPr>
                <w:rFonts w:eastAsia="SimSun"/>
              </w:rPr>
            </w:pPr>
            <w:r w:rsidRPr="00AC3044">
              <w:rPr>
                <w:rFonts w:eastAsia="SimSun"/>
              </w:rPr>
              <w:t>100 мг/кг</w:t>
            </w:r>
          </w:p>
        </w:tc>
        <w:tc>
          <w:tcPr>
            <w:tcW w:w="1559" w:type="dxa"/>
            <w:vAlign w:val="center"/>
          </w:tcPr>
          <w:p w14:paraId="73494349" w14:textId="77777777" w:rsidR="009F7F8A" w:rsidRPr="00AC3044" w:rsidRDefault="009F7F8A" w:rsidP="009F7F8A">
            <w:pPr>
              <w:rPr>
                <w:rFonts w:eastAsia="SimSun"/>
              </w:rPr>
            </w:pPr>
            <w:r w:rsidRPr="00AC3044">
              <w:rPr>
                <w:rFonts w:eastAsia="SimSun"/>
              </w:rPr>
              <w:t xml:space="preserve">+3,+4 дни </w:t>
            </w:r>
          </w:p>
        </w:tc>
        <w:tc>
          <w:tcPr>
            <w:tcW w:w="2410" w:type="dxa"/>
            <w:vAlign w:val="center"/>
          </w:tcPr>
          <w:p w14:paraId="5CA72F5E" w14:textId="77777777" w:rsidR="009F7F8A" w:rsidRPr="00AC3044" w:rsidRDefault="009F7F8A" w:rsidP="009F7F8A">
            <w:pPr>
              <w:rPr>
                <w:rFonts w:eastAsia="SimSun"/>
              </w:rPr>
            </w:pPr>
            <w:r w:rsidRPr="00AC3044">
              <w:rPr>
                <w:rFonts w:eastAsia="SimSun"/>
              </w:rPr>
              <w:t>В/в, в течение 2 часов</w:t>
            </w:r>
          </w:p>
        </w:tc>
      </w:tr>
    </w:tbl>
    <w:p w14:paraId="35C7C368" w14:textId="77777777" w:rsidR="009F7F8A" w:rsidRPr="00C07B2E" w:rsidRDefault="009F7F8A" w:rsidP="009F7F8A">
      <w:pPr>
        <w:rPr>
          <w:rFonts w:eastAsia="SimSun"/>
        </w:rPr>
      </w:pPr>
    </w:p>
    <w:p w14:paraId="4BA02C18" w14:textId="77777777" w:rsidR="009F7F8A" w:rsidRPr="00C07B2E" w:rsidRDefault="009F7F8A" w:rsidP="009F7F8A">
      <w:pPr>
        <w:rPr>
          <w:rFonts w:eastAsia="SimSun"/>
        </w:rPr>
      </w:pPr>
      <w:bookmarkStart w:id="191" w:name="_Toc44401228"/>
      <w:r w:rsidRPr="00EE51B1">
        <w:rPr>
          <w:rFonts w:eastAsia="SimSun"/>
        </w:rPr>
        <w:t>Таблица</w:t>
      </w:r>
      <w:r w:rsidRPr="00C07B2E">
        <w:rPr>
          <w:rFonts w:eastAsia="SimSun"/>
        </w:rPr>
        <w:t xml:space="preserve"> </w:t>
      </w:r>
      <w:r>
        <w:rPr>
          <w:rFonts w:eastAsia="SimSun"/>
        </w:rPr>
        <w:t>5.</w:t>
      </w:r>
      <w:r w:rsidRPr="00C07B2E">
        <w:rPr>
          <w:rFonts w:eastAsia="SimSun"/>
        </w:rPr>
        <w:t>3.1.3  – Flu180+Bu8 / PT-Cy+hATG+CSA+MMF45</w:t>
      </w:r>
      <w:bookmarkEnd w:id="191"/>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9F7F8A" w:rsidRPr="00AC3044" w14:paraId="7EB3EAAB" w14:textId="77777777" w:rsidTr="009F7F8A">
        <w:trPr>
          <w:cantSplit/>
          <w:trHeight w:val="20"/>
          <w:tblHeader/>
        </w:trPr>
        <w:tc>
          <w:tcPr>
            <w:tcW w:w="1135" w:type="dxa"/>
          </w:tcPr>
          <w:p w14:paraId="5AC88137" w14:textId="77777777" w:rsidR="009F7F8A" w:rsidRPr="006A5E21" w:rsidRDefault="009F7F8A" w:rsidP="009F7F8A">
            <w:pPr>
              <w:rPr>
                <w:rFonts w:eastAsia="SimSun"/>
              </w:rPr>
            </w:pPr>
          </w:p>
        </w:tc>
        <w:tc>
          <w:tcPr>
            <w:tcW w:w="1559" w:type="dxa"/>
            <w:vAlign w:val="center"/>
          </w:tcPr>
          <w:p w14:paraId="5911F56B"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2100ECEE"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3B8E1EE2" w14:textId="77777777" w:rsidR="009F7F8A" w:rsidRPr="00AC3044" w:rsidRDefault="009F7F8A" w:rsidP="009F7F8A">
            <w:pPr>
              <w:rPr>
                <w:rFonts w:eastAsia="SimSun"/>
              </w:rPr>
            </w:pPr>
            <w:r w:rsidRPr="00AC3044">
              <w:rPr>
                <w:rFonts w:eastAsia="SimSun"/>
              </w:rPr>
              <w:t>Курсовая доза</w:t>
            </w:r>
          </w:p>
        </w:tc>
        <w:tc>
          <w:tcPr>
            <w:tcW w:w="1559" w:type="dxa"/>
            <w:vAlign w:val="center"/>
          </w:tcPr>
          <w:p w14:paraId="56439553" w14:textId="77777777" w:rsidR="009F7F8A" w:rsidRPr="00AC3044" w:rsidRDefault="009F7F8A" w:rsidP="009F7F8A">
            <w:pPr>
              <w:rPr>
                <w:rFonts w:eastAsia="SimSun"/>
              </w:rPr>
            </w:pPr>
            <w:r w:rsidRPr="00AC3044">
              <w:rPr>
                <w:rFonts w:eastAsia="SimSun"/>
              </w:rPr>
              <w:t>Дни введения</w:t>
            </w:r>
          </w:p>
        </w:tc>
        <w:tc>
          <w:tcPr>
            <w:tcW w:w="2410" w:type="dxa"/>
            <w:vAlign w:val="center"/>
          </w:tcPr>
          <w:p w14:paraId="79C46718"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7CD773E4" w14:textId="77777777" w:rsidTr="009F7F8A">
        <w:trPr>
          <w:cantSplit/>
          <w:trHeight w:val="20"/>
        </w:trPr>
        <w:tc>
          <w:tcPr>
            <w:tcW w:w="1135" w:type="dxa"/>
            <w:vMerge w:val="restart"/>
            <w:textDirection w:val="btLr"/>
            <w:vAlign w:val="center"/>
          </w:tcPr>
          <w:p w14:paraId="573E9223" w14:textId="77777777" w:rsidR="009F7F8A" w:rsidRPr="00AC3044" w:rsidRDefault="009F7F8A" w:rsidP="009F7F8A">
            <w:pPr>
              <w:rPr>
                <w:rFonts w:eastAsia="SimSun"/>
              </w:rPr>
            </w:pPr>
            <w:r w:rsidRPr="00AC3044">
              <w:rPr>
                <w:rFonts w:eastAsia="SimSun"/>
              </w:rPr>
              <w:t>Кондиционирование</w:t>
            </w:r>
          </w:p>
        </w:tc>
        <w:tc>
          <w:tcPr>
            <w:tcW w:w="1559" w:type="dxa"/>
            <w:vAlign w:val="center"/>
          </w:tcPr>
          <w:p w14:paraId="167937D6"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435FCE88"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4D82FD50"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559" w:type="dxa"/>
            <w:vAlign w:val="center"/>
          </w:tcPr>
          <w:p w14:paraId="353CD1F6" w14:textId="77777777" w:rsidR="009F7F8A" w:rsidRPr="00AC3044" w:rsidRDefault="009F7F8A" w:rsidP="009F7F8A">
            <w:pPr>
              <w:rPr>
                <w:rFonts w:eastAsia="SimSun"/>
              </w:rPr>
            </w:pPr>
            <w:r w:rsidRPr="00AC3044">
              <w:rPr>
                <w:rFonts w:eastAsia="SimSun"/>
              </w:rPr>
              <w:t>С –10 по –5 день</w:t>
            </w:r>
          </w:p>
        </w:tc>
        <w:tc>
          <w:tcPr>
            <w:tcW w:w="2410" w:type="dxa"/>
            <w:vAlign w:val="center"/>
          </w:tcPr>
          <w:p w14:paraId="794F936B"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610249A0" w14:textId="77777777" w:rsidTr="009F7F8A">
        <w:trPr>
          <w:cantSplit/>
          <w:trHeight w:val="2123"/>
        </w:trPr>
        <w:tc>
          <w:tcPr>
            <w:tcW w:w="1135" w:type="dxa"/>
            <w:vMerge/>
            <w:textDirection w:val="btLr"/>
            <w:vAlign w:val="center"/>
          </w:tcPr>
          <w:p w14:paraId="7085F420" w14:textId="77777777" w:rsidR="009F7F8A" w:rsidRPr="00AC3044" w:rsidRDefault="009F7F8A" w:rsidP="009F7F8A">
            <w:pPr>
              <w:rPr>
                <w:rFonts w:eastAsia="SimSun"/>
              </w:rPr>
            </w:pPr>
          </w:p>
        </w:tc>
        <w:tc>
          <w:tcPr>
            <w:tcW w:w="1559" w:type="dxa"/>
            <w:vAlign w:val="center"/>
          </w:tcPr>
          <w:p w14:paraId="5DF36B08" w14:textId="77777777" w:rsidR="009F7F8A" w:rsidRPr="00AC3044" w:rsidRDefault="009F7F8A" w:rsidP="009F7F8A">
            <w:pPr>
              <w:rPr>
                <w:rFonts w:eastAsia="SimSun"/>
              </w:rPr>
            </w:pPr>
            <w:r w:rsidRPr="00AC3044">
              <w:rPr>
                <w:rFonts w:eastAsia="SimSun"/>
              </w:rPr>
              <w:t>Бусульфан</w:t>
            </w:r>
          </w:p>
        </w:tc>
        <w:tc>
          <w:tcPr>
            <w:tcW w:w="1418" w:type="dxa"/>
            <w:vAlign w:val="center"/>
          </w:tcPr>
          <w:p w14:paraId="5E5DF20A" w14:textId="77777777" w:rsidR="009F7F8A" w:rsidRPr="00AC3044" w:rsidRDefault="009F7F8A" w:rsidP="009F7F8A">
            <w:pPr>
              <w:rPr>
                <w:rFonts w:eastAsia="SimSun"/>
              </w:rPr>
            </w:pPr>
            <w:r w:rsidRPr="00AC3044">
              <w:rPr>
                <w:rFonts w:eastAsia="SimSun"/>
              </w:rPr>
              <w:t>4 мг/кг</w:t>
            </w:r>
          </w:p>
        </w:tc>
        <w:tc>
          <w:tcPr>
            <w:tcW w:w="1559" w:type="dxa"/>
            <w:vAlign w:val="center"/>
          </w:tcPr>
          <w:p w14:paraId="551B4532" w14:textId="77777777" w:rsidR="009F7F8A" w:rsidRPr="00AC3044" w:rsidRDefault="009F7F8A" w:rsidP="009F7F8A">
            <w:pPr>
              <w:rPr>
                <w:rFonts w:eastAsia="SimSun"/>
              </w:rPr>
            </w:pPr>
            <w:r w:rsidRPr="00AC3044">
              <w:rPr>
                <w:rFonts w:eastAsia="SimSun"/>
              </w:rPr>
              <w:t>8 мг/кг</w:t>
            </w:r>
          </w:p>
        </w:tc>
        <w:tc>
          <w:tcPr>
            <w:tcW w:w="1559" w:type="dxa"/>
            <w:vAlign w:val="center"/>
          </w:tcPr>
          <w:p w14:paraId="123A67A8" w14:textId="77777777" w:rsidR="009F7F8A" w:rsidRPr="00AC3044" w:rsidRDefault="009F7F8A" w:rsidP="009F7F8A">
            <w:pPr>
              <w:rPr>
                <w:rFonts w:eastAsia="SimSun"/>
              </w:rPr>
            </w:pPr>
            <w:r w:rsidRPr="00AC3044">
              <w:rPr>
                <w:rFonts w:eastAsia="SimSun"/>
              </w:rPr>
              <w:t xml:space="preserve"> –6, –5 дни</w:t>
            </w:r>
          </w:p>
        </w:tc>
        <w:tc>
          <w:tcPr>
            <w:tcW w:w="2410" w:type="dxa"/>
            <w:vAlign w:val="center"/>
          </w:tcPr>
          <w:p w14:paraId="65A75F5C"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3A52D19B" w14:textId="77777777" w:rsidTr="009F7F8A">
        <w:trPr>
          <w:cantSplit/>
          <w:trHeight w:val="20"/>
        </w:trPr>
        <w:tc>
          <w:tcPr>
            <w:tcW w:w="1135" w:type="dxa"/>
            <w:vMerge w:val="restart"/>
            <w:textDirection w:val="btLr"/>
            <w:vAlign w:val="center"/>
          </w:tcPr>
          <w:p w14:paraId="2FCF6CF9" w14:textId="77777777" w:rsidR="009F7F8A" w:rsidRPr="00AC3044" w:rsidRDefault="009F7F8A" w:rsidP="009F7F8A">
            <w:pPr>
              <w:rPr>
                <w:rFonts w:eastAsia="SimSun"/>
              </w:rPr>
            </w:pPr>
            <w:r w:rsidRPr="00AC3044">
              <w:rPr>
                <w:rFonts w:eastAsia="SimSun"/>
              </w:rPr>
              <w:t>Профилактика РТПХ</w:t>
            </w:r>
          </w:p>
        </w:tc>
        <w:tc>
          <w:tcPr>
            <w:tcW w:w="1559" w:type="dxa"/>
            <w:vAlign w:val="center"/>
          </w:tcPr>
          <w:p w14:paraId="43944ADF" w14:textId="77777777" w:rsidR="009F7F8A" w:rsidRPr="00AC3044" w:rsidRDefault="009F7F8A" w:rsidP="009F7F8A">
            <w:pPr>
              <w:rPr>
                <w:rFonts w:eastAsia="SimSun"/>
              </w:rPr>
            </w:pPr>
            <w:r w:rsidRPr="00AC3044">
              <w:rPr>
                <w:rFonts w:eastAsia="SimSun"/>
              </w:rPr>
              <w:t>АТГ (лошадиный)</w:t>
            </w:r>
          </w:p>
        </w:tc>
        <w:tc>
          <w:tcPr>
            <w:tcW w:w="1418" w:type="dxa"/>
            <w:vAlign w:val="center"/>
          </w:tcPr>
          <w:p w14:paraId="2B09329E" w14:textId="77777777" w:rsidR="009F7F8A" w:rsidRPr="00AC3044" w:rsidRDefault="009F7F8A" w:rsidP="009F7F8A">
            <w:pPr>
              <w:rPr>
                <w:rFonts w:eastAsia="SimSun"/>
              </w:rPr>
            </w:pPr>
            <w:r w:rsidRPr="00AC3044">
              <w:rPr>
                <w:rFonts w:eastAsia="SimSun"/>
              </w:rPr>
              <w:t>10-15 мг/кг</w:t>
            </w:r>
          </w:p>
        </w:tc>
        <w:tc>
          <w:tcPr>
            <w:tcW w:w="1559" w:type="dxa"/>
            <w:vAlign w:val="center"/>
          </w:tcPr>
          <w:p w14:paraId="1AE79691" w14:textId="77777777" w:rsidR="009F7F8A" w:rsidRPr="00AC3044" w:rsidRDefault="009F7F8A" w:rsidP="009F7F8A">
            <w:pPr>
              <w:rPr>
                <w:rFonts w:eastAsia="SimSun"/>
              </w:rPr>
            </w:pPr>
            <w:r w:rsidRPr="00AC3044">
              <w:rPr>
                <w:rFonts w:eastAsia="SimSun"/>
              </w:rPr>
              <w:t>40-60 мг/кг</w:t>
            </w:r>
          </w:p>
        </w:tc>
        <w:tc>
          <w:tcPr>
            <w:tcW w:w="1559" w:type="dxa"/>
            <w:vAlign w:val="center"/>
          </w:tcPr>
          <w:p w14:paraId="4187F0DF" w14:textId="77777777" w:rsidR="009F7F8A" w:rsidRPr="00AC3044" w:rsidRDefault="009F7F8A" w:rsidP="009F7F8A">
            <w:pPr>
              <w:rPr>
                <w:rFonts w:eastAsia="SimSun"/>
              </w:rPr>
            </w:pPr>
            <w:r w:rsidRPr="00AC3044">
              <w:rPr>
                <w:rFonts w:eastAsia="SimSun"/>
              </w:rPr>
              <w:t>С –4 по –1 день</w:t>
            </w:r>
          </w:p>
        </w:tc>
        <w:tc>
          <w:tcPr>
            <w:tcW w:w="2410" w:type="dxa"/>
            <w:vAlign w:val="center"/>
          </w:tcPr>
          <w:p w14:paraId="17307DB2" w14:textId="77777777" w:rsidR="009F7F8A" w:rsidRPr="00AC3044" w:rsidRDefault="009F7F8A" w:rsidP="009F7F8A">
            <w:pPr>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9F7F8A" w:rsidRPr="00AC3044" w14:paraId="26B81DD2" w14:textId="77777777" w:rsidTr="009F7F8A">
        <w:trPr>
          <w:cantSplit/>
          <w:trHeight w:val="20"/>
        </w:trPr>
        <w:tc>
          <w:tcPr>
            <w:tcW w:w="1135" w:type="dxa"/>
            <w:vMerge/>
            <w:textDirection w:val="btLr"/>
          </w:tcPr>
          <w:p w14:paraId="16400D24" w14:textId="77777777" w:rsidR="009F7F8A" w:rsidRPr="00AC3044" w:rsidRDefault="009F7F8A" w:rsidP="009F7F8A">
            <w:pPr>
              <w:rPr>
                <w:rFonts w:eastAsia="SimSun"/>
              </w:rPr>
            </w:pPr>
          </w:p>
        </w:tc>
        <w:tc>
          <w:tcPr>
            <w:tcW w:w="1559" w:type="dxa"/>
            <w:vAlign w:val="center"/>
          </w:tcPr>
          <w:p w14:paraId="3244CBC9" w14:textId="77777777" w:rsidR="009F7F8A" w:rsidRPr="00AC3044" w:rsidRDefault="009F7F8A" w:rsidP="009F7F8A">
            <w:pPr>
              <w:rPr>
                <w:rFonts w:eastAsia="SimSun"/>
              </w:rPr>
            </w:pPr>
            <w:r w:rsidRPr="00AC3044">
              <w:rPr>
                <w:rFonts w:eastAsia="SimSun"/>
              </w:rPr>
              <w:t>Циклоспорин</w:t>
            </w:r>
          </w:p>
        </w:tc>
        <w:tc>
          <w:tcPr>
            <w:tcW w:w="1418" w:type="dxa"/>
            <w:vAlign w:val="center"/>
          </w:tcPr>
          <w:p w14:paraId="144AB038" w14:textId="77777777" w:rsidR="009F7F8A" w:rsidRPr="00AC3044" w:rsidRDefault="009F7F8A" w:rsidP="009F7F8A">
            <w:pPr>
              <w:rPr>
                <w:rFonts w:eastAsia="SimSun"/>
              </w:rPr>
            </w:pPr>
            <w:r w:rsidRPr="00AC3044">
              <w:rPr>
                <w:rFonts w:eastAsia="SimSun"/>
              </w:rPr>
              <w:t>3 мг/кг</w:t>
            </w:r>
          </w:p>
        </w:tc>
        <w:tc>
          <w:tcPr>
            <w:tcW w:w="1559" w:type="dxa"/>
            <w:vAlign w:val="center"/>
          </w:tcPr>
          <w:p w14:paraId="105711CA" w14:textId="77777777" w:rsidR="009F7F8A" w:rsidRPr="00AC3044" w:rsidRDefault="009F7F8A" w:rsidP="009F7F8A">
            <w:pPr>
              <w:rPr>
                <w:rFonts w:eastAsia="SimSun"/>
              </w:rPr>
            </w:pPr>
            <w:r w:rsidRPr="00AC3044">
              <w:rPr>
                <w:rFonts w:eastAsia="SimSun"/>
              </w:rPr>
              <w:t>–</w:t>
            </w:r>
          </w:p>
        </w:tc>
        <w:tc>
          <w:tcPr>
            <w:tcW w:w="1559" w:type="dxa"/>
            <w:vAlign w:val="center"/>
          </w:tcPr>
          <w:p w14:paraId="775223C2" w14:textId="77777777" w:rsidR="009F7F8A" w:rsidRPr="00AC3044" w:rsidRDefault="009F7F8A" w:rsidP="009F7F8A">
            <w:pPr>
              <w:rPr>
                <w:rFonts w:eastAsia="SimSun"/>
              </w:rPr>
            </w:pPr>
            <w:r w:rsidRPr="00AC3044">
              <w:rPr>
                <w:rFonts w:eastAsia="SimSun"/>
              </w:rPr>
              <w:t>С +5 по +90 день, затем постепенное снижение к +180 дню</w:t>
            </w:r>
          </w:p>
        </w:tc>
        <w:tc>
          <w:tcPr>
            <w:tcW w:w="2410" w:type="dxa"/>
            <w:vAlign w:val="center"/>
          </w:tcPr>
          <w:p w14:paraId="2532BE38"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541B13DA" w14:textId="77777777" w:rsidTr="009F7F8A">
        <w:trPr>
          <w:cantSplit/>
          <w:trHeight w:val="20"/>
        </w:trPr>
        <w:tc>
          <w:tcPr>
            <w:tcW w:w="1135" w:type="dxa"/>
            <w:vMerge/>
          </w:tcPr>
          <w:p w14:paraId="005CD2F7" w14:textId="77777777" w:rsidR="009F7F8A" w:rsidRPr="00AC3044" w:rsidRDefault="009F7F8A" w:rsidP="009F7F8A">
            <w:pPr>
              <w:rPr>
                <w:rFonts w:eastAsia="SimSun"/>
              </w:rPr>
            </w:pPr>
          </w:p>
        </w:tc>
        <w:tc>
          <w:tcPr>
            <w:tcW w:w="1559" w:type="dxa"/>
            <w:vAlign w:val="center"/>
          </w:tcPr>
          <w:p w14:paraId="041600C3" w14:textId="77777777" w:rsidR="009F7F8A" w:rsidRPr="00AC3044" w:rsidRDefault="009F7F8A" w:rsidP="009F7F8A">
            <w:pPr>
              <w:rPr>
                <w:rFonts w:eastAsia="SimSun"/>
              </w:rPr>
            </w:pPr>
            <w:r w:rsidRPr="00AC3044">
              <w:rPr>
                <w:rFonts w:eastAsia="SimSun"/>
              </w:rPr>
              <w:t>Микофенолата мофетил</w:t>
            </w:r>
          </w:p>
        </w:tc>
        <w:tc>
          <w:tcPr>
            <w:tcW w:w="1418" w:type="dxa"/>
            <w:vAlign w:val="center"/>
          </w:tcPr>
          <w:p w14:paraId="5B27E0B4" w14:textId="77777777" w:rsidR="009F7F8A" w:rsidRPr="00AC3044" w:rsidRDefault="009F7F8A" w:rsidP="009F7F8A">
            <w:pPr>
              <w:rPr>
                <w:rFonts w:eastAsia="SimSun"/>
              </w:rPr>
            </w:pPr>
            <w:r w:rsidRPr="00AC3044">
              <w:rPr>
                <w:rFonts w:eastAsia="SimSun"/>
              </w:rPr>
              <w:t>45 мг/кг</w:t>
            </w:r>
          </w:p>
        </w:tc>
        <w:tc>
          <w:tcPr>
            <w:tcW w:w="1559" w:type="dxa"/>
            <w:vAlign w:val="center"/>
          </w:tcPr>
          <w:p w14:paraId="23E43384" w14:textId="77777777" w:rsidR="009F7F8A" w:rsidRPr="00AC3044" w:rsidRDefault="009F7F8A" w:rsidP="009F7F8A">
            <w:pPr>
              <w:rPr>
                <w:rFonts w:eastAsia="SimSun"/>
              </w:rPr>
            </w:pPr>
            <w:r w:rsidRPr="00AC3044">
              <w:rPr>
                <w:rFonts w:eastAsia="SimSun"/>
              </w:rPr>
              <w:t>–</w:t>
            </w:r>
          </w:p>
        </w:tc>
        <w:tc>
          <w:tcPr>
            <w:tcW w:w="1559" w:type="dxa"/>
            <w:vAlign w:val="center"/>
          </w:tcPr>
          <w:p w14:paraId="049925A6" w14:textId="77777777" w:rsidR="009F7F8A" w:rsidRPr="00AC3044" w:rsidRDefault="009F7F8A" w:rsidP="009F7F8A">
            <w:pPr>
              <w:rPr>
                <w:rFonts w:eastAsia="SimSun"/>
              </w:rPr>
            </w:pPr>
            <w:r w:rsidRPr="00AC3044">
              <w:rPr>
                <w:rFonts w:eastAsia="SimSun"/>
              </w:rPr>
              <w:t>С +5 по +90 день</w:t>
            </w:r>
          </w:p>
        </w:tc>
        <w:tc>
          <w:tcPr>
            <w:tcW w:w="2410" w:type="dxa"/>
            <w:vAlign w:val="center"/>
          </w:tcPr>
          <w:p w14:paraId="02460ADB"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r w:rsidR="009F7F8A" w:rsidRPr="00AC3044" w14:paraId="5EB10475" w14:textId="77777777" w:rsidTr="009F7F8A">
        <w:trPr>
          <w:cantSplit/>
          <w:trHeight w:val="464"/>
        </w:trPr>
        <w:tc>
          <w:tcPr>
            <w:tcW w:w="1135" w:type="dxa"/>
            <w:vMerge/>
          </w:tcPr>
          <w:p w14:paraId="2DD5770D" w14:textId="77777777" w:rsidR="009F7F8A" w:rsidRPr="00AC3044" w:rsidRDefault="009F7F8A" w:rsidP="009F7F8A">
            <w:pPr>
              <w:rPr>
                <w:rFonts w:eastAsia="SimSun"/>
              </w:rPr>
            </w:pPr>
            <w:bookmarkStart w:id="192" w:name="_Hlk716839"/>
          </w:p>
        </w:tc>
        <w:tc>
          <w:tcPr>
            <w:tcW w:w="1559" w:type="dxa"/>
            <w:vAlign w:val="center"/>
          </w:tcPr>
          <w:p w14:paraId="71450AEE"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00C14B2B"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126D6A18" w14:textId="77777777" w:rsidR="009F7F8A" w:rsidRPr="00AC3044" w:rsidRDefault="009F7F8A" w:rsidP="009F7F8A">
            <w:pPr>
              <w:rPr>
                <w:rFonts w:eastAsia="SimSun"/>
              </w:rPr>
            </w:pPr>
            <w:r w:rsidRPr="00AC3044">
              <w:rPr>
                <w:rFonts w:eastAsia="SimSun"/>
              </w:rPr>
              <w:t>100 мг/кг</w:t>
            </w:r>
          </w:p>
        </w:tc>
        <w:tc>
          <w:tcPr>
            <w:tcW w:w="1559" w:type="dxa"/>
            <w:vAlign w:val="center"/>
          </w:tcPr>
          <w:p w14:paraId="0A8BDA6A" w14:textId="77777777" w:rsidR="009F7F8A" w:rsidRPr="00AC3044" w:rsidRDefault="009F7F8A" w:rsidP="009F7F8A">
            <w:pPr>
              <w:rPr>
                <w:rFonts w:eastAsia="SimSun"/>
              </w:rPr>
            </w:pPr>
            <w:r w:rsidRPr="00AC3044">
              <w:rPr>
                <w:rFonts w:eastAsia="SimSun"/>
              </w:rPr>
              <w:t xml:space="preserve">+3, +4 дни </w:t>
            </w:r>
          </w:p>
        </w:tc>
        <w:tc>
          <w:tcPr>
            <w:tcW w:w="2410" w:type="dxa"/>
            <w:vAlign w:val="center"/>
          </w:tcPr>
          <w:p w14:paraId="3246BC42" w14:textId="77777777" w:rsidR="009F7F8A" w:rsidRPr="00AC3044" w:rsidRDefault="009F7F8A" w:rsidP="009F7F8A">
            <w:pPr>
              <w:rPr>
                <w:rFonts w:eastAsia="SimSun"/>
              </w:rPr>
            </w:pPr>
            <w:r w:rsidRPr="00AC3044">
              <w:rPr>
                <w:rFonts w:eastAsia="SimSun"/>
              </w:rPr>
              <w:t>В/в, в течение 2 часов</w:t>
            </w:r>
          </w:p>
        </w:tc>
      </w:tr>
    </w:tbl>
    <w:p w14:paraId="4804E1D8" w14:textId="77777777" w:rsidR="009F7F8A" w:rsidRDefault="009F7F8A" w:rsidP="009F7F8A">
      <w:pPr>
        <w:rPr>
          <w:rFonts w:eastAsia="SimSun"/>
        </w:rPr>
      </w:pPr>
      <w:bookmarkStart w:id="193" w:name="_Toc44401229"/>
      <w:bookmarkEnd w:id="192"/>
    </w:p>
    <w:p w14:paraId="7E58FBD3" w14:textId="77777777" w:rsidR="009F7F8A" w:rsidRPr="00C07B2E" w:rsidRDefault="009F7F8A" w:rsidP="009F7F8A">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3.1.4  – Flu180+Bu8 / PT-Cy+CSA+MMF30</w:t>
      </w:r>
      <w:bookmarkEnd w:id="193"/>
    </w:p>
    <w:tbl>
      <w:tblPr>
        <w:tblW w:w="9588"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
        <w:gridCol w:w="1559"/>
        <w:gridCol w:w="1418"/>
        <w:gridCol w:w="1559"/>
        <w:gridCol w:w="1559"/>
        <w:gridCol w:w="2410"/>
      </w:tblGrid>
      <w:tr w:rsidR="009F7F8A" w:rsidRPr="00AC3044" w14:paraId="442F74D8" w14:textId="77777777" w:rsidTr="009F7F8A">
        <w:trPr>
          <w:cantSplit/>
          <w:trHeight w:val="20"/>
          <w:tblHeader/>
        </w:trPr>
        <w:tc>
          <w:tcPr>
            <w:tcW w:w="1083" w:type="dxa"/>
          </w:tcPr>
          <w:p w14:paraId="36C1BE1F" w14:textId="77777777" w:rsidR="009F7F8A" w:rsidRPr="006A5E21" w:rsidRDefault="009F7F8A" w:rsidP="009F7F8A">
            <w:pPr>
              <w:rPr>
                <w:rFonts w:eastAsia="SimSun"/>
              </w:rPr>
            </w:pPr>
          </w:p>
        </w:tc>
        <w:tc>
          <w:tcPr>
            <w:tcW w:w="1559" w:type="dxa"/>
            <w:vAlign w:val="center"/>
          </w:tcPr>
          <w:p w14:paraId="41A77777"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509EDFA7"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79F6F82F" w14:textId="77777777" w:rsidR="009F7F8A" w:rsidRPr="00AC3044" w:rsidRDefault="009F7F8A" w:rsidP="009F7F8A">
            <w:pPr>
              <w:rPr>
                <w:rFonts w:eastAsia="SimSun"/>
              </w:rPr>
            </w:pPr>
            <w:r w:rsidRPr="00AC3044">
              <w:rPr>
                <w:rFonts w:eastAsia="SimSun"/>
              </w:rPr>
              <w:t>Курсовая доза</w:t>
            </w:r>
          </w:p>
        </w:tc>
        <w:tc>
          <w:tcPr>
            <w:tcW w:w="1559" w:type="dxa"/>
            <w:vAlign w:val="center"/>
          </w:tcPr>
          <w:p w14:paraId="129C2035" w14:textId="77777777" w:rsidR="009F7F8A" w:rsidRPr="00AC3044" w:rsidRDefault="009F7F8A" w:rsidP="009F7F8A">
            <w:pPr>
              <w:rPr>
                <w:rFonts w:eastAsia="SimSun"/>
              </w:rPr>
            </w:pPr>
            <w:r w:rsidRPr="00AC3044">
              <w:rPr>
                <w:rFonts w:eastAsia="SimSun"/>
              </w:rPr>
              <w:t>Дни введения</w:t>
            </w:r>
          </w:p>
        </w:tc>
        <w:tc>
          <w:tcPr>
            <w:tcW w:w="2410" w:type="dxa"/>
            <w:vAlign w:val="center"/>
          </w:tcPr>
          <w:p w14:paraId="0A8C51EC"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3420C273" w14:textId="77777777" w:rsidTr="009F7F8A">
        <w:trPr>
          <w:cantSplit/>
          <w:trHeight w:val="20"/>
        </w:trPr>
        <w:tc>
          <w:tcPr>
            <w:tcW w:w="1083" w:type="dxa"/>
            <w:vMerge w:val="restart"/>
            <w:textDirection w:val="btLr"/>
            <w:vAlign w:val="center"/>
          </w:tcPr>
          <w:p w14:paraId="6BA25F74" w14:textId="77777777" w:rsidR="009F7F8A" w:rsidRPr="00AC3044" w:rsidRDefault="009F7F8A" w:rsidP="009F7F8A">
            <w:pPr>
              <w:rPr>
                <w:rFonts w:eastAsia="SimSun"/>
              </w:rPr>
            </w:pPr>
            <w:r w:rsidRPr="00AC3044">
              <w:rPr>
                <w:rFonts w:eastAsia="SimSun"/>
              </w:rPr>
              <w:t>Кондиционирование</w:t>
            </w:r>
          </w:p>
        </w:tc>
        <w:tc>
          <w:tcPr>
            <w:tcW w:w="1559" w:type="dxa"/>
            <w:vAlign w:val="center"/>
          </w:tcPr>
          <w:p w14:paraId="4F34CEF0"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37F3B94F"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1C18E9A9"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559" w:type="dxa"/>
            <w:vAlign w:val="center"/>
          </w:tcPr>
          <w:p w14:paraId="02C8C9B2" w14:textId="77777777" w:rsidR="009F7F8A" w:rsidRPr="00AC3044" w:rsidRDefault="009F7F8A" w:rsidP="009F7F8A">
            <w:pPr>
              <w:rPr>
                <w:rFonts w:eastAsia="SimSun"/>
              </w:rPr>
            </w:pPr>
            <w:r w:rsidRPr="00AC3044">
              <w:rPr>
                <w:rFonts w:eastAsia="SimSun"/>
              </w:rPr>
              <w:t>С –7 по –2 день</w:t>
            </w:r>
          </w:p>
        </w:tc>
        <w:tc>
          <w:tcPr>
            <w:tcW w:w="2410" w:type="dxa"/>
            <w:vAlign w:val="center"/>
          </w:tcPr>
          <w:p w14:paraId="6BEE6836"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7A95FD31" w14:textId="77777777" w:rsidTr="009F7F8A">
        <w:trPr>
          <w:cantSplit/>
          <w:trHeight w:val="1123"/>
        </w:trPr>
        <w:tc>
          <w:tcPr>
            <w:tcW w:w="1083" w:type="dxa"/>
            <w:vMerge/>
            <w:textDirection w:val="btLr"/>
            <w:vAlign w:val="center"/>
          </w:tcPr>
          <w:p w14:paraId="67D096A8" w14:textId="77777777" w:rsidR="009F7F8A" w:rsidRPr="00AC3044" w:rsidRDefault="009F7F8A" w:rsidP="009F7F8A">
            <w:pPr>
              <w:rPr>
                <w:rFonts w:eastAsia="SimSun"/>
              </w:rPr>
            </w:pPr>
          </w:p>
        </w:tc>
        <w:tc>
          <w:tcPr>
            <w:tcW w:w="1559" w:type="dxa"/>
            <w:vAlign w:val="center"/>
          </w:tcPr>
          <w:p w14:paraId="4830A5EA" w14:textId="77777777" w:rsidR="009F7F8A" w:rsidRPr="00AC3044" w:rsidRDefault="009F7F8A" w:rsidP="009F7F8A">
            <w:pPr>
              <w:rPr>
                <w:rFonts w:eastAsia="SimSun"/>
              </w:rPr>
            </w:pPr>
            <w:r w:rsidRPr="00AC3044">
              <w:rPr>
                <w:rFonts w:eastAsia="SimSun"/>
              </w:rPr>
              <w:t>Бусульфан</w:t>
            </w:r>
          </w:p>
        </w:tc>
        <w:tc>
          <w:tcPr>
            <w:tcW w:w="1418" w:type="dxa"/>
            <w:vAlign w:val="center"/>
          </w:tcPr>
          <w:p w14:paraId="0D59D7A7" w14:textId="77777777" w:rsidR="009F7F8A" w:rsidRPr="00AC3044" w:rsidRDefault="009F7F8A" w:rsidP="009F7F8A">
            <w:pPr>
              <w:rPr>
                <w:rFonts w:eastAsia="SimSun"/>
              </w:rPr>
            </w:pPr>
            <w:r w:rsidRPr="00AC3044">
              <w:rPr>
                <w:rFonts w:eastAsia="SimSun"/>
              </w:rPr>
              <w:t>4 мг/кг</w:t>
            </w:r>
          </w:p>
        </w:tc>
        <w:tc>
          <w:tcPr>
            <w:tcW w:w="1559" w:type="dxa"/>
            <w:vAlign w:val="center"/>
          </w:tcPr>
          <w:p w14:paraId="4AB2ECBF" w14:textId="77777777" w:rsidR="009F7F8A" w:rsidRPr="00AC3044" w:rsidRDefault="009F7F8A" w:rsidP="009F7F8A">
            <w:pPr>
              <w:rPr>
                <w:rFonts w:eastAsia="SimSun"/>
              </w:rPr>
            </w:pPr>
            <w:r w:rsidRPr="00AC3044">
              <w:rPr>
                <w:rFonts w:eastAsia="SimSun"/>
              </w:rPr>
              <w:t>8 мг/кг</w:t>
            </w:r>
          </w:p>
        </w:tc>
        <w:tc>
          <w:tcPr>
            <w:tcW w:w="1559" w:type="dxa"/>
            <w:vAlign w:val="center"/>
          </w:tcPr>
          <w:p w14:paraId="4D313560" w14:textId="77777777" w:rsidR="009F7F8A" w:rsidRPr="00AC3044" w:rsidRDefault="009F7F8A" w:rsidP="009F7F8A">
            <w:pPr>
              <w:rPr>
                <w:rFonts w:eastAsia="SimSun"/>
              </w:rPr>
            </w:pPr>
            <w:r w:rsidRPr="00AC3044">
              <w:rPr>
                <w:rFonts w:eastAsia="SimSun"/>
              </w:rPr>
              <w:t>–3, –2 дни</w:t>
            </w:r>
          </w:p>
        </w:tc>
        <w:tc>
          <w:tcPr>
            <w:tcW w:w="2410" w:type="dxa"/>
            <w:vAlign w:val="center"/>
          </w:tcPr>
          <w:p w14:paraId="73D9837B"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40F05E02" w14:textId="77777777" w:rsidTr="009F7F8A">
        <w:trPr>
          <w:cantSplit/>
          <w:trHeight w:val="20"/>
        </w:trPr>
        <w:tc>
          <w:tcPr>
            <w:tcW w:w="1083" w:type="dxa"/>
            <w:vMerge w:val="restart"/>
            <w:textDirection w:val="btLr"/>
            <w:vAlign w:val="center"/>
          </w:tcPr>
          <w:p w14:paraId="671F3636" w14:textId="77777777" w:rsidR="009F7F8A" w:rsidRPr="00AC3044" w:rsidRDefault="009F7F8A" w:rsidP="009F7F8A">
            <w:pPr>
              <w:rPr>
                <w:rFonts w:eastAsia="SimSun"/>
              </w:rPr>
            </w:pPr>
            <w:r w:rsidRPr="00AC3044">
              <w:rPr>
                <w:rFonts w:eastAsia="SimSun"/>
              </w:rPr>
              <w:t>Профилактика РТПХ</w:t>
            </w:r>
          </w:p>
        </w:tc>
        <w:tc>
          <w:tcPr>
            <w:tcW w:w="1559" w:type="dxa"/>
            <w:vAlign w:val="center"/>
          </w:tcPr>
          <w:p w14:paraId="336FA7BC" w14:textId="77777777" w:rsidR="009F7F8A" w:rsidRPr="00AC3044" w:rsidRDefault="009F7F8A" w:rsidP="009F7F8A">
            <w:pPr>
              <w:rPr>
                <w:rFonts w:eastAsia="SimSun"/>
              </w:rPr>
            </w:pPr>
            <w:r w:rsidRPr="00AC3044">
              <w:rPr>
                <w:rFonts w:eastAsia="SimSun"/>
              </w:rPr>
              <w:t>Циклоспорин</w:t>
            </w:r>
          </w:p>
        </w:tc>
        <w:tc>
          <w:tcPr>
            <w:tcW w:w="1418" w:type="dxa"/>
            <w:vAlign w:val="center"/>
          </w:tcPr>
          <w:p w14:paraId="5D82A346" w14:textId="77777777" w:rsidR="009F7F8A" w:rsidRPr="00AC3044" w:rsidRDefault="009F7F8A" w:rsidP="009F7F8A">
            <w:pPr>
              <w:rPr>
                <w:rFonts w:eastAsia="SimSun"/>
              </w:rPr>
            </w:pPr>
            <w:r w:rsidRPr="00AC3044">
              <w:rPr>
                <w:rFonts w:eastAsia="SimSun"/>
              </w:rPr>
              <w:t>3 мг/кг</w:t>
            </w:r>
          </w:p>
        </w:tc>
        <w:tc>
          <w:tcPr>
            <w:tcW w:w="1559" w:type="dxa"/>
            <w:vAlign w:val="center"/>
          </w:tcPr>
          <w:p w14:paraId="77BE954F" w14:textId="77777777" w:rsidR="009F7F8A" w:rsidRPr="00AC3044" w:rsidRDefault="009F7F8A" w:rsidP="009F7F8A">
            <w:pPr>
              <w:rPr>
                <w:rFonts w:eastAsia="SimSun"/>
              </w:rPr>
            </w:pPr>
            <w:r w:rsidRPr="00AC3044">
              <w:rPr>
                <w:rFonts w:eastAsia="SimSun"/>
              </w:rPr>
              <w:t>–</w:t>
            </w:r>
          </w:p>
        </w:tc>
        <w:tc>
          <w:tcPr>
            <w:tcW w:w="1559" w:type="dxa"/>
            <w:vAlign w:val="center"/>
          </w:tcPr>
          <w:p w14:paraId="6572F294" w14:textId="77777777" w:rsidR="009F7F8A" w:rsidRPr="00AC3044" w:rsidRDefault="009F7F8A" w:rsidP="009F7F8A">
            <w:pPr>
              <w:rPr>
                <w:rFonts w:eastAsia="SimSun"/>
              </w:rPr>
            </w:pPr>
            <w:r w:rsidRPr="00AC3044">
              <w:rPr>
                <w:rFonts w:eastAsia="SimSun"/>
              </w:rPr>
              <w:t>С +5 по +90 день, затем постепенное снижение к +180 дню</w:t>
            </w:r>
          </w:p>
        </w:tc>
        <w:tc>
          <w:tcPr>
            <w:tcW w:w="2410" w:type="dxa"/>
            <w:vAlign w:val="center"/>
          </w:tcPr>
          <w:p w14:paraId="05D113C7"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0EF622EC" w14:textId="77777777" w:rsidTr="009F7F8A">
        <w:trPr>
          <w:cantSplit/>
          <w:trHeight w:val="20"/>
        </w:trPr>
        <w:tc>
          <w:tcPr>
            <w:tcW w:w="1083" w:type="dxa"/>
            <w:vMerge/>
          </w:tcPr>
          <w:p w14:paraId="60534CB7" w14:textId="77777777" w:rsidR="009F7F8A" w:rsidRPr="00AC3044" w:rsidRDefault="009F7F8A" w:rsidP="009F7F8A">
            <w:pPr>
              <w:rPr>
                <w:rFonts w:eastAsia="SimSun"/>
              </w:rPr>
            </w:pPr>
          </w:p>
        </w:tc>
        <w:tc>
          <w:tcPr>
            <w:tcW w:w="1559" w:type="dxa"/>
            <w:vAlign w:val="center"/>
          </w:tcPr>
          <w:p w14:paraId="76B2E816" w14:textId="77777777" w:rsidR="009F7F8A" w:rsidRPr="00AC3044" w:rsidRDefault="009F7F8A" w:rsidP="009F7F8A">
            <w:pPr>
              <w:rPr>
                <w:rFonts w:eastAsia="SimSun"/>
              </w:rPr>
            </w:pPr>
            <w:r w:rsidRPr="00AC3044">
              <w:rPr>
                <w:rFonts w:eastAsia="SimSun"/>
              </w:rPr>
              <w:t>Микофенолата мофетил</w:t>
            </w:r>
          </w:p>
        </w:tc>
        <w:tc>
          <w:tcPr>
            <w:tcW w:w="1418" w:type="dxa"/>
            <w:vAlign w:val="center"/>
          </w:tcPr>
          <w:p w14:paraId="487E8B81" w14:textId="77777777" w:rsidR="009F7F8A" w:rsidRPr="00AC3044" w:rsidRDefault="009F7F8A" w:rsidP="009F7F8A">
            <w:pPr>
              <w:rPr>
                <w:rFonts w:eastAsia="SimSun"/>
              </w:rPr>
            </w:pPr>
            <w:r w:rsidRPr="00AC3044">
              <w:rPr>
                <w:rFonts w:eastAsia="SimSun"/>
              </w:rPr>
              <w:t>30 мг/кг</w:t>
            </w:r>
          </w:p>
        </w:tc>
        <w:tc>
          <w:tcPr>
            <w:tcW w:w="1559" w:type="dxa"/>
            <w:vAlign w:val="center"/>
          </w:tcPr>
          <w:p w14:paraId="39BAA2EA" w14:textId="77777777" w:rsidR="009F7F8A" w:rsidRPr="00AC3044" w:rsidRDefault="009F7F8A" w:rsidP="009F7F8A">
            <w:pPr>
              <w:rPr>
                <w:rFonts w:eastAsia="SimSun"/>
              </w:rPr>
            </w:pPr>
            <w:r w:rsidRPr="00AC3044">
              <w:rPr>
                <w:rFonts w:eastAsia="SimSun"/>
              </w:rPr>
              <w:t>–</w:t>
            </w:r>
          </w:p>
        </w:tc>
        <w:tc>
          <w:tcPr>
            <w:tcW w:w="1559" w:type="dxa"/>
            <w:vAlign w:val="center"/>
          </w:tcPr>
          <w:p w14:paraId="4808B6AF" w14:textId="77777777" w:rsidR="009F7F8A" w:rsidRPr="00AC3044" w:rsidRDefault="009F7F8A" w:rsidP="009F7F8A">
            <w:pPr>
              <w:rPr>
                <w:rFonts w:eastAsia="SimSun"/>
              </w:rPr>
            </w:pPr>
            <w:r w:rsidRPr="00AC3044">
              <w:rPr>
                <w:rFonts w:eastAsia="SimSun"/>
              </w:rPr>
              <w:t>С +5 по +90 день</w:t>
            </w:r>
          </w:p>
        </w:tc>
        <w:tc>
          <w:tcPr>
            <w:tcW w:w="2410" w:type="dxa"/>
            <w:vAlign w:val="center"/>
          </w:tcPr>
          <w:p w14:paraId="115542F3"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9F7F8A" w:rsidRPr="00AC3044" w14:paraId="70A70EDF" w14:textId="77777777" w:rsidTr="009F7F8A">
        <w:trPr>
          <w:cantSplit/>
          <w:trHeight w:val="464"/>
        </w:trPr>
        <w:tc>
          <w:tcPr>
            <w:tcW w:w="1083" w:type="dxa"/>
            <w:vMerge/>
          </w:tcPr>
          <w:p w14:paraId="13A66585" w14:textId="77777777" w:rsidR="009F7F8A" w:rsidRPr="00AC3044" w:rsidRDefault="009F7F8A" w:rsidP="009F7F8A">
            <w:pPr>
              <w:rPr>
                <w:rFonts w:eastAsia="SimSun"/>
              </w:rPr>
            </w:pPr>
          </w:p>
        </w:tc>
        <w:tc>
          <w:tcPr>
            <w:tcW w:w="1559" w:type="dxa"/>
            <w:vAlign w:val="center"/>
          </w:tcPr>
          <w:p w14:paraId="7191521D"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6F082894"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2709B452" w14:textId="77777777" w:rsidR="009F7F8A" w:rsidRPr="00AC3044" w:rsidRDefault="009F7F8A" w:rsidP="009F7F8A">
            <w:pPr>
              <w:rPr>
                <w:rFonts w:eastAsia="SimSun"/>
              </w:rPr>
            </w:pPr>
            <w:r w:rsidRPr="00AC3044">
              <w:rPr>
                <w:rFonts w:eastAsia="SimSun"/>
              </w:rPr>
              <w:t>100 мг/кг</w:t>
            </w:r>
          </w:p>
        </w:tc>
        <w:tc>
          <w:tcPr>
            <w:tcW w:w="1559" w:type="dxa"/>
            <w:vAlign w:val="center"/>
          </w:tcPr>
          <w:p w14:paraId="3A577FB0" w14:textId="77777777" w:rsidR="009F7F8A" w:rsidRPr="00AC3044" w:rsidRDefault="009F7F8A" w:rsidP="009F7F8A">
            <w:pPr>
              <w:rPr>
                <w:rFonts w:eastAsia="SimSun"/>
              </w:rPr>
            </w:pPr>
            <w:r w:rsidRPr="00AC3044">
              <w:rPr>
                <w:rFonts w:eastAsia="SimSun"/>
              </w:rPr>
              <w:t xml:space="preserve">+3, +4 дни </w:t>
            </w:r>
          </w:p>
        </w:tc>
        <w:tc>
          <w:tcPr>
            <w:tcW w:w="2410" w:type="dxa"/>
            <w:vAlign w:val="center"/>
          </w:tcPr>
          <w:p w14:paraId="49CA4ADE" w14:textId="77777777" w:rsidR="009F7F8A" w:rsidRPr="00AC3044" w:rsidRDefault="009F7F8A" w:rsidP="009F7F8A">
            <w:pPr>
              <w:rPr>
                <w:rFonts w:eastAsia="SimSun"/>
              </w:rPr>
            </w:pPr>
            <w:r w:rsidRPr="00AC3044">
              <w:rPr>
                <w:rFonts w:eastAsia="SimSun"/>
              </w:rPr>
              <w:t>В/в, в течение 2 часов</w:t>
            </w:r>
          </w:p>
        </w:tc>
      </w:tr>
    </w:tbl>
    <w:p w14:paraId="53F27440" w14:textId="77777777" w:rsidR="009F7F8A" w:rsidRDefault="009F7F8A" w:rsidP="009F7F8A">
      <w:pPr>
        <w:rPr>
          <w:rFonts w:eastAsia="SimSun"/>
        </w:rPr>
      </w:pPr>
      <w:bookmarkStart w:id="194" w:name="_Toc44401230"/>
    </w:p>
    <w:p w14:paraId="1762A32E" w14:textId="77777777" w:rsidR="009F7F8A" w:rsidRPr="00C07B2E" w:rsidRDefault="009F7F8A" w:rsidP="009F7F8A">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3.1.5  – Flu180+Bu8 / PT-Cy+CSA+MMF45</w:t>
      </w:r>
      <w:bookmarkEnd w:id="194"/>
    </w:p>
    <w:tbl>
      <w:tblPr>
        <w:tblW w:w="960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3"/>
        <w:gridCol w:w="1559"/>
        <w:gridCol w:w="1418"/>
        <w:gridCol w:w="1559"/>
        <w:gridCol w:w="1559"/>
        <w:gridCol w:w="2410"/>
      </w:tblGrid>
      <w:tr w:rsidR="009F7F8A" w:rsidRPr="00AC3044" w14:paraId="0B0B7ED7" w14:textId="77777777" w:rsidTr="009F7F8A">
        <w:trPr>
          <w:cantSplit/>
          <w:trHeight w:val="20"/>
          <w:tblHeader/>
        </w:trPr>
        <w:tc>
          <w:tcPr>
            <w:tcW w:w="1103" w:type="dxa"/>
          </w:tcPr>
          <w:p w14:paraId="3E1ACCB7" w14:textId="77777777" w:rsidR="009F7F8A" w:rsidRPr="006A5E21" w:rsidRDefault="009F7F8A" w:rsidP="009F7F8A">
            <w:pPr>
              <w:rPr>
                <w:rFonts w:eastAsia="SimSun"/>
              </w:rPr>
            </w:pPr>
          </w:p>
        </w:tc>
        <w:tc>
          <w:tcPr>
            <w:tcW w:w="1559" w:type="dxa"/>
            <w:vAlign w:val="center"/>
          </w:tcPr>
          <w:p w14:paraId="252C5A61"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3194032C"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164A70D9" w14:textId="77777777" w:rsidR="009F7F8A" w:rsidRPr="00AC3044" w:rsidRDefault="009F7F8A" w:rsidP="009F7F8A">
            <w:pPr>
              <w:rPr>
                <w:rFonts w:eastAsia="SimSun"/>
              </w:rPr>
            </w:pPr>
            <w:r w:rsidRPr="00AC3044">
              <w:rPr>
                <w:rFonts w:eastAsia="SimSun"/>
              </w:rPr>
              <w:t>Курсовая доза</w:t>
            </w:r>
          </w:p>
        </w:tc>
        <w:tc>
          <w:tcPr>
            <w:tcW w:w="1559" w:type="dxa"/>
            <w:vAlign w:val="center"/>
          </w:tcPr>
          <w:p w14:paraId="40D801B5" w14:textId="77777777" w:rsidR="009F7F8A" w:rsidRPr="00AC3044" w:rsidRDefault="009F7F8A" w:rsidP="009F7F8A">
            <w:pPr>
              <w:rPr>
                <w:rFonts w:eastAsia="SimSun"/>
              </w:rPr>
            </w:pPr>
            <w:r w:rsidRPr="00AC3044">
              <w:rPr>
                <w:rFonts w:eastAsia="SimSun"/>
              </w:rPr>
              <w:t>Дни введения</w:t>
            </w:r>
          </w:p>
        </w:tc>
        <w:tc>
          <w:tcPr>
            <w:tcW w:w="2410" w:type="dxa"/>
            <w:vAlign w:val="center"/>
          </w:tcPr>
          <w:p w14:paraId="39C66488"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532E706A" w14:textId="77777777" w:rsidTr="009F7F8A">
        <w:trPr>
          <w:cantSplit/>
          <w:trHeight w:val="20"/>
        </w:trPr>
        <w:tc>
          <w:tcPr>
            <w:tcW w:w="1103" w:type="dxa"/>
            <w:vMerge w:val="restart"/>
            <w:textDirection w:val="btLr"/>
            <w:vAlign w:val="center"/>
          </w:tcPr>
          <w:p w14:paraId="530DB1E1" w14:textId="77777777" w:rsidR="009F7F8A" w:rsidRPr="00AC3044" w:rsidRDefault="009F7F8A" w:rsidP="009F7F8A">
            <w:pPr>
              <w:rPr>
                <w:rFonts w:eastAsia="SimSun"/>
              </w:rPr>
            </w:pPr>
            <w:r w:rsidRPr="00AC3044">
              <w:rPr>
                <w:rFonts w:eastAsia="SimSun"/>
              </w:rPr>
              <w:t>Кондиционирование</w:t>
            </w:r>
          </w:p>
        </w:tc>
        <w:tc>
          <w:tcPr>
            <w:tcW w:w="1559" w:type="dxa"/>
            <w:vAlign w:val="center"/>
          </w:tcPr>
          <w:p w14:paraId="4F6DF248"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47F4A36D"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0F2E5C53"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559" w:type="dxa"/>
            <w:vAlign w:val="center"/>
          </w:tcPr>
          <w:p w14:paraId="009899D3" w14:textId="77777777" w:rsidR="009F7F8A" w:rsidRPr="00AC3044" w:rsidRDefault="009F7F8A" w:rsidP="009F7F8A">
            <w:pPr>
              <w:rPr>
                <w:rFonts w:eastAsia="SimSun"/>
              </w:rPr>
            </w:pPr>
            <w:r w:rsidRPr="00AC3044">
              <w:rPr>
                <w:rFonts w:eastAsia="SimSun"/>
              </w:rPr>
              <w:t>С –7 по –2 день</w:t>
            </w:r>
          </w:p>
        </w:tc>
        <w:tc>
          <w:tcPr>
            <w:tcW w:w="2410" w:type="dxa"/>
            <w:vAlign w:val="center"/>
          </w:tcPr>
          <w:p w14:paraId="7951D392"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5DE6E6D4" w14:textId="77777777" w:rsidTr="009F7F8A">
        <w:trPr>
          <w:cantSplit/>
          <w:trHeight w:val="606"/>
        </w:trPr>
        <w:tc>
          <w:tcPr>
            <w:tcW w:w="1103" w:type="dxa"/>
            <w:vMerge/>
            <w:textDirection w:val="btLr"/>
            <w:vAlign w:val="center"/>
          </w:tcPr>
          <w:p w14:paraId="379B78F0" w14:textId="77777777" w:rsidR="009F7F8A" w:rsidRPr="00AC3044" w:rsidRDefault="009F7F8A" w:rsidP="009F7F8A">
            <w:pPr>
              <w:rPr>
                <w:rFonts w:eastAsia="SimSun"/>
              </w:rPr>
            </w:pPr>
          </w:p>
        </w:tc>
        <w:tc>
          <w:tcPr>
            <w:tcW w:w="1559" w:type="dxa"/>
            <w:vAlign w:val="center"/>
          </w:tcPr>
          <w:p w14:paraId="627B4E46" w14:textId="77777777" w:rsidR="009F7F8A" w:rsidRPr="00AC3044" w:rsidRDefault="009F7F8A" w:rsidP="009F7F8A">
            <w:pPr>
              <w:rPr>
                <w:rFonts w:eastAsia="SimSun"/>
              </w:rPr>
            </w:pPr>
            <w:r w:rsidRPr="00AC3044">
              <w:rPr>
                <w:rFonts w:eastAsia="SimSun"/>
              </w:rPr>
              <w:t>Бусульфан</w:t>
            </w:r>
          </w:p>
        </w:tc>
        <w:tc>
          <w:tcPr>
            <w:tcW w:w="1418" w:type="dxa"/>
            <w:vAlign w:val="center"/>
          </w:tcPr>
          <w:p w14:paraId="2F76D163" w14:textId="77777777" w:rsidR="009F7F8A" w:rsidRPr="00AC3044" w:rsidRDefault="009F7F8A" w:rsidP="009F7F8A">
            <w:pPr>
              <w:rPr>
                <w:rFonts w:eastAsia="SimSun"/>
              </w:rPr>
            </w:pPr>
            <w:r w:rsidRPr="00AC3044">
              <w:rPr>
                <w:rFonts w:eastAsia="SimSun"/>
              </w:rPr>
              <w:t>4 мг/кг</w:t>
            </w:r>
          </w:p>
        </w:tc>
        <w:tc>
          <w:tcPr>
            <w:tcW w:w="1559" w:type="dxa"/>
            <w:vAlign w:val="center"/>
          </w:tcPr>
          <w:p w14:paraId="7C4B8366" w14:textId="77777777" w:rsidR="009F7F8A" w:rsidRPr="00AC3044" w:rsidRDefault="009F7F8A" w:rsidP="009F7F8A">
            <w:pPr>
              <w:rPr>
                <w:rFonts w:eastAsia="SimSun"/>
              </w:rPr>
            </w:pPr>
            <w:r w:rsidRPr="00AC3044">
              <w:rPr>
                <w:rFonts w:eastAsia="SimSun"/>
              </w:rPr>
              <w:t>8 мг/кг</w:t>
            </w:r>
          </w:p>
        </w:tc>
        <w:tc>
          <w:tcPr>
            <w:tcW w:w="1559" w:type="dxa"/>
            <w:vAlign w:val="center"/>
          </w:tcPr>
          <w:p w14:paraId="77FCE859" w14:textId="77777777" w:rsidR="009F7F8A" w:rsidRPr="00AC3044" w:rsidRDefault="009F7F8A" w:rsidP="009F7F8A">
            <w:pPr>
              <w:rPr>
                <w:rFonts w:eastAsia="SimSun"/>
              </w:rPr>
            </w:pPr>
            <w:r w:rsidRPr="00AC3044">
              <w:rPr>
                <w:rFonts w:eastAsia="SimSun"/>
              </w:rPr>
              <w:t>–3, –2 дни</w:t>
            </w:r>
          </w:p>
        </w:tc>
        <w:tc>
          <w:tcPr>
            <w:tcW w:w="2410" w:type="dxa"/>
            <w:vAlign w:val="center"/>
          </w:tcPr>
          <w:p w14:paraId="3C6A87C2"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7ADCB255" w14:textId="77777777" w:rsidTr="009F7F8A">
        <w:trPr>
          <w:cantSplit/>
          <w:trHeight w:val="20"/>
        </w:trPr>
        <w:tc>
          <w:tcPr>
            <w:tcW w:w="1103" w:type="dxa"/>
            <w:vMerge w:val="restart"/>
            <w:textDirection w:val="btLr"/>
            <w:vAlign w:val="center"/>
          </w:tcPr>
          <w:p w14:paraId="7E324C8C" w14:textId="77777777" w:rsidR="009F7F8A" w:rsidRPr="00AC3044" w:rsidRDefault="009F7F8A" w:rsidP="009F7F8A">
            <w:pPr>
              <w:rPr>
                <w:rFonts w:eastAsia="SimSun"/>
              </w:rPr>
            </w:pPr>
            <w:r w:rsidRPr="00AC3044">
              <w:rPr>
                <w:rFonts w:eastAsia="SimSun"/>
              </w:rPr>
              <w:t>Профилактика РТПХ</w:t>
            </w:r>
          </w:p>
        </w:tc>
        <w:tc>
          <w:tcPr>
            <w:tcW w:w="1559" w:type="dxa"/>
            <w:vAlign w:val="center"/>
          </w:tcPr>
          <w:p w14:paraId="6AAF8886" w14:textId="77777777" w:rsidR="009F7F8A" w:rsidRPr="00AC3044" w:rsidRDefault="009F7F8A" w:rsidP="009F7F8A">
            <w:pPr>
              <w:rPr>
                <w:rFonts w:eastAsia="SimSun"/>
              </w:rPr>
            </w:pPr>
            <w:r w:rsidRPr="00AC3044">
              <w:rPr>
                <w:rFonts w:eastAsia="SimSun"/>
              </w:rPr>
              <w:t>Циклоспорин</w:t>
            </w:r>
          </w:p>
        </w:tc>
        <w:tc>
          <w:tcPr>
            <w:tcW w:w="1418" w:type="dxa"/>
            <w:vAlign w:val="center"/>
          </w:tcPr>
          <w:p w14:paraId="6B156BA5" w14:textId="77777777" w:rsidR="009F7F8A" w:rsidRPr="00AC3044" w:rsidRDefault="009F7F8A" w:rsidP="009F7F8A">
            <w:pPr>
              <w:rPr>
                <w:rFonts w:eastAsia="SimSun"/>
              </w:rPr>
            </w:pPr>
            <w:r w:rsidRPr="00AC3044">
              <w:rPr>
                <w:rFonts w:eastAsia="SimSun"/>
              </w:rPr>
              <w:t>3 мг/кг</w:t>
            </w:r>
          </w:p>
        </w:tc>
        <w:tc>
          <w:tcPr>
            <w:tcW w:w="1559" w:type="dxa"/>
            <w:vAlign w:val="center"/>
          </w:tcPr>
          <w:p w14:paraId="2FCF9985" w14:textId="77777777" w:rsidR="009F7F8A" w:rsidRPr="00AC3044" w:rsidRDefault="009F7F8A" w:rsidP="009F7F8A">
            <w:pPr>
              <w:rPr>
                <w:rFonts w:eastAsia="SimSun"/>
              </w:rPr>
            </w:pPr>
            <w:r w:rsidRPr="00AC3044">
              <w:rPr>
                <w:rFonts w:eastAsia="SimSun"/>
              </w:rPr>
              <w:t>–</w:t>
            </w:r>
          </w:p>
        </w:tc>
        <w:tc>
          <w:tcPr>
            <w:tcW w:w="1559" w:type="dxa"/>
            <w:vAlign w:val="center"/>
          </w:tcPr>
          <w:p w14:paraId="4A415177" w14:textId="77777777" w:rsidR="009F7F8A" w:rsidRPr="00AC3044" w:rsidRDefault="009F7F8A" w:rsidP="009F7F8A">
            <w:pPr>
              <w:rPr>
                <w:rFonts w:eastAsia="SimSun"/>
              </w:rPr>
            </w:pPr>
            <w:r w:rsidRPr="00AC3044">
              <w:rPr>
                <w:rFonts w:eastAsia="SimSun"/>
              </w:rPr>
              <w:t>С +5 по +90 день, затем постепенное снижение к +180 дню</w:t>
            </w:r>
          </w:p>
        </w:tc>
        <w:tc>
          <w:tcPr>
            <w:tcW w:w="2410" w:type="dxa"/>
            <w:vAlign w:val="center"/>
          </w:tcPr>
          <w:p w14:paraId="46DF2D61"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24538882" w14:textId="77777777" w:rsidTr="009F7F8A">
        <w:trPr>
          <w:cantSplit/>
          <w:trHeight w:val="20"/>
        </w:trPr>
        <w:tc>
          <w:tcPr>
            <w:tcW w:w="1103" w:type="dxa"/>
            <w:vMerge/>
          </w:tcPr>
          <w:p w14:paraId="7FB26DBF" w14:textId="77777777" w:rsidR="009F7F8A" w:rsidRPr="00AC3044" w:rsidRDefault="009F7F8A" w:rsidP="009F7F8A">
            <w:pPr>
              <w:rPr>
                <w:rFonts w:eastAsia="SimSun"/>
              </w:rPr>
            </w:pPr>
          </w:p>
        </w:tc>
        <w:tc>
          <w:tcPr>
            <w:tcW w:w="1559" w:type="dxa"/>
            <w:vAlign w:val="center"/>
          </w:tcPr>
          <w:p w14:paraId="7B2936CA" w14:textId="77777777" w:rsidR="009F7F8A" w:rsidRPr="00AC3044" w:rsidRDefault="009F7F8A" w:rsidP="009F7F8A">
            <w:pPr>
              <w:rPr>
                <w:rFonts w:eastAsia="SimSun"/>
              </w:rPr>
            </w:pPr>
            <w:r w:rsidRPr="00AC3044">
              <w:rPr>
                <w:rFonts w:eastAsia="SimSun"/>
              </w:rPr>
              <w:t>Микофенолата мофетил</w:t>
            </w:r>
          </w:p>
        </w:tc>
        <w:tc>
          <w:tcPr>
            <w:tcW w:w="1418" w:type="dxa"/>
            <w:vAlign w:val="center"/>
          </w:tcPr>
          <w:p w14:paraId="7727CDB4" w14:textId="77777777" w:rsidR="009F7F8A" w:rsidRPr="00AC3044" w:rsidRDefault="009F7F8A" w:rsidP="009F7F8A">
            <w:pPr>
              <w:rPr>
                <w:rFonts w:eastAsia="SimSun"/>
              </w:rPr>
            </w:pPr>
            <w:r w:rsidRPr="00AC3044">
              <w:rPr>
                <w:rFonts w:eastAsia="SimSun"/>
              </w:rPr>
              <w:t>45 мг/кг</w:t>
            </w:r>
          </w:p>
        </w:tc>
        <w:tc>
          <w:tcPr>
            <w:tcW w:w="1559" w:type="dxa"/>
            <w:vAlign w:val="center"/>
          </w:tcPr>
          <w:p w14:paraId="4D0B6900" w14:textId="77777777" w:rsidR="009F7F8A" w:rsidRPr="00AC3044" w:rsidRDefault="009F7F8A" w:rsidP="009F7F8A">
            <w:pPr>
              <w:rPr>
                <w:rFonts w:eastAsia="SimSun"/>
              </w:rPr>
            </w:pPr>
            <w:r w:rsidRPr="00AC3044">
              <w:rPr>
                <w:rFonts w:eastAsia="SimSun"/>
              </w:rPr>
              <w:t>–</w:t>
            </w:r>
          </w:p>
        </w:tc>
        <w:tc>
          <w:tcPr>
            <w:tcW w:w="1559" w:type="dxa"/>
            <w:vAlign w:val="center"/>
          </w:tcPr>
          <w:p w14:paraId="49C81385" w14:textId="77777777" w:rsidR="009F7F8A" w:rsidRPr="00AC3044" w:rsidRDefault="009F7F8A" w:rsidP="009F7F8A">
            <w:pPr>
              <w:rPr>
                <w:rFonts w:eastAsia="SimSun"/>
              </w:rPr>
            </w:pPr>
            <w:r w:rsidRPr="00AC3044">
              <w:rPr>
                <w:rFonts w:eastAsia="SimSun"/>
              </w:rPr>
              <w:t>С +5 по +90 день</w:t>
            </w:r>
          </w:p>
        </w:tc>
        <w:tc>
          <w:tcPr>
            <w:tcW w:w="2410" w:type="dxa"/>
            <w:vAlign w:val="center"/>
          </w:tcPr>
          <w:p w14:paraId="1BA1AC16"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9F7F8A" w:rsidRPr="00AC3044" w14:paraId="108ADEDF" w14:textId="77777777" w:rsidTr="009F7F8A">
        <w:trPr>
          <w:cantSplit/>
          <w:trHeight w:val="464"/>
        </w:trPr>
        <w:tc>
          <w:tcPr>
            <w:tcW w:w="1103" w:type="dxa"/>
            <w:vMerge/>
          </w:tcPr>
          <w:p w14:paraId="33A8A5C4" w14:textId="77777777" w:rsidR="009F7F8A" w:rsidRPr="00AC3044" w:rsidRDefault="009F7F8A" w:rsidP="009F7F8A">
            <w:pPr>
              <w:rPr>
                <w:rFonts w:eastAsia="SimSun"/>
              </w:rPr>
            </w:pPr>
          </w:p>
        </w:tc>
        <w:tc>
          <w:tcPr>
            <w:tcW w:w="1559" w:type="dxa"/>
            <w:vAlign w:val="center"/>
          </w:tcPr>
          <w:p w14:paraId="67EC0F11"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660AE839"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4B7BC5DF" w14:textId="77777777" w:rsidR="009F7F8A" w:rsidRPr="00AC3044" w:rsidRDefault="009F7F8A" w:rsidP="009F7F8A">
            <w:pPr>
              <w:rPr>
                <w:rFonts w:eastAsia="SimSun"/>
              </w:rPr>
            </w:pPr>
            <w:r w:rsidRPr="00AC3044">
              <w:rPr>
                <w:rFonts w:eastAsia="SimSun"/>
              </w:rPr>
              <w:t>100 мг/кг</w:t>
            </w:r>
          </w:p>
        </w:tc>
        <w:tc>
          <w:tcPr>
            <w:tcW w:w="1559" w:type="dxa"/>
            <w:vAlign w:val="center"/>
          </w:tcPr>
          <w:p w14:paraId="6662DCD1" w14:textId="77777777" w:rsidR="009F7F8A" w:rsidRPr="00AC3044" w:rsidRDefault="009F7F8A" w:rsidP="009F7F8A">
            <w:pPr>
              <w:rPr>
                <w:rFonts w:eastAsia="SimSun"/>
              </w:rPr>
            </w:pPr>
            <w:r w:rsidRPr="00AC3044">
              <w:rPr>
                <w:rFonts w:eastAsia="SimSun"/>
              </w:rPr>
              <w:t xml:space="preserve">+3, +4 дни </w:t>
            </w:r>
          </w:p>
        </w:tc>
        <w:tc>
          <w:tcPr>
            <w:tcW w:w="2410" w:type="dxa"/>
            <w:vAlign w:val="center"/>
          </w:tcPr>
          <w:p w14:paraId="79BE31D6" w14:textId="77777777" w:rsidR="009F7F8A" w:rsidRPr="00AC3044" w:rsidRDefault="009F7F8A" w:rsidP="009F7F8A">
            <w:pPr>
              <w:rPr>
                <w:rFonts w:eastAsia="SimSun"/>
              </w:rPr>
            </w:pPr>
            <w:r w:rsidRPr="00AC3044">
              <w:rPr>
                <w:rFonts w:eastAsia="SimSun"/>
              </w:rPr>
              <w:t>В/в, в течение 2 часов</w:t>
            </w:r>
          </w:p>
        </w:tc>
      </w:tr>
    </w:tbl>
    <w:p w14:paraId="3A94DBDE" w14:textId="77777777" w:rsidR="009F7F8A" w:rsidRDefault="009F7F8A" w:rsidP="009F7F8A">
      <w:pPr>
        <w:rPr>
          <w:rFonts w:eastAsia="SimSun"/>
        </w:rPr>
      </w:pPr>
      <w:bookmarkStart w:id="195" w:name="_Toc44401231"/>
    </w:p>
    <w:p w14:paraId="7BC398BB" w14:textId="77777777" w:rsidR="009F7F8A" w:rsidRPr="00C07B2E" w:rsidRDefault="009F7F8A" w:rsidP="009F7F8A">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3.1.6  – Flu180+Bu8 / PT-Cy+Tx+MMF45</w:t>
      </w:r>
      <w:bookmarkEnd w:id="195"/>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9F7F8A" w:rsidRPr="00AC3044" w14:paraId="377722F1" w14:textId="77777777" w:rsidTr="009F7F8A">
        <w:trPr>
          <w:cantSplit/>
          <w:trHeight w:val="20"/>
          <w:tblHeader/>
        </w:trPr>
        <w:tc>
          <w:tcPr>
            <w:tcW w:w="1135" w:type="dxa"/>
            <w:vAlign w:val="center"/>
          </w:tcPr>
          <w:p w14:paraId="19C729E8" w14:textId="77777777" w:rsidR="009F7F8A" w:rsidRPr="006A5E21" w:rsidRDefault="009F7F8A" w:rsidP="009F7F8A">
            <w:pPr>
              <w:rPr>
                <w:rFonts w:eastAsia="SimSun"/>
              </w:rPr>
            </w:pPr>
          </w:p>
        </w:tc>
        <w:tc>
          <w:tcPr>
            <w:tcW w:w="1559" w:type="dxa"/>
            <w:vAlign w:val="center"/>
          </w:tcPr>
          <w:p w14:paraId="089F7962"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69005EBE"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4E3F9D6D" w14:textId="77777777" w:rsidR="009F7F8A" w:rsidRPr="00AC3044" w:rsidRDefault="009F7F8A" w:rsidP="009F7F8A">
            <w:pPr>
              <w:rPr>
                <w:rFonts w:eastAsia="SimSun"/>
              </w:rPr>
            </w:pPr>
            <w:r w:rsidRPr="00AC3044">
              <w:rPr>
                <w:rFonts w:eastAsia="SimSun"/>
              </w:rPr>
              <w:t>Курсовая доза</w:t>
            </w:r>
          </w:p>
        </w:tc>
        <w:tc>
          <w:tcPr>
            <w:tcW w:w="1559" w:type="dxa"/>
            <w:vAlign w:val="center"/>
          </w:tcPr>
          <w:p w14:paraId="798748D8" w14:textId="77777777" w:rsidR="009F7F8A" w:rsidRPr="00AC3044" w:rsidRDefault="009F7F8A" w:rsidP="009F7F8A">
            <w:pPr>
              <w:rPr>
                <w:rFonts w:eastAsia="SimSun"/>
              </w:rPr>
            </w:pPr>
            <w:r w:rsidRPr="00AC3044">
              <w:rPr>
                <w:rFonts w:eastAsia="SimSun"/>
              </w:rPr>
              <w:t>Дни введения</w:t>
            </w:r>
          </w:p>
        </w:tc>
        <w:tc>
          <w:tcPr>
            <w:tcW w:w="2410" w:type="dxa"/>
            <w:vAlign w:val="center"/>
          </w:tcPr>
          <w:p w14:paraId="56027609"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5ABCA78D" w14:textId="77777777" w:rsidTr="009F7F8A">
        <w:trPr>
          <w:cantSplit/>
          <w:trHeight w:val="20"/>
        </w:trPr>
        <w:tc>
          <w:tcPr>
            <w:tcW w:w="1135" w:type="dxa"/>
            <w:vMerge w:val="restart"/>
            <w:textDirection w:val="btLr"/>
            <w:vAlign w:val="center"/>
          </w:tcPr>
          <w:p w14:paraId="70845210" w14:textId="77777777" w:rsidR="009F7F8A" w:rsidRPr="00AC3044" w:rsidRDefault="009F7F8A" w:rsidP="009F7F8A">
            <w:pPr>
              <w:rPr>
                <w:rFonts w:eastAsia="SimSun"/>
              </w:rPr>
            </w:pPr>
            <w:r w:rsidRPr="00AC3044">
              <w:rPr>
                <w:rFonts w:eastAsia="SimSun"/>
              </w:rPr>
              <w:t>Кондиционирование</w:t>
            </w:r>
          </w:p>
        </w:tc>
        <w:tc>
          <w:tcPr>
            <w:tcW w:w="1559" w:type="dxa"/>
            <w:vAlign w:val="center"/>
          </w:tcPr>
          <w:p w14:paraId="1F4D19D7"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6BE5017A"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4B76A440"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559" w:type="dxa"/>
            <w:vAlign w:val="center"/>
          </w:tcPr>
          <w:p w14:paraId="2187F9B4" w14:textId="77777777" w:rsidR="009F7F8A" w:rsidRPr="00AC3044" w:rsidRDefault="009F7F8A" w:rsidP="009F7F8A">
            <w:pPr>
              <w:rPr>
                <w:rFonts w:eastAsia="SimSun"/>
              </w:rPr>
            </w:pPr>
            <w:r w:rsidRPr="00AC3044">
              <w:rPr>
                <w:rFonts w:eastAsia="SimSun"/>
              </w:rPr>
              <w:t>С -7 дня по -2 день</w:t>
            </w:r>
          </w:p>
        </w:tc>
        <w:tc>
          <w:tcPr>
            <w:tcW w:w="2410" w:type="dxa"/>
            <w:vAlign w:val="center"/>
          </w:tcPr>
          <w:p w14:paraId="788328AF"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295ED0CD" w14:textId="77777777" w:rsidTr="009F7F8A">
        <w:trPr>
          <w:cantSplit/>
          <w:trHeight w:val="436"/>
        </w:trPr>
        <w:tc>
          <w:tcPr>
            <w:tcW w:w="1135" w:type="dxa"/>
            <w:vMerge/>
            <w:vAlign w:val="center"/>
          </w:tcPr>
          <w:p w14:paraId="1274AE4F" w14:textId="77777777" w:rsidR="009F7F8A" w:rsidRPr="00AC3044" w:rsidRDefault="009F7F8A" w:rsidP="009F7F8A">
            <w:pPr>
              <w:rPr>
                <w:rFonts w:eastAsia="SimSun"/>
              </w:rPr>
            </w:pPr>
          </w:p>
        </w:tc>
        <w:tc>
          <w:tcPr>
            <w:tcW w:w="1559" w:type="dxa"/>
            <w:vAlign w:val="center"/>
          </w:tcPr>
          <w:p w14:paraId="214FB743" w14:textId="77777777" w:rsidR="009F7F8A" w:rsidRPr="00AC3044" w:rsidRDefault="009F7F8A" w:rsidP="009F7F8A">
            <w:pPr>
              <w:rPr>
                <w:rFonts w:eastAsia="SimSun"/>
              </w:rPr>
            </w:pPr>
            <w:r w:rsidRPr="00AC3044">
              <w:rPr>
                <w:rFonts w:eastAsia="SimSun"/>
              </w:rPr>
              <w:t>Бусульфан</w:t>
            </w:r>
          </w:p>
        </w:tc>
        <w:tc>
          <w:tcPr>
            <w:tcW w:w="1418" w:type="dxa"/>
            <w:vAlign w:val="center"/>
          </w:tcPr>
          <w:p w14:paraId="0A363F6A" w14:textId="77777777" w:rsidR="009F7F8A" w:rsidRPr="00AC3044" w:rsidRDefault="009F7F8A" w:rsidP="009F7F8A">
            <w:pPr>
              <w:rPr>
                <w:rFonts w:eastAsia="SimSun"/>
              </w:rPr>
            </w:pPr>
            <w:r w:rsidRPr="00AC3044">
              <w:rPr>
                <w:rFonts w:eastAsia="SimSun"/>
              </w:rPr>
              <w:t xml:space="preserve">4 мг/кг </w:t>
            </w:r>
          </w:p>
        </w:tc>
        <w:tc>
          <w:tcPr>
            <w:tcW w:w="1559" w:type="dxa"/>
            <w:vAlign w:val="center"/>
          </w:tcPr>
          <w:p w14:paraId="5E2B7037" w14:textId="77777777" w:rsidR="009F7F8A" w:rsidRPr="00AC3044" w:rsidRDefault="009F7F8A" w:rsidP="009F7F8A">
            <w:pPr>
              <w:rPr>
                <w:rFonts w:eastAsia="SimSun"/>
              </w:rPr>
            </w:pPr>
            <w:r w:rsidRPr="00AC3044">
              <w:rPr>
                <w:rFonts w:eastAsia="SimSun"/>
              </w:rPr>
              <w:t xml:space="preserve">8 мг/кг </w:t>
            </w:r>
          </w:p>
        </w:tc>
        <w:tc>
          <w:tcPr>
            <w:tcW w:w="1559" w:type="dxa"/>
            <w:vAlign w:val="center"/>
          </w:tcPr>
          <w:p w14:paraId="437CDC5A" w14:textId="77777777" w:rsidR="009F7F8A" w:rsidRPr="00AC3044" w:rsidRDefault="009F7F8A" w:rsidP="009F7F8A">
            <w:pPr>
              <w:rPr>
                <w:rFonts w:eastAsia="SimSun"/>
              </w:rPr>
            </w:pPr>
            <w:r w:rsidRPr="00AC3044">
              <w:rPr>
                <w:rFonts w:eastAsia="SimSun"/>
              </w:rPr>
              <w:t>С -4 дня по -3 день</w:t>
            </w:r>
          </w:p>
        </w:tc>
        <w:tc>
          <w:tcPr>
            <w:tcW w:w="2410" w:type="dxa"/>
            <w:vAlign w:val="center"/>
          </w:tcPr>
          <w:p w14:paraId="281E3187"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4 приема с интервалом 6 часов. </w:t>
            </w:r>
          </w:p>
        </w:tc>
      </w:tr>
      <w:tr w:rsidR="009F7F8A" w:rsidRPr="00AC3044" w14:paraId="4F77707A" w14:textId="77777777" w:rsidTr="009F7F8A">
        <w:trPr>
          <w:cantSplit/>
          <w:trHeight w:val="416"/>
        </w:trPr>
        <w:tc>
          <w:tcPr>
            <w:tcW w:w="1135" w:type="dxa"/>
            <w:vMerge w:val="restart"/>
            <w:textDirection w:val="btLr"/>
            <w:vAlign w:val="center"/>
          </w:tcPr>
          <w:p w14:paraId="357D0A43" w14:textId="77777777" w:rsidR="009F7F8A" w:rsidRPr="00AC3044" w:rsidRDefault="009F7F8A" w:rsidP="009F7F8A">
            <w:pPr>
              <w:rPr>
                <w:rFonts w:eastAsia="SimSun"/>
              </w:rPr>
            </w:pPr>
            <w:r w:rsidRPr="00AC3044">
              <w:rPr>
                <w:rFonts w:eastAsia="SimSun"/>
              </w:rPr>
              <w:t>Профилактика РТПХ</w:t>
            </w:r>
          </w:p>
        </w:tc>
        <w:tc>
          <w:tcPr>
            <w:tcW w:w="1559" w:type="dxa"/>
            <w:vAlign w:val="center"/>
          </w:tcPr>
          <w:p w14:paraId="18FF7240"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1ACEC6C9"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09ACD614" w14:textId="77777777" w:rsidR="009F7F8A" w:rsidRPr="00AC3044" w:rsidRDefault="009F7F8A" w:rsidP="009F7F8A">
            <w:pPr>
              <w:rPr>
                <w:rFonts w:eastAsia="SimSun"/>
              </w:rPr>
            </w:pPr>
            <w:r w:rsidRPr="00AC3044">
              <w:rPr>
                <w:rFonts w:eastAsia="SimSun"/>
              </w:rPr>
              <w:t>100 мг/кг</w:t>
            </w:r>
          </w:p>
        </w:tc>
        <w:tc>
          <w:tcPr>
            <w:tcW w:w="1559" w:type="dxa"/>
            <w:vAlign w:val="center"/>
          </w:tcPr>
          <w:p w14:paraId="469D7490" w14:textId="77777777" w:rsidR="009F7F8A" w:rsidRPr="00AC3044" w:rsidRDefault="009F7F8A" w:rsidP="009F7F8A">
            <w:pPr>
              <w:rPr>
                <w:rFonts w:eastAsia="SimSun"/>
              </w:rPr>
            </w:pPr>
            <w:r w:rsidRPr="00AC3044">
              <w:rPr>
                <w:rFonts w:eastAsia="SimSun"/>
              </w:rPr>
              <w:t>С +3 дня по +4 день</w:t>
            </w:r>
          </w:p>
        </w:tc>
        <w:tc>
          <w:tcPr>
            <w:tcW w:w="2410" w:type="dxa"/>
            <w:vAlign w:val="center"/>
          </w:tcPr>
          <w:p w14:paraId="218D941A"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7D65CDA3" w14:textId="77777777" w:rsidTr="009F7F8A">
        <w:trPr>
          <w:cantSplit/>
          <w:trHeight w:val="958"/>
        </w:trPr>
        <w:tc>
          <w:tcPr>
            <w:tcW w:w="1135" w:type="dxa"/>
            <w:vMerge/>
            <w:textDirection w:val="btLr"/>
            <w:vAlign w:val="center"/>
          </w:tcPr>
          <w:p w14:paraId="3422D9A7" w14:textId="77777777" w:rsidR="009F7F8A" w:rsidRPr="00AC3044" w:rsidRDefault="009F7F8A" w:rsidP="009F7F8A">
            <w:pPr>
              <w:rPr>
                <w:rFonts w:eastAsia="SimSun"/>
              </w:rPr>
            </w:pPr>
          </w:p>
        </w:tc>
        <w:tc>
          <w:tcPr>
            <w:tcW w:w="1559" w:type="dxa"/>
            <w:vAlign w:val="center"/>
          </w:tcPr>
          <w:p w14:paraId="3804B3A2" w14:textId="77777777" w:rsidR="009F7F8A" w:rsidRPr="00AC3044" w:rsidRDefault="009F7F8A" w:rsidP="009F7F8A">
            <w:pPr>
              <w:rPr>
                <w:rFonts w:eastAsia="SimSun"/>
              </w:rPr>
            </w:pPr>
            <w:r w:rsidRPr="00AC3044">
              <w:rPr>
                <w:rFonts w:eastAsia="SimSun"/>
              </w:rPr>
              <w:t xml:space="preserve">Такролимус </w:t>
            </w:r>
          </w:p>
        </w:tc>
        <w:tc>
          <w:tcPr>
            <w:tcW w:w="1418" w:type="dxa"/>
            <w:vAlign w:val="center"/>
          </w:tcPr>
          <w:p w14:paraId="276C3122" w14:textId="77777777" w:rsidR="009F7F8A" w:rsidRPr="00AC3044" w:rsidRDefault="009F7F8A" w:rsidP="009F7F8A">
            <w:pPr>
              <w:rPr>
                <w:rFonts w:eastAsia="SimSun"/>
              </w:rPr>
            </w:pPr>
            <w:r w:rsidRPr="00AC3044">
              <w:rPr>
                <w:rFonts w:eastAsia="SimSun"/>
              </w:rPr>
              <w:t>0,03 мг/кг</w:t>
            </w:r>
          </w:p>
        </w:tc>
        <w:tc>
          <w:tcPr>
            <w:tcW w:w="1559" w:type="dxa"/>
            <w:vAlign w:val="center"/>
          </w:tcPr>
          <w:p w14:paraId="7CA5B2AD" w14:textId="77777777" w:rsidR="009F7F8A" w:rsidRPr="00AC3044" w:rsidRDefault="009F7F8A" w:rsidP="009F7F8A">
            <w:pPr>
              <w:rPr>
                <w:rFonts w:eastAsia="SimSun"/>
              </w:rPr>
            </w:pPr>
            <w:r w:rsidRPr="00AC3044">
              <w:rPr>
                <w:rFonts w:eastAsia="SimSun"/>
              </w:rPr>
              <w:t>–</w:t>
            </w:r>
          </w:p>
        </w:tc>
        <w:tc>
          <w:tcPr>
            <w:tcW w:w="1559" w:type="dxa"/>
            <w:vAlign w:val="center"/>
          </w:tcPr>
          <w:p w14:paraId="7BC48211" w14:textId="77777777" w:rsidR="009F7F8A" w:rsidRPr="00AC3044" w:rsidRDefault="009F7F8A" w:rsidP="009F7F8A">
            <w:pPr>
              <w:rPr>
                <w:rFonts w:eastAsia="SimSun"/>
              </w:rPr>
            </w:pPr>
            <w:r w:rsidRPr="00AC3044">
              <w:rPr>
                <w:rFonts w:eastAsia="SimSun"/>
              </w:rPr>
              <w:t xml:space="preserve">С +5 дня длительно </w:t>
            </w:r>
          </w:p>
        </w:tc>
        <w:tc>
          <w:tcPr>
            <w:tcW w:w="2410" w:type="dxa"/>
            <w:vAlign w:val="center"/>
          </w:tcPr>
          <w:p w14:paraId="3CBEC3AE"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3EEC4185" w14:textId="77777777" w:rsidTr="009F7F8A">
        <w:trPr>
          <w:cantSplit/>
          <w:trHeight w:val="508"/>
        </w:trPr>
        <w:tc>
          <w:tcPr>
            <w:tcW w:w="1135" w:type="dxa"/>
            <w:vMerge/>
            <w:textDirection w:val="btLr"/>
            <w:vAlign w:val="center"/>
          </w:tcPr>
          <w:p w14:paraId="458EE7D7" w14:textId="77777777" w:rsidR="009F7F8A" w:rsidRPr="00AC3044" w:rsidRDefault="009F7F8A" w:rsidP="009F7F8A">
            <w:pPr>
              <w:rPr>
                <w:rFonts w:eastAsia="SimSun"/>
              </w:rPr>
            </w:pPr>
          </w:p>
        </w:tc>
        <w:tc>
          <w:tcPr>
            <w:tcW w:w="1559" w:type="dxa"/>
            <w:vAlign w:val="center"/>
          </w:tcPr>
          <w:p w14:paraId="1661063D" w14:textId="77777777" w:rsidR="009F7F8A" w:rsidRPr="00AC3044" w:rsidRDefault="009F7F8A" w:rsidP="009F7F8A">
            <w:pPr>
              <w:rPr>
                <w:rFonts w:eastAsia="SimSun"/>
              </w:rPr>
            </w:pPr>
            <w:r w:rsidRPr="00AC3044">
              <w:rPr>
                <w:rFonts w:eastAsia="SimSun"/>
              </w:rPr>
              <w:t>Микофенолата мофетил</w:t>
            </w:r>
          </w:p>
        </w:tc>
        <w:tc>
          <w:tcPr>
            <w:tcW w:w="1418" w:type="dxa"/>
            <w:vAlign w:val="center"/>
          </w:tcPr>
          <w:p w14:paraId="2339118D" w14:textId="77777777" w:rsidR="009F7F8A" w:rsidRPr="00AC3044" w:rsidRDefault="009F7F8A" w:rsidP="009F7F8A">
            <w:pPr>
              <w:rPr>
                <w:rFonts w:eastAsia="SimSun"/>
              </w:rPr>
            </w:pPr>
            <w:r w:rsidRPr="00AC3044">
              <w:rPr>
                <w:rFonts w:eastAsia="SimSun"/>
              </w:rPr>
              <w:t xml:space="preserve">45 мг/кг </w:t>
            </w:r>
          </w:p>
        </w:tc>
        <w:tc>
          <w:tcPr>
            <w:tcW w:w="1559" w:type="dxa"/>
            <w:vAlign w:val="center"/>
          </w:tcPr>
          <w:p w14:paraId="5F631B53" w14:textId="77777777" w:rsidR="009F7F8A" w:rsidRPr="00AC3044" w:rsidRDefault="009F7F8A" w:rsidP="009F7F8A">
            <w:pPr>
              <w:rPr>
                <w:rFonts w:eastAsia="SimSun"/>
              </w:rPr>
            </w:pPr>
            <w:r w:rsidRPr="00AC3044">
              <w:rPr>
                <w:rFonts w:eastAsia="SimSun"/>
              </w:rPr>
              <w:t>–</w:t>
            </w:r>
          </w:p>
        </w:tc>
        <w:tc>
          <w:tcPr>
            <w:tcW w:w="1559" w:type="dxa"/>
            <w:vAlign w:val="center"/>
          </w:tcPr>
          <w:p w14:paraId="781C1577" w14:textId="77777777" w:rsidR="009F7F8A" w:rsidRPr="00AC3044" w:rsidRDefault="009F7F8A" w:rsidP="009F7F8A">
            <w:pPr>
              <w:rPr>
                <w:rFonts w:eastAsia="SimSun"/>
              </w:rPr>
            </w:pPr>
            <w:r w:rsidRPr="00AC3044">
              <w:rPr>
                <w:rFonts w:eastAsia="SimSun"/>
              </w:rPr>
              <w:t xml:space="preserve">С +5 дня по +35 день </w:t>
            </w:r>
          </w:p>
        </w:tc>
        <w:tc>
          <w:tcPr>
            <w:tcW w:w="2410" w:type="dxa"/>
            <w:vAlign w:val="center"/>
          </w:tcPr>
          <w:p w14:paraId="68708005"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089A4EE8" w14:textId="77777777" w:rsidR="009F7F8A" w:rsidRDefault="009F7F8A" w:rsidP="009F7F8A">
      <w:pPr>
        <w:rPr>
          <w:rFonts w:eastAsia="SimSun"/>
        </w:rPr>
      </w:pPr>
      <w:bookmarkStart w:id="196" w:name="_Toc44401232"/>
    </w:p>
    <w:p w14:paraId="22D1C79D" w14:textId="77777777" w:rsidR="009F7F8A" w:rsidRPr="00C07B2E" w:rsidRDefault="009F7F8A" w:rsidP="009F7F8A">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3.1.7  – Flu180+Bu10 / PT-Cy+Tx+MMF45</w:t>
      </w:r>
      <w:bookmarkEnd w:id="196"/>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9F7F8A" w:rsidRPr="00AC3044" w14:paraId="5B9F88A0" w14:textId="77777777" w:rsidTr="009F7F8A">
        <w:trPr>
          <w:cantSplit/>
          <w:trHeight w:val="20"/>
          <w:tblHeader/>
        </w:trPr>
        <w:tc>
          <w:tcPr>
            <w:tcW w:w="1135" w:type="dxa"/>
            <w:vAlign w:val="center"/>
          </w:tcPr>
          <w:p w14:paraId="64E3A7C0" w14:textId="77777777" w:rsidR="009F7F8A" w:rsidRPr="006A5E21" w:rsidRDefault="009F7F8A" w:rsidP="009F7F8A">
            <w:pPr>
              <w:rPr>
                <w:rFonts w:eastAsia="SimSun"/>
              </w:rPr>
            </w:pPr>
          </w:p>
        </w:tc>
        <w:tc>
          <w:tcPr>
            <w:tcW w:w="1559" w:type="dxa"/>
            <w:vAlign w:val="center"/>
          </w:tcPr>
          <w:p w14:paraId="0CA7692A"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0D7A1FC4"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21215BD3" w14:textId="77777777" w:rsidR="009F7F8A" w:rsidRPr="00AC3044" w:rsidRDefault="009F7F8A" w:rsidP="009F7F8A">
            <w:pPr>
              <w:rPr>
                <w:rFonts w:eastAsia="SimSun"/>
              </w:rPr>
            </w:pPr>
            <w:r w:rsidRPr="00AC3044">
              <w:rPr>
                <w:rFonts w:eastAsia="SimSun"/>
              </w:rPr>
              <w:t>Курсовая доза</w:t>
            </w:r>
          </w:p>
        </w:tc>
        <w:tc>
          <w:tcPr>
            <w:tcW w:w="1559" w:type="dxa"/>
            <w:vAlign w:val="center"/>
          </w:tcPr>
          <w:p w14:paraId="17CC7B48" w14:textId="77777777" w:rsidR="009F7F8A" w:rsidRPr="00AC3044" w:rsidRDefault="009F7F8A" w:rsidP="009F7F8A">
            <w:pPr>
              <w:rPr>
                <w:rFonts w:eastAsia="SimSun"/>
              </w:rPr>
            </w:pPr>
            <w:r w:rsidRPr="00AC3044">
              <w:rPr>
                <w:rFonts w:eastAsia="SimSun"/>
              </w:rPr>
              <w:t>Дни введения</w:t>
            </w:r>
          </w:p>
        </w:tc>
        <w:tc>
          <w:tcPr>
            <w:tcW w:w="2410" w:type="dxa"/>
            <w:vAlign w:val="center"/>
          </w:tcPr>
          <w:p w14:paraId="1AA23387"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67661BB5" w14:textId="77777777" w:rsidTr="009F7F8A">
        <w:trPr>
          <w:cantSplit/>
          <w:trHeight w:val="20"/>
        </w:trPr>
        <w:tc>
          <w:tcPr>
            <w:tcW w:w="1135" w:type="dxa"/>
            <w:vMerge w:val="restart"/>
            <w:textDirection w:val="btLr"/>
            <w:vAlign w:val="center"/>
          </w:tcPr>
          <w:p w14:paraId="12494003" w14:textId="77777777" w:rsidR="009F7F8A" w:rsidRPr="00AC3044" w:rsidRDefault="009F7F8A" w:rsidP="009F7F8A">
            <w:pPr>
              <w:rPr>
                <w:rFonts w:eastAsia="SimSun"/>
              </w:rPr>
            </w:pPr>
            <w:r w:rsidRPr="00AC3044">
              <w:rPr>
                <w:rFonts w:eastAsia="SimSun"/>
              </w:rPr>
              <w:t>Кондиционирование</w:t>
            </w:r>
          </w:p>
        </w:tc>
        <w:tc>
          <w:tcPr>
            <w:tcW w:w="1559" w:type="dxa"/>
            <w:vAlign w:val="center"/>
          </w:tcPr>
          <w:p w14:paraId="1F297D6C"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15BD52E8"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1B224A60"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559" w:type="dxa"/>
            <w:vAlign w:val="center"/>
          </w:tcPr>
          <w:p w14:paraId="0D8C1248" w14:textId="77777777" w:rsidR="009F7F8A" w:rsidRPr="00AC3044" w:rsidRDefault="009F7F8A" w:rsidP="009F7F8A">
            <w:pPr>
              <w:rPr>
                <w:rFonts w:eastAsia="SimSun"/>
              </w:rPr>
            </w:pPr>
            <w:r w:rsidRPr="00AC3044">
              <w:rPr>
                <w:rFonts w:eastAsia="SimSun"/>
              </w:rPr>
              <w:t>С -7 дня по -2 день</w:t>
            </w:r>
          </w:p>
        </w:tc>
        <w:tc>
          <w:tcPr>
            <w:tcW w:w="2410" w:type="dxa"/>
            <w:vAlign w:val="center"/>
          </w:tcPr>
          <w:p w14:paraId="51A5F99F"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575C651D" w14:textId="77777777" w:rsidTr="009F7F8A">
        <w:trPr>
          <w:cantSplit/>
          <w:trHeight w:val="390"/>
        </w:trPr>
        <w:tc>
          <w:tcPr>
            <w:tcW w:w="1135" w:type="dxa"/>
            <w:vMerge/>
            <w:vAlign w:val="center"/>
          </w:tcPr>
          <w:p w14:paraId="5341CB84" w14:textId="77777777" w:rsidR="009F7F8A" w:rsidRPr="00AC3044" w:rsidRDefault="009F7F8A" w:rsidP="009F7F8A">
            <w:pPr>
              <w:rPr>
                <w:rFonts w:eastAsia="SimSun"/>
              </w:rPr>
            </w:pPr>
          </w:p>
        </w:tc>
        <w:tc>
          <w:tcPr>
            <w:tcW w:w="1559" w:type="dxa"/>
            <w:vAlign w:val="center"/>
          </w:tcPr>
          <w:p w14:paraId="1E295BD9" w14:textId="77777777" w:rsidR="009F7F8A" w:rsidRPr="00AC3044" w:rsidRDefault="009F7F8A" w:rsidP="009F7F8A">
            <w:pPr>
              <w:rPr>
                <w:rFonts w:eastAsia="SimSun"/>
              </w:rPr>
            </w:pPr>
            <w:r w:rsidRPr="00AC3044">
              <w:rPr>
                <w:rFonts w:eastAsia="SimSun"/>
              </w:rPr>
              <w:t>Бусульфан</w:t>
            </w:r>
          </w:p>
        </w:tc>
        <w:tc>
          <w:tcPr>
            <w:tcW w:w="1418" w:type="dxa"/>
            <w:vAlign w:val="center"/>
          </w:tcPr>
          <w:p w14:paraId="33B565F4" w14:textId="77777777" w:rsidR="009F7F8A" w:rsidRPr="00AC3044" w:rsidRDefault="009F7F8A" w:rsidP="009F7F8A">
            <w:pPr>
              <w:rPr>
                <w:rFonts w:eastAsia="SimSun"/>
              </w:rPr>
            </w:pPr>
            <w:r w:rsidRPr="00AC3044">
              <w:rPr>
                <w:rFonts w:eastAsia="SimSun"/>
              </w:rPr>
              <w:t xml:space="preserve">4 мг/кг </w:t>
            </w:r>
          </w:p>
        </w:tc>
        <w:tc>
          <w:tcPr>
            <w:tcW w:w="1559" w:type="dxa"/>
            <w:vAlign w:val="center"/>
          </w:tcPr>
          <w:p w14:paraId="51151E7A" w14:textId="77777777" w:rsidR="009F7F8A" w:rsidRPr="00AC3044" w:rsidRDefault="009F7F8A" w:rsidP="009F7F8A">
            <w:pPr>
              <w:rPr>
                <w:rFonts w:eastAsia="SimSun"/>
              </w:rPr>
            </w:pPr>
            <w:r w:rsidRPr="00AC3044">
              <w:rPr>
                <w:rFonts w:eastAsia="SimSun"/>
              </w:rPr>
              <w:t xml:space="preserve">10 мг/кг </w:t>
            </w:r>
          </w:p>
        </w:tc>
        <w:tc>
          <w:tcPr>
            <w:tcW w:w="1559" w:type="dxa"/>
            <w:vAlign w:val="center"/>
          </w:tcPr>
          <w:p w14:paraId="323F0A2F" w14:textId="77777777" w:rsidR="009F7F8A" w:rsidRPr="00AC3044" w:rsidRDefault="009F7F8A" w:rsidP="009F7F8A">
            <w:pPr>
              <w:rPr>
                <w:rFonts w:eastAsia="SimSun"/>
              </w:rPr>
            </w:pPr>
            <w:r w:rsidRPr="00AC3044">
              <w:rPr>
                <w:rFonts w:eastAsia="SimSun"/>
              </w:rPr>
              <w:t>С -5 дня по -3 день</w:t>
            </w:r>
          </w:p>
        </w:tc>
        <w:tc>
          <w:tcPr>
            <w:tcW w:w="2410" w:type="dxa"/>
            <w:vAlign w:val="center"/>
          </w:tcPr>
          <w:p w14:paraId="37767B13"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056F39AF" w14:textId="77777777" w:rsidTr="009F7F8A">
        <w:trPr>
          <w:cantSplit/>
          <w:trHeight w:val="1498"/>
        </w:trPr>
        <w:tc>
          <w:tcPr>
            <w:tcW w:w="1135" w:type="dxa"/>
            <w:vMerge w:val="restart"/>
            <w:textDirection w:val="btLr"/>
            <w:vAlign w:val="center"/>
          </w:tcPr>
          <w:p w14:paraId="0E9FE1E1" w14:textId="77777777" w:rsidR="009F7F8A" w:rsidRPr="00AC3044" w:rsidRDefault="009F7F8A" w:rsidP="009F7F8A">
            <w:pPr>
              <w:rPr>
                <w:rFonts w:eastAsia="SimSun"/>
              </w:rPr>
            </w:pPr>
            <w:r w:rsidRPr="00AC3044">
              <w:rPr>
                <w:rFonts w:eastAsia="SimSun"/>
              </w:rPr>
              <w:t>Профилактика РТПХ</w:t>
            </w:r>
          </w:p>
        </w:tc>
        <w:tc>
          <w:tcPr>
            <w:tcW w:w="1559" w:type="dxa"/>
            <w:vAlign w:val="center"/>
          </w:tcPr>
          <w:p w14:paraId="26A92E23"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435BAD70"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2F19686C" w14:textId="77777777" w:rsidR="009F7F8A" w:rsidRPr="00AC3044" w:rsidRDefault="009F7F8A" w:rsidP="009F7F8A">
            <w:pPr>
              <w:rPr>
                <w:rFonts w:eastAsia="SimSun"/>
              </w:rPr>
            </w:pPr>
            <w:r w:rsidRPr="00AC3044">
              <w:rPr>
                <w:rFonts w:eastAsia="SimSun"/>
              </w:rPr>
              <w:t>100 мг/кг</w:t>
            </w:r>
          </w:p>
        </w:tc>
        <w:tc>
          <w:tcPr>
            <w:tcW w:w="1559" w:type="dxa"/>
            <w:vAlign w:val="center"/>
          </w:tcPr>
          <w:p w14:paraId="7CC7BCB1" w14:textId="77777777" w:rsidR="009F7F8A" w:rsidRPr="00AC3044" w:rsidRDefault="009F7F8A" w:rsidP="009F7F8A">
            <w:pPr>
              <w:rPr>
                <w:rFonts w:eastAsia="SimSun"/>
              </w:rPr>
            </w:pPr>
            <w:r w:rsidRPr="00AC3044">
              <w:rPr>
                <w:rFonts w:eastAsia="SimSun"/>
              </w:rPr>
              <w:t>С +3 дня по +4 день</w:t>
            </w:r>
          </w:p>
        </w:tc>
        <w:tc>
          <w:tcPr>
            <w:tcW w:w="2410" w:type="dxa"/>
            <w:vAlign w:val="center"/>
          </w:tcPr>
          <w:p w14:paraId="159EBAC1"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4179CB7D" w14:textId="77777777" w:rsidTr="009F7F8A">
        <w:trPr>
          <w:cantSplit/>
          <w:trHeight w:val="1598"/>
        </w:trPr>
        <w:tc>
          <w:tcPr>
            <w:tcW w:w="1135" w:type="dxa"/>
            <w:vMerge/>
            <w:textDirection w:val="btLr"/>
            <w:vAlign w:val="center"/>
          </w:tcPr>
          <w:p w14:paraId="1704B190" w14:textId="77777777" w:rsidR="009F7F8A" w:rsidRPr="00AC3044" w:rsidRDefault="009F7F8A" w:rsidP="009F7F8A">
            <w:pPr>
              <w:rPr>
                <w:rFonts w:eastAsia="SimSun"/>
              </w:rPr>
            </w:pPr>
          </w:p>
        </w:tc>
        <w:tc>
          <w:tcPr>
            <w:tcW w:w="1559" w:type="dxa"/>
            <w:vAlign w:val="center"/>
          </w:tcPr>
          <w:p w14:paraId="2A1CA3A0" w14:textId="77777777" w:rsidR="009F7F8A" w:rsidRPr="00AC3044" w:rsidRDefault="009F7F8A" w:rsidP="009F7F8A">
            <w:pPr>
              <w:rPr>
                <w:rFonts w:eastAsia="SimSun"/>
              </w:rPr>
            </w:pPr>
            <w:r w:rsidRPr="00AC3044">
              <w:rPr>
                <w:rFonts w:eastAsia="SimSun"/>
              </w:rPr>
              <w:t xml:space="preserve">Такролимус </w:t>
            </w:r>
          </w:p>
        </w:tc>
        <w:tc>
          <w:tcPr>
            <w:tcW w:w="1418" w:type="dxa"/>
            <w:vAlign w:val="center"/>
          </w:tcPr>
          <w:p w14:paraId="27BE0173" w14:textId="77777777" w:rsidR="009F7F8A" w:rsidRPr="00AC3044" w:rsidRDefault="009F7F8A" w:rsidP="009F7F8A">
            <w:pPr>
              <w:rPr>
                <w:rFonts w:eastAsia="SimSun"/>
              </w:rPr>
            </w:pPr>
            <w:r w:rsidRPr="00AC3044">
              <w:rPr>
                <w:rFonts w:eastAsia="SimSun"/>
              </w:rPr>
              <w:t>0,03 мг/кг</w:t>
            </w:r>
          </w:p>
        </w:tc>
        <w:tc>
          <w:tcPr>
            <w:tcW w:w="1559" w:type="dxa"/>
            <w:vAlign w:val="center"/>
          </w:tcPr>
          <w:p w14:paraId="3F4A67D4" w14:textId="77777777" w:rsidR="009F7F8A" w:rsidRPr="00AC3044" w:rsidRDefault="009F7F8A" w:rsidP="009F7F8A">
            <w:pPr>
              <w:rPr>
                <w:rFonts w:eastAsia="SimSun"/>
              </w:rPr>
            </w:pPr>
            <w:r w:rsidRPr="00AC3044">
              <w:rPr>
                <w:rFonts w:eastAsia="SimSun"/>
              </w:rPr>
              <w:t>–</w:t>
            </w:r>
          </w:p>
        </w:tc>
        <w:tc>
          <w:tcPr>
            <w:tcW w:w="1559" w:type="dxa"/>
            <w:vAlign w:val="center"/>
          </w:tcPr>
          <w:p w14:paraId="247DFBB2" w14:textId="77777777" w:rsidR="009F7F8A" w:rsidRPr="00AC3044" w:rsidRDefault="009F7F8A" w:rsidP="009F7F8A">
            <w:pPr>
              <w:rPr>
                <w:rFonts w:eastAsia="SimSun"/>
              </w:rPr>
            </w:pPr>
            <w:r w:rsidRPr="00AC3044">
              <w:rPr>
                <w:rFonts w:eastAsia="SimSun"/>
              </w:rPr>
              <w:t xml:space="preserve">С +5 дня длительно </w:t>
            </w:r>
          </w:p>
        </w:tc>
        <w:tc>
          <w:tcPr>
            <w:tcW w:w="2410" w:type="dxa"/>
            <w:vAlign w:val="center"/>
          </w:tcPr>
          <w:p w14:paraId="102DA0AD"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007435B4" w14:textId="77777777" w:rsidTr="009F7F8A">
        <w:trPr>
          <w:cantSplit/>
          <w:trHeight w:val="434"/>
        </w:trPr>
        <w:tc>
          <w:tcPr>
            <w:tcW w:w="1135" w:type="dxa"/>
            <w:vMerge/>
            <w:textDirection w:val="btLr"/>
            <w:vAlign w:val="center"/>
          </w:tcPr>
          <w:p w14:paraId="78804E8D" w14:textId="77777777" w:rsidR="009F7F8A" w:rsidRPr="00AC3044" w:rsidRDefault="009F7F8A" w:rsidP="009F7F8A">
            <w:pPr>
              <w:rPr>
                <w:rFonts w:eastAsia="SimSun"/>
              </w:rPr>
            </w:pPr>
          </w:p>
        </w:tc>
        <w:tc>
          <w:tcPr>
            <w:tcW w:w="1559" w:type="dxa"/>
            <w:vAlign w:val="center"/>
          </w:tcPr>
          <w:p w14:paraId="6D5276C0" w14:textId="77777777" w:rsidR="009F7F8A" w:rsidRPr="00AC3044" w:rsidRDefault="009F7F8A" w:rsidP="009F7F8A">
            <w:pPr>
              <w:rPr>
                <w:rFonts w:eastAsia="SimSun"/>
              </w:rPr>
            </w:pPr>
            <w:r w:rsidRPr="00AC3044">
              <w:rPr>
                <w:rFonts w:eastAsia="SimSun"/>
              </w:rPr>
              <w:t>Микофенолата мофетил</w:t>
            </w:r>
          </w:p>
        </w:tc>
        <w:tc>
          <w:tcPr>
            <w:tcW w:w="1418" w:type="dxa"/>
            <w:vAlign w:val="center"/>
          </w:tcPr>
          <w:p w14:paraId="0FA28396" w14:textId="77777777" w:rsidR="009F7F8A" w:rsidRPr="00AC3044" w:rsidRDefault="009F7F8A" w:rsidP="009F7F8A">
            <w:pPr>
              <w:rPr>
                <w:rFonts w:eastAsia="SimSun"/>
              </w:rPr>
            </w:pPr>
            <w:r w:rsidRPr="00AC3044">
              <w:rPr>
                <w:rFonts w:eastAsia="SimSun"/>
              </w:rPr>
              <w:t xml:space="preserve">45 мг/кг </w:t>
            </w:r>
          </w:p>
        </w:tc>
        <w:tc>
          <w:tcPr>
            <w:tcW w:w="1559" w:type="dxa"/>
            <w:vAlign w:val="center"/>
          </w:tcPr>
          <w:p w14:paraId="689ED141" w14:textId="77777777" w:rsidR="009F7F8A" w:rsidRPr="00AC3044" w:rsidRDefault="009F7F8A" w:rsidP="009F7F8A">
            <w:pPr>
              <w:rPr>
                <w:rFonts w:eastAsia="SimSun"/>
              </w:rPr>
            </w:pPr>
            <w:r w:rsidRPr="00AC3044">
              <w:rPr>
                <w:rFonts w:eastAsia="SimSun"/>
              </w:rPr>
              <w:t>–</w:t>
            </w:r>
          </w:p>
        </w:tc>
        <w:tc>
          <w:tcPr>
            <w:tcW w:w="1559" w:type="dxa"/>
            <w:vAlign w:val="center"/>
          </w:tcPr>
          <w:p w14:paraId="2FCE9A8F" w14:textId="77777777" w:rsidR="009F7F8A" w:rsidRPr="00AC3044" w:rsidRDefault="009F7F8A" w:rsidP="009F7F8A">
            <w:pPr>
              <w:rPr>
                <w:rFonts w:eastAsia="SimSun"/>
              </w:rPr>
            </w:pPr>
            <w:r w:rsidRPr="00AC3044">
              <w:rPr>
                <w:rFonts w:eastAsia="SimSun"/>
              </w:rPr>
              <w:t xml:space="preserve">С +5 дня по +35 день </w:t>
            </w:r>
          </w:p>
        </w:tc>
        <w:tc>
          <w:tcPr>
            <w:tcW w:w="2410" w:type="dxa"/>
            <w:vAlign w:val="center"/>
          </w:tcPr>
          <w:p w14:paraId="240C21AA"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053CDDB0" w14:textId="77777777" w:rsidR="009F7F8A" w:rsidRDefault="009F7F8A" w:rsidP="009F7F8A">
      <w:pPr>
        <w:rPr>
          <w:rFonts w:eastAsia="SimSun"/>
        </w:rPr>
      </w:pPr>
      <w:bookmarkStart w:id="197" w:name="_Toc44401233"/>
    </w:p>
    <w:p w14:paraId="0B114B42" w14:textId="77777777" w:rsidR="009F7F8A" w:rsidRPr="00C07B2E" w:rsidRDefault="009F7F8A" w:rsidP="009F7F8A">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3.1.8  – Flu180+Bu12 / PT-Cy+Tx+MMF45</w:t>
      </w:r>
      <w:bookmarkEnd w:id="197"/>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9F7F8A" w:rsidRPr="00AC3044" w14:paraId="634A4E6F" w14:textId="77777777" w:rsidTr="009F7F8A">
        <w:trPr>
          <w:cantSplit/>
          <w:trHeight w:val="20"/>
          <w:tblHeader/>
        </w:trPr>
        <w:tc>
          <w:tcPr>
            <w:tcW w:w="1135" w:type="dxa"/>
            <w:vAlign w:val="center"/>
          </w:tcPr>
          <w:p w14:paraId="3180E94B" w14:textId="77777777" w:rsidR="009F7F8A" w:rsidRPr="006A5E21" w:rsidRDefault="009F7F8A" w:rsidP="009F7F8A">
            <w:pPr>
              <w:rPr>
                <w:rFonts w:eastAsia="SimSun"/>
              </w:rPr>
            </w:pPr>
          </w:p>
        </w:tc>
        <w:tc>
          <w:tcPr>
            <w:tcW w:w="1559" w:type="dxa"/>
            <w:vAlign w:val="center"/>
          </w:tcPr>
          <w:p w14:paraId="3982B34D"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662560D8"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4301306F" w14:textId="77777777" w:rsidR="009F7F8A" w:rsidRPr="00AC3044" w:rsidRDefault="009F7F8A" w:rsidP="009F7F8A">
            <w:pPr>
              <w:rPr>
                <w:rFonts w:eastAsia="SimSun"/>
              </w:rPr>
            </w:pPr>
            <w:r w:rsidRPr="00AC3044">
              <w:rPr>
                <w:rFonts w:eastAsia="SimSun"/>
              </w:rPr>
              <w:t>Курсовая доза</w:t>
            </w:r>
          </w:p>
        </w:tc>
        <w:tc>
          <w:tcPr>
            <w:tcW w:w="1559" w:type="dxa"/>
            <w:vAlign w:val="center"/>
          </w:tcPr>
          <w:p w14:paraId="1FABF6BB" w14:textId="77777777" w:rsidR="009F7F8A" w:rsidRPr="00AC3044" w:rsidRDefault="009F7F8A" w:rsidP="009F7F8A">
            <w:pPr>
              <w:rPr>
                <w:rFonts w:eastAsia="SimSun"/>
              </w:rPr>
            </w:pPr>
            <w:r w:rsidRPr="00AC3044">
              <w:rPr>
                <w:rFonts w:eastAsia="SimSun"/>
              </w:rPr>
              <w:t>Дни введения</w:t>
            </w:r>
          </w:p>
        </w:tc>
        <w:tc>
          <w:tcPr>
            <w:tcW w:w="2410" w:type="dxa"/>
            <w:vAlign w:val="center"/>
          </w:tcPr>
          <w:p w14:paraId="232526B2"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753407FF" w14:textId="77777777" w:rsidTr="009F7F8A">
        <w:trPr>
          <w:cantSplit/>
          <w:trHeight w:val="20"/>
        </w:trPr>
        <w:tc>
          <w:tcPr>
            <w:tcW w:w="1135" w:type="dxa"/>
            <w:vMerge w:val="restart"/>
            <w:textDirection w:val="btLr"/>
            <w:vAlign w:val="center"/>
          </w:tcPr>
          <w:p w14:paraId="34AFD503" w14:textId="77777777" w:rsidR="009F7F8A" w:rsidRPr="00AC3044" w:rsidRDefault="009F7F8A" w:rsidP="009F7F8A">
            <w:pPr>
              <w:rPr>
                <w:rFonts w:eastAsia="SimSun"/>
              </w:rPr>
            </w:pPr>
            <w:r w:rsidRPr="00AC3044">
              <w:rPr>
                <w:rFonts w:eastAsia="SimSun"/>
              </w:rPr>
              <w:t>Кондиционирование</w:t>
            </w:r>
          </w:p>
        </w:tc>
        <w:tc>
          <w:tcPr>
            <w:tcW w:w="1559" w:type="dxa"/>
            <w:vAlign w:val="center"/>
          </w:tcPr>
          <w:p w14:paraId="588BA204"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7FD349B1"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67BF0E20"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559" w:type="dxa"/>
            <w:vAlign w:val="center"/>
          </w:tcPr>
          <w:p w14:paraId="278DC129" w14:textId="77777777" w:rsidR="009F7F8A" w:rsidRPr="00AC3044" w:rsidRDefault="009F7F8A" w:rsidP="009F7F8A">
            <w:pPr>
              <w:rPr>
                <w:rFonts w:eastAsia="SimSun"/>
              </w:rPr>
            </w:pPr>
            <w:r w:rsidRPr="00AC3044">
              <w:rPr>
                <w:rFonts w:eastAsia="SimSun"/>
              </w:rPr>
              <w:t>С -7 дня по -2 день</w:t>
            </w:r>
          </w:p>
        </w:tc>
        <w:tc>
          <w:tcPr>
            <w:tcW w:w="2410" w:type="dxa"/>
            <w:vAlign w:val="center"/>
          </w:tcPr>
          <w:p w14:paraId="04380C14"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713F39E9" w14:textId="77777777" w:rsidTr="009F7F8A">
        <w:trPr>
          <w:cantSplit/>
          <w:trHeight w:val="1207"/>
        </w:trPr>
        <w:tc>
          <w:tcPr>
            <w:tcW w:w="1135" w:type="dxa"/>
            <w:vMerge/>
            <w:vAlign w:val="center"/>
          </w:tcPr>
          <w:p w14:paraId="6823AC55" w14:textId="77777777" w:rsidR="009F7F8A" w:rsidRPr="00AC3044" w:rsidRDefault="009F7F8A" w:rsidP="009F7F8A">
            <w:pPr>
              <w:rPr>
                <w:rFonts w:eastAsia="SimSun"/>
              </w:rPr>
            </w:pPr>
          </w:p>
        </w:tc>
        <w:tc>
          <w:tcPr>
            <w:tcW w:w="1559" w:type="dxa"/>
            <w:vAlign w:val="center"/>
          </w:tcPr>
          <w:p w14:paraId="3B972BE5" w14:textId="77777777" w:rsidR="009F7F8A" w:rsidRPr="00AC3044" w:rsidRDefault="009F7F8A" w:rsidP="009F7F8A">
            <w:pPr>
              <w:rPr>
                <w:rFonts w:eastAsia="SimSun"/>
              </w:rPr>
            </w:pPr>
            <w:r w:rsidRPr="00AC3044">
              <w:rPr>
                <w:rFonts w:eastAsia="SimSun"/>
              </w:rPr>
              <w:t>Бусульфан</w:t>
            </w:r>
          </w:p>
        </w:tc>
        <w:tc>
          <w:tcPr>
            <w:tcW w:w="1418" w:type="dxa"/>
            <w:vAlign w:val="center"/>
          </w:tcPr>
          <w:p w14:paraId="317BC310" w14:textId="77777777" w:rsidR="009F7F8A" w:rsidRPr="00AC3044" w:rsidRDefault="009F7F8A" w:rsidP="009F7F8A">
            <w:pPr>
              <w:rPr>
                <w:rFonts w:eastAsia="SimSun"/>
              </w:rPr>
            </w:pPr>
            <w:r w:rsidRPr="00AC3044">
              <w:rPr>
                <w:rFonts w:eastAsia="SimSun"/>
              </w:rPr>
              <w:t xml:space="preserve">4 мг/кг </w:t>
            </w:r>
          </w:p>
        </w:tc>
        <w:tc>
          <w:tcPr>
            <w:tcW w:w="1559" w:type="dxa"/>
            <w:vAlign w:val="center"/>
          </w:tcPr>
          <w:p w14:paraId="73F7129A" w14:textId="77777777" w:rsidR="009F7F8A" w:rsidRPr="00AC3044" w:rsidRDefault="009F7F8A" w:rsidP="009F7F8A">
            <w:pPr>
              <w:rPr>
                <w:rFonts w:eastAsia="SimSun"/>
              </w:rPr>
            </w:pPr>
            <w:r w:rsidRPr="00AC3044">
              <w:rPr>
                <w:rFonts w:eastAsia="SimSun"/>
              </w:rPr>
              <w:t xml:space="preserve">12 мг/кг </w:t>
            </w:r>
          </w:p>
        </w:tc>
        <w:tc>
          <w:tcPr>
            <w:tcW w:w="1559" w:type="dxa"/>
            <w:vAlign w:val="center"/>
          </w:tcPr>
          <w:p w14:paraId="68919D52" w14:textId="77777777" w:rsidR="009F7F8A" w:rsidRPr="00AC3044" w:rsidRDefault="009F7F8A" w:rsidP="009F7F8A">
            <w:pPr>
              <w:rPr>
                <w:rFonts w:eastAsia="SimSun"/>
              </w:rPr>
            </w:pPr>
            <w:r w:rsidRPr="00AC3044">
              <w:rPr>
                <w:rFonts w:eastAsia="SimSun"/>
              </w:rPr>
              <w:t>С -5 дня по -3 день</w:t>
            </w:r>
          </w:p>
        </w:tc>
        <w:tc>
          <w:tcPr>
            <w:tcW w:w="2410" w:type="dxa"/>
            <w:vAlign w:val="center"/>
          </w:tcPr>
          <w:p w14:paraId="354D4AE6"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4F3596E8" w14:textId="77777777" w:rsidTr="009F7F8A">
        <w:trPr>
          <w:cantSplit/>
          <w:trHeight w:val="660"/>
        </w:trPr>
        <w:tc>
          <w:tcPr>
            <w:tcW w:w="1135" w:type="dxa"/>
            <w:vMerge w:val="restart"/>
            <w:textDirection w:val="btLr"/>
            <w:vAlign w:val="center"/>
          </w:tcPr>
          <w:p w14:paraId="219D901D" w14:textId="77777777" w:rsidR="009F7F8A" w:rsidRPr="00AC3044" w:rsidRDefault="009F7F8A" w:rsidP="009F7F8A">
            <w:pPr>
              <w:rPr>
                <w:rFonts w:eastAsia="SimSun"/>
              </w:rPr>
            </w:pPr>
            <w:r w:rsidRPr="00AC3044">
              <w:rPr>
                <w:rFonts w:eastAsia="SimSun"/>
              </w:rPr>
              <w:t>Профилактика РТПХ</w:t>
            </w:r>
          </w:p>
        </w:tc>
        <w:tc>
          <w:tcPr>
            <w:tcW w:w="1559" w:type="dxa"/>
            <w:vAlign w:val="center"/>
          </w:tcPr>
          <w:p w14:paraId="34AE74BD"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23C14616"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48AA8226" w14:textId="77777777" w:rsidR="009F7F8A" w:rsidRPr="00AC3044" w:rsidRDefault="009F7F8A" w:rsidP="009F7F8A">
            <w:pPr>
              <w:rPr>
                <w:rFonts w:eastAsia="SimSun"/>
              </w:rPr>
            </w:pPr>
            <w:r w:rsidRPr="00AC3044">
              <w:rPr>
                <w:rFonts w:eastAsia="SimSun"/>
              </w:rPr>
              <w:t>100 мг/кг</w:t>
            </w:r>
          </w:p>
        </w:tc>
        <w:tc>
          <w:tcPr>
            <w:tcW w:w="1559" w:type="dxa"/>
            <w:vAlign w:val="center"/>
          </w:tcPr>
          <w:p w14:paraId="504FC292" w14:textId="77777777" w:rsidR="009F7F8A" w:rsidRPr="00AC3044" w:rsidRDefault="009F7F8A" w:rsidP="009F7F8A">
            <w:pPr>
              <w:rPr>
                <w:rFonts w:eastAsia="SimSun"/>
              </w:rPr>
            </w:pPr>
            <w:r w:rsidRPr="00AC3044">
              <w:rPr>
                <w:rFonts w:eastAsia="SimSun"/>
              </w:rPr>
              <w:t>С +3 дня по +4 день</w:t>
            </w:r>
          </w:p>
        </w:tc>
        <w:tc>
          <w:tcPr>
            <w:tcW w:w="2410" w:type="dxa"/>
            <w:vAlign w:val="center"/>
          </w:tcPr>
          <w:p w14:paraId="1EE841EB"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7B0F0EBF" w14:textId="77777777" w:rsidTr="009F7F8A">
        <w:trPr>
          <w:cantSplit/>
          <w:trHeight w:val="958"/>
        </w:trPr>
        <w:tc>
          <w:tcPr>
            <w:tcW w:w="1135" w:type="dxa"/>
            <w:vMerge/>
            <w:textDirection w:val="btLr"/>
            <w:vAlign w:val="center"/>
          </w:tcPr>
          <w:p w14:paraId="55EB2782" w14:textId="77777777" w:rsidR="009F7F8A" w:rsidRPr="00AC3044" w:rsidRDefault="009F7F8A" w:rsidP="009F7F8A">
            <w:pPr>
              <w:rPr>
                <w:rFonts w:eastAsia="SimSun"/>
              </w:rPr>
            </w:pPr>
          </w:p>
        </w:tc>
        <w:tc>
          <w:tcPr>
            <w:tcW w:w="1559" w:type="dxa"/>
            <w:vAlign w:val="center"/>
          </w:tcPr>
          <w:p w14:paraId="39578F47" w14:textId="77777777" w:rsidR="009F7F8A" w:rsidRPr="00AC3044" w:rsidRDefault="009F7F8A" w:rsidP="009F7F8A">
            <w:pPr>
              <w:rPr>
                <w:rFonts w:eastAsia="SimSun"/>
              </w:rPr>
            </w:pPr>
            <w:r w:rsidRPr="00AC3044">
              <w:rPr>
                <w:rFonts w:eastAsia="SimSun"/>
              </w:rPr>
              <w:t xml:space="preserve">Такролимус </w:t>
            </w:r>
          </w:p>
        </w:tc>
        <w:tc>
          <w:tcPr>
            <w:tcW w:w="1418" w:type="dxa"/>
            <w:vAlign w:val="center"/>
          </w:tcPr>
          <w:p w14:paraId="6F206398" w14:textId="77777777" w:rsidR="009F7F8A" w:rsidRPr="00AC3044" w:rsidRDefault="009F7F8A" w:rsidP="009F7F8A">
            <w:pPr>
              <w:rPr>
                <w:rFonts w:eastAsia="SimSun"/>
              </w:rPr>
            </w:pPr>
            <w:r w:rsidRPr="00AC3044">
              <w:rPr>
                <w:rFonts w:eastAsia="SimSun"/>
              </w:rPr>
              <w:t>0,03 мг/кг</w:t>
            </w:r>
          </w:p>
        </w:tc>
        <w:tc>
          <w:tcPr>
            <w:tcW w:w="1559" w:type="dxa"/>
            <w:vAlign w:val="center"/>
          </w:tcPr>
          <w:p w14:paraId="48999F07" w14:textId="77777777" w:rsidR="009F7F8A" w:rsidRPr="00AC3044" w:rsidRDefault="009F7F8A" w:rsidP="009F7F8A">
            <w:pPr>
              <w:rPr>
                <w:rFonts w:eastAsia="SimSun"/>
              </w:rPr>
            </w:pPr>
            <w:r w:rsidRPr="00AC3044">
              <w:rPr>
                <w:rFonts w:eastAsia="SimSun"/>
              </w:rPr>
              <w:t>–</w:t>
            </w:r>
          </w:p>
        </w:tc>
        <w:tc>
          <w:tcPr>
            <w:tcW w:w="1559" w:type="dxa"/>
            <w:vAlign w:val="center"/>
          </w:tcPr>
          <w:p w14:paraId="48769D18" w14:textId="77777777" w:rsidR="009F7F8A" w:rsidRPr="00AC3044" w:rsidRDefault="009F7F8A" w:rsidP="009F7F8A">
            <w:pPr>
              <w:rPr>
                <w:rFonts w:eastAsia="SimSun"/>
              </w:rPr>
            </w:pPr>
            <w:r w:rsidRPr="00AC3044">
              <w:rPr>
                <w:rFonts w:eastAsia="SimSun"/>
              </w:rPr>
              <w:t xml:space="preserve">С +5 дня длительно </w:t>
            </w:r>
          </w:p>
        </w:tc>
        <w:tc>
          <w:tcPr>
            <w:tcW w:w="2410" w:type="dxa"/>
            <w:vAlign w:val="center"/>
          </w:tcPr>
          <w:p w14:paraId="09757B7D"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bl>
    <w:p w14:paraId="0BB5B944" w14:textId="77777777" w:rsidR="009F7F8A" w:rsidRDefault="009F7F8A" w:rsidP="009F7F8A">
      <w:pPr>
        <w:rPr>
          <w:rFonts w:eastAsia="SimSun"/>
        </w:rPr>
      </w:pPr>
      <w:bookmarkStart w:id="198" w:name="_Toc44401234"/>
    </w:p>
    <w:p w14:paraId="55910D30" w14:textId="77777777" w:rsidR="009F7F8A" w:rsidRPr="00030511" w:rsidRDefault="009F7F8A" w:rsidP="009F7F8A">
      <w:pPr>
        <w:rPr>
          <w:rFonts w:eastAsia="SimSun"/>
        </w:rPr>
      </w:pPr>
      <w:r w:rsidRPr="00030511">
        <w:rPr>
          <w:rFonts w:eastAsia="SimSun"/>
        </w:rPr>
        <w:t xml:space="preserve">Таблица 5.3.1.9  – </w:t>
      </w:r>
      <w:r w:rsidRPr="00C07B2E">
        <w:rPr>
          <w:rFonts w:eastAsia="SimSun"/>
        </w:rPr>
        <w:t>Flu</w:t>
      </w:r>
      <w:r w:rsidRPr="00030511">
        <w:rPr>
          <w:rFonts w:eastAsia="SimSun"/>
        </w:rPr>
        <w:t>180+</w:t>
      </w:r>
      <w:r w:rsidRPr="00C07B2E">
        <w:rPr>
          <w:rFonts w:eastAsia="SimSun"/>
        </w:rPr>
        <w:t>Bu</w:t>
      </w:r>
      <w:r w:rsidRPr="00030511">
        <w:rPr>
          <w:rFonts w:eastAsia="SimSun"/>
        </w:rPr>
        <w:t xml:space="preserve">14 / </w:t>
      </w:r>
      <w:r w:rsidRPr="00C07B2E">
        <w:rPr>
          <w:rFonts w:eastAsia="SimSun"/>
        </w:rPr>
        <w:t>PT</w:t>
      </w:r>
      <w:r w:rsidRPr="00030511">
        <w:rPr>
          <w:rFonts w:eastAsia="SimSun"/>
        </w:rPr>
        <w:t>-</w:t>
      </w:r>
      <w:r w:rsidRPr="00C07B2E">
        <w:rPr>
          <w:rFonts w:eastAsia="SimSun"/>
        </w:rPr>
        <w:t>Cy</w:t>
      </w:r>
      <w:r w:rsidRPr="00030511">
        <w:rPr>
          <w:rFonts w:eastAsia="SimSun"/>
        </w:rPr>
        <w:t>+</w:t>
      </w:r>
      <w:r w:rsidRPr="00C07B2E">
        <w:rPr>
          <w:rFonts w:eastAsia="SimSun"/>
        </w:rPr>
        <w:t>Tx</w:t>
      </w:r>
      <w:r w:rsidRPr="00030511">
        <w:rPr>
          <w:rFonts w:eastAsia="SimSun"/>
        </w:rPr>
        <w:t>+</w:t>
      </w:r>
      <w:r w:rsidRPr="00C07B2E">
        <w:rPr>
          <w:rFonts w:eastAsia="SimSun"/>
        </w:rPr>
        <w:t>MMF</w:t>
      </w:r>
      <w:r w:rsidRPr="00030511">
        <w:rPr>
          <w:rFonts w:eastAsia="SimSun"/>
        </w:rPr>
        <w:t>45</w:t>
      </w:r>
      <w:bookmarkEnd w:id="198"/>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9F7F8A" w:rsidRPr="00AC3044" w14:paraId="30D05C7C" w14:textId="77777777" w:rsidTr="009F7F8A">
        <w:trPr>
          <w:cantSplit/>
          <w:trHeight w:val="20"/>
          <w:tblHeader/>
        </w:trPr>
        <w:tc>
          <w:tcPr>
            <w:tcW w:w="1135" w:type="dxa"/>
            <w:vAlign w:val="center"/>
          </w:tcPr>
          <w:p w14:paraId="38B3E013" w14:textId="77777777" w:rsidR="009F7F8A" w:rsidRPr="00AC3044" w:rsidRDefault="009F7F8A" w:rsidP="009F7F8A">
            <w:pPr>
              <w:rPr>
                <w:rFonts w:eastAsia="SimSun"/>
              </w:rPr>
            </w:pPr>
          </w:p>
        </w:tc>
        <w:tc>
          <w:tcPr>
            <w:tcW w:w="1559" w:type="dxa"/>
            <w:vAlign w:val="center"/>
          </w:tcPr>
          <w:p w14:paraId="67A8197C"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36E6890F"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4524C437" w14:textId="77777777" w:rsidR="009F7F8A" w:rsidRPr="00AC3044" w:rsidRDefault="009F7F8A" w:rsidP="009F7F8A">
            <w:pPr>
              <w:rPr>
                <w:rFonts w:eastAsia="SimSun"/>
              </w:rPr>
            </w:pPr>
            <w:r w:rsidRPr="00AC3044">
              <w:rPr>
                <w:rFonts w:eastAsia="SimSun"/>
              </w:rPr>
              <w:t>Курсовая доза</w:t>
            </w:r>
          </w:p>
        </w:tc>
        <w:tc>
          <w:tcPr>
            <w:tcW w:w="1559" w:type="dxa"/>
            <w:vAlign w:val="center"/>
          </w:tcPr>
          <w:p w14:paraId="2E883B90" w14:textId="77777777" w:rsidR="009F7F8A" w:rsidRPr="00AC3044" w:rsidRDefault="009F7F8A" w:rsidP="009F7F8A">
            <w:pPr>
              <w:rPr>
                <w:rFonts w:eastAsia="SimSun"/>
              </w:rPr>
            </w:pPr>
            <w:r w:rsidRPr="00AC3044">
              <w:rPr>
                <w:rFonts w:eastAsia="SimSun"/>
              </w:rPr>
              <w:t>Дни введения</w:t>
            </w:r>
          </w:p>
        </w:tc>
        <w:tc>
          <w:tcPr>
            <w:tcW w:w="2410" w:type="dxa"/>
            <w:vAlign w:val="center"/>
          </w:tcPr>
          <w:p w14:paraId="3B61C506"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FE5B70D" w14:textId="77777777" w:rsidTr="009F7F8A">
        <w:trPr>
          <w:cantSplit/>
          <w:trHeight w:val="450"/>
        </w:trPr>
        <w:tc>
          <w:tcPr>
            <w:tcW w:w="1135" w:type="dxa"/>
            <w:vMerge w:val="restart"/>
            <w:textDirection w:val="btLr"/>
            <w:vAlign w:val="center"/>
          </w:tcPr>
          <w:p w14:paraId="4478CAB4" w14:textId="77777777" w:rsidR="009F7F8A" w:rsidRPr="00AC3044" w:rsidRDefault="009F7F8A" w:rsidP="009F7F8A">
            <w:pPr>
              <w:rPr>
                <w:rFonts w:eastAsia="SimSun"/>
              </w:rPr>
            </w:pPr>
            <w:r w:rsidRPr="00AC3044">
              <w:rPr>
                <w:rFonts w:eastAsia="SimSun"/>
              </w:rPr>
              <w:t>Кондиционирование</w:t>
            </w:r>
          </w:p>
        </w:tc>
        <w:tc>
          <w:tcPr>
            <w:tcW w:w="1559" w:type="dxa"/>
            <w:vAlign w:val="center"/>
          </w:tcPr>
          <w:p w14:paraId="69052412"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0545A7BA"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5C402E3C"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559" w:type="dxa"/>
            <w:vAlign w:val="center"/>
          </w:tcPr>
          <w:p w14:paraId="253A9F52" w14:textId="77777777" w:rsidR="009F7F8A" w:rsidRPr="00AC3044" w:rsidRDefault="009F7F8A" w:rsidP="009F7F8A">
            <w:pPr>
              <w:rPr>
                <w:rFonts w:eastAsia="SimSun"/>
              </w:rPr>
            </w:pPr>
            <w:r w:rsidRPr="00AC3044">
              <w:rPr>
                <w:rFonts w:eastAsia="SimSun"/>
              </w:rPr>
              <w:t>С -7 дня по -2 день</w:t>
            </w:r>
          </w:p>
        </w:tc>
        <w:tc>
          <w:tcPr>
            <w:tcW w:w="2410" w:type="dxa"/>
            <w:vAlign w:val="center"/>
          </w:tcPr>
          <w:p w14:paraId="54FED95D"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504865DE" w14:textId="77777777" w:rsidTr="009F7F8A">
        <w:trPr>
          <w:cantSplit/>
          <w:trHeight w:val="1207"/>
        </w:trPr>
        <w:tc>
          <w:tcPr>
            <w:tcW w:w="1135" w:type="dxa"/>
            <w:vMerge/>
            <w:vAlign w:val="center"/>
          </w:tcPr>
          <w:p w14:paraId="3AAC47A3" w14:textId="77777777" w:rsidR="009F7F8A" w:rsidRPr="00AC3044" w:rsidRDefault="009F7F8A" w:rsidP="009F7F8A">
            <w:pPr>
              <w:rPr>
                <w:rFonts w:eastAsia="SimSun"/>
              </w:rPr>
            </w:pPr>
          </w:p>
        </w:tc>
        <w:tc>
          <w:tcPr>
            <w:tcW w:w="1559" w:type="dxa"/>
            <w:vAlign w:val="center"/>
          </w:tcPr>
          <w:p w14:paraId="7E4510DA" w14:textId="77777777" w:rsidR="009F7F8A" w:rsidRPr="00AC3044" w:rsidRDefault="009F7F8A" w:rsidP="009F7F8A">
            <w:pPr>
              <w:rPr>
                <w:rFonts w:eastAsia="SimSun"/>
              </w:rPr>
            </w:pPr>
            <w:r w:rsidRPr="00AC3044">
              <w:rPr>
                <w:rFonts w:eastAsia="SimSun"/>
              </w:rPr>
              <w:t>Бусульфан</w:t>
            </w:r>
          </w:p>
        </w:tc>
        <w:tc>
          <w:tcPr>
            <w:tcW w:w="1418" w:type="dxa"/>
            <w:vAlign w:val="center"/>
          </w:tcPr>
          <w:p w14:paraId="3AA476D4" w14:textId="77777777" w:rsidR="009F7F8A" w:rsidRPr="00AC3044" w:rsidRDefault="009F7F8A" w:rsidP="009F7F8A">
            <w:pPr>
              <w:rPr>
                <w:rFonts w:eastAsia="SimSun"/>
              </w:rPr>
            </w:pPr>
            <w:r w:rsidRPr="00AC3044">
              <w:rPr>
                <w:rFonts w:eastAsia="SimSun"/>
              </w:rPr>
              <w:t xml:space="preserve">4 мг/кг </w:t>
            </w:r>
          </w:p>
        </w:tc>
        <w:tc>
          <w:tcPr>
            <w:tcW w:w="1559" w:type="dxa"/>
            <w:vAlign w:val="center"/>
          </w:tcPr>
          <w:p w14:paraId="526F71C4" w14:textId="77777777" w:rsidR="009F7F8A" w:rsidRPr="00AC3044" w:rsidRDefault="009F7F8A" w:rsidP="009F7F8A">
            <w:pPr>
              <w:rPr>
                <w:rFonts w:eastAsia="SimSun"/>
              </w:rPr>
            </w:pPr>
            <w:r w:rsidRPr="00AC3044">
              <w:rPr>
                <w:rFonts w:eastAsia="SimSun"/>
              </w:rPr>
              <w:t xml:space="preserve">14 мг/кг </w:t>
            </w:r>
          </w:p>
        </w:tc>
        <w:tc>
          <w:tcPr>
            <w:tcW w:w="1559" w:type="dxa"/>
            <w:vAlign w:val="center"/>
          </w:tcPr>
          <w:p w14:paraId="186C4260" w14:textId="77777777" w:rsidR="009F7F8A" w:rsidRPr="00AC3044" w:rsidRDefault="009F7F8A" w:rsidP="009F7F8A">
            <w:pPr>
              <w:rPr>
                <w:rFonts w:eastAsia="SimSun"/>
              </w:rPr>
            </w:pPr>
            <w:r w:rsidRPr="00AC3044">
              <w:rPr>
                <w:rFonts w:eastAsia="SimSun"/>
              </w:rPr>
              <w:t>С -6 дня по -3 день</w:t>
            </w:r>
          </w:p>
        </w:tc>
        <w:tc>
          <w:tcPr>
            <w:tcW w:w="2410" w:type="dxa"/>
            <w:vAlign w:val="center"/>
          </w:tcPr>
          <w:p w14:paraId="0C3B0C02"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F7F8A" w:rsidRPr="00AC3044" w14:paraId="0539ECC1" w14:textId="77777777" w:rsidTr="009F7F8A">
        <w:trPr>
          <w:cantSplit/>
          <w:trHeight w:val="606"/>
        </w:trPr>
        <w:tc>
          <w:tcPr>
            <w:tcW w:w="1135" w:type="dxa"/>
            <w:vMerge w:val="restart"/>
            <w:textDirection w:val="btLr"/>
            <w:vAlign w:val="center"/>
          </w:tcPr>
          <w:p w14:paraId="0478D7E2" w14:textId="77777777" w:rsidR="009F7F8A" w:rsidRPr="00AC3044" w:rsidRDefault="009F7F8A" w:rsidP="009F7F8A">
            <w:pPr>
              <w:rPr>
                <w:rFonts w:eastAsia="SimSun"/>
              </w:rPr>
            </w:pPr>
            <w:r w:rsidRPr="00AC3044">
              <w:rPr>
                <w:rFonts w:eastAsia="SimSun"/>
              </w:rPr>
              <w:t>Профилактика РТПХ</w:t>
            </w:r>
          </w:p>
        </w:tc>
        <w:tc>
          <w:tcPr>
            <w:tcW w:w="1559" w:type="dxa"/>
            <w:vAlign w:val="center"/>
          </w:tcPr>
          <w:p w14:paraId="2AFEB199"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07F012C7"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200D07C1" w14:textId="77777777" w:rsidR="009F7F8A" w:rsidRPr="00AC3044" w:rsidRDefault="009F7F8A" w:rsidP="009F7F8A">
            <w:pPr>
              <w:rPr>
                <w:rFonts w:eastAsia="SimSun"/>
              </w:rPr>
            </w:pPr>
            <w:r w:rsidRPr="00AC3044">
              <w:rPr>
                <w:rFonts w:eastAsia="SimSun"/>
              </w:rPr>
              <w:t>100 мг/кг</w:t>
            </w:r>
          </w:p>
        </w:tc>
        <w:tc>
          <w:tcPr>
            <w:tcW w:w="1559" w:type="dxa"/>
            <w:vAlign w:val="center"/>
          </w:tcPr>
          <w:p w14:paraId="2EEF3814" w14:textId="77777777" w:rsidR="009F7F8A" w:rsidRPr="00AC3044" w:rsidRDefault="009F7F8A" w:rsidP="009F7F8A">
            <w:pPr>
              <w:rPr>
                <w:rFonts w:eastAsia="SimSun"/>
              </w:rPr>
            </w:pPr>
            <w:r w:rsidRPr="00AC3044">
              <w:rPr>
                <w:rFonts w:eastAsia="SimSun"/>
              </w:rPr>
              <w:t>С +3 дня по +4 день</w:t>
            </w:r>
          </w:p>
        </w:tc>
        <w:tc>
          <w:tcPr>
            <w:tcW w:w="2410" w:type="dxa"/>
            <w:vAlign w:val="center"/>
          </w:tcPr>
          <w:p w14:paraId="2A471D40"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35788DFB" w14:textId="77777777" w:rsidTr="009F7F8A">
        <w:trPr>
          <w:cantSplit/>
          <w:trHeight w:val="958"/>
        </w:trPr>
        <w:tc>
          <w:tcPr>
            <w:tcW w:w="1135" w:type="dxa"/>
            <w:vMerge/>
            <w:textDirection w:val="btLr"/>
            <w:vAlign w:val="center"/>
          </w:tcPr>
          <w:p w14:paraId="1A3C6D0D" w14:textId="77777777" w:rsidR="009F7F8A" w:rsidRPr="00AC3044" w:rsidRDefault="009F7F8A" w:rsidP="009F7F8A">
            <w:pPr>
              <w:rPr>
                <w:rFonts w:eastAsia="SimSun"/>
              </w:rPr>
            </w:pPr>
          </w:p>
        </w:tc>
        <w:tc>
          <w:tcPr>
            <w:tcW w:w="1559" w:type="dxa"/>
            <w:vAlign w:val="center"/>
          </w:tcPr>
          <w:p w14:paraId="1B304366" w14:textId="77777777" w:rsidR="009F7F8A" w:rsidRPr="00AC3044" w:rsidRDefault="009F7F8A" w:rsidP="009F7F8A">
            <w:pPr>
              <w:rPr>
                <w:rFonts w:eastAsia="SimSun"/>
              </w:rPr>
            </w:pPr>
            <w:r w:rsidRPr="00AC3044">
              <w:rPr>
                <w:rFonts w:eastAsia="SimSun"/>
              </w:rPr>
              <w:t xml:space="preserve">Такролимус </w:t>
            </w:r>
          </w:p>
        </w:tc>
        <w:tc>
          <w:tcPr>
            <w:tcW w:w="1418" w:type="dxa"/>
            <w:vAlign w:val="center"/>
          </w:tcPr>
          <w:p w14:paraId="259651F5" w14:textId="77777777" w:rsidR="009F7F8A" w:rsidRPr="00AC3044" w:rsidRDefault="009F7F8A" w:rsidP="009F7F8A">
            <w:pPr>
              <w:rPr>
                <w:rFonts w:eastAsia="SimSun"/>
              </w:rPr>
            </w:pPr>
            <w:r w:rsidRPr="00AC3044">
              <w:rPr>
                <w:rFonts w:eastAsia="SimSun"/>
              </w:rPr>
              <w:t>0,03 мг/кг</w:t>
            </w:r>
          </w:p>
        </w:tc>
        <w:tc>
          <w:tcPr>
            <w:tcW w:w="1559" w:type="dxa"/>
            <w:vAlign w:val="center"/>
          </w:tcPr>
          <w:p w14:paraId="12D2FCCC" w14:textId="77777777" w:rsidR="009F7F8A" w:rsidRPr="00AC3044" w:rsidRDefault="009F7F8A" w:rsidP="009F7F8A">
            <w:pPr>
              <w:rPr>
                <w:rFonts w:eastAsia="SimSun"/>
              </w:rPr>
            </w:pPr>
            <w:r w:rsidRPr="00AC3044">
              <w:rPr>
                <w:rFonts w:eastAsia="SimSun"/>
              </w:rPr>
              <w:t>–</w:t>
            </w:r>
          </w:p>
        </w:tc>
        <w:tc>
          <w:tcPr>
            <w:tcW w:w="1559" w:type="dxa"/>
            <w:vAlign w:val="center"/>
          </w:tcPr>
          <w:p w14:paraId="4338DAF4" w14:textId="77777777" w:rsidR="009F7F8A" w:rsidRPr="00AC3044" w:rsidRDefault="009F7F8A" w:rsidP="009F7F8A">
            <w:pPr>
              <w:rPr>
                <w:rFonts w:eastAsia="SimSun"/>
              </w:rPr>
            </w:pPr>
            <w:r w:rsidRPr="00AC3044">
              <w:rPr>
                <w:rFonts w:eastAsia="SimSun"/>
              </w:rPr>
              <w:t xml:space="preserve">С +5 дня длительно </w:t>
            </w:r>
          </w:p>
        </w:tc>
        <w:tc>
          <w:tcPr>
            <w:tcW w:w="2410" w:type="dxa"/>
            <w:vAlign w:val="center"/>
          </w:tcPr>
          <w:p w14:paraId="773488FF"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5B00A143" w14:textId="77777777" w:rsidTr="009F7F8A">
        <w:trPr>
          <w:cantSplit/>
          <w:trHeight w:val="576"/>
        </w:trPr>
        <w:tc>
          <w:tcPr>
            <w:tcW w:w="1135" w:type="dxa"/>
            <w:vMerge/>
            <w:textDirection w:val="btLr"/>
            <w:vAlign w:val="center"/>
          </w:tcPr>
          <w:p w14:paraId="6CEBAD06" w14:textId="77777777" w:rsidR="009F7F8A" w:rsidRPr="00AC3044" w:rsidRDefault="009F7F8A" w:rsidP="009F7F8A">
            <w:pPr>
              <w:rPr>
                <w:rFonts w:eastAsia="SimSun"/>
              </w:rPr>
            </w:pPr>
          </w:p>
        </w:tc>
        <w:tc>
          <w:tcPr>
            <w:tcW w:w="1559" w:type="dxa"/>
            <w:vAlign w:val="center"/>
          </w:tcPr>
          <w:p w14:paraId="2859AD07" w14:textId="77777777" w:rsidR="009F7F8A" w:rsidRPr="00AC3044" w:rsidRDefault="009F7F8A" w:rsidP="009F7F8A">
            <w:pPr>
              <w:rPr>
                <w:rFonts w:eastAsia="SimSun"/>
              </w:rPr>
            </w:pPr>
            <w:r w:rsidRPr="00AC3044">
              <w:rPr>
                <w:rFonts w:eastAsia="SimSun"/>
              </w:rPr>
              <w:t>Микофенолата мофетил</w:t>
            </w:r>
          </w:p>
        </w:tc>
        <w:tc>
          <w:tcPr>
            <w:tcW w:w="1418" w:type="dxa"/>
            <w:vAlign w:val="center"/>
          </w:tcPr>
          <w:p w14:paraId="134FA41C" w14:textId="77777777" w:rsidR="009F7F8A" w:rsidRPr="00AC3044" w:rsidRDefault="009F7F8A" w:rsidP="009F7F8A">
            <w:pPr>
              <w:rPr>
                <w:rFonts w:eastAsia="SimSun"/>
              </w:rPr>
            </w:pPr>
            <w:r w:rsidRPr="00AC3044">
              <w:rPr>
                <w:rFonts w:eastAsia="SimSun"/>
              </w:rPr>
              <w:t xml:space="preserve">45 мг/кг </w:t>
            </w:r>
          </w:p>
        </w:tc>
        <w:tc>
          <w:tcPr>
            <w:tcW w:w="1559" w:type="dxa"/>
            <w:vAlign w:val="center"/>
          </w:tcPr>
          <w:p w14:paraId="71579358" w14:textId="77777777" w:rsidR="009F7F8A" w:rsidRPr="00AC3044" w:rsidRDefault="009F7F8A" w:rsidP="009F7F8A">
            <w:pPr>
              <w:rPr>
                <w:rFonts w:eastAsia="SimSun"/>
              </w:rPr>
            </w:pPr>
            <w:r w:rsidRPr="00AC3044">
              <w:rPr>
                <w:rFonts w:eastAsia="SimSun"/>
              </w:rPr>
              <w:t>–</w:t>
            </w:r>
          </w:p>
        </w:tc>
        <w:tc>
          <w:tcPr>
            <w:tcW w:w="1559" w:type="dxa"/>
            <w:vAlign w:val="center"/>
          </w:tcPr>
          <w:p w14:paraId="47BC9A9E" w14:textId="77777777" w:rsidR="009F7F8A" w:rsidRPr="00AC3044" w:rsidRDefault="009F7F8A" w:rsidP="009F7F8A">
            <w:pPr>
              <w:rPr>
                <w:rFonts w:eastAsia="SimSun"/>
              </w:rPr>
            </w:pPr>
            <w:r w:rsidRPr="00AC3044">
              <w:rPr>
                <w:rFonts w:eastAsia="SimSun"/>
              </w:rPr>
              <w:t xml:space="preserve">С +5 дня по +35 день </w:t>
            </w:r>
          </w:p>
        </w:tc>
        <w:tc>
          <w:tcPr>
            <w:tcW w:w="2410" w:type="dxa"/>
            <w:vAlign w:val="center"/>
          </w:tcPr>
          <w:p w14:paraId="29847EC9"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423762AD" w14:textId="77777777" w:rsidR="009F7F8A" w:rsidRPr="00C07B2E" w:rsidRDefault="009F7F8A" w:rsidP="009F7F8A">
      <w:pPr>
        <w:rPr>
          <w:rFonts w:eastAsia="SimSun"/>
        </w:rPr>
      </w:pPr>
    </w:p>
    <w:p w14:paraId="61D170CB" w14:textId="77777777" w:rsidR="009F7F8A" w:rsidRPr="00C07B2E" w:rsidRDefault="009F7F8A" w:rsidP="009F7F8A">
      <w:pPr>
        <w:rPr>
          <w:rFonts w:eastAsia="SimSun"/>
        </w:rPr>
      </w:pPr>
      <w:bookmarkStart w:id="199" w:name="_Toc44401235"/>
      <w:r w:rsidRPr="00EE51B1">
        <w:rPr>
          <w:rFonts w:eastAsia="SimSun"/>
        </w:rPr>
        <w:t>Таблица</w:t>
      </w:r>
      <w:r w:rsidRPr="00C07B2E">
        <w:rPr>
          <w:rFonts w:eastAsia="SimSun"/>
        </w:rPr>
        <w:t xml:space="preserve"> </w:t>
      </w:r>
      <w:r>
        <w:rPr>
          <w:rFonts w:eastAsia="SimSun"/>
        </w:rPr>
        <w:t>5.</w:t>
      </w:r>
      <w:r w:rsidRPr="00C07B2E">
        <w:rPr>
          <w:rFonts w:eastAsia="SimSun"/>
        </w:rPr>
        <w:t>3.1.10  – Flu150+Treo36 / PT-Cy+CSA+MMF30</w:t>
      </w:r>
      <w:bookmarkEnd w:id="199"/>
    </w:p>
    <w:tbl>
      <w:tblPr>
        <w:tblW w:w="960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3"/>
        <w:gridCol w:w="1559"/>
        <w:gridCol w:w="1418"/>
        <w:gridCol w:w="1559"/>
        <w:gridCol w:w="1559"/>
        <w:gridCol w:w="2410"/>
      </w:tblGrid>
      <w:tr w:rsidR="009F7F8A" w:rsidRPr="00AC3044" w14:paraId="0F1DA650" w14:textId="77777777" w:rsidTr="009F7F8A">
        <w:trPr>
          <w:cantSplit/>
          <w:trHeight w:val="20"/>
          <w:tblHeader/>
        </w:trPr>
        <w:tc>
          <w:tcPr>
            <w:tcW w:w="1103" w:type="dxa"/>
          </w:tcPr>
          <w:p w14:paraId="3AE115CE" w14:textId="77777777" w:rsidR="009F7F8A" w:rsidRPr="006A5E21" w:rsidRDefault="009F7F8A" w:rsidP="009F7F8A">
            <w:pPr>
              <w:rPr>
                <w:rFonts w:eastAsia="SimSun"/>
              </w:rPr>
            </w:pPr>
          </w:p>
        </w:tc>
        <w:tc>
          <w:tcPr>
            <w:tcW w:w="1559" w:type="dxa"/>
            <w:vAlign w:val="center"/>
          </w:tcPr>
          <w:p w14:paraId="680E558D"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08F4FAA3"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393FEEB8" w14:textId="77777777" w:rsidR="009F7F8A" w:rsidRPr="00AC3044" w:rsidRDefault="009F7F8A" w:rsidP="009F7F8A">
            <w:pPr>
              <w:rPr>
                <w:rFonts w:eastAsia="SimSun"/>
              </w:rPr>
            </w:pPr>
            <w:r w:rsidRPr="00AC3044">
              <w:rPr>
                <w:rFonts w:eastAsia="SimSun"/>
              </w:rPr>
              <w:t>Курсовая доза</w:t>
            </w:r>
          </w:p>
        </w:tc>
        <w:tc>
          <w:tcPr>
            <w:tcW w:w="1559" w:type="dxa"/>
            <w:vAlign w:val="center"/>
          </w:tcPr>
          <w:p w14:paraId="64B5E8D3" w14:textId="77777777" w:rsidR="009F7F8A" w:rsidRPr="00AC3044" w:rsidRDefault="009F7F8A" w:rsidP="009F7F8A">
            <w:pPr>
              <w:rPr>
                <w:rFonts w:eastAsia="SimSun"/>
              </w:rPr>
            </w:pPr>
            <w:r w:rsidRPr="00AC3044">
              <w:rPr>
                <w:rFonts w:eastAsia="SimSun"/>
              </w:rPr>
              <w:t>Дни введения</w:t>
            </w:r>
          </w:p>
        </w:tc>
        <w:tc>
          <w:tcPr>
            <w:tcW w:w="2410" w:type="dxa"/>
            <w:vAlign w:val="center"/>
          </w:tcPr>
          <w:p w14:paraId="31B1DAA4"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1456225A" w14:textId="77777777" w:rsidTr="009F7F8A">
        <w:trPr>
          <w:cantSplit/>
          <w:trHeight w:val="20"/>
        </w:trPr>
        <w:tc>
          <w:tcPr>
            <w:tcW w:w="1103" w:type="dxa"/>
            <w:vMerge w:val="restart"/>
            <w:textDirection w:val="btLr"/>
            <w:vAlign w:val="center"/>
          </w:tcPr>
          <w:p w14:paraId="7F8211A4" w14:textId="77777777" w:rsidR="009F7F8A" w:rsidRPr="00AC3044" w:rsidRDefault="009F7F8A" w:rsidP="009F7F8A">
            <w:pPr>
              <w:rPr>
                <w:rFonts w:eastAsia="SimSun"/>
              </w:rPr>
            </w:pPr>
            <w:r w:rsidRPr="00AC3044">
              <w:rPr>
                <w:rFonts w:eastAsia="SimSun"/>
              </w:rPr>
              <w:t>Кондиционирование</w:t>
            </w:r>
          </w:p>
        </w:tc>
        <w:tc>
          <w:tcPr>
            <w:tcW w:w="1559" w:type="dxa"/>
            <w:vAlign w:val="center"/>
          </w:tcPr>
          <w:p w14:paraId="3BEBC4D4"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5EEAC36B" w14:textId="77777777" w:rsidR="009F7F8A" w:rsidRPr="00AC3044" w:rsidRDefault="009F7F8A" w:rsidP="009F7F8A">
            <w:pPr>
              <w:rPr>
                <w:rFonts w:eastAsia="SimSun"/>
              </w:rPr>
            </w:pPr>
            <w:r w:rsidRPr="00AC3044">
              <w:rPr>
                <w:rFonts w:eastAsia="SimSun"/>
              </w:rPr>
              <w:t>30 мг/м2</w:t>
            </w:r>
          </w:p>
        </w:tc>
        <w:tc>
          <w:tcPr>
            <w:tcW w:w="1559" w:type="dxa"/>
            <w:vAlign w:val="center"/>
          </w:tcPr>
          <w:p w14:paraId="6F57C7DE" w14:textId="77777777" w:rsidR="009F7F8A" w:rsidRPr="00AC3044" w:rsidRDefault="009F7F8A" w:rsidP="009F7F8A">
            <w:pPr>
              <w:rPr>
                <w:rFonts w:eastAsia="SimSun"/>
              </w:rPr>
            </w:pPr>
            <w:r w:rsidRPr="00AC3044">
              <w:rPr>
                <w:rFonts w:eastAsia="SimSun"/>
              </w:rPr>
              <w:t>150 мг/м</w:t>
            </w:r>
            <w:r w:rsidRPr="0074195F">
              <w:rPr>
                <w:rFonts w:eastAsia="SimSun"/>
                <w:vertAlign w:val="superscript"/>
              </w:rPr>
              <w:t>2</w:t>
            </w:r>
          </w:p>
        </w:tc>
        <w:tc>
          <w:tcPr>
            <w:tcW w:w="1559" w:type="dxa"/>
            <w:vAlign w:val="center"/>
          </w:tcPr>
          <w:p w14:paraId="159B9459" w14:textId="77777777" w:rsidR="009F7F8A" w:rsidRPr="00AC3044" w:rsidRDefault="009F7F8A" w:rsidP="009F7F8A">
            <w:pPr>
              <w:rPr>
                <w:rFonts w:eastAsia="SimSun"/>
              </w:rPr>
            </w:pPr>
            <w:r w:rsidRPr="00AC3044">
              <w:rPr>
                <w:rFonts w:eastAsia="SimSun"/>
              </w:rPr>
              <w:t>С –6 по –2 день</w:t>
            </w:r>
          </w:p>
        </w:tc>
        <w:tc>
          <w:tcPr>
            <w:tcW w:w="2410" w:type="dxa"/>
            <w:vAlign w:val="center"/>
          </w:tcPr>
          <w:p w14:paraId="0C96E830"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343BD472" w14:textId="77777777" w:rsidTr="009F7F8A">
        <w:trPr>
          <w:cantSplit/>
          <w:trHeight w:val="879"/>
        </w:trPr>
        <w:tc>
          <w:tcPr>
            <w:tcW w:w="1103" w:type="dxa"/>
            <w:vMerge/>
            <w:textDirection w:val="btLr"/>
            <w:vAlign w:val="center"/>
          </w:tcPr>
          <w:p w14:paraId="477090EA" w14:textId="77777777" w:rsidR="009F7F8A" w:rsidRPr="00AC3044" w:rsidRDefault="009F7F8A" w:rsidP="009F7F8A">
            <w:pPr>
              <w:rPr>
                <w:rFonts w:eastAsia="SimSun"/>
              </w:rPr>
            </w:pPr>
          </w:p>
        </w:tc>
        <w:tc>
          <w:tcPr>
            <w:tcW w:w="1559" w:type="dxa"/>
            <w:vAlign w:val="center"/>
          </w:tcPr>
          <w:p w14:paraId="44744004" w14:textId="77777777" w:rsidR="009F7F8A" w:rsidRPr="00AC3044" w:rsidRDefault="009F7F8A" w:rsidP="009F7F8A">
            <w:pPr>
              <w:rPr>
                <w:rFonts w:eastAsia="SimSun"/>
              </w:rPr>
            </w:pPr>
            <w:r w:rsidRPr="00AC3044">
              <w:rPr>
                <w:rFonts w:eastAsia="SimSun"/>
              </w:rPr>
              <w:t>Треосульфан</w:t>
            </w:r>
          </w:p>
        </w:tc>
        <w:tc>
          <w:tcPr>
            <w:tcW w:w="1418" w:type="dxa"/>
            <w:vAlign w:val="center"/>
          </w:tcPr>
          <w:p w14:paraId="3AC8BF95" w14:textId="77777777" w:rsidR="009F7F8A" w:rsidRPr="00AC3044" w:rsidRDefault="009F7F8A" w:rsidP="009F7F8A">
            <w:pPr>
              <w:rPr>
                <w:rFonts w:eastAsia="SimSun"/>
              </w:rPr>
            </w:pPr>
            <w:r w:rsidRPr="00AC3044">
              <w:rPr>
                <w:rFonts w:eastAsia="SimSun"/>
              </w:rPr>
              <w:t>12 г/м2</w:t>
            </w:r>
          </w:p>
        </w:tc>
        <w:tc>
          <w:tcPr>
            <w:tcW w:w="1559" w:type="dxa"/>
            <w:vAlign w:val="center"/>
          </w:tcPr>
          <w:p w14:paraId="426A80B5" w14:textId="77777777" w:rsidR="009F7F8A" w:rsidRPr="00AC3044" w:rsidRDefault="009F7F8A" w:rsidP="009F7F8A">
            <w:pPr>
              <w:rPr>
                <w:rFonts w:eastAsia="SimSun"/>
              </w:rPr>
            </w:pPr>
            <w:r w:rsidRPr="00AC3044">
              <w:rPr>
                <w:rFonts w:eastAsia="SimSun"/>
              </w:rPr>
              <w:t>36 г/м</w:t>
            </w:r>
            <w:r w:rsidRPr="0074195F">
              <w:rPr>
                <w:rFonts w:eastAsia="SimSun"/>
                <w:vertAlign w:val="superscript"/>
              </w:rPr>
              <w:t>2</w:t>
            </w:r>
          </w:p>
        </w:tc>
        <w:tc>
          <w:tcPr>
            <w:tcW w:w="1559" w:type="dxa"/>
            <w:vAlign w:val="center"/>
          </w:tcPr>
          <w:p w14:paraId="0AD887D5" w14:textId="77777777" w:rsidR="009F7F8A" w:rsidRPr="00AC3044" w:rsidRDefault="009F7F8A" w:rsidP="009F7F8A">
            <w:pPr>
              <w:rPr>
                <w:rFonts w:eastAsia="SimSun"/>
              </w:rPr>
            </w:pPr>
            <w:r w:rsidRPr="00AC3044">
              <w:rPr>
                <w:rFonts w:eastAsia="SimSun"/>
              </w:rPr>
              <w:t>С –6 по –4 день</w:t>
            </w:r>
          </w:p>
        </w:tc>
        <w:tc>
          <w:tcPr>
            <w:tcW w:w="2410" w:type="dxa"/>
            <w:vAlign w:val="center"/>
          </w:tcPr>
          <w:p w14:paraId="2FDFB552"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694E8D97" w14:textId="77777777" w:rsidTr="009F7F8A">
        <w:trPr>
          <w:cantSplit/>
          <w:trHeight w:val="1534"/>
        </w:trPr>
        <w:tc>
          <w:tcPr>
            <w:tcW w:w="1103" w:type="dxa"/>
            <w:vMerge w:val="restart"/>
            <w:textDirection w:val="btLr"/>
            <w:vAlign w:val="center"/>
          </w:tcPr>
          <w:p w14:paraId="7651E217" w14:textId="77777777" w:rsidR="009F7F8A" w:rsidRPr="00AC3044" w:rsidRDefault="009F7F8A" w:rsidP="009F7F8A">
            <w:pPr>
              <w:rPr>
                <w:rFonts w:eastAsia="SimSun"/>
              </w:rPr>
            </w:pPr>
            <w:r w:rsidRPr="00AC3044">
              <w:rPr>
                <w:rFonts w:eastAsia="SimSun"/>
              </w:rPr>
              <w:t>Профилактика РТПХ</w:t>
            </w:r>
          </w:p>
        </w:tc>
        <w:tc>
          <w:tcPr>
            <w:tcW w:w="1559" w:type="dxa"/>
            <w:vAlign w:val="center"/>
          </w:tcPr>
          <w:p w14:paraId="3E5B93E7" w14:textId="77777777" w:rsidR="009F7F8A" w:rsidRPr="00AC3044" w:rsidRDefault="009F7F8A" w:rsidP="009F7F8A">
            <w:pPr>
              <w:rPr>
                <w:rFonts w:eastAsia="SimSun"/>
              </w:rPr>
            </w:pPr>
            <w:r w:rsidRPr="00AC3044">
              <w:rPr>
                <w:rFonts w:eastAsia="SimSun"/>
              </w:rPr>
              <w:t>Циклоспорин</w:t>
            </w:r>
          </w:p>
        </w:tc>
        <w:tc>
          <w:tcPr>
            <w:tcW w:w="1418" w:type="dxa"/>
            <w:vAlign w:val="center"/>
          </w:tcPr>
          <w:p w14:paraId="5A45CF05" w14:textId="77777777" w:rsidR="009F7F8A" w:rsidRPr="00AC3044" w:rsidRDefault="009F7F8A" w:rsidP="009F7F8A">
            <w:pPr>
              <w:rPr>
                <w:rFonts w:eastAsia="SimSun"/>
              </w:rPr>
            </w:pPr>
            <w:r w:rsidRPr="00AC3044">
              <w:rPr>
                <w:rFonts w:eastAsia="SimSun"/>
              </w:rPr>
              <w:t>3 мг/кг</w:t>
            </w:r>
          </w:p>
        </w:tc>
        <w:tc>
          <w:tcPr>
            <w:tcW w:w="1559" w:type="dxa"/>
            <w:vAlign w:val="center"/>
          </w:tcPr>
          <w:p w14:paraId="4323E54F" w14:textId="77777777" w:rsidR="009F7F8A" w:rsidRPr="00AC3044" w:rsidRDefault="009F7F8A" w:rsidP="009F7F8A">
            <w:pPr>
              <w:rPr>
                <w:rFonts w:eastAsia="SimSun"/>
              </w:rPr>
            </w:pPr>
            <w:r w:rsidRPr="00AC3044">
              <w:rPr>
                <w:rFonts w:eastAsia="SimSun"/>
              </w:rPr>
              <w:t>–</w:t>
            </w:r>
          </w:p>
        </w:tc>
        <w:tc>
          <w:tcPr>
            <w:tcW w:w="1559" w:type="dxa"/>
            <w:vAlign w:val="center"/>
          </w:tcPr>
          <w:p w14:paraId="5320D027" w14:textId="77777777" w:rsidR="009F7F8A" w:rsidRPr="00AC3044" w:rsidRDefault="009F7F8A" w:rsidP="009F7F8A">
            <w:pPr>
              <w:rPr>
                <w:rFonts w:eastAsia="SimSun"/>
              </w:rPr>
            </w:pPr>
            <w:r w:rsidRPr="00AC3044">
              <w:rPr>
                <w:rFonts w:eastAsia="SimSun"/>
              </w:rPr>
              <w:t>С +5 дня по +90 день затем постепенное снижение к +180 дню</w:t>
            </w:r>
          </w:p>
        </w:tc>
        <w:tc>
          <w:tcPr>
            <w:tcW w:w="2410" w:type="dxa"/>
            <w:vAlign w:val="center"/>
          </w:tcPr>
          <w:p w14:paraId="2CDE5ACF"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5E5316C3" w14:textId="77777777" w:rsidTr="009F7F8A">
        <w:trPr>
          <w:cantSplit/>
          <w:trHeight w:val="20"/>
        </w:trPr>
        <w:tc>
          <w:tcPr>
            <w:tcW w:w="1103" w:type="dxa"/>
            <w:vMerge/>
            <w:textDirection w:val="btLr"/>
          </w:tcPr>
          <w:p w14:paraId="059AC442" w14:textId="77777777" w:rsidR="009F7F8A" w:rsidRPr="00AC3044" w:rsidRDefault="009F7F8A" w:rsidP="009F7F8A">
            <w:pPr>
              <w:rPr>
                <w:rFonts w:eastAsia="SimSun"/>
              </w:rPr>
            </w:pPr>
          </w:p>
        </w:tc>
        <w:tc>
          <w:tcPr>
            <w:tcW w:w="1559" w:type="dxa"/>
            <w:vAlign w:val="center"/>
          </w:tcPr>
          <w:p w14:paraId="1D67C8C2" w14:textId="77777777" w:rsidR="009F7F8A" w:rsidRPr="00AC3044" w:rsidRDefault="009F7F8A" w:rsidP="009F7F8A">
            <w:pPr>
              <w:rPr>
                <w:rFonts w:eastAsia="SimSun"/>
              </w:rPr>
            </w:pPr>
            <w:r w:rsidRPr="00AC3044">
              <w:rPr>
                <w:rFonts w:eastAsia="SimSun"/>
              </w:rPr>
              <w:t>Микофенолата мофетил</w:t>
            </w:r>
          </w:p>
        </w:tc>
        <w:tc>
          <w:tcPr>
            <w:tcW w:w="1418" w:type="dxa"/>
            <w:vAlign w:val="center"/>
          </w:tcPr>
          <w:p w14:paraId="318D7778" w14:textId="77777777" w:rsidR="009F7F8A" w:rsidRPr="00AC3044" w:rsidRDefault="009F7F8A" w:rsidP="009F7F8A">
            <w:pPr>
              <w:rPr>
                <w:rFonts w:eastAsia="SimSun"/>
              </w:rPr>
            </w:pPr>
            <w:r w:rsidRPr="00AC3044">
              <w:rPr>
                <w:rFonts w:eastAsia="SimSun"/>
              </w:rPr>
              <w:t>30 мг/кг</w:t>
            </w:r>
          </w:p>
        </w:tc>
        <w:tc>
          <w:tcPr>
            <w:tcW w:w="1559" w:type="dxa"/>
            <w:vAlign w:val="center"/>
          </w:tcPr>
          <w:p w14:paraId="1B2D0AE4" w14:textId="77777777" w:rsidR="009F7F8A" w:rsidRPr="00AC3044" w:rsidRDefault="009F7F8A" w:rsidP="009F7F8A">
            <w:pPr>
              <w:rPr>
                <w:rFonts w:eastAsia="SimSun"/>
              </w:rPr>
            </w:pPr>
            <w:r w:rsidRPr="00AC3044">
              <w:rPr>
                <w:rFonts w:eastAsia="SimSun"/>
              </w:rPr>
              <w:t>–</w:t>
            </w:r>
          </w:p>
        </w:tc>
        <w:tc>
          <w:tcPr>
            <w:tcW w:w="1559" w:type="dxa"/>
            <w:vAlign w:val="center"/>
          </w:tcPr>
          <w:p w14:paraId="2A078D91" w14:textId="77777777" w:rsidR="009F7F8A" w:rsidRPr="00AC3044" w:rsidRDefault="009F7F8A" w:rsidP="009F7F8A">
            <w:pPr>
              <w:rPr>
                <w:rFonts w:eastAsia="SimSun"/>
              </w:rPr>
            </w:pPr>
            <w:r w:rsidRPr="00AC3044">
              <w:rPr>
                <w:rFonts w:eastAsia="SimSun"/>
              </w:rPr>
              <w:t>С +5 по +90 день</w:t>
            </w:r>
          </w:p>
        </w:tc>
        <w:tc>
          <w:tcPr>
            <w:tcW w:w="2410" w:type="dxa"/>
            <w:vAlign w:val="center"/>
          </w:tcPr>
          <w:p w14:paraId="7ECECB1D"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9F7F8A" w:rsidRPr="00AC3044" w14:paraId="04F22B39" w14:textId="77777777" w:rsidTr="009F7F8A">
        <w:trPr>
          <w:cantSplit/>
          <w:trHeight w:val="20"/>
        </w:trPr>
        <w:tc>
          <w:tcPr>
            <w:tcW w:w="1103" w:type="dxa"/>
            <w:vMerge/>
            <w:textDirection w:val="btLr"/>
          </w:tcPr>
          <w:p w14:paraId="349D212A" w14:textId="77777777" w:rsidR="009F7F8A" w:rsidRPr="00AC3044" w:rsidRDefault="009F7F8A" w:rsidP="009F7F8A">
            <w:pPr>
              <w:rPr>
                <w:rFonts w:eastAsia="SimSun"/>
              </w:rPr>
            </w:pPr>
          </w:p>
        </w:tc>
        <w:tc>
          <w:tcPr>
            <w:tcW w:w="1559" w:type="dxa"/>
            <w:vAlign w:val="center"/>
          </w:tcPr>
          <w:p w14:paraId="0B0E186F"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36CC1B70"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4F456B9B" w14:textId="77777777" w:rsidR="009F7F8A" w:rsidRPr="00AC3044" w:rsidRDefault="009F7F8A" w:rsidP="009F7F8A">
            <w:pPr>
              <w:rPr>
                <w:rFonts w:eastAsia="SimSun"/>
              </w:rPr>
            </w:pPr>
            <w:r w:rsidRPr="00AC3044">
              <w:rPr>
                <w:rFonts w:eastAsia="SimSun"/>
              </w:rPr>
              <w:t>100 мг/кг</w:t>
            </w:r>
          </w:p>
        </w:tc>
        <w:tc>
          <w:tcPr>
            <w:tcW w:w="1559" w:type="dxa"/>
            <w:vAlign w:val="center"/>
          </w:tcPr>
          <w:p w14:paraId="353E03EF" w14:textId="77777777" w:rsidR="009F7F8A" w:rsidRPr="00AC3044" w:rsidRDefault="009F7F8A" w:rsidP="009F7F8A">
            <w:pPr>
              <w:rPr>
                <w:rFonts w:eastAsia="SimSun"/>
              </w:rPr>
            </w:pPr>
            <w:r w:rsidRPr="00AC3044">
              <w:rPr>
                <w:rFonts w:eastAsia="SimSun"/>
              </w:rPr>
              <w:t xml:space="preserve">+3,+4 дни </w:t>
            </w:r>
          </w:p>
        </w:tc>
        <w:tc>
          <w:tcPr>
            <w:tcW w:w="2410" w:type="dxa"/>
            <w:vAlign w:val="center"/>
          </w:tcPr>
          <w:p w14:paraId="2729AD82" w14:textId="77777777" w:rsidR="009F7F8A" w:rsidRPr="00AC3044" w:rsidRDefault="009F7F8A" w:rsidP="009F7F8A">
            <w:pPr>
              <w:rPr>
                <w:rFonts w:eastAsia="SimSun"/>
              </w:rPr>
            </w:pPr>
            <w:r w:rsidRPr="00AC3044">
              <w:rPr>
                <w:rFonts w:eastAsia="SimSun"/>
              </w:rPr>
              <w:t>В/в, в течение 2 часов</w:t>
            </w:r>
          </w:p>
        </w:tc>
      </w:tr>
    </w:tbl>
    <w:p w14:paraId="5970D8C3" w14:textId="77777777" w:rsidR="009F7F8A" w:rsidRDefault="009F7F8A" w:rsidP="009F7F8A">
      <w:pPr>
        <w:rPr>
          <w:rFonts w:eastAsia="SimSun"/>
        </w:rPr>
      </w:pPr>
      <w:bookmarkStart w:id="200" w:name="_Toc44401236"/>
    </w:p>
    <w:p w14:paraId="59388D60" w14:textId="77777777" w:rsidR="009F7F8A" w:rsidRPr="00C07B2E" w:rsidRDefault="009F7F8A" w:rsidP="009F7F8A">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3.1.11  – Flu150+Treo36 / PT-Cy+CSA+MMF45</w:t>
      </w:r>
      <w:bookmarkEnd w:id="200"/>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9F7F8A" w:rsidRPr="00AC3044" w14:paraId="00CC0F22" w14:textId="77777777" w:rsidTr="009F7F8A">
        <w:trPr>
          <w:cantSplit/>
          <w:trHeight w:val="20"/>
          <w:tblHeader/>
        </w:trPr>
        <w:tc>
          <w:tcPr>
            <w:tcW w:w="1135" w:type="dxa"/>
          </w:tcPr>
          <w:p w14:paraId="6994823A" w14:textId="77777777" w:rsidR="009F7F8A" w:rsidRPr="006A5E21" w:rsidRDefault="009F7F8A" w:rsidP="009F7F8A">
            <w:pPr>
              <w:rPr>
                <w:rFonts w:eastAsia="SimSun"/>
              </w:rPr>
            </w:pPr>
          </w:p>
        </w:tc>
        <w:tc>
          <w:tcPr>
            <w:tcW w:w="1559" w:type="dxa"/>
            <w:vAlign w:val="center"/>
          </w:tcPr>
          <w:p w14:paraId="0154C98F"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2CC5284D"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22A7D20A" w14:textId="77777777" w:rsidR="009F7F8A" w:rsidRPr="00AC3044" w:rsidRDefault="009F7F8A" w:rsidP="009F7F8A">
            <w:pPr>
              <w:rPr>
                <w:rFonts w:eastAsia="SimSun"/>
              </w:rPr>
            </w:pPr>
            <w:r w:rsidRPr="00AC3044">
              <w:rPr>
                <w:rFonts w:eastAsia="SimSun"/>
              </w:rPr>
              <w:t>Курсовая доза</w:t>
            </w:r>
          </w:p>
        </w:tc>
        <w:tc>
          <w:tcPr>
            <w:tcW w:w="1559" w:type="dxa"/>
            <w:vAlign w:val="center"/>
          </w:tcPr>
          <w:p w14:paraId="1B31943A" w14:textId="77777777" w:rsidR="009F7F8A" w:rsidRPr="00AC3044" w:rsidRDefault="009F7F8A" w:rsidP="009F7F8A">
            <w:pPr>
              <w:rPr>
                <w:rFonts w:eastAsia="SimSun"/>
              </w:rPr>
            </w:pPr>
            <w:r w:rsidRPr="00AC3044">
              <w:rPr>
                <w:rFonts w:eastAsia="SimSun"/>
              </w:rPr>
              <w:t>Дни введения</w:t>
            </w:r>
          </w:p>
        </w:tc>
        <w:tc>
          <w:tcPr>
            <w:tcW w:w="2410" w:type="dxa"/>
            <w:vAlign w:val="center"/>
          </w:tcPr>
          <w:p w14:paraId="581034F2"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7B0D2702" w14:textId="77777777" w:rsidTr="009F7F8A">
        <w:trPr>
          <w:cantSplit/>
          <w:trHeight w:val="20"/>
        </w:trPr>
        <w:tc>
          <w:tcPr>
            <w:tcW w:w="1135" w:type="dxa"/>
            <w:vMerge w:val="restart"/>
            <w:textDirection w:val="btLr"/>
            <w:vAlign w:val="center"/>
          </w:tcPr>
          <w:p w14:paraId="2F6D33AA" w14:textId="77777777" w:rsidR="009F7F8A" w:rsidRPr="00AC3044" w:rsidRDefault="009F7F8A" w:rsidP="009F7F8A">
            <w:pPr>
              <w:rPr>
                <w:rFonts w:eastAsia="SimSun"/>
              </w:rPr>
            </w:pPr>
            <w:r w:rsidRPr="00AC3044">
              <w:rPr>
                <w:rFonts w:eastAsia="SimSun"/>
              </w:rPr>
              <w:t>Кондиционирование</w:t>
            </w:r>
          </w:p>
        </w:tc>
        <w:tc>
          <w:tcPr>
            <w:tcW w:w="1559" w:type="dxa"/>
            <w:vAlign w:val="center"/>
          </w:tcPr>
          <w:p w14:paraId="0B63CFF6"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0F2DCF1F"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6B6FA3AD" w14:textId="77777777" w:rsidR="009F7F8A" w:rsidRPr="00AC3044" w:rsidRDefault="009F7F8A" w:rsidP="009F7F8A">
            <w:pPr>
              <w:rPr>
                <w:rFonts w:eastAsia="SimSun"/>
              </w:rPr>
            </w:pPr>
            <w:r w:rsidRPr="00AC3044">
              <w:rPr>
                <w:rFonts w:eastAsia="SimSun"/>
              </w:rPr>
              <w:t>150 мг/м</w:t>
            </w:r>
            <w:r w:rsidRPr="0074195F">
              <w:rPr>
                <w:rFonts w:eastAsia="SimSun"/>
                <w:vertAlign w:val="superscript"/>
              </w:rPr>
              <w:t>2</w:t>
            </w:r>
          </w:p>
        </w:tc>
        <w:tc>
          <w:tcPr>
            <w:tcW w:w="1559" w:type="dxa"/>
            <w:vAlign w:val="center"/>
          </w:tcPr>
          <w:p w14:paraId="34E70A03" w14:textId="77777777" w:rsidR="009F7F8A" w:rsidRPr="00AC3044" w:rsidRDefault="009F7F8A" w:rsidP="009F7F8A">
            <w:pPr>
              <w:rPr>
                <w:rFonts w:eastAsia="SimSun"/>
              </w:rPr>
            </w:pPr>
            <w:r w:rsidRPr="00AC3044">
              <w:rPr>
                <w:rFonts w:eastAsia="SimSun"/>
              </w:rPr>
              <w:t>С –6 по –2 день</w:t>
            </w:r>
          </w:p>
        </w:tc>
        <w:tc>
          <w:tcPr>
            <w:tcW w:w="2410" w:type="dxa"/>
            <w:vAlign w:val="center"/>
          </w:tcPr>
          <w:p w14:paraId="1E77F560" w14:textId="77777777" w:rsidR="009F7F8A" w:rsidRPr="00AC3044" w:rsidRDefault="009F7F8A" w:rsidP="009F7F8A">
            <w:pPr>
              <w:rPr>
                <w:rFonts w:eastAsia="SimSun"/>
              </w:rPr>
            </w:pPr>
            <w:r w:rsidRPr="00AC3044">
              <w:rPr>
                <w:rFonts w:eastAsia="SimSun"/>
              </w:rPr>
              <w:t xml:space="preserve"> В/в, в течение 30 -60 мин</w:t>
            </w:r>
          </w:p>
        </w:tc>
      </w:tr>
      <w:tr w:rsidR="009F7F8A" w:rsidRPr="00AC3044" w14:paraId="236A4DA0" w14:textId="77777777" w:rsidTr="009F7F8A">
        <w:trPr>
          <w:cantSplit/>
          <w:trHeight w:val="985"/>
        </w:trPr>
        <w:tc>
          <w:tcPr>
            <w:tcW w:w="1135" w:type="dxa"/>
            <w:vMerge/>
            <w:textDirection w:val="btLr"/>
            <w:vAlign w:val="center"/>
          </w:tcPr>
          <w:p w14:paraId="429E6E57" w14:textId="77777777" w:rsidR="009F7F8A" w:rsidRPr="00AC3044" w:rsidRDefault="009F7F8A" w:rsidP="009F7F8A">
            <w:pPr>
              <w:rPr>
                <w:rFonts w:eastAsia="SimSun"/>
              </w:rPr>
            </w:pPr>
          </w:p>
        </w:tc>
        <w:tc>
          <w:tcPr>
            <w:tcW w:w="1559" w:type="dxa"/>
            <w:vAlign w:val="center"/>
          </w:tcPr>
          <w:p w14:paraId="52FBC7C3" w14:textId="77777777" w:rsidR="009F7F8A" w:rsidRPr="00AC3044" w:rsidRDefault="009F7F8A" w:rsidP="009F7F8A">
            <w:pPr>
              <w:rPr>
                <w:rFonts w:eastAsia="SimSun"/>
              </w:rPr>
            </w:pPr>
            <w:r w:rsidRPr="00AC3044">
              <w:rPr>
                <w:rFonts w:eastAsia="SimSun"/>
              </w:rPr>
              <w:t>Треосульфан</w:t>
            </w:r>
          </w:p>
        </w:tc>
        <w:tc>
          <w:tcPr>
            <w:tcW w:w="1418" w:type="dxa"/>
            <w:vAlign w:val="center"/>
          </w:tcPr>
          <w:p w14:paraId="202B5A9C" w14:textId="77777777" w:rsidR="009F7F8A" w:rsidRPr="00AC3044" w:rsidRDefault="009F7F8A" w:rsidP="009F7F8A">
            <w:pPr>
              <w:rPr>
                <w:rFonts w:eastAsia="SimSun"/>
              </w:rPr>
            </w:pPr>
            <w:r w:rsidRPr="00AC3044">
              <w:rPr>
                <w:rFonts w:eastAsia="SimSun"/>
              </w:rPr>
              <w:t>12 г/м</w:t>
            </w:r>
            <w:r w:rsidRPr="0074195F">
              <w:rPr>
                <w:rFonts w:eastAsia="SimSun"/>
                <w:vertAlign w:val="superscript"/>
              </w:rPr>
              <w:t>2</w:t>
            </w:r>
          </w:p>
        </w:tc>
        <w:tc>
          <w:tcPr>
            <w:tcW w:w="1559" w:type="dxa"/>
            <w:vAlign w:val="center"/>
          </w:tcPr>
          <w:p w14:paraId="3A3FD330" w14:textId="77777777" w:rsidR="009F7F8A" w:rsidRPr="00AC3044" w:rsidRDefault="009F7F8A" w:rsidP="009F7F8A">
            <w:pPr>
              <w:rPr>
                <w:rFonts w:eastAsia="SimSun"/>
              </w:rPr>
            </w:pPr>
            <w:r w:rsidRPr="00AC3044">
              <w:rPr>
                <w:rFonts w:eastAsia="SimSun"/>
              </w:rPr>
              <w:t>36 г/м</w:t>
            </w:r>
            <w:r w:rsidRPr="0074195F">
              <w:rPr>
                <w:rFonts w:eastAsia="SimSun"/>
                <w:vertAlign w:val="superscript"/>
              </w:rPr>
              <w:t>2</w:t>
            </w:r>
          </w:p>
        </w:tc>
        <w:tc>
          <w:tcPr>
            <w:tcW w:w="1559" w:type="dxa"/>
            <w:vAlign w:val="center"/>
          </w:tcPr>
          <w:p w14:paraId="3D959AF9" w14:textId="77777777" w:rsidR="009F7F8A" w:rsidRPr="00AC3044" w:rsidRDefault="009F7F8A" w:rsidP="009F7F8A">
            <w:pPr>
              <w:rPr>
                <w:rFonts w:eastAsia="SimSun"/>
              </w:rPr>
            </w:pPr>
            <w:r w:rsidRPr="00AC3044">
              <w:rPr>
                <w:rFonts w:eastAsia="SimSun"/>
              </w:rPr>
              <w:t>С –6 по –4 день</w:t>
            </w:r>
          </w:p>
        </w:tc>
        <w:tc>
          <w:tcPr>
            <w:tcW w:w="2410" w:type="dxa"/>
            <w:vAlign w:val="center"/>
          </w:tcPr>
          <w:p w14:paraId="2F6727B0"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3F5B0170" w14:textId="77777777" w:rsidTr="009F7F8A">
        <w:trPr>
          <w:cantSplit/>
          <w:trHeight w:val="1680"/>
        </w:trPr>
        <w:tc>
          <w:tcPr>
            <w:tcW w:w="1135" w:type="dxa"/>
            <w:vMerge w:val="restart"/>
            <w:textDirection w:val="btLr"/>
            <w:vAlign w:val="center"/>
          </w:tcPr>
          <w:p w14:paraId="4030BFED" w14:textId="77777777" w:rsidR="009F7F8A" w:rsidRPr="00AC3044" w:rsidRDefault="009F7F8A" w:rsidP="009F7F8A">
            <w:pPr>
              <w:rPr>
                <w:rFonts w:eastAsia="SimSun"/>
              </w:rPr>
            </w:pPr>
            <w:r w:rsidRPr="00AC3044">
              <w:rPr>
                <w:rFonts w:eastAsia="SimSun"/>
              </w:rPr>
              <w:t>Профилактика РТПХ</w:t>
            </w:r>
          </w:p>
        </w:tc>
        <w:tc>
          <w:tcPr>
            <w:tcW w:w="1559" w:type="dxa"/>
            <w:vAlign w:val="center"/>
          </w:tcPr>
          <w:p w14:paraId="293FC7E8" w14:textId="77777777" w:rsidR="009F7F8A" w:rsidRPr="00AC3044" w:rsidRDefault="009F7F8A" w:rsidP="009F7F8A">
            <w:pPr>
              <w:rPr>
                <w:rFonts w:eastAsia="SimSun"/>
              </w:rPr>
            </w:pPr>
            <w:r w:rsidRPr="00AC3044">
              <w:rPr>
                <w:rFonts w:eastAsia="SimSun"/>
              </w:rPr>
              <w:t>Циклоспорин</w:t>
            </w:r>
          </w:p>
        </w:tc>
        <w:tc>
          <w:tcPr>
            <w:tcW w:w="1418" w:type="dxa"/>
            <w:vAlign w:val="center"/>
          </w:tcPr>
          <w:p w14:paraId="0EE4DCD6" w14:textId="77777777" w:rsidR="009F7F8A" w:rsidRPr="00AC3044" w:rsidRDefault="009F7F8A" w:rsidP="009F7F8A">
            <w:pPr>
              <w:rPr>
                <w:rFonts w:eastAsia="SimSun"/>
              </w:rPr>
            </w:pPr>
            <w:r w:rsidRPr="00AC3044">
              <w:rPr>
                <w:rFonts w:eastAsia="SimSun"/>
              </w:rPr>
              <w:t>3 мг/кг</w:t>
            </w:r>
          </w:p>
        </w:tc>
        <w:tc>
          <w:tcPr>
            <w:tcW w:w="1559" w:type="dxa"/>
            <w:vAlign w:val="center"/>
          </w:tcPr>
          <w:p w14:paraId="7CF8B124" w14:textId="77777777" w:rsidR="009F7F8A" w:rsidRPr="00AC3044" w:rsidRDefault="009F7F8A" w:rsidP="009F7F8A">
            <w:pPr>
              <w:rPr>
                <w:rFonts w:eastAsia="SimSun"/>
              </w:rPr>
            </w:pPr>
            <w:r w:rsidRPr="00AC3044">
              <w:rPr>
                <w:rFonts w:eastAsia="SimSun"/>
              </w:rPr>
              <w:t>–</w:t>
            </w:r>
          </w:p>
        </w:tc>
        <w:tc>
          <w:tcPr>
            <w:tcW w:w="1559" w:type="dxa"/>
            <w:vAlign w:val="center"/>
          </w:tcPr>
          <w:p w14:paraId="6BB0A325" w14:textId="77777777" w:rsidR="009F7F8A" w:rsidRPr="00AC3044" w:rsidRDefault="009F7F8A" w:rsidP="009F7F8A">
            <w:pPr>
              <w:rPr>
                <w:rFonts w:eastAsia="SimSun"/>
              </w:rPr>
            </w:pPr>
            <w:r w:rsidRPr="00AC3044">
              <w:rPr>
                <w:rFonts w:eastAsia="SimSun"/>
              </w:rPr>
              <w:t>С +5 дня по +90 день затем постепенное снижение к +180 дню</w:t>
            </w:r>
          </w:p>
        </w:tc>
        <w:tc>
          <w:tcPr>
            <w:tcW w:w="2410" w:type="dxa"/>
            <w:vAlign w:val="center"/>
          </w:tcPr>
          <w:p w14:paraId="726FA006"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276CFC9F" w14:textId="77777777" w:rsidTr="009F7F8A">
        <w:trPr>
          <w:cantSplit/>
          <w:trHeight w:val="20"/>
        </w:trPr>
        <w:tc>
          <w:tcPr>
            <w:tcW w:w="1135" w:type="dxa"/>
            <w:vMerge/>
            <w:textDirection w:val="btLr"/>
          </w:tcPr>
          <w:p w14:paraId="2152F7E3" w14:textId="77777777" w:rsidR="009F7F8A" w:rsidRPr="00AC3044" w:rsidRDefault="009F7F8A" w:rsidP="009F7F8A">
            <w:pPr>
              <w:rPr>
                <w:rFonts w:eastAsia="SimSun"/>
              </w:rPr>
            </w:pPr>
          </w:p>
        </w:tc>
        <w:tc>
          <w:tcPr>
            <w:tcW w:w="1559" w:type="dxa"/>
            <w:vAlign w:val="center"/>
          </w:tcPr>
          <w:p w14:paraId="06FC7CE9" w14:textId="77777777" w:rsidR="009F7F8A" w:rsidRPr="00AC3044" w:rsidRDefault="009F7F8A" w:rsidP="009F7F8A">
            <w:pPr>
              <w:rPr>
                <w:rFonts w:eastAsia="SimSun"/>
              </w:rPr>
            </w:pPr>
            <w:r w:rsidRPr="00AC3044">
              <w:rPr>
                <w:rFonts w:eastAsia="SimSun"/>
              </w:rPr>
              <w:t>Микофенолата мофетил</w:t>
            </w:r>
          </w:p>
        </w:tc>
        <w:tc>
          <w:tcPr>
            <w:tcW w:w="1418" w:type="dxa"/>
            <w:vAlign w:val="center"/>
          </w:tcPr>
          <w:p w14:paraId="1F50A806" w14:textId="77777777" w:rsidR="009F7F8A" w:rsidRPr="00AC3044" w:rsidRDefault="009F7F8A" w:rsidP="009F7F8A">
            <w:pPr>
              <w:rPr>
                <w:rFonts w:eastAsia="SimSun"/>
              </w:rPr>
            </w:pPr>
            <w:r w:rsidRPr="00AC3044">
              <w:rPr>
                <w:rFonts w:eastAsia="SimSun"/>
              </w:rPr>
              <w:t>45 мг/кг</w:t>
            </w:r>
          </w:p>
        </w:tc>
        <w:tc>
          <w:tcPr>
            <w:tcW w:w="1559" w:type="dxa"/>
            <w:vAlign w:val="center"/>
          </w:tcPr>
          <w:p w14:paraId="744ABC8D" w14:textId="77777777" w:rsidR="009F7F8A" w:rsidRPr="00AC3044" w:rsidRDefault="009F7F8A" w:rsidP="009F7F8A">
            <w:pPr>
              <w:rPr>
                <w:rFonts w:eastAsia="SimSun"/>
              </w:rPr>
            </w:pPr>
            <w:r w:rsidRPr="00AC3044">
              <w:rPr>
                <w:rFonts w:eastAsia="SimSun"/>
              </w:rPr>
              <w:t>–</w:t>
            </w:r>
          </w:p>
        </w:tc>
        <w:tc>
          <w:tcPr>
            <w:tcW w:w="1559" w:type="dxa"/>
            <w:vAlign w:val="center"/>
          </w:tcPr>
          <w:p w14:paraId="72306D46" w14:textId="77777777" w:rsidR="009F7F8A" w:rsidRPr="00AC3044" w:rsidRDefault="009F7F8A" w:rsidP="009F7F8A">
            <w:pPr>
              <w:rPr>
                <w:rFonts w:eastAsia="SimSun"/>
              </w:rPr>
            </w:pPr>
            <w:r w:rsidRPr="00AC3044">
              <w:rPr>
                <w:rFonts w:eastAsia="SimSun"/>
              </w:rPr>
              <w:t>С +5 по +90 день</w:t>
            </w:r>
          </w:p>
        </w:tc>
        <w:tc>
          <w:tcPr>
            <w:tcW w:w="2410" w:type="dxa"/>
            <w:vAlign w:val="center"/>
          </w:tcPr>
          <w:p w14:paraId="46DD009A"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r w:rsidR="009F7F8A" w:rsidRPr="00AC3044" w14:paraId="56E074AB" w14:textId="77777777" w:rsidTr="009F7F8A">
        <w:trPr>
          <w:cantSplit/>
          <w:trHeight w:val="20"/>
        </w:trPr>
        <w:tc>
          <w:tcPr>
            <w:tcW w:w="1135" w:type="dxa"/>
            <w:vMerge/>
            <w:textDirection w:val="btLr"/>
          </w:tcPr>
          <w:p w14:paraId="1B243016" w14:textId="77777777" w:rsidR="009F7F8A" w:rsidRPr="00AC3044" w:rsidRDefault="009F7F8A" w:rsidP="009F7F8A">
            <w:pPr>
              <w:rPr>
                <w:rFonts w:eastAsia="SimSun"/>
              </w:rPr>
            </w:pPr>
          </w:p>
        </w:tc>
        <w:tc>
          <w:tcPr>
            <w:tcW w:w="1559" w:type="dxa"/>
            <w:vAlign w:val="center"/>
          </w:tcPr>
          <w:p w14:paraId="56558B0A"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2AC3F0AD"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39F4E1DB" w14:textId="77777777" w:rsidR="009F7F8A" w:rsidRPr="00AC3044" w:rsidRDefault="009F7F8A" w:rsidP="009F7F8A">
            <w:pPr>
              <w:rPr>
                <w:rFonts w:eastAsia="SimSun"/>
              </w:rPr>
            </w:pPr>
            <w:r w:rsidRPr="00AC3044">
              <w:rPr>
                <w:rFonts w:eastAsia="SimSun"/>
              </w:rPr>
              <w:t>100 мг/кг</w:t>
            </w:r>
          </w:p>
        </w:tc>
        <w:tc>
          <w:tcPr>
            <w:tcW w:w="1559" w:type="dxa"/>
            <w:vAlign w:val="center"/>
          </w:tcPr>
          <w:p w14:paraId="02897391" w14:textId="77777777" w:rsidR="009F7F8A" w:rsidRPr="00AC3044" w:rsidRDefault="009F7F8A" w:rsidP="009F7F8A">
            <w:pPr>
              <w:rPr>
                <w:rFonts w:eastAsia="SimSun"/>
              </w:rPr>
            </w:pPr>
            <w:r w:rsidRPr="00AC3044">
              <w:rPr>
                <w:rFonts w:eastAsia="SimSun"/>
              </w:rPr>
              <w:t xml:space="preserve">+3,+4 дни </w:t>
            </w:r>
          </w:p>
        </w:tc>
        <w:tc>
          <w:tcPr>
            <w:tcW w:w="2410" w:type="dxa"/>
            <w:vAlign w:val="center"/>
          </w:tcPr>
          <w:p w14:paraId="6E232F74" w14:textId="77777777" w:rsidR="009F7F8A" w:rsidRPr="00AC3044" w:rsidRDefault="009F7F8A" w:rsidP="009F7F8A">
            <w:pPr>
              <w:rPr>
                <w:rFonts w:eastAsia="SimSun"/>
              </w:rPr>
            </w:pPr>
            <w:r w:rsidRPr="00AC3044">
              <w:rPr>
                <w:rFonts w:eastAsia="SimSun"/>
              </w:rPr>
              <w:t>В/в, в течение 2 часов</w:t>
            </w:r>
          </w:p>
        </w:tc>
      </w:tr>
    </w:tbl>
    <w:p w14:paraId="7BE8BAE1" w14:textId="77777777" w:rsidR="009F7F8A" w:rsidRPr="00C07B2E" w:rsidRDefault="009F7F8A" w:rsidP="009F7F8A">
      <w:pPr>
        <w:rPr>
          <w:rFonts w:eastAsia="SimSun"/>
        </w:rPr>
      </w:pPr>
    </w:p>
    <w:p w14:paraId="2A56461F" w14:textId="77777777" w:rsidR="009F7F8A" w:rsidRPr="00C07B2E" w:rsidRDefault="009F7F8A" w:rsidP="009F7F8A">
      <w:pPr>
        <w:rPr>
          <w:rFonts w:eastAsia="SimSun"/>
        </w:rPr>
      </w:pPr>
    </w:p>
    <w:p w14:paraId="4ACCDAD1" w14:textId="77777777" w:rsidR="009F7F8A" w:rsidRPr="00C07B2E" w:rsidRDefault="009F7F8A" w:rsidP="009F7F8A">
      <w:pPr>
        <w:rPr>
          <w:rFonts w:eastAsia="SimSun"/>
        </w:rPr>
      </w:pPr>
      <w:bookmarkStart w:id="201" w:name="_Toc44401237"/>
      <w:r>
        <w:rPr>
          <w:rFonts w:eastAsia="SimSun"/>
        </w:rPr>
        <w:lastRenderedPageBreak/>
        <w:t>Таблица</w:t>
      </w:r>
      <w:r w:rsidRPr="00C07B2E">
        <w:rPr>
          <w:rFonts w:eastAsia="SimSun"/>
        </w:rPr>
        <w:t xml:space="preserve"> </w:t>
      </w:r>
      <w:r>
        <w:rPr>
          <w:rFonts w:eastAsia="SimSun"/>
        </w:rPr>
        <w:t>5.</w:t>
      </w:r>
      <w:r w:rsidRPr="00C07B2E">
        <w:rPr>
          <w:rFonts w:eastAsia="SimSun"/>
        </w:rPr>
        <w:t>3.1. 12 – Flu150+Cy29+TBI / PT-Cy+CSA+MMF45</w:t>
      </w:r>
      <w:bookmarkEnd w:id="201"/>
    </w:p>
    <w:tbl>
      <w:tblPr>
        <w:tblW w:w="50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3"/>
        <w:gridCol w:w="1524"/>
        <w:gridCol w:w="1387"/>
        <w:gridCol w:w="1519"/>
        <w:gridCol w:w="1382"/>
        <w:gridCol w:w="2478"/>
      </w:tblGrid>
      <w:tr w:rsidR="009F7F8A" w:rsidRPr="00AC3044" w14:paraId="65FF950A" w14:textId="77777777" w:rsidTr="009F7F8A">
        <w:trPr>
          <w:cantSplit/>
          <w:trHeight w:val="20"/>
          <w:tblHeader/>
        </w:trPr>
        <w:tc>
          <w:tcPr>
            <w:tcW w:w="596" w:type="pct"/>
            <w:vAlign w:val="center"/>
          </w:tcPr>
          <w:p w14:paraId="2FF36FAD" w14:textId="77777777" w:rsidR="009F7F8A" w:rsidRPr="00AC3044" w:rsidRDefault="009F7F8A" w:rsidP="009F7F8A">
            <w:pPr>
              <w:rPr>
                <w:rFonts w:eastAsia="SimSun"/>
              </w:rPr>
            </w:pPr>
          </w:p>
        </w:tc>
        <w:tc>
          <w:tcPr>
            <w:tcW w:w="809" w:type="pct"/>
            <w:vAlign w:val="center"/>
          </w:tcPr>
          <w:p w14:paraId="290FFAF8" w14:textId="77777777" w:rsidR="009F7F8A" w:rsidRPr="00AC3044" w:rsidRDefault="009F7F8A" w:rsidP="009F7F8A">
            <w:pPr>
              <w:rPr>
                <w:rFonts w:eastAsia="SimSun"/>
              </w:rPr>
            </w:pPr>
            <w:r w:rsidRPr="00AC3044">
              <w:rPr>
                <w:rFonts w:eastAsia="SimSun"/>
              </w:rPr>
              <w:t>Препарат</w:t>
            </w:r>
          </w:p>
        </w:tc>
        <w:tc>
          <w:tcPr>
            <w:tcW w:w="737" w:type="pct"/>
            <w:vAlign w:val="center"/>
          </w:tcPr>
          <w:p w14:paraId="651BBBA2" w14:textId="77777777" w:rsidR="009F7F8A" w:rsidRPr="00AC3044" w:rsidRDefault="009F7F8A" w:rsidP="009F7F8A">
            <w:pPr>
              <w:rPr>
                <w:rFonts w:eastAsia="SimSun"/>
              </w:rPr>
            </w:pPr>
            <w:r w:rsidRPr="00AC3044">
              <w:rPr>
                <w:rFonts w:eastAsia="SimSun"/>
              </w:rPr>
              <w:t>Суточная доза</w:t>
            </w:r>
          </w:p>
        </w:tc>
        <w:tc>
          <w:tcPr>
            <w:tcW w:w="807" w:type="pct"/>
            <w:vAlign w:val="center"/>
          </w:tcPr>
          <w:p w14:paraId="73FA10E3" w14:textId="77777777" w:rsidR="009F7F8A" w:rsidRPr="00AC3044" w:rsidRDefault="009F7F8A" w:rsidP="009F7F8A">
            <w:pPr>
              <w:rPr>
                <w:rFonts w:eastAsia="SimSun"/>
              </w:rPr>
            </w:pPr>
            <w:r w:rsidRPr="00AC3044">
              <w:rPr>
                <w:rFonts w:eastAsia="SimSun"/>
              </w:rPr>
              <w:t>Курсовая доза</w:t>
            </w:r>
          </w:p>
        </w:tc>
        <w:tc>
          <w:tcPr>
            <w:tcW w:w="734" w:type="pct"/>
            <w:vAlign w:val="center"/>
          </w:tcPr>
          <w:p w14:paraId="5B66C8E7" w14:textId="77777777" w:rsidR="009F7F8A" w:rsidRPr="00AC3044" w:rsidRDefault="009F7F8A" w:rsidP="009F7F8A">
            <w:pPr>
              <w:rPr>
                <w:rFonts w:eastAsia="SimSun"/>
              </w:rPr>
            </w:pPr>
            <w:r w:rsidRPr="00AC3044">
              <w:rPr>
                <w:rFonts w:eastAsia="SimSun"/>
              </w:rPr>
              <w:t>Дни введения</w:t>
            </w:r>
          </w:p>
        </w:tc>
        <w:tc>
          <w:tcPr>
            <w:tcW w:w="1316" w:type="pct"/>
            <w:vAlign w:val="center"/>
          </w:tcPr>
          <w:p w14:paraId="11362A40"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722F900" w14:textId="77777777" w:rsidTr="009F7F8A">
        <w:trPr>
          <w:cantSplit/>
          <w:trHeight w:val="20"/>
        </w:trPr>
        <w:tc>
          <w:tcPr>
            <w:tcW w:w="596" w:type="pct"/>
            <w:vMerge w:val="restart"/>
            <w:textDirection w:val="btLr"/>
            <w:vAlign w:val="center"/>
          </w:tcPr>
          <w:p w14:paraId="19059EE4" w14:textId="77777777" w:rsidR="009F7F8A" w:rsidRPr="00AC3044" w:rsidRDefault="009F7F8A" w:rsidP="009F7F8A">
            <w:pPr>
              <w:rPr>
                <w:rFonts w:eastAsia="SimSun"/>
              </w:rPr>
            </w:pPr>
            <w:r w:rsidRPr="00AC3044">
              <w:rPr>
                <w:rFonts w:eastAsia="SimSun"/>
              </w:rPr>
              <w:t>Кондиционирование</w:t>
            </w:r>
          </w:p>
        </w:tc>
        <w:tc>
          <w:tcPr>
            <w:tcW w:w="809" w:type="pct"/>
          </w:tcPr>
          <w:p w14:paraId="07AD46C8" w14:textId="77777777" w:rsidR="009F7F8A" w:rsidRPr="00AC3044" w:rsidRDefault="009F7F8A" w:rsidP="009F7F8A">
            <w:pPr>
              <w:rPr>
                <w:rFonts w:eastAsia="SimSun"/>
              </w:rPr>
            </w:pPr>
            <w:r w:rsidRPr="00AC3044">
              <w:rPr>
                <w:rFonts w:eastAsia="SimSun"/>
              </w:rPr>
              <w:t xml:space="preserve">Флударабин </w:t>
            </w:r>
          </w:p>
        </w:tc>
        <w:tc>
          <w:tcPr>
            <w:tcW w:w="737" w:type="pct"/>
          </w:tcPr>
          <w:p w14:paraId="1D8111BE"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807" w:type="pct"/>
          </w:tcPr>
          <w:p w14:paraId="7B926A81" w14:textId="77777777" w:rsidR="009F7F8A" w:rsidRPr="00AC3044" w:rsidRDefault="009F7F8A" w:rsidP="009F7F8A">
            <w:pPr>
              <w:rPr>
                <w:rFonts w:eastAsia="SimSun"/>
              </w:rPr>
            </w:pPr>
            <w:r w:rsidRPr="00AC3044">
              <w:rPr>
                <w:rFonts w:eastAsia="SimSun"/>
              </w:rPr>
              <w:t>150 мг/м</w:t>
            </w:r>
            <w:r w:rsidRPr="0074195F">
              <w:rPr>
                <w:rFonts w:eastAsia="SimSun"/>
                <w:vertAlign w:val="superscript"/>
              </w:rPr>
              <w:t>2</w:t>
            </w:r>
          </w:p>
        </w:tc>
        <w:tc>
          <w:tcPr>
            <w:tcW w:w="734" w:type="pct"/>
          </w:tcPr>
          <w:p w14:paraId="3B0CD7D1" w14:textId="77777777" w:rsidR="009F7F8A" w:rsidRPr="00AC3044" w:rsidRDefault="009F7F8A" w:rsidP="009F7F8A">
            <w:pPr>
              <w:rPr>
                <w:rFonts w:eastAsia="SimSun"/>
              </w:rPr>
            </w:pPr>
            <w:r w:rsidRPr="00AC3044">
              <w:rPr>
                <w:rFonts w:eastAsia="SimSun"/>
              </w:rPr>
              <w:t>С –6 по –2 день</w:t>
            </w:r>
          </w:p>
        </w:tc>
        <w:tc>
          <w:tcPr>
            <w:tcW w:w="1316" w:type="pct"/>
          </w:tcPr>
          <w:p w14:paraId="76C037A0" w14:textId="77777777" w:rsidR="009F7F8A" w:rsidRPr="00AC3044" w:rsidRDefault="009F7F8A" w:rsidP="009F7F8A">
            <w:pPr>
              <w:rPr>
                <w:rFonts w:eastAsia="SimSun"/>
              </w:rPr>
            </w:pPr>
            <w:r w:rsidRPr="00C07B2E">
              <w:rPr>
                <w:rFonts w:eastAsia="SimSun"/>
              </w:rPr>
              <w:t>В/в, в течение 30 -60 мин</w:t>
            </w:r>
          </w:p>
        </w:tc>
      </w:tr>
      <w:tr w:rsidR="009F7F8A" w:rsidRPr="00AC3044" w14:paraId="75835287" w14:textId="77777777" w:rsidTr="009F7F8A">
        <w:trPr>
          <w:cantSplit/>
          <w:trHeight w:val="586"/>
        </w:trPr>
        <w:tc>
          <w:tcPr>
            <w:tcW w:w="596" w:type="pct"/>
            <w:vMerge/>
            <w:vAlign w:val="center"/>
          </w:tcPr>
          <w:p w14:paraId="23B742DA" w14:textId="77777777" w:rsidR="009F7F8A" w:rsidRPr="00AC3044" w:rsidRDefault="009F7F8A" w:rsidP="009F7F8A">
            <w:pPr>
              <w:rPr>
                <w:rFonts w:eastAsia="SimSun"/>
              </w:rPr>
            </w:pPr>
          </w:p>
        </w:tc>
        <w:tc>
          <w:tcPr>
            <w:tcW w:w="809" w:type="pct"/>
            <w:vAlign w:val="center"/>
          </w:tcPr>
          <w:p w14:paraId="488C7478" w14:textId="77777777" w:rsidR="009F7F8A" w:rsidRPr="00AC3044" w:rsidRDefault="009F7F8A" w:rsidP="009F7F8A">
            <w:pPr>
              <w:rPr>
                <w:rFonts w:eastAsia="SimSun"/>
              </w:rPr>
            </w:pPr>
            <w:r w:rsidRPr="00AC3044">
              <w:rPr>
                <w:rFonts w:eastAsia="SimSun"/>
              </w:rPr>
              <w:t>Циклофосфамид</w:t>
            </w:r>
          </w:p>
        </w:tc>
        <w:tc>
          <w:tcPr>
            <w:tcW w:w="737" w:type="pct"/>
            <w:vAlign w:val="center"/>
          </w:tcPr>
          <w:p w14:paraId="4F5D002D" w14:textId="77777777" w:rsidR="009F7F8A" w:rsidRPr="00AC3044" w:rsidRDefault="009F7F8A" w:rsidP="009F7F8A">
            <w:pPr>
              <w:rPr>
                <w:rFonts w:eastAsia="SimSun"/>
              </w:rPr>
            </w:pPr>
            <w:r w:rsidRPr="00AC3044">
              <w:rPr>
                <w:rFonts w:eastAsia="SimSun"/>
              </w:rPr>
              <w:t>14,5 мг/кг</w:t>
            </w:r>
          </w:p>
        </w:tc>
        <w:tc>
          <w:tcPr>
            <w:tcW w:w="807" w:type="pct"/>
            <w:vAlign w:val="center"/>
          </w:tcPr>
          <w:p w14:paraId="3DDC9D5B" w14:textId="77777777" w:rsidR="009F7F8A" w:rsidRPr="00AC3044" w:rsidRDefault="009F7F8A" w:rsidP="009F7F8A">
            <w:pPr>
              <w:rPr>
                <w:rFonts w:eastAsia="SimSun"/>
              </w:rPr>
            </w:pPr>
            <w:r w:rsidRPr="00AC3044">
              <w:rPr>
                <w:rFonts w:eastAsia="SimSun"/>
              </w:rPr>
              <w:t>29 мг/кг</w:t>
            </w:r>
          </w:p>
        </w:tc>
        <w:tc>
          <w:tcPr>
            <w:tcW w:w="734" w:type="pct"/>
            <w:vAlign w:val="center"/>
          </w:tcPr>
          <w:p w14:paraId="538D922F" w14:textId="77777777" w:rsidR="009F7F8A" w:rsidRPr="00AC3044" w:rsidRDefault="009F7F8A" w:rsidP="009F7F8A">
            <w:pPr>
              <w:rPr>
                <w:rFonts w:eastAsia="SimSun"/>
              </w:rPr>
            </w:pPr>
            <w:r w:rsidRPr="00AC3044">
              <w:rPr>
                <w:rFonts w:eastAsia="SimSun"/>
              </w:rPr>
              <w:t xml:space="preserve">–6, –5 дни </w:t>
            </w:r>
          </w:p>
        </w:tc>
        <w:tc>
          <w:tcPr>
            <w:tcW w:w="1316" w:type="pct"/>
            <w:vAlign w:val="center"/>
          </w:tcPr>
          <w:p w14:paraId="792E0504" w14:textId="77777777" w:rsidR="009F7F8A" w:rsidRPr="00AC3044" w:rsidRDefault="009F7F8A" w:rsidP="009F7F8A">
            <w:pPr>
              <w:rPr>
                <w:rFonts w:eastAsia="SimSun"/>
              </w:rPr>
            </w:pPr>
            <w:r w:rsidRPr="00AC3044">
              <w:rPr>
                <w:rFonts w:eastAsia="SimSun"/>
              </w:rPr>
              <w:t>В/в, в течение 1 часа</w:t>
            </w:r>
          </w:p>
        </w:tc>
      </w:tr>
      <w:tr w:rsidR="009F7F8A" w:rsidRPr="00AC3044" w14:paraId="216B06C1" w14:textId="77777777" w:rsidTr="009F7F8A">
        <w:trPr>
          <w:cantSplit/>
          <w:trHeight w:val="566"/>
        </w:trPr>
        <w:tc>
          <w:tcPr>
            <w:tcW w:w="596" w:type="pct"/>
            <w:vMerge/>
            <w:vAlign w:val="center"/>
          </w:tcPr>
          <w:p w14:paraId="4A01EA6C" w14:textId="77777777" w:rsidR="009F7F8A" w:rsidRPr="00AC3044" w:rsidRDefault="009F7F8A" w:rsidP="009F7F8A">
            <w:pPr>
              <w:rPr>
                <w:rFonts w:eastAsia="SimSun"/>
              </w:rPr>
            </w:pPr>
          </w:p>
        </w:tc>
        <w:tc>
          <w:tcPr>
            <w:tcW w:w="809" w:type="pct"/>
            <w:vAlign w:val="center"/>
          </w:tcPr>
          <w:p w14:paraId="468B01EF" w14:textId="77777777" w:rsidR="009F7F8A" w:rsidRPr="00AC3044" w:rsidRDefault="009F7F8A" w:rsidP="009F7F8A">
            <w:pPr>
              <w:rPr>
                <w:rFonts w:eastAsia="SimSun"/>
              </w:rPr>
            </w:pPr>
            <w:r w:rsidRPr="00AC3044">
              <w:rPr>
                <w:rFonts w:eastAsia="SimSun"/>
              </w:rPr>
              <w:t>ТТО</w:t>
            </w:r>
          </w:p>
        </w:tc>
        <w:tc>
          <w:tcPr>
            <w:tcW w:w="737" w:type="pct"/>
            <w:vAlign w:val="center"/>
          </w:tcPr>
          <w:p w14:paraId="5DD5F95A" w14:textId="77777777" w:rsidR="009F7F8A" w:rsidRPr="00AC3044" w:rsidRDefault="009F7F8A" w:rsidP="009F7F8A">
            <w:pPr>
              <w:rPr>
                <w:rFonts w:eastAsia="SimSun"/>
              </w:rPr>
            </w:pPr>
            <w:r w:rsidRPr="00AC3044">
              <w:rPr>
                <w:rFonts w:eastAsia="SimSun"/>
              </w:rPr>
              <w:t>2 Гр</w:t>
            </w:r>
          </w:p>
        </w:tc>
        <w:tc>
          <w:tcPr>
            <w:tcW w:w="807" w:type="pct"/>
            <w:vAlign w:val="center"/>
          </w:tcPr>
          <w:p w14:paraId="74CBCF21" w14:textId="77777777" w:rsidR="009F7F8A" w:rsidRPr="00AC3044" w:rsidRDefault="009F7F8A" w:rsidP="009F7F8A">
            <w:pPr>
              <w:rPr>
                <w:rFonts w:eastAsia="SimSun"/>
              </w:rPr>
            </w:pPr>
            <w:r w:rsidRPr="00AC3044">
              <w:rPr>
                <w:rFonts w:eastAsia="SimSun"/>
              </w:rPr>
              <w:t>2 Гр</w:t>
            </w:r>
          </w:p>
        </w:tc>
        <w:tc>
          <w:tcPr>
            <w:tcW w:w="734" w:type="pct"/>
            <w:vAlign w:val="center"/>
          </w:tcPr>
          <w:p w14:paraId="49D6123C" w14:textId="77777777" w:rsidR="009F7F8A" w:rsidRPr="00AC3044" w:rsidRDefault="009F7F8A" w:rsidP="009F7F8A">
            <w:pPr>
              <w:rPr>
                <w:rFonts w:eastAsia="SimSun"/>
              </w:rPr>
            </w:pPr>
            <w:r w:rsidRPr="00AC3044">
              <w:rPr>
                <w:rFonts w:eastAsia="SimSun"/>
              </w:rPr>
              <w:t xml:space="preserve">Д-1 </w:t>
            </w:r>
          </w:p>
        </w:tc>
        <w:tc>
          <w:tcPr>
            <w:tcW w:w="1316" w:type="pct"/>
            <w:vAlign w:val="center"/>
          </w:tcPr>
          <w:p w14:paraId="34865B58" w14:textId="77777777" w:rsidR="009F7F8A" w:rsidRPr="00AC3044" w:rsidRDefault="009F7F8A" w:rsidP="009F7F8A">
            <w:pPr>
              <w:rPr>
                <w:rFonts w:eastAsia="SimSun"/>
              </w:rPr>
            </w:pPr>
            <w:r w:rsidRPr="00AC3044">
              <w:rPr>
                <w:rFonts w:eastAsia="SimSun"/>
              </w:rPr>
              <w:t>1 фракция 2 Гр за 2 часа  без экранированиия легких</w:t>
            </w:r>
          </w:p>
        </w:tc>
      </w:tr>
      <w:tr w:rsidR="009F7F8A" w:rsidRPr="00AC3044" w14:paraId="091F4CEC" w14:textId="77777777" w:rsidTr="009F7F8A">
        <w:trPr>
          <w:cantSplit/>
          <w:trHeight w:val="20"/>
        </w:trPr>
        <w:tc>
          <w:tcPr>
            <w:tcW w:w="596" w:type="pct"/>
            <w:vMerge w:val="restart"/>
            <w:textDirection w:val="btLr"/>
            <w:vAlign w:val="center"/>
          </w:tcPr>
          <w:p w14:paraId="21EECE0A" w14:textId="77777777" w:rsidR="009F7F8A" w:rsidRPr="00AC3044" w:rsidRDefault="009F7F8A" w:rsidP="009F7F8A">
            <w:pPr>
              <w:rPr>
                <w:rFonts w:eastAsia="SimSun"/>
              </w:rPr>
            </w:pPr>
            <w:r w:rsidRPr="00AC3044">
              <w:rPr>
                <w:rFonts w:eastAsia="SimSun"/>
              </w:rPr>
              <w:t>Профилактика РТПХ</w:t>
            </w:r>
          </w:p>
        </w:tc>
        <w:tc>
          <w:tcPr>
            <w:tcW w:w="809" w:type="pct"/>
          </w:tcPr>
          <w:p w14:paraId="61632AC0" w14:textId="77777777" w:rsidR="009F7F8A" w:rsidRPr="00AC3044" w:rsidRDefault="009F7F8A" w:rsidP="009F7F8A">
            <w:pPr>
              <w:rPr>
                <w:rFonts w:eastAsia="SimSun"/>
              </w:rPr>
            </w:pPr>
            <w:r w:rsidRPr="00AC3044">
              <w:rPr>
                <w:rFonts w:eastAsia="SimSun"/>
              </w:rPr>
              <w:t>Циклофосфамид</w:t>
            </w:r>
          </w:p>
        </w:tc>
        <w:tc>
          <w:tcPr>
            <w:tcW w:w="737" w:type="pct"/>
          </w:tcPr>
          <w:p w14:paraId="346BEEC7" w14:textId="77777777" w:rsidR="009F7F8A" w:rsidRPr="00AC3044" w:rsidRDefault="009F7F8A" w:rsidP="009F7F8A">
            <w:pPr>
              <w:rPr>
                <w:rFonts w:eastAsia="SimSun"/>
              </w:rPr>
            </w:pPr>
            <w:r w:rsidRPr="00AC3044">
              <w:rPr>
                <w:rFonts w:eastAsia="SimSun"/>
              </w:rPr>
              <w:t>50 мг/кг</w:t>
            </w:r>
          </w:p>
        </w:tc>
        <w:tc>
          <w:tcPr>
            <w:tcW w:w="807" w:type="pct"/>
          </w:tcPr>
          <w:p w14:paraId="2BB418C4" w14:textId="77777777" w:rsidR="009F7F8A" w:rsidRPr="00AC3044" w:rsidRDefault="009F7F8A" w:rsidP="009F7F8A">
            <w:pPr>
              <w:rPr>
                <w:rFonts w:eastAsia="SimSun"/>
              </w:rPr>
            </w:pPr>
            <w:r w:rsidRPr="00AC3044">
              <w:rPr>
                <w:rFonts w:eastAsia="SimSun"/>
              </w:rPr>
              <w:t>100 мг/кг</w:t>
            </w:r>
          </w:p>
        </w:tc>
        <w:tc>
          <w:tcPr>
            <w:tcW w:w="734" w:type="pct"/>
          </w:tcPr>
          <w:p w14:paraId="3726F431" w14:textId="77777777" w:rsidR="009F7F8A" w:rsidRPr="00AC3044" w:rsidRDefault="009F7F8A" w:rsidP="009F7F8A">
            <w:pPr>
              <w:rPr>
                <w:rFonts w:eastAsia="SimSun"/>
              </w:rPr>
            </w:pPr>
            <w:r w:rsidRPr="00AC3044">
              <w:rPr>
                <w:rFonts w:eastAsia="SimSun"/>
              </w:rPr>
              <w:t xml:space="preserve">+3,+4 дни </w:t>
            </w:r>
          </w:p>
        </w:tc>
        <w:tc>
          <w:tcPr>
            <w:tcW w:w="1316" w:type="pct"/>
          </w:tcPr>
          <w:p w14:paraId="6C72BF3C"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2F1DDB2C" w14:textId="77777777" w:rsidTr="009F7F8A">
        <w:trPr>
          <w:cantSplit/>
          <w:trHeight w:val="20"/>
        </w:trPr>
        <w:tc>
          <w:tcPr>
            <w:tcW w:w="596" w:type="pct"/>
            <w:vMerge/>
          </w:tcPr>
          <w:p w14:paraId="10D6B169" w14:textId="77777777" w:rsidR="009F7F8A" w:rsidRPr="00AC3044" w:rsidRDefault="009F7F8A" w:rsidP="009F7F8A">
            <w:pPr>
              <w:rPr>
                <w:rFonts w:eastAsia="SimSun"/>
              </w:rPr>
            </w:pPr>
          </w:p>
        </w:tc>
        <w:tc>
          <w:tcPr>
            <w:tcW w:w="809" w:type="pct"/>
            <w:vAlign w:val="center"/>
          </w:tcPr>
          <w:p w14:paraId="1760BB0D" w14:textId="77777777" w:rsidR="009F7F8A" w:rsidRPr="00AC3044" w:rsidRDefault="009F7F8A" w:rsidP="009F7F8A">
            <w:pPr>
              <w:rPr>
                <w:rFonts w:eastAsia="SimSun"/>
              </w:rPr>
            </w:pPr>
            <w:r w:rsidRPr="00AC3044">
              <w:rPr>
                <w:rFonts w:eastAsia="SimSun"/>
              </w:rPr>
              <w:t xml:space="preserve">Такролимус </w:t>
            </w:r>
          </w:p>
        </w:tc>
        <w:tc>
          <w:tcPr>
            <w:tcW w:w="737" w:type="pct"/>
            <w:vAlign w:val="center"/>
          </w:tcPr>
          <w:p w14:paraId="74F49426" w14:textId="77777777" w:rsidR="009F7F8A" w:rsidRPr="00AC3044" w:rsidRDefault="009F7F8A" w:rsidP="009F7F8A">
            <w:pPr>
              <w:rPr>
                <w:rFonts w:eastAsia="SimSun"/>
              </w:rPr>
            </w:pPr>
            <w:r w:rsidRPr="00AC3044">
              <w:rPr>
                <w:rFonts w:eastAsia="SimSun"/>
              </w:rPr>
              <w:t>0,03 мг/кг</w:t>
            </w:r>
          </w:p>
        </w:tc>
        <w:tc>
          <w:tcPr>
            <w:tcW w:w="807" w:type="pct"/>
            <w:vAlign w:val="center"/>
          </w:tcPr>
          <w:p w14:paraId="65E45902" w14:textId="77777777" w:rsidR="009F7F8A" w:rsidRPr="00AC3044" w:rsidRDefault="009F7F8A" w:rsidP="009F7F8A">
            <w:pPr>
              <w:rPr>
                <w:rFonts w:eastAsia="SimSun"/>
              </w:rPr>
            </w:pPr>
            <w:r w:rsidRPr="00AC3044">
              <w:rPr>
                <w:rFonts w:eastAsia="SimSun"/>
              </w:rPr>
              <w:t>–</w:t>
            </w:r>
          </w:p>
        </w:tc>
        <w:tc>
          <w:tcPr>
            <w:tcW w:w="734" w:type="pct"/>
            <w:vAlign w:val="center"/>
          </w:tcPr>
          <w:p w14:paraId="04378E74" w14:textId="77777777" w:rsidR="009F7F8A" w:rsidRPr="00AC3044" w:rsidRDefault="009F7F8A" w:rsidP="009F7F8A">
            <w:pPr>
              <w:rPr>
                <w:rFonts w:eastAsia="SimSun"/>
              </w:rPr>
            </w:pPr>
            <w:r w:rsidRPr="00AC3044">
              <w:rPr>
                <w:rFonts w:eastAsia="SimSun"/>
              </w:rPr>
              <w:t>С +5 по +100 день, затем постепенное снижение к +180 дню</w:t>
            </w:r>
          </w:p>
        </w:tc>
        <w:tc>
          <w:tcPr>
            <w:tcW w:w="1316" w:type="pct"/>
            <w:vAlign w:val="center"/>
          </w:tcPr>
          <w:p w14:paraId="62609AC1" w14:textId="77777777" w:rsidR="009F7F8A" w:rsidRPr="00AC3044" w:rsidRDefault="009F7F8A" w:rsidP="009F7F8A">
            <w:pPr>
              <w:rPr>
                <w:rFonts w:eastAsia="SimSun"/>
              </w:rPr>
            </w:pPr>
            <w:r w:rsidRPr="00C07B2E">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C07B2E">
              <w:rPr>
                <w:rFonts w:eastAsia="SimSun"/>
              </w:rPr>
              <w:t>10</w:t>
            </w:r>
            <w:r w:rsidRPr="0074195F">
              <w:rPr>
                <w:rFonts w:eastAsia="SimSun"/>
                <w:vertAlign w:val="superscript"/>
              </w:rPr>
              <w:t>9</w:t>
            </w:r>
            <w:r w:rsidRPr="00C07B2E">
              <w:rPr>
                <w:rFonts w:eastAsia="SimSun"/>
              </w:rPr>
              <w:t xml:space="preserve">/л, при отсутствии тошноты, рвоты, диареи и возможности приема внутрь. Концентрация Tx 5-15 нг/мл.    </w:t>
            </w:r>
          </w:p>
        </w:tc>
      </w:tr>
      <w:tr w:rsidR="009F7F8A" w:rsidRPr="00AC3044" w14:paraId="3FEC0A48" w14:textId="77777777" w:rsidTr="009F7F8A">
        <w:trPr>
          <w:cantSplit/>
          <w:trHeight w:val="464"/>
        </w:trPr>
        <w:tc>
          <w:tcPr>
            <w:tcW w:w="596" w:type="pct"/>
            <w:vMerge/>
          </w:tcPr>
          <w:p w14:paraId="276DE088" w14:textId="77777777" w:rsidR="009F7F8A" w:rsidRPr="00AC3044" w:rsidRDefault="009F7F8A" w:rsidP="009F7F8A">
            <w:pPr>
              <w:rPr>
                <w:rFonts w:eastAsia="SimSun"/>
              </w:rPr>
            </w:pPr>
          </w:p>
        </w:tc>
        <w:tc>
          <w:tcPr>
            <w:tcW w:w="809" w:type="pct"/>
          </w:tcPr>
          <w:p w14:paraId="3D4B8810" w14:textId="77777777" w:rsidR="009F7F8A" w:rsidRPr="00AC3044" w:rsidRDefault="009F7F8A" w:rsidP="009F7F8A">
            <w:pPr>
              <w:rPr>
                <w:rFonts w:eastAsia="SimSun"/>
              </w:rPr>
            </w:pPr>
            <w:r w:rsidRPr="00AC3044">
              <w:rPr>
                <w:rFonts w:eastAsia="SimSun"/>
              </w:rPr>
              <w:t>Микофенолата мофетил</w:t>
            </w:r>
          </w:p>
        </w:tc>
        <w:tc>
          <w:tcPr>
            <w:tcW w:w="737" w:type="pct"/>
          </w:tcPr>
          <w:p w14:paraId="15AFB2AB" w14:textId="77777777" w:rsidR="009F7F8A" w:rsidRPr="00AC3044" w:rsidRDefault="009F7F8A" w:rsidP="009F7F8A">
            <w:pPr>
              <w:rPr>
                <w:rFonts w:eastAsia="SimSun"/>
              </w:rPr>
            </w:pPr>
            <w:r w:rsidRPr="00AC3044">
              <w:rPr>
                <w:rFonts w:eastAsia="SimSun"/>
              </w:rPr>
              <w:t>45мг/кг</w:t>
            </w:r>
          </w:p>
        </w:tc>
        <w:tc>
          <w:tcPr>
            <w:tcW w:w="807" w:type="pct"/>
          </w:tcPr>
          <w:p w14:paraId="10661055" w14:textId="77777777" w:rsidR="009F7F8A" w:rsidRPr="00AC3044" w:rsidRDefault="009F7F8A" w:rsidP="009F7F8A">
            <w:pPr>
              <w:rPr>
                <w:rFonts w:eastAsia="SimSun"/>
              </w:rPr>
            </w:pPr>
            <w:r w:rsidRPr="00AC3044">
              <w:rPr>
                <w:rFonts w:eastAsia="SimSun"/>
              </w:rPr>
              <w:t>–</w:t>
            </w:r>
          </w:p>
        </w:tc>
        <w:tc>
          <w:tcPr>
            <w:tcW w:w="734" w:type="pct"/>
          </w:tcPr>
          <w:p w14:paraId="368D47EC" w14:textId="77777777" w:rsidR="009F7F8A" w:rsidRPr="00AC3044" w:rsidRDefault="009F7F8A" w:rsidP="009F7F8A">
            <w:pPr>
              <w:rPr>
                <w:rFonts w:eastAsia="SimSun"/>
              </w:rPr>
            </w:pPr>
            <w:r w:rsidRPr="00AC3044">
              <w:rPr>
                <w:rFonts w:eastAsia="SimSun"/>
              </w:rPr>
              <w:t>С +5 по +35 день</w:t>
            </w:r>
          </w:p>
        </w:tc>
        <w:tc>
          <w:tcPr>
            <w:tcW w:w="1316" w:type="pct"/>
          </w:tcPr>
          <w:p w14:paraId="650D07AB"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5D5339DB" w14:textId="77777777" w:rsidR="009F7F8A" w:rsidRDefault="009F7F8A" w:rsidP="009F7F8A">
      <w:pPr>
        <w:rPr>
          <w:rFonts w:eastAsia="SimSun"/>
        </w:rPr>
      </w:pPr>
      <w:bookmarkStart w:id="202" w:name="_Toc44401238"/>
    </w:p>
    <w:p w14:paraId="5CDF6E42" w14:textId="77777777" w:rsidR="009F7F8A" w:rsidRPr="00C07B2E" w:rsidRDefault="009F7F8A" w:rsidP="009F7F8A">
      <w:pPr>
        <w:rPr>
          <w:rFonts w:eastAsia="SimSun"/>
        </w:rPr>
      </w:pPr>
      <w:r w:rsidRPr="00EE51B1">
        <w:rPr>
          <w:rFonts w:eastAsia="SimSun"/>
        </w:rPr>
        <w:lastRenderedPageBreak/>
        <w:t>Таблица</w:t>
      </w:r>
      <w:r w:rsidRPr="00C07B2E">
        <w:rPr>
          <w:rFonts w:eastAsia="SimSun"/>
        </w:rPr>
        <w:t xml:space="preserve"> </w:t>
      </w:r>
      <w:r>
        <w:rPr>
          <w:rFonts w:eastAsia="SimSun"/>
        </w:rPr>
        <w:t>5.</w:t>
      </w:r>
      <w:r w:rsidRPr="00C07B2E">
        <w:rPr>
          <w:rFonts w:eastAsia="SimSun"/>
        </w:rPr>
        <w:t>3.1.13  – Flu180+Cy1200 / PT-Cy+Tx+MMF45</w:t>
      </w:r>
      <w:bookmarkEnd w:id="202"/>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417"/>
        <w:gridCol w:w="2552"/>
      </w:tblGrid>
      <w:tr w:rsidR="009F7F8A" w:rsidRPr="00AC3044" w14:paraId="22E0748A" w14:textId="77777777" w:rsidTr="009F7F8A">
        <w:trPr>
          <w:cantSplit/>
          <w:trHeight w:val="20"/>
          <w:tblHeader/>
        </w:trPr>
        <w:tc>
          <w:tcPr>
            <w:tcW w:w="1135" w:type="dxa"/>
            <w:vAlign w:val="center"/>
          </w:tcPr>
          <w:p w14:paraId="0295C2CE" w14:textId="77777777" w:rsidR="009F7F8A" w:rsidRPr="00AC3044" w:rsidRDefault="009F7F8A" w:rsidP="009F7F8A">
            <w:pPr>
              <w:rPr>
                <w:rFonts w:eastAsia="SimSun"/>
              </w:rPr>
            </w:pPr>
          </w:p>
        </w:tc>
        <w:tc>
          <w:tcPr>
            <w:tcW w:w="1559" w:type="dxa"/>
            <w:vAlign w:val="center"/>
          </w:tcPr>
          <w:p w14:paraId="465F10BB"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4811C31B"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6C76C63C" w14:textId="77777777" w:rsidR="009F7F8A" w:rsidRPr="00AC3044" w:rsidRDefault="009F7F8A" w:rsidP="009F7F8A">
            <w:pPr>
              <w:rPr>
                <w:rFonts w:eastAsia="SimSun"/>
              </w:rPr>
            </w:pPr>
            <w:r w:rsidRPr="00AC3044">
              <w:rPr>
                <w:rFonts w:eastAsia="SimSun"/>
              </w:rPr>
              <w:t>Курсовая доза</w:t>
            </w:r>
          </w:p>
        </w:tc>
        <w:tc>
          <w:tcPr>
            <w:tcW w:w="1417" w:type="dxa"/>
            <w:vAlign w:val="center"/>
          </w:tcPr>
          <w:p w14:paraId="239FED6D" w14:textId="77777777" w:rsidR="009F7F8A" w:rsidRPr="00AC3044" w:rsidRDefault="009F7F8A" w:rsidP="009F7F8A">
            <w:pPr>
              <w:rPr>
                <w:rFonts w:eastAsia="SimSun"/>
              </w:rPr>
            </w:pPr>
            <w:r w:rsidRPr="00AC3044">
              <w:rPr>
                <w:rFonts w:eastAsia="SimSun"/>
              </w:rPr>
              <w:t>Дни введения</w:t>
            </w:r>
          </w:p>
        </w:tc>
        <w:tc>
          <w:tcPr>
            <w:tcW w:w="2552" w:type="dxa"/>
            <w:vAlign w:val="center"/>
          </w:tcPr>
          <w:p w14:paraId="49642B5D"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055E894F" w14:textId="77777777" w:rsidTr="009F7F8A">
        <w:trPr>
          <w:cantSplit/>
          <w:trHeight w:val="20"/>
        </w:trPr>
        <w:tc>
          <w:tcPr>
            <w:tcW w:w="1135" w:type="dxa"/>
            <w:vMerge w:val="restart"/>
            <w:textDirection w:val="btLr"/>
            <w:vAlign w:val="center"/>
          </w:tcPr>
          <w:p w14:paraId="17E39F3D" w14:textId="77777777" w:rsidR="009F7F8A" w:rsidRPr="00AC3044" w:rsidRDefault="009F7F8A" w:rsidP="009F7F8A">
            <w:pPr>
              <w:rPr>
                <w:rFonts w:eastAsia="SimSun"/>
              </w:rPr>
            </w:pPr>
            <w:r w:rsidRPr="00AC3044">
              <w:rPr>
                <w:rFonts w:eastAsia="SimSun"/>
              </w:rPr>
              <w:t>Кондиционирование</w:t>
            </w:r>
          </w:p>
        </w:tc>
        <w:tc>
          <w:tcPr>
            <w:tcW w:w="1559" w:type="dxa"/>
            <w:vAlign w:val="center"/>
          </w:tcPr>
          <w:p w14:paraId="1260971E"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1E9216F8"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6587DCFE" w14:textId="77777777" w:rsidR="009F7F8A" w:rsidRPr="00AC3044" w:rsidRDefault="009F7F8A" w:rsidP="009F7F8A">
            <w:pPr>
              <w:rPr>
                <w:rFonts w:eastAsia="SimSun"/>
              </w:rPr>
            </w:pPr>
            <w:r w:rsidRPr="00AC3044">
              <w:rPr>
                <w:rFonts w:eastAsia="SimSun"/>
              </w:rPr>
              <w:t>120 мг/м</w:t>
            </w:r>
            <w:r w:rsidRPr="0074195F">
              <w:rPr>
                <w:rFonts w:eastAsia="SimSun"/>
                <w:vertAlign w:val="superscript"/>
              </w:rPr>
              <w:t>2</w:t>
            </w:r>
          </w:p>
        </w:tc>
        <w:tc>
          <w:tcPr>
            <w:tcW w:w="1417" w:type="dxa"/>
            <w:vAlign w:val="center"/>
          </w:tcPr>
          <w:p w14:paraId="2835DF41" w14:textId="77777777" w:rsidR="009F7F8A" w:rsidRPr="00AC3044" w:rsidRDefault="009F7F8A" w:rsidP="009F7F8A">
            <w:pPr>
              <w:rPr>
                <w:rFonts w:eastAsia="SimSun"/>
              </w:rPr>
            </w:pPr>
            <w:r w:rsidRPr="00AC3044">
              <w:rPr>
                <w:rFonts w:eastAsia="SimSun"/>
              </w:rPr>
              <w:t>С -5 дня по -2 день</w:t>
            </w:r>
          </w:p>
        </w:tc>
        <w:tc>
          <w:tcPr>
            <w:tcW w:w="2552" w:type="dxa"/>
            <w:vAlign w:val="center"/>
          </w:tcPr>
          <w:p w14:paraId="35C2986E"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1C478AD7" w14:textId="77777777" w:rsidTr="009F7F8A">
        <w:trPr>
          <w:cantSplit/>
          <w:trHeight w:val="855"/>
        </w:trPr>
        <w:tc>
          <w:tcPr>
            <w:tcW w:w="1135" w:type="dxa"/>
            <w:vMerge/>
            <w:vAlign w:val="center"/>
          </w:tcPr>
          <w:p w14:paraId="16C64AE8" w14:textId="77777777" w:rsidR="009F7F8A" w:rsidRPr="00AC3044" w:rsidRDefault="009F7F8A" w:rsidP="009F7F8A">
            <w:pPr>
              <w:rPr>
                <w:rFonts w:eastAsia="SimSun"/>
              </w:rPr>
            </w:pPr>
          </w:p>
        </w:tc>
        <w:tc>
          <w:tcPr>
            <w:tcW w:w="1559" w:type="dxa"/>
            <w:vAlign w:val="center"/>
          </w:tcPr>
          <w:p w14:paraId="50346A64"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05E25C71" w14:textId="77777777" w:rsidR="009F7F8A" w:rsidRPr="00AC3044" w:rsidRDefault="009F7F8A" w:rsidP="009F7F8A">
            <w:pPr>
              <w:rPr>
                <w:rFonts w:eastAsia="SimSun"/>
              </w:rPr>
            </w:pPr>
            <w:r w:rsidRPr="00AC3044">
              <w:rPr>
                <w:rFonts w:eastAsia="SimSun"/>
              </w:rPr>
              <w:t>300 мг/м</w:t>
            </w:r>
            <w:r w:rsidRPr="0074195F">
              <w:rPr>
                <w:rFonts w:eastAsia="SimSun"/>
                <w:vertAlign w:val="superscript"/>
              </w:rPr>
              <w:t>2</w:t>
            </w:r>
            <w:r w:rsidRPr="00AC3044">
              <w:rPr>
                <w:rFonts w:eastAsia="SimSun"/>
              </w:rPr>
              <w:t xml:space="preserve"> </w:t>
            </w:r>
          </w:p>
        </w:tc>
        <w:tc>
          <w:tcPr>
            <w:tcW w:w="1559" w:type="dxa"/>
            <w:vAlign w:val="center"/>
          </w:tcPr>
          <w:p w14:paraId="580113EC" w14:textId="77777777" w:rsidR="009F7F8A" w:rsidRPr="00AC3044" w:rsidRDefault="009F7F8A" w:rsidP="009F7F8A">
            <w:pPr>
              <w:rPr>
                <w:rFonts w:eastAsia="SimSun"/>
              </w:rPr>
            </w:pPr>
            <w:r w:rsidRPr="00AC3044">
              <w:rPr>
                <w:rFonts w:eastAsia="SimSun"/>
              </w:rPr>
              <w:t>1200 мг/м</w:t>
            </w:r>
            <w:r w:rsidRPr="0074195F">
              <w:rPr>
                <w:rFonts w:eastAsia="SimSun"/>
                <w:vertAlign w:val="superscript"/>
              </w:rPr>
              <w:t>2</w:t>
            </w:r>
          </w:p>
        </w:tc>
        <w:tc>
          <w:tcPr>
            <w:tcW w:w="1417" w:type="dxa"/>
            <w:vAlign w:val="center"/>
          </w:tcPr>
          <w:p w14:paraId="3C661967" w14:textId="77777777" w:rsidR="009F7F8A" w:rsidRPr="00AC3044" w:rsidRDefault="009F7F8A" w:rsidP="009F7F8A">
            <w:pPr>
              <w:rPr>
                <w:rFonts w:eastAsia="SimSun"/>
              </w:rPr>
            </w:pPr>
            <w:r w:rsidRPr="00AC3044">
              <w:rPr>
                <w:rFonts w:eastAsia="SimSun"/>
              </w:rPr>
              <w:t xml:space="preserve"> С -5 дня по -2 день </w:t>
            </w:r>
          </w:p>
        </w:tc>
        <w:tc>
          <w:tcPr>
            <w:tcW w:w="2552" w:type="dxa"/>
            <w:vAlign w:val="center"/>
          </w:tcPr>
          <w:p w14:paraId="33E96800"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2AB71C64" w14:textId="77777777" w:rsidTr="009F7F8A">
        <w:trPr>
          <w:cantSplit/>
          <w:trHeight w:val="556"/>
        </w:trPr>
        <w:tc>
          <w:tcPr>
            <w:tcW w:w="1135" w:type="dxa"/>
            <w:vMerge w:val="restart"/>
            <w:textDirection w:val="btLr"/>
            <w:vAlign w:val="center"/>
          </w:tcPr>
          <w:p w14:paraId="7FA60E7A" w14:textId="77777777" w:rsidR="009F7F8A" w:rsidRPr="00AC3044" w:rsidRDefault="009F7F8A" w:rsidP="009F7F8A">
            <w:pPr>
              <w:rPr>
                <w:rFonts w:eastAsia="SimSun"/>
              </w:rPr>
            </w:pPr>
            <w:r w:rsidRPr="00AC3044">
              <w:rPr>
                <w:rFonts w:eastAsia="SimSun"/>
              </w:rPr>
              <w:t>Профилактика РТПХ</w:t>
            </w:r>
          </w:p>
        </w:tc>
        <w:tc>
          <w:tcPr>
            <w:tcW w:w="1559" w:type="dxa"/>
            <w:vAlign w:val="center"/>
          </w:tcPr>
          <w:p w14:paraId="20865D40"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5DB42EB3"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647069AF" w14:textId="77777777" w:rsidR="009F7F8A" w:rsidRPr="00AC3044" w:rsidRDefault="009F7F8A" w:rsidP="009F7F8A">
            <w:pPr>
              <w:rPr>
                <w:rFonts w:eastAsia="SimSun"/>
              </w:rPr>
            </w:pPr>
            <w:r w:rsidRPr="00AC3044">
              <w:rPr>
                <w:rFonts w:eastAsia="SimSun"/>
              </w:rPr>
              <w:t>100 мг/кг</w:t>
            </w:r>
          </w:p>
        </w:tc>
        <w:tc>
          <w:tcPr>
            <w:tcW w:w="1417" w:type="dxa"/>
            <w:vAlign w:val="center"/>
          </w:tcPr>
          <w:p w14:paraId="4793448D" w14:textId="77777777" w:rsidR="009F7F8A" w:rsidRPr="00AC3044" w:rsidRDefault="009F7F8A" w:rsidP="009F7F8A">
            <w:pPr>
              <w:rPr>
                <w:rFonts w:eastAsia="SimSun"/>
              </w:rPr>
            </w:pPr>
            <w:r w:rsidRPr="00AC3044">
              <w:rPr>
                <w:rFonts w:eastAsia="SimSun"/>
              </w:rPr>
              <w:t>С +3 дня по +4 день</w:t>
            </w:r>
          </w:p>
        </w:tc>
        <w:tc>
          <w:tcPr>
            <w:tcW w:w="2552" w:type="dxa"/>
            <w:vAlign w:val="center"/>
          </w:tcPr>
          <w:p w14:paraId="77B9B73A"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0CBCD57B" w14:textId="77777777" w:rsidTr="009F7F8A">
        <w:trPr>
          <w:cantSplit/>
          <w:trHeight w:val="958"/>
        </w:trPr>
        <w:tc>
          <w:tcPr>
            <w:tcW w:w="1135" w:type="dxa"/>
            <w:vMerge/>
            <w:textDirection w:val="btLr"/>
            <w:vAlign w:val="center"/>
          </w:tcPr>
          <w:p w14:paraId="4DC8E698" w14:textId="77777777" w:rsidR="009F7F8A" w:rsidRPr="00AC3044" w:rsidRDefault="009F7F8A" w:rsidP="009F7F8A">
            <w:pPr>
              <w:rPr>
                <w:rFonts w:eastAsia="SimSun"/>
              </w:rPr>
            </w:pPr>
          </w:p>
        </w:tc>
        <w:tc>
          <w:tcPr>
            <w:tcW w:w="1559" w:type="dxa"/>
            <w:vAlign w:val="center"/>
          </w:tcPr>
          <w:p w14:paraId="2F432CE3" w14:textId="77777777" w:rsidR="009F7F8A" w:rsidRPr="00AC3044" w:rsidRDefault="009F7F8A" w:rsidP="009F7F8A">
            <w:pPr>
              <w:rPr>
                <w:rFonts w:eastAsia="SimSun"/>
              </w:rPr>
            </w:pPr>
            <w:r w:rsidRPr="00AC3044">
              <w:rPr>
                <w:rFonts w:eastAsia="SimSun"/>
              </w:rPr>
              <w:t xml:space="preserve">Такролимус </w:t>
            </w:r>
          </w:p>
        </w:tc>
        <w:tc>
          <w:tcPr>
            <w:tcW w:w="1418" w:type="dxa"/>
            <w:vAlign w:val="center"/>
          </w:tcPr>
          <w:p w14:paraId="3F1DC7DF" w14:textId="77777777" w:rsidR="009F7F8A" w:rsidRPr="00AC3044" w:rsidRDefault="009F7F8A" w:rsidP="009F7F8A">
            <w:pPr>
              <w:rPr>
                <w:rFonts w:eastAsia="SimSun"/>
              </w:rPr>
            </w:pPr>
            <w:r w:rsidRPr="00AC3044">
              <w:rPr>
                <w:rFonts w:eastAsia="SimSun"/>
              </w:rPr>
              <w:t>0,03 мг/кг</w:t>
            </w:r>
          </w:p>
        </w:tc>
        <w:tc>
          <w:tcPr>
            <w:tcW w:w="1559" w:type="dxa"/>
            <w:vAlign w:val="center"/>
          </w:tcPr>
          <w:p w14:paraId="748993D2" w14:textId="77777777" w:rsidR="009F7F8A" w:rsidRPr="00AC3044" w:rsidRDefault="009F7F8A" w:rsidP="009F7F8A">
            <w:pPr>
              <w:rPr>
                <w:rFonts w:eastAsia="SimSun"/>
              </w:rPr>
            </w:pPr>
            <w:r w:rsidRPr="00AC3044">
              <w:rPr>
                <w:rFonts w:eastAsia="SimSun"/>
              </w:rPr>
              <w:t>–</w:t>
            </w:r>
          </w:p>
        </w:tc>
        <w:tc>
          <w:tcPr>
            <w:tcW w:w="1417" w:type="dxa"/>
            <w:vAlign w:val="center"/>
          </w:tcPr>
          <w:p w14:paraId="5CF8C903" w14:textId="77777777" w:rsidR="009F7F8A" w:rsidRPr="00AC3044" w:rsidRDefault="009F7F8A" w:rsidP="009F7F8A">
            <w:pPr>
              <w:rPr>
                <w:rFonts w:eastAsia="SimSun"/>
              </w:rPr>
            </w:pPr>
            <w:r w:rsidRPr="00AC3044">
              <w:rPr>
                <w:rFonts w:eastAsia="SimSun"/>
              </w:rPr>
              <w:t xml:space="preserve">С +5 дня длительно </w:t>
            </w:r>
          </w:p>
        </w:tc>
        <w:tc>
          <w:tcPr>
            <w:tcW w:w="2552" w:type="dxa"/>
            <w:vAlign w:val="center"/>
          </w:tcPr>
          <w:p w14:paraId="4F445D51"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32098C60" w14:textId="77777777" w:rsidTr="009F7F8A">
        <w:trPr>
          <w:cantSplit/>
          <w:trHeight w:val="491"/>
        </w:trPr>
        <w:tc>
          <w:tcPr>
            <w:tcW w:w="1135" w:type="dxa"/>
            <w:vMerge/>
            <w:textDirection w:val="btLr"/>
            <w:vAlign w:val="center"/>
          </w:tcPr>
          <w:p w14:paraId="4356761F" w14:textId="77777777" w:rsidR="009F7F8A" w:rsidRPr="00AC3044" w:rsidRDefault="009F7F8A" w:rsidP="009F7F8A">
            <w:pPr>
              <w:rPr>
                <w:rFonts w:eastAsia="SimSun"/>
              </w:rPr>
            </w:pPr>
          </w:p>
        </w:tc>
        <w:tc>
          <w:tcPr>
            <w:tcW w:w="1559" w:type="dxa"/>
            <w:vAlign w:val="center"/>
          </w:tcPr>
          <w:p w14:paraId="66FE6411" w14:textId="77777777" w:rsidR="009F7F8A" w:rsidRPr="00AC3044" w:rsidRDefault="009F7F8A" w:rsidP="009F7F8A">
            <w:pPr>
              <w:rPr>
                <w:rFonts w:eastAsia="SimSun"/>
              </w:rPr>
            </w:pPr>
            <w:r w:rsidRPr="00AC3044">
              <w:rPr>
                <w:rFonts w:eastAsia="SimSun"/>
              </w:rPr>
              <w:t>Микофенолата мофетил</w:t>
            </w:r>
          </w:p>
        </w:tc>
        <w:tc>
          <w:tcPr>
            <w:tcW w:w="1418" w:type="dxa"/>
            <w:vAlign w:val="center"/>
          </w:tcPr>
          <w:p w14:paraId="4851D417" w14:textId="77777777" w:rsidR="009F7F8A" w:rsidRPr="00AC3044" w:rsidRDefault="009F7F8A" w:rsidP="009F7F8A">
            <w:pPr>
              <w:rPr>
                <w:rFonts w:eastAsia="SimSun"/>
              </w:rPr>
            </w:pPr>
            <w:r w:rsidRPr="00AC3044">
              <w:rPr>
                <w:rFonts w:eastAsia="SimSun"/>
              </w:rPr>
              <w:t xml:space="preserve">45 мг/кг </w:t>
            </w:r>
          </w:p>
        </w:tc>
        <w:tc>
          <w:tcPr>
            <w:tcW w:w="1559" w:type="dxa"/>
            <w:vAlign w:val="center"/>
          </w:tcPr>
          <w:p w14:paraId="06425020" w14:textId="77777777" w:rsidR="009F7F8A" w:rsidRPr="00AC3044" w:rsidRDefault="009F7F8A" w:rsidP="009F7F8A">
            <w:pPr>
              <w:rPr>
                <w:rFonts w:eastAsia="SimSun"/>
              </w:rPr>
            </w:pPr>
            <w:r w:rsidRPr="00AC3044">
              <w:rPr>
                <w:rFonts w:eastAsia="SimSun"/>
              </w:rPr>
              <w:t>–</w:t>
            </w:r>
          </w:p>
        </w:tc>
        <w:tc>
          <w:tcPr>
            <w:tcW w:w="1417" w:type="dxa"/>
            <w:vAlign w:val="center"/>
          </w:tcPr>
          <w:p w14:paraId="39087FF7" w14:textId="77777777" w:rsidR="009F7F8A" w:rsidRPr="00AC3044" w:rsidRDefault="009F7F8A" w:rsidP="009F7F8A">
            <w:pPr>
              <w:rPr>
                <w:rFonts w:eastAsia="SimSun"/>
              </w:rPr>
            </w:pPr>
            <w:r w:rsidRPr="00AC3044">
              <w:rPr>
                <w:rFonts w:eastAsia="SimSun"/>
              </w:rPr>
              <w:t xml:space="preserve">С +5 дня по +35 день </w:t>
            </w:r>
          </w:p>
        </w:tc>
        <w:tc>
          <w:tcPr>
            <w:tcW w:w="2552" w:type="dxa"/>
            <w:vAlign w:val="center"/>
          </w:tcPr>
          <w:p w14:paraId="1622043E"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335B0E26" w14:textId="77777777" w:rsidR="009F7F8A" w:rsidRDefault="009F7F8A" w:rsidP="009F7F8A">
      <w:pPr>
        <w:rPr>
          <w:rFonts w:eastAsia="SimSun"/>
        </w:rPr>
      </w:pPr>
      <w:bookmarkStart w:id="203" w:name="_Toc44401239"/>
    </w:p>
    <w:p w14:paraId="473AA863" w14:textId="77777777" w:rsidR="009F7F8A" w:rsidRPr="00C07B2E" w:rsidRDefault="009F7F8A" w:rsidP="009F7F8A">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3.1.14  – Flu180+Mel100 / PT-Cy+Tx+MMF45</w:t>
      </w:r>
      <w:bookmarkEnd w:id="203"/>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417"/>
        <w:gridCol w:w="2552"/>
      </w:tblGrid>
      <w:tr w:rsidR="009F7F8A" w:rsidRPr="00AC3044" w14:paraId="6CA42605" w14:textId="77777777" w:rsidTr="009F7F8A">
        <w:trPr>
          <w:cantSplit/>
          <w:trHeight w:val="20"/>
          <w:tblHeader/>
        </w:trPr>
        <w:tc>
          <w:tcPr>
            <w:tcW w:w="1135" w:type="dxa"/>
            <w:vAlign w:val="center"/>
          </w:tcPr>
          <w:p w14:paraId="305ABCFA" w14:textId="77777777" w:rsidR="009F7F8A" w:rsidRPr="00AC3044" w:rsidRDefault="009F7F8A" w:rsidP="009F7F8A">
            <w:pPr>
              <w:rPr>
                <w:rFonts w:eastAsia="SimSun"/>
              </w:rPr>
            </w:pPr>
          </w:p>
        </w:tc>
        <w:tc>
          <w:tcPr>
            <w:tcW w:w="1559" w:type="dxa"/>
            <w:vAlign w:val="center"/>
          </w:tcPr>
          <w:p w14:paraId="24108296" w14:textId="77777777" w:rsidR="009F7F8A" w:rsidRPr="00AC3044" w:rsidRDefault="009F7F8A" w:rsidP="009F7F8A">
            <w:pPr>
              <w:rPr>
                <w:rFonts w:eastAsia="SimSun"/>
              </w:rPr>
            </w:pPr>
            <w:r w:rsidRPr="00AC3044">
              <w:rPr>
                <w:rFonts w:eastAsia="SimSun"/>
              </w:rPr>
              <w:t>Препарат</w:t>
            </w:r>
          </w:p>
        </w:tc>
        <w:tc>
          <w:tcPr>
            <w:tcW w:w="1418" w:type="dxa"/>
            <w:vAlign w:val="center"/>
          </w:tcPr>
          <w:p w14:paraId="286E7E13" w14:textId="77777777" w:rsidR="009F7F8A" w:rsidRPr="00AC3044" w:rsidRDefault="009F7F8A" w:rsidP="009F7F8A">
            <w:pPr>
              <w:rPr>
                <w:rFonts w:eastAsia="SimSun"/>
              </w:rPr>
            </w:pPr>
            <w:r w:rsidRPr="00AC3044">
              <w:rPr>
                <w:rFonts w:eastAsia="SimSun"/>
              </w:rPr>
              <w:t>Суточная доза</w:t>
            </w:r>
          </w:p>
        </w:tc>
        <w:tc>
          <w:tcPr>
            <w:tcW w:w="1559" w:type="dxa"/>
            <w:vAlign w:val="center"/>
          </w:tcPr>
          <w:p w14:paraId="31E7609E" w14:textId="77777777" w:rsidR="009F7F8A" w:rsidRPr="00AC3044" w:rsidRDefault="009F7F8A" w:rsidP="009F7F8A">
            <w:pPr>
              <w:rPr>
                <w:rFonts w:eastAsia="SimSun"/>
              </w:rPr>
            </w:pPr>
            <w:r w:rsidRPr="00AC3044">
              <w:rPr>
                <w:rFonts w:eastAsia="SimSun"/>
              </w:rPr>
              <w:t>Курсовая доза</w:t>
            </w:r>
          </w:p>
        </w:tc>
        <w:tc>
          <w:tcPr>
            <w:tcW w:w="1417" w:type="dxa"/>
            <w:vAlign w:val="center"/>
          </w:tcPr>
          <w:p w14:paraId="14724C57" w14:textId="77777777" w:rsidR="009F7F8A" w:rsidRPr="00AC3044" w:rsidRDefault="009F7F8A" w:rsidP="009F7F8A">
            <w:pPr>
              <w:rPr>
                <w:rFonts w:eastAsia="SimSun"/>
              </w:rPr>
            </w:pPr>
            <w:r w:rsidRPr="00AC3044">
              <w:rPr>
                <w:rFonts w:eastAsia="SimSun"/>
              </w:rPr>
              <w:t>Дни введения</w:t>
            </w:r>
          </w:p>
        </w:tc>
        <w:tc>
          <w:tcPr>
            <w:tcW w:w="2552" w:type="dxa"/>
            <w:vAlign w:val="center"/>
          </w:tcPr>
          <w:p w14:paraId="7FE76F42"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059AD160" w14:textId="77777777" w:rsidTr="009F7F8A">
        <w:trPr>
          <w:cantSplit/>
          <w:trHeight w:val="20"/>
        </w:trPr>
        <w:tc>
          <w:tcPr>
            <w:tcW w:w="1135" w:type="dxa"/>
            <w:vMerge w:val="restart"/>
            <w:textDirection w:val="btLr"/>
            <w:vAlign w:val="center"/>
          </w:tcPr>
          <w:p w14:paraId="70536F25" w14:textId="77777777" w:rsidR="009F7F8A" w:rsidRPr="00AC3044" w:rsidRDefault="009F7F8A" w:rsidP="009F7F8A">
            <w:pPr>
              <w:rPr>
                <w:rFonts w:eastAsia="SimSun"/>
              </w:rPr>
            </w:pPr>
            <w:r w:rsidRPr="00AC3044">
              <w:rPr>
                <w:rFonts w:eastAsia="SimSun"/>
              </w:rPr>
              <w:t>Кондиционирование</w:t>
            </w:r>
          </w:p>
        </w:tc>
        <w:tc>
          <w:tcPr>
            <w:tcW w:w="1559" w:type="dxa"/>
            <w:vAlign w:val="center"/>
          </w:tcPr>
          <w:p w14:paraId="4BDBDCD8" w14:textId="77777777" w:rsidR="009F7F8A" w:rsidRPr="00AC3044" w:rsidRDefault="009F7F8A" w:rsidP="009F7F8A">
            <w:pPr>
              <w:rPr>
                <w:rFonts w:eastAsia="SimSun"/>
              </w:rPr>
            </w:pPr>
            <w:r w:rsidRPr="00AC3044">
              <w:rPr>
                <w:rFonts w:eastAsia="SimSun"/>
              </w:rPr>
              <w:t xml:space="preserve">Флударабин </w:t>
            </w:r>
          </w:p>
        </w:tc>
        <w:tc>
          <w:tcPr>
            <w:tcW w:w="1418" w:type="dxa"/>
            <w:vAlign w:val="center"/>
          </w:tcPr>
          <w:p w14:paraId="4CB434CB"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385A1FEC" w14:textId="77777777" w:rsidR="009F7F8A" w:rsidRPr="00AC3044" w:rsidRDefault="009F7F8A" w:rsidP="009F7F8A">
            <w:pPr>
              <w:rPr>
                <w:rFonts w:eastAsia="SimSun"/>
              </w:rPr>
            </w:pPr>
            <w:r w:rsidRPr="00AC3044">
              <w:rPr>
                <w:rFonts w:eastAsia="SimSun"/>
              </w:rPr>
              <w:t>180 мг/м</w:t>
            </w:r>
            <w:r w:rsidRPr="0074195F">
              <w:rPr>
                <w:rFonts w:eastAsia="SimSun"/>
                <w:vertAlign w:val="superscript"/>
              </w:rPr>
              <w:t>2</w:t>
            </w:r>
          </w:p>
        </w:tc>
        <w:tc>
          <w:tcPr>
            <w:tcW w:w="1417" w:type="dxa"/>
            <w:vAlign w:val="center"/>
          </w:tcPr>
          <w:p w14:paraId="748761D8" w14:textId="77777777" w:rsidR="009F7F8A" w:rsidRPr="00AC3044" w:rsidRDefault="009F7F8A" w:rsidP="009F7F8A">
            <w:pPr>
              <w:rPr>
                <w:rFonts w:eastAsia="SimSun"/>
              </w:rPr>
            </w:pPr>
            <w:r w:rsidRPr="00AC3044">
              <w:rPr>
                <w:rFonts w:eastAsia="SimSun"/>
              </w:rPr>
              <w:t>С -7 дня по -2 день</w:t>
            </w:r>
          </w:p>
        </w:tc>
        <w:tc>
          <w:tcPr>
            <w:tcW w:w="2552" w:type="dxa"/>
            <w:vAlign w:val="center"/>
          </w:tcPr>
          <w:p w14:paraId="08C195C1"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3947E192" w14:textId="77777777" w:rsidTr="009F7F8A">
        <w:trPr>
          <w:cantSplit/>
          <w:trHeight w:val="1207"/>
        </w:trPr>
        <w:tc>
          <w:tcPr>
            <w:tcW w:w="1135" w:type="dxa"/>
            <w:vMerge/>
            <w:vAlign w:val="center"/>
          </w:tcPr>
          <w:p w14:paraId="1F5F1590" w14:textId="77777777" w:rsidR="009F7F8A" w:rsidRPr="00AC3044" w:rsidRDefault="009F7F8A" w:rsidP="009F7F8A">
            <w:pPr>
              <w:rPr>
                <w:rFonts w:eastAsia="SimSun"/>
              </w:rPr>
            </w:pPr>
          </w:p>
        </w:tc>
        <w:tc>
          <w:tcPr>
            <w:tcW w:w="1559" w:type="dxa"/>
            <w:vAlign w:val="center"/>
          </w:tcPr>
          <w:p w14:paraId="1DCAE5F2" w14:textId="77777777" w:rsidR="009F7F8A" w:rsidRPr="00AC3044" w:rsidRDefault="009F7F8A" w:rsidP="009F7F8A">
            <w:pPr>
              <w:rPr>
                <w:rFonts w:eastAsia="SimSun"/>
              </w:rPr>
            </w:pPr>
            <w:r w:rsidRPr="00AC3044">
              <w:rPr>
                <w:rFonts w:eastAsia="SimSun"/>
              </w:rPr>
              <w:t>Мелфалан</w:t>
            </w:r>
          </w:p>
        </w:tc>
        <w:tc>
          <w:tcPr>
            <w:tcW w:w="1418" w:type="dxa"/>
            <w:vAlign w:val="center"/>
          </w:tcPr>
          <w:p w14:paraId="0BE423F9" w14:textId="77777777" w:rsidR="009F7F8A" w:rsidRPr="00AC3044" w:rsidRDefault="009F7F8A" w:rsidP="009F7F8A">
            <w:pPr>
              <w:rPr>
                <w:rFonts w:eastAsia="SimSun"/>
              </w:rPr>
            </w:pPr>
            <w:r w:rsidRPr="00AC3044">
              <w:rPr>
                <w:rFonts w:eastAsia="SimSun"/>
              </w:rPr>
              <w:t>100 мг/м</w:t>
            </w:r>
            <w:r w:rsidRPr="0074195F">
              <w:rPr>
                <w:rFonts w:eastAsia="SimSun"/>
                <w:vertAlign w:val="superscript"/>
              </w:rPr>
              <w:t>2</w:t>
            </w:r>
            <w:r w:rsidRPr="00AC3044">
              <w:rPr>
                <w:rFonts w:eastAsia="SimSun"/>
              </w:rPr>
              <w:t xml:space="preserve"> </w:t>
            </w:r>
          </w:p>
        </w:tc>
        <w:tc>
          <w:tcPr>
            <w:tcW w:w="1559" w:type="dxa"/>
            <w:vAlign w:val="center"/>
          </w:tcPr>
          <w:p w14:paraId="4A44BDA1" w14:textId="77777777" w:rsidR="009F7F8A" w:rsidRPr="00AC3044" w:rsidRDefault="009F7F8A" w:rsidP="009F7F8A">
            <w:pPr>
              <w:rPr>
                <w:rFonts w:eastAsia="SimSun"/>
              </w:rPr>
            </w:pPr>
            <w:r w:rsidRPr="00AC3044">
              <w:rPr>
                <w:rFonts w:eastAsia="SimSun"/>
              </w:rPr>
              <w:t>100 мг/м</w:t>
            </w:r>
            <w:r w:rsidRPr="0074195F">
              <w:rPr>
                <w:rFonts w:eastAsia="SimSun"/>
                <w:vertAlign w:val="superscript"/>
              </w:rPr>
              <w:t>2</w:t>
            </w:r>
          </w:p>
        </w:tc>
        <w:tc>
          <w:tcPr>
            <w:tcW w:w="1417" w:type="dxa"/>
            <w:vAlign w:val="center"/>
          </w:tcPr>
          <w:p w14:paraId="4A2BAFD7" w14:textId="77777777" w:rsidR="009F7F8A" w:rsidRPr="00AC3044" w:rsidRDefault="009F7F8A" w:rsidP="009F7F8A">
            <w:pPr>
              <w:rPr>
                <w:rFonts w:eastAsia="SimSun"/>
              </w:rPr>
            </w:pPr>
            <w:r w:rsidRPr="00AC3044">
              <w:rPr>
                <w:rFonts w:eastAsia="SimSun"/>
              </w:rPr>
              <w:t xml:space="preserve">В -2 день </w:t>
            </w:r>
          </w:p>
        </w:tc>
        <w:tc>
          <w:tcPr>
            <w:tcW w:w="2552" w:type="dxa"/>
            <w:vAlign w:val="center"/>
          </w:tcPr>
          <w:p w14:paraId="0905A998" w14:textId="77777777" w:rsidR="009F7F8A" w:rsidRPr="00AC3044" w:rsidRDefault="009F7F8A" w:rsidP="009F7F8A">
            <w:pPr>
              <w:rPr>
                <w:rFonts w:eastAsia="SimSun"/>
              </w:rPr>
            </w:pPr>
            <w:r w:rsidRPr="00AC3044">
              <w:rPr>
                <w:rFonts w:eastAsia="SimSun"/>
              </w:rPr>
              <w:t>В/в, в течение 1 часа</w:t>
            </w:r>
          </w:p>
        </w:tc>
      </w:tr>
      <w:tr w:rsidR="009F7F8A" w:rsidRPr="00AC3044" w14:paraId="6A683807" w14:textId="77777777" w:rsidTr="009F7F8A">
        <w:trPr>
          <w:cantSplit/>
          <w:trHeight w:val="606"/>
        </w:trPr>
        <w:tc>
          <w:tcPr>
            <w:tcW w:w="1135" w:type="dxa"/>
            <w:vMerge w:val="restart"/>
            <w:textDirection w:val="btLr"/>
            <w:vAlign w:val="center"/>
          </w:tcPr>
          <w:p w14:paraId="15A55E1B" w14:textId="77777777" w:rsidR="009F7F8A" w:rsidRPr="00AC3044" w:rsidRDefault="009F7F8A" w:rsidP="009F7F8A">
            <w:pPr>
              <w:rPr>
                <w:rFonts w:eastAsia="SimSun"/>
              </w:rPr>
            </w:pPr>
            <w:r w:rsidRPr="00AC3044">
              <w:rPr>
                <w:rFonts w:eastAsia="SimSun"/>
              </w:rPr>
              <w:t>Профилактика РТПХ</w:t>
            </w:r>
          </w:p>
        </w:tc>
        <w:tc>
          <w:tcPr>
            <w:tcW w:w="1559" w:type="dxa"/>
            <w:vAlign w:val="center"/>
          </w:tcPr>
          <w:p w14:paraId="0417F0E7" w14:textId="77777777" w:rsidR="009F7F8A" w:rsidRPr="00AC3044" w:rsidRDefault="009F7F8A" w:rsidP="009F7F8A">
            <w:pPr>
              <w:rPr>
                <w:rFonts w:eastAsia="SimSun"/>
              </w:rPr>
            </w:pPr>
            <w:r w:rsidRPr="00AC3044">
              <w:rPr>
                <w:rFonts w:eastAsia="SimSun"/>
              </w:rPr>
              <w:t>Циклофосфамид</w:t>
            </w:r>
          </w:p>
        </w:tc>
        <w:tc>
          <w:tcPr>
            <w:tcW w:w="1418" w:type="dxa"/>
            <w:vAlign w:val="center"/>
          </w:tcPr>
          <w:p w14:paraId="25817F26" w14:textId="77777777" w:rsidR="009F7F8A" w:rsidRPr="00AC3044" w:rsidRDefault="009F7F8A" w:rsidP="009F7F8A">
            <w:pPr>
              <w:rPr>
                <w:rFonts w:eastAsia="SimSun"/>
              </w:rPr>
            </w:pPr>
            <w:r w:rsidRPr="00AC3044">
              <w:rPr>
                <w:rFonts w:eastAsia="SimSun"/>
              </w:rPr>
              <w:t>50 мг/кг</w:t>
            </w:r>
          </w:p>
        </w:tc>
        <w:tc>
          <w:tcPr>
            <w:tcW w:w="1559" w:type="dxa"/>
            <w:vAlign w:val="center"/>
          </w:tcPr>
          <w:p w14:paraId="73F7953D" w14:textId="77777777" w:rsidR="009F7F8A" w:rsidRPr="00AC3044" w:rsidRDefault="009F7F8A" w:rsidP="009F7F8A">
            <w:pPr>
              <w:rPr>
                <w:rFonts w:eastAsia="SimSun"/>
              </w:rPr>
            </w:pPr>
            <w:r w:rsidRPr="00AC3044">
              <w:rPr>
                <w:rFonts w:eastAsia="SimSun"/>
              </w:rPr>
              <w:t>100 мг/кг</w:t>
            </w:r>
          </w:p>
        </w:tc>
        <w:tc>
          <w:tcPr>
            <w:tcW w:w="1417" w:type="dxa"/>
            <w:vAlign w:val="center"/>
          </w:tcPr>
          <w:p w14:paraId="7C254D74" w14:textId="77777777" w:rsidR="009F7F8A" w:rsidRPr="00AC3044" w:rsidRDefault="009F7F8A" w:rsidP="009F7F8A">
            <w:pPr>
              <w:rPr>
                <w:rFonts w:eastAsia="SimSun"/>
              </w:rPr>
            </w:pPr>
            <w:r w:rsidRPr="00AC3044">
              <w:rPr>
                <w:rFonts w:eastAsia="SimSun"/>
              </w:rPr>
              <w:t xml:space="preserve">+3,+4 дни </w:t>
            </w:r>
          </w:p>
        </w:tc>
        <w:tc>
          <w:tcPr>
            <w:tcW w:w="2552" w:type="dxa"/>
            <w:vAlign w:val="center"/>
          </w:tcPr>
          <w:p w14:paraId="3E194491"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2ADB9952" w14:textId="77777777" w:rsidTr="009F7F8A">
        <w:trPr>
          <w:cantSplit/>
          <w:trHeight w:val="958"/>
        </w:trPr>
        <w:tc>
          <w:tcPr>
            <w:tcW w:w="1135" w:type="dxa"/>
            <w:vMerge/>
            <w:textDirection w:val="btLr"/>
            <w:vAlign w:val="center"/>
          </w:tcPr>
          <w:p w14:paraId="3B3A5E14" w14:textId="77777777" w:rsidR="009F7F8A" w:rsidRPr="00AC3044" w:rsidRDefault="009F7F8A" w:rsidP="009F7F8A">
            <w:pPr>
              <w:rPr>
                <w:rFonts w:eastAsia="SimSun"/>
              </w:rPr>
            </w:pPr>
          </w:p>
        </w:tc>
        <w:tc>
          <w:tcPr>
            <w:tcW w:w="1559" w:type="dxa"/>
            <w:vAlign w:val="center"/>
          </w:tcPr>
          <w:p w14:paraId="4937F091" w14:textId="77777777" w:rsidR="009F7F8A" w:rsidRPr="00AC3044" w:rsidRDefault="009F7F8A" w:rsidP="009F7F8A">
            <w:pPr>
              <w:rPr>
                <w:rFonts w:eastAsia="SimSun"/>
              </w:rPr>
            </w:pPr>
            <w:r w:rsidRPr="00AC3044">
              <w:rPr>
                <w:rFonts w:eastAsia="SimSun"/>
              </w:rPr>
              <w:t xml:space="preserve">Такролимус </w:t>
            </w:r>
          </w:p>
        </w:tc>
        <w:tc>
          <w:tcPr>
            <w:tcW w:w="1418" w:type="dxa"/>
            <w:vAlign w:val="center"/>
          </w:tcPr>
          <w:p w14:paraId="0214D993" w14:textId="77777777" w:rsidR="009F7F8A" w:rsidRPr="00AC3044" w:rsidRDefault="009F7F8A" w:rsidP="009F7F8A">
            <w:pPr>
              <w:rPr>
                <w:rFonts w:eastAsia="SimSun"/>
              </w:rPr>
            </w:pPr>
            <w:r w:rsidRPr="00AC3044">
              <w:rPr>
                <w:rFonts w:eastAsia="SimSun"/>
              </w:rPr>
              <w:t>0,03 мг/кг</w:t>
            </w:r>
          </w:p>
        </w:tc>
        <w:tc>
          <w:tcPr>
            <w:tcW w:w="1559" w:type="dxa"/>
            <w:vAlign w:val="center"/>
          </w:tcPr>
          <w:p w14:paraId="74EB8948" w14:textId="77777777" w:rsidR="009F7F8A" w:rsidRPr="00AC3044" w:rsidRDefault="009F7F8A" w:rsidP="009F7F8A">
            <w:pPr>
              <w:rPr>
                <w:rFonts w:eastAsia="SimSun"/>
              </w:rPr>
            </w:pPr>
            <w:r w:rsidRPr="00AC3044">
              <w:rPr>
                <w:rFonts w:eastAsia="SimSun"/>
              </w:rPr>
              <w:t>–</w:t>
            </w:r>
          </w:p>
        </w:tc>
        <w:tc>
          <w:tcPr>
            <w:tcW w:w="1417" w:type="dxa"/>
            <w:vAlign w:val="center"/>
          </w:tcPr>
          <w:p w14:paraId="0AFE87CC" w14:textId="77777777" w:rsidR="009F7F8A" w:rsidRPr="00AC3044" w:rsidRDefault="009F7F8A" w:rsidP="009F7F8A">
            <w:pPr>
              <w:rPr>
                <w:rFonts w:eastAsia="SimSun"/>
              </w:rPr>
            </w:pPr>
            <w:r w:rsidRPr="00AC3044">
              <w:rPr>
                <w:rFonts w:eastAsia="SimSun"/>
              </w:rPr>
              <w:t xml:space="preserve">С -1 дня длительно </w:t>
            </w:r>
          </w:p>
        </w:tc>
        <w:tc>
          <w:tcPr>
            <w:tcW w:w="2552" w:type="dxa"/>
            <w:vAlign w:val="center"/>
          </w:tcPr>
          <w:p w14:paraId="61AC523B" w14:textId="77777777" w:rsidR="009F7F8A" w:rsidRPr="00AC3044" w:rsidRDefault="009F7F8A" w:rsidP="009F7F8A">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F7F8A" w:rsidRPr="00AC3044" w14:paraId="0589C251" w14:textId="77777777" w:rsidTr="009F7F8A">
        <w:trPr>
          <w:cantSplit/>
          <w:trHeight w:val="386"/>
        </w:trPr>
        <w:tc>
          <w:tcPr>
            <w:tcW w:w="1135" w:type="dxa"/>
            <w:vMerge/>
            <w:textDirection w:val="btLr"/>
            <w:vAlign w:val="center"/>
          </w:tcPr>
          <w:p w14:paraId="4595AA3E" w14:textId="77777777" w:rsidR="009F7F8A" w:rsidRPr="00AC3044" w:rsidRDefault="009F7F8A" w:rsidP="009F7F8A">
            <w:pPr>
              <w:rPr>
                <w:rFonts w:eastAsia="SimSun"/>
              </w:rPr>
            </w:pPr>
          </w:p>
        </w:tc>
        <w:tc>
          <w:tcPr>
            <w:tcW w:w="1559" w:type="dxa"/>
            <w:vAlign w:val="center"/>
          </w:tcPr>
          <w:p w14:paraId="19B0E2FE" w14:textId="77777777" w:rsidR="009F7F8A" w:rsidRPr="00AC3044" w:rsidRDefault="009F7F8A" w:rsidP="009F7F8A">
            <w:pPr>
              <w:rPr>
                <w:rFonts w:eastAsia="SimSun"/>
              </w:rPr>
            </w:pPr>
            <w:r w:rsidRPr="00AC3044">
              <w:rPr>
                <w:rFonts w:eastAsia="SimSun"/>
              </w:rPr>
              <w:t>Микофенолата мофетил</w:t>
            </w:r>
          </w:p>
        </w:tc>
        <w:tc>
          <w:tcPr>
            <w:tcW w:w="1418" w:type="dxa"/>
            <w:vAlign w:val="center"/>
          </w:tcPr>
          <w:p w14:paraId="3200F547" w14:textId="77777777" w:rsidR="009F7F8A" w:rsidRPr="00AC3044" w:rsidRDefault="009F7F8A" w:rsidP="009F7F8A">
            <w:pPr>
              <w:rPr>
                <w:rFonts w:eastAsia="SimSun"/>
              </w:rPr>
            </w:pPr>
            <w:r w:rsidRPr="00AC3044">
              <w:rPr>
                <w:rFonts w:eastAsia="SimSun"/>
              </w:rPr>
              <w:t xml:space="preserve">30 мг/кг </w:t>
            </w:r>
          </w:p>
        </w:tc>
        <w:tc>
          <w:tcPr>
            <w:tcW w:w="1559" w:type="dxa"/>
            <w:vAlign w:val="center"/>
          </w:tcPr>
          <w:p w14:paraId="69CE77D0" w14:textId="77777777" w:rsidR="009F7F8A" w:rsidRPr="00AC3044" w:rsidRDefault="009F7F8A" w:rsidP="009F7F8A">
            <w:pPr>
              <w:rPr>
                <w:rFonts w:eastAsia="SimSun"/>
              </w:rPr>
            </w:pPr>
            <w:r w:rsidRPr="00AC3044">
              <w:rPr>
                <w:rFonts w:eastAsia="SimSun"/>
              </w:rPr>
              <w:t>–</w:t>
            </w:r>
          </w:p>
        </w:tc>
        <w:tc>
          <w:tcPr>
            <w:tcW w:w="1417" w:type="dxa"/>
            <w:vAlign w:val="center"/>
          </w:tcPr>
          <w:p w14:paraId="30D74A4B" w14:textId="77777777" w:rsidR="009F7F8A" w:rsidRPr="00AC3044" w:rsidRDefault="009F7F8A" w:rsidP="009F7F8A">
            <w:pPr>
              <w:rPr>
                <w:rFonts w:eastAsia="SimSun"/>
              </w:rPr>
            </w:pPr>
            <w:r w:rsidRPr="00AC3044">
              <w:rPr>
                <w:rFonts w:eastAsia="SimSun"/>
              </w:rPr>
              <w:t xml:space="preserve">С -1 дня по +30 день </w:t>
            </w:r>
          </w:p>
        </w:tc>
        <w:tc>
          <w:tcPr>
            <w:tcW w:w="2552" w:type="dxa"/>
            <w:vAlign w:val="center"/>
          </w:tcPr>
          <w:p w14:paraId="4E49F005" w14:textId="77777777" w:rsidR="009F7F8A" w:rsidRPr="00AC3044" w:rsidRDefault="009F7F8A" w:rsidP="009F7F8A">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10F05061" w14:textId="77777777" w:rsidR="009F7F8A" w:rsidRPr="00C07B2E" w:rsidRDefault="009F7F8A" w:rsidP="009F7F8A">
      <w:pPr>
        <w:rPr>
          <w:rFonts w:eastAsia="SimSun"/>
        </w:rPr>
      </w:pPr>
    </w:p>
    <w:p w14:paraId="6E48607E" w14:textId="77777777" w:rsidR="009F7F8A" w:rsidRPr="000F445E" w:rsidRDefault="009F7F8A" w:rsidP="009F7F8A">
      <w:pPr>
        <w:rPr>
          <w:rFonts w:eastAsia="SimSun"/>
          <w:i/>
          <w:u w:val="single"/>
        </w:rPr>
      </w:pPr>
      <w:bookmarkStart w:id="204" w:name="_Toc44401240"/>
      <w:r w:rsidRPr="000F445E">
        <w:rPr>
          <w:rFonts w:eastAsia="SimSun"/>
          <w:i/>
          <w:u w:val="single"/>
        </w:rPr>
        <w:t>4.  Алло-ТГСК с использованием манипулированных  трансплантатов (ex vivo Т-клеточная деплеция, позитивная CD34+ селекция)</w:t>
      </w:r>
      <w:bookmarkEnd w:id="204"/>
      <w:r w:rsidRPr="000F445E">
        <w:rPr>
          <w:rFonts w:eastAsia="SimSun"/>
          <w:i/>
          <w:u w:val="single"/>
        </w:rPr>
        <w:t xml:space="preserve"> </w:t>
      </w:r>
    </w:p>
    <w:p w14:paraId="69AAB802" w14:textId="77777777" w:rsidR="009F7F8A" w:rsidRDefault="009F7F8A" w:rsidP="009F7F8A">
      <w:pPr>
        <w:rPr>
          <w:rFonts w:eastAsia="SimSun"/>
        </w:rPr>
      </w:pPr>
      <w:bookmarkStart w:id="205" w:name="_Toc44401242"/>
    </w:p>
    <w:bookmarkEnd w:id="205"/>
    <w:p w14:paraId="556216D7" w14:textId="77777777" w:rsidR="009F7F8A" w:rsidRPr="00C07B2E" w:rsidRDefault="009F7F8A" w:rsidP="009F7F8A">
      <w:pPr>
        <w:rPr>
          <w:rFonts w:eastAsia="SimSun"/>
        </w:rPr>
      </w:pPr>
      <w:r w:rsidRPr="00C07B2E">
        <w:rPr>
          <w:rFonts w:eastAsia="SimSun"/>
        </w:rPr>
        <w:t xml:space="preserve">Схема и режим применения препаратов для кондиционирования и профилактики РТПХ приведены в </w:t>
      </w:r>
      <w:r>
        <w:rPr>
          <w:rFonts w:eastAsia="SimSun"/>
        </w:rPr>
        <w:t>Таблицах</w:t>
      </w:r>
      <w:r w:rsidRPr="00C07B2E">
        <w:rPr>
          <w:rFonts w:eastAsia="SimSun"/>
        </w:rPr>
        <w:t xml:space="preserve"> </w:t>
      </w:r>
      <w:r>
        <w:rPr>
          <w:rFonts w:eastAsia="SimSun"/>
        </w:rPr>
        <w:t>5.</w:t>
      </w:r>
      <w:r w:rsidRPr="00C07B2E">
        <w:rPr>
          <w:rFonts w:eastAsia="SimSun"/>
        </w:rPr>
        <w:t xml:space="preserve">4.1, </w:t>
      </w:r>
      <w:r>
        <w:rPr>
          <w:rFonts w:eastAsia="SimSun"/>
        </w:rPr>
        <w:t>5.</w:t>
      </w:r>
      <w:r w:rsidRPr="00C07B2E">
        <w:rPr>
          <w:rFonts w:eastAsia="SimSun"/>
        </w:rPr>
        <w:t xml:space="preserve">4.2 и </w:t>
      </w:r>
      <w:r>
        <w:rPr>
          <w:rFonts w:eastAsia="SimSun"/>
        </w:rPr>
        <w:t>5.</w:t>
      </w:r>
      <w:r w:rsidRPr="00C07B2E">
        <w:rPr>
          <w:rFonts w:eastAsia="SimSun"/>
        </w:rPr>
        <w:t xml:space="preserve">4.3. </w:t>
      </w:r>
    </w:p>
    <w:p w14:paraId="2F132873" w14:textId="77777777" w:rsidR="009F7F8A" w:rsidRDefault="009F7F8A" w:rsidP="009F7F8A">
      <w:pPr>
        <w:rPr>
          <w:rFonts w:eastAsia="SimSun"/>
        </w:rPr>
      </w:pPr>
      <w:bookmarkStart w:id="206" w:name="_Toc44401243"/>
    </w:p>
    <w:p w14:paraId="0D037E4D" w14:textId="77777777" w:rsidR="009F7F8A" w:rsidRPr="00EE51B1" w:rsidRDefault="009F7F8A" w:rsidP="009F7F8A">
      <w:pPr>
        <w:rPr>
          <w:rFonts w:eastAsia="SimSun"/>
          <w:lang w:val="en-US"/>
        </w:rPr>
      </w:pPr>
      <w:r>
        <w:rPr>
          <w:rFonts w:eastAsia="SimSun"/>
        </w:rPr>
        <w:t>Таблица</w:t>
      </w:r>
      <w:r w:rsidRPr="00EE51B1">
        <w:rPr>
          <w:rFonts w:eastAsia="SimSun"/>
          <w:lang w:val="en-US"/>
        </w:rPr>
        <w:t xml:space="preserve"> </w:t>
      </w:r>
      <w:r>
        <w:rPr>
          <w:rFonts w:eastAsia="SimSun"/>
          <w:lang w:val="en-US"/>
        </w:rPr>
        <w:t>5.</w:t>
      </w:r>
      <w:r w:rsidRPr="00EE51B1">
        <w:rPr>
          <w:rFonts w:eastAsia="SimSun"/>
          <w:lang w:val="en-US"/>
        </w:rPr>
        <w:t xml:space="preserve">4.1  – </w:t>
      </w:r>
      <w:r w:rsidRPr="009F7F8A">
        <w:rPr>
          <w:rFonts w:eastAsia="SimSun"/>
          <w:lang w:val="en-US"/>
        </w:rPr>
        <w:t>Flu</w:t>
      </w:r>
      <w:r w:rsidRPr="00EE51B1">
        <w:rPr>
          <w:rFonts w:eastAsia="SimSun"/>
          <w:lang w:val="en-US"/>
        </w:rPr>
        <w:t>150+</w:t>
      </w:r>
      <w:r w:rsidRPr="009F7F8A">
        <w:rPr>
          <w:rFonts w:eastAsia="SimSun"/>
          <w:lang w:val="en-US"/>
        </w:rPr>
        <w:t>Treo</w:t>
      </w:r>
      <w:r w:rsidRPr="00EE51B1">
        <w:rPr>
          <w:rFonts w:eastAsia="SimSun"/>
          <w:lang w:val="en-US"/>
        </w:rPr>
        <w:t>42+</w:t>
      </w:r>
      <w:r w:rsidRPr="009F7F8A">
        <w:rPr>
          <w:rFonts w:eastAsia="SimSun"/>
          <w:lang w:val="en-US"/>
        </w:rPr>
        <w:t>Thio</w:t>
      </w:r>
      <w:r w:rsidRPr="00EE51B1">
        <w:rPr>
          <w:rFonts w:eastAsia="SimSun"/>
          <w:lang w:val="en-US"/>
        </w:rPr>
        <w:t xml:space="preserve"> / </w:t>
      </w:r>
      <w:r w:rsidRPr="009F7F8A">
        <w:rPr>
          <w:rFonts w:eastAsia="SimSun"/>
          <w:lang w:val="en-US"/>
        </w:rPr>
        <w:t>TCR</w:t>
      </w:r>
      <w:r w:rsidRPr="00C07B2E">
        <w:rPr>
          <w:rFonts w:eastAsia="SimSun"/>
        </w:rPr>
        <w:t>αβ</w:t>
      </w:r>
      <w:r w:rsidRPr="00EE51B1">
        <w:rPr>
          <w:rFonts w:eastAsia="SimSun"/>
          <w:lang w:val="en-US"/>
        </w:rPr>
        <w:t>-</w:t>
      </w:r>
      <w:r w:rsidRPr="009F7F8A">
        <w:rPr>
          <w:rFonts w:eastAsia="SimSun"/>
          <w:lang w:val="en-US"/>
        </w:rPr>
        <w:t>CD</w:t>
      </w:r>
      <w:r w:rsidRPr="00EE51B1">
        <w:rPr>
          <w:rFonts w:eastAsia="SimSun"/>
          <w:lang w:val="en-US"/>
        </w:rPr>
        <w:t>19</w:t>
      </w:r>
      <w:bookmarkEnd w:id="206"/>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268"/>
        <w:gridCol w:w="1276"/>
        <w:gridCol w:w="1417"/>
        <w:gridCol w:w="1843"/>
        <w:gridCol w:w="2835"/>
      </w:tblGrid>
      <w:tr w:rsidR="009F7F8A" w:rsidRPr="00AC3044" w14:paraId="16478383" w14:textId="77777777" w:rsidTr="009F7F8A">
        <w:trPr>
          <w:cantSplit/>
          <w:trHeight w:val="20"/>
          <w:tblHeader/>
        </w:trPr>
        <w:tc>
          <w:tcPr>
            <w:tcW w:w="851" w:type="dxa"/>
          </w:tcPr>
          <w:p w14:paraId="5A10FE21" w14:textId="77777777" w:rsidR="009F7F8A" w:rsidRPr="000F445E" w:rsidRDefault="009F7F8A" w:rsidP="009F7F8A">
            <w:pPr>
              <w:rPr>
                <w:rFonts w:eastAsia="SimSun"/>
                <w:lang w:val="en-US"/>
              </w:rPr>
            </w:pPr>
          </w:p>
        </w:tc>
        <w:tc>
          <w:tcPr>
            <w:tcW w:w="2268" w:type="dxa"/>
            <w:vAlign w:val="center"/>
          </w:tcPr>
          <w:p w14:paraId="58F20DA1" w14:textId="77777777" w:rsidR="009F7F8A" w:rsidRPr="00AC3044" w:rsidRDefault="009F7F8A" w:rsidP="009F7F8A">
            <w:pPr>
              <w:rPr>
                <w:rFonts w:eastAsia="SimSun"/>
              </w:rPr>
            </w:pPr>
            <w:r w:rsidRPr="00AC3044">
              <w:rPr>
                <w:rFonts w:eastAsia="SimSun"/>
              </w:rPr>
              <w:t>Препарат</w:t>
            </w:r>
          </w:p>
        </w:tc>
        <w:tc>
          <w:tcPr>
            <w:tcW w:w="1276" w:type="dxa"/>
            <w:vAlign w:val="center"/>
          </w:tcPr>
          <w:p w14:paraId="5901CAEE" w14:textId="77777777" w:rsidR="009F7F8A" w:rsidRPr="00AC3044" w:rsidRDefault="009F7F8A" w:rsidP="009F7F8A">
            <w:pPr>
              <w:rPr>
                <w:rFonts w:eastAsia="SimSun"/>
              </w:rPr>
            </w:pPr>
            <w:r w:rsidRPr="00AC3044">
              <w:rPr>
                <w:rFonts w:eastAsia="SimSun"/>
              </w:rPr>
              <w:t>Суточная доза</w:t>
            </w:r>
          </w:p>
        </w:tc>
        <w:tc>
          <w:tcPr>
            <w:tcW w:w="1417" w:type="dxa"/>
            <w:vAlign w:val="center"/>
          </w:tcPr>
          <w:p w14:paraId="34D2E673" w14:textId="77777777" w:rsidR="009F7F8A" w:rsidRPr="00AC3044" w:rsidRDefault="009F7F8A" w:rsidP="009F7F8A">
            <w:pPr>
              <w:rPr>
                <w:rFonts w:eastAsia="SimSun"/>
              </w:rPr>
            </w:pPr>
            <w:r w:rsidRPr="00AC3044">
              <w:rPr>
                <w:rFonts w:eastAsia="SimSun"/>
              </w:rPr>
              <w:t>Курсовая доза</w:t>
            </w:r>
          </w:p>
        </w:tc>
        <w:tc>
          <w:tcPr>
            <w:tcW w:w="1843" w:type="dxa"/>
            <w:vAlign w:val="center"/>
          </w:tcPr>
          <w:p w14:paraId="19DFA963" w14:textId="77777777" w:rsidR="009F7F8A" w:rsidRPr="00AC3044" w:rsidRDefault="009F7F8A" w:rsidP="009F7F8A">
            <w:pPr>
              <w:rPr>
                <w:rFonts w:eastAsia="SimSun"/>
              </w:rPr>
            </w:pPr>
            <w:r w:rsidRPr="00AC3044">
              <w:rPr>
                <w:rFonts w:eastAsia="SimSun"/>
              </w:rPr>
              <w:t>Дни введения</w:t>
            </w:r>
          </w:p>
        </w:tc>
        <w:tc>
          <w:tcPr>
            <w:tcW w:w="2835" w:type="dxa"/>
            <w:vAlign w:val="center"/>
          </w:tcPr>
          <w:p w14:paraId="34720C1D"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4EDD896E" w14:textId="77777777" w:rsidTr="009F7F8A">
        <w:trPr>
          <w:cantSplit/>
          <w:trHeight w:val="20"/>
        </w:trPr>
        <w:tc>
          <w:tcPr>
            <w:tcW w:w="851" w:type="dxa"/>
            <w:vMerge w:val="restart"/>
            <w:textDirection w:val="btLr"/>
            <w:vAlign w:val="center"/>
          </w:tcPr>
          <w:p w14:paraId="508CFD4C" w14:textId="77777777" w:rsidR="009F7F8A" w:rsidRPr="00AC3044" w:rsidRDefault="009F7F8A" w:rsidP="009F7F8A">
            <w:pPr>
              <w:rPr>
                <w:rFonts w:eastAsia="SimSun"/>
              </w:rPr>
            </w:pPr>
            <w:r w:rsidRPr="00AC3044">
              <w:rPr>
                <w:rFonts w:eastAsia="SimSun"/>
              </w:rPr>
              <w:t>Кондиционирование</w:t>
            </w:r>
          </w:p>
        </w:tc>
        <w:tc>
          <w:tcPr>
            <w:tcW w:w="2268" w:type="dxa"/>
            <w:vAlign w:val="center"/>
          </w:tcPr>
          <w:p w14:paraId="4BDE3C1A" w14:textId="77777777" w:rsidR="009F7F8A" w:rsidRPr="00AC3044" w:rsidRDefault="009F7F8A" w:rsidP="009F7F8A">
            <w:pPr>
              <w:rPr>
                <w:rFonts w:eastAsia="SimSun"/>
              </w:rPr>
            </w:pPr>
            <w:r w:rsidRPr="00AC3044">
              <w:rPr>
                <w:rFonts w:eastAsia="SimSun"/>
              </w:rPr>
              <w:t>Треосульфан</w:t>
            </w:r>
          </w:p>
        </w:tc>
        <w:tc>
          <w:tcPr>
            <w:tcW w:w="1276" w:type="dxa"/>
            <w:vAlign w:val="center"/>
          </w:tcPr>
          <w:p w14:paraId="27B49613" w14:textId="77777777" w:rsidR="009F7F8A" w:rsidRPr="00AC3044" w:rsidRDefault="009F7F8A" w:rsidP="009F7F8A">
            <w:pPr>
              <w:rPr>
                <w:rFonts w:eastAsia="SimSun"/>
              </w:rPr>
            </w:pPr>
            <w:r w:rsidRPr="00AC3044">
              <w:rPr>
                <w:rFonts w:eastAsia="SimSun"/>
              </w:rPr>
              <w:t>14 г/м</w:t>
            </w:r>
            <w:r w:rsidRPr="0074195F">
              <w:rPr>
                <w:rFonts w:eastAsia="SimSun"/>
                <w:vertAlign w:val="superscript"/>
              </w:rPr>
              <w:t>2</w:t>
            </w:r>
          </w:p>
        </w:tc>
        <w:tc>
          <w:tcPr>
            <w:tcW w:w="1417" w:type="dxa"/>
            <w:vAlign w:val="center"/>
          </w:tcPr>
          <w:p w14:paraId="55EE2E91" w14:textId="77777777" w:rsidR="009F7F8A" w:rsidRPr="00AC3044" w:rsidRDefault="009F7F8A" w:rsidP="009F7F8A">
            <w:pPr>
              <w:rPr>
                <w:rFonts w:eastAsia="SimSun"/>
              </w:rPr>
            </w:pPr>
            <w:r w:rsidRPr="00AC3044">
              <w:rPr>
                <w:rFonts w:eastAsia="SimSun"/>
              </w:rPr>
              <w:t>42 г/м</w:t>
            </w:r>
            <w:r w:rsidRPr="0074195F">
              <w:rPr>
                <w:rFonts w:eastAsia="SimSun"/>
                <w:vertAlign w:val="superscript"/>
              </w:rPr>
              <w:t>2</w:t>
            </w:r>
          </w:p>
        </w:tc>
        <w:tc>
          <w:tcPr>
            <w:tcW w:w="1843" w:type="dxa"/>
            <w:vAlign w:val="center"/>
          </w:tcPr>
          <w:p w14:paraId="2D7D5E72" w14:textId="77777777" w:rsidR="009F7F8A" w:rsidRPr="00AC3044" w:rsidRDefault="009F7F8A" w:rsidP="009F7F8A">
            <w:pPr>
              <w:rPr>
                <w:rFonts w:eastAsia="SimSun"/>
              </w:rPr>
            </w:pPr>
            <w:r w:rsidRPr="00AC3044">
              <w:rPr>
                <w:rFonts w:eastAsia="SimSun"/>
              </w:rPr>
              <w:t>–5,–4,–3</w:t>
            </w:r>
          </w:p>
        </w:tc>
        <w:tc>
          <w:tcPr>
            <w:tcW w:w="2835" w:type="dxa"/>
            <w:vAlign w:val="center"/>
          </w:tcPr>
          <w:p w14:paraId="3D9D193A"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44098A06" w14:textId="77777777" w:rsidTr="009F7F8A">
        <w:trPr>
          <w:cantSplit/>
          <w:trHeight w:val="457"/>
        </w:trPr>
        <w:tc>
          <w:tcPr>
            <w:tcW w:w="851" w:type="dxa"/>
            <w:vMerge/>
            <w:textDirection w:val="btLr"/>
            <w:vAlign w:val="center"/>
          </w:tcPr>
          <w:p w14:paraId="23EE261E" w14:textId="77777777" w:rsidR="009F7F8A" w:rsidRPr="00AC3044" w:rsidRDefault="009F7F8A" w:rsidP="009F7F8A">
            <w:pPr>
              <w:rPr>
                <w:rFonts w:eastAsia="SimSun"/>
              </w:rPr>
            </w:pPr>
          </w:p>
        </w:tc>
        <w:tc>
          <w:tcPr>
            <w:tcW w:w="2268" w:type="dxa"/>
            <w:vAlign w:val="center"/>
          </w:tcPr>
          <w:p w14:paraId="0239089F" w14:textId="77777777" w:rsidR="009F7F8A" w:rsidRPr="00AC3044" w:rsidRDefault="009F7F8A" w:rsidP="009F7F8A">
            <w:pPr>
              <w:rPr>
                <w:rFonts w:eastAsia="SimSun"/>
              </w:rPr>
            </w:pPr>
            <w:r w:rsidRPr="00AC3044">
              <w:rPr>
                <w:rFonts w:eastAsia="SimSun"/>
              </w:rPr>
              <w:t>Тиотепа</w:t>
            </w:r>
          </w:p>
        </w:tc>
        <w:tc>
          <w:tcPr>
            <w:tcW w:w="1276" w:type="dxa"/>
            <w:vAlign w:val="center"/>
          </w:tcPr>
          <w:p w14:paraId="610C6652" w14:textId="77777777" w:rsidR="009F7F8A" w:rsidRPr="00AC3044" w:rsidRDefault="009F7F8A" w:rsidP="009F7F8A">
            <w:pPr>
              <w:rPr>
                <w:rFonts w:eastAsia="SimSun"/>
              </w:rPr>
            </w:pPr>
            <w:r w:rsidRPr="00AC3044">
              <w:rPr>
                <w:rFonts w:eastAsia="SimSun"/>
              </w:rPr>
              <w:t xml:space="preserve">5мг/кг </w:t>
            </w:r>
          </w:p>
        </w:tc>
        <w:tc>
          <w:tcPr>
            <w:tcW w:w="1417" w:type="dxa"/>
            <w:vAlign w:val="center"/>
          </w:tcPr>
          <w:p w14:paraId="33BE383A" w14:textId="77777777" w:rsidR="009F7F8A" w:rsidRPr="00AC3044" w:rsidRDefault="009F7F8A" w:rsidP="009F7F8A">
            <w:pPr>
              <w:rPr>
                <w:rFonts w:eastAsia="SimSun"/>
              </w:rPr>
            </w:pPr>
            <w:r w:rsidRPr="00AC3044">
              <w:rPr>
                <w:rFonts w:eastAsia="SimSun"/>
              </w:rPr>
              <w:t>10 мг/кг</w:t>
            </w:r>
          </w:p>
        </w:tc>
        <w:tc>
          <w:tcPr>
            <w:tcW w:w="1843" w:type="dxa"/>
            <w:vAlign w:val="center"/>
          </w:tcPr>
          <w:p w14:paraId="237FCAC9" w14:textId="77777777" w:rsidR="009F7F8A" w:rsidRPr="00AC3044" w:rsidRDefault="009F7F8A" w:rsidP="009F7F8A">
            <w:pPr>
              <w:rPr>
                <w:rFonts w:eastAsia="SimSun"/>
              </w:rPr>
            </w:pPr>
            <w:r w:rsidRPr="00AC3044">
              <w:rPr>
                <w:rFonts w:eastAsia="SimSun"/>
              </w:rPr>
              <w:t>–6,–5</w:t>
            </w:r>
          </w:p>
        </w:tc>
        <w:tc>
          <w:tcPr>
            <w:tcW w:w="2835" w:type="dxa"/>
            <w:vAlign w:val="center"/>
          </w:tcPr>
          <w:p w14:paraId="78933FF5"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22AB0785" w14:textId="77777777" w:rsidTr="009F7F8A">
        <w:trPr>
          <w:cantSplit/>
          <w:trHeight w:val="262"/>
        </w:trPr>
        <w:tc>
          <w:tcPr>
            <w:tcW w:w="851" w:type="dxa"/>
            <w:vMerge/>
            <w:textDirection w:val="btLr"/>
            <w:vAlign w:val="center"/>
          </w:tcPr>
          <w:p w14:paraId="3D00D0F0" w14:textId="77777777" w:rsidR="009F7F8A" w:rsidRPr="00AC3044" w:rsidRDefault="009F7F8A" w:rsidP="009F7F8A">
            <w:pPr>
              <w:rPr>
                <w:rFonts w:eastAsia="SimSun"/>
              </w:rPr>
            </w:pPr>
          </w:p>
        </w:tc>
        <w:tc>
          <w:tcPr>
            <w:tcW w:w="2268" w:type="dxa"/>
            <w:vAlign w:val="center"/>
          </w:tcPr>
          <w:p w14:paraId="635C48F9" w14:textId="77777777" w:rsidR="009F7F8A" w:rsidRPr="00AC3044" w:rsidRDefault="009F7F8A" w:rsidP="009F7F8A">
            <w:pPr>
              <w:rPr>
                <w:rFonts w:eastAsia="SimSun"/>
              </w:rPr>
            </w:pPr>
            <w:r w:rsidRPr="00AC3044">
              <w:rPr>
                <w:rFonts w:eastAsia="SimSun"/>
              </w:rPr>
              <w:t>Флударабин</w:t>
            </w:r>
          </w:p>
        </w:tc>
        <w:tc>
          <w:tcPr>
            <w:tcW w:w="1276" w:type="dxa"/>
            <w:vAlign w:val="center"/>
          </w:tcPr>
          <w:p w14:paraId="666864BA"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7" w:type="dxa"/>
            <w:vAlign w:val="center"/>
          </w:tcPr>
          <w:p w14:paraId="4DED1F77" w14:textId="77777777" w:rsidR="009F7F8A" w:rsidRPr="00AC3044" w:rsidRDefault="009F7F8A" w:rsidP="009F7F8A">
            <w:pPr>
              <w:rPr>
                <w:rFonts w:eastAsia="SimSun"/>
              </w:rPr>
            </w:pPr>
            <w:r w:rsidRPr="00AC3044">
              <w:rPr>
                <w:rFonts w:eastAsia="SimSun"/>
              </w:rPr>
              <w:t>150 мг/м</w:t>
            </w:r>
            <w:r w:rsidRPr="0074195F">
              <w:rPr>
                <w:rFonts w:eastAsia="SimSun"/>
                <w:vertAlign w:val="superscript"/>
              </w:rPr>
              <w:t>2</w:t>
            </w:r>
          </w:p>
        </w:tc>
        <w:tc>
          <w:tcPr>
            <w:tcW w:w="1843" w:type="dxa"/>
            <w:vAlign w:val="center"/>
          </w:tcPr>
          <w:p w14:paraId="1CDD07A7" w14:textId="77777777" w:rsidR="009F7F8A" w:rsidRPr="00AC3044" w:rsidRDefault="009F7F8A" w:rsidP="009F7F8A">
            <w:pPr>
              <w:rPr>
                <w:rFonts w:eastAsia="SimSun"/>
              </w:rPr>
            </w:pPr>
            <w:r w:rsidRPr="00AC3044">
              <w:rPr>
                <w:rFonts w:eastAsia="SimSun"/>
              </w:rPr>
              <w:t>–6,–5,–4, –3, –2</w:t>
            </w:r>
          </w:p>
        </w:tc>
        <w:tc>
          <w:tcPr>
            <w:tcW w:w="2835" w:type="dxa"/>
            <w:vAlign w:val="center"/>
          </w:tcPr>
          <w:p w14:paraId="667B48F7"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43474062" w14:textId="77777777" w:rsidTr="009F7F8A">
        <w:trPr>
          <w:cantSplit/>
          <w:trHeight w:val="388"/>
        </w:trPr>
        <w:tc>
          <w:tcPr>
            <w:tcW w:w="851" w:type="dxa"/>
            <w:vMerge w:val="restart"/>
            <w:textDirection w:val="btLr"/>
            <w:vAlign w:val="center"/>
          </w:tcPr>
          <w:p w14:paraId="164C405A" w14:textId="77777777" w:rsidR="009F7F8A" w:rsidRPr="00AC3044" w:rsidRDefault="009F7F8A" w:rsidP="009F7F8A">
            <w:pPr>
              <w:rPr>
                <w:rFonts w:eastAsia="SimSun"/>
              </w:rPr>
            </w:pPr>
            <w:r w:rsidRPr="00AC3044">
              <w:rPr>
                <w:rFonts w:eastAsia="SimSun"/>
              </w:rPr>
              <w:t>Профилактика РТПХ</w:t>
            </w:r>
          </w:p>
        </w:tc>
        <w:tc>
          <w:tcPr>
            <w:tcW w:w="2268" w:type="dxa"/>
            <w:vAlign w:val="center"/>
          </w:tcPr>
          <w:p w14:paraId="064D77AB" w14:textId="77777777" w:rsidR="009F7F8A" w:rsidRPr="00AC3044" w:rsidRDefault="009F7F8A" w:rsidP="009F7F8A">
            <w:pPr>
              <w:rPr>
                <w:rFonts w:eastAsia="SimSun"/>
              </w:rPr>
            </w:pPr>
            <w:r w:rsidRPr="00AC3044">
              <w:rPr>
                <w:rFonts w:eastAsia="SimSun"/>
              </w:rPr>
              <w:t>Ритуксимаб</w:t>
            </w:r>
          </w:p>
        </w:tc>
        <w:tc>
          <w:tcPr>
            <w:tcW w:w="1276" w:type="dxa"/>
            <w:vAlign w:val="center"/>
          </w:tcPr>
          <w:p w14:paraId="64F48CB9" w14:textId="77777777" w:rsidR="009F7F8A" w:rsidRPr="00AC3044" w:rsidRDefault="009F7F8A" w:rsidP="009F7F8A">
            <w:pPr>
              <w:rPr>
                <w:rFonts w:eastAsia="SimSun"/>
              </w:rPr>
            </w:pPr>
            <w:r w:rsidRPr="00AC3044">
              <w:rPr>
                <w:rFonts w:eastAsia="SimSun"/>
              </w:rPr>
              <w:t>100  мг/м</w:t>
            </w:r>
            <w:r w:rsidRPr="0074195F">
              <w:rPr>
                <w:rFonts w:eastAsia="SimSun"/>
                <w:vertAlign w:val="superscript"/>
              </w:rPr>
              <w:t>2</w:t>
            </w:r>
          </w:p>
        </w:tc>
        <w:tc>
          <w:tcPr>
            <w:tcW w:w="1417" w:type="dxa"/>
            <w:vAlign w:val="center"/>
          </w:tcPr>
          <w:p w14:paraId="14C7787D" w14:textId="77777777" w:rsidR="009F7F8A" w:rsidRPr="00AC3044" w:rsidRDefault="009F7F8A" w:rsidP="009F7F8A">
            <w:pPr>
              <w:rPr>
                <w:rFonts w:eastAsia="SimSun"/>
              </w:rPr>
            </w:pPr>
            <w:r w:rsidRPr="00AC3044">
              <w:rPr>
                <w:rFonts w:eastAsia="SimSun"/>
              </w:rPr>
              <w:t>100  мг/м</w:t>
            </w:r>
            <w:r w:rsidRPr="0074195F">
              <w:rPr>
                <w:rFonts w:eastAsia="SimSun"/>
                <w:vertAlign w:val="superscript"/>
              </w:rPr>
              <w:t>2</w:t>
            </w:r>
          </w:p>
        </w:tc>
        <w:tc>
          <w:tcPr>
            <w:tcW w:w="1843" w:type="dxa"/>
            <w:vAlign w:val="center"/>
          </w:tcPr>
          <w:p w14:paraId="436620BC" w14:textId="77777777" w:rsidR="009F7F8A" w:rsidRPr="00AC3044" w:rsidRDefault="009F7F8A" w:rsidP="009F7F8A">
            <w:pPr>
              <w:rPr>
                <w:rFonts w:eastAsia="SimSun"/>
              </w:rPr>
            </w:pPr>
            <w:r w:rsidRPr="00AC3044">
              <w:rPr>
                <w:rFonts w:eastAsia="SimSun"/>
              </w:rPr>
              <w:t>–1</w:t>
            </w:r>
          </w:p>
        </w:tc>
        <w:tc>
          <w:tcPr>
            <w:tcW w:w="2835" w:type="dxa"/>
            <w:vAlign w:val="center"/>
          </w:tcPr>
          <w:p w14:paraId="4002B785"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7F40E966" w14:textId="77777777" w:rsidTr="009F7F8A">
        <w:trPr>
          <w:cantSplit/>
          <w:trHeight w:val="20"/>
        </w:trPr>
        <w:tc>
          <w:tcPr>
            <w:tcW w:w="851" w:type="dxa"/>
            <w:vMerge/>
            <w:textDirection w:val="btLr"/>
          </w:tcPr>
          <w:p w14:paraId="1F7DCBFE" w14:textId="77777777" w:rsidR="009F7F8A" w:rsidRPr="00AC3044" w:rsidRDefault="009F7F8A" w:rsidP="009F7F8A">
            <w:pPr>
              <w:rPr>
                <w:rFonts w:eastAsia="SimSun"/>
              </w:rPr>
            </w:pPr>
          </w:p>
        </w:tc>
        <w:tc>
          <w:tcPr>
            <w:tcW w:w="2268" w:type="dxa"/>
            <w:vAlign w:val="center"/>
          </w:tcPr>
          <w:p w14:paraId="38078154" w14:textId="77777777" w:rsidR="009F7F8A" w:rsidRPr="00AC3044" w:rsidRDefault="009F7F8A" w:rsidP="009F7F8A">
            <w:pPr>
              <w:rPr>
                <w:rFonts w:eastAsia="SimSun"/>
              </w:rPr>
            </w:pPr>
            <w:r w:rsidRPr="00AC3044">
              <w:rPr>
                <w:rFonts w:eastAsia="SimSun"/>
              </w:rPr>
              <w:t>Тоцилизумаб</w:t>
            </w:r>
          </w:p>
        </w:tc>
        <w:tc>
          <w:tcPr>
            <w:tcW w:w="1276" w:type="dxa"/>
            <w:vAlign w:val="center"/>
          </w:tcPr>
          <w:p w14:paraId="12F933E2" w14:textId="77777777" w:rsidR="009F7F8A" w:rsidRPr="00AC3044" w:rsidRDefault="009F7F8A" w:rsidP="009F7F8A">
            <w:pPr>
              <w:rPr>
                <w:rFonts w:eastAsia="SimSun"/>
              </w:rPr>
            </w:pPr>
            <w:r w:rsidRPr="00AC3044">
              <w:rPr>
                <w:rFonts w:eastAsia="SimSun"/>
              </w:rPr>
              <w:t>8 мг/кг</w:t>
            </w:r>
          </w:p>
        </w:tc>
        <w:tc>
          <w:tcPr>
            <w:tcW w:w="1417" w:type="dxa"/>
            <w:vAlign w:val="center"/>
          </w:tcPr>
          <w:p w14:paraId="7D4819B3" w14:textId="77777777" w:rsidR="009F7F8A" w:rsidRPr="00AC3044" w:rsidRDefault="009F7F8A" w:rsidP="009F7F8A">
            <w:pPr>
              <w:rPr>
                <w:rFonts w:eastAsia="SimSun"/>
              </w:rPr>
            </w:pPr>
            <w:r w:rsidRPr="00AC3044">
              <w:rPr>
                <w:rFonts w:eastAsia="SimSun"/>
              </w:rPr>
              <w:t>8 мг/кг</w:t>
            </w:r>
          </w:p>
        </w:tc>
        <w:tc>
          <w:tcPr>
            <w:tcW w:w="1843" w:type="dxa"/>
            <w:vAlign w:val="center"/>
          </w:tcPr>
          <w:p w14:paraId="520ED57F" w14:textId="77777777" w:rsidR="009F7F8A" w:rsidRPr="00AC3044" w:rsidRDefault="009F7F8A" w:rsidP="009F7F8A">
            <w:pPr>
              <w:rPr>
                <w:rFonts w:eastAsia="SimSun"/>
              </w:rPr>
            </w:pPr>
            <w:r w:rsidRPr="00AC3044">
              <w:rPr>
                <w:rFonts w:eastAsia="SimSun"/>
              </w:rPr>
              <w:t>–1, +21</w:t>
            </w:r>
          </w:p>
        </w:tc>
        <w:tc>
          <w:tcPr>
            <w:tcW w:w="2835" w:type="dxa"/>
            <w:vAlign w:val="center"/>
          </w:tcPr>
          <w:p w14:paraId="1E215184" w14:textId="77777777" w:rsidR="009F7F8A" w:rsidRPr="00AC3044" w:rsidRDefault="009F7F8A" w:rsidP="009F7F8A">
            <w:pPr>
              <w:rPr>
                <w:rFonts w:eastAsia="SimSun"/>
              </w:rPr>
            </w:pPr>
            <w:r w:rsidRPr="00AC3044">
              <w:rPr>
                <w:rFonts w:eastAsia="SimSun"/>
              </w:rPr>
              <w:t>В/в, в течение 1 часа</w:t>
            </w:r>
          </w:p>
        </w:tc>
      </w:tr>
      <w:tr w:rsidR="009F7F8A" w:rsidRPr="00AC3044" w14:paraId="225FC65C" w14:textId="77777777" w:rsidTr="009F7F8A">
        <w:trPr>
          <w:cantSplit/>
          <w:trHeight w:val="20"/>
        </w:trPr>
        <w:tc>
          <w:tcPr>
            <w:tcW w:w="851" w:type="dxa"/>
            <w:vMerge/>
            <w:textDirection w:val="btLr"/>
          </w:tcPr>
          <w:p w14:paraId="7846F3F3" w14:textId="77777777" w:rsidR="009F7F8A" w:rsidRPr="00AC3044" w:rsidRDefault="009F7F8A" w:rsidP="009F7F8A">
            <w:pPr>
              <w:rPr>
                <w:rFonts w:eastAsia="SimSun"/>
              </w:rPr>
            </w:pPr>
          </w:p>
        </w:tc>
        <w:tc>
          <w:tcPr>
            <w:tcW w:w="2268" w:type="dxa"/>
            <w:vAlign w:val="center"/>
          </w:tcPr>
          <w:p w14:paraId="5509A1E5" w14:textId="77777777" w:rsidR="009F7F8A" w:rsidRPr="00AC3044" w:rsidRDefault="009F7F8A" w:rsidP="009F7F8A">
            <w:pPr>
              <w:rPr>
                <w:rFonts w:eastAsia="SimSun"/>
              </w:rPr>
            </w:pPr>
            <w:r w:rsidRPr="00AC3044">
              <w:rPr>
                <w:rFonts w:eastAsia="SimSun"/>
              </w:rPr>
              <w:t>Абатацепт1</w:t>
            </w:r>
          </w:p>
        </w:tc>
        <w:tc>
          <w:tcPr>
            <w:tcW w:w="1276" w:type="dxa"/>
            <w:vAlign w:val="center"/>
          </w:tcPr>
          <w:p w14:paraId="6D94A854" w14:textId="77777777" w:rsidR="009F7F8A" w:rsidRPr="00AC3044" w:rsidRDefault="009F7F8A" w:rsidP="009F7F8A">
            <w:pPr>
              <w:rPr>
                <w:rFonts w:eastAsia="SimSun"/>
              </w:rPr>
            </w:pPr>
            <w:r w:rsidRPr="00AC3044">
              <w:rPr>
                <w:rFonts w:eastAsia="SimSun"/>
              </w:rPr>
              <w:t>10 мг/кг</w:t>
            </w:r>
          </w:p>
        </w:tc>
        <w:tc>
          <w:tcPr>
            <w:tcW w:w="1417" w:type="dxa"/>
            <w:vAlign w:val="center"/>
          </w:tcPr>
          <w:p w14:paraId="7B0A8C0F" w14:textId="77777777" w:rsidR="009F7F8A" w:rsidRPr="00AC3044" w:rsidRDefault="009F7F8A" w:rsidP="009F7F8A">
            <w:pPr>
              <w:rPr>
                <w:rFonts w:eastAsia="SimSun"/>
              </w:rPr>
            </w:pPr>
            <w:r w:rsidRPr="00AC3044">
              <w:rPr>
                <w:rFonts w:eastAsia="SimSun"/>
              </w:rPr>
              <w:t>40 мг/кг</w:t>
            </w:r>
          </w:p>
        </w:tc>
        <w:tc>
          <w:tcPr>
            <w:tcW w:w="1843" w:type="dxa"/>
            <w:vAlign w:val="center"/>
          </w:tcPr>
          <w:p w14:paraId="5EAC0ADE" w14:textId="77777777" w:rsidR="009F7F8A" w:rsidRPr="00AC3044" w:rsidRDefault="009F7F8A" w:rsidP="009F7F8A">
            <w:pPr>
              <w:rPr>
                <w:rFonts w:eastAsia="SimSun"/>
              </w:rPr>
            </w:pPr>
            <w:r w:rsidRPr="00AC3044">
              <w:rPr>
                <w:rFonts w:eastAsia="SimSun"/>
              </w:rPr>
              <w:t>–1,+7,+14,+28</w:t>
            </w:r>
          </w:p>
        </w:tc>
        <w:tc>
          <w:tcPr>
            <w:tcW w:w="2835" w:type="dxa"/>
            <w:vAlign w:val="center"/>
          </w:tcPr>
          <w:p w14:paraId="0929C463" w14:textId="77777777" w:rsidR="009F7F8A" w:rsidRPr="00AC3044" w:rsidRDefault="009F7F8A" w:rsidP="009F7F8A">
            <w:pPr>
              <w:rPr>
                <w:rFonts w:eastAsia="SimSun"/>
              </w:rPr>
            </w:pPr>
            <w:r w:rsidRPr="00AC3044">
              <w:rPr>
                <w:rFonts w:eastAsia="SimSun"/>
              </w:rPr>
              <w:t>В/в, в течение 30 мин</w:t>
            </w:r>
          </w:p>
        </w:tc>
      </w:tr>
      <w:tr w:rsidR="009F7F8A" w:rsidRPr="00AC3044" w14:paraId="6D09F886" w14:textId="77777777" w:rsidTr="009F7F8A">
        <w:trPr>
          <w:cantSplit/>
          <w:trHeight w:val="1482"/>
        </w:trPr>
        <w:tc>
          <w:tcPr>
            <w:tcW w:w="851" w:type="dxa"/>
            <w:textDirection w:val="btLr"/>
            <w:vAlign w:val="center"/>
          </w:tcPr>
          <w:p w14:paraId="4F497A55" w14:textId="77777777" w:rsidR="009F7F8A" w:rsidRPr="00AC3044" w:rsidRDefault="009F7F8A" w:rsidP="009F7F8A">
            <w:pPr>
              <w:rPr>
                <w:rFonts w:eastAsia="SimSun"/>
              </w:rPr>
            </w:pPr>
            <w:r w:rsidRPr="00AC3044">
              <w:rPr>
                <w:rFonts w:eastAsia="SimSun"/>
              </w:rPr>
              <w:t xml:space="preserve">Ex vivo манипуляция с трансплантатом </w:t>
            </w:r>
          </w:p>
        </w:tc>
        <w:tc>
          <w:tcPr>
            <w:tcW w:w="2268" w:type="dxa"/>
            <w:vAlign w:val="center"/>
          </w:tcPr>
          <w:p w14:paraId="50E6F096" w14:textId="77777777" w:rsidR="009F7F8A" w:rsidRPr="00AC3044" w:rsidRDefault="009F7F8A" w:rsidP="009F7F8A">
            <w:pPr>
              <w:rPr>
                <w:rFonts w:eastAsia="SimSun"/>
              </w:rPr>
            </w:pPr>
            <w:r w:rsidRPr="00AC3044">
              <w:rPr>
                <w:rFonts w:eastAsia="SimSun"/>
              </w:rPr>
              <w:t>Комплексная услуга TCRαβ/CD19 деплеция</w:t>
            </w:r>
          </w:p>
        </w:tc>
        <w:tc>
          <w:tcPr>
            <w:tcW w:w="1276" w:type="dxa"/>
            <w:vAlign w:val="center"/>
          </w:tcPr>
          <w:p w14:paraId="46A87EF0" w14:textId="77777777" w:rsidR="009F7F8A" w:rsidRPr="00AC3044" w:rsidRDefault="009F7F8A" w:rsidP="009F7F8A">
            <w:pPr>
              <w:rPr>
                <w:rFonts w:eastAsia="SimSun"/>
              </w:rPr>
            </w:pPr>
            <w:r w:rsidRPr="00AC3044">
              <w:rPr>
                <w:rFonts w:eastAsia="SimSun"/>
              </w:rPr>
              <w:t>–</w:t>
            </w:r>
          </w:p>
        </w:tc>
        <w:tc>
          <w:tcPr>
            <w:tcW w:w="1417" w:type="dxa"/>
            <w:vAlign w:val="center"/>
          </w:tcPr>
          <w:p w14:paraId="491A8BDD" w14:textId="77777777" w:rsidR="009F7F8A" w:rsidRPr="00AC3044" w:rsidRDefault="009F7F8A" w:rsidP="009F7F8A">
            <w:pPr>
              <w:rPr>
                <w:rFonts w:eastAsia="SimSun"/>
              </w:rPr>
            </w:pPr>
            <w:r w:rsidRPr="00AC3044">
              <w:rPr>
                <w:rFonts w:eastAsia="SimSun"/>
              </w:rPr>
              <w:t>–</w:t>
            </w:r>
          </w:p>
        </w:tc>
        <w:tc>
          <w:tcPr>
            <w:tcW w:w="1843" w:type="dxa"/>
            <w:vAlign w:val="center"/>
          </w:tcPr>
          <w:p w14:paraId="1A746C7D" w14:textId="77777777" w:rsidR="009F7F8A" w:rsidRPr="00AC3044" w:rsidRDefault="009F7F8A" w:rsidP="009F7F8A">
            <w:pPr>
              <w:rPr>
                <w:rFonts w:eastAsia="SimSun"/>
              </w:rPr>
            </w:pPr>
            <w:r w:rsidRPr="00AC3044">
              <w:rPr>
                <w:rFonts w:eastAsia="SimSun"/>
              </w:rPr>
              <w:t>0</w:t>
            </w:r>
          </w:p>
        </w:tc>
        <w:tc>
          <w:tcPr>
            <w:tcW w:w="2835" w:type="dxa"/>
            <w:vAlign w:val="center"/>
          </w:tcPr>
          <w:p w14:paraId="7F72AAA8" w14:textId="77777777" w:rsidR="009F7F8A" w:rsidRPr="00AC3044" w:rsidRDefault="009F7F8A" w:rsidP="009F7F8A">
            <w:pPr>
              <w:rPr>
                <w:rFonts w:eastAsia="SimSun"/>
              </w:rPr>
            </w:pPr>
            <w:r w:rsidRPr="00AC3044">
              <w:rPr>
                <w:rFonts w:eastAsia="SimSun"/>
              </w:rPr>
              <w:t>-</w:t>
            </w:r>
          </w:p>
        </w:tc>
      </w:tr>
      <w:tr w:rsidR="009F7F8A" w:rsidRPr="00AC3044" w14:paraId="3FF9EAAD" w14:textId="77777777" w:rsidTr="009F7F8A">
        <w:trPr>
          <w:trHeight w:val="20"/>
        </w:trPr>
        <w:tc>
          <w:tcPr>
            <w:tcW w:w="10490" w:type="dxa"/>
            <w:gridSpan w:val="6"/>
          </w:tcPr>
          <w:p w14:paraId="32901282" w14:textId="77777777" w:rsidR="009F7F8A" w:rsidRPr="00AC3044" w:rsidRDefault="009F7F8A" w:rsidP="009F7F8A">
            <w:pPr>
              <w:rPr>
                <w:rFonts w:eastAsia="SimSun"/>
              </w:rPr>
            </w:pPr>
            <w:r w:rsidRPr="00AC3044">
              <w:rPr>
                <w:rFonts w:eastAsia="SimSun"/>
              </w:rPr>
              <w:t>1 Раствор абатацепта нельзя использовать с оборудованием, имеющим в своём составе силикон.  Содержимое одного флакона растворяют в 10 мл воды для инъекций, используя одноразовый бессиликоновый шприц, имеющийся в комплекте с препаратом. Полученный концентрат немедленно разбавляют 0.9% раствором натрия хлорида для инъекций для получения инфузионного раствора, который немедленно вводится в/в за 30мин через инфузионную систему.  Абатацепт нельзя вводить одновременно с другими препаратами через одну инфузионную систему.</w:t>
            </w:r>
          </w:p>
          <w:p w14:paraId="5C22D95F" w14:textId="77777777" w:rsidR="009F7F8A" w:rsidRPr="00AC3044" w:rsidRDefault="009F7F8A" w:rsidP="009F7F8A">
            <w:pPr>
              <w:rPr>
                <w:rFonts w:eastAsia="SimSun"/>
              </w:rPr>
            </w:pPr>
          </w:p>
        </w:tc>
      </w:tr>
    </w:tbl>
    <w:p w14:paraId="71ACCE87" w14:textId="77777777" w:rsidR="009F7F8A" w:rsidRPr="00C07B2E" w:rsidRDefault="009F7F8A" w:rsidP="009F7F8A">
      <w:pPr>
        <w:rPr>
          <w:rFonts w:eastAsia="SimSun"/>
        </w:rPr>
      </w:pPr>
    </w:p>
    <w:p w14:paraId="0D7C0F86" w14:textId="77777777" w:rsidR="009F7F8A" w:rsidRPr="009F7F8A" w:rsidRDefault="009F7F8A" w:rsidP="009F7F8A">
      <w:pPr>
        <w:rPr>
          <w:rFonts w:eastAsia="SimSun"/>
          <w:lang w:val="en-US"/>
        </w:rPr>
      </w:pPr>
      <w:bookmarkStart w:id="207" w:name="_Toc44401244"/>
      <w:r>
        <w:rPr>
          <w:rFonts w:eastAsia="SimSun"/>
        </w:rPr>
        <w:t>Таблица</w:t>
      </w:r>
      <w:r w:rsidRPr="009F7F8A">
        <w:rPr>
          <w:rFonts w:eastAsia="SimSun"/>
          <w:lang w:val="en-US"/>
        </w:rPr>
        <w:t xml:space="preserve"> 5.4.2.  – Flu150+Treo42+Mel140 / TCR</w:t>
      </w:r>
      <w:r w:rsidRPr="00C07B2E">
        <w:rPr>
          <w:rFonts w:eastAsia="SimSun"/>
        </w:rPr>
        <w:t>αβ</w:t>
      </w:r>
      <w:r w:rsidRPr="009F7F8A">
        <w:rPr>
          <w:rFonts w:eastAsia="SimSun"/>
          <w:lang w:val="en-US"/>
        </w:rPr>
        <w:t>-CD19</w:t>
      </w:r>
      <w:bookmarkEnd w:id="207"/>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0"/>
        <w:gridCol w:w="1276"/>
        <w:gridCol w:w="1417"/>
        <w:gridCol w:w="1843"/>
        <w:gridCol w:w="2835"/>
      </w:tblGrid>
      <w:tr w:rsidR="009F7F8A" w:rsidRPr="00AC3044" w14:paraId="43C92E15" w14:textId="77777777" w:rsidTr="009F7F8A">
        <w:trPr>
          <w:cantSplit/>
          <w:trHeight w:val="20"/>
          <w:tblHeader/>
        </w:trPr>
        <w:tc>
          <w:tcPr>
            <w:tcW w:w="709" w:type="dxa"/>
          </w:tcPr>
          <w:p w14:paraId="6B6C5288" w14:textId="77777777" w:rsidR="009F7F8A" w:rsidRPr="009F7F8A" w:rsidRDefault="009F7F8A" w:rsidP="009F7F8A">
            <w:pPr>
              <w:rPr>
                <w:rFonts w:eastAsia="SimSun"/>
                <w:lang w:val="en-US"/>
              </w:rPr>
            </w:pPr>
          </w:p>
        </w:tc>
        <w:tc>
          <w:tcPr>
            <w:tcW w:w="2410" w:type="dxa"/>
            <w:vAlign w:val="center"/>
          </w:tcPr>
          <w:p w14:paraId="35A716DB" w14:textId="77777777" w:rsidR="009F7F8A" w:rsidRPr="00AC3044" w:rsidRDefault="009F7F8A" w:rsidP="009F7F8A">
            <w:pPr>
              <w:rPr>
                <w:rFonts w:eastAsia="SimSun"/>
              </w:rPr>
            </w:pPr>
            <w:r w:rsidRPr="00AC3044">
              <w:rPr>
                <w:rFonts w:eastAsia="SimSun"/>
              </w:rPr>
              <w:t>Препарат</w:t>
            </w:r>
          </w:p>
        </w:tc>
        <w:tc>
          <w:tcPr>
            <w:tcW w:w="1276" w:type="dxa"/>
            <w:vAlign w:val="center"/>
          </w:tcPr>
          <w:p w14:paraId="66249551" w14:textId="77777777" w:rsidR="009F7F8A" w:rsidRPr="00AC3044" w:rsidRDefault="009F7F8A" w:rsidP="009F7F8A">
            <w:pPr>
              <w:rPr>
                <w:rFonts w:eastAsia="SimSun"/>
              </w:rPr>
            </w:pPr>
            <w:r w:rsidRPr="00AC3044">
              <w:rPr>
                <w:rFonts w:eastAsia="SimSun"/>
              </w:rPr>
              <w:t>Суточная доза</w:t>
            </w:r>
          </w:p>
        </w:tc>
        <w:tc>
          <w:tcPr>
            <w:tcW w:w="1417" w:type="dxa"/>
            <w:vAlign w:val="center"/>
          </w:tcPr>
          <w:p w14:paraId="24812263" w14:textId="77777777" w:rsidR="009F7F8A" w:rsidRPr="00AC3044" w:rsidRDefault="009F7F8A" w:rsidP="009F7F8A">
            <w:pPr>
              <w:rPr>
                <w:rFonts w:eastAsia="SimSun"/>
              </w:rPr>
            </w:pPr>
            <w:r w:rsidRPr="00AC3044">
              <w:rPr>
                <w:rFonts w:eastAsia="SimSun"/>
              </w:rPr>
              <w:t>Курсовая доза</w:t>
            </w:r>
          </w:p>
        </w:tc>
        <w:tc>
          <w:tcPr>
            <w:tcW w:w="1843" w:type="dxa"/>
            <w:vAlign w:val="center"/>
          </w:tcPr>
          <w:p w14:paraId="09110144" w14:textId="77777777" w:rsidR="009F7F8A" w:rsidRPr="00AC3044" w:rsidRDefault="009F7F8A" w:rsidP="009F7F8A">
            <w:pPr>
              <w:rPr>
                <w:rFonts w:eastAsia="SimSun"/>
              </w:rPr>
            </w:pPr>
            <w:r w:rsidRPr="00AC3044">
              <w:rPr>
                <w:rFonts w:eastAsia="SimSun"/>
              </w:rPr>
              <w:t>Дни введения</w:t>
            </w:r>
          </w:p>
        </w:tc>
        <w:tc>
          <w:tcPr>
            <w:tcW w:w="2835" w:type="dxa"/>
            <w:vAlign w:val="center"/>
          </w:tcPr>
          <w:p w14:paraId="6C6A4440"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60D02038" w14:textId="77777777" w:rsidTr="009F7F8A">
        <w:trPr>
          <w:cantSplit/>
          <w:trHeight w:val="20"/>
        </w:trPr>
        <w:tc>
          <w:tcPr>
            <w:tcW w:w="709" w:type="dxa"/>
            <w:vMerge w:val="restart"/>
            <w:textDirection w:val="btLr"/>
            <w:vAlign w:val="center"/>
          </w:tcPr>
          <w:p w14:paraId="17F9A596" w14:textId="77777777" w:rsidR="009F7F8A" w:rsidRPr="00AC3044" w:rsidRDefault="009F7F8A" w:rsidP="009F7F8A">
            <w:pPr>
              <w:rPr>
                <w:rFonts w:eastAsia="SimSun"/>
              </w:rPr>
            </w:pPr>
            <w:r w:rsidRPr="00AC3044">
              <w:rPr>
                <w:rFonts w:eastAsia="SimSun"/>
              </w:rPr>
              <w:t>Кондиционирование</w:t>
            </w:r>
          </w:p>
        </w:tc>
        <w:tc>
          <w:tcPr>
            <w:tcW w:w="2410" w:type="dxa"/>
          </w:tcPr>
          <w:p w14:paraId="5F5229AE" w14:textId="77777777" w:rsidR="009F7F8A" w:rsidRPr="00AC3044" w:rsidRDefault="009F7F8A" w:rsidP="009F7F8A">
            <w:pPr>
              <w:rPr>
                <w:rFonts w:eastAsia="SimSun"/>
              </w:rPr>
            </w:pPr>
            <w:r w:rsidRPr="00AC3044">
              <w:rPr>
                <w:rFonts w:eastAsia="SimSun"/>
              </w:rPr>
              <w:t>Треосульфан</w:t>
            </w:r>
          </w:p>
        </w:tc>
        <w:tc>
          <w:tcPr>
            <w:tcW w:w="1276" w:type="dxa"/>
            <w:vAlign w:val="center"/>
          </w:tcPr>
          <w:p w14:paraId="6E15EF45" w14:textId="77777777" w:rsidR="009F7F8A" w:rsidRPr="00AC3044" w:rsidRDefault="009F7F8A" w:rsidP="009F7F8A">
            <w:pPr>
              <w:rPr>
                <w:rFonts w:eastAsia="SimSun"/>
              </w:rPr>
            </w:pPr>
            <w:r w:rsidRPr="00AC3044">
              <w:rPr>
                <w:rFonts w:eastAsia="SimSun"/>
              </w:rPr>
              <w:t>14 г/м</w:t>
            </w:r>
            <w:r w:rsidRPr="0074195F">
              <w:rPr>
                <w:rFonts w:eastAsia="SimSun"/>
                <w:vertAlign w:val="superscript"/>
              </w:rPr>
              <w:t>2</w:t>
            </w:r>
          </w:p>
        </w:tc>
        <w:tc>
          <w:tcPr>
            <w:tcW w:w="1417" w:type="dxa"/>
            <w:vAlign w:val="center"/>
          </w:tcPr>
          <w:p w14:paraId="5A891BF5" w14:textId="77777777" w:rsidR="009F7F8A" w:rsidRPr="00AC3044" w:rsidRDefault="009F7F8A" w:rsidP="009F7F8A">
            <w:pPr>
              <w:rPr>
                <w:rFonts w:eastAsia="SimSun"/>
              </w:rPr>
            </w:pPr>
            <w:r w:rsidRPr="00AC3044">
              <w:rPr>
                <w:rFonts w:eastAsia="SimSun"/>
              </w:rPr>
              <w:t>42 г/м</w:t>
            </w:r>
            <w:r w:rsidRPr="0074195F">
              <w:rPr>
                <w:rFonts w:eastAsia="SimSun"/>
                <w:vertAlign w:val="superscript"/>
              </w:rPr>
              <w:t>2</w:t>
            </w:r>
          </w:p>
        </w:tc>
        <w:tc>
          <w:tcPr>
            <w:tcW w:w="1843" w:type="dxa"/>
            <w:vAlign w:val="center"/>
          </w:tcPr>
          <w:p w14:paraId="59026370" w14:textId="77777777" w:rsidR="009F7F8A" w:rsidRPr="00AC3044" w:rsidRDefault="009F7F8A" w:rsidP="009F7F8A">
            <w:pPr>
              <w:rPr>
                <w:rFonts w:eastAsia="SimSun"/>
              </w:rPr>
            </w:pPr>
            <w:r w:rsidRPr="00AC3044">
              <w:rPr>
                <w:rFonts w:eastAsia="SimSun"/>
              </w:rPr>
              <w:t>–5,–4,–3</w:t>
            </w:r>
          </w:p>
        </w:tc>
        <w:tc>
          <w:tcPr>
            <w:tcW w:w="2835" w:type="dxa"/>
            <w:vAlign w:val="center"/>
          </w:tcPr>
          <w:p w14:paraId="4BADACEF"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5EADB80A" w14:textId="77777777" w:rsidTr="009F7F8A">
        <w:trPr>
          <w:cantSplit/>
          <w:trHeight w:val="785"/>
        </w:trPr>
        <w:tc>
          <w:tcPr>
            <w:tcW w:w="709" w:type="dxa"/>
            <w:vMerge/>
            <w:textDirection w:val="btLr"/>
            <w:vAlign w:val="center"/>
          </w:tcPr>
          <w:p w14:paraId="2B70E48E" w14:textId="77777777" w:rsidR="009F7F8A" w:rsidRPr="00AC3044" w:rsidRDefault="009F7F8A" w:rsidP="009F7F8A">
            <w:pPr>
              <w:rPr>
                <w:rFonts w:eastAsia="SimSun"/>
              </w:rPr>
            </w:pPr>
          </w:p>
        </w:tc>
        <w:tc>
          <w:tcPr>
            <w:tcW w:w="2410" w:type="dxa"/>
          </w:tcPr>
          <w:p w14:paraId="24FCD7C1" w14:textId="77777777" w:rsidR="009F7F8A" w:rsidRPr="00AC3044" w:rsidRDefault="009F7F8A" w:rsidP="009F7F8A">
            <w:pPr>
              <w:rPr>
                <w:rFonts w:eastAsia="SimSun"/>
              </w:rPr>
            </w:pPr>
            <w:r w:rsidRPr="00AC3044">
              <w:rPr>
                <w:rFonts w:eastAsia="SimSun"/>
              </w:rPr>
              <w:t>Мелфалан</w:t>
            </w:r>
          </w:p>
        </w:tc>
        <w:tc>
          <w:tcPr>
            <w:tcW w:w="1276" w:type="dxa"/>
          </w:tcPr>
          <w:p w14:paraId="12EDDB7C" w14:textId="77777777" w:rsidR="009F7F8A" w:rsidRPr="00AC3044" w:rsidRDefault="009F7F8A" w:rsidP="009F7F8A">
            <w:pPr>
              <w:rPr>
                <w:rFonts w:eastAsia="SimSun"/>
              </w:rPr>
            </w:pPr>
            <w:r w:rsidRPr="00AC3044">
              <w:rPr>
                <w:rFonts w:eastAsia="SimSun"/>
              </w:rPr>
              <w:t>70 мг/м</w:t>
            </w:r>
            <w:r w:rsidRPr="0074195F">
              <w:rPr>
                <w:rFonts w:eastAsia="SimSun"/>
                <w:vertAlign w:val="superscript"/>
              </w:rPr>
              <w:t>2</w:t>
            </w:r>
          </w:p>
        </w:tc>
        <w:tc>
          <w:tcPr>
            <w:tcW w:w="1417" w:type="dxa"/>
          </w:tcPr>
          <w:p w14:paraId="4A09EBC1" w14:textId="77777777" w:rsidR="009F7F8A" w:rsidRPr="00AC3044" w:rsidRDefault="009F7F8A" w:rsidP="009F7F8A">
            <w:pPr>
              <w:rPr>
                <w:rFonts w:eastAsia="SimSun"/>
              </w:rPr>
            </w:pPr>
            <w:r w:rsidRPr="00AC3044">
              <w:rPr>
                <w:rFonts w:eastAsia="SimSun"/>
              </w:rPr>
              <w:t>140 мг/м</w:t>
            </w:r>
            <w:r w:rsidRPr="0074195F">
              <w:rPr>
                <w:rFonts w:eastAsia="SimSun"/>
                <w:vertAlign w:val="superscript"/>
              </w:rPr>
              <w:t>2</w:t>
            </w:r>
          </w:p>
        </w:tc>
        <w:tc>
          <w:tcPr>
            <w:tcW w:w="1843" w:type="dxa"/>
          </w:tcPr>
          <w:p w14:paraId="79A61E6E" w14:textId="77777777" w:rsidR="009F7F8A" w:rsidRPr="00AC3044" w:rsidRDefault="009F7F8A" w:rsidP="009F7F8A">
            <w:pPr>
              <w:rPr>
                <w:rFonts w:eastAsia="SimSun"/>
              </w:rPr>
            </w:pPr>
            <w:r w:rsidRPr="00AC3044">
              <w:rPr>
                <w:rFonts w:eastAsia="SimSun"/>
              </w:rPr>
              <w:t>–3, –2</w:t>
            </w:r>
          </w:p>
        </w:tc>
        <w:tc>
          <w:tcPr>
            <w:tcW w:w="2835" w:type="dxa"/>
          </w:tcPr>
          <w:p w14:paraId="74EA6190" w14:textId="77777777" w:rsidR="009F7F8A" w:rsidRPr="00AC3044" w:rsidRDefault="009F7F8A" w:rsidP="009F7F8A">
            <w:pPr>
              <w:rPr>
                <w:rFonts w:eastAsia="SimSun"/>
              </w:rPr>
            </w:pPr>
            <w:r w:rsidRPr="00AC3044">
              <w:rPr>
                <w:rFonts w:eastAsia="SimSun"/>
              </w:rPr>
              <w:t>В/в, в течение 1 часа, через 2 часа после введения флударабина</w:t>
            </w:r>
          </w:p>
        </w:tc>
      </w:tr>
      <w:tr w:rsidR="009F7F8A" w:rsidRPr="00AC3044" w14:paraId="75697FCF" w14:textId="77777777" w:rsidTr="009F7F8A">
        <w:trPr>
          <w:cantSplit/>
          <w:trHeight w:val="56"/>
        </w:trPr>
        <w:tc>
          <w:tcPr>
            <w:tcW w:w="709" w:type="dxa"/>
            <w:vMerge/>
            <w:textDirection w:val="btLr"/>
            <w:vAlign w:val="center"/>
          </w:tcPr>
          <w:p w14:paraId="497A32AC" w14:textId="77777777" w:rsidR="009F7F8A" w:rsidRPr="00AC3044" w:rsidRDefault="009F7F8A" w:rsidP="009F7F8A">
            <w:pPr>
              <w:rPr>
                <w:rFonts w:eastAsia="SimSun"/>
              </w:rPr>
            </w:pPr>
          </w:p>
        </w:tc>
        <w:tc>
          <w:tcPr>
            <w:tcW w:w="2410" w:type="dxa"/>
            <w:vAlign w:val="center"/>
          </w:tcPr>
          <w:p w14:paraId="6FF6BE8F" w14:textId="77777777" w:rsidR="009F7F8A" w:rsidRPr="00AC3044" w:rsidRDefault="009F7F8A" w:rsidP="009F7F8A">
            <w:pPr>
              <w:rPr>
                <w:rFonts w:eastAsia="SimSun"/>
              </w:rPr>
            </w:pPr>
            <w:r w:rsidRPr="00AC3044">
              <w:rPr>
                <w:rFonts w:eastAsia="SimSun"/>
              </w:rPr>
              <w:t>Флударабин</w:t>
            </w:r>
          </w:p>
        </w:tc>
        <w:tc>
          <w:tcPr>
            <w:tcW w:w="1276" w:type="dxa"/>
            <w:vAlign w:val="center"/>
          </w:tcPr>
          <w:p w14:paraId="67F95820"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7" w:type="dxa"/>
            <w:vAlign w:val="center"/>
          </w:tcPr>
          <w:p w14:paraId="63B6BE48" w14:textId="77777777" w:rsidR="009F7F8A" w:rsidRPr="00AC3044" w:rsidRDefault="009F7F8A" w:rsidP="009F7F8A">
            <w:pPr>
              <w:rPr>
                <w:rFonts w:eastAsia="SimSun"/>
              </w:rPr>
            </w:pPr>
            <w:r w:rsidRPr="00AC3044">
              <w:rPr>
                <w:rFonts w:eastAsia="SimSun"/>
              </w:rPr>
              <w:t>150 мг/м</w:t>
            </w:r>
            <w:r w:rsidRPr="0074195F">
              <w:rPr>
                <w:rFonts w:eastAsia="SimSun"/>
                <w:vertAlign w:val="superscript"/>
              </w:rPr>
              <w:t>2</w:t>
            </w:r>
          </w:p>
        </w:tc>
        <w:tc>
          <w:tcPr>
            <w:tcW w:w="1843" w:type="dxa"/>
            <w:vAlign w:val="center"/>
          </w:tcPr>
          <w:p w14:paraId="74AEB741" w14:textId="77777777" w:rsidR="009F7F8A" w:rsidRPr="00AC3044" w:rsidRDefault="009F7F8A" w:rsidP="009F7F8A">
            <w:pPr>
              <w:rPr>
                <w:rFonts w:eastAsia="SimSun"/>
              </w:rPr>
            </w:pPr>
            <w:r w:rsidRPr="00AC3044">
              <w:rPr>
                <w:rFonts w:eastAsia="SimSun"/>
              </w:rPr>
              <w:t>–6,–5,–4, –3, –2</w:t>
            </w:r>
          </w:p>
        </w:tc>
        <w:tc>
          <w:tcPr>
            <w:tcW w:w="2835" w:type="dxa"/>
            <w:vAlign w:val="center"/>
          </w:tcPr>
          <w:p w14:paraId="6DB9366A"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2D3C7979" w14:textId="77777777" w:rsidTr="009F7F8A">
        <w:trPr>
          <w:cantSplit/>
          <w:trHeight w:val="548"/>
        </w:trPr>
        <w:tc>
          <w:tcPr>
            <w:tcW w:w="709" w:type="dxa"/>
            <w:vMerge w:val="restart"/>
            <w:textDirection w:val="btLr"/>
            <w:vAlign w:val="center"/>
          </w:tcPr>
          <w:p w14:paraId="6B59196A" w14:textId="77777777" w:rsidR="009F7F8A" w:rsidRPr="00AC3044" w:rsidRDefault="009F7F8A" w:rsidP="009F7F8A">
            <w:pPr>
              <w:rPr>
                <w:rFonts w:eastAsia="SimSun"/>
              </w:rPr>
            </w:pPr>
            <w:r w:rsidRPr="00AC3044">
              <w:rPr>
                <w:rFonts w:eastAsia="SimSun"/>
              </w:rPr>
              <w:t>Профилактика РТПХ</w:t>
            </w:r>
          </w:p>
        </w:tc>
        <w:tc>
          <w:tcPr>
            <w:tcW w:w="2410" w:type="dxa"/>
            <w:vAlign w:val="center"/>
          </w:tcPr>
          <w:p w14:paraId="5430E307" w14:textId="77777777" w:rsidR="009F7F8A" w:rsidRPr="00AC3044" w:rsidRDefault="009F7F8A" w:rsidP="009F7F8A">
            <w:pPr>
              <w:rPr>
                <w:rFonts w:eastAsia="SimSun"/>
              </w:rPr>
            </w:pPr>
            <w:r w:rsidRPr="00AC3044">
              <w:rPr>
                <w:rFonts w:eastAsia="SimSun"/>
              </w:rPr>
              <w:t>Ритуксимаб</w:t>
            </w:r>
          </w:p>
        </w:tc>
        <w:tc>
          <w:tcPr>
            <w:tcW w:w="1276" w:type="dxa"/>
            <w:vAlign w:val="center"/>
          </w:tcPr>
          <w:p w14:paraId="7282768E" w14:textId="77777777" w:rsidR="009F7F8A" w:rsidRPr="00AC3044" w:rsidRDefault="009F7F8A" w:rsidP="009F7F8A">
            <w:pPr>
              <w:rPr>
                <w:rFonts w:eastAsia="SimSun"/>
              </w:rPr>
            </w:pPr>
            <w:r w:rsidRPr="00AC3044">
              <w:rPr>
                <w:rFonts w:eastAsia="SimSun"/>
              </w:rPr>
              <w:t>100  мг/м</w:t>
            </w:r>
            <w:r w:rsidRPr="0074195F">
              <w:rPr>
                <w:rFonts w:eastAsia="SimSun"/>
                <w:vertAlign w:val="superscript"/>
              </w:rPr>
              <w:t>2</w:t>
            </w:r>
          </w:p>
        </w:tc>
        <w:tc>
          <w:tcPr>
            <w:tcW w:w="1417" w:type="dxa"/>
            <w:vAlign w:val="center"/>
          </w:tcPr>
          <w:p w14:paraId="120B1ED3" w14:textId="77777777" w:rsidR="009F7F8A" w:rsidRPr="00AC3044" w:rsidRDefault="009F7F8A" w:rsidP="009F7F8A">
            <w:pPr>
              <w:rPr>
                <w:rFonts w:eastAsia="SimSun"/>
              </w:rPr>
            </w:pPr>
            <w:r w:rsidRPr="00AC3044">
              <w:rPr>
                <w:rFonts w:eastAsia="SimSun"/>
              </w:rPr>
              <w:t>100  мг/м</w:t>
            </w:r>
            <w:r w:rsidRPr="0074195F">
              <w:rPr>
                <w:rFonts w:eastAsia="SimSun"/>
                <w:vertAlign w:val="superscript"/>
              </w:rPr>
              <w:t>2</w:t>
            </w:r>
          </w:p>
        </w:tc>
        <w:tc>
          <w:tcPr>
            <w:tcW w:w="1843" w:type="dxa"/>
            <w:vAlign w:val="center"/>
          </w:tcPr>
          <w:p w14:paraId="4FAA343B" w14:textId="77777777" w:rsidR="009F7F8A" w:rsidRPr="00AC3044" w:rsidRDefault="009F7F8A" w:rsidP="009F7F8A">
            <w:pPr>
              <w:rPr>
                <w:rFonts w:eastAsia="SimSun"/>
              </w:rPr>
            </w:pPr>
            <w:r w:rsidRPr="00AC3044">
              <w:rPr>
                <w:rFonts w:eastAsia="SimSun"/>
              </w:rPr>
              <w:t>–1</w:t>
            </w:r>
          </w:p>
        </w:tc>
        <w:tc>
          <w:tcPr>
            <w:tcW w:w="2835" w:type="dxa"/>
            <w:vAlign w:val="center"/>
          </w:tcPr>
          <w:p w14:paraId="4FA2A262"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2CF3D65E" w14:textId="77777777" w:rsidTr="009F7F8A">
        <w:trPr>
          <w:cantSplit/>
          <w:trHeight w:val="20"/>
        </w:trPr>
        <w:tc>
          <w:tcPr>
            <w:tcW w:w="709" w:type="dxa"/>
            <w:vMerge/>
            <w:textDirection w:val="btLr"/>
          </w:tcPr>
          <w:p w14:paraId="040CD1B4" w14:textId="77777777" w:rsidR="009F7F8A" w:rsidRPr="00AC3044" w:rsidRDefault="009F7F8A" w:rsidP="009F7F8A">
            <w:pPr>
              <w:rPr>
                <w:rFonts w:eastAsia="SimSun"/>
              </w:rPr>
            </w:pPr>
          </w:p>
        </w:tc>
        <w:tc>
          <w:tcPr>
            <w:tcW w:w="2410" w:type="dxa"/>
            <w:vAlign w:val="center"/>
          </w:tcPr>
          <w:p w14:paraId="7AD5A973" w14:textId="77777777" w:rsidR="009F7F8A" w:rsidRPr="00AC3044" w:rsidRDefault="009F7F8A" w:rsidP="009F7F8A">
            <w:pPr>
              <w:rPr>
                <w:rFonts w:eastAsia="SimSun"/>
              </w:rPr>
            </w:pPr>
            <w:r w:rsidRPr="00AC3044">
              <w:rPr>
                <w:rFonts w:eastAsia="SimSun"/>
              </w:rPr>
              <w:t>Тоцилизумаб</w:t>
            </w:r>
          </w:p>
        </w:tc>
        <w:tc>
          <w:tcPr>
            <w:tcW w:w="1276" w:type="dxa"/>
            <w:vAlign w:val="center"/>
          </w:tcPr>
          <w:p w14:paraId="71D2906B" w14:textId="77777777" w:rsidR="009F7F8A" w:rsidRPr="00AC3044" w:rsidRDefault="009F7F8A" w:rsidP="009F7F8A">
            <w:pPr>
              <w:rPr>
                <w:rFonts w:eastAsia="SimSun"/>
              </w:rPr>
            </w:pPr>
            <w:r w:rsidRPr="00AC3044">
              <w:rPr>
                <w:rFonts w:eastAsia="SimSun"/>
              </w:rPr>
              <w:t>8 мг/кг</w:t>
            </w:r>
          </w:p>
        </w:tc>
        <w:tc>
          <w:tcPr>
            <w:tcW w:w="1417" w:type="dxa"/>
            <w:vAlign w:val="center"/>
          </w:tcPr>
          <w:p w14:paraId="35FB4B96" w14:textId="77777777" w:rsidR="009F7F8A" w:rsidRPr="00AC3044" w:rsidRDefault="009F7F8A" w:rsidP="009F7F8A">
            <w:pPr>
              <w:rPr>
                <w:rFonts w:eastAsia="SimSun"/>
              </w:rPr>
            </w:pPr>
            <w:r w:rsidRPr="00AC3044">
              <w:rPr>
                <w:rFonts w:eastAsia="SimSun"/>
              </w:rPr>
              <w:t>8 мг/кг</w:t>
            </w:r>
          </w:p>
        </w:tc>
        <w:tc>
          <w:tcPr>
            <w:tcW w:w="1843" w:type="dxa"/>
            <w:vAlign w:val="center"/>
          </w:tcPr>
          <w:p w14:paraId="048F96EF" w14:textId="77777777" w:rsidR="009F7F8A" w:rsidRPr="00AC3044" w:rsidRDefault="009F7F8A" w:rsidP="009F7F8A">
            <w:pPr>
              <w:rPr>
                <w:rFonts w:eastAsia="SimSun"/>
              </w:rPr>
            </w:pPr>
            <w:r w:rsidRPr="00AC3044">
              <w:rPr>
                <w:rFonts w:eastAsia="SimSun"/>
              </w:rPr>
              <w:t>–1, +21</w:t>
            </w:r>
          </w:p>
        </w:tc>
        <w:tc>
          <w:tcPr>
            <w:tcW w:w="2835" w:type="dxa"/>
            <w:vAlign w:val="center"/>
          </w:tcPr>
          <w:p w14:paraId="139DEF59" w14:textId="77777777" w:rsidR="009F7F8A" w:rsidRPr="00AC3044" w:rsidRDefault="009F7F8A" w:rsidP="009F7F8A">
            <w:pPr>
              <w:rPr>
                <w:rFonts w:eastAsia="SimSun"/>
              </w:rPr>
            </w:pPr>
            <w:r w:rsidRPr="00AC3044">
              <w:rPr>
                <w:rFonts w:eastAsia="SimSun"/>
              </w:rPr>
              <w:t>В/в, в течение 1 часа</w:t>
            </w:r>
          </w:p>
        </w:tc>
      </w:tr>
      <w:tr w:rsidR="009F7F8A" w:rsidRPr="00AC3044" w14:paraId="22511400" w14:textId="77777777" w:rsidTr="009F7F8A">
        <w:trPr>
          <w:cantSplit/>
          <w:trHeight w:val="20"/>
        </w:trPr>
        <w:tc>
          <w:tcPr>
            <w:tcW w:w="709" w:type="dxa"/>
            <w:vMerge/>
            <w:textDirection w:val="btLr"/>
          </w:tcPr>
          <w:p w14:paraId="21738DFF" w14:textId="77777777" w:rsidR="009F7F8A" w:rsidRPr="00AC3044" w:rsidRDefault="009F7F8A" w:rsidP="009F7F8A">
            <w:pPr>
              <w:rPr>
                <w:rFonts w:eastAsia="SimSun"/>
              </w:rPr>
            </w:pPr>
          </w:p>
        </w:tc>
        <w:tc>
          <w:tcPr>
            <w:tcW w:w="2410" w:type="dxa"/>
            <w:vAlign w:val="center"/>
          </w:tcPr>
          <w:p w14:paraId="691B2BCD" w14:textId="77777777" w:rsidR="009F7F8A" w:rsidRPr="00AC3044" w:rsidRDefault="009F7F8A" w:rsidP="009F7F8A">
            <w:pPr>
              <w:rPr>
                <w:rFonts w:eastAsia="SimSun"/>
              </w:rPr>
            </w:pPr>
            <w:r w:rsidRPr="00AC3044">
              <w:rPr>
                <w:rFonts w:eastAsia="SimSun"/>
              </w:rPr>
              <w:t>Абатацепт1</w:t>
            </w:r>
          </w:p>
        </w:tc>
        <w:tc>
          <w:tcPr>
            <w:tcW w:w="1276" w:type="dxa"/>
            <w:vAlign w:val="center"/>
          </w:tcPr>
          <w:p w14:paraId="526C5234" w14:textId="77777777" w:rsidR="009F7F8A" w:rsidRPr="00AC3044" w:rsidRDefault="009F7F8A" w:rsidP="009F7F8A">
            <w:pPr>
              <w:rPr>
                <w:rFonts w:eastAsia="SimSun"/>
              </w:rPr>
            </w:pPr>
            <w:r w:rsidRPr="00AC3044">
              <w:rPr>
                <w:rFonts w:eastAsia="SimSun"/>
              </w:rPr>
              <w:t>10 мг/кг</w:t>
            </w:r>
          </w:p>
        </w:tc>
        <w:tc>
          <w:tcPr>
            <w:tcW w:w="1417" w:type="dxa"/>
            <w:vAlign w:val="center"/>
          </w:tcPr>
          <w:p w14:paraId="209A82F6" w14:textId="77777777" w:rsidR="009F7F8A" w:rsidRPr="00AC3044" w:rsidRDefault="009F7F8A" w:rsidP="009F7F8A">
            <w:pPr>
              <w:rPr>
                <w:rFonts w:eastAsia="SimSun"/>
              </w:rPr>
            </w:pPr>
            <w:r w:rsidRPr="00AC3044">
              <w:rPr>
                <w:rFonts w:eastAsia="SimSun"/>
              </w:rPr>
              <w:t>40 мг/кг</w:t>
            </w:r>
          </w:p>
        </w:tc>
        <w:tc>
          <w:tcPr>
            <w:tcW w:w="1843" w:type="dxa"/>
            <w:vAlign w:val="center"/>
          </w:tcPr>
          <w:p w14:paraId="629EEAB0" w14:textId="77777777" w:rsidR="009F7F8A" w:rsidRPr="00AC3044" w:rsidRDefault="009F7F8A" w:rsidP="009F7F8A">
            <w:pPr>
              <w:rPr>
                <w:rFonts w:eastAsia="SimSun"/>
              </w:rPr>
            </w:pPr>
            <w:r w:rsidRPr="00AC3044">
              <w:rPr>
                <w:rFonts w:eastAsia="SimSun"/>
              </w:rPr>
              <w:t>–1,+7,+14,+28</w:t>
            </w:r>
          </w:p>
        </w:tc>
        <w:tc>
          <w:tcPr>
            <w:tcW w:w="2835" w:type="dxa"/>
            <w:vAlign w:val="center"/>
          </w:tcPr>
          <w:p w14:paraId="059E3B2E" w14:textId="77777777" w:rsidR="009F7F8A" w:rsidRPr="00AC3044" w:rsidRDefault="009F7F8A" w:rsidP="009F7F8A">
            <w:pPr>
              <w:rPr>
                <w:rFonts w:eastAsia="SimSun"/>
              </w:rPr>
            </w:pPr>
            <w:r w:rsidRPr="00AC3044">
              <w:rPr>
                <w:rFonts w:eastAsia="SimSun"/>
              </w:rPr>
              <w:t>В/в, в течение 30 мин</w:t>
            </w:r>
          </w:p>
        </w:tc>
      </w:tr>
      <w:tr w:rsidR="009F7F8A" w:rsidRPr="00AC3044" w14:paraId="17461632" w14:textId="77777777" w:rsidTr="009F7F8A">
        <w:trPr>
          <w:cantSplit/>
          <w:trHeight w:val="1797"/>
        </w:trPr>
        <w:tc>
          <w:tcPr>
            <w:tcW w:w="709" w:type="dxa"/>
            <w:textDirection w:val="btLr"/>
            <w:vAlign w:val="center"/>
          </w:tcPr>
          <w:p w14:paraId="1B7917FF" w14:textId="77777777" w:rsidR="009F7F8A" w:rsidRPr="00AC3044" w:rsidRDefault="009F7F8A" w:rsidP="009F7F8A">
            <w:pPr>
              <w:rPr>
                <w:rFonts w:eastAsia="SimSun"/>
              </w:rPr>
            </w:pPr>
            <w:r w:rsidRPr="00AC3044">
              <w:rPr>
                <w:rFonts w:eastAsia="SimSun"/>
              </w:rPr>
              <w:lastRenderedPageBreak/>
              <w:t>Ex vivo манипуляция  с трансплантатом</w:t>
            </w:r>
          </w:p>
        </w:tc>
        <w:tc>
          <w:tcPr>
            <w:tcW w:w="2410" w:type="dxa"/>
            <w:vAlign w:val="center"/>
          </w:tcPr>
          <w:p w14:paraId="0F9A5CDE" w14:textId="77777777" w:rsidR="009F7F8A" w:rsidRPr="00AC3044" w:rsidRDefault="009F7F8A" w:rsidP="009F7F8A">
            <w:pPr>
              <w:rPr>
                <w:rFonts w:eastAsia="SimSun"/>
              </w:rPr>
            </w:pPr>
            <w:r w:rsidRPr="00AC3044">
              <w:rPr>
                <w:rFonts w:eastAsia="SimSun"/>
              </w:rPr>
              <w:t>Комплексная услуга TCRαβ/CD19 деплеция</w:t>
            </w:r>
          </w:p>
        </w:tc>
        <w:tc>
          <w:tcPr>
            <w:tcW w:w="1276" w:type="dxa"/>
            <w:vAlign w:val="center"/>
          </w:tcPr>
          <w:p w14:paraId="2FE97236" w14:textId="77777777" w:rsidR="009F7F8A" w:rsidRPr="00AC3044" w:rsidRDefault="009F7F8A" w:rsidP="009F7F8A">
            <w:pPr>
              <w:rPr>
                <w:rFonts w:eastAsia="SimSun"/>
              </w:rPr>
            </w:pPr>
            <w:r w:rsidRPr="00AC3044">
              <w:rPr>
                <w:rFonts w:eastAsia="SimSun"/>
              </w:rPr>
              <w:t>–</w:t>
            </w:r>
          </w:p>
        </w:tc>
        <w:tc>
          <w:tcPr>
            <w:tcW w:w="1417" w:type="dxa"/>
            <w:vAlign w:val="center"/>
          </w:tcPr>
          <w:p w14:paraId="29CF58FC" w14:textId="77777777" w:rsidR="009F7F8A" w:rsidRPr="00AC3044" w:rsidRDefault="009F7F8A" w:rsidP="009F7F8A">
            <w:pPr>
              <w:rPr>
                <w:rFonts w:eastAsia="SimSun"/>
              </w:rPr>
            </w:pPr>
            <w:r w:rsidRPr="00AC3044">
              <w:rPr>
                <w:rFonts w:eastAsia="SimSun"/>
              </w:rPr>
              <w:t>–</w:t>
            </w:r>
          </w:p>
        </w:tc>
        <w:tc>
          <w:tcPr>
            <w:tcW w:w="1843" w:type="dxa"/>
            <w:vAlign w:val="center"/>
          </w:tcPr>
          <w:p w14:paraId="12958D72" w14:textId="77777777" w:rsidR="009F7F8A" w:rsidRPr="00AC3044" w:rsidRDefault="009F7F8A" w:rsidP="009F7F8A">
            <w:pPr>
              <w:rPr>
                <w:rFonts w:eastAsia="SimSun"/>
              </w:rPr>
            </w:pPr>
            <w:r w:rsidRPr="00AC3044">
              <w:rPr>
                <w:rFonts w:eastAsia="SimSun"/>
              </w:rPr>
              <w:t>0</w:t>
            </w:r>
          </w:p>
        </w:tc>
        <w:tc>
          <w:tcPr>
            <w:tcW w:w="2835" w:type="dxa"/>
            <w:vAlign w:val="center"/>
          </w:tcPr>
          <w:p w14:paraId="0E601659" w14:textId="77777777" w:rsidR="009F7F8A" w:rsidRPr="00AC3044" w:rsidRDefault="009F7F8A" w:rsidP="009F7F8A">
            <w:pPr>
              <w:rPr>
                <w:rFonts w:eastAsia="SimSun"/>
              </w:rPr>
            </w:pPr>
            <w:r w:rsidRPr="00AC3044">
              <w:rPr>
                <w:rFonts w:eastAsia="SimSun"/>
              </w:rPr>
              <w:t>-</w:t>
            </w:r>
          </w:p>
        </w:tc>
      </w:tr>
      <w:tr w:rsidR="009F7F8A" w:rsidRPr="00AC3044" w14:paraId="1D7E41A7" w14:textId="77777777" w:rsidTr="009F7F8A">
        <w:trPr>
          <w:trHeight w:val="20"/>
        </w:trPr>
        <w:tc>
          <w:tcPr>
            <w:tcW w:w="10490" w:type="dxa"/>
            <w:gridSpan w:val="6"/>
          </w:tcPr>
          <w:p w14:paraId="76CE490A" w14:textId="77777777" w:rsidR="009F7F8A" w:rsidRPr="00AC3044" w:rsidRDefault="009F7F8A" w:rsidP="009F7F8A">
            <w:pPr>
              <w:rPr>
                <w:rFonts w:eastAsia="SimSun"/>
              </w:rPr>
            </w:pPr>
            <w:r w:rsidRPr="00AC3044">
              <w:rPr>
                <w:rFonts w:eastAsia="SimSun"/>
              </w:rPr>
              <w:t>1 Раствор абатацепта нельзя использовать с оборудованием, имеющим в своём составе силикон.  Содержимое одного флакона растворяют в 10 мл воды для инъекций, используя одноразовый бессиликоновый шприц, имеющийся в комплекте с препаратом. Полученный концентрат немедленно разбавляют 0.9% раствором натрия хлорида для инъекций для получения инфузионного раствора, который немедленно вводится в/в за 30мин через инфузионную систему.  Абатацепт нельзя вводить одновременно с другими препаратами через одну инфузионную систему.</w:t>
            </w:r>
          </w:p>
          <w:p w14:paraId="62D4EC68" w14:textId="77777777" w:rsidR="009F7F8A" w:rsidRPr="00AC3044" w:rsidRDefault="009F7F8A" w:rsidP="009F7F8A">
            <w:pPr>
              <w:rPr>
                <w:rFonts w:eastAsia="SimSun"/>
              </w:rPr>
            </w:pPr>
          </w:p>
        </w:tc>
      </w:tr>
    </w:tbl>
    <w:p w14:paraId="0FA95E6A" w14:textId="77777777" w:rsidR="009F7F8A" w:rsidRDefault="009F7F8A" w:rsidP="009F7F8A">
      <w:pPr>
        <w:rPr>
          <w:rFonts w:eastAsia="SimSun"/>
        </w:rPr>
      </w:pPr>
      <w:bookmarkStart w:id="208" w:name="_Toc44401245"/>
    </w:p>
    <w:p w14:paraId="6F97CB91" w14:textId="77777777" w:rsidR="009F7F8A" w:rsidRPr="00C07B2E" w:rsidRDefault="009F7F8A" w:rsidP="009F7F8A">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4.3  – Flu150+Bu12+Thio / TCRαβ-CD19</w:t>
      </w:r>
      <w:bookmarkEnd w:id="208"/>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0"/>
        <w:gridCol w:w="1276"/>
        <w:gridCol w:w="1417"/>
        <w:gridCol w:w="1843"/>
        <w:gridCol w:w="2835"/>
      </w:tblGrid>
      <w:tr w:rsidR="009F7F8A" w:rsidRPr="00AC3044" w14:paraId="2A34CCCA" w14:textId="77777777" w:rsidTr="009F7F8A">
        <w:trPr>
          <w:cantSplit/>
          <w:trHeight w:val="20"/>
          <w:tblHeader/>
        </w:trPr>
        <w:tc>
          <w:tcPr>
            <w:tcW w:w="709" w:type="dxa"/>
          </w:tcPr>
          <w:p w14:paraId="2D696952" w14:textId="77777777" w:rsidR="009F7F8A" w:rsidRPr="006A5E21" w:rsidRDefault="009F7F8A" w:rsidP="009F7F8A">
            <w:pPr>
              <w:rPr>
                <w:rFonts w:eastAsia="SimSun"/>
              </w:rPr>
            </w:pPr>
          </w:p>
        </w:tc>
        <w:tc>
          <w:tcPr>
            <w:tcW w:w="2410" w:type="dxa"/>
            <w:vAlign w:val="center"/>
          </w:tcPr>
          <w:p w14:paraId="3FFA3B24" w14:textId="77777777" w:rsidR="009F7F8A" w:rsidRPr="00AC3044" w:rsidRDefault="009F7F8A" w:rsidP="009F7F8A">
            <w:pPr>
              <w:rPr>
                <w:rFonts w:eastAsia="SimSun"/>
              </w:rPr>
            </w:pPr>
            <w:r w:rsidRPr="00AC3044">
              <w:rPr>
                <w:rFonts w:eastAsia="SimSun"/>
              </w:rPr>
              <w:t>Препарат</w:t>
            </w:r>
          </w:p>
        </w:tc>
        <w:tc>
          <w:tcPr>
            <w:tcW w:w="1276" w:type="dxa"/>
            <w:vAlign w:val="center"/>
          </w:tcPr>
          <w:p w14:paraId="7DBBB16F" w14:textId="77777777" w:rsidR="009F7F8A" w:rsidRPr="00AC3044" w:rsidRDefault="009F7F8A" w:rsidP="009F7F8A">
            <w:pPr>
              <w:rPr>
                <w:rFonts w:eastAsia="SimSun"/>
              </w:rPr>
            </w:pPr>
            <w:r w:rsidRPr="00AC3044">
              <w:rPr>
                <w:rFonts w:eastAsia="SimSun"/>
              </w:rPr>
              <w:t>Суточная доза</w:t>
            </w:r>
          </w:p>
        </w:tc>
        <w:tc>
          <w:tcPr>
            <w:tcW w:w="1417" w:type="dxa"/>
            <w:vAlign w:val="center"/>
          </w:tcPr>
          <w:p w14:paraId="2492FBF7" w14:textId="77777777" w:rsidR="009F7F8A" w:rsidRPr="00AC3044" w:rsidRDefault="009F7F8A" w:rsidP="009F7F8A">
            <w:pPr>
              <w:rPr>
                <w:rFonts w:eastAsia="SimSun"/>
              </w:rPr>
            </w:pPr>
            <w:r w:rsidRPr="00AC3044">
              <w:rPr>
                <w:rFonts w:eastAsia="SimSun"/>
              </w:rPr>
              <w:t>Курсовая доза</w:t>
            </w:r>
          </w:p>
        </w:tc>
        <w:tc>
          <w:tcPr>
            <w:tcW w:w="1843" w:type="dxa"/>
            <w:vAlign w:val="center"/>
          </w:tcPr>
          <w:p w14:paraId="35D90A53" w14:textId="77777777" w:rsidR="009F7F8A" w:rsidRPr="00AC3044" w:rsidRDefault="009F7F8A" w:rsidP="009F7F8A">
            <w:pPr>
              <w:rPr>
                <w:rFonts w:eastAsia="SimSun"/>
              </w:rPr>
            </w:pPr>
            <w:r w:rsidRPr="00AC3044">
              <w:rPr>
                <w:rFonts w:eastAsia="SimSun"/>
              </w:rPr>
              <w:t>Дни введения</w:t>
            </w:r>
          </w:p>
        </w:tc>
        <w:tc>
          <w:tcPr>
            <w:tcW w:w="2835" w:type="dxa"/>
            <w:vAlign w:val="center"/>
          </w:tcPr>
          <w:p w14:paraId="626DD297"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1E9431B4" w14:textId="77777777" w:rsidTr="009F7F8A">
        <w:trPr>
          <w:cantSplit/>
          <w:trHeight w:val="20"/>
        </w:trPr>
        <w:tc>
          <w:tcPr>
            <w:tcW w:w="709" w:type="dxa"/>
            <w:vMerge w:val="restart"/>
            <w:textDirection w:val="btLr"/>
            <w:vAlign w:val="center"/>
          </w:tcPr>
          <w:p w14:paraId="46A1245E" w14:textId="77777777" w:rsidR="009F7F8A" w:rsidRPr="00AC3044" w:rsidRDefault="009F7F8A" w:rsidP="009F7F8A">
            <w:pPr>
              <w:rPr>
                <w:rFonts w:eastAsia="SimSun"/>
              </w:rPr>
            </w:pPr>
            <w:r w:rsidRPr="00AC3044">
              <w:rPr>
                <w:rFonts w:eastAsia="SimSun"/>
              </w:rPr>
              <w:t>Кондиционирование</w:t>
            </w:r>
          </w:p>
        </w:tc>
        <w:tc>
          <w:tcPr>
            <w:tcW w:w="2410" w:type="dxa"/>
          </w:tcPr>
          <w:p w14:paraId="2EFD12D3" w14:textId="77777777" w:rsidR="009F7F8A" w:rsidRPr="00AC3044" w:rsidRDefault="009F7F8A" w:rsidP="009F7F8A">
            <w:pPr>
              <w:rPr>
                <w:rFonts w:eastAsia="SimSun"/>
              </w:rPr>
            </w:pPr>
            <w:r w:rsidRPr="00AC3044">
              <w:rPr>
                <w:rFonts w:eastAsia="SimSun"/>
              </w:rPr>
              <w:t>Бусульфан</w:t>
            </w:r>
          </w:p>
        </w:tc>
        <w:tc>
          <w:tcPr>
            <w:tcW w:w="1276" w:type="dxa"/>
          </w:tcPr>
          <w:p w14:paraId="3DC7F8FA" w14:textId="77777777" w:rsidR="009F7F8A" w:rsidRPr="00AC3044" w:rsidRDefault="009F7F8A" w:rsidP="009F7F8A">
            <w:pPr>
              <w:rPr>
                <w:rFonts w:eastAsia="SimSun"/>
              </w:rPr>
            </w:pPr>
            <w:r w:rsidRPr="00AC3044">
              <w:rPr>
                <w:rFonts w:eastAsia="SimSun"/>
              </w:rPr>
              <w:t>4 мг/кг</w:t>
            </w:r>
          </w:p>
        </w:tc>
        <w:tc>
          <w:tcPr>
            <w:tcW w:w="1417" w:type="dxa"/>
          </w:tcPr>
          <w:p w14:paraId="3BA75DDF" w14:textId="77777777" w:rsidR="009F7F8A" w:rsidRPr="00AC3044" w:rsidRDefault="009F7F8A" w:rsidP="009F7F8A">
            <w:pPr>
              <w:rPr>
                <w:rFonts w:eastAsia="SimSun"/>
              </w:rPr>
            </w:pPr>
            <w:r w:rsidRPr="00AC3044">
              <w:rPr>
                <w:rFonts w:eastAsia="SimSun"/>
              </w:rPr>
              <w:t>12мг/кг</w:t>
            </w:r>
          </w:p>
        </w:tc>
        <w:tc>
          <w:tcPr>
            <w:tcW w:w="1843" w:type="dxa"/>
          </w:tcPr>
          <w:p w14:paraId="1EC8FFB1" w14:textId="77777777" w:rsidR="009F7F8A" w:rsidRPr="00AC3044" w:rsidRDefault="009F7F8A" w:rsidP="009F7F8A">
            <w:pPr>
              <w:rPr>
                <w:rFonts w:eastAsia="SimSun"/>
              </w:rPr>
            </w:pPr>
            <w:r w:rsidRPr="00AC3044">
              <w:rPr>
                <w:rFonts w:eastAsia="SimSun"/>
              </w:rPr>
              <w:t>–5,–4,–3</w:t>
            </w:r>
          </w:p>
        </w:tc>
        <w:tc>
          <w:tcPr>
            <w:tcW w:w="2835" w:type="dxa"/>
          </w:tcPr>
          <w:p w14:paraId="2005EE50" w14:textId="77777777" w:rsidR="009F7F8A" w:rsidRPr="00AC3044" w:rsidRDefault="009F7F8A" w:rsidP="009F7F8A">
            <w:pPr>
              <w:rPr>
                <w:rFonts w:eastAsia="SimSun"/>
              </w:rPr>
            </w:pPr>
            <w:r w:rsidRPr="00AC3044">
              <w:rPr>
                <w:rFonts w:eastAsia="SimSun"/>
              </w:rPr>
              <w:t>Внутрь, суммарная суточная доза разделяется на 4 приема с интервалом 6 часов.</w:t>
            </w:r>
          </w:p>
        </w:tc>
      </w:tr>
      <w:tr w:rsidR="009F7F8A" w:rsidRPr="00AC3044" w14:paraId="231B9245" w14:textId="77777777" w:rsidTr="009F7F8A">
        <w:trPr>
          <w:cantSplit/>
          <w:trHeight w:val="458"/>
        </w:trPr>
        <w:tc>
          <w:tcPr>
            <w:tcW w:w="709" w:type="dxa"/>
            <w:vMerge/>
            <w:textDirection w:val="btLr"/>
            <w:vAlign w:val="center"/>
          </w:tcPr>
          <w:p w14:paraId="36439A89" w14:textId="77777777" w:rsidR="009F7F8A" w:rsidRPr="00AC3044" w:rsidRDefault="009F7F8A" w:rsidP="009F7F8A">
            <w:pPr>
              <w:rPr>
                <w:rFonts w:eastAsia="SimSun"/>
              </w:rPr>
            </w:pPr>
          </w:p>
        </w:tc>
        <w:tc>
          <w:tcPr>
            <w:tcW w:w="2410" w:type="dxa"/>
            <w:vAlign w:val="center"/>
          </w:tcPr>
          <w:p w14:paraId="5A8C52EF" w14:textId="77777777" w:rsidR="009F7F8A" w:rsidRPr="00AC3044" w:rsidRDefault="009F7F8A" w:rsidP="009F7F8A">
            <w:pPr>
              <w:rPr>
                <w:rFonts w:eastAsia="SimSun"/>
              </w:rPr>
            </w:pPr>
            <w:r w:rsidRPr="00AC3044">
              <w:rPr>
                <w:rFonts w:eastAsia="SimSun"/>
              </w:rPr>
              <w:t>Тиотепа</w:t>
            </w:r>
          </w:p>
        </w:tc>
        <w:tc>
          <w:tcPr>
            <w:tcW w:w="1276" w:type="dxa"/>
            <w:vAlign w:val="center"/>
          </w:tcPr>
          <w:p w14:paraId="54567A82" w14:textId="77777777" w:rsidR="009F7F8A" w:rsidRPr="00AC3044" w:rsidRDefault="009F7F8A" w:rsidP="009F7F8A">
            <w:pPr>
              <w:rPr>
                <w:rFonts w:eastAsia="SimSun"/>
              </w:rPr>
            </w:pPr>
            <w:r w:rsidRPr="00AC3044">
              <w:rPr>
                <w:rFonts w:eastAsia="SimSun"/>
              </w:rPr>
              <w:t xml:space="preserve">5мг/кг </w:t>
            </w:r>
          </w:p>
        </w:tc>
        <w:tc>
          <w:tcPr>
            <w:tcW w:w="1417" w:type="dxa"/>
            <w:vAlign w:val="center"/>
          </w:tcPr>
          <w:p w14:paraId="14A6A558" w14:textId="77777777" w:rsidR="009F7F8A" w:rsidRPr="00AC3044" w:rsidRDefault="009F7F8A" w:rsidP="009F7F8A">
            <w:pPr>
              <w:rPr>
                <w:rFonts w:eastAsia="SimSun"/>
              </w:rPr>
            </w:pPr>
            <w:r w:rsidRPr="00AC3044">
              <w:rPr>
                <w:rFonts w:eastAsia="SimSun"/>
              </w:rPr>
              <w:t>10 мг/кг</w:t>
            </w:r>
          </w:p>
        </w:tc>
        <w:tc>
          <w:tcPr>
            <w:tcW w:w="1843" w:type="dxa"/>
            <w:vAlign w:val="center"/>
          </w:tcPr>
          <w:p w14:paraId="5821EBD2" w14:textId="77777777" w:rsidR="009F7F8A" w:rsidRPr="00AC3044" w:rsidRDefault="009F7F8A" w:rsidP="009F7F8A">
            <w:pPr>
              <w:rPr>
                <w:rFonts w:eastAsia="SimSun"/>
              </w:rPr>
            </w:pPr>
            <w:r w:rsidRPr="00AC3044">
              <w:rPr>
                <w:rFonts w:eastAsia="SimSun"/>
              </w:rPr>
              <w:t>–6,–5</w:t>
            </w:r>
          </w:p>
        </w:tc>
        <w:tc>
          <w:tcPr>
            <w:tcW w:w="2835" w:type="dxa"/>
            <w:vAlign w:val="center"/>
          </w:tcPr>
          <w:p w14:paraId="2860C2BD"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5FB1ABE8" w14:textId="77777777" w:rsidTr="009F7F8A">
        <w:trPr>
          <w:cantSplit/>
          <w:trHeight w:val="550"/>
        </w:trPr>
        <w:tc>
          <w:tcPr>
            <w:tcW w:w="709" w:type="dxa"/>
            <w:vMerge/>
            <w:textDirection w:val="btLr"/>
            <w:vAlign w:val="center"/>
          </w:tcPr>
          <w:p w14:paraId="73C73116" w14:textId="77777777" w:rsidR="009F7F8A" w:rsidRPr="00AC3044" w:rsidRDefault="009F7F8A" w:rsidP="009F7F8A">
            <w:pPr>
              <w:rPr>
                <w:rFonts w:eastAsia="SimSun"/>
              </w:rPr>
            </w:pPr>
          </w:p>
        </w:tc>
        <w:tc>
          <w:tcPr>
            <w:tcW w:w="2410" w:type="dxa"/>
            <w:vAlign w:val="center"/>
          </w:tcPr>
          <w:p w14:paraId="3BB318E5" w14:textId="77777777" w:rsidR="009F7F8A" w:rsidRPr="00AC3044" w:rsidRDefault="009F7F8A" w:rsidP="009F7F8A">
            <w:pPr>
              <w:rPr>
                <w:rFonts w:eastAsia="SimSun"/>
              </w:rPr>
            </w:pPr>
            <w:r w:rsidRPr="00AC3044">
              <w:rPr>
                <w:rFonts w:eastAsia="SimSun"/>
              </w:rPr>
              <w:t>Флударабин</w:t>
            </w:r>
          </w:p>
        </w:tc>
        <w:tc>
          <w:tcPr>
            <w:tcW w:w="1276" w:type="dxa"/>
            <w:vAlign w:val="center"/>
          </w:tcPr>
          <w:p w14:paraId="60CEE56D" w14:textId="77777777" w:rsidR="009F7F8A" w:rsidRPr="00AC3044" w:rsidRDefault="009F7F8A" w:rsidP="009F7F8A">
            <w:pPr>
              <w:rPr>
                <w:rFonts w:eastAsia="SimSun"/>
              </w:rPr>
            </w:pPr>
            <w:r w:rsidRPr="00AC3044">
              <w:rPr>
                <w:rFonts w:eastAsia="SimSun"/>
              </w:rPr>
              <w:t>30 мг/м</w:t>
            </w:r>
            <w:r w:rsidRPr="0074195F">
              <w:rPr>
                <w:rFonts w:eastAsia="SimSun"/>
                <w:vertAlign w:val="superscript"/>
              </w:rPr>
              <w:t>2</w:t>
            </w:r>
          </w:p>
        </w:tc>
        <w:tc>
          <w:tcPr>
            <w:tcW w:w="1417" w:type="dxa"/>
            <w:vAlign w:val="center"/>
          </w:tcPr>
          <w:p w14:paraId="7C447770" w14:textId="77777777" w:rsidR="009F7F8A" w:rsidRPr="00AC3044" w:rsidRDefault="009F7F8A" w:rsidP="009F7F8A">
            <w:pPr>
              <w:rPr>
                <w:rFonts w:eastAsia="SimSun"/>
              </w:rPr>
            </w:pPr>
            <w:r w:rsidRPr="00AC3044">
              <w:rPr>
                <w:rFonts w:eastAsia="SimSun"/>
              </w:rPr>
              <w:t>150 мг/м</w:t>
            </w:r>
            <w:r w:rsidRPr="0074195F">
              <w:rPr>
                <w:rFonts w:eastAsia="SimSun"/>
                <w:vertAlign w:val="superscript"/>
              </w:rPr>
              <w:t>2</w:t>
            </w:r>
          </w:p>
        </w:tc>
        <w:tc>
          <w:tcPr>
            <w:tcW w:w="1843" w:type="dxa"/>
            <w:vAlign w:val="center"/>
          </w:tcPr>
          <w:p w14:paraId="69A6F2A7" w14:textId="77777777" w:rsidR="009F7F8A" w:rsidRPr="00AC3044" w:rsidRDefault="009F7F8A" w:rsidP="009F7F8A">
            <w:pPr>
              <w:rPr>
                <w:rFonts w:eastAsia="SimSun"/>
              </w:rPr>
            </w:pPr>
            <w:r w:rsidRPr="00AC3044">
              <w:rPr>
                <w:rFonts w:eastAsia="SimSun"/>
              </w:rPr>
              <w:t>–6,–5,–4, –3, –2</w:t>
            </w:r>
          </w:p>
        </w:tc>
        <w:tc>
          <w:tcPr>
            <w:tcW w:w="2835" w:type="dxa"/>
            <w:vAlign w:val="center"/>
          </w:tcPr>
          <w:p w14:paraId="44B7F152" w14:textId="77777777" w:rsidR="009F7F8A" w:rsidRPr="00AC3044" w:rsidRDefault="009F7F8A" w:rsidP="009F7F8A">
            <w:pPr>
              <w:rPr>
                <w:rFonts w:eastAsia="SimSun"/>
              </w:rPr>
            </w:pPr>
            <w:r w:rsidRPr="00AC3044">
              <w:rPr>
                <w:rFonts w:eastAsia="SimSun"/>
              </w:rPr>
              <w:t>В/в, в течение 30 -60 мин</w:t>
            </w:r>
          </w:p>
        </w:tc>
      </w:tr>
      <w:tr w:rsidR="009F7F8A" w:rsidRPr="00AC3044" w14:paraId="2CF61BA9" w14:textId="77777777" w:rsidTr="009F7F8A">
        <w:trPr>
          <w:cantSplit/>
          <w:trHeight w:val="416"/>
        </w:trPr>
        <w:tc>
          <w:tcPr>
            <w:tcW w:w="709" w:type="dxa"/>
            <w:vMerge w:val="restart"/>
            <w:textDirection w:val="btLr"/>
            <w:vAlign w:val="center"/>
          </w:tcPr>
          <w:p w14:paraId="3E1CCA4F" w14:textId="77777777" w:rsidR="009F7F8A" w:rsidRPr="00AC3044" w:rsidRDefault="009F7F8A" w:rsidP="009F7F8A">
            <w:pPr>
              <w:rPr>
                <w:rFonts w:eastAsia="SimSun"/>
              </w:rPr>
            </w:pPr>
            <w:r w:rsidRPr="00AC3044">
              <w:rPr>
                <w:rFonts w:eastAsia="SimSun"/>
              </w:rPr>
              <w:t>Профилактика РТПХ</w:t>
            </w:r>
          </w:p>
        </w:tc>
        <w:tc>
          <w:tcPr>
            <w:tcW w:w="2410" w:type="dxa"/>
            <w:vAlign w:val="center"/>
          </w:tcPr>
          <w:p w14:paraId="718A092B" w14:textId="77777777" w:rsidR="009F7F8A" w:rsidRPr="00AC3044" w:rsidRDefault="009F7F8A" w:rsidP="009F7F8A">
            <w:pPr>
              <w:rPr>
                <w:rFonts w:eastAsia="SimSun"/>
              </w:rPr>
            </w:pPr>
            <w:r w:rsidRPr="00AC3044">
              <w:rPr>
                <w:rFonts w:eastAsia="SimSun"/>
              </w:rPr>
              <w:t>Ритуксимаб</w:t>
            </w:r>
          </w:p>
        </w:tc>
        <w:tc>
          <w:tcPr>
            <w:tcW w:w="1276" w:type="dxa"/>
            <w:vAlign w:val="center"/>
          </w:tcPr>
          <w:p w14:paraId="578EB9F8" w14:textId="77777777" w:rsidR="009F7F8A" w:rsidRPr="00AC3044" w:rsidRDefault="009F7F8A" w:rsidP="009F7F8A">
            <w:pPr>
              <w:rPr>
                <w:rFonts w:eastAsia="SimSun"/>
              </w:rPr>
            </w:pPr>
            <w:r w:rsidRPr="00AC3044">
              <w:rPr>
                <w:rFonts w:eastAsia="SimSun"/>
              </w:rPr>
              <w:t>100 мг/м</w:t>
            </w:r>
            <w:r w:rsidRPr="0074195F">
              <w:rPr>
                <w:rFonts w:eastAsia="SimSun"/>
                <w:vertAlign w:val="superscript"/>
              </w:rPr>
              <w:t>2</w:t>
            </w:r>
          </w:p>
        </w:tc>
        <w:tc>
          <w:tcPr>
            <w:tcW w:w="1417" w:type="dxa"/>
            <w:vAlign w:val="center"/>
          </w:tcPr>
          <w:p w14:paraId="198148F8" w14:textId="77777777" w:rsidR="009F7F8A" w:rsidRPr="00AC3044" w:rsidRDefault="009F7F8A" w:rsidP="009F7F8A">
            <w:pPr>
              <w:rPr>
                <w:rFonts w:eastAsia="SimSun"/>
              </w:rPr>
            </w:pPr>
            <w:r w:rsidRPr="00AC3044">
              <w:rPr>
                <w:rFonts w:eastAsia="SimSun"/>
              </w:rPr>
              <w:t>100 мг/м</w:t>
            </w:r>
            <w:r w:rsidRPr="0074195F">
              <w:rPr>
                <w:rFonts w:eastAsia="SimSun"/>
                <w:vertAlign w:val="superscript"/>
              </w:rPr>
              <w:t>2</w:t>
            </w:r>
          </w:p>
        </w:tc>
        <w:tc>
          <w:tcPr>
            <w:tcW w:w="1843" w:type="dxa"/>
            <w:vAlign w:val="center"/>
          </w:tcPr>
          <w:p w14:paraId="0FD91ED3" w14:textId="77777777" w:rsidR="009F7F8A" w:rsidRPr="00AC3044" w:rsidRDefault="009F7F8A" w:rsidP="009F7F8A">
            <w:pPr>
              <w:rPr>
                <w:rFonts w:eastAsia="SimSun"/>
              </w:rPr>
            </w:pPr>
            <w:r w:rsidRPr="00AC3044">
              <w:rPr>
                <w:rFonts w:eastAsia="SimSun"/>
              </w:rPr>
              <w:t>–1</w:t>
            </w:r>
          </w:p>
        </w:tc>
        <w:tc>
          <w:tcPr>
            <w:tcW w:w="2835" w:type="dxa"/>
            <w:vAlign w:val="center"/>
          </w:tcPr>
          <w:p w14:paraId="17803822" w14:textId="77777777" w:rsidR="009F7F8A" w:rsidRPr="00AC3044" w:rsidRDefault="009F7F8A" w:rsidP="009F7F8A">
            <w:pPr>
              <w:rPr>
                <w:rFonts w:eastAsia="SimSun"/>
              </w:rPr>
            </w:pPr>
            <w:r w:rsidRPr="00AC3044">
              <w:rPr>
                <w:rFonts w:eastAsia="SimSun"/>
              </w:rPr>
              <w:t>В/в, в течение 2 часов</w:t>
            </w:r>
          </w:p>
        </w:tc>
      </w:tr>
      <w:tr w:rsidR="009F7F8A" w:rsidRPr="00AC3044" w14:paraId="6782E92D" w14:textId="77777777" w:rsidTr="009F7F8A">
        <w:trPr>
          <w:cantSplit/>
          <w:trHeight w:val="20"/>
        </w:trPr>
        <w:tc>
          <w:tcPr>
            <w:tcW w:w="709" w:type="dxa"/>
            <w:vMerge/>
            <w:textDirection w:val="btLr"/>
          </w:tcPr>
          <w:p w14:paraId="788FFBC8" w14:textId="77777777" w:rsidR="009F7F8A" w:rsidRPr="00AC3044" w:rsidRDefault="009F7F8A" w:rsidP="009F7F8A">
            <w:pPr>
              <w:rPr>
                <w:rFonts w:eastAsia="SimSun"/>
              </w:rPr>
            </w:pPr>
          </w:p>
        </w:tc>
        <w:tc>
          <w:tcPr>
            <w:tcW w:w="2410" w:type="dxa"/>
            <w:vAlign w:val="center"/>
          </w:tcPr>
          <w:p w14:paraId="46BB1C3F" w14:textId="77777777" w:rsidR="009F7F8A" w:rsidRPr="00AC3044" w:rsidRDefault="009F7F8A" w:rsidP="009F7F8A">
            <w:pPr>
              <w:rPr>
                <w:rFonts w:eastAsia="SimSun"/>
              </w:rPr>
            </w:pPr>
            <w:r w:rsidRPr="00AC3044">
              <w:rPr>
                <w:rFonts w:eastAsia="SimSun"/>
              </w:rPr>
              <w:t>Тоцилизумаб</w:t>
            </w:r>
          </w:p>
        </w:tc>
        <w:tc>
          <w:tcPr>
            <w:tcW w:w="1276" w:type="dxa"/>
            <w:vAlign w:val="center"/>
          </w:tcPr>
          <w:p w14:paraId="133768A4" w14:textId="77777777" w:rsidR="009F7F8A" w:rsidRPr="00AC3044" w:rsidRDefault="009F7F8A" w:rsidP="009F7F8A">
            <w:pPr>
              <w:rPr>
                <w:rFonts w:eastAsia="SimSun"/>
              </w:rPr>
            </w:pPr>
            <w:r w:rsidRPr="00AC3044">
              <w:rPr>
                <w:rFonts w:eastAsia="SimSun"/>
              </w:rPr>
              <w:t>8 мг/кг</w:t>
            </w:r>
          </w:p>
        </w:tc>
        <w:tc>
          <w:tcPr>
            <w:tcW w:w="1417" w:type="dxa"/>
            <w:vAlign w:val="center"/>
          </w:tcPr>
          <w:p w14:paraId="4FB6278E" w14:textId="77777777" w:rsidR="009F7F8A" w:rsidRPr="00AC3044" w:rsidRDefault="009F7F8A" w:rsidP="009F7F8A">
            <w:pPr>
              <w:rPr>
                <w:rFonts w:eastAsia="SimSun"/>
              </w:rPr>
            </w:pPr>
            <w:r w:rsidRPr="00AC3044">
              <w:rPr>
                <w:rFonts w:eastAsia="SimSun"/>
              </w:rPr>
              <w:t>8 мг/кг</w:t>
            </w:r>
          </w:p>
        </w:tc>
        <w:tc>
          <w:tcPr>
            <w:tcW w:w="1843" w:type="dxa"/>
            <w:vAlign w:val="center"/>
          </w:tcPr>
          <w:p w14:paraId="1A185379" w14:textId="77777777" w:rsidR="009F7F8A" w:rsidRPr="00AC3044" w:rsidRDefault="009F7F8A" w:rsidP="009F7F8A">
            <w:pPr>
              <w:rPr>
                <w:rFonts w:eastAsia="SimSun"/>
              </w:rPr>
            </w:pPr>
            <w:r w:rsidRPr="00AC3044">
              <w:rPr>
                <w:rFonts w:eastAsia="SimSun"/>
              </w:rPr>
              <w:t>–1, +21</w:t>
            </w:r>
          </w:p>
        </w:tc>
        <w:tc>
          <w:tcPr>
            <w:tcW w:w="2835" w:type="dxa"/>
            <w:vAlign w:val="center"/>
          </w:tcPr>
          <w:p w14:paraId="3246F71D" w14:textId="77777777" w:rsidR="009F7F8A" w:rsidRPr="00AC3044" w:rsidRDefault="009F7F8A" w:rsidP="009F7F8A">
            <w:pPr>
              <w:rPr>
                <w:rFonts w:eastAsia="SimSun"/>
              </w:rPr>
            </w:pPr>
            <w:r w:rsidRPr="00AC3044">
              <w:rPr>
                <w:rFonts w:eastAsia="SimSun"/>
              </w:rPr>
              <w:t>В/в, в течение 1 часа</w:t>
            </w:r>
          </w:p>
        </w:tc>
      </w:tr>
      <w:tr w:rsidR="009F7F8A" w:rsidRPr="00AC3044" w14:paraId="63807296" w14:textId="77777777" w:rsidTr="009F7F8A">
        <w:trPr>
          <w:cantSplit/>
          <w:trHeight w:val="20"/>
        </w:trPr>
        <w:tc>
          <w:tcPr>
            <w:tcW w:w="709" w:type="dxa"/>
            <w:vMerge/>
            <w:textDirection w:val="btLr"/>
          </w:tcPr>
          <w:p w14:paraId="243854CB" w14:textId="77777777" w:rsidR="009F7F8A" w:rsidRPr="00AC3044" w:rsidRDefault="009F7F8A" w:rsidP="009F7F8A">
            <w:pPr>
              <w:rPr>
                <w:rFonts w:eastAsia="SimSun"/>
              </w:rPr>
            </w:pPr>
          </w:p>
        </w:tc>
        <w:tc>
          <w:tcPr>
            <w:tcW w:w="2410" w:type="dxa"/>
            <w:vAlign w:val="center"/>
          </w:tcPr>
          <w:p w14:paraId="2019A360" w14:textId="77777777" w:rsidR="009F7F8A" w:rsidRPr="00AC3044" w:rsidRDefault="009F7F8A" w:rsidP="009F7F8A">
            <w:pPr>
              <w:rPr>
                <w:rFonts w:eastAsia="SimSun"/>
              </w:rPr>
            </w:pPr>
            <w:r w:rsidRPr="00AC3044">
              <w:rPr>
                <w:rFonts w:eastAsia="SimSun"/>
              </w:rPr>
              <w:t>Абатацепт1</w:t>
            </w:r>
          </w:p>
        </w:tc>
        <w:tc>
          <w:tcPr>
            <w:tcW w:w="1276" w:type="dxa"/>
            <w:vAlign w:val="center"/>
          </w:tcPr>
          <w:p w14:paraId="129D5320" w14:textId="77777777" w:rsidR="009F7F8A" w:rsidRPr="00AC3044" w:rsidRDefault="009F7F8A" w:rsidP="009F7F8A">
            <w:pPr>
              <w:rPr>
                <w:rFonts w:eastAsia="SimSun"/>
              </w:rPr>
            </w:pPr>
            <w:r w:rsidRPr="00AC3044">
              <w:rPr>
                <w:rFonts w:eastAsia="SimSun"/>
              </w:rPr>
              <w:t>10 мг/кг</w:t>
            </w:r>
          </w:p>
        </w:tc>
        <w:tc>
          <w:tcPr>
            <w:tcW w:w="1417" w:type="dxa"/>
            <w:vAlign w:val="center"/>
          </w:tcPr>
          <w:p w14:paraId="388A9D69" w14:textId="77777777" w:rsidR="009F7F8A" w:rsidRPr="00AC3044" w:rsidRDefault="009F7F8A" w:rsidP="009F7F8A">
            <w:pPr>
              <w:rPr>
                <w:rFonts w:eastAsia="SimSun"/>
              </w:rPr>
            </w:pPr>
            <w:r w:rsidRPr="00AC3044">
              <w:rPr>
                <w:rFonts w:eastAsia="SimSun"/>
              </w:rPr>
              <w:t>40 мг/кг</w:t>
            </w:r>
          </w:p>
        </w:tc>
        <w:tc>
          <w:tcPr>
            <w:tcW w:w="1843" w:type="dxa"/>
            <w:vAlign w:val="center"/>
          </w:tcPr>
          <w:p w14:paraId="38C5941F" w14:textId="77777777" w:rsidR="009F7F8A" w:rsidRPr="00AC3044" w:rsidRDefault="009F7F8A" w:rsidP="009F7F8A">
            <w:pPr>
              <w:rPr>
                <w:rFonts w:eastAsia="SimSun"/>
              </w:rPr>
            </w:pPr>
            <w:r w:rsidRPr="00AC3044">
              <w:rPr>
                <w:rFonts w:eastAsia="SimSun"/>
              </w:rPr>
              <w:t>–1,+7,+14,+28</w:t>
            </w:r>
          </w:p>
        </w:tc>
        <w:tc>
          <w:tcPr>
            <w:tcW w:w="2835" w:type="dxa"/>
            <w:vAlign w:val="center"/>
          </w:tcPr>
          <w:p w14:paraId="0ED02DF9" w14:textId="77777777" w:rsidR="009F7F8A" w:rsidRPr="00AC3044" w:rsidRDefault="009F7F8A" w:rsidP="009F7F8A">
            <w:pPr>
              <w:rPr>
                <w:rFonts w:eastAsia="SimSun"/>
              </w:rPr>
            </w:pPr>
            <w:r w:rsidRPr="00AC3044">
              <w:rPr>
                <w:rFonts w:eastAsia="SimSun"/>
              </w:rPr>
              <w:t>В/в, в течение 30 мин</w:t>
            </w:r>
          </w:p>
        </w:tc>
      </w:tr>
      <w:tr w:rsidR="009F7F8A" w:rsidRPr="00AC3044" w14:paraId="1B5AA4A9" w14:textId="77777777" w:rsidTr="009F7F8A">
        <w:trPr>
          <w:cantSplit/>
          <w:trHeight w:val="1797"/>
        </w:trPr>
        <w:tc>
          <w:tcPr>
            <w:tcW w:w="709" w:type="dxa"/>
            <w:textDirection w:val="btLr"/>
            <w:vAlign w:val="center"/>
          </w:tcPr>
          <w:p w14:paraId="51B8C91F" w14:textId="77777777" w:rsidR="009F7F8A" w:rsidRPr="00AC3044" w:rsidRDefault="009F7F8A" w:rsidP="009F7F8A">
            <w:pPr>
              <w:rPr>
                <w:rFonts w:eastAsia="SimSun"/>
              </w:rPr>
            </w:pPr>
            <w:r w:rsidRPr="00AC3044">
              <w:rPr>
                <w:rFonts w:eastAsia="SimSun"/>
              </w:rPr>
              <w:t>Ex vivo манипуляция  с трансплантатом</w:t>
            </w:r>
          </w:p>
        </w:tc>
        <w:tc>
          <w:tcPr>
            <w:tcW w:w="2410" w:type="dxa"/>
            <w:vAlign w:val="center"/>
          </w:tcPr>
          <w:p w14:paraId="390881EE" w14:textId="77777777" w:rsidR="009F7F8A" w:rsidRPr="00AC3044" w:rsidRDefault="009F7F8A" w:rsidP="009F7F8A">
            <w:pPr>
              <w:rPr>
                <w:rFonts w:eastAsia="SimSun"/>
              </w:rPr>
            </w:pPr>
            <w:r w:rsidRPr="00AC3044">
              <w:rPr>
                <w:rFonts w:eastAsia="SimSun"/>
              </w:rPr>
              <w:t>Комплексная услуга TCRαβ/CD19 деплеция</w:t>
            </w:r>
          </w:p>
        </w:tc>
        <w:tc>
          <w:tcPr>
            <w:tcW w:w="1276" w:type="dxa"/>
            <w:vAlign w:val="center"/>
          </w:tcPr>
          <w:p w14:paraId="166D4EDF" w14:textId="77777777" w:rsidR="009F7F8A" w:rsidRPr="00AC3044" w:rsidRDefault="009F7F8A" w:rsidP="009F7F8A">
            <w:pPr>
              <w:rPr>
                <w:rFonts w:eastAsia="SimSun"/>
              </w:rPr>
            </w:pPr>
            <w:r w:rsidRPr="00AC3044">
              <w:rPr>
                <w:rFonts w:eastAsia="SimSun"/>
              </w:rPr>
              <w:t>–</w:t>
            </w:r>
          </w:p>
        </w:tc>
        <w:tc>
          <w:tcPr>
            <w:tcW w:w="1417" w:type="dxa"/>
            <w:vAlign w:val="center"/>
          </w:tcPr>
          <w:p w14:paraId="7A777875" w14:textId="77777777" w:rsidR="009F7F8A" w:rsidRPr="00AC3044" w:rsidRDefault="009F7F8A" w:rsidP="009F7F8A">
            <w:pPr>
              <w:rPr>
                <w:rFonts w:eastAsia="SimSun"/>
              </w:rPr>
            </w:pPr>
            <w:r w:rsidRPr="00AC3044">
              <w:rPr>
                <w:rFonts w:eastAsia="SimSun"/>
              </w:rPr>
              <w:t>–</w:t>
            </w:r>
          </w:p>
        </w:tc>
        <w:tc>
          <w:tcPr>
            <w:tcW w:w="1843" w:type="dxa"/>
            <w:vAlign w:val="center"/>
          </w:tcPr>
          <w:p w14:paraId="54550A3A" w14:textId="77777777" w:rsidR="009F7F8A" w:rsidRPr="00AC3044" w:rsidRDefault="009F7F8A" w:rsidP="009F7F8A">
            <w:pPr>
              <w:rPr>
                <w:rFonts w:eastAsia="SimSun"/>
              </w:rPr>
            </w:pPr>
            <w:r w:rsidRPr="00AC3044">
              <w:rPr>
                <w:rFonts w:eastAsia="SimSun"/>
              </w:rPr>
              <w:t>0</w:t>
            </w:r>
          </w:p>
        </w:tc>
        <w:tc>
          <w:tcPr>
            <w:tcW w:w="2835" w:type="dxa"/>
            <w:vAlign w:val="center"/>
          </w:tcPr>
          <w:p w14:paraId="5D76384C" w14:textId="77777777" w:rsidR="009F7F8A" w:rsidRPr="00AC3044" w:rsidRDefault="009F7F8A" w:rsidP="009F7F8A">
            <w:pPr>
              <w:rPr>
                <w:rFonts w:eastAsia="SimSun"/>
              </w:rPr>
            </w:pPr>
            <w:r w:rsidRPr="00AC3044">
              <w:rPr>
                <w:rFonts w:eastAsia="SimSun"/>
              </w:rPr>
              <w:t>-</w:t>
            </w:r>
          </w:p>
        </w:tc>
      </w:tr>
      <w:tr w:rsidR="009F7F8A" w:rsidRPr="00AC3044" w14:paraId="53009802" w14:textId="77777777" w:rsidTr="009F7F8A">
        <w:trPr>
          <w:trHeight w:val="20"/>
        </w:trPr>
        <w:tc>
          <w:tcPr>
            <w:tcW w:w="10490" w:type="dxa"/>
            <w:gridSpan w:val="6"/>
          </w:tcPr>
          <w:p w14:paraId="7F6BB431" w14:textId="77777777" w:rsidR="009F7F8A" w:rsidRPr="00AC3044" w:rsidRDefault="009F7F8A" w:rsidP="009F7F8A">
            <w:pPr>
              <w:rPr>
                <w:rFonts w:eastAsia="SimSun"/>
              </w:rPr>
            </w:pPr>
            <w:r w:rsidRPr="00AC3044">
              <w:rPr>
                <w:rFonts w:eastAsia="SimSun"/>
              </w:rPr>
              <w:t xml:space="preserve">1 Раствор абатацепта нельзя использовать с оборудованием, имеющим в своём составе силикон.  Содержимое одного флакона растворяют в 10 мл воды для инъекций, используя одноразовый бессиликоновый шприц, имеющийся в комплекте с препаратом. Полученный концентрат </w:t>
            </w:r>
            <w:r w:rsidRPr="00AC3044">
              <w:rPr>
                <w:rFonts w:eastAsia="SimSun"/>
              </w:rPr>
              <w:lastRenderedPageBreak/>
              <w:t>немедленно разбавляют 0.9% раствором натрия хлорида для инъекций для получения инфузионного раствора, который немедленно вводится в/в за 30мин через инфузионную систему.  Абатацепт нельзя вводить одновременно с другими препаратами через одну инфузионную систему.</w:t>
            </w:r>
          </w:p>
          <w:p w14:paraId="61ECC2F8" w14:textId="77777777" w:rsidR="009F7F8A" w:rsidRPr="00AC3044" w:rsidRDefault="009F7F8A" w:rsidP="009F7F8A">
            <w:pPr>
              <w:rPr>
                <w:rFonts w:eastAsia="SimSun"/>
              </w:rPr>
            </w:pPr>
          </w:p>
        </w:tc>
      </w:tr>
    </w:tbl>
    <w:p w14:paraId="58D45E7D" w14:textId="77777777" w:rsidR="009F7F8A" w:rsidRDefault="009F7F8A" w:rsidP="009F7F8A">
      <w:pPr>
        <w:rPr>
          <w:rFonts w:eastAsia="SimSun"/>
        </w:rPr>
      </w:pPr>
      <w:bookmarkStart w:id="209" w:name="_Toc44401246"/>
    </w:p>
    <w:p w14:paraId="6639D27A" w14:textId="77777777" w:rsidR="009F7F8A" w:rsidRPr="00C07B2E" w:rsidRDefault="009F7F8A" w:rsidP="009F7F8A">
      <w:pPr>
        <w:rPr>
          <w:rFonts w:eastAsia="SimSun"/>
        </w:rPr>
      </w:pPr>
      <w:r>
        <w:rPr>
          <w:rFonts w:eastAsia="SimSun"/>
        </w:rPr>
        <w:t>Таблица</w:t>
      </w:r>
      <w:r w:rsidRPr="00C07B2E">
        <w:rPr>
          <w:rFonts w:eastAsia="SimSun"/>
        </w:rPr>
        <w:t xml:space="preserve"> </w:t>
      </w:r>
      <w:r>
        <w:rPr>
          <w:rFonts w:eastAsia="SimSun"/>
        </w:rPr>
        <w:t>5.</w:t>
      </w:r>
      <w:r w:rsidRPr="00C07B2E">
        <w:rPr>
          <w:rFonts w:eastAsia="SimSun"/>
        </w:rPr>
        <w:t>4.4.  – CD34+ ("boost")</w:t>
      </w:r>
      <w:bookmarkEnd w:id="209"/>
    </w:p>
    <w:p w14:paraId="534C6FD4" w14:textId="77777777" w:rsidR="009F7F8A" w:rsidRPr="00C07B2E" w:rsidRDefault="009F7F8A" w:rsidP="009F7F8A">
      <w:pPr>
        <w:rPr>
          <w:rFonts w:eastAsia="SimSun"/>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1843"/>
        <w:gridCol w:w="1417"/>
        <w:gridCol w:w="1843"/>
        <w:gridCol w:w="2835"/>
      </w:tblGrid>
      <w:tr w:rsidR="009F7F8A" w:rsidRPr="00AC3044" w14:paraId="4815CD00" w14:textId="77777777" w:rsidTr="009F7F8A">
        <w:trPr>
          <w:cantSplit/>
          <w:trHeight w:val="20"/>
          <w:tblHeader/>
        </w:trPr>
        <w:tc>
          <w:tcPr>
            <w:tcW w:w="709" w:type="dxa"/>
          </w:tcPr>
          <w:p w14:paraId="366B0C3B" w14:textId="77777777" w:rsidR="009F7F8A" w:rsidRPr="00AC3044" w:rsidRDefault="009F7F8A" w:rsidP="009F7F8A">
            <w:pPr>
              <w:rPr>
                <w:rFonts w:eastAsia="SimSun"/>
              </w:rPr>
            </w:pPr>
          </w:p>
        </w:tc>
        <w:tc>
          <w:tcPr>
            <w:tcW w:w="1843" w:type="dxa"/>
            <w:vAlign w:val="center"/>
          </w:tcPr>
          <w:p w14:paraId="43C102B5" w14:textId="77777777" w:rsidR="009F7F8A" w:rsidRPr="00AC3044" w:rsidRDefault="009F7F8A" w:rsidP="009F7F8A">
            <w:pPr>
              <w:rPr>
                <w:rFonts w:eastAsia="SimSun"/>
              </w:rPr>
            </w:pPr>
            <w:r w:rsidRPr="00AC3044">
              <w:rPr>
                <w:rFonts w:eastAsia="SimSun"/>
              </w:rPr>
              <w:t>Препарат</w:t>
            </w:r>
          </w:p>
        </w:tc>
        <w:tc>
          <w:tcPr>
            <w:tcW w:w="1843" w:type="dxa"/>
            <w:vAlign w:val="center"/>
          </w:tcPr>
          <w:p w14:paraId="5E91BA56" w14:textId="77777777" w:rsidR="009F7F8A" w:rsidRPr="00AC3044" w:rsidRDefault="009F7F8A" w:rsidP="009F7F8A">
            <w:pPr>
              <w:rPr>
                <w:rFonts w:eastAsia="SimSun"/>
              </w:rPr>
            </w:pPr>
            <w:r w:rsidRPr="00AC3044">
              <w:rPr>
                <w:rFonts w:eastAsia="SimSun"/>
              </w:rPr>
              <w:t>Суточная доза</w:t>
            </w:r>
          </w:p>
        </w:tc>
        <w:tc>
          <w:tcPr>
            <w:tcW w:w="1417" w:type="dxa"/>
            <w:vAlign w:val="center"/>
          </w:tcPr>
          <w:p w14:paraId="17A65441" w14:textId="77777777" w:rsidR="009F7F8A" w:rsidRPr="00AC3044" w:rsidRDefault="009F7F8A" w:rsidP="009F7F8A">
            <w:pPr>
              <w:rPr>
                <w:rFonts w:eastAsia="SimSun"/>
              </w:rPr>
            </w:pPr>
            <w:r w:rsidRPr="00AC3044">
              <w:rPr>
                <w:rFonts w:eastAsia="SimSun"/>
              </w:rPr>
              <w:t>Курсовая доза</w:t>
            </w:r>
          </w:p>
        </w:tc>
        <w:tc>
          <w:tcPr>
            <w:tcW w:w="1843" w:type="dxa"/>
            <w:vAlign w:val="center"/>
          </w:tcPr>
          <w:p w14:paraId="62FB0160" w14:textId="77777777" w:rsidR="009F7F8A" w:rsidRPr="00AC3044" w:rsidRDefault="009F7F8A" w:rsidP="009F7F8A">
            <w:pPr>
              <w:rPr>
                <w:rFonts w:eastAsia="SimSun"/>
              </w:rPr>
            </w:pPr>
            <w:r w:rsidRPr="00AC3044">
              <w:rPr>
                <w:rFonts w:eastAsia="SimSun"/>
              </w:rPr>
              <w:t>Дни введения</w:t>
            </w:r>
          </w:p>
        </w:tc>
        <w:tc>
          <w:tcPr>
            <w:tcW w:w="2835" w:type="dxa"/>
            <w:vAlign w:val="center"/>
          </w:tcPr>
          <w:p w14:paraId="5270AFD1"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19D29BF5" w14:textId="77777777" w:rsidTr="009F7F8A">
        <w:trPr>
          <w:cantSplit/>
          <w:trHeight w:val="1831"/>
        </w:trPr>
        <w:tc>
          <w:tcPr>
            <w:tcW w:w="709" w:type="dxa"/>
            <w:textDirection w:val="btLr"/>
            <w:vAlign w:val="center"/>
          </w:tcPr>
          <w:p w14:paraId="07665E4F" w14:textId="77777777" w:rsidR="009F7F8A" w:rsidRPr="00AC3044" w:rsidRDefault="009F7F8A" w:rsidP="009F7F8A">
            <w:pPr>
              <w:rPr>
                <w:rFonts w:eastAsia="SimSun"/>
              </w:rPr>
            </w:pPr>
            <w:r w:rsidRPr="00AC3044">
              <w:rPr>
                <w:rFonts w:eastAsia="SimSun"/>
              </w:rPr>
              <w:t>Кондиционирование</w:t>
            </w:r>
          </w:p>
        </w:tc>
        <w:tc>
          <w:tcPr>
            <w:tcW w:w="9781" w:type="dxa"/>
            <w:gridSpan w:val="5"/>
            <w:vAlign w:val="center"/>
          </w:tcPr>
          <w:p w14:paraId="7D3C9FFD" w14:textId="77777777" w:rsidR="009F7F8A" w:rsidRPr="00AC3044" w:rsidRDefault="009F7F8A" w:rsidP="009F7F8A">
            <w:pPr>
              <w:rPr>
                <w:rFonts w:eastAsia="SimSun"/>
              </w:rPr>
            </w:pPr>
            <w:r w:rsidRPr="00AC3044">
              <w:rPr>
                <w:rFonts w:eastAsia="SimSun"/>
              </w:rPr>
              <w:t>Без предварительного кондиционирования</w:t>
            </w:r>
          </w:p>
        </w:tc>
      </w:tr>
      <w:tr w:rsidR="009F7F8A" w:rsidRPr="00AC3044" w14:paraId="004B0494" w14:textId="77777777" w:rsidTr="009F7F8A">
        <w:trPr>
          <w:cantSplit/>
          <w:trHeight w:val="1688"/>
        </w:trPr>
        <w:tc>
          <w:tcPr>
            <w:tcW w:w="709" w:type="dxa"/>
            <w:vMerge w:val="restart"/>
            <w:textDirection w:val="btLr"/>
            <w:vAlign w:val="center"/>
          </w:tcPr>
          <w:p w14:paraId="3FB5C0F9" w14:textId="77777777" w:rsidR="009F7F8A" w:rsidRPr="00AC3044" w:rsidRDefault="009F7F8A" w:rsidP="009F7F8A">
            <w:pPr>
              <w:rPr>
                <w:rFonts w:eastAsia="SimSun"/>
              </w:rPr>
            </w:pPr>
            <w:r w:rsidRPr="00AC3044">
              <w:rPr>
                <w:rFonts w:eastAsia="SimSun"/>
              </w:rPr>
              <w:t>Профилактика РТПХ</w:t>
            </w:r>
          </w:p>
        </w:tc>
        <w:tc>
          <w:tcPr>
            <w:tcW w:w="1843" w:type="dxa"/>
            <w:vAlign w:val="center"/>
          </w:tcPr>
          <w:p w14:paraId="3AB8E86C" w14:textId="77777777" w:rsidR="009F7F8A" w:rsidRPr="00AC3044" w:rsidRDefault="009F7F8A" w:rsidP="009F7F8A">
            <w:pPr>
              <w:rPr>
                <w:rFonts w:eastAsia="SimSun"/>
              </w:rPr>
            </w:pPr>
            <w:r w:rsidRPr="00AC3044">
              <w:rPr>
                <w:rFonts w:eastAsia="SimSun"/>
              </w:rPr>
              <w:t>Циклоспорин</w:t>
            </w:r>
          </w:p>
        </w:tc>
        <w:tc>
          <w:tcPr>
            <w:tcW w:w="1843" w:type="dxa"/>
            <w:vAlign w:val="center"/>
          </w:tcPr>
          <w:p w14:paraId="62B95A83" w14:textId="77777777" w:rsidR="009F7F8A" w:rsidRPr="00AC3044" w:rsidRDefault="009F7F8A" w:rsidP="009F7F8A">
            <w:pPr>
              <w:rPr>
                <w:rFonts w:eastAsia="SimSun"/>
              </w:rPr>
            </w:pPr>
            <w:r w:rsidRPr="00AC3044">
              <w:rPr>
                <w:rFonts w:eastAsia="SimSun"/>
              </w:rPr>
              <w:t>3 мг/кг</w:t>
            </w:r>
          </w:p>
        </w:tc>
        <w:tc>
          <w:tcPr>
            <w:tcW w:w="1417" w:type="dxa"/>
            <w:vAlign w:val="center"/>
          </w:tcPr>
          <w:p w14:paraId="7BD24747" w14:textId="77777777" w:rsidR="009F7F8A" w:rsidRPr="00AC3044" w:rsidRDefault="009F7F8A" w:rsidP="009F7F8A">
            <w:pPr>
              <w:rPr>
                <w:rFonts w:eastAsia="SimSun"/>
              </w:rPr>
            </w:pPr>
            <w:r w:rsidRPr="00AC3044">
              <w:rPr>
                <w:rFonts w:eastAsia="SimSun"/>
              </w:rPr>
              <w:t>–</w:t>
            </w:r>
          </w:p>
        </w:tc>
        <w:tc>
          <w:tcPr>
            <w:tcW w:w="1843" w:type="dxa"/>
            <w:vAlign w:val="center"/>
          </w:tcPr>
          <w:p w14:paraId="4D055A04" w14:textId="77777777" w:rsidR="009F7F8A" w:rsidRPr="00AC3044" w:rsidRDefault="009F7F8A" w:rsidP="009F7F8A">
            <w:pPr>
              <w:rPr>
                <w:rFonts w:eastAsia="SimSun"/>
              </w:rPr>
            </w:pPr>
            <w:r w:rsidRPr="00AC3044">
              <w:rPr>
                <w:rFonts w:eastAsia="SimSun"/>
              </w:rPr>
              <w:t>С +5 дня по +90 день затем постепенное снижение к +180 дню</w:t>
            </w:r>
          </w:p>
        </w:tc>
        <w:tc>
          <w:tcPr>
            <w:tcW w:w="2835" w:type="dxa"/>
            <w:vAlign w:val="center"/>
          </w:tcPr>
          <w:p w14:paraId="615B2298" w14:textId="77777777" w:rsidR="009F7F8A" w:rsidRPr="00AC3044" w:rsidRDefault="009F7F8A" w:rsidP="009F7F8A">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72099">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F7F8A" w:rsidRPr="00AC3044" w14:paraId="2778B6B8" w14:textId="77777777" w:rsidTr="009F7F8A">
        <w:trPr>
          <w:cantSplit/>
          <w:trHeight w:val="20"/>
        </w:trPr>
        <w:tc>
          <w:tcPr>
            <w:tcW w:w="709" w:type="dxa"/>
            <w:vMerge/>
            <w:textDirection w:val="btLr"/>
          </w:tcPr>
          <w:p w14:paraId="58FB4FB2" w14:textId="77777777" w:rsidR="009F7F8A" w:rsidRPr="00AC3044" w:rsidRDefault="009F7F8A" w:rsidP="009F7F8A">
            <w:pPr>
              <w:rPr>
                <w:rFonts w:eastAsia="SimSun"/>
              </w:rPr>
            </w:pPr>
          </w:p>
        </w:tc>
        <w:tc>
          <w:tcPr>
            <w:tcW w:w="1843" w:type="dxa"/>
            <w:vAlign w:val="center"/>
          </w:tcPr>
          <w:p w14:paraId="3C2D46C4" w14:textId="77777777" w:rsidR="009F7F8A" w:rsidRPr="00AC3044" w:rsidRDefault="009F7F8A" w:rsidP="009F7F8A">
            <w:pPr>
              <w:rPr>
                <w:rFonts w:eastAsia="SimSun"/>
              </w:rPr>
            </w:pPr>
            <w:r w:rsidRPr="00AC3044">
              <w:rPr>
                <w:rFonts w:eastAsia="SimSun"/>
              </w:rPr>
              <w:t>Микофенолата мофетил</w:t>
            </w:r>
          </w:p>
        </w:tc>
        <w:tc>
          <w:tcPr>
            <w:tcW w:w="1843" w:type="dxa"/>
            <w:vAlign w:val="center"/>
          </w:tcPr>
          <w:p w14:paraId="3000B308" w14:textId="77777777" w:rsidR="009F7F8A" w:rsidRPr="00AC3044" w:rsidRDefault="009F7F8A" w:rsidP="009F7F8A">
            <w:pPr>
              <w:rPr>
                <w:rFonts w:eastAsia="SimSun"/>
              </w:rPr>
            </w:pPr>
            <w:r w:rsidRPr="00AC3044">
              <w:rPr>
                <w:rFonts w:eastAsia="SimSun"/>
              </w:rPr>
              <w:t>30 мг/кг</w:t>
            </w:r>
          </w:p>
        </w:tc>
        <w:tc>
          <w:tcPr>
            <w:tcW w:w="1417" w:type="dxa"/>
            <w:vAlign w:val="center"/>
          </w:tcPr>
          <w:p w14:paraId="25E10DFA" w14:textId="77777777" w:rsidR="009F7F8A" w:rsidRPr="00AC3044" w:rsidRDefault="009F7F8A" w:rsidP="009F7F8A">
            <w:pPr>
              <w:rPr>
                <w:rFonts w:eastAsia="SimSun"/>
              </w:rPr>
            </w:pPr>
            <w:r w:rsidRPr="00AC3044">
              <w:rPr>
                <w:rFonts w:eastAsia="SimSun"/>
              </w:rPr>
              <w:t>–</w:t>
            </w:r>
          </w:p>
        </w:tc>
        <w:tc>
          <w:tcPr>
            <w:tcW w:w="1843" w:type="dxa"/>
            <w:vAlign w:val="center"/>
          </w:tcPr>
          <w:p w14:paraId="45E20204" w14:textId="77777777" w:rsidR="009F7F8A" w:rsidRPr="00AC3044" w:rsidRDefault="009F7F8A" w:rsidP="009F7F8A">
            <w:pPr>
              <w:rPr>
                <w:rFonts w:eastAsia="SimSun"/>
              </w:rPr>
            </w:pPr>
            <w:r w:rsidRPr="00AC3044">
              <w:rPr>
                <w:rFonts w:eastAsia="SimSun"/>
              </w:rPr>
              <w:t>С +5 по +90 день</w:t>
            </w:r>
          </w:p>
        </w:tc>
        <w:tc>
          <w:tcPr>
            <w:tcW w:w="2835" w:type="dxa"/>
            <w:vAlign w:val="center"/>
          </w:tcPr>
          <w:p w14:paraId="0A743743" w14:textId="77777777" w:rsidR="009F7F8A" w:rsidRPr="00AC3044" w:rsidRDefault="009F7F8A" w:rsidP="009F7F8A">
            <w:pPr>
              <w:rPr>
                <w:rFonts w:eastAsia="SimSun"/>
              </w:rPr>
            </w:pPr>
            <w:r w:rsidRPr="00AC3044">
              <w:rPr>
                <w:rFonts w:eastAsia="SimSun"/>
              </w:rPr>
              <w:t xml:space="preserve">Внутрь, суммарная суточная доза разделяется на 2- 4 приема (не более 3г/сут).  </w:t>
            </w:r>
          </w:p>
        </w:tc>
      </w:tr>
      <w:tr w:rsidR="009F7F8A" w:rsidRPr="00AC3044" w14:paraId="03A8EBB5" w14:textId="77777777" w:rsidTr="009F7F8A">
        <w:trPr>
          <w:cantSplit/>
          <w:trHeight w:val="1797"/>
        </w:trPr>
        <w:tc>
          <w:tcPr>
            <w:tcW w:w="709" w:type="dxa"/>
            <w:textDirection w:val="btLr"/>
            <w:vAlign w:val="center"/>
          </w:tcPr>
          <w:p w14:paraId="5D067F38" w14:textId="77777777" w:rsidR="009F7F8A" w:rsidRPr="00AC3044" w:rsidRDefault="009F7F8A" w:rsidP="009F7F8A">
            <w:pPr>
              <w:rPr>
                <w:rFonts w:eastAsia="SimSun"/>
              </w:rPr>
            </w:pPr>
            <w:r w:rsidRPr="00AC3044">
              <w:rPr>
                <w:rFonts w:eastAsia="SimSun"/>
              </w:rPr>
              <w:t>Ex vivo манипуляция  с трансплантатом</w:t>
            </w:r>
          </w:p>
        </w:tc>
        <w:tc>
          <w:tcPr>
            <w:tcW w:w="1843" w:type="dxa"/>
            <w:vAlign w:val="center"/>
          </w:tcPr>
          <w:p w14:paraId="5D4B6108" w14:textId="77777777" w:rsidR="009F7F8A" w:rsidRPr="00AC3044" w:rsidRDefault="009F7F8A" w:rsidP="009F7F8A">
            <w:pPr>
              <w:rPr>
                <w:rFonts w:eastAsia="SimSun"/>
              </w:rPr>
            </w:pPr>
            <w:r w:rsidRPr="00AC3044">
              <w:rPr>
                <w:rFonts w:eastAsia="SimSun"/>
              </w:rPr>
              <w:t>CD34+ селекция (A18.05.017.004)</w:t>
            </w:r>
          </w:p>
        </w:tc>
        <w:tc>
          <w:tcPr>
            <w:tcW w:w="1843" w:type="dxa"/>
            <w:vAlign w:val="center"/>
          </w:tcPr>
          <w:p w14:paraId="2FD65A02" w14:textId="77777777" w:rsidR="009F7F8A" w:rsidRPr="00AC3044" w:rsidRDefault="009F7F8A" w:rsidP="009F7F8A">
            <w:pPr>
              <w:rPr>
                <w:rFonts w:eastAsia="SimSun"/>
              </w:rPr>
            </w:pPr>
            <w:r w:rsidRPr="00AC3044">
              <w:rPr>
                <w:rFonts w:eastAsia="SimSun"/>
              </w:rPr>
              <w:t>–</w:t>
            </w:r>
          </w:p>
        </w:tc>
        <w:tc>
          <w:tcPr>
            <w:tcW w:w="1417" w:type="dxa"/>
            <w:vAlign w:val="center"/>
          </w:tcPr>
          <w:p w14:paraId="4D47B9FF" w14:textId="77777777" w:rsidR="009F7F8A" w:rsidRPr="00AC3044" w:rsidRDefault="009F7F8A" w:rsidP="009F7F8A">
            <w:pPr>
              <w:rPr>
                <w:rFonts w:eastAsia="SimSun"/>
              </w:rPr>
            </w:pPr>
            <w:r w:rsidRPr="00AC3044">
              <w:rPr>
                <w:rFonts w:eastAsia="SimSun"/>
              </w:rPr>
              <w:t>–</w:t>
            </w:r>
          </w:p>
        </w:tc>
        <w:tc>
          <w:tcPr>
            <w:tcW w:w="1843" w:type="dxa"/>
            <w:vAlign w:val="center"/>
          </w:tcPr>
          <w:p w14:paraId="53B7391D" w14:textId="77777777" w:rsidR="009F7F8A" w:rsidRPr="00AC3044" w:rsidRDefault="009F7F8A" w:rsidP="009F7F8A">
            <w:pPr>
              <w:rPr>
                <w:rFonts w:eastAsia="SimSun"/>
              </w:rPr>
            </w:pPr>
            <w:r w:rsidRPr="00AC3044">
              <w:rPr>
                <w:rFonts w:eastAsia="SimSun"/>
              </w:rPr>
              <w:t>0</w:t>
            </w:r>
          </w:p>
        </w:tc>
        <w:tc>
          <w:tcPr>
            <w:tcW w:w="2835" w:type="dxa"/>
            <w:vAlign w:val="center"/>
          </w:tcPr>
          <w:p w14:paraId="3716E055" w14:textId="77777777" w:rsidR="009F7F8A" w:rsidRPr="00AC3044" w:rsidRDefault="009F7F8A" w:rsidP="009F7F8A">
            <w:pPr>
              <w:rPr>
                <w:rFonts w:eastAsia="SimSun"/>
              </w:rPr>
            </w:pPr>
            <w:r w:rsidRPr="00AC3044">
              <w:rPr>
                <w:rFonts w:eastAsia="SimSun"/>
              </w:rPr>
              <w:t>–</w:t>
            </w:r>
          </w:p>
        </w:tc>
      </w:tr>
      <w:tr w:rsidR="009F7F8A" w:rsidRPr="00AC3044" w14:paraId="67B97EF1" w14:textId="77777777" w:rsidTr="009F7F8A">
        <w:trPr>
          <w:cantSplit/>
          <w:trHeight w:val="1420"/>
        </w:trPr>
        <w:tc>
          <w:tcPr>
            <w:tcW w:w="709" w:type="dxa"/>
            <w:textDirection w:val="btLr"/>
            <w:vAlign w:val="center"/>
          </w:tcPr>
          <w:p w14:paraId="02673588" w14:textId="77777777" w:rsidR="009F7F8A" w:rsidRPr="00AC3044" w:rsidRDefault="009F7F8A" w:rsidP="009F7F8A">
            <w:pPr>
              <w:rPr>
                <w:rFonts w:eastAsia="SimSun"/>
              </w:rPr>
            </w:pPr>
            <w:r w:rsidRPr="00AC3044">
              <w:rPr>
                <w:rFonts w:eastAsia="SimSun"/>
              </w:rPr>
              <w:lastRenderedPageBreak/>
              <w:t>Сопроводительная терапия</w:t>
            </w:r>
          </w:p>
        </w:tc>
        <w:tc>
          <w:tcPr>
            <w:tcW w:w="1843" w:type="dxa"/>
            <w:vAlign w:val="center"/>
          </w:tcPr>
          <w:p w14:paraId="4C7D4D6A" w14:textId="77777777" w:rsidR="009F7F8A" w:rsidRPr="00AC3044" w:rsidRDefault="009F7F8A" w:rsidP="009F7F8A">
            <w:pPr>
              <w:rPr>
                <w:rFonts w:eastAsia="SimSun"/>
              </w:rPr>
            </w:pPr>
            <w:r w:rsidRPr="00AC3044">
              <w:rPr>
                <w:rFonts w:eastAsia="SimSun"/>
              </w:rPr>
              <w:t>Урсодезоксихолевая кислота</w:t>
            </w:r>
          </w:p>
        </w:tc>
        <w:tc>
          <w:tcPr>
            <w:tcW w:w="1843" w:type="dxa"/>
            <w:vAlign w:val="center"/>
          </w:tcPr>
          <w:p w14:paraId="7E0FBF63" w14:textId="77777777" w:rsidR="009F7F8A" w:rsidRPr="00AC3044" w:rsidRDefault="009F7F8A" w:rsidP="009F7F8A">
            <w:pPr>
              <w:rPr>
                <w:rFonts w:eastAsia="SimSun"/>
              </w:rPr>
            </w:pPr>
            <w:r w:rsidRPr="00AC3044">
              <w:rPr>
                <w:rFonts w:eastAsia="SimSun"/>
              </w:rPr>
              <w:t>12 мг/кг</w:t>
            </w:r>
          </w:p>
        </w:tc>
        <w:tc>
          <w:tcPr>
            <w:tcW w:w="1417" w:type="dxa"/>
            <w:vAlign w:val="center"/>
          </w:tcPr>
          <w:p w14:paraId="3D2E2EAD" w14:textId="77777777" w:rsidR="009F7F8A" w:rsidRPr="00AC3044" w:rsidRDefault="009F7F8A" w:rsidP="009F7F8A">
            <w:pPr>
              <w:rPr>
                <w:rFonts w:eastAsia="SimSun"/>
              </w:rPr>
            </w:pPr>
            <w:r w:rsidRPr="00AC3044">
              <w:rPr>
                <w:rFonts w:eastAsia="SimSun"/>
              </w:rPr>
              <w:t>–</w:t>
            </w:r>
          </w:p>
        </w:tc>
        <w:tc>
          <w:tcPr>
            <w:tcW w:w="1843" w:type="dxa"/>
            <w:vAlign w:val="center"/>
          </w:tcPr>
          <w:p w14:paraId="2FC18A7A" w14:textId="77777777" w:rsidR="009F7F8A" w:rsidRPr="00AC3044" w:rsidRDefault="009F7F8A" w:rsidP="009F7F8A">
            <w:pPr>
              <w:rPr>
                <w:rFonts w:eastAsia="SimSun"/>
              </w:rPr>
            </w:pPr>
            <w:r w:rsidRPr="00AC3044">
              <w:rPr>
                <w:rFonts w:eastAsia="SimSun"/>
              </w:rPr>
              <w:t>С 0 по +180 день</w:t>
            </w:r>
          </w:p>
        </w:tc>
        <w:tc>
          <w:tcPr>
            <w:tcW w:w="2835" w:type="dxa"/>
            <w:vAlign w:val="center"/>
          </w:tcPr>
          <w:p w14:paraId="2EEA25D1" w14:textId="77777777" w:rsidR="009F7F8A" w:rsidRPr="00AC3044" w:rsidRDefault="009F7F8A" w:rsidP="009F7F8A">
            <w:pPr>
              <w:rPr>
                <w:rFonts w:eastAsia="SimSun"/>
              </w:rPr>
            </w:pPr>
            <w:r w:rsidRPr="00AC3044">
              <w:rPr>
                <w:rFonts w:eastAsia="SimSun"/>
              </w:rPr>
              <w:t>Внутрь, суточная доза разделяется на 1–2 приема (вечер или день и вечер)</w:t>
            </w:r>
          </w:p>
        </w:tc>
      </w:tr>
    </w:tbl>
    <w:p w14:paraId="5247D059" w14:textId="77777777" w:rsidR="009F7F8A" w:rsidRPr="00C07B2E" w:rsidRDefault="009F7F8A" w:rsidP="009F7F8A">
      <w:pPr>
        <w:rPr>
          <w:rFonts w:eastAsia="SimSun"/>
        </w:rPr>
        <w:sectPr w:rsidR="009F7F8A" w:rsidRPr="00C07B2E" w:rsidSect="009F7F8A">
          <w:type w:val="continuous"/>
          <w:pgSz w:w="11907" w:h="16839" w:code="9"/>
          <w:pgMar w:top="1134" w:right="850" w:bottom="1134" w:left="1701" w:header="709" w:footer="567" w:gutter="0"/>
          <w:cols w:space="708"/>
          <w:docGrid w:linePitch="360"/>
        </w:sectPr>
      </w:pPr>
    </w:p>
    <w:p w14:paraId="2810B648" w14:textId="77777777" w:rsidR="009F7F8A" w:rsidRDefault="009F7F8A" w:rsidP="009F7F8A">
      <w:pPr>
        <w:rPr>
          <w:rFonts w:eastAsia="SimSun"/>
        </w:rPr>
      </w:pPr>
      <w:bookmarkStart w:id="210" w:name="_Toc44401247"/>
    </w:p>
    <w:p w14:paraId="242DBABB" w14:textId="77777777" w:rsidR="009F7F8A" w:rsidRPr="000F445E" w:rsidRDefault="009F7F8A" w:rsidP="009F7F8A">
      <w:pPr>
        <w:rPr>
          <w:rFonts w:eastAsia="SimSun"/>
          <w:b/>
        </w:rPr>
      </w:pPr>
      <w:r>
        <w:rPr>
          <w:rFonts w:eastAsia="SimSun"/>
          <w:b/>
        </w:rPr>
        <w:t>6</w:t>
      </w:r>
      <w:r w:rsidRPr="000F445E">
        <w:rPr>
          <w:rFonts w:eastAsia="SimSun"/>
          <w:b/>
        </w:rPr>
        <w:t>.  Сопроводительная терапия</w:t>
      </w:r>
      <w:bookmarkEnd w:id="210"/>
    </w:p>
    <w:p w14:paraId="096151DB" w14:textId="77777777" w:rsidR="009F7F8A" w:rsidRDefault="009F7F8A" w:rsidP="009F7F8A">
      <w:pPr>
        <w:rPr>
          <w:rFonts w:eastAsia="SimSun"/>
        </w:rPr>
      </w:pPr>
      <w:bookmarkStart w:id="211" w:name="_Toc44401249"/>
    </w:p>
    <w:bookmarkEnd w:id="211"/>
    <w:p w14:paraId="758E01B1" w14:textId="77777777" w:rsidR="009F7F8A" w:rsidRPr="00C07B2E" w:rsidRDefault="009F7F8A" w:rsidP="009F7F8A">
      <w:pPr>
        <w:rPr>
          <w:rFonts w:eastAsia="SimSun"/>
        </w:rPr>
      </w:pPr>
      <w:r w:rsidRPr="00C07B2E">
        <w:rPr>
          <w:rFonts w:eastAsia="SimSun"/>
        </w:rPr>
        <w:t xml:space="preserve">Основные препараты для сопроводительной терапии и их варианты применения указаны в </w:t>
      </w:r>
      <w:r>
        <w:rPr>
          <w:rFonts w:eastAsia="SimSun"/>
        </w:rPr>
        <w:t>Таблице</w:t>
      </w:r>
      <w:r w:rsidRPr="00C07B2E">
        <w:rPr>
          <w:rFonts w:eastAsia="SimSun"/>
        </w:rPr>
        <w:t xml:space="preserve"> </w:t>
      </w:r>
      <w:r>
        <w:rPr>
          <w:rFonts w:eastAsia="SimSun"/>
        </w:rPr>
        <w:t>6</w:t>
      </w:r>
      <w:r w:rsidRPr="00C07B2E">
        <w:rPr>
          <w:rFonts w:eastAsia="SimSun"/>
        </w:rPr>
        <w:t>.1. Допускается использование как отдельных вариантнов так и их комбинаций.</w:t>
      </w:r>
    </w:p>
    <w:p w14:paraId="63E3D9E9" w14:textId="77777777" w:rsidR="009F7F8A" w:rsidRPr="00C07B2E" w:rsidRDefault="009F7F8A" w:rsidP="009F7F8A">
      <w:pPr>
        <w:rPr>
          <w:rFonts w:eastAsia="SimSun"/>
        </w:rPr>
      </w:pPr>
    </w:p>
    <w:p w14:paraId="372BAE2A" w14:textId="77777777" w:rsidR="009F7F8A" w:rsidRPr="000F445E" w:rsidRDefault="009F7F8A" w:rsidP="009F7F8A">
      <w:pPr>
        <w:rPr>
          <w:rFonts w:eastAsia="SimSun"/>
        </w:rPr>
      </w:pPr>
      <w:bookmarkStart w:id="212" w:name="_Toc44401250"/>
      <w:r w:rsidRPr="000F445E">
        <w:rPr>
          <w:rFonts w:eastAsia="SimSun"/>
        </w:rPr>
        <w:t xml:space="preserve">Таблица </w:t>
      </w:r>
      <w:r>
        <w:rPr>
          <w:rFonts w:eastAsia="SimSun"/>
        </w:rPr>
        <w:t>6</w:t>
      </w:r>
      <w:r w:rsidRPr="000F445E">
        <w:rPr>
          <w:rFonts w:eastAsia="SimSun"/>
        </w:rPr>
        <w:t>.1 Основные препараты для сопроводительной терапии и их варианты применения</w:t>
      </w:r>
      <w:bookmarkEnd w:id="212"/>
    </w:p>
    <w:p w14:paraId="21C55807" w14:textId="77777777" w:rsidR="009F7F8A" w:rsidRPr="00C07B2E" w:rsidRDefault="009F7F8A" w:rsidP="009F7F8A">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
        <w:gridCol w:w="1861"/>
        <w:gridCol w:w="1290"/>
        <w:gridCol w:w="960"/>
        <w:gridCol w:w="2310"/>
        <w:gridCol w:w="1619"/>
      </w:tblGrid>
      <w:tr w:rsidR="009F7F8A" w:rsidRPr="00AC3044" w14:paraId="0E3AAB9D" w14:textId="77777777" w:rsidTr="009F7F8A">
        <w:trPr>
          <w:cantSplit/>
          <w:trHeight w:val="464"/>
        </w:trPr>
        <w:tc>
          <w:tcPr>
            <w:tcW w:w="168" w:type="pct"/>
            <w:tcBorders>
              <w:top w:val="single" w:sz="4" w:space="0" w:color="auto"/>
              <w:left w:val="single" w:sz="4" w:space="0" w:color="auto"/>
              <w:bottom w:val="single" w:sz="4" w:space="0" w:color="auto"/>
              <w:right w:val="single" w:sz="4" w:space="0" w:color="auto"/>
            </w:tcBorders>
            <w:vAlign w:val="center"/>
          </w:tcPr>
          <w:p w14:paraId="2ACEC50F" w14:textId="77777777" w:rsidR="009F7F8A" w:rsidRPr="00AC3044" w:rsidRDefault="009F7F8A" w:rsidP="009F7F8A">
            <w:pPr>
              <w:rPr>
                <w:rFonts w:eastAsia="SimSun"/>
              </w:rPr>
            </w:pPr>
            <w:r w:rsidRPr="00AC3044">
              <w:rPr>
                <w:rFonts w:eastAsia="SimSun"/>
              </w:rPr>
              <w:t>Вариант</w:t>
            </w:r>
          </w:p>
        </w:tc>
        <w:tc>
          <w:tcPr>
            <w:tcW w:w="1133" w:type="pct"/>
            <w:tcBorders>
              <w:top w:val="single" w:sz="4" w:space="0" w:color="auto"/>
              <w:left w:val="single" w:sz="4" w:space="0" w:color="auto"/>
              <w:bottom w:val="single" w:sz="4" w:space="0" w:color="auto"/>
              <w:right w:val="single" w:sz="4" w:space="0" w:color="auto"/>
            </w:tcBorders>
            <w:vAlign w:val="center"/>
          </w:tcPr>
          <w:p w14:paraId="596A92FC" w14:textId="77777777" w:rsidR="009F7F8A" w:rsidRPr="00AC3044" w:rsidRDefault="009F7F8A" w:rsidP="009F7F8A">
            <w:pPr>
              <w:rPr>
                <w:rFonts w:eastAsia="SimSun"/>
              </w:rPr>
            </w:pPr>
            <w:r w:rsidRPr="00AC3044">
              <w:rPr>
                <w:rFonts w:eastAsia="SimSun"/>
              </w:rPr>
              <w:t>Препарат</w:t>
            </w:r>
          </w:p>
        </w:tc>
        <w:tc>
          <w:tcPr>
            <w:tcW w:w="614" w:type="pct"/>
            <w:tcBorders>
              <w:top w:val="single" w:sz="4" w:space="0" w:color="auto"/>
              <w:left w:val="single" w:sz="4" w:space="0" w:color="auto"/>
              <w:bottom w:val="single" w:sz="4" w:space="0" w:color="auto"/>
              <w:right w:val="single" w:sz="4" w:space="0" w:color="auto"/>
            </w:tcBorders>
            <w:vAlign w:val="center"/>
          </w:tcPr>
          <w:p w14:paraId="6895B2C6" w14:textId="77777777" w:rsidR="009F7F8A" w:rsidRPr="00AC3044" w:rsidRDefault="009F7F8A" w:rsidP="009F7F8A">
            <w:pPr>
              <w:rPr>
                <w:rFonts w:eastAsia="SimSun"/>
              </w:rPr>
            </w:pPr>
            <w:r w:rsidRPr="00AC3044">
              <w:rPr>
                <w:rFonts w:eastAsia="SimSun"/>
              </w:rPr>
              <w:t>Суточная доза</w:t>
            </w:r>
          </w:p>
        </w:tc>
        <w:tc>
          <w:tcPr>
            <w:tcW w:w="486" w:type="pct"/>
            <w:tcBorders>
              <w:top w:val="single" w:sz="4" w:space="0" w:color="auto"/>
              <w:left w:val="single" w:sz="4" w:space="0" w:color="auto"/>
              <w:bottom w:val="single" w:sz="4" w:space="0" w:color="auto"/>
              <w:right w:val="single" w:sz="4" w:space="0" w:color="auto"/>
            </w:tcBorders>
            <w:vAlign w:val="center"/>
          </w:tcPr>
          <w:p w14:paraId="51F83EFA" w14:textId="77777777" w:rsidR="009F7F8A" w:rsidRPr="00AC3044" w:rsidRDefault="009F7F8A" w:rsidP="009F7F8A">
            <w:pPr>
              <w:rPr>
                <w:rFonts w:eastAsia="SimSun"/>
              </w:rPr>
            </w:pPr>
            <w:r w:rsidRPr="00AC3044">
              <w:rPr>
                <w:rFonts w:eastAsia="SimSun"/>
              </w:rPr>
              <w:t>Курсовая доза</w:t>
            </w:r>
          </w:p>
        </w:tc>
        <w:tc>
          <w:tcPr>
            <w:tcW w:w="1370" w:type="pct"/>
            <w:tcBorders>
              <w:top w:val="single" w:sz="4" w:space="0" w:color="auto"/>
              <w:left w:val="single" w:sz="4" w:space="0" w:color="auto"/>
              <w:bottom w:val="single" w:sz="4" w:space="0" w:color="auto"/>
              <w:right w:val="single" w:sz="4" w:space="0" w:color="auto"/>
            </w:tcBorders>
            <w:vAlign w:val="center"/>
          </w:tcPr>
          <w:p w14:paraId="3B94EFFC" w14:textId="77777777" w:rsidR="009F7F8A" w:rsidRPr="00AC3044" w:rsidRDefault="009F7F8A" w:rsidP="009F7F8A">
            <w:pPr>
              <w:rPr>
                <w:rFonts w:eastAsia="SimSun"/>
              </w:rPr>
            </w:pPr>
            <w:r w:rsidRPr="00AC3044">
              <w:rPr>
                <w:rFonts w:eastAsia="SimSun"/>
              </w:rPr>
              <w:t>Дни введения</w:t>
            </w:r>
          </w:p>
        </w:tc>
        <w:tc>
          <w:tcPr>
            <w:tcW w:w="1229" w:type="pct"/>
            <w:tcBorders>
              <w:top w:val="single" w:sz="4" w:space="0" w:color="auto"/>
              <w:left w:val="single" w:sz="4" w:space="0" w:color="auto"/>
              <w:bottom w:val="single" w:sz="4" w:space="0" w:color="auto"/>
              <w:right w:val="single" w:sz="4" w:space="0" w:color="auto"/>
            </w:tcBorders>
            <w:vAlign w:val="center"/>
          </w:tcPr>
          <w:p w14:paraId="5BC7775A" w14:textId="77777777" w:rsidR="009F7F8A" w:rsidRPr="00AC3044" w:rsidRDefault="009F7F8A" w:rsidP="009F7F8A">
            <w:pPr>
              <w:rPr>
                <w:rFonts w:eastAsia="SimSun"/>
              </w:rPr>
            </w:pPr>
            <w:r w:rsidRPr="00AC3044">
              <w:rPr>
                <w:rFonts w:eastAsia="SimSun"/>
              </w:rPr>
              <w:t>Порядок введения</w:t>
            </w:r>
          </w:p>
        </w:tc>
      </w:tr>
      <w:tr w:rsidR="009F7F8A" w:rsidRPr="00AC3044" w14:paraId="6931E864" w14:textId="77777777" w:rsidTr="009F7F8A">
        <w:trPr>
          <w:cantSplit/>
          <w:trHeight w:val="464"/>
        </w:trPr>
        <w:tc>
          <w:tcPr>
            <w:tcW w:w="5000" w:type="pct"/>
            <w:gridSpan w:val="6"/>
          </w:tcPr>
          <w:p w14:paraId="7BD6596F" w14:textId="77777777" w:rsidR="009F7F8A" w:rsidRPr="00AC3044" w:rsidRDefault="009F7F8A" w:rsidP="009F7F8A">
            <w:pPr>
              <w:rPr>
                <w:rFonts w:eastAsia="SimSun"/>
              </w:rPr>
            </w:pPr>
            <w:r w:rsidRPr="00AC3044">
              <w:rPr>
                <w:rFonts w:eastAsia="SimSun"/>
              </w:rPr>
              <w:t>Инфузионная терапия</w:t>
            </w:r>
          </w:p>
        </w:tc>
      </w:tr>
      <w:tr w:rsidR="009F7F8A" w:rsidRPr="00AC3044" w14:paraId="09A2722C" w14:textId="77777777" w:rsidTr="009F7F8A">
        <w:trPr>
          <w:cantSplit/>
          <w:trHeight w:val="464"/>
        </w:trPr>
        <w:tc>
          <w:tcPr>
            <w:tcW w:w="168" w:type="pct"/>
          </w:tcPr>
          <w:p w14:paraId="3AAD21EA" w14:textId="77777777" w:rsidR="009F7F8A" w:rsidRPr="00AC3044" w:rsidRDefault="009F7F8A" w:rsidP="009F7F8A">
            <w:pPr>
              <w:rPr>
                <w:rFonts w:eastAsia="SimSun"/>
              </w:rPr>
            </w:pPr>
            <w:r w:rsidRPr="00AC3044">
              <w:rPr>
                <w:rFonts w:eastAsia="SimSun"/>
              </w:rPr>
              <w:t>1</w:t>
            </w:r>
          </w:p>
        </w:tc>
        <w:tc>
          <w:tcPr>
            <w:tcW w:w="1133" w:type="pct"/>
            <w:vAlign w:val="center"/>
          </w:tcPr>
          <w:p w14:paraId="1EFAE2D4" w14:textId="77777777" w:rsidR="009F7F8A" w:rsidRPr="00AC3044" w:rsidRDefault="009F7F8A" w:rsidP="009F7F8A">
            <w:pPr>
              <w:rPr>
                <w:rFonts w:eastAsia="SimSun"/>
              </w:rPr>
            </w:pPr>
            <w:r w:rsidRPr="00AC3044">
              <w:rPr>
                <w:rFonts w:eastAsia="SimSun"/>
              </w:rPr>
              <w:t xml:space="preserve">Натрия бикарбонат </w:t>
            </w:r>
          </w:p>
        </w:tc>
        <w:tc>
          <w:tcPr>
            <w:tcW w:w="614" w:type="pct"/>
            <w:vAlign w:val="center"/>
          </w:tcPr>
          <w:p w14:paraId="19DCAA2C" w14:textId="77777777" w:rsidR="009F7F8A" w:rsidRPr="00AC3044" w:rsidRDefault="009F7F8A" w:rsidP="009F7F8A">
            <w:pPr>
              <w:rPr>
                <w:rFonts w:eastAsia="SimSun"/>
              </w:rPr>
            </w:pPr>
            <w:r w:rsidRPr="00AC3044">
              <w:rPr>
                <w:rFonts w:eastAsia="SimSun"/>
              </w:rPr>
              <w:t>1200 мг/литр инфузионной терапии</w:t>
            </w:r>
          </w:p>
        </w:tc>
        <w:tc>
          <w:tcPr>
            <w:tcW w:w="486" w:type="pct"/>
            <w:vAlign w:val="center"/>
          </w:tcPr>
          <w:p w14:paraId="41791494" w14:textId="77777777" w:rsidR="009F7F8A" w:rsidRPr="00AC3044" w:rsidRDefault="009F7F8A" w:rsidP="009F7F8A">
            <w:pPr>
              <w:rPr>
                <w:rFonts w:eastAsia="SimSun"/>
              </w:rPr>
            </w:pPr>
            <w:r w:rsidRPr="00AC3044">
              <w:rPr>
                <w:rFonts w:eastAsia="SimSun"/>
              </w:rPr>
              <w:t>–</w:t>
            </w:r>
          </w:p>
        </w:tc>
        <w:tc>
          <w:tcPr>
            <w:tcW w:w="1370" w:type="pct"/>
            <w:vAlign w:val="center"/>
          </w:tcPr>
          <w:p w14:paraId="5D174D40" w14:textId="77777777" w:rsidR="009F7F8A" w:rsidRPr="00AC3044" w:rsidRDefault="009F7F8A" w:rsidP="009F7F8A">
            <w:pPr>
              <w:rPr>
                <w:rFonts w:eastAsia="SimSun"/>
              </w:rPr>
            </w:pPr>
            <w:r w:rsidRPr="00AC3044">
              <w:rPr>
                <w:rFonts w:eastAsia="SimSun"/>
              </w:rPr>
              <w:t xml:space="preserve">С дня -7 по -2 день </w:t>
            </w:r>
          </w:p>
        </w:tc>
        <w:tc>
          <w:tcPr>
            <w:tcW w:w="1229" w:type="pct"/>
            <w:vAlign w:val="center"/>
          </w:tcPr>
          <w:p w14:paraId="61FB8822" w14:textId="77777777" w:rsidR="009F7F8A" w:rsidRPr="00AC3044" w:rsidRDefault="009F7F8A" w:rsidP="009F7F8A">
            <w:pPr>
              <w:rPr>
                <w:rFonts w:eastAsia="SimSun"/>
              </w:rPr>
            </w:pPr>
            <w:r w:rsidRPr="00AC3044">
              <w:rPr>
                <w:rFonts w:eastAsia="SimSun"/>
              </w:rPr>
              <w:t>В/в инфузия в течение 3 часов, 30 мл 4% р-ра натрия бикарбоната на 1 литр инфузионной терапии сразу после внутривенного введения химиопрепаратов</w:t>
            </w:r>
          </w:p>
        </w:tc>
      </w:tr>
      <w:tr w:rsidR="009F7F8A" w:rsidRPr="00AC3044" w14:paraId="4107126E" w14:textId="77777777" w:rsidTr="009F7F8A">
        <w:trPr>
          <w:cantSplit/>
          <w:trHeight w:val="464"/>
        </w:trPr>
        <w:tc>
          <w:tcPr>
            <w:tcW w:w="168" w:type="pct"/>
          </w:tcPr>
          <w:p w14:paraId="3802B217" w14:textId="77777777" w:rsidR="009F7F8A" w:rsidRPr="00AC3044" w:rsidRDefault="009F7F8A" w:rsidP="009F7F8A">
            <w:pPr>
              <w:rPr>
                <w:rFonts w:eastAsia="SimSun"/>
              </w:rPr>
            </w:pPr>
            <w:r w:rsidRPr="00AC3044">
              <w:rPr>
                <w:rFonts w:eastAsia="SimSun"/>
              </w:rPr>
              <w:t>2</w:t>
            </w:r>
          </w:p>
        </w:tc>
        <w:tc>
          <w:tcPr>
            <w:tcW w:w="1133" w:type="pct"/>
            <w:vAlign w:val="center"/>
          </w:tcPr>
          <w:p w14:paraId="5A76E75B" w14:textId="77777777" w:rsidR="009F7F8A" w:rsidRPr="00AC3044" w:rsidRDefault="009F7F8A" w:rsidP="009F7F8A">
            <w:pPr>
              <w:rPr>
                <w:rFonts w:eastAsia="SimSun"/>
              </w:rPr>
            </w:pPr>
            <w:r w:rsidRPr="00AC3044">
              <w:rPr>
                <w:rFonts w:eastAsia="SimSun"/>
              </w:rPr>
              <w:t xml:space="preserve">Раствор 5% глюкозы </w:t>
            </w:r>
          </w:p>
        </w:tc>
        <w:tc>
          <w:tcPr>
            <w:tcW w:w="2470" w:type="pct"/>
            <w:gridSpan w:val="3"/>
            <w:vAlign w:val="center"/>
          </w:tcPr>
          <w:p w14:paraId="1E968772" w14:textId="77777777" w:rsidR="009F7F8A" w:rsidRPr="00AC3044" w:rsidRDefault="009F7F8A" w:rsidP="009F7F8A">
            <w:pPr>
              <w:rPr>
                <w:rFonts w:eastAsia="SimSun"/>
              </w:rPr>
            </w:pPr>
            <w:r w:rsidRPr="00AC3044">
              <w:rPr>
                <w:rFonts w:eastAsia="SimSun"/>
              </w:rPr>
              <w:t>В соответсвии с клинической ситуацией, в среднем 14-52 дня,  в среднем 0,25 – 3 л/м</w:t>
            </w:r>
            <w:r w:rsidRPr="0074195F">
              <w:rPr>
                <w:rFonts w:eastAsia="SimSun"/>
                <w:vertAlign w:val="superscript"/>
              </w:rPr>
              <w:t>2</w:t>
            </w:r>
          </w:p>
        </w:tc>
        <w:tc>
          <w:tcPr>
            <w:tcW w:w="1229" w:type="pct"/>
            <w:vAlign w:val="center"/>
          </w:tcPr>
          <w:p w14:paraId="0FD6DDC9" w14:textId="77777777" w:rsidR="009F7F8A" w:rsidRPr="00AC3044" w:rsidRDefault="009F7F8A" w:rsidP="009F7F8A">
            <w:pPr>
              <w:rPr>
                <w:rFonts w:eastAsia="SimSun"/>
              </w:rPr>
            </w:pPr>
            <w:r w:rsidRPr="00AC3044">
              <w:rPr>
                <w:rFonts w:eastAsia="SimSun"/>
              </w:rPr>
              <w:t>В/в инфузия</w:t>
            </w:r>
          </w:p>
        </w:tc>
      </w:tr>
      <w:tr w:rsidR="009F7F8A" w:rsidRPr="00AC3044" w14:paraId="001E24E8" w14:textId="77777777" w:rsidTr="009F7F8A">
        <w:trPr>
          <w:cantSplit/>
          <w:trHeight w:val="464"/>
        </w:trPr>
        <w:tc>
          <w:tcPr>
            <w:tcW w:w="168" w:type="pct"/>
          </w:tcPr>
          <w:p w14:paraId="475AD875" w14:textId="77777777" w:rsidR="009F7F8A" w:rsidRPr="00AC3044" w:rsidRDefault="009F7F8A" w:rsidP="009F7F8A">
            <w:pPr>
              <w:rPr>
                <w:rFonts w:eastAsia="SimSun"/>
              </w:rPr>
            </w:pPr>
            <w:r w:rsidRPr="00AC3044">
              <w:rPr>
                <w:rFonts w:eastAsia="SimSun"/>
              </w:rPr>
              <w:t>3</w:t>
            </w:r>
          </w:p>
        </w:tc>
        <w:tc>
          <w:tcPr>
            <w:tcW w:w="1133" w:type="pct"/>
            <w:vAlign w:val="center"/>
          </w:tcPr>
          <w:p w14:paraId="032ED9D3" w14:textId="77777777" w:rsidR="009F7F8A" w:rsidRPr="00AC3044" w:rsidRDefault="009F7F8A" w:rsidP="009F7F8A">
            <w:pPr>
              <w:rPr>
                <w:rFonts w:eastAsia="SimSun"/>
              </w:rPr>
            </w:pPr>
            <w:r w:rsidRPr="00AC3044">
              <w:rPr>
                <w:rFonts w:eastAsia="SimSun"/>
              </w:rPr>
              <w:t>Раствор хлорида натрия (0,9% NaCl)</w:t>
            </w:r>
          </w:p>
        </w:tc>
        <w:tc>
          <w:tcPr>
            <w:tcW w:w="2470" w:type="pct"/>
            <w:gridSpan w:val="3"/>
            <w:vAlign w:val="center"/>
          </w:tcPr>
          <w:p w14:paraId="3767148C" w14:textId="77777777" w:rsidR="009F7F8A" w:rsidRPr="00AC3044" w:rsidRDefault="009F7F8A" w:rsidP="009F7F8A">
            <w:pPr>
              <w:rPr>
                <w:rFonts w:eastAsia="SimSun"/>
              </w:rPr>
            </w:pPr>
            <w:r w:rsidRPr="00AC3044">
              <w:rPr>
                <w:rFonts w:eastAsia="SimSun"/>
              </w:rPr>
              <w:t>В соответсвии с клинической ситуацией, в среднем 14-52 дня,  в среднем 0,25 – 3 л/м</w:t>
            </w:r>
            <w:r w:rsidRPr="0074195F">
              <w:rPr>
                <w:rFonts w:eastAsia="SimSun"/>
                <w:vertAlign w:val="superscript"/>
              </w:rPr>
              <w:t>2</w:t>
            </w:r>
          </w:p>
        </w:tc>
        <w:tc>
          <w:tcPr>
            <w:tcW w:w="1229" w:type="pct"/>
            <w:vAlign w:val="center"/>
          </w:tcPr>
          <w:p w14:paraId="088C0EBD" w14:textId="77777777" w:rsidR="009F7F8A" w:rsidRPr="00AC3044" w:rsidRDefault="009F7F8A" w:rsidP="009F7F8A">
            <w:pPr>
              <w:rPr>
                <w:rFonts w:eastAsia="SimSun"/>
              </w:rPr>
            </w:pPr>
            <w:r w:rsidRPr="00AC3044">
              <w:rPr>
                <w:rFonts w:eastAsia="SimSun"/>
              </w:rPr>
              <w:t>В/в инфузия</w:t>
            </w:r>
          </w:p>
        </w:tc>
      </w:tr>
      <w:tr w:rsidR="009F7F8A" w:rsidRPr="00AC3044" w14:paraId="643BB477" w14:textId="77777777" w:rsidTr="009F7F8A">
        <w:trPr>
          <w:cantSplit/>
          <w:trHeight w:val="464"/>
        </w:trPr>
        <w:tc>
          <w:tcPr>
            <w:tcW w:w="168" w:type="pct"/>
          </w:tcPr>
          <w:p w14:paraId="1F7A8D42" w14:textId="77777777" w:rsidR="009F7F8A" w:rsidRPr="00AC3044" w:rsidRDefault="009F7F8A" w:rsidP="009F7F8A">
            <w:pPr>
              <w:rPr>
                <w:rFonts w:eastAsia="SimSun"/>
              </w:rPr>
            </w:pPr>
            <w:r w:rsidRPr="00AC3044">
              <w:rPr>
                <w:rFonts w:eastAsia="SimSun"/>
              </w:rPr>
              <w:t>4</w:t>
            </w:r>
          </w:p>
        </w:tc>
        <w:tc>
          <w:tcPr>
            <w:tcW w:w="1133" w:type="pct"/>
            <w:vAlign w:val="center"/>
          </w:tcPr>
          <w:p w14:paraId="3B89E090" w14:textId="77777777" w:rsidR="009F7F8A" w:rsidRPr="00AC3044" w:rsidRDefault="009F7F8A" w:rsidP="009F7F8A">
            <w:pPr>
              <w:rPr>
                <w:rFonts w:eastAsia="SimSun"/>
              </w:rPr>
            </w:pPr>
            <w:r w:rsidRPr="00AC3044">
              <w:rPr>
                <w:rFonts w:eastAsia="SimSun"/>
              </w:rPr>
              <w:t>Раствор Рингера</w:t>
            </w:r>
          </w:p>
        </w:tc>
        <w:tc>
          <w:tcPr>
            <w:tcW w:w="2470" w:type="pct"/>
            <w:gridSpan w:val="3"/>
            <w:vAlign w:val="center"/>
          </w:tcPr>
          <w:p w14:paraId="3378D665" w14:textId="77777777" w:rsidR="009F7F8A" w:rsidRPr="00AC3044" w:rsidRDefault="009F7F8A" w:rsidP="009F7F8A">
            <w:pPr>
              <w:rPr>
                <w:rFonts w:eastAsia="SimSun"/>
              </w:rPr>
            </w:pPr>
            <w:r w:rsidRPr="00AC3044">
              <w:rPr>
                <w:rFonts w:eastAsia="SimSun"/>
              </w:rPr>
              <w:t>В соответсвии с клинической ситуацией, в среднем 14-52 дня,  в среднем 0,25 – 3 л/м</w:t>
            </w:r>
            <w:r w:rsidRPr="0074195F">
              <w:rPr>
                <w:rFonts w:eastAsia="SimSun"/>
                <w:vertAlign w:val="superscript"/>
              </w:rPr>
              <w:t>2</w:t>
            </w:r>
          </w:p>
        </w:tc>
        <w:tc>
          <w:tcPr>
            <w:tcW w:w="1229" w:type="pct"/>
            <w:vAlign w:val="center"/>
          </w:tcPr>
          <w:p w14:paraId="3DC5B19D" w14:textId="77777777" w:rsidR="009F7F8A" w:rsidRPr="00AC3044" w:rsidRDefault="009F7F8A" w:rsidP="009F7F8A">
            <w:pPr>
              <w:rPr>
                <w:rFonts w:eastAsia="SimSun"/>
              </w:rPr>
            </w:pPr>
            <w:r w:rsidRPr="00AC3044">
              <w:rPr>
                <w:rFonts w:eastAsia="SimSun"/>
              </w:rPr>
              <w:t>В/в инфузия</w:t>
            </w:r>
          </w:p>
        </w:tc>
      </w:tr>
      <w:tr w:rsidR="009F7F8A" w:rsidRPr="00AC3044" w14:paraId="6DB36D25" w14:textId="77777777" w:rsidTr="009F7F8A">
        <w:trPr>
          <w:cantSplit/>
          <w:trHeight w:val="464"/>
        </w:trPr>
        <w:tc>
          <w:tcPr>
            <w:tcW w:w="168" w:type="pct"/>
          </w:tcPr>
          <w:p w14:paraId="618730AA" w14:textId="77777777" w:rsidR="009F7F8A" w:rsidRPr="00AC3044" w:rsidRDefault="009F7F8A" w:rsidP="009F7F8A">
            <w:pPr>
              <w:rPr>
                <w:rFonts w:eastAsia="SimSun"/>
              </w:rPr>
            </w:pPr>
            <w:r w:rsidRPr="00AC3044">
              <w:rPr>
                <w:rFonts w:eastAsia="SimSun"/>
              </w:rPr>
              <w:lastRenderedPageBreak/>
              <w:t>5</w:t>
            </w:r>
          </w:p>
        </w:tc>
        <w:tc>
          <w:tcPr>
            <w:tcW w:w="1133" w:type="pct"/>
            <w:vAlign w:val="center"/>
          </w:tcPr>
          <w:p w14:paraId="1A62D821" w14:textId="77777777" w:rsidR="009F7F8A" w:rsidRPr="00AC3044" w:rsidRDefault="009F7F8A" w:rsidP="009F7F8A">
            <w:pPr>
              <w:rPr>
                <w:rFonts w:eastAsia="SimSun"/>
              </w:rPr>
            </w:pPr>
            <w:r w:rsidRPr="00AC3044">
              <w:rPr>
                <w:rFonts w:eastAsia="SimSun"/>
              </w:rPr>
              <w:t>Калия и магния аспарагинат</w:t>
            </w:r>
          </w:p>
        </w:tc>
        <w:tc>
          <w:tcPr>
            <w:tcW w:w="2470" w:type="pct"/>
            <w:gridSpan w:val="3"/>
            <w:vAlign w:val="center"/>
          </w:tcPr>
          <w:p w14:paraId="5D0A32D1" w14:textId="77777777" w:rsidR="009F7F8A" w:rsidRPr="00AC3044" w:rsidRDefault="009F7F8A" w:rsidP="009F7F8A">
            <w:pPr>
              <w:rPr>
                <w:rFonts w:eastAsia="SimSun"/>
              </w:rPr>
            </w:pPr>
            <w:r w:rsidRPr="00AC3044">
              <w:rPr>
                <w:rFonts w:eastAsia="SimSun"/>
              </w:rPr>
              <w:t>В соответсвии с клинической ситуацией, в среднем 14-52 дня,  в среднем 0,25 – 3 л/м</w:t>
            </w:r>
            <w:r w:rsidRPr="0074195F">
              <w:rPr>
                <w:rFonts w:eastAsia="SimSun"/>
                <w:vertAlign w:val="superscript"/>
              </w:rPr>
              <w:t>2</w:t>
            </w:r>
          </w:p>
        </w:tc>
        <w:tc>
          <w:tcPr>
            <w:tcW w:w="1229" w:type="pct"/>
            <w:vAlign w:val="center"/>
          </w:tcPr>
          <w:p w14:paraId="6B4C6B0B" w14:textId="77777777" w:rsidR="009F7F8A" w:rsidRPr="00AC3044" w:rsidRDefault="009F7F8A" w:rsidP="009F7F8A">
            <w:pPr>
              <w:rPr>
                <w:rFonts w:eastAsia="SimSun"/>
              </w:rPr>
            </w:pPr>
            <w:r w:rsidRPr="00AC3044">
              <w:rPr>
                <w:rFonts w:eastAsia="SimSun"/>
              </w:rPr>
              <w:t>В/в инфузия</w:t>
            </w:r>
          </w:p>
        </w:tc>
      </w:tr>
      <w:tr w:rsidR="009F7F8A" w:rsidRPr="00AC3044" w14:paraId="065DD332" w14:textId="77777777" w:rsidTr="009F7F8A">
        <w:trPr>
          <w:cantSplit/>
          <w:trHeight w:val="464"/>
        </w:trPr>
        <w:tc>
          <w:tcPr>
            <w:tcW w:w="168" w:type="pct"/>
          </w:tcPr>
          <w:p w14:paraId="176F10DE" w14:textId="77777777" w:rsidR="009F7F8A" w:rsidRPr="00AC3044" w:rsidRDefault="009F7F8A" w:rsidP="009F7F8A">
            <w:pPr>
              <w:rPr>
                <w:rFonts w:eastAsia="SimSun"/>
              </w:rPr>
            </w:pPr>
            <w:r w:rsidRPr="00AC3044">
              <w:rPr>
                <w:rFonts w:eastAsia="SimSun"/>
              </w:rPr>
              <w:t>6</w:t>
            </w:r>
          </w:p>
        </w:tc>
        <w:tc>
          <w:tcPr>
            <w:tcW w:w="1133" w:type="pct"/>
            <w:vAlign w:val="center"/>
          </w:tcPr>
          <w:p w14:paraId="1AE6C1D5" w14:textId="77777777" w:rsidR="009F7F8A" w:rsidRPr="00AC3044" w:rsidRDefault="009F7F8A" w:rsidP="009F7F8A">
            <w:pPr>
              <w:rPr>
                <w:rFonts w:eastAsia="SimSun"/>
              </w:rPr>
            </w:pPr>
            <w:r w:rsidRPr="00AC3044">
              <w:rPr>
                <w:rFonts w:eastAsia="SimSun"/>
              </w:rPr>
              <w:t>4% хлорида калия (KCl)</w:t>
            </w:r>
          </w:p>
        </w:tc>
        <w:tc>
          <w:tcPr>
            <w:tcW w:w="2470" w:type="pct"/>
            <w:gridSpan w:val="3"/>
            <w:vAlign w:val="center"/>
          </w:tcPr>
          <w:p w14:paraId="21A6D02A" w14:textId="77777777" w:rsidR="009F7F8A" w:rsidRPr="00AC3044" w:rsidRDefault="009F7F8A" w:rsidP="009F7F8A">
            <w:pPr>
              <w:rPr>
                <w:rFonts w:eastAsia="SimSun"/>
              </w:rPr>
            </w:pPr>
            <w:r w:rsidRPr="00AC3044">
              <w:rPr>
                <w:rFonts w:eastAsia="SimSun"/>
              </w:rPr>
              <w:t>В соответсвии с лабораторными показателями, в среднем 14-52 дня</w:t>
            </w:r>
          </w:p>
        </w:tc>
        <w:tc>
          <w:tcPr>
            <w:tcW w:w="1229" w:type="pct"/>
            <w:vAlign w:val="center"/>
          </w:tcPr>
          <w:p w14:paraId="178C8F30" w14:textId="77777777" w:rsidR="009F7F8A" w:rsidRPr="00AC3044" w:rsidRDefault="009F7F8A" w:rsidP="009F7F8A">
            <w:pPr>
              <w:rPr>
                <w:rFonts w:eastAsia="SimSun"/>
              </w:rPr>
            </w:pPr>
            <w:r w:rsidRPr="00AC3044">
              <w:rPr>
                <w:rFonts w:eastAsia="SimSun"/>
              </w:rPr>
              <w:t>В/в инфузия</w:t>
            </w:r>
          </w:p>
        </w:tc>
      </w:tr>
      <w:tr w:rsidR="009F7F8A" w:rsidRPr="00AC3044" w14:paraId="06AE3989" w14:textId="77777777" w:rsidTr="009F7F8A">
        <w:trPr>
          <w:cantSplit/>
          <w:trHeight w:val="464"/>
        </w:trPr>
        <w:tc>
          <w:tcPr>
            <w:tcW w:w="168" w:type="pct"/>
          </w:tcPr>
          <w:p w14:paraId="587BE5D3" w14:textId="77777777" w:rsidR="009F7F8A" w:rsidRPr="00AC3044" w:rsidRDefault="009F7F8A" w:rsidP="009F7F8A">
            <w:pPr>
              <w:rPr>
                <w:rFonts w:eastAsia="SimSun"/>
              </w:rPr>
            </w:pPr>
            <w:r w:rsidRPr="00AC3044">
              <w:rPr>
                <w:rFonts w:eastAsia="SimSun"/>
              </w:rPr>
              <w:t>7</w:t>
            </w:r>
          </w:p>
        </w:tc>
        <w:tc>
          <w:tcPr>
            <w:tcW w:w="1133" w:type="pct"/>
            <w:vAlign w:val="center"/>
          </w:tcPr>
          <w:p w14:paraId="242CC67E" w14:textId="77777777" w:rsidR="009F7F8A" w:rsidRPr="00AC3044" w:rsidRDefault="009F7F8A" w:rsidP="009F7F8A">
            <w:pPr>
              <w:rPr>
                <w:rFonts w:eastAsia="SimSun"/>
              </w:rPr>
            </w:pPr>
            <w:r w:rsidRPr="00AC3044">
              <w:rPr>
                <w:rFonts w:eastAsia="SimSun"/>
              </w:rPr>
              <w:t>25% сульфат магния (MgSO4)</w:t>
            </w:r>
          </w:p>
        </w:tc>
        <w:tc>
          <w:tcPr>
            <w:tcW w:w="2470" w:type="pct"/>
            <w:gridSpan w:val="3"/>
            <w:vAlign w:val="center"/>
          </w:tcPr>
          <w:p w14:paraId="64C78665" w14:textId="77777777" w:rsidR="009F7F8A" w:rsidRPr="00AC3044" w:rsidRDefault="009F7F8A" w:rsidP="009F7F8A">
            <w:pPr>
              <w:rPr>
                <w:rFonts w:eastAsia="SimSun"/>
              </w:rPr>
            </w:pPr>
            <w:r w:rsidRPr="00AC3044">
              <w:rPr>
                <w:rFonts w:eastAsia="SimSun"/>
              </w:rPr>
              <w:t>В соответсвии с лабораторными показателями, в среднем 14-52 дня</w:t>
            </w:r>
          </w:p>
        </w:tc>
        <w:tc>
          <w:tcPr>
            <w:tcW w:w="1229" w:type="pct"/>
            <w:vAlign w:val="center"/>
          </w:tcPr>
          <w:p w14:paraId="557BBA7D" w14:textId="77777777" w:rsidR="009F7F8A" w:rsidRPr="00AC3044" w:rsidRDefault="009F7F8A" w:rsidP="009F7F8A">
            <w:pPr>
              <w:rPr>
                <w:rFonts w:eastAsia="SimSun"/>
              </w:rPr>
            </w:pPr>
            <w:r w:rsidRPr="00AC3044">
              <w:rPr>
                <w:rFonts w:eastAsia="SimSun"/>
              </w:rPr>
              <w:t>В/в инфузия</w:t>
            </w:r>
          </w:p>
        </w:tc>
      </w:tr>
      <w:tr w:rsidR="009F7F8A" w:rsidRPr="00AC3044" w14:paraId="4B688B72" w14:textId="77777777" w:rsidTr="009F7F8A">
        <w:trPr>
          <w:cantSplit/>
          <w:trHeight w:val="464"/>
        </w:trPr>
        <w:tc>
          <w:tcPr>
            <w:tcW w:w="5000" w:type="pct"/>
            <w:gridSpan w:val="6"/>
          </w:tcPr>
          <w:p w14:paraId="64E1F45D" w14:textId="77777777" w:rsidR="009F7F8A" w:rsidRPr="00AC3044" w:rsidRDefault="009F7F8A" w:rsidP="009F7F8A">
            <w:pPr>
              <w:rPr>
                <w:rFonts w:eastAsia="SimSun"/>
              </w:rPr>
            </w:pPr>
            <w:r w:rsidRPr="00AC3044">
              <w:rPr>
                <w:rFonts w:eastAsia="SimSun"/>
              </w:rPr>
              <w:t>Антиэметическая терапия</w:t>
            </w:r>
          </w:p>
        </w:tc>
      </w:tr>
      <w:tr w:rsidR="009F7F8A" w:rsidRPr="00AC3044" w14:paraId="6C4D0354" w14:textId="77777777" w:rsidTr="009F7F8A">
        <w:trPr>
          <w:cantSplit/>
          <w:trHeight w:val="464"/>
        </w:trPr>
        <w:tc>
          <w:tcPr>
            <w:tcW w:w="168" w:type="pct"/>
          </w:tcPr>
          <w:p w14:paraId="04BA7154" w14:textId="77777777" w:rsidR="009F7F8A" w:rsidRPr="00AC3044" w:rsidRDefault="009F7F8A" w:rsidP="009F7F8A">
            <w:pPr>
              <w:rPr>
                <w:rFonts w:eastAsia="SimSun"/>
              </w:rPr>
            </w:pPr>
            <w:r w:rsidRPr="00AC3044">
              <w:rPr>
                <w:rFonts w:eastAsia="SimSun"/>
              </w:rPr>
              <w:t>1</w:t>
            </w:r>
          </w:p>
        </w:tc>
        <w:tc>
          <w:tcPr>
            <w:tcW w:w="1133" w:type="pct"/>
            <w:vAlign w:val="center"/>
          </w:tcPr>
          <w:p w14:paraId="7F9A5FFB" w14:textId="77777777" w:rsidR="009F7F8A" w:rsidRPr="00AC3044" w:rsidRDefault="009F7F8A" w:rsidP="009F7F8A">
            <w:pPr>
              <w:rPr>
                <w:rFonts w:eastAsia="SimSun"/>
              </w:rPr>
            </w:pPr>
            <w:r w:rsidRPr="00AC3044">
              <w:rPr>
                <w:rFonts w:eastAsia="SimSun"/>
              </w:rPr>
              <w:t xml:space="preserve">Ондансетрон </w:t>
            </w:r>
          </w:p>
        </w:tc>
        <w:tc>
          <w:tcPr>
            <w:tcW w:w="614" w:type="pct"/>
            <w:vAlign w:val="center"/>
          </w:tcPr>
          <w:p w14:paraId="6061106D" w14:textId="77777777" w:rsidR="009F7F8A" w:rsidRPr="00AC3044" w:rsidRDefault="009F7F8A" w:rsidP="009F7F8A">
            <w:pPr>
              <w:rPr>
                <w:rFonts w:eastAsia="SimSun"/>
              </w:rPr>
            </w:pPr>
            <w:r w:rsidRPr="00AC3044">
              <w:rPr>
                <w:rFonts w:eastAsia="SimSun"/>
              </w:rPr>
              <w:t>24 мг</w:t>
            </w:r>
          </w:p>
        </w:tc>
        <w:tc>
          <w:tcPr>
            <w:tcW w:w="486" w:type="pct"/>
            <w:vAlign w:val="center"/>
          </w:tcPr>
          <w:p w14:paraId="06C00356" w14:textId="77777777" w:rsidR="009F7F8A" w:rsidRPr="00AC3044" w:rsidRDefault="009F7F8A" w:rsidP="009F7F8A">
            <w:pPr>
              <w:rPr>
                <w:rFonts w:eastAsia="SimSun"/>
              </w:rPr>
            </w:pPr>
            <w:r w:rsidRPr="00AC3044">
              <w:rPr>
                <w:rFonts w:eastAsia="SimSun"/>
              </w:rPr>
              <w:t>–</w:t>
            </w:r>
          </w:p>
        </w:tc>
        <w:tc>
          <w:tcPr>
            <w:tcW w:w="1370" w:type="pct"/>
            <w:vAlign w:val="center"/>
          </w:tcPr>
          <w:p w14:paraId="0F4CB6A3" w14:textId="77777777" w:rsidR="009F7F8A" w:rsidRPr="00AC3044" w:rsidRDefault="009F7F8A" w:rsidP="009F7F8A">
            <w:pPr>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14:paraId="0D074E21" w14:textId="77777777" w:rsidR="009F7F8A" w:rsidRPr="00AC3044" w:rsidRDefault="009F7F8A" w:rsidP="009F7F8A">
            <w:pPr>
              <w:rPr>
                <w:rFonts w:eastAsia="SimSun"/>
              </w:rPr>
            </w:pPr>
            <w:r w:rsidRPr="00AC3044">
              <w:rPr>
                <w:rFonts w:eastAsia="SimSun"/>
              </w:rPr>
              <w:t xml:space="preserve">В/в, 8 мг 3 раза/сут  </w:t>
            </w:r>
          </w:p>
        </w:tc>
      </w:tr>
      <w:tr w:rsidR="009F7F8A" w:rsidRPr="00AC3044" w14:paraId="5A2EB700" w14:textId="77777777" w:rsidTr="009F7F8A">
        <w:trPr>
          <w:cantSplit/>
          <w:trHeight w:val="464"/>
        </w:trPr>
        <w:tc>
          <w:tcPr>
            <w:tcW w:w="168" w:type="pct"/>
          </w:tcPr>
          <w:p w14:paraId="6185A852" w14:textId="77777777" w:rsidR="009F7F8A" w:rsidRPr="00AC3044" w:rsidRDefault="009F7F8A" w:rsidP="009F7F8A">
            <w:pPr>
              <w:rPr>
                <w:rFonts w:eastAsia="SimSun"/>
              </w:rPr>
            </w:pPr>
            <w:r w:rsidRPr="00AC3044">
              <w:rPr>
                <w:rFonts w:eastAsia="SimSun"/>
              </w:rPr>
              <w:t>2</w:t>
            </w:r>
          </w:p>
        </w:tc>
        <w:tc>
          <w:tcPr>
            <w:tcW w:w="1133" w:type="pct"/>
            <w:vAlign w:val="center"/>
          </w:tcPr>
          <w:p w14:paraId="5F9746E6" w14:textId="77777777" w:rsidR="009F7F8A" w:rsidRPr="00AC3044" w:rsidRDefault="009F7F8A" w:rsidP="009F7F8A">
            <w:pPr>
              <w:rPr>
                <w:rFonts w:eastAsia="SimSun"/>
              </w:rPr>
            </w:pPr>
            <w:r w:rsidRPr="00AC3044">
              <w:rPr>
                <w:rFonts w:eastAsia="SimSun"/>
              </w:rPr>
              <w:t>Гранисетрон</w:t>
            </w:r>
          </w:p>
        </w:tc>
        <w:tc>
          <w:tcPr>
            <w:tcW w:w="614" w:type="pct"/>
            <w:vAlign w:val="center"/>
          </w:tcPr>
          <w:p w14:paraId="4987E216" w14:textId="77777777" w:rsidR="009F7F8A" w:rsidRPr="00AC3044" w:rsidRDefault="009F7F8A" w:rsidP="009F7F8A">
            <w:pPr>
              <w:rPr>
                <w:rFonts w:eastAsia="SimSun"/>
              </w:rPr>
            </w:pPr>
            <w:r w:rsidRPr="00AC3044">
              <w:rPr>
                <w:rFonts w:eastAsia="SimSun"/>
              </w:rPr>
              <w:t>9 мг</w:t>
            </w:r>
          </w:p>
        </w:tc>
        <w:tc>
          <w:tcPr>
            <w:tcW w:w="486" w:type="pct"/>
            <w:vAlign w:val="center"/>
          </w:tcPr>
          <w:p w14:paraId="7CF93B7B" w14:textId="77777777" w:rsidR="009F7F8A" w:rsidRPr="00AC3044" w:rsidRDefault="009F7F8A" w:rsidP="009F7F8A">
            <w:pPr>
              <w:rPr>
                <w:rFonts w:eastAsia="SimSun"/>
              </w:rPr>
            </w:pPr>
            <w:r w:rsidRPr="00AC3044">
              <w:rPr>
                <w:rFonts w:eastAsia="SimSun"/>
              </w:rPr>
              <w:t>–</w:t>
            </w:r>
          </w:p>
        </w:tc>
        <w:tc>
          <w:tcPr>
            <w:tcW w:w="1370" w:type="pct"/>
            <w:vAlign w:val="center"/>
          </w:tcPr>
          <w:p w14:paraId="006BE78E" w14:textId="77777777" w:rsidR="009F7F8A" w:rsidRPr="00AC3044" w:rsidRDefault="009F7F8A" w:rsidP="009F7F8A">
            <w:pPr>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14:paraId="469EEE74" w14:textId="77777777" w:rsidR="009F7F8A" w:rsidRPr="00AC3044" w:rsidRDefault="009F7F8A" w:rsidP="009F7F8A">
            <w:pPr>
              <w:rPr>
                <w:rFonts w:eastAsia="SimSun"/>
              </w:rPr>
            </w:pPr>
            <w:r w:rsidRPr="00AC3044">
              <w:rPr>
                <w:rFonts w:eastAsia="SimSun"/>
              </w:rPr>
              <w:t xml:space="preserve">В/в, 3 мг 3 раза/сут  </w:t>
            </w:r>
          </w:p>
        </w:tc>
      </w:tr>
      <w:tr w:rsidR="009F7F8A" w:rsidRPr="00AC3044" w14:paraId="0DB2557B" w14:textId="77777777" w:rsidTr="009F7F8A">
        <w:trPr>
          <w:cantSplit/>
          <w:trHeight w:val="464"/>
        </w:trPr>
        <w:tc>
          <w:tcPr>
            <w:tcW w:w="168" w:type="pct"/>
          </w:tcPr>
          <w:p w14:paraId="4D2F5EA7" w14:textId="77777777" w:rsidR="009F7F8A" w:rsidRPr="00AC3044" w:rsidRDefault="009F7F8A" w:rsidP="009F7F8A">
            <w:pPr>
              <w:rPr>
                <w:rFonts w:eastAsia="SimSun"/>
              </w:rPr>
            </w:pPr>
            <w:r w:rsidRPr="00AC3044">
              <w:rPr>
                <w:rFonts w:eastAsia="SimSun"/>
              </w:rPr>
              <w:t>3</w:t>
            </w:r>
          </w:p>
        </w:tc>
        <w:tc>
          <w:tcPr>
            <w:tcW w:w="1133" w:type="pct"/>
            <w:vAlign w:val="center"/>
          </w:tcPr>
          <w:p w14:paraId="2D4F1CD6" w14:textId="77777777" w:rsidR="009F7F8A" w:rsidRPr="00AC3044" w:rsidRDefault="009F7F8A" w:rsidP="009F7F8A">
            <w:pPr>
              <w:rPr>
                <w:rFonts w:eastAsia="SimSun"/>
              </w:rPr>
            </w:pPr>
            <w:r w:rsidRPr="00AC3044">
              <w:rPr>
                <w:rFonts w:eastAsia="SimSun"/>
              </w:rPr>
              <w:t>Трописетрон</w:t>
            </w:r>
          </w:p>
        </w:tc>
        <w:tc>
          <w:tcPr>
            <w:tcW w:w="614" w:type="pct"/>
            <w:vAlign w:val="center"/>
          </w:tcPr>
          <w:p w14:paraId="4F12145C" w14:textId="77777777" w:rsidR="009F7F8A" w:rsidRPr="00AC3044" w:rsidRDefault="009F7F8A" w:rsidP="009F7F8A">
            <w:pPr>
              <w:rPr>
                <w:rFonts w:eastAsia="SimSun"/>
              </w:rPr>
            </w:pPr>
            <w:r w:rsidRPr="00AC3044">
              <w:rPr>
                <w:rFonts w:eastAsia="SimSun"/>
              </w:rPr>
              <w:t>5 мг</w:t>
            </w:r>
          </w:p>
        </w:tc>
        <w:tc>
          <w:tcPr>
            <w:tcW w:w="486" w:type="pct"/>
            <w:vAlign w:val="center"/>
          </w:tcPr>
          <w:p w14:paraId="03A3E65E" w14:textId="77777777" w:rsidR="009F7F8A" w:rsidRPr="00AC3044" w:rsidRDefault="009F7F8A" w:rsidP="009F7F8A">
            <w:pPr>
              <w:rPr>
                <w:rFonts w:eastAsia="SimSun"/>
              </w:rPr>
            </w:pPr>
            <w:r w:rsidRPr="00AC3044">
              <w:rPr>
                <w:rFonts w:eastAsia="SimSun"/>
              </w:rPr>
              <w:t>–</w:t>
            </w:r>
          </w:p>
        </w:tc>
        <w:tc>
          <w:tcPr>
            <w:tcW w:w="1370" w:type="pct"/>
            <w:vAlign w:val="center"/>
          </w:tcPr>
          <w:p w14:paraId="41C94890" w14:textId="77777777" w:rsidR="009F7F8A" w:rsidRPr="00AC3044" w:rsidRDefault="009F7F8A" w:rsidP="009F7F8A">
            <w:pPr>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14:paraId="61F1A0CA" w14:textId="77777777" w:rsidR="009F7F8A" w:rsidRPr="00AC3044" w:rsidRDefault="009F7F8A" w:rsidP="009F7F8A">
            <w:pPr>
              <w:rPr>
                <w:rFonts w:eastAsia="SimSun"/>
              </w:rPr>
            </w:pPr>
            <w:r w:rsidRPr="00AC3044">
              <w:rPr>
                <w:rFonts w:eastAsia="SimSun"/>
              </w:rPr>
              <w:t>В/в, 5 мг 1 раз/сут</w:t>
            </w:r>
          </w:p>
        </w:tc>
      </w:tr>
      <w:tr w:rsidR="009F7F8A" w:rsidRPr="00AC3044" w14:paraId="4DC1923E" w14:textId="77777777" w:rsidTr="009F7F8A">
        <w:trPr>
          <w:cantSplit/>
          <w:trHeight w:val="464"/>
        </w:trPr>
        <w:tc>
          <w:tcPr>
            <w:tcW w:w="168" w:type="pct"/>
          </w:tcPr>
          <w:p w14:paraId="0D85F8F9" w14:textId="77777777" w:rsidR="009F7F8A" w:rsidRPr="00AC3044" w:rsidRDefault="009F7F8A" w:rsidP="009F7F8A">
            <w:pPr>
              <w:rPr>
                <w:rFonts w:eastAsia="SimSun"/>
              </w:rPr>
            </w:pPr>
            <w:r w:rsidRPr="00AC3044">
              <w:rPr>
                <w:rFonts w:eastAsia="SimSun"/>
              </w:rPr>
              <w:t>4</w:t>
            </w:r>
          </w:p>
        </w:tc>
        <w:tc>
          <w:tcPr>
            <w:tcW w:w="1133" w:type="pct"/>
            <w:vAlign w:val="center"/>
          </w:tcPr>
          <w:p w14:paraId="67AD1F27" w14:textId="77777777" w:rsidR="009F7F8A" w:rsidRPr="00AC3044" w:rsidRDefault="009F7F8A" w:rsidP="009F7F8A">
            <w:pPr>
              <w:rPr>
                <w:rFonts w:eastAsia="SimSun"/>
              </w:rPr>
            </w:pPr>
            <w:r w:rsidRPr="00AC3044">
              <w:rPr>
                <w:rFonts w:eastAsia="SimSun"/>
              </w:rPr>
              <w:t>Палоносетрон</w:t>
            </w:r>
          </w:p>
        </w:tc>
        <w:tc>
          <w:tcPr>
            <w:tcW w:w="614" w:type="pct"/>
            <w:vAlign w:val="center"/>
          </w:tcPr>
          <w:p w14:paraId="77910BEF" w14:textId="77777777" w:rsidR="009F7F8A" w:rsidRPr="00AC3044" w:rsidRDefault="009F7F8A" w:rsidP="009F7F8A">
            <w:pPr>
              <w:rPr>
                <w:rFonts w:eastAsia="SimSun"/>
              </w:rPr>
            </w:pPr>
            <w:r w:rsidRPr="00AC3044">
              <w:rPr>
                <w:rFonts w:eastAsia="SimSun"/>
              </w:rPr>
              <w:t>0,25 мг</w:t>
            </w:r>
          </w:p>
        </w:tc>
        <w:tc>
          <w:tcPr>
            <w:tcW w:w="486" w:type="pct"/>
            <w:vAlign w:val="center"/>
          </w:tcPr>
          <w:p w14:paraId="1283B7D4" w14:textId="77777777" w:rsidR="009F7F8A" w:rsidRPr="00AC3044" w:rsidRDefault="009F7F8A" w:rsidP="009F7F8A">
            <w:pPr>
              <w:rPr>
                <w:rFonts w:eastAsia="SimSun"/>
              </w:rPr>
            </w:pPr>
            <w:r w:rsidRPr="00AC3044">
              <w:rPr>
                <w:rFonts w:eastAsia="SimSun"/>
              </w:rPr>
              <w:t>–</w:t>
            </w:r>
          </w:p>
        </w:tc>
        <w:tc>
          <w:tcPr>
            <w:tcW w:w="1370" w:type="pct"/>
            <w:vAlign w:val="center"/>
          </w:tcPr>
          <w:p w14:paraId="622FF7FC" w14:textId="77777777" w:rsidR="009F7F8A" w:rsidRPr="00AC3044" w:rsidRDefault="009F7F8A" w:rsidP="009F7F8A">
            <w:pPr>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14:paraId="654972AF" w14:textId="77777777" w:rsidR="009F7F8A" w:rsidRPr="00AC3044" w:rsidRDefault="009F7F8A" w:rsidP="009F7F8A">
            <w:pPr>
              <w:rPr>
                <w:rFonts w:eastAsia="SimSun"/>
              </w:rPr>
            </w:pPr>
            <w:r w:rsidRPr="00AC3044">
              <w:rPr>
                <w:rFonts w:eastAsia="SimSun"/>
              </w:rPr>
              <w:t>В/в</w:t>
            </w:r>
          </w:p>
        </w:tc>
      </w:tr>
      <w:tr w:rsidR="009F7F8A" w:rsidRPr="00AC3044" w14:paraId="10D23F7D" w14:textId="77777777" w:rsidTr="009F7F8A">
        <w:trPr>
          <w:cantSplit/>
          <w:trHeight w:val="464"/>
        </w:trPr>
        <w:tc>
          <w:tcPr>
            <w:tcW w:w="168" w:type="pct"/>
          </w:tcPr>
          <w:p w14:paraId="1614393B" w14:textId="77777777" w:rsidR="009F7F8A" w:rsidRPr="00AC3044" w:rsidRDefault="009F7F8A" w:rsidP="009F7F8A">
            <w:pPr>
              <w:rPr>
                <w:rFonts w:eastAsia="SimSun"/>
              </w:rPr>
            </w:pPr>
            <w:r w:rsidRPr="00AC3044">
              <w:rPr>
                <w:rFonts w:eastAsia="SimSun"/>
              </w:rPr>
              <w:t>5</w:t>
            </w:r>
          </w:p>
        </w:tc>
        <w:tc>
          <w:tcPr>
            <w:tcW w:w="1133" w:type="pct"/>
            <w:vAlign w:val="center"/>
          </w:tcPr>
          <w:p w14:paraId="20E444B5" w14:textId="77777777" w:rsidR="009F7F8A" w:rsidRPr="00AC3044" w:rsidRDefault="009F7F8A" w:rsidP="009F7F8A">
            <w:pPr>
              <w:rPr>
                <w:rFonts w:eastAsia="SimSun"/>
              </w:rPr>
            </w:pPr>
            <w:r w:rsidRPr="00AC3044">
              <w:rPr>
                <w:rFonts w:eastAsia="SimSun"/>
              </w:rPr>
              <w:t>Апрепитант</w:t>
            </w:r>
          </w:p>
        </w:tc>
        <w:tc>
          <w:tcPr>
            <w:tcW w:w="614" w:type="pct"/>
            <w:vAlign w:val="center"/>
          </w:tcPr>
          <w:p w14:paraId="702C9709" w14:textId="77777777" w:rsidR="009F7F8A" w:rsidRPr="00AC3044" w:rsidRDefault="009F7F8A" w:rsidP="009F7F8A">
            <w:pPr>
              <w:rPr>
                <w:rFonts w:eastAsia="SimSun"/>
              </w:rPr>
            </w:pPr>
            <w:r w:rsidRPr="00AC3044">
              <w:rPr>
                <w:rFonts w:eastAsia="SimSun"/>
              </w:rPr>
              <w:t>125, 80, 80 мг</w:t>
            </w:r>
          </w:p>
        </w:tc>
        <w:tc>
          <w:tcPr>
            <w:tcW w:w="486" w:type="pct"/>
            <w:vAlign w:val="center"/>
          </w:tcPr>
          <w:p w14:paraId="79AB38D1" w14:textId="77777777" w:rsidR="009F7F8A" w:rsidRPr="00AC3044" w:rsidRDefault="009F7F8A" w:rsidP="009F7F8A">
            <w:pPr>
              <w:rPr>
                <w:rFonts w:eastAsia="SimSun"/>
              </w:rPr>
            </w:pPr>
            <w:r w:rsidRPr="00AC3044">
              <w:rPr>
                <w:rFonts w:eastAsia="SimSun"/>
              </w:rPr>
              <w:t>–</w:t>
            </w:r>
          </w:p>
        </w:tc>
        <w:tc>
          <w:tcPr>
            <w:tcW w:w="1370" w:type="pct"/>
            <w:vAlign w:val="center"/>
          </w:tcPr>
          <w:p w14:paraId="38AF9034" w14:textId="77777777" w:rsidR="009F7F8A" w:rsidRPr="00AC3044" w:rsidRDefault="009F7F8A" w:rsidP="009F7F8A">
            <w:pPr>
              <w:rPr>
                <w:rFonts w:eastAsia="SimSun"/>
              </w:rPr>
            </w:pPr>
            <w:r w:rsidRPr="00AC3044">
              <w:rPr>
                <w:rFonts w:eastAsia="SimSun"/>
              </w:rPr>
              <w:t>При проведении ТТО -3 по -1 дни</w:t>
            </w:r>
          </w:p>
        </w:tc>
        <w:tc>
          <w:tcPr>
            <w:tcW w:w="1229" w:type="pct"/>
            <w:vAlign w:val="center"/>
          </w:tcPr>
          <w:p w14:paraId="423BF27B" w14:textId="77777777" w:rsidR="009F7F8A" w:rsidRPr="00AC3044" w:rsidRDefault="009F7F8A" w:rsidP="009F7F8A">
            <w:pPr>
              <w:rPr>
                <w:rFonts w:eastAsia="SimSun"/>
              </w:rPr>
            </w:pPr>
            <w:r w:rsidRPr="00AC3044">
              <w:rPr>
                <w:rFonts w:eastAsia="SimSun"/>
              </w:rPr>
              <w:t>Внутрь, перед  утренней фракцией ТТО</w:t>
            </w:r>
          </w:p>
        </w:tc>
      </w:tr>
      <w:tr w:rsidR="009F7F8A" w:rsidRPr="00AC3044" w14:paraId="189F36D6" w14:textId="77777777" w:rsidTr="009F7F8A">
        <w:trPr>
          <w:cantSplit/>
          <w:trHeight w:val="464"/>
        </w:trPr>
        <w:tc>
          <w:tcPr>
            <w:tcW w:w="168" w:type="pct"/>
          </w:tcPr>
          <w:p w14:paraId="6CDA59FA" w14:textId="77777777" w:rsidR="009F7F8A" w:rsidRPr="00AC3044" w:rsidRDefault="009F7F8A" w:rsidP="009F7F8A">
            <w:pPr>
              <w:rPr>
                <w:rFonts w:eastAsia="SimSun"/>
              </w:rPr>
            </w:pPr>
            <w:r w:rsidRPr="00AC3044">
              <w:rPr>
                <w:rFonts w:eastAsia="SimSun"/>
              </w:rPr>
              <w:lastRenderedPageBreak/>
              <w:t>6</w:t>
            </w:r>
          </w:p>
        </w:tc>
        <w:tc>
          <w:tcPr>
            <w:tcW w:w="1133" w:type="pct"/>
            <w:vAlign w:val="center"/>
          </w:tcPr>
          <w:p w14:paraId="0FBAB52C" w14:textId="77777777" w:rsidR="009F7F8A" w:rsidRPr="00AC3044" w:rsidRDefault="009F7F8A" w:rsidP="009F7F8A">
            <w:pPr>
              <w:rPr>
                <w:rFonts w:eastAsia="SimSun"/>
              </w:rPr>
            </w:pPr>
            <w:r w:rsidRPr="00AC3044">
              <w:rPr>
                <w:rFonts w:eastAsia="SimSun"/>
              </w:rPr>
              <w:t>Фосапрепитант</w:t>
            </w:r>
            <w:r w:rsidRPr="00AC3044">
              <w:rPr>
                <w:rFonts w:eastAsia="SimSun"/>
              </w:rPr>
              <w:tab/>
            </w:r>
          </w:p>
        </w:tc>
        <w:tc>
          <w:tcPr>
            <w:tcW w:w="614" w:type="pct"/>
            <w:vAlign w:val="center"/>
          </w:tcPr>
          <w:p w14:paraId="08C51B73" w14:textId="77777777" w:rsidR="009F7F8A" w:rsidRPr="00AC3044" w:rsidRDefault="009F7F8A" w:rsidP="009F7F8A">
            <w:pPr>
              <w:rPr>
                <w:rFonts w:eastAsia="SimSun"/>
              </w:rPr>
            </w:pPr>
            <w:r w:rsidRPr="00AC3044">
              <w:rPr>
                <w:rFonts w:eastAsia="SimSun"/>
              </w:rPr>
              <w:t>150 мг</w:t>
            </w:r>
          </w:p>
        </w:tc>
        <w:tc>
          <w:tcPr>
            <w:tcW w:w="486" w:type="pct"/>
            <w:vAlign w:val="center"/>
          </w:tcPr>
          <w:p w14:paraId="0CBAC2AD" w14:textId="77777777" w:rsidR="009F7F8A" w:rsidRPr="00AC3044" w:rsidRDefault="009F7F8A" w:rsidP="009F7F8A">
            <w:pPr>
              <w:rPr>
                <w:rFonts w:eastAsia="SimSun"/>
              </w:rPr>
            </w:pPr>
            <w:r w:rsidRPr="00AC3044">
              <w:rPr>
                <w:rFonts w:eastAsia="SimSun"/>
              </w:rPr>
              <w:t>–</w:t>
            </w:r>
          </w:p>
        </w:tc>
        <w:tc>
          <w:tcPr>
            <w:tcW w:w="1370" w:type="pct"/>
            <w:vAlign w:val="center"/>
          </w:tcPr>
          <w:p w14:paraId="73CB2DA7" w14:textId="77777777" w:rsidR="009F7F8A" w:rsidRPr="00AC3044" w:rsidRDefault="009F7F8A" w:rsidP="009F7F8A">
            <w:pPr>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14:paraId="54A35275" w14:textId="77777777" w:rsidR="009F7F8A" w:rsidRPr="00AC3044" w:rsidRDefault="009F7F8A" w:rsidP="009F7F8A">
            <w:pPr>
              <w:rPr>
                <w:rFonts w:eastAsia="SimSun"/>
              </w:rPr>
            </w:pPr>
            <w:r w:rsidRPr="00AC3044">
              <w:rPr>
                <w:rFonts w:eastAsia="SimSun"/>
              </w:rPr>
              <w:t>В/в, однократно</w:t>
            </w:r>
          </w:p>
        </w:tc>
      </w:tr>
      <w:tr w:rsidR="009F7F8A" w:rsidRPr="00AC3044" w14:paraId="4AB53EA9" w14:textId="77777777" w:rsidTr="009F7F8A">
        <w:trPr>
          <w:cantSplit/>
          <w:trHeight w:val="464"/>
        </w:trPr>
        <w:tc>
          <w:tcPr>
            <w:tcW w:w="5000" w:type="pct"/>
            <w:gridSpan w:val="6"/>
          </w:tcPr>
          <w:p w14:paraId="2F076B89" w14:textId="77777777" w:rsidR="009F7F8A" w:rsidRPr="00AC3044" w:rsidRDefault="009F7F8A" w:rsidP="009F7F8A">
            <w:pPr>
              <w:rPr>
                <w:rFonts w:eastAsia="SimSun"/>
              </w:rPr>
            </w:pPr>
            <w:r w:rsidRPr="00AC3044">
              <w:rPr>
                <w:rFonts w:eastAsia="SimSun"/>
              </w:rPr>
              <w:t>Антикоагулянтная терапия</w:t>
            </w:r>
          </w:p>
        </w:tc>
      </w:tr>
      <w:tr w:rsidR="009F7F8A" w:rsidRPr="00AC3044" w14:paraId="14270E34" w14:textId="77777777" w:rsidTr="009F7F8A">
        <w:trPr>
          <w:cantSplit/>
          <w:trHeight w:val="464"/>
        </w:trPr>
        <w:tc>
          <w:tcPr>
            <w:tcW w:w="168" w:type="pct"/>
          </w:tcPr>
          <w:p w14:paraId="2631B5B5" w14:textId="77777777" w:rsidR="009F7F8A" w:rsidRPr="00AC3044" w:rsidRDefault="009F7F8A" w:rsidP="009F7F8A">
            <w:pPr>
              <w:rPr>
                <w:rFonts w:eastAsia="SimSun"/>
              </w:rPr>
            </w:pPr>
            <w:r w:rsidRPr="00AC3044">
              <w:rPr>
                <w:rFonts w:eastAsia="SimSun"/>
              </w:rPr>
              <w:t>1</w:t>
            </w:r>
          </w:p>
        </w:tc>
        <w:tc>
          <w:tcPr>
            <w:tcW w:w="1133" w:type="pct"/>
            <w:vAlign w:val="center"/>
          </w:tcPr>
          <w:p w14:paraId="5C14B233" w14:textId="77777777" w:rsidR="009F7F8A" w:rsidRPr="00AC3044" w:rsidRDefault="009F7F8A" w:rsidP="009F7F8A">
            <w:pPr>
              <w:rPr>
                <w:rFonts w:eastAsia="SimSun"/>
              </w:rPr>
            </w:pPr>
            <w:r w:rsidRPr="00AC3044">
              <w:rPr>
                <w:rFonts w:eastAsia="SimSun"/>
              </w:rPr>
              <w:t>Гепарин</w:t>
            </w:r>
          </w:p>
        </w:tc>
        <w:tc>
          <w:tcPr>
            <w:tcW w:w="614" w:type="pct"/>
            <w:vAlign w:val="center"/>
          </w:tcPr>
          <w:p w14:paraId="21053961" w14:textId="77777777" w:rsidR="009F7F8A" w:rsidRPr="00AC3044" w:rsidRDefault="009F7F8A" w:rsidP="009F7F8A">
            <w:pPr>
              <w:rPr>
                <w:rFonts w:eastAsia="SimSun"/>
              </w:rPr>
            </w:pPr>
            <w:r w:rsidRPr="00AC3044">
              <w:rPr>
                <w:rFonts w:eastAsia="SimSun"/>
              </w:rPr>
              <w:t xml:space="preserve">12000 ЕД/сут </w:t>
            </w:r>
          </w:p>
        </w:tc>
        <w:tc>
          <w:tcPr>
            <w:tcW w:w="486" w:type="pct"/>
            <w:vAlign w:val="center"/>
          </w:tcPr>
          <w:p w14:paraId="6076F276" w14:textId="77777777" w:rsidR="009F7F8A" w:rsidRPr="00AC3044" w:rsidRDefault="009F7F8A" w:rsidP="009F7F8A">
            <w:pPr>
              <w:rPr>
                <w:rFonts w:eastAsia="SimSun"/>
              </w:rPr>
            </w:pPr>
            <w:r w:rsidRPr="00AC3044">
              <w:rPr>
                <w:rFonts w:eastAsia="SimSun"/>
              </w:rPr>
              <w:t>–</w:t>
            </w:r>
          </w:p>
        </w:tc>
        <w:tc>
          <w:tcPr>
            <w:tcW w:w="1370" w:type="pct"/>
            <w:vAlign w:val="center"/>
          </w:tcPr>
          <w:p w14:paraId="4E4089DC" w14:textId="77777777" w:rsidR="009F7F8A" w:rsidRPr="00AC3044" w:rsidRDefault="009F7F8A" w:rsidP="009F7F8A">
            <w:pPr>
              <w:rPr>
                <w:rFonts w:eastAsia="SimSun"/>
              </w:rPr>
            </w:pPr>
            <w:r w:rsidRPr="00AC3044">
              <w:rPr>
                <w:rFonts w:eastAsia="SimSun"/>
              </w:rPr>
              <w:t>За день до начала кондиционирования по +14 день (до +28 дня включительно при инфицировании гепатитом В, С и/или тромбозах в анамнезе)</w:t>
            </w:r>
          </w:p>
        </w:tc>
        <w:tc>
          <w:tcPr>
            <w:tcW w:w="1229" w:type="pct"/>
            <w:vAlign w:val="center"/>
          </w:tcPr>
          <w:p w14:paraId="1CF59377" w14:textId="77777777" w:rsidR="009F7F8A" w:rsidRPr="00AC3044" w:rsidRDefault="009F7F8A" w:rsidP="009F7F8A">
            <w:pPr>
              <w:rPr>
                <w:rFonts w:eastAsia="SimSun"/>
              </w:rPr>
            </w:pPr>
            <w:r w:rsidRPr="00AC3044">
              <w:rPr>
                <w:rFonts w:eastAsia="SimSun"/>
              </w:rPr>
              <w:t>В/в, инфузия в течение 24 ч</w:t>
            </w:r>
          </w:p>
        </w:tc>
      </w:tr>
      <w:tr w:rsidR="009F7F8A" w:rsidRPr="00AC3044" w14:paraId="0F1371BE" w14:textId="77777777" w:rsidTr="009F7F8A">
        <w:trPr>
          <w:cantSplit/>
          <w:trHeight w:val="464"/>
        </w:trPr>
        <w:tc>
          <w:tcPr>
            <w:tcW w:w="168" w:type="pct"/>
          </w:tcPr>
          <w:p w14:paraId="3958AFCA" w14:textId="77777777" w:rsidR="009F7F8A" w:rsidRPr="00AC3044" w:rsidRDefault="009F7F8A" w:rsidP="009F7F8A">
            <w:pPr>
              <w:rPr>
                <w:rFonts w:eastAsia="SimSun"/>
              </w:rPr>
            </w:pPr>
            <w:r w:rsidRPr="00AC3044">
              <w:rPr>
                <w:rFonts w:eastAsia="SimSun"/>
              </w:rPr>
              <w:t>2</w:t>
            </w:r>
          </w:p>
        </w:tc>
        <w:tc>
          <w:tcPr>
            <w:tcW w:w="1133" w:type="pct"/>
            <w:vAlign w:val="center"/>
          </w:tcPr>
          <w:p w14:paraId="1A5CBC7D" w14:textId="77777777" w:rsidR="009F7F8A" w:rsidRPr="00AC3044" w:rsidRDefault="009F7F8A" w:rsidP="009F7F8A">
            <w:pPr>
              <w:rPr>
                <w:rFonts w:eastAsia="SimSun"/>
              </w:rPr>
            </w:pPr>
            <w:r w:rsidRPr="00AC3044">
              <w:rPr>
                <w:rFonts w:eastAsia="SimSun"/>
              </w:rPr>
              <w:t>Гепарин</w:t>
            </w:r>
          </w:p>
        </w:tc>
        <w:tc>
          <w:tcPr>
            <w:tcW w:w="614" w:type="pct"/>
            <w:vAlign w:val="center"/>
          </w:tcPr>
          <w:p w14:paraId="72B7D4A9" w14:textId="77777777" w:rsidR="009F7F8A" w:rsidRPr="00AC3044" w:rsidRDefault="009F7F8A" w:rsidP="009F7F8A">
            <w:pPr>
              <w:rPr>
                <w:rFonts w:eastAsia="SimSun"/>
              </w:rPr>
            </w:pPr>
            <w:r w:rsidRPr="00AC3044">
              <w:rPr>
                <w:rFonts w:eastAsia="SimSun"/>
              </w:rPr>
              <w:t xml:space="preserve">100 ЕД/кг </w:t>
            </w:r>
          </w:p>
        </w:tc>
        <w:tc>
          <w:tcPr>
            <w:tcW w:w="486" w:type="pct"/>
            <w:vAlign w:val="center"/>
          </w:tcPr>
          <w:p w14:paraId="11663BA7" w14:textId="77777777" w:rsidR="009F7F8A" w:rsidRPr="00AC3044" w:rsidRDefault="009F7F8A" w:rsidP="009F7F8A">
            <w:pPr>
              <w:rPr>
                <w:rFonts w:eastAsia="SimSun"/>
              </w:rPr>
            </w:pPr>
            <w:r w:rsidRPr="00AC3044">
              <w:rPr>
                <w:rFonts w:eastAsia="SimSun"/>
              </w:rPr>
              <w:t>–</w:t>
            </w:r>
          </w:p>
        </w:tc>
        <w:tc>
          <w:tcPr>
            <w:tcW w:w="1370" w:type="pct"/>
            <w:vAlign w:val="center"/>
          </w:tcPr>
          <w:p w14:paraId="1A0B2AA5" w14:textId="77777777" w:rsidR="009F7F8A" w:rsidRPr="00AC3044" w:rsidRDefault="009F7F8A" w:rsidP="009F7F8A">
            <w:pPr>
              <w:rPr>
                <w:rFonts w:eastAsia="SimSun"/>
              </w:rPr>
            </w:pPr>
            <w:r w:rsidRPr="00AC3044">
              <w:rPr>
                <w:rFonts w:eastAsia="SimSun"/>
              </w:rPr>
              <w:t>Весь период использования ЦВК</w:t>
            </w:r>
          </w:p>
        </w:tc>
        <w:tc>
          <w:tcPr>
            <w:tcW w:w="1229" w:type="pct"/>
            <w:vAlign w:val="center"/>
          </w:tcPr>
          <w:p w14:paraId="396FBF87" w14:textId="77777777" w:rsidR="009F7F8A" w:rsidRPr="00AC3044" w:rsidRDefault="009F7F8A" w:rsidP="009F7F8A">
            <w:pPr>
              <w:rPr>
                <w:rFonts w:eastAsia="SimSun"/>
              </w:rPr>
            </w:pPr>
            <w:r w:rsidRPr="00AC3044">
              <w:rPr>
                <w:rFonts w:eastAsia="SimSun"/>
              </w:rPr>
              <w:t>В/в, инфузия в течение 24 ч</w:t>
            </w:r>
          </w:p>
        </w:tc>
      </w:tr>
      <w:tr w:rsidR="009F7F8A" w:rsidRPr="00AC3044" w14:paraId="3723349F" w14:textId="77777777" w:rsidTr="009F7F8A">
        <w:trPr>
          <w:cantSplit/>
          <w:trHeight w:val="464"/>
        </w:trPr>
        <w:tc>
          <w:tcPr>
            <w:tcW w:w="168" w:type="pct"/>
          </w:tcPr>
          <w:p w14:paraId="77FF3560" w14:textId="77777777" w:rsidR="009F7F8A" w:rsidRPr="00AC3044" w:rsidRDefault="009F7F8A" w:rsidP="009F7F8A">
            <w:pPr>
              <w:rPr>
                <w:rFonts w:eastAsia="SimSun"/>
              </w:rPr>
            </w:pPr>
            <w:r w:rsidRPr="00AC3044">
              <w:rPr>
                <w:rFonts w:eastAsia="SimSun"/>
              </w:rPr>
              <w:t>3</w:t>
            </w:r>
          </w:p>
        </w:tc>
        <w:tc>
          <w:tcPr>
            <w:tcW w:w="1133" w:type="pct"/>
            <w:vAlign w:val="center"/>
          </w:tcPr>
          <w:p w14:paraId="14AF9C4A" w14:textId="77777777" w:rsidR="009F7F8A" w:rsidRPr="00AC3044" w:rsidRDefault="009F7F8A" w:rsidP="009F7F8A">
            <w:pPr>
              <w:rPr>
                <w:rFonts w:eastAsia="SimSun"/>
              </w:rPr>
            </w:pPr>
            <w:r w:rsidRPr="00AC3044">
              <w:rPr>
                <w:rFonts w:eastAsia="SimSun"/>
              </w:rPr>
              <w:t>Гепарин</w:t>
            </w:r>
          </w:p>
        </w:tc>
        <w:tc>
          <w:tcPr>
            <w:tcW w:w="614" w:type="pct"/>
            <w:vAlign w:val="center"/>
          </w:tcPr>
          <w:p w14:paraId="300B7277" w14:textId="77777777" w:rsidR="009F7F8A" w:rsidRPr="00AC3044" w:rsidRDefault="009F7F8A" w:rsidP="009F7F8A">
            <w:pPr>
              <w:rPr>
                <w:rFonts w:eastAsia="SimSun"/>
              </w:rPr>
            </w:pPr>
            <w:r w:rsidRPr="00AC3044">
              <w:rPr>
                <w:rFonts w:eastAsia="SimSun"/>
              </w:rPr>
              <w:t xml:space="preserve">100-500 ЕД/кг </w:t>
            </w:r>
          </w:p>
        </w:tc>
        <w:tc>
          <w:tcPr>
            <w:tcW w:w="486" w:type="pct"/>
            <w:vAlign w:val="center"/>
          </w:tcPr>
          <w:p w14:paraId="4232FFD2" w14:textId="77777777" w:rsidR="009F7F8A" w:rsidRPr="00AC3044" w:rsidRDefault="009F7F8A" w:rsidP="009F7F8A">
            <w:pPr>
              <w:rPr>
                <w:rFonts w:eastAsia="SimSun"/>
              </w:rPr>
            </w:pPr>
            <w:r w:rsidRPr="00AC3044">
              <w:rPr>
                <w:rFonts w:eastAsia="SimSun"/>
              </w:rPr>
              <w:t>–</w:t>
            </w:r>
          </w:p>
        </w:tc>
        <w:tc>
          <w:tcPr>
            <w:tcW w:w="1370" w:type="pct"/>
            <w:vAlign w:val="center"/>
          </w:tcPr>
          <w:p w14:paraId="398CE4CB" w14:textId="77777777" w:rsidR="009F7F8A" w:rsidRPr="00AC3044" w:rsidRDefault="009F7F8A" w:rsidP="009F7F8A">
            <w:pPr>
              <w:rPr>
                <w:rFonts w:eastAsia="SimSun"/>
              </w:rPr>
            </w:pPr>
            <w:r w:rsidRPr="00AC3044">
              <w:rPr>
                <w:rFonts w:eastAsia="SimSun"/>
              </w:rPr>
              <w:t>Под контролем АЧТВ, в среднем 14-42 дня</w:t>
            </w:r>
          </w:p>
        </w:tc>
        <w:tc>
          <w:tcPr>
            <w:tcW w:w="1229" w:type="pct"/>
            <w:vAlign w:val="center"/>
          </w:tcPr>
          <w:p w14:paraId="6D3220DA" w14:textId="77777777" w:rsidR="009F7F8A" w:rsidRPr="00AC3044" w:rsidRDefault="009F7F8A" w:rsidP="009F7F8A">
            <w:pPr>
              <w:rPr>
                <w:rFonts w:eastAsia="SimSun"/>
              </w:rPr>
            </w:pPr>
            <w:r w:rsidRPr="00AC3044">
              <w:rPr>
                <w:rFonts w:eastAsia="SimSun"/>
              </w:rPr>
              <w:t>В/в, инфузия в течение 24 ч</w:t>
            </w:r>
          </w:p>
        </w:tc>
      </w:tr>
      <w:tr w:rsidR="009F7F8A" w:rsidRPr="00AC3044" w14:paraId="2B877713" w14:textId="77777777" w:rsidTr="009F7F8A">
        <w:trPr>
          <w:cantSplit/>
          <w:trHeight w:val="464"/>
        </w:trPr>
        <w:tc>
          <w:tcPr>
            <w:tcW w:w="168" w:type="pct"/>
          </w:tcPr>
          <w:p w14:paraId="5CA6811D" w14:textId="77777777" w:rsidR="009F7F8A" w:rsidRPr="00AC3044" w:rsidRDefault="009F7F8A" w:rsidP="009F7F8A">
            <w:pPr>
              <w:rPr>
                <w:rFonts w:eastAsia="SimSun"/>
              </w:rPr>
            </w:pPr>
            <w:r w:rsidRPr="00AC3044">
              <w:rPr>
                <w:rFonts w:eastAsia="SimSun"/>
              </w:rPr>
              <w:t>4</w:t>
            </w:r>
          </w:p>
        </w:tc>
        <w:tc>
          <w:tcPr>
            <w:tcW w:w="1133" w:type="pct"/>
            <w:vAlign w:val="center"/>
          </w:tcPr>
          <w:p w14:paraId="7AB42F11" w14:textId="77777777" w:rsidR="009F7F8A" w:rsidRPr="00AC3044" w:rsidRDefault="009F7F8A" w:rsidP="009F7F8A">
            <w:pPr>
              <w:rPr>
                <w:rFonts w:eastAsia="SimSun"/>
              </w:rPr>
            </w:pPr>
            <w:r w:rsidRPr="00AC3044">
              <w:rPr>
                <w:rFonts w:eastAsia="SimSun"/>
              </w:rPr>
              <w:t>Низкомолекулряные гепарины</w:t>
            </w:r>
          </w:p>
        </w:tc>
        <w:tc>
          <w:tcPr>
            <w:tcW w:w="3699" w:type="pct"/>
            <w:gridSpan w:val="4"/>
            <w:vAlign w:val="center"/>
          </w:tcPr>
          <w:p w14:paraId="6D7E90D7" w14:textId="77777777" w:rsidR="009F7F8A" w:rsidRPr="00AC3044" w:rsidRDefault="009F7F8A" w:rsidP="009F7F8A">
            <w:pPr>
              <w:rPr>
                <w:rFonts w:eastAsia="SimSun"/>
              </w:rPr>
            </w:pPr>
            <w:r w:rsidRPr="00AC3044">
              <w:rPr>
                <w:rFonts w:eastAsia="SimSun"/>
              </w:rPr>
              <w:t>В соответсвии с рекомендациями производителя и клинической ситуации, в среднем 14-42 дня.</w:t>
            </w:r>
          </w:p>
        </w:tc>
      </w:tr>
      <w:tr w:rsidR="009F7F8A" w:rsidRPr="00AC3044" w14:paraId="3D91A2EB" w14:textId="77777777" w:rsidTr="009F7F8A">
        <w:trPr>
          <w:cantSplit/>
          <w:trHeight w:val="464"/>
        </w:trPr>
        <w:tc>
          <w:tcPr>
            <w:tcW w:w="5000" w:type="pct"/>
            <w:gridSpan w:val="6"/>
          </w:tcPr>
          <w:p w14:paraId="06EFEE32" w14:textId="77777777" w:rsidR="009F7F8A" w:rsidRPr="00AC3044" w:rsidRDefault="009F7F8A" w:rsidP="009F7F8A">
            <w:pPr>
              <w:rPr>
                <w:rFonts w:eastAsia="SimSun"/>
              </w:rPr>
            </w:pPr>
            <w:r w:rsidRPr="00AC3044">
              <w:rPr>
                <w:rFonts w:eastAsia="SimSun"/>
              </w:rPr>
              <w:t>Противосудорожная терапия</w:t>
            </w:r>
          </w:p>
        </w:tc>
      </w:tr>
      <w:tr w:rsidR="009F7F8A" w:rsidRPr="00AC3044" w14:paraId="76C2FBB3" w14:textId="77777777" w:rsidTr="009F7F8A">
        <w:trPr>
          <w:cantSplit/>
          <w:trHeight w:val="464"/>
        </w:trPr>
        <w:tc>
          <w:tcPr>
            <w:tcW w:w="168" w:type="pct"/>
          </w:tcPr>
          <w:p w14:paraId="1723F866" w14:textId="77777777" w:rsidR="009F7F8A" w:rsidRPr="00AC3044" w:rsidRDefault="009F7F8A" w:rsidP="009F7F8A">
            <w:pPr>
              <w:rPr>
                <w:rFonts w:eastAsia="SimSun"/>
              </w:rPr>
            </w:pPr>
            <w:r w:rsidRPr="00AC3044">
              <w:rPr>
                <w:rFonts w:eastAsia="SimSun"/>
              </w:rPr>
              <w:t>1</w:t>
            </w:r>
          </w:p>
        </w:tc>
        <w:tc>
          <w:tcPr>
            <w:tcW w:w="1133" w:type="pct"/>
            <w:vAlign w:val="center"/>
          </w:tcPr>
          <w:p w14:paraId="59FD3187" w14:textId="77777777" w:rsidR="009F7F8A" w:rsidRPr="00AC3044" w:rsidRDefault="009F7F8A" w:rsidP="009F7F8A">
            <w:pPr>
              <w:rPr>
                <w:rFonts w:eastAsia="SimSun"/>
              </w:rPr>
            </w:pPr>
            <w:r w:rsidRPr="00AC3044">
              <w:rPr>
                <w:rFonts w:eastAsia="SimSun"/>
              </w:rPr>
              <w:t>Карбамазепин</w:t>
            </w:r>
          </w:p>
        </w:tc>
        <w:tc>
          <w:tcPr>
            <w:tcW w:w="614" w:type="pct"/>
            <w:vAlign w:val="center"/>
          </w:tcPr>
          <w:p w14:paraId="6161E507" w14:textId="77777777" w:rsidR="009F7F8A" w:rsidRPr="00AC3044" w:rsidRDefault="009F7F8A" w:rsidP="009F7F8A">
            <w:pPr>
              <w:rPr>
                <w:rFonts w:eastAsia="SimSun"/>
              </w:rPr>
            </w:pPr>
            <w:r w:rsidRPr="00AC3044">
              <w:rPr>
                <w:rFonts w:eastAsia="SimSun"/>
              </w:rPr>
              <w:t>200 мг</w:t>
            </w:r>
          </w:p>
        </w:tc>
        <w:tc>
          <w:tcPr>
            <w:tcW w:w="486" w:type="pct"/>
            <w:vAlign w:val="center"/>
          </w:tcPr>
          <w:p w14:paraId="039C2759" w14:textId="77777777" w:rsidR="009F7F8A" w:rsidRPr="00AC3044" w:rsidRDefault="009F7F8A" w:rsidP="009F7F8A">
            <w:pPr>
              <w:rPr>
                <w:rFonts w:eastAsia="SimSun"/>
              </w:rPr>
            </w:pPr>
            <w:r w:rsidRPr="00AC3044">
              <w:rPr>
                <w:rFonts w:eastAsia="SimSun"/>
              </w:rPr>
              <w:t>–</w:t>
            </w:r>
          </w:p>
        </w:tc>
        <w:tc>
          <w:tcPr>
            <w:tcW w:w="1370" w:type="pct"/>
            <w:vAlign w:val="center"/>
          </w:tcPr>
          <w:p w14:paraId="189E20BB" w14:textId="77777777" w:rsidR="009F7F8A" w:rsidRPr="00AC3044" w:rsidRDefault="009F7F8A" w:rsidP="009F7F8A">
            <w:pPr>
              <w:rPr>
                <w:rFonts w:eastAsia="SimSun"/>
              </w:rPr>
            </w:pPr>
            <w:r w:rsidRPr="00AC3044">
              <w:rPr>
                <w:rFonts w:eastAsia="SimSun"/>
              </w:rPr>
              <w:t xml:space="preserve">За сутки до введения бусульфана, в дни приема бусульфана, день следующий после окончания приема бусульфана </w:t>
            </w:r>
          </w:p>
        </w:tc>
        <w:tc>
          <w:tcPr>
            <w:tcW w:w="1229" w:type="pct"/>
            <w:vAlign w:val="center"/>
          </w:tcPr>
          <w:p w14:paraId="055A5D89" w14:textId="77777777" w:rsidR="009F7F8A" w:rsidRPr="00AC3044" w:rsidRDefault="009F7F8A" w:rsidP="009F7F8A">
            <w:pPr>
              <w:rPr>
                <w:rFonts w:eastAsia="SimSun"/>
              </w:rPr>
            </w:pPr>
            <w:r w:rsidRPr="00AC3044">
              <w:rPr>
                <w:rFonts w:eastAsia="SimSun"/>
              </w:rPr>
              <w:t>Внутрь, 100 мг 2 раза/сут</w:t>
            </w:r>
          </w:p>
        </w:tc>
      </w:tr>
      <w:tr w:rsidR="009F7F8A" w:rsidRPr="00AC3044" w14:paraId="7E0A603A" w14:textId="77777777" w:rsidTr="009F7F8A">
        <w:trPr>
          <w:cantSplit/>
          <w:trHeight w:val="464"/>
        </w:trPr>
        <w:tc>
          <w:tcPr>
            <w:tcW w:w="168" w:type="pct"/>
          </w:tcPr>
          <w:p w14:paraId="313F054E" w14:textId="77777777" w:rsidR="009F7F8A" w:rsidRPr="00AC3044" w:rsidRDefault="009F7F8A" w:rsidP="009F7F8A">
            <w:pPr>
              <w:rPr>
                <w:rFonts w:eastAsia="SimSun"/>
              </w:rPr>
            </w:pPr>
            <w:r w:rsidRPr="00AC3044">
              <w:rPr>
                <w:rFonts w:eastAsia="SimSun"/>
              </w:rPr>
              <w:lastRenderedPageBreak/>
              <w:t>2</w:t>
            </w:r>
          </w:p>
        </w:tc>
        <w:tc>
          <w:tcPr>
            <w:tcW w:w="1133" w:type="pct"/>
            <w:vAlign w:val="center"/>
          </w:tcPr>
          <w:p w14:paraId="59BB3DCD" w14:textId="77777777" w:rsidR="009F7F8A" w:rsidRPr="00AC3044" w:rsidRDefault="009F7F8A" w:rsidP="009F7F8A">
            <w:pPr>
              <w:rPr>
                <w:rFonts w:eastAsia="SimSun"/>
              </w:rPr>
            </w:pPr>
            <w:r w:rsidRPr="00AC3044">
              <w:rPr>
                <w:rFonts w:eastAsia="SimSun"/>
              </w:rPr>
              <w:t>Диазепам (допускается, особенно при наличии судорожного синдрома в анамнезе)</w:t>
            </w:r>
          </w:p>
        </w:tc>
        <w:tc>
          <w:tcPr>
            <w:tcW w:w="614" w:type="pct"/>
            <w:vAlign w:val="center"/>
          </w:tcPr>
          <w:p w14:paraId="7F3ED1B6" w14:textId="77777777" w:rsidR="009F7F8A" w:rsidRPr="00AC3044" w:rsidRDefault="009F7F8A" w:rsidP="009F7F8A">
            <w:pPr>
              <w:rPr>
                <w:rFonts w:eastAsia="SimSun"/>
              </w:rPr>
            </w:pPr>
            <w:r w:rsidRPr="00AC3044">
              <w:rPr>
                <w:rFonts w:eastAsia="SimSun"/>
              </w:rPr>
              <w:t>10 мг</w:t>
            </w:r>
          </w:p>
        </w:tc>
        <w:tc>
          <w:tcPr>
            <w:tcW w:w="486" w:type="pct"/>
            <w:vAlign w:val="center"/>
          </w:tcPr>
          <w:p w14:paraId="28003711" w14:textId="77777777" w:rsidR="009F7F8A" w:rsidRPr="00AC3044" w:rsidRDefault="009F7F8A" w:rsidP="009F7F8A">
            <w:pPr>
              <w:rPr>
                <w:rFonts w:eastAsia="SimSun"/>
              </w:rPr>
            </w:pPr>
            <w:r w:rsidRPr="00AC3044">
              <w:rPr>
                <w:rFonts w:eastAsia="SimSun"/>
              </w:rPr>
              <w:t>–</w:t>
            </w:r>
          </w:p>
        </w:tc>
        <w:tc>
          <w:tcPr>
            <w:tcW w:w="1370" w:type="pct"/>
            <w:vAlign w:val="center"/>
          </w:tcPr>
          <w:p w14:paraId="2B4D5C12" w14:textId="77777777" w:rsidR="009F7F8A" w:rsidRPr="00AC3044" w:rsidRDefault="009F7F8A" w:rsidP="009F7F8A">
            <w:pPr>
              <w:rPr>
                <w:rFonts w:eastAsia="SimSun"/>
              </w:rPr>
            </w:pPr>
            <w:r w:rsidRPr="00AC3044">
              <w:rPr>
                <w:rFonts w:eastAsia="SimSun"/>
              </w:rPr>
              <w:t>В дни введения ЦФ</w:t>
            </w:r>
          </w:p>
        </w:tc>
        <w:tc>
          <w:tcPr>
            <w:tcW w:w="1229" w:type="pct"/>
            <w:vAlign w:val="center"/>
          </w:tcPr>
          <w:p w14:paraId="51D1F0A9" w14:textId="77777777" w:rsidR="009F7F8A" w:rsidRPr="00AC3044" w:rsidRDefault="009F7F8A" w:rsidP="009F7F8A">
            <w:pPr>
              <w:rPr>
                <w:rFonts w:eastAsia="SimSun"/>
              </w:rPr>
            </w:pPr>
            <w:r w:rsidRPr="00AC3044">
              <w:rPr>
                <w:rFonts w:eastAsia="SimSun"/>
              </w:rPr>
              <w:t>В/в, на ночь</w:t>
            </w:r>
          </w:p>
        </w:tc>
      </w:tr>
      <w:tr w:rsidR="009F7F8A" w:rsidRPr="00AC3044" w14:paraId="6F72994D" w14:textId="77777777" w:rsidTr="009F7F8A">
        <w:trPr>
          <w:cantSplit/>
          <w:trHeight w:val="464"/>
        </w:trPr>
        <w:tc>
          <w:tcPr>
            <w:tcW w:w="168" w:type="pct"/>
          </w:tcPr>
          <w:p w14:paraId="6F1A934B" w14:textId="77777777" w:rsidR="009F7F8A" w:rsidRPr="00AC3044" w:rsidRDefault="009F7F8A" w:rsidP="009F7F8A">
            <w:pPr>
              <w:rPr>
                <w:rFonts w:eastAsia="SimSun"/>
              </w:rPr>
            </w:pPr>
            <w:r w:rsidRPr="00AC3044">
              <w:rPr>
                <w:rFonts w:eastAsia="SimSun"/>
              </w:rPr>
              <w:t>3</w:t>
            </w:r>
          </w:p>
        </w:tc>
        <w:tc>
          <w:tcPr>
            <w:tcW w:w="1133" w:type="pct"/>
            <w:vAlign w:val="center"/>
          </w:tcPr>
          <w:p w14:paraId="699198C2" w14:textId="77777777" w:rsidR="009F7F8A" w:rsidRPr="00AC3044" w:rsidRDefault="009F7F8A" w:rsidP="009F7F8A">
            <w:pPr>
              <w:rPr>
                <w:rFonts w:eastAsia="SimSun"/>
              </w:rPr>
            </w:pPr>
            <w:r w:rsidRPr="00AC3044">
              <w:rPr>
                <w:rFonts w:eastAsia="SimSun"/>
              </w:rPr>
              <w:t>Левитирацетам</w:t>
            </w:r>
          </w:p>
        </w:tc>
        <w:tc>
          <w:tcPr>
            <w:tcW w:w="614" w:type="pct"/>
            <w:vAlign w:val="center"/>
          </w:tcPr>
          <w:p w14:paraId="119E35B4" w14:textId="77777777" w:rsidR="009F7F8A" w:rsidRPr="00AC3044" w:rsidRDefault="009F7F8A" w:rsidP="009F7F8A">
            <w:pPr>
              <w:rPr>
                <w:rFonts w:eastAsia="SimSun"/>
              </w:rPr>
            </w:pPr>
            <w:r w:rsidRPr="00AC3044">
              <w:rPr>
                <w:rFonts w:eastAsia="SimSun"/>
              </w:rPr>
              <w:t>500 мг</w:t>
            </w:r>
          </w:p>
        </w:tc>
        <w:tc>
          <w:tcPr>
            <w:tcW w:w="486" w:type="pct"/>
            <w:vAlign w:val="center"/>
          </w:tcPr>
          <w:p w14:paraId="7D7EEB17" w14:textId="77777777" w:rsidR="009F7F8A" w:rsidRPr="00AC3044" w:rsidRDefault="009F7F8A" w:rsidP="009F7F8A">
            <w:pPr>
              <w:rPr>
                <w:rFonts w:eastAsia="SimSun"/>
              </w:rPr>
            </w:pPr>
            <w:r w:rsidRPr="00AC3044">
              <w:rPr>
                <w:rFonts w:eastAsia="SimSun"/>
              </w:rPr>
              <w:t>–</w:t>
            </w:r>
          </w:p>
        </w:tc>
        <w:tc>
          <w:tcPr>
            <w:tcW w:w="1370" w:type="pct"/>
            <w:vAlign w:val="center"/>
          </w:tcPr>
          <w:p w14:paraId="090DD41C" w14:textId="77777777" w:rsidR="009F7F8A" w:rsidRPr="00AC3044" w:rsidRDefault="009F7F8A" w:rsidP="009F7F8A">
            <w:pPr>
              <w:rPr>
                <w:rFonts w:eastAsia="SimSun"/>
              </w:rPr>
            </w:pPr>
            <w:r w:rsidRPr="00AC3044">
              <w:rPr>
                <w:rFonts w:eastAsia="SimSun"/>
              </w:rPr>
              <w:t>За сутки до введения бусульфана, в дни приема бусульфана, день следующий после окончания приема бусульфана</w:t>
            </w:r>
          </w:p>
        </w:tc>
        <w:tc>
          <w:tcPr>
            <w:tcW w:w="1229" w:type="pct"/>
            <w:vAlign w:val="center"/>
          </w:tcPr>
          <w:p w14:paraId="728EE84C" w14:textId="77777777" w:rsidR="009F7F8A" w:rsidRPr="00AC3044" w:rsidRDefault="009F7F8A" w:rsidP="009F7F8A">
            <w:pPr>
              <w:rPr>
                <w:rFonts w:eastAsia="SimSun"/>
              </w:rPr>
            </w:pPr>
            <w:r w:rsidRPr="00AC3044">
              <w:rPr>
                <w:rFonts w:eastAsia="SimSun"/>
              </w:rPr>
              <w:t>Внутрь, по 250 мг 2 раза/сут</w:t>
            </w:r>
          </w:p>
        </w:tc>
      </w:tr>
      <w:tr w:rsidR="009F7F8A" w:rsidRPr="00AC3044" w14:paraId="75A3E05E" w14:textId="77777777" w:rsidTr="009F7F8A">
        <w:trPr>
          <w:cantSplit/>
          <w:trHeight w:val="464"/>
        </w:trPr>
        <w:tc>
          <w:tcPr>
            <w:tcW w:w="168" w:type="pct"/>
          </w:tcPr>
          <w:p w14:paraId="1A701C2E" w14:textId="77777777" w:rsidR="009F7F8A" w:rsidRPr="00AC3044" w:rsidRDefault="009F7F8A" w:rsidP="009F7F8A">
            <w:pPr>
              <w:rPr>
                <w:rFonts w:eastAsia="SimSun"/>
              </w:rPr>
            </w:pPr>
            <w:r w:rsidRPr="00AC3044">
              <w:rPr>
                <w:rFonts w:eastAsia="SimSun"/>
              </w:rPr>
              <w:t>4</w:t>
            </w:r>
          </w:p>
        </w:tc>
        <w:tc>
          <w:tcPr>
            <w:tcW w:w="1133" w:type="pct"/>
            <w:vAlign w:val="center"/>
          </w:tcPr>
          <w:p w14:paraId="59F5D844" w14:textId="77777777" w:rsidR="009F7F8A" w:rsidRPr="00AC3044" w:rsidRDefault="009F7F8A" w:rsidP="009F7F8A">
            <w:pPr>
              <w:rPr>
                <w:rFonts w:eastAsia="SimSun"/>
              </w:rPr>
            </w:pPr>
            <w:r w:rsidRPr="00AC3044">
              <w:rPr>
                <w:rFonts w:eastAsia="SimSun"/>
              </w:rPr>
              <w:t>Левитирацетам</w:t>
            </w:r>
          </w:p>
        </w:tc>
        <w:tc>
          <w:tcPr>
            <w:tcW w:w="614" w:type="pct"/>
            <w:vAlign w:val="center"/>
          </w:tcPr>
          <w:p w14:paraId="47769473" w14:textId="77777777" w:rsidR="009F7F8A" w:rsidRPr="00AC3044" w:rsidRDefault="009F7F8A" w:rsidP="009F7F8A">
            <w:pPr>
              <w:rPr>
                <w:rFonts w:eastAsia="SimSun"/>
              </w:rPr>
            </w:pPr>
            <w:r w:rsidRPr="00AC3044">
              <w:rPr>
                <w:rFonts w:eastAsia="SimSun"/>
              </w:rPr>
              <w:t>1000 мг</w:t>
            </w:r>
          </w:p>
        </w:tc>
        <w:tc>
          <w:tcPr>
            <w:tcW w:w="486" w:type="pct"/>
            <w:vAlign w:val="center"/>
          </w:tcPr>
          <w:p w14:paraId="2B29E143" w14:textId="77777777" w:rsidR="009F7F8A" w:rsidRPr="00AC3044" w:rsidRDefault="009F7F8A" w:rsidP="009F7F8A">
            <w:pPr>
              <w:rPr>
                <w:rFonts w:eastAsia="SimSun"/>
              </w:rPr>
            </w:pPr>
            <w:r w:rsidRPr="00AC3044">
              <w:rPr>
                <w:rFonts w:eastAsia="SimSun"/>
              </w:rPr>
              <w:t>–</w:t>
            </w:r>
          </w:p>
        </w:tc>
        <w:tc>
          <w:tcPr>
            <w:tcW w:w="1370" w:type="pct"/>
            <w:vAlign w:val="center"/>
          </w:tcPr>
          <w:p w14:paraId="00B386E2" w14:textId="77777777" w:rsidR="009F7F8A" w:rsidRPr="00AC3044" w:rsidRDefault="009F7F8A" w:rsidP="009F7F8A">
            <w:pPr>
              <w:rPr>
                <w:rFonts w:eastAsia="SimSun"/>
              </w:rPr>
            </w:pPr>
            <w:r w:rsidRPr="00AC3044">
              <w:rPr>
                <w:rFonts w:eastAsia="SimSun"/>
              </w:rPr>
              <w:t>За сутки до введения бусульфана, в дни приема бусульфана, день следующий после окончания приема бусульфана</w:t>
            </w:r>
          </w:p>
        </w:tc>
        <w:tc>
          <w:tcPr>
            <w:tcW w:w="1229" w:type="pct"/>
            <w:vAlign w:val="center"/>
          </w:tcPr>
          <w:p w14:paraId="024A40C8" w14:textId="77777777" w:rsidR="009F7F8A" w:rsidRPr="00AC3044" w:rsidRDefault="009F7F8A" w:rsidP="009F7F8A">
            <w:pPr>
              <w:rPr>
                <w:rFonts w:eastAsia="SimSun"/>
              </w:rPr>
            </w:pPr>
            <w:r w:rsidRPr="00AC3044">
              <w:rPr>
                <w:rFonts w:eastAsia="SimSun"/>
              </w:rPr>
              <w:t>Внутрь, по 1000 мг 2 раза/сут</w:t>
            </w:r>
          </w:p>
        </w:tc>
      </w:tr>
      <w:tr w:rsidR="009F7F8A" w:rsidRPr="00AC3044" w14:paraId="70C641EA" w14:textId="77777777" w:rsidTr="009F7F8A">
        <w:trPr>
          <w:cantSplit/>
          <w:trHeight w:val="464"/>
        </w:trPr>
        <w:tc>
          <w:tcPr>
            <w:tcW w:w="5000" w:type="pct"/>
            <w:gridSpan w:val="6"/>
          </w:tcPr>
          <w:p w14:paraId="2AE365D4" w14:textId="77777777" w:rsidR="009F7F8A" w:rsidRPr="00AC3044" w:rsidRDefault="009F7F8A" w:rsidP="009F7F8A">
            <w:pPr>
              <w:rPr>
                <w:rFonts w:eastAsia="SimSun"/>
              </w:rPr>
            </w:pPr>
            <w:r w:rsidRPr="00AC3044">
              <w:rPr>
                <w:rFonts w:eastAsia="SimSun"/>
              </w:rPr>
              <w:t>Антисекреторная терапия</w:t>
            </w:r>
          </w:p>
        </w:tc>
      </w:tr>
      <w:tr w:rsidR="009F7F8A" w:rsidRPr="00AC3044" w14:paraId="3C38F1E7" w14:textId="77777777" w:rsidTr="009F7F8A">
        <w:trPr>
          <w:cantSplit/>
          <w:trHeight w:val="464"/>
        </w:trPr>
        <w:tc>
          <w:tcPr>
            <w:tcW w:w="168" w:type="pct"/>
          </w:tcPr>
          <w:p w14:paraId="00DBAE4A" w14:textId="77777777" w:rsidR="009F7F8A" w:rsidRPr="00AC3044" w:rsidRDefault="009F7F8A" w:rsidP="009F7F8A">
            <w:pPr>
              <w:rPr>
                <w:rFonts w:eastAsia="SimSun"/>
              </w:rPr>
            </w:pPr>
            <w:r w:rsidRPr="00AC3044">
              <w:rPr>
                <w:rFonts w:eastAsia="SimSun"/>
              </w:rPr>
              <w:t>1</w:t>
            </w:r>
          </w:p>
        </w:tc>
        <w:tc>
          <w:tcPr>
            <w:tcW w:w="1133" w:type="pct"/>
            <w:vAlign w:val="center"/>
          </w:tcPr>
          <w:p w14:paraId="06B9FF2A" w14:textId="77777777" w:rsidR="009F7F8A" w:rsidRPr="00AC3044" w:rsidRDefault="009F7F8A" w:rsidP="009F7F8A">
            <w:pPr>
              <w:rPr>
                <w:rFonts w:eastAsia="SimSun"/>
              </w:rPr>
            </w:pPr>
            <w:r w:rsidRPr="00AC3044">
              <w:rPr>
                <w:rFonts w:eastAsia="SimSun"/>
              </w:rPr>
              <w:t xml:space="preserve">Омепразол </w:t>
            </w:r>
          </w:p>
        </w:tc>
        <w:tc>
          <w:tcPr>
            <w:tcW w:w="614" w:type="pct"/>
            <w:vAlign w:val="center"/>
          </w:tcPr>
          <w:p w14:paraId="287E9D2A" w14:textId="77777777" w:rsidR="009F7F8A" w:rsidRPr="00AC3044" w:rsidRDefault="009F7F8A" w:rsidP="009F7F8A">
            <w:pPr>
              <w:rPr>
                <w:rFonts w:eastAsia="SimSun"/>
              </w:rPr>
            </w:pPr>
            <w:r w:rsidRPr="00AC3044">
              <w:rPr>
                <w:rFonts w:eastAsia="SimSun"/>
              </w:rPr>
              <w:t>20-40 мг</w:t>
            </w:r>
          </w:p>
        </w:tc>
        <w:tc>
          <w:tcPr>
            <w:tcW w:w="486" w:type="pct"/>
            <w:vAlign w:val="center"/>
          </w:tcPr>
          <w:p w14:paraId="1C602E5D" w14:textId="77777777" w:rsidR="009F7F8A" w:rsidRPr="00AC3044" w:rsidRDefault="009F7F8A" w:rsidP="009F7F8A">
            <w:pPr>
              <w:rPr>
                <w:rFonts w:eastAsia="SimSun"/>
              </w:rPr>
            </w:pPr>
            <w:r w:rsidRPr="00AC3044">
              <w:rPr>
                <w:rFonts w:eastAsia="SimSun"/>
              </w:rPr>
              <w:t>–</w:t>
            </w:r>
          </w:p>
        </w:tc>
        <w:tc>
          <w:tcPr>
            <w:tcW w:w="1370" w:type="pct"/>
            <w:vAlign w:val="center"/>
          </w:tcPr>
          <w:p w14:paraId="30DF564D" w14:textId="77777777" w:rsidR="009F7F8A" w:rsidRPr="00AC3044" w:rsidRDefault="009F7F8A" w:rsidP="009F7F8A">
            <w:pPr>
              <w:rPr>
                <w:rFonts w:eastAsia="SimSun"/>
              </w:rPr>
            </w:pPr>
            <w:r w:rsidRPr="00AC3044">
              <w:rPr>
                <w:rFonts w:eastAsia="SimSun"/>
              </w:rPr>
              <w:t>В соответсвии с клинической ситуацией, в среднем 14-42 дня</w:t>
            </w:r>
          </w:p>
        </w:tc>
        <w:tc>
          <w:tcPr>
            <w:tcW w:w="1229" w:type="pct"/>
          </w:tcPr>
          <w:p w14:paraId="02FEA620" w14:textId="77777777" w:rsidR="009F7F8A" w:rsidRPr="00AC3044" w:rsidRDefault="009F7F8A" w:rsidP="009F7F8A">
            <w:pPr>
              <w:rPr>
                <w:rFonts w:eastAsia="SimSun"/>
              </w:rPr>
            </w:pPr>
            <w:r w:rsidRPr="00AC3044">
              <w:rPr>
                <w:rFonts w:eastAsia="SimSun"/>
              </w:rPr>
              <w:t>Внутрь, 1 раз в сутки;</w:t>
            </w:r>
          </w:p>
          <w:p w14:paraId="7E37C2CB" w14:textId="77777777" w:rsidR="009F7F8A" w:rsidRPr="00AC3044" w:rsidRDefault="009F7F8A" w:rsidP="009F7F8A">
            <w:pPr>
              <w:rPr>
                <w:rFonts w:eastAsia="SimSun"/>
              </w:rPr>
            </w:pPr>
            <w:r w:rsidRPr="00AC3044">
              <w:rPr>
                <w:rFonts w:eastAsia="SimSun"/>
              </w:rPr>
              <w:t>в/в, 1 раз в сутки</w:t>
            </w:r>
          </w:p>
        </w:tc>
      </w:tr>
      <w:tr w:rsidR="009F7F8A" w:rsidRPr="00AC3044" w14:paraId="2703C2CF" w14:textId="77777777" w:rsidTr="009F7F8A">
        <w:trPr>
          <w:cantSplit/>
          <w:trHeight w:val="464"/>
        </w:trPr>
        <w:tc>
          <w:tcPr>
            <w:tcW w:w="168" w:type="pct"/>
          </w:tcPr>
          <w:p w14:paraId="6FA4FF5C" w14:textId="77777777" w:rsidR="009F7F8A" w:rsidRPr="00AC3044" w:rsidRDefault="009F7F8A" w:rsidP="009F7F8A">
            <w:pPr>
              <w:rPr>
                <w:rFonts w:eastAsia="SimSun"/>
              </w:rPr>
            </w:pPr>
            <w:r w:rsidRPr="00AC3044">
              <w:rPr>
                <w:rFonts w:eastAsia="SimSun"/>
              </w:rPr>
              <w:t>2</w:t>
            </w:r>
          </w:p>
        </w:tc>
        <w:tc>
          <w:tcPr>
            <w:tcW w:w="1133" w:type="pct"/>
          </w:tcPr>
          <w:p w14:paraId="27E56176" w14:textId="77777777" w:rsidR="009F7F8A" w:rsidRPr="00AC3044" w:rsidRDefault="009F7F8A" w:rsidP="009F7F8A">
            <w:pPr>
              <w:rPr>
                <w:rFonts w:eastAsia="SimSun"/>
              </w:rPr>
            </w:pPr>
            <w:r w:rsidRPr="00AC3044">
              <w:rPr>
                <w:rFonts w:eastAsia="SimSun"/>
              </w:rPr>
              <w:t>Лансопразол</w:t>
            </w:r>
          </w:p>
        </w:tc>
        <w:tc>
          <w:tcPr>
            <w:tcW w:w="614" w:type="pct"/>
          </w:tcPr>
          <w:p w14:paraId="25D8BB38" w14:textId="77777777" w:rsidR="009F7F8A" w:rsidRPr="00AC3044" w:rsidRDefault="009F7F8A" w:rsidP="009F7F8A">
            <w:pPr>
              <w:rPr>
                <w:rFonts w:eastAsia="SimSun"/>
              </w:rPr>
            </w:pPr>
            <w:r w:rsidRPr="00AC3044">
              <w:rPr>
                <w:rFonts w:eastAsia="SimSun"/>
              </w:rPr>
              <w:t xml:space="preserve">30 </w:t>
            </w:r>
          </w:p>
        </w:tc>
        <w:tc>
          <w:tcPr>
            <w:tcW w:w="486" w:type="pct"/>
            <w:vAlign w:val="center"/>
          </w:tcPr>
          <w:p w14:paraId="06931489" w14:textId="77777777" w:rsidR="009F7F8A" w:rsidRPr="00AC3044" w:rsidRDefault="009F7F8A" w:rsidP="009F7F8A">
            <w:pPr>
              <w:rPr>
                <w:rFonts w:eastAsia="SimSun"/>
              </w:rPr>
            </w:pPr>
            <w:r w:rsidRPr="00AC3044">
              <w:rPr>
                <w:rFonts w:eastAsia="SimSun"/>
              </w:rPr>
              <w:t>–</w:t>
            </w:r>
          </w:p>
        </w:tc>
        <w:tc>
          <w:tcPr>
            <w:tcW w:w="1370" w:type="pct"/>
            <w:vAlign w:val="center"/>
          </w:tcPr>
          <w:p w14:paraId="5387804B" w14:textId="77777777" w:rsidR="009F7F8A" w:rsidRPr="00AC3044" w:rsidRDefault="009F7F8A" w:rsidP="009F7F8A">
            <w:pPr>
              <w:rPr>
                <w:rFonts w:eastAsia="SimSun"/>
              </w:rPr>
            </w:pPr>
            <w:r w:rsidRPr="00AC3044">
              <w:rPr>
                <w:rFonts w:eastAsia="SimSun"/>
              </w:rPr>
              <w:t>В соответсвии с клинической ситуацией, в среднем 14-42 дня</w:t>
            </w:r>
          </w:p>
        </w:tc>
        <w:tc>
          <w:tcPr>
            <w:tcW w:w="1229" w:type="pct"/>
          </w:tcPr>
          <w:p w14:paraId="1051A3C0" w14:textId="77777777" w:rsidR="009F7F8A" w:rsidRPr="00AC3044" w:rsidRDefault="009F7F8A" w:rsidP="009F7F8A">
            <w:pPr>
              <w:rPr>
                <w:rFonts w:eastAsia="SimSun"/>
              </w:rPr>
            </w:pPr>
            <w:r w:rsidRPr="00AC3044">
              <w:rPr>
                <w:rFonts w:eastAsia="SimSun"/>
              </w:rPr>
              <w:t>Внутрь, 1 раз в сутки</w:t>
            </w:r>
          </w:p>
        </w:tc>
      </w:tr>
      <w:tr w:rsidR="009F7F8A" w:rsidRPr="00AC3044" w14:paraId="4ED4CCD6" w14:textId="77777777" w:rsidTr="009F7F8A">
        <w:trPr>
          <w:cantSplit/>
          <w:trHeight w:val="464"/>
        </w:trPr>
        <w:tc>
          <w:tcPr>
            <w:tcW w:w="168" w:type="pct"/>
          </w:tcPr>
          <w:p w14:paraId="565552AB" w14:textId="77777777" w:rsidR="009F7F8A" w:rsidRPr="00AC3044" w:rsidRDefault="009F7F8A" w:rsidP="009F7F8A">
            <w:pPr>
              <w:rPr>
                <w:rFonts w:eastAsia="SimSun"/>
              </w:rPr>
            </w:pPr>
            <w:r w:rsidRPr="00AC3044">
              <w:rPr>
                <w:rFonts w:eastAsia="SimSun"/>
              </w:rPr>
              <w:t>3</w:t>
            </w:r>
          </w:p>
        </w:tc>
        <w:tc>
          <w:tcPr>
            <w:tcW w:w="1133" w:type="pct"/>
          </w:tcPr>
          <w:p w14:paraId="2251514D" w14:textId="77777777" w:rsidR="009F7F8A" w:rsidRPr="00AC3044" w:rsidRDefault="009F7F8A" w:rsidP="009F7F8A">
            <w:pPr>
              <w:rPr>
                <w:rFonts w:eastAsia="SimSun"/>
              </w:rPr>
            </w:pPr>
            <w:r w:rsidRPr="00AC3044">
              <w:rPr>
                <w:rFonts w:eastAsia="SimSun"/>
              </w:rPr>
              <w:t>Пантопразол</w:t>
            </w:r>
          </w:p>
        </w:tc>
        <w:tc>
          <w:tcPr>
            <w:tcW w:w="614" w:type="pct"/>
          </w:tcPr>
          <w:p w14:paraId="24A8AF05" w14:textId="77777777" w:rsidR="009F7F8A" w:rsidRPr="00AC3044" w:rsidRDefault="009F7F8A" w:rsidP="009F7F8A">
            <w:pPr>
              <w:rPr>
                <w:rFonts w:eastAsia="SimSun"/>
              </w:rPr>
            </w:pPr>
            <w:r w:rsidRPr="00AC3044">
              <w:rPr>
                <w:rFonts w:eastAsia="SimSun"/>
              </w:rPr>
              <w:t xml:space="preserve">40 </w:t>
            </w:r>
          </w:p>
        </w:tc>
        <w:tc>
          <w:tcPr>
            <w:tcW w:w="486" w:type="pct"/>
            <w:vAlign w:val="center"/>
          </w:tcPr>
          <w:p w14:paraId="764F278F" w14:textId="77777777" w:rsidR="009F7F8A" w:rsidRPr="00AC3044" w:rsidRDefault="009F7F8A" w:rsidP="009F7F8A">
            <w:pPr>
              <w:rPr>
                <w:rFonts w:eastAsia="SimSun"/>
              </w:rPr>
            </w:pPr>
            <w:r w:rsidRPr="00AC3044">
              <w:rPr>
                <w:rFonts w:eastAsia="SimSun"/>
              </w:rPr>
              <w:t>–</w:t>
            </w:r>
          </w:p>
        </w:tc>
        <w:tc>
          <w:tcPr>
            <w:tcW w:w="1370" w:type="pct"/>
            <w:vAlign w:val="center"/>
          </w:tcPr>
          <w:p w14:paraId="55AD837F" w14:textId="77777777" w:rsidR="009F7F8A" w:rsidRPr="00AC3044" w:rsidRDefault="009F7F8A" w:rsidP="009F7F8A">
            <w:pPr>
              <w:rPr>
                <w:rFonts w:eastAsia="SimSun"/>
              </w:rPr>
            </w:pPr>
            <w:r w:rsidRPr="00AC3044">
              <w:rPr>
                <w:rFonts w:eastAsia="SimSun"/>
              </w:rPr>
              <w:t>В соответсвии с клинической ситуацией, в среднем 14-42 дня</w:t>
            </w:r>
          </w:p>
        </w:tc>
        <w:tc>
          <w:tcPr>
            <w:tcW w:w="1229" w:type="pct"/>
          </w:tcPr>
          <w:p w14:paraId="7C9A845D" w14:textId="77777777" w:rsidR="009F7F8A" w:rsidRPr="00AC3044" w:rsidRDefault="009F7F8A" w:rsidP="009F7F8A">
            <w:pPr>
              <w:rPr>
                <w:rFonts w:eastAsia="SimSun"/>
              </w:rPr>
            </w:pPr>
            <w:r w:rsidRPr="00AC3044">
              <w:rPr>
                <w:rFonts w:eastAsia="SimSun"/>
              </w:rPr>
              <w:t>Внутрь, 1 раз в сутки</w:t>
            </w:r>
          </w:p>
        </w:tc>
      </w:tr>
      <w:tr w:rsidR="009F7F8A" w:rsidRPr="00AC3044" w14:paraId="637FBB3A" w14:textId="77777777" w:rsidTr="009F7F8A">
        <w:trPr>
          <w:cantSplit/>
          <w:trHeight w:val="464"/>
        </w:trPr>
        <w:tc>
          <w:tcPr>
            <w:tcW w:w="168" w:type="pct"/>
          </w:tcPr>
          <w:p w14:paraId="54C2FAB1" w14:textId="77777777" w:rsidR="009F7F8A" w:rsidRPr="00AC3044" w:rsidRDefault="009F7F8A" w:rsidP="009F7F8A">
            <w:pPr>
              <w:rPr>
                <w:rFonts w:eastAsia="SimSun"/>
              </w:rPr>
            </w:pPr>
            <w:r w:rsidRPr="00AC3044">
              <w:rPr>
                <w:rFonts w:eastAsia="SimSun"/>
              </w:rPr>
              <w:lastRenderedPageBreak/>
              <w:t>4</w:t>
            </w:r>
          </w:p>
        </w:tc>
        <w:tc>
          <w:tcPr>
            <w:tcW w:w="1133" w:type="pct"/>
          </w:tcPr>
          <w:p w14:paraId="5718470B" w14:textId="77777777" w:rsidR="009F7F8A" w:rsidRPr="00AC3044" w:rsidRDefault="009F7F8A" w:rsidP="009F7F8A">
            <w:pPr>
              <w:rPr>
                <w:rFonts w:eastAsia="SimSun"/>
              </w:rPr>
            </w:pPr>
            <w:r w:rsidRPr="00AC3044">
              <w:rPr>
                <w:rFonts w:eastAsia="SimSun"/>
              </w:rPr>
              <w:t>Рабепразол</w:t>
            </w:r>
          </w:p>
        </w:tc>
        <w:tc>
          <w:tcPr>
            <w:tcW w:w="614" w:type="pct"/>
          </w:tcPr>
          <w:p w14:paraId="596A5CAB" w14:textId="77777777" w:rsidR="009F7F8A" w:rsidRPr="00AC3044" w:rsidRDefault="009F7F8A" w:rsidP="009F7F8A">
            <w:pPr>
              <w:rPr>
                <w:rFonts w:eastAsia="SimSun"/>
              </w:rPr>
            </w:pPr>
            <w:r w:rsidRPr="00AC3044">
              <w:rPr>
                <w:rFonts w:eastAsia="SimSun"/>
              </w:rPr>
              <w:t>20</w:t>
            </w:r>
          </w:p>
        </w:tc>
        <w:tc>
          <w:tcPr>
            <w:tcW w:w="486" w:type="pct"/>
            <w:vAlign w:val="center"/>
          </w:tcPr>
          <w:p w14:paraId="6071E6A2" w14:textId="77777777" w:rsidR="009F7F8A" w:rsidRPr="00AC3044" w:rsidRDefault="009F7F8A" w:rsidP="009F7F8A">
            <w:pPr>
              <w:rPr>
                <w:rFonts w:eastAsia="SimSun"/>
              </w:rPr>
            </w:pPr>
            <w:r w:rsidRPr="00AC3044">
              <w:rPr>
                <w:rFonts w:eastAsia="SimSun"/>
              </w:rPr>
              <w:t>–</w:t>
            </w:r>
          </w:p>
        </w:tc>
        <w:tc>
          <w:tcPr>
            <w:tcW w:w="1370" w:type="pct"/>
            <w:vAlign w:val="center"/>
          </w:tcPr>
          <w:p w14:paraId="0CA9BEE1" w14:textId="77777777" w:rsidR="009F7F8A" w:rsidRPr="00AC3044" w:rsidRDefault="009F7F8A" w:rsidP="009F7F8A">
            <w:pPr>
              <w:rPr>
                <w:rFonts w:eastAsia="SimSun"/>
              </w:rPr>
            </w:pPr>
            <w:r w:rsidRPr="00AC3044">
              <w:rPr>
                <w:rFonts w:eastAsia="SimSun"/>
              </w:rPr>
              <w:t>В соответсвии с клинической ситуацией, в среднем 14-42 дня</w:t>
            </w:r>
          </w:p>
        </w:tc>
        <w:tc>
          <w:tcPr>
            <w:tcW w:w="1229" w:type="pct"/>
          </w:tcPr>
          <w:p w14:paraId="670C7209" w14:textId="77777777" w:rsidR="009F7F8A" w:rsidRPr="00AC3044" w:rsidRDefault="009F7F8A" w:rsidP="009F7F8A">
            <w:pPr>
              <w:rPr>
                <w:rFonts w:eastAsia="SimSun"/>
              </w:rPr>
            </w:pPr>
            <w:r w:rsidRPr="00AC3044">
              <w:rPr>
                <w:rFonts w:eastAsia="SimSun"/>
              </w:rPr>
              <w:t>Внутрь, 1 раз в сутки</w:t>
            </w:r>
          </w:p>
        </w:tc>
      </w:tr>
      <w:tr w:rsidR="009F7F8A" w:rsidRPr="00AC3044" w14:paraId="3BCA898D" w14:textId="77777777" w:rsidTr="009F7F8A">
        <w:trPr>
          <w:cantSplit/>
          <w:trHeight w:val="464"/>
        </w:trPr>
        <w:tc>
          <w:tcPr>
            <w:tcW w:w="168" w:type="pct"/>
          </w:tcPr>
          <w:p w14:paraId="363E98DB" w14:textId="77777777" w:rsidR="009F7F8A" w:rsidRPr="00AC3044" w:rsidRDefault="009F7F8A" w:rsidP="009F7F8A">
            <w:pPr>
              <w:rPr>
                <w:rFonts w:eastAsia="SimSun"/>
              </w:rPr>
            </w:pPr>
            <w:r w:rsidRPr="00AC3044">
              <w:rPr>
                <w:rFonts w:eastAsia="SimSun"/>
              </w:rPr>
              <w:t>5</w:t>
            </w:r>
          </w:p>
        </w:tc>
        <w:tc>
          <w:tcPr>
            <w:tcW w:w="1133" w:type="pct"/>
          </w:tcPr>
          <w:p w14:paraId="1A7ADBE8" w14:textId="77777777" w:rsidR="009F7F8A" w:rsidRPr="00AC3044" w:rsidRDefault="009F7F8A" w:rsidP="009F7F8A">
            <w:pPr>
              <w:rPr>
                <w:rFonts w:eastAsia="SimSun"/>
              </w:rPr>
            </w:pPr>
            <w:r w:rsidRPr="00AC3044">
              <w:rPr>
                <w:rFonts w:eastAsia="SimSun"/>
              </w:rPr>
              <w:t>Эзомепразол</w:t>
            </w:r>
          </w:p>
        </w:tc>
        <w:tc>
          <w:tcPr>
            <w:tcW w:w="614" w:type="pct"/>
          </w:tcPr>
          <w:p w14:paraId="76531EA8" w14:textId="77777777" w:rsidR="009F7F8A" w:rsidRPr="00AC3044" w:rsidRDefault="009F7F8A" w:rsidP="009F7F8A">
            <w:pPr>
              <w:rPr>
                <w:rFonts w:eastAsia="SimSun"/>
              </w:rPr>
            </w:pPr>
            <w:r w:rsidRPr="00AC3044">
              <w:rPr>
                <w:rFonts w:eastAsia="SimSun"/>
              </w:rPr>
              <w:t>20</w:t>
            </w:r>
          </w:p>
        </w:tc>
        <w:tc>
          <w:tcPr>
            <w:tcW w:w="486" w:type="pct"/>
            <w:vAlign w:val="center"/>
          </w:tcPr>
          <w:p w14:paraId="6DCC08E4" w14:textId="77777777" w:rsidR="009F7F8A" w:rsidRPr="00AC3044" w:rsidRDefault="009F7F8A" w:rsidP="009F7F8A">
            <w:pPr>
              <w:rPr>
                <w:rFonts w:eastAsia="SimSun"/>
              </w:rPr>
            </w:pPr>
            <w:r w:rsidRPr="00AC3044">
              <w:rPr>
                <w:rFonts w:eastAsia="SimSun"/>
              </w:rPr>
              <w:t>–</w:t>
            </w:r>
          </w:p>
        </w:tc>
        <w:tc>
          <w:tcPr>
            <w:tcW w:w="1370" w:type="pct"/>
            <w:vAlign w:val="center"/>
          </w:tcPr>
          <w:p w14:paraId="477E0864" w14:textId="77777777" w:rsidR="009F7F8A" w:rsidRPr="00AC3044" w:rsidRDefault="009F7F8A" w:rsidP="009F7F8A">
            <w:pPr>
              <w:rPr>
                <w:rFonts w:eastAsia="SimSun"/>
              </w:rPr>
            </w:pPr>
            <w:r w:rsidRPr="00AC3044">
              <w:rPr>
                <w:rFonts w:eastAsia="SimSun"/>
              </w:rPr>
              <w:t>В соответсвии с клинической ситуацией, в среднем 14-42 дня</w:t>
            </w:r>
          </w:p>
        </w:tc>
        <w:tc>
          <w:tcPr>
            <w:tcW w:w="1229" w:type="pct"/>
          </w:tcPr>
          <w:p w14:paraId="4914BE04" w14:textId="77777777" w:rsidR="009F7F8A" w:rsidRPr="00AC3044" w:rsidRDefault="009F7F8A" w:rsidP="009F7F8A">
            <w:pPr>
              <w:rPr>
                <w:rFonts w:eastAsia="SimSun"/>
              </w:rPr>
            </w:pPr>
            <w:r w:rsidRPr="00AC3044">
              <w:rPr>
                <w:rFonts w:eastAsia="SimSun"/>
              </w:rPr>
              <w:t>Внутрь или в/в, 1 раз в сутки</w:t>
            </w:r>
          </w:p>
        </w:tc>
      </w:tr>
      <w:tr w:rsidR="009F7F8A" w:rsidRPr="00AC3044" w14:paraId="05C3D9E0" w14:textId="77777777" w:rsidTr="009F7F8A">
        <w:trPr>
          <w:cantSplit/>
          <w:trHeight w:val="464"/>
        </w:trPr>
        <w:tc>
          <w:tcPr>
            <w:tcW w:w="168" w:type="pct"/>
          </w:tcPr>
          <w:p w14:paraId="640BC7DA" w14:textId="77777777" w:rsidR="009F7F8A" w:rsidRPr="00AC3044" w:rsidRDefault="009F7F8A" w:rsidP="009F7F8A">
            <w:pPr>
              <w:rPr>
                <w:rFonts w:eastAsia="SimSun"/>
              </w:rPr>
            </w:pPr>
            <w:r w:rsidRPr="00AC3044">
              <w:rPr>
                <w:rFonts w:eastAsia="SimSun"/>
              </w:rPr>
              <w:t>6</w:t>
            </w:r>
          </w:p>
        </w:tc>
        <w:tc>
          <w:tcPr>
            <w:tcW w:w="1133" w:type="pct"/>
          </w:tcPr>
          <w:p w14:paraId="32FEEA09" w14:textId="77777777" w:rsidR="009F7F8A" w:rsidRPr="00AC3044" w:rsidRDefault="009F7F8A" w:rsidP="009F7F8A">
            <w:pPr>
              <w:rPr>
                <w:rFonts w:eastAsia="SimSun"/>
              </w:rPr>
            </w:pPr>
            <w:r w:rsidRPr="00AC3044">
              <w:rPr>
                <w:rFonts w:eastAsia="SimSun"/>
              </w:rPr>
              <w:t>Ранитидин</w:t>
            </w:r>
          </w:p>
        </w:tc>
        <w:tc>
          <w:tcPr>
            <w:tcW w:w="614" w:type="pct"/>
          </w:tcPr>
          <w:p w14:paraId="78652E10" w14:textId="77777777" w:rsidR="009F7F8A" w:rsidRPr="00AC3044" w:rsidRDefault="009F7F8A" w:rsidP="009F7F8A">
            <w:pPr>
              <w:rPr>
                <w:rFonts w:eastAsia="SimSun"/>
              </w:rPr>
            </w:pPr>
            <w:r w:rsidRPr="00AC3044">
              <w:rPr>
                <w:rFonts w:eastAsia="SimSun"/>
              </w:rPr>
              <w:t>150</w:t>
            </w:r>
          </w:p>
        </w:tc>
        <w:tc>
          <w:tcPr>
            <w:tcW w:w="486" w:type="pct"/>
            <w:vAlign w:val="center"/>
          </w:tcPr>
          <w:p w14:paraId="5CA51100" w14:textId="77777777" w:rsidR="009F7F8A" w:rsidRPr="00AC3044" w:rsidRDefault="009F7F8A" w:rsidP="009F7F8A">
            <w:pPr>
              <w:rPr>
                <w:rFonts w:eastAsia="SimSun"/>
              </w:rPr>
            </w:pPr>
            <w:r w:rsidRPr="00AC3044">
              <w:rPr>
                <w:rFonts w:eastAsia="SimSun"/>
              </w:rPr>
              <w:t>–</w:t>
            </w:r>
          </w:p>
        </w:tc>
        <w:tc>
          <w:tcPr>
            <w:tcW w:w="1370" w:type="pct"/>
            <w:vAlign w:val="center"/>
          </w:tcPr>
          <w:p w14:paraId="438A0A23" w14:textId="77777777" w:rsidR="009F7F8A" w:rsidRPr="00AC3044" w:rsidRDefault="009F7F8A" w:rsidP="009F7F8A">
            <w:pPr>
              <w:rPr>
                <w:rFonts w:eastAsia="SimSun"/>
              </w:rPr>
            </w:pPr>
            <w:r w:rsidRPr="00AC3044">
              <w:rPr>
                <w:rFonts w:eastAsia="SimSun"/>
              </w:rPr>
              <w:t>В соответсвии с клинической ситуацией, в среднем 14-42 дня</w:t>
            </w:r>
          </w:p>
        </w:tc>
        <w:tc>
          <w:tcPr>
            <w:tcW w:w="1229" w:type="pct"/>
          </w:tcPr>
          <w:p w14:paraId="21B3B217" w14:textId="77777777" w:rsidR="009F7F8A" w:rsidRPr="00AC3044" w:rsidRDefault="009F7F8A" w:rsidP="009F7F8A">
            <w:pPr>
              <w:rPr>
                <w:rFonts w:eastAsia="SimSun"/>
              </w:rPr>
            </w:pPr>
            <w:r w:rsidRPr="00AC3044">
              <w:rPr>
                <w:rFonts w:eastAsia="SimSun"/>
              </w:rPr>
              <w:t>Внутрь, 1 раз в сутки, на ночь</w:t>
            </w:r>
          </w:p>
        </w:tc>
      </w:tr>
      <w:tr w:rsidR="009F7F8A" w:rsidRPr="00AC3044" w14:paraId="0020C257" w14:textId="77777777" w:rsidTr="009F7F8A">
        <w:trPr>
          <w:cantSplit/>
          <w:trHeight w:val="464"/>
        </w:trPr>
        <w:tc>
          <w:tcPr>
            <w:tcW w:w="168" w:type="pct"/>
          </w:tcPr>
          <w:p w14:paraId="458A1EB9" w14:textId="77777777" w:rsidR="009F7F8A" w:rsidRPr="00AC3044" w:rsidRDefault="009F7F8A" w:rsidP="009F7F8A">
            <w:pPr>
              <w:rPr>
                <w:rFonts w:eastAsia="SimSun"/>
              </w:rPr>
            </w:pPr>
            <w:r w:rsidRPr="00AC3044">
              <w:rPr>
                <w:rFonts w:eastAsia="SimSun"/>
              </w:rPr>
              <w:t>7</w:t>
            </w:r>
          </w:p>
        </w:tc>
        <w:tc>
          <w:tcPr>
            <w:tcW w:w="1133" w:type="pct"/>
          </w:tcPr>
          <w:p w14:paraId="5EC96976" w14:textId="77777777" w:rsidR="009F7F8A" w:rsidRPr="00AC3044" w:rsidRDefault="009F7F8A" w:rsidP="009F7F8A">
            <w:pPr>
              <w:rPr>
                <w:rFonts w:eastAsia="SimSun"/>
              </w:rPr>
            </w:pPr>
            <w:r w:rsidRPr="00AC3044">
              <w:rPr>
                <w:rFonts w:eastAsia="SimSun"/>
              </w:rPr>
              <w:t>Фамотидин</w:t>
            </w:r>
          </w:p>
        </w:tc>
        <w:tc>
          <w:tcPr>
            <w:tcW w:w="614" w:type="pct"/>
          </w:tcPr>
          <w:p w14:paraId="6FDFADEE" w14:textId="77777777" w:rsidR="009F7F8A" w:rsidRPr="00AC3044" w:rsidRDefault="009F7F8A" w:rsidP="009F7F8A">
            <w:pPr>
              <w:rPr>
                <w:rFonts w:eastAsia="SimSun"/>
              </w:rPr>
            </w:pPr>
            <w:r w:rsidRPr="00AC3044">
              <w:rPr>
                <w:rFonts w:eastAsia="SimSun"/>
              </w:rPr>
              <w:t xml:space="preserve">20 </w:t>
            </w:r>
          </w:p>
        </w:tc>
        <w:tc>
          <w:tcPr>
            <w:tcW w:w="486" w:type="pct"/>
            <w:vAlign w:val="center"/>
          </w:tcPr>
          <w:p w14:paraId="73206A09" w14:textId="77777777" w:rsidR="009F7F8A" w:rsidRPr="00AC3044" w:rsidRDefault="009F7F8A" w:rsidP="009F7F8A">
            <w:pPr>
              <w:rPr>
                <w:rFonts w:eastAsia="SimSun"/>
              </w:rPr>
            </w:pPr>
            <w:r w:rsidRPr="00AC3044">
              <w:rPr>
                <w:rFonts w:eastAsia="SimSun"/>
              </w:rPr>
              <w:t>–</w:t>
            </w:r>
          </w:p>
        </w:tc>
        <w:tc>
          <w:tcPr>
            <w:tcW w:w="1370" w:type="pct"/>
            <w:vAlign w:val="center"/>
          </w:tcPr>
          <w:p w14:paraId="3D90CEBC" w14:textId="77777777" w:rsidR="009F7F8A" w:rsidRPr="00AC3044" w:rsidRDefault="009F7F8A" w:rsidP="009F7F8A">
            <w:pPr>
              <w:rPr>
                <w:rFonts w:eastAsia="SimSun"/>
              </w:rPr>
            </w:pPr>
            <w:r w:rsidRPr="00AC3044">
              <w:rPr>
                <w:rFonts w:eastAsia="SimSun"/>
              </w:rPr>
              <w:t>В соответсвии с клинической ситуацией, в среднем 14-42 дня</w:t>
            </w:r>
          </w:p>
        </w:tc>
        <w:tc>
          <w:tcPr>
            <w:tcW w:w="1229" w:type="pct"/>
          </w:tcPr>
          <w:p w14:paraId="7757D8B0" w14:textId="77777777" w:rsidR="009F7F8A" w:rsidRPr="00AC3044" w:rsidRDefault="009F7F8A" w:rsidP="009F7F8A">
            <w:pPr>
              <w:rPr>
                <w:rFonts w:eastAsia="SimSun"/>
              </w:rPr>
            </w:pPr>
            <w:r w:rsidRPr="00AC3044">
              <w:rPr>
                <w:rFonts w:eastAsia="SimSun"/>
              </w:rPr>
              <w:t>Внутрь, 1 раз в сутки, на ночь</w:t>
            </w:r>
          </w:p>
        </w:tc>
      </w:tr>
      <w:tr w:rsidR="009F7F8A" w:rsidRPr="00AC3044" w14:paraId="4C0276F5" w14:textId="77777777" w:rsidTr="009F7F8A">
        <w:trPr>
          <w:cantSplit/>
          <w:trHeight w:val="20"/>
        </w:trPr>
        <w:tc>
          <w:tcPr>
            <w:tcW w:w="5000" w:type="pct"/>
            <w:gridSpan w:val="6"/>
          </w:tcPr>
          <w:p w14:paraId="03CC3463" w14:textId="77777777" w:rsidR="009F7F8A" w:rsidRPr="00AC3044" w:rsidRDefault="009F7F8A" w:rsidP="009F7F8A">
            <w:pPr>
              <w:rPr>
                <w:rFonts w:eastAsia="SimSun"/>
              </w:rPr>
            </w:pPr>
            <w:r w:rsidRPr="00AC3044">
              <w:rPr>
                <w:rFonts w:eastAsia="SimSun"/>
              </w:rPr>
              <w:t>Наркотическая обезболивающая терапия</w:t>
            </w:r>
          </w:p>
        </w:tc>
      </w:tr>
      <w:tr w:rsidR="009F7F8A" w:rsidRPr="00AC3044" w14:paraId="4358355D" w14:textId="77777777" w:rsidTr="009F7F8A">
        <w:trPr>
          <w:cantSplit/>
          <w:trHeight w:val="20"/>
        </w:trPr>
        <w:tc>
          <w:tcPr>
            <w:tcW w:w="168" w:type="pct"/>
          </w:tcPr>
          <w:p w14:paraId="159A77AC" w14:textId="77777777" w:rsidR="009F7F8A" w:rsidRPr="00AC3044" w:rsidRDefault="009F7F8A" w:rsidP="009F7F8A">
            <w:pPr>
              <w:rPr>
                <w:rFonts w:eastAsia="SimSun"/>
              </w:rPr>
            </w:pPr>
            <w:r w:rsidRPr="00AC3044">
              <w:rPr>
                <w:rFonts w:eastAsia="SimSun"/>
              </w:rPr>
              <w:t>1</w:t>
            </w:r>
          </w:p>
        </w:tc>
        <w:tc>
          <w:tcPr>
            <w:tcW w:w="1133" w:type="pct"/>
            <w:vAlign w:val="center"/>
          </w:tcPr>
          <w:p w14:paraId="61EDCCEF" w14:textId="77777777" w:rsidR="009F7F8A" w:rsidRPr="00AC3044" w:rsidRDefault="009F7F8A" w:rsidP="009F7F8A">
            <w:pPr>
              <w:rPr>
                <w:rFonts w:eastAsia="SimSun"/>
              </w:rPr>
            </w:pPr>
            <w:r w:rsidRPr="00AC3044">
              <w:rPr>
                <w:rFonts w:eastAsia="SimSun"/>
              </w:rPr>
              <w:t xml:space="preserve">Промедол </w:t>
            </w:r>
          </w:p>
        </w:tc>
        <w:tc>
          <w:tcPr>
            <w:tcW w:w="2470" w:type="pct"/>
            <w:gridSpan w:val="3"/>
            <w:vAlign w:val="center"/>
          </w:tcPr>
          <w:p w14:paraId="7ADBE9A7" w14:textId="77777777" w:rsidR="009F7F8A" w:rsidRPr="00AC3044" w:rsidRDefault="009F7F8A" w:rsidP="009F7F8A">
            <w:pPr>
              <w:rPr>
                <w:rFonts w:eastAsia="SimSun"/>
              </w:rPr>
            </w:pPr>
            <w:r w:rsidRPr="00AC3044">
              <w:rPr>
                <w:rFonts w:eastAsia="SimSun"/>
              </w:rPr>
              <w:t>В соответсвии с клинической ситуацией</w:t>
            </w:r>
          </w:p>
        </w:tc>
        <w:tc>
          <w:tcPr>
            <w:tcW w:w="1229" w:type="pct"/>
            <w:vAlign w:val="center"/>
          </w:tcPr>
          <w:p w14:paraId="619F9D08" w14:textId="77777777" w:rsidR="009F7F8A" w:rsidRPr="00AC3044" w:rsidRDefault="009F7F8A" w:rsidP="009F7F8A">
            <w:pPr>
              <w:rPr>
                <w:rFonts w:eastAsia="SimSun"/>
              </w:rPr>
            </w:pPr>
            <w:r w:rsidRPr="00AC3044">
              <w:rPr>
                <w:rFonts w:eastAsia="SimSun"/>
              </w:rPr>
              <w:t>В/в</w:t>
            </w:r>
          </w:p>
        </w:tc>
      </w:tr>
      <w:tr w:rsidR="009F7F8A" w:rsidRPr="00AC3044" w14:paraId="054A6518" w14:textId="77777777" w:rsidTr="009F7F8A">
        <w:trPr>
          <w:cantSplit/>
          <w:trHeight w:val="20"/>
        </w:trPr>
        <w:tc>
          <w:tcPr>
            <w:tcW w:w="168" w:type="pct"/>
          </w:tcPr>
          <w:p w14:paraId="2A041B7C" w14:textId="77777777" w:rsidR="009F7F8A" w:rsidRPr="00AC3044" w:rsidRDefault="009F7F8A" w:rsidP="009F7F8A">
            <w:pPr>
              <w:rPr>
                <w:rFonts w:eastAsia="SimSun"/>
              </w:rPr>
            </w:pPr>
            <w:r w:rsidRPr="00AC3044">
              <w:rPr>
                <w:rFonts w:eastAsia="SimSun"/>
              </w:rPr>
              <w:t>2</w:t>
            </w:r>
          </w:p>
        </w:tc>
        <w:tc>
          <w:tcPr>
            <w:tcW w:w="1133" w:type="pct"/>
            <w:vAlign w:val="center"/>
          </w:tcPr>
          <w:p w14:paraId="7A9F30B2" w14:textId="77777777" w:rsidR="009F7F8A" w:rsidRPr="00AC3044" w:rsidRDefault="009F7F8A" w:rsidP="009F7F8A">
            <w:pPr>
              <w:rPr>
                <w:rFonts w:eastAsia="SimSun"/>
              </w:rPr>
            </w:pPr>
            <w:r w:rsidRPr="00AC3044">
              <w:rPr>
                <w:rFonts w:eastAsia="SimSun"/>
              </w:rPr>
              <w:t>Трамадол</w:t>
            </w:r>
          </w:p>
        </w:tc>
        <w:tc>
          <w:tcPr>
            <w:tcW w:w="2470" w:type="pct"/>
            <w:gridSpan w:val="3"/>
            <w:vAlign w:val="center"/>
          </w:tcPr>
          <w:p w14:paraId="481C15E6" w14:textId="77777777" w:rsidR="009F7F8A" w:rsidRPr="00AC3044" w:rsidRDefault="009F7F8A" w:rsidP="009F7F8A">
            <w:pPr>
              <w:rPr>
                <w:rFonts w:eastAsia="SimSun"/>
              </w:rPr>
            </w:pPr>
            <w:r w:rsidRPr="00AC3044">
              <w:rPr>
                <w:rFonts w:eastAsia="SimSun"/>
              </w:rPr>
              <w:t>В соответсвии с клинической ситуацией</w:t>
            </w:r>
          </w:p>
        </w:tc>
        <w:tc>
          <w:tcPr>
            <w:tcW w:w="1229" w:type="pct"/>
            <w:vAlign w:val="center"/>
          </w:tcPr>
          <w:p w14:paraId="7880EE7F" w14:textId="77777777" w:rsidR="009F7F8A" w:rsidRPr="00AC3044" w:rsidRDefault="009F7F8A" w:rsidP="009F7F8A">
            <w:pPr>
              <w:rPr>
                <w:rFonts w:eastAsia="SimSun"/>
              </w:rPr>
            </w:pPr>
            <w:r w:rsidRPr="00AC3044">
              <w:rPr>
                <w:rFonts w:eastAsia="SimSun"/>
              </w:rPr>
              <w:t>В/в</w:t>
            </w:r>
          </w:p>
        </w:tc>
      </w:tr>
      <w:tr w:rsidR="009F7F8A" w:rsidRPr="00AC3044" w14:paraId="2CE06AD1" w14:textId="77777777" w:rsidTr="009F7F8A">
        <w:trPr>
          <w:cantSplit/>
          <w:trHeight w:val="20"/>
        </w:trPr>
        <w:tc>
          <w:tcPr>
            <w:tcW w:w="168" w:type="pct"/>
          </w:tcPr>
          <w:p w14:paraId="1214ED03" w14:textId="77777777" w:rsidR="009F7F8A" w:rsidRPr="00AC3044" w:rsidRDefault="009F7F8A" w:rsidP="009F7F8A">
            <w:pPr>
              <w:rPr>
                <w:rFonts w:eastAsia="SimSun"/>
              </w:rPr>
            </w:pPr>
            <w:r w:rsidRPr="00AC3044">
              <w:rPr>
                <w:rFonts w:eastAsia="SimSun"/>
              </w:rPr>
              <w:t>3</w:t>
            </w:r>
          </w:p>
        </w:tc>
        <w:tc>
          <w:tcPr>
            <w:tcW w:w="1133" w:type="pct"/>
            <w:vAlign w:val="center"/>
          </w:tcPr>
          <w:p w14:paraId="47D554C5" w14:textId="77777777" w:rsidR="009F7F8A" w:rsidRPr="00AC3044" w:rsidRDefault="009F7F8A" w:rsidP="009F7F8A">
            <w:pPr>
              <w:rPr>
                <w:rFonts w:eastAsia="SimSun"/>
              </w:rPr>
            </w:pPr>
            <w:r w:rsidRPr="00AC3044">
              <w:rPr>
                <w:rFonts w:eastAsia="SimSun"/>
              </w:rPr>
              <w:t>Фентанил</w:t>
            </w:r>
          </w:p>
        </w:tc>
        <w:tc>
          <w:tcPr>
            <w:tcW w:w="2470" w:type="pct"/>
            <w:gridSpan w:val="3"/>
            <w:vAlign w:val="center"/>
          </w:tcPr>
          <w:p w14:paraId="5E21EABF" w14:textId="77777777" w:rsidR="009F7F8A" w:rsidRPr="00AC3044" w:rsidRDefault="009F7F8A" w:rsidP="009F7F8A">
            <w:pPr>
              <w:rPr>
                <w:rFonts w:eastAsia="SimSun"/>
              </w:rPr>
            </w:pPr>
            <w:r w:rsidRPr="00AC3044">
              <w:rPr>
                <w:rFonts w:eastAsia="SimSun"/>
              </w:rPr>
              <w:t>В соответсвии с клинической ситуацией</w:t>
            </w:r>
          </w:p>
        </w:tc>
        <w:tc>
          <w:tcPr>
            <w:tcW w:w="1229" w:type="pct"/>
            <w:vAlign w:val="center"/>
          </w:tcPr>
          <w:p w14:paraId="563791C7" w14:textId="77777777" w:rsidR="009F7F8A" w:rsidRPr="00AC3044" w:rsidRDefault="009F7F8A" w:rsidP="009F7F8A">
            <w:pPr>
              <w:rPr>
                <w:rFonts w:eastAsia="SimSun"/>
              </w:rPr>
            </w:pPr>
            <w:r w:rsidRPr="00AC3044">
              <w:rPr>
                <w:rFonts w:eastAsia="SimSun"/>
              </w:rPr>
              <w:t>Трансдермально</w:t>
            </w:r>
          </w:p>
        </w:tc>
      </w:tr>
      <w:tr w:rsidR="009F7F8A" w:rsidRPr="00AC3044" w14:paraId="1FE51F67" w14:textId="77777777" w:rsidTr="009F7F8A">
        <w:trPr>
          <w:cantSplit/>
          <w:trHeight w:val="20"/>
        </w:trPr>
        <w:tc>
          <w:tcPr>
            <w:tcW w:w="168" w:type="pct"/>
          </w:tcPr>
          <w:p w14:paraId="386EA081" w14:textId="77777777" w:rsidR="009F7F8A" w:rsidRPr="00AC3044" w:rsidRDefault="009F7F8A" w:rsidP="009F7F8A">
            <w:pPr>
              <w:rPr>
                <w:rFonts w:eastAsia="SimSun"/>
              </w:rPr>
            </w:pPr>
            <w:r w:rsidRPr="00AC3044">
              <w:rPr>
                <w:rFonts w:eastAsia="SimSun"/>
              </w:rPr>
              <w:t>4</w:t>
            </w:r>
          </w:p>
        </w:tc>
        <w:tc>
          <w:tcPr>
            <w:tcW w:w="1133" w:type="pct"/>
            <w:vAlign w:val="center"/>
          </w:tcPr>
          <w:p w14:paraId="071040C5" w14:textId="77777777" w:rsidR="009F7F8A" w:rsidRPr="00AC3044" w:rsidRDefault="009F7F8A" w:rsidP="009F7F8A">
            <w:pPr>
              <w:rPr>
                <w:rFonts w:eastAsia="SimSun"/>
              </w:rPr>
            </w:pPr>
            <w:r w:rsidRPr="00AC3044">
              <w:rPr>
                <w:rFonts w:eastAsia="SimSun"/>
              </w:rPr>
              <w:t>Морфин</w:t>
            </w:r>
          </w:p>
        </w:tc>
        <w:tc>
          <w:tcPr>
            <w:tcW w:w="2470" w:type="pct"/>
            <w:gridSpan w:val="3"/>
            <w:vAlign w:val="center"/>
          </w:tcPr>
          <w:p w14:paraId="1591791F" w14:textId="77777777" w:rsidR="009F7F8A" w:rsidRPr="00AC3044" w:rsidRDefault="009F7F8A" w:rsidP="009F7F8A">
            <w:pPr>
              <w:rPr>
                <w:rFonts w:eastAsia="SimSun"/>
              </w:rPr>
            </w:pPr>
            <w:r w:rsidRPr="00AC3044">
              <w:rPr>
                <w:rFonts w:eastAsia="SimSun"/>
              </w:rPr>
              <w:t>В соответсвии с клинической ситуацией</w:t>
            </w:r>
          </w:p>
        </w:tc>
        <w:tc>
          <w:tcPr>
            <w:tcW w:w="1229" w:type="pct"/>
            <w:vAlign w:val="center"/>
          </w:tcPr>
          <w:p w14:paraId="08E04C8B" w14:textId="77777777" w:rsidR="009F7F8A" w:rsidRPr="00AC3044" w:rsidRDefault="009F7F8A" w:rsidP="009F7F8A">
            <w:pPr>
              <w:rPr>
                <w:rFonts w:eastAsia="SimSun"/>
              </w:rPr>
            </w:pPr>
            <w:r w:rsidRPr="00AC3044">
              <w:rPr>
                <w:rFonts w:eastAsia="SimSun"/>
              </w:rPr>
              <w:t>В/в</w:t>
            </w:r>
          </w:p>
        </w:tc>
      </w:tr>
      <w:tr w:rsidR="009F7F8A" w:rsidRPr="00AC3044" w14:paraId="794C650B" w14:textId="77777777" w:rsidTr="009F7F8A">
        <w:trPr>
          <w:cantSplit/>
          <w:trHeight w:val="20"/>
        </w:trPr>
        <w:tc>
          <w:tcPr>
            <w:tcW w:w="5000" w:type="pct"/>
            <w:gridSpan w:val="6"/>
          </w:tcPr>
          <w:p w14:paraId="33F28105" w14:textId="77777777" w:rsidR="009F7F8A" w:rsidRPr="00AC3044" w:rsidRDefault="009F7F8A" w:rsidP="009F7F8A">
            <w:pPr>
              <w:rPr>
                <w:rFonts w:eastAsia="SimSun"/>
              </w:rPr>
            </w:pPr>
            <w:r w:rsidRPr="00AC3044">
              <w:rPr>
                <w:rFonts w:eastAsia="SimSun"/>
              </w:rPr>
              <w:t>Другое</w:t>
            </w:r>
          </w:p>
        </w:tc>
      </w:tr>
      <w:tr w:rsidR="009F7F8A" w:rsidRPr="00AC3044" w14:paraId="775A7569" w14:textId="77777777" w:rsidTr="009F7F8A">
        <w:trPr>
          <w:cantSplit/>
          <w:trHeight w:val="20"/>
        </w:trPr>
        <w:tc>
          <w:tcPr>
            <w:tcW w:w="168" w:type="pct"/>
          </w:tcPr>
          <w:p w14:paraId="02CD5B19" w14:textId="77777777" w:rsidR="009F7F8A" w:rsidRPr="00AC3044" w:rsidRDefault="009F7F8A" w:rsidP="009F7F8A">
            <w:pPr>
              <w:rPr>
                <w:rFonts w:eastAsia="SimSun"/>
              </w:rPr>
            </w:pPr>
            <w:r w:rsidRPr="00AC3044">
              <w:rPr>
                <w:rFonts w:eastAsia="SimSun"/>
              </w:rPr>
              <w:t>1</w:t>
            </w:r>
          </w:p>
        </w:tc>
        <w:tc>
          <w:tcPr>
            <w:tcW w:w="1133" w:type="pct"/>
            <w:vAlign w:val="center"/>
          </w:tcPr>
          <w:p w14:paraId="1B2C8A8D" w14:textId="77777777" w:rsidR="009F7F8A" w:rsidRPr="00AC3044" w:rsidRDefault="009F7F8A" w:rsidP="009F7F8A">
            <w:pPr>
              <w:rPr>
                <w:rFonts w:eastAsia="SimSun"/>
              </w:rPr>
            </w:pPr>
            <w:r w:rsidRPr="00AC3044">
              <w:rPr>
                <w:rFonts w:eastAsia="SimSun"/>
              </w:rPr>
              <w:t>Месна</w:t>
            </w:r>
          </w:p>
        </w:tc>
        <w:tc>
          <w:tcPr>
            <w:tcW w:w="614" w:type="pct"/>
            <w:vAlign w:val="center"/>
          </w:tcPr>
          <w:p w14:paraId="16CC0D1B" w14:textId="77777777" w:rsidR="009F7F8A" w:rsidRPr="00AC3044" w:rsidRDefault="009F7F8A" w:rsidP="009F7F8A">
            <w:pPr>
              <w:rPr>
                <w:rFonts w:eastAsia="SimSun"/>
              </w:rPr>
            </w:pPr>
            <w:r w:rsidRPr="00AC3044">
              <w:rPr>
                <w:rFonts w:eastAsia="SimSun"/>
              </w:rPr>
              <w:t>120% от дозы ЦФ</w:t>
            </w:r>
          </w:p>
        </w:tc>
        <w:tc>
          <w:tcPr>
            <w:tcW w:w="486" w:type="pct"/>
            <w:vAlign w:val="center"/>
          </w:tcPr>
          <w:p w14:paraId="2D1F9309" w14:textId="77777777" w:rsidR="009F7F8A" w:rsidRPr="00AC3044" w:rsidRDefault="009F7F8A" w:rsidP="009F7F8A">
            <w:pPr>
              <w:rPr>
                <w:rFonts w:eastAsia="SimSun"/>
              </w:rPr>
            </w:pPr>
            <w:r w:rsidRPr="00AC3044">
              <w:rPr>
                <w:rFonts w:eastAsia="SimSun"/>
              </w:rPr>
              <w:t>–</w:t>
            </w:r>
          </w:p>
        </w:tc>
        <w:tc>
          <w:tcPr>
            <w:tcW w:w="1370" w:type="pct"/>
            <w:vAlign w:val="center"/>
          </w:tcPr>
          <w:p w14:paraId="2F588C06" w14:textId="77777777" w:rsidR="009F7F8A" w:rsidRPr="00AC3044" w:rsidRDefault="009F7F8A" w:rsidP="009F7F8A">
            <w:pPr>
              <w:rPr>
                <w:rFonts w:eastAsia="SimSun"/>
              </w:rPr>
            </w:pPr>
            <w:r w:rsidRPr="00AC3044">
              <w:rPr>
                <w:rFonts w:eastAsia="SimSun"/>
              </w:rPr>
              <w:t>В дни введения ЦФ</w:t>
            </w:r>
          </w:p>
        </w:tc>
        <w:tc>
          <w:tcPr>
            <w:tcW w:w="1229" w:type="pct"/>
            <w:vAlign w:val="center"/>
          </w:tcPr>
          <w:p w14:paraId="73008E27" w14:textId="77777777" w:rsidR="009F7F8A" w:rsidRPr="00AC3044" w:rsidRDefault="009F7F8A" w:rsidP="009F7F8A">
            <w:pPr>
              <w:rPr>
                <w:rFonts w:eastAsia="SimSun"/>
              </w:rPr>
            </w:pPr>
            <w:r w:rsidRPr="00AC3044">
              <w:rPr>
                <w:rFonts w:eastAsia="SimSun"/>
              </w:rPr>
              <w:t xml:space="preserve">В/в, инфузия в течение 24 ч, начиная за 2 ч до введения ЦФ </w:t>
            </w:r>
          </w:p>
        </w:tc>
      </w:tr>
      <w:tr w:rsidR="009F7F8A" w:rsidRPr="00AC3044" w14:paraId="5BEE1344" w14:textId="77777777" w:rsidTr="009F7F8A">
        <w:trPr>
          <w:cantSplit/>
          <w:trHeight w:val="20"/>
        </w:trPr>
        <w:tc>
          <w:tcPr>
            <w:tcW w:w="168" w:type="pct"/>
          </w:tcPr>
          <w:p w14:paraId="6457381A" w14:textId="77777777" w:rsidR="009F7F8A" w:rsidRPr="00AC3044" w:rsidRDefault="009F7F8A" w:rsidP="009F7F8A">
            <w:pPr>
              <w:rPr>
                <w:rFonts w:eastAsia="SimSun"/>
              </w:rPr>
            </w:pPr>
            <w:r w:rsidRPr="00AC3044">
              <w:rPr>
                <w:rFonts w:eastAsia="SimSun"/>
              </w:rPr>
              <w:lastRenderedPageBreak/>
              <w:t>2</w:t>
            </w:r>
          </w:p>
        </w:tc>
        <w:tc>
          <w:tcPr>
            <w:tcW w:w="1133" w:type="pct"/>
            <w:vAlign w:val="center"/>
          </w:tcPr>
          <w:p w14:paraId="01101A23" w14:textId="77777777" w:rsidR="009F7F8A" w:rsidRPr="00AC3044" w:rsidRDefault="009F7F8A" w:rsidP="009F7F8A">
            <w:pPr>
              <w:rPr>
                <w:rFonts w:eastAsia="SimSun"/>
              </w:rPr>
            </w:pPr>
            <w:r w:rsidRPr="00AC3044">
              <w:rPr>
                <w:rFonts w:eastAsia="SimSun"/>
              </w:rPr>
              <w:t>Кальция фолинат</w:t>
            </w:r>
          </w:p>
        </w:tc>
        <w:tc>
          <w:tcPr>
            <w:tcW w:w="614" w:type="pct"/>
            <w:vAlign w:val="center"/>
          </w:tcPr>
          <w:p w14:paraId="61C75846" w14:textId="77777777" w:rsidR="009F7F8A" w:rsidRPr="00AC3044" w:rsidRDefault="009F7F8A" w:rsidP="009F7F8A">
            <w:pPr>
              <w:rPr>
                <w:rFonts w:eastAsia="SimSun"/>
              </w:rPr>
            </w:pPr>
            <w:r w:rsidRPr="00AC3044">
              <w:rPr>
                <w:rFonts w:eastAsia="SimSun"/>
              </w:rPr>
              <w:t>50 мг</w:t>
            </w:r>
          </w:p>
        </w:tc>
        <w:tc>
          <w:tcPr>
            <w:tcW w:w="486" w:type="pct"/>
            <w:vAlign w:val="center"/>
          </w:tcPr>
          <w:p w14:paraId="3792720A" w14:textId="77777777" w:rsidR="009F7F8A" w:rsidRPr="00AC3044" w:rsidRDefault="009F7F8A" w:rsidP="009F7F8A">
            <w:pPr>
              <w:rPr>
                <w:rFonts w:eastAsia="SimSun"/>
              </w:rPr>
            </w:pPr>
            <w:r w:rsidRPr="00AC3044">
              <w:rPr>
                <w:rFonts w:eastAsia="SimSun"/>
              </w:rPr>
              <w:t>–</w:t>
            </w:r>
          </w:p>
        </w:tc>
        <w:tc>
          <w:tcPr>
            <w:tcW w:w="1370" w:type="pct"/>
            <w:vAlign w:val="center"/>
          </w:tcPr>
          <w:p w14:paraId="082DAB33" w14:textId="77777777" w:rsidR="009F7F8A" w:rsidRPr="00AC3044" w:rsidRDefault="009F7F8A" w:rsidP="009F7F8A">
            <w:pPr>
              <w:rPr>
                <w:rFonts w:eastAsia="SimSun"/>
              </w:rPr>
            </w:pPr>
            <w:r w:rsidRPr="00AC3044">
              <w:rPr>
                <w:rFonts w:eastAsia="SimSun"/>
              </w:rPr>
              <w:t>В случае применения метотрексата в качестве профилактики РТПХ</w:t>
            </w:r>
          </w:p>
          <w:p w14:paraId="5B0D7487" w14:textId="77777777" w:rsidR="009F7F8A" w:rsidRPr="00AC3044" w:rsidRDefault="009F7F8A" w:rsidP="009F7F8A">
            <w:pPr>
              <w:rPr>
                <w:rFonts w:eastAsia="SimSun"/>
              </w:rPr>
            </w:pPr>
            <w:r w:rsidRPr="00AC3044">
              <w:rPr>
                <w:rFonts w:eastAsia="SimSun"/>
              </w:rPr>
              <w:t xml:space="preserve">+2, +4, +7, +12 дни </w:t>
            </w:r>
          </w:p>
        </w:tc>
        <w:tc>
          <w:tcPr>
            <w:tcW w:w="1229" w:type="pct"/>
            <w:vAlign w:val="center"/>
          </w:tcPr>
          <w:p w14:paraId="2E3C574E" w14:textId="77777777" w:rsidR="009F7F8A" w:rsidRPr="00AC3044" w:rsidRDefault="009F7F8A" w:rsidP="009F7F8A">
            <w:pPr>
              <w:rPr>
                <w:rFonts w:eastAsia="SimSun"/>
              </w:rPr>
            </w:pPr>
            <w:r w:rsidRPr="00AC3044">
              <w:rPr>
                <w:rFonts w:eastAsia="SimSun"/>
              </w:rPr>
              <w:t xml:space="preserve">В/в, в 20 мл физ. р-ра  </w:t>
            </w:r>
          </w:p>
        </w:tc>
      </w:tr>
      <w:tr w:rsidR="009F7F8A" w:rsidRPr="00AC3044" w14:paraId="1D1BFCC1" w14:textId="77777777" w:rsidTr="009F7F8A">
        <w:trPr>
          <w:trHeight w:val="20"/>
        </w:trPr>
        <w:tc>
          <w:tcPr>
            <w:tcW w:w="168" w:type="pct"/>
          </w:tcPr>
          <w:p w14:paraId="5765FFED" w14:textId="77777777" w:rsidR="009F7F8A" w:rsidRPr="00AC3044" w:rsidRDefault="009F7F8A" w:rsidP="009F7F8A">
            <w:pPr>
              <w:rPr>
                <w:rFonts w:eastAsia="SimSun"/>
              </w:rPr>
            </w:pPr>
            <w:r w:rsidRPr="00AC3044">
              <w:rPr>
                <w:rFonts w:eastAsia="SimSun"/>
              </w:rPr>
              <w:t>3</w:t>
            </w:r>
          </w:p>
        </w:tc>
        <w:tc>
          <w:tcPr>
            <w:tcW w:w="1133" w:type="pct"/>
            <w:vAlign w:val="center"/>
          </w:tcPr>
          <w:p w14:paraId="7F181A55" w14:textId="77777777" w:rsidR="009F7F8A" w:rsidRPr="00AC3044" w:rsidRDefault="009F7F8A" w:rsidP="009F7F8A">
            <w:pPr>
              <w:rPr>
                <w:rFonts w:eastAsia="SimSun"/>
              </w:rPr>
            </w:pPr>
            <w:r w:rsidRPr="00AC3044">
              <w:rPr>
                <w:rFonts w:eastAsia="SimSun"/>
              </w:rPr>
              <w:t xml:space="preserve">Аллопуринол </w:t>
            </w:r>
          </w:p>
        </w:tc>
        <w:tc>
          <w:tcPr>
            <w:tcW w:w="614" w:type="pct"/>
            <w:vAlign w:val="center"/>
          </w:tcPr>
          <w:p w14:paraId="5AB73D04" w14:textId="77777777" w:rsidR="009F7F8A" w:rsidRPr="00AC3044" w:rsidRDefault="009F7F8A" w:rsidP="009F7F8A">
            <w:pPr>
              <w:rPr>
                <w:rFonts w:eastAsia="SimSun"/>
              </w:rPr>
            </w:pPr>
            <w:r w:rsidRPr="00AC3044">
              <w:rPr>
                <w:rFonts w:eastAsia="SimSun"/>
              </w:rPr>
              <w:t>200 мг/м</w:t>
            </w:r>
            <w:r w:rsidRPr="00271D11">
              <w:rPr>
                <w:rFonts w:eastAsia="SimSun"/>
                <w:vertAlign w:val="superscript"/>
              </w:rPr>
              <w:t>2</w:t>
            </w:r>
            <w:r w:rsidRPr="00AC3044">
              <w:rPr>
                <w:rFonts w:eastAsia="SimSun"/>
              </w:rPr>
              <w:t xml:space="preserve"> </w:t>
            </w:r>
          </w:p>
        </w:tc>
        <w:tc>
          <w:tcPr>
            <w:tcW w:w="486" w:type="pct"/>
            <w:vAlign w:val="center"/>
          </w:tcPr>
          <w:p w14:paraId="42ACB252" w14:textId="77777777" w:rsidR="009F7F8A" w:rsidRPr="00AC3044" w:rsidRDefault="009F7F8A" w:rsidP="009F7F8A">
            <w:pPr>
              <w:rPr>
                <w:rFonts w:eastAsia="SimSun"/>
              </w:rPr>
            </w:pPr>
            <w:r w:rsidRPr="00AC3044">
              <w:rPr>
                <w:rFonts w:eastAsia="SimSun"/>
              </w:rPr>
              <w:t>–</w:t>
            </w:r>
          </w:p>
        </w:tc>
        <w:tc>
          <w:tcPr>
            <w:tcW w:w="1370" w:type="pct"/>
            <w:vAlign w:val="center"/>
          </w:tcPr>
          <w:p w14:paraId="7641D4E5" w14:textId="77777777" w:rsidR="009F7F8A" w:rsidRPr="00AC3044" w:rsidRDefault="009F7F8A" w:rsidP="009F7F8A">
            <w:pPr>
              <w:rPr>
                <w:rFonts w:eastAsia="SimSun"/>
              </w:rPr>
            </w:pPr>
            <w:r w:rsidRPr="00AC3044">
              <w:rPr>
                <w:rFonts w:eastAsia="SimSun"/>
              </w:rPr>
              <w:t>За день до начала кондиционирования по –1 день кондиционирования, а также в дни введения посттрансплантационного циклофосфамида</w:t>
            </w:r>
          </w:p>
        </w:tc>
        <w:tc>
          <w:tcPr>
            <w:tcW w:w="1229" w:type="pct"/>
            <w:vAlign w:val="center"/>
          </w:tcPr>
          <w:p w14:paraId="56913E9D" w14:textId="77777777" w:rsidR="009F7F8A" w:rsidRPr="00AC3044" w:rsidRDefault="009F7F8A" w:rsidP="009F7F8A">
            <w:pPr>
              <w:rPr>
                <w:rFonts w:eastAsia="SimSun"/>
              </w:rPr>
            </w:pPr>
            <w:r w:rsidRPr="00AC3044">
              <w:rPr>
                <w:rFonts w:eastAsia="SimSun"/>
              </w:rPr>
              <w:t>Внутрь, однократно или доза разделяется на 2 приема</w:t>
            </w:r>
          </w:p>
        </w:tc>
      </w:tr>
      <w:tr w:rsidR="009F7F8A" w:rsidRPr="00AC3044" w14:paraId="47603B11" w14:textId="77777777" w:rsidTr="009F7F8A">
        <w:trPr>
          <w:trHeight w:val="20"/>
        </w:trPr>
        <w:tc>
          <w:tcPr>
            <w:tcW w:w="168" w:type="pct"/>
          </w:tcPr>
          <w:p w14:paraId="55BC4B48" w14:textId="77777777" w:rsidR="009F7F8A" w:rsidRPr="00AC3044" w:rsidRDefault="009F7F8A" w:rsidP="009F7F8A">
            <w:pPr>
              <w:rPr>
                <w:rFonts w:eastAsia="SimSun"/>
              </w:rPr>
            </w:pPr>
            <w:r w:rsidRPr="00AC3044">
              <w:rPr>
                <w:rFonts w:eastAsia="SimSun"/>
              </w:rPr>
              <w:t>4</w:t>
            </w:r>
          </w:p>
        </w:tc>
        <w:tc>
          <w:tcPr>
            <w:tcW w:w="1133" w:type="pct"/>
            <w:vAlign w:val="center"/>
          </w:tcPr>
          <w:p w14:paraId="33A0FAD3" w14:textId="77777777" w:rsidR="009F7F8A" w:rsidRPr="00AC3044" w:rsidRDefault="009F7F8A" w:rsidP="009F7F8A">
            <w:pPr>
              <w:rPr>
                <w:rFonts w:eastAsia="SimSun"/>
              </w:rPr>
            </w:pPr>
            <w:r w:rsidRPr="00AC3044">
              <w:rPr>
                <w:rFonts w:eastAsia="SimSun"/>
              </w:rPr>
              <w:t xml:space="preserve">Аллопуринол </w:t>
            </w:r>
          </w:p>
        </w:tc>
        <w:tc>
          <w:tcPr>
            <w:tcW w:w="614" w:type="pct"/>
            <w:vAlign w:val="center"/>
          </w:tcPr>
          <w:p w14:paraId="41C3392F" w14:textId="77777777" w:rsidR="009F7F8A" w:rsidRPr="00AC3044" w:rsidRDefault="009F7F8A" w:rsidP="009F7F8A">
            <w:pPr>
              <w:rPr>
                <w:rFonts w:eastAsia="SimSun"/>
              </w:rPr>
            </w:pPr>
            <w:r w:rsidRPr="00AC3044">
              <w:rPr>
                <w:rFonts w:eastAsia="SimSun"/>
              </w:rPr>
              <w:t xml:space="preserve">300мг </w:t>
            </w:r>
          </w:p>
        </w:tc>
        <w:tc>
          <w:tcPr>
            <w:tcW w:w="486" w:type="pct"/>
            <w:vAlign w:val="center"/>
          </w:tcPr>
          <w:p w14:paraId="79759351" w14:textId="77777777" w:rsidR="009F7F8A" w:rsidRPr="00AC3044" w:rsidRDefault="009F7F8A" w:rsidP="009F7F8A">
            <w:pPr>
              <w:rPr>
                <w:rFonts w:eastAsia="SimSun"/>
              </w:rPr>
            </w:pPr>
            <w:r w:rsidRPr="00AC3044">
              <w:rPr>
                <w:rFonts w:eastAsia="SimSun"/>
              </w:rPr>
              <w:t>–</w:t>
            </w:r>
          </w:p>
        </w:tc>
        <w:tc>
          <w:tcPr>
            <w:tcW w:w="1370" w:type="pct"/>
            <w:vAlign w:val="center"/>
          </w:tcPr>
          <w:p w14:paraId="2EA18310" w14:textId="77777777" w:rsidR="009F7F8A" w:rsidRPr="00AC3044" w:rsidRDefault="009F7F8A" w:rsidP="009F7F8A">
            <w:pPr>
              <w:rPr>
                <w:rFonts w:eastAsia="SimSun"/>
              </w:rPr>
            </w:pPr>
            <w:r w:rsidRPr="00AC3044">
              <w:rPr>
                <w:rFonts w:eastAsia="SimSun"/>
              </w:rPr>
              <w:t>За день до начала кондиционирования по –1 день кондиционирования, а также в дни введения посттрансплантационного циклофосфамида</w:t>
            </w:r>
          </w:p>
        </w:tc>
        <w:tc>
          <w:tcPr>
            <w:tcW w:w="1229" w:type="pct"/>
            <w:vAlign w:val="center"/>
          </w:tcPr>
          <w:p w14:paraId="052DC160" w14:textId="77777777" w:rsidR="009F7F8A" w:rsidRPr="00AC3044" w:rsidRDefault="009F7F8A" w:rsidP="009F7F8A">
            <w:pPr>
              <w:rPr>
                <w:rFonts w:eastAsia="SimSun"/>
              </w:rPr>
            </w:pPr>
            <w:r w:rsidRPr="00AC3044">
              <w:rPr>
                <w:rFonts w:eastAsia="SimSun"/>
              </w:rPr>
              <w:t>Внутрь, однократно или доза разделяется на 2 приема</w:t>
            </w:r>
          </w:p>
        </w:tc>
      </w:tr>
      <w:tr w:rsidR="009F7F8A" w:rsidRPr="00AC3044" w14:paraId="2EFBBCDF" w14:textId="77777777" w:rsidTr="009F7F8A">
        <w:trPr>
          <w:trHeight w:val="20"/>
        </w:trPr>
        <w:tc>
          <w:tcPr>
            <w:tcW w:w="168" w:type="pct"/>
          </w:tcPr>
          <w:p w14:paraId="51C6E80C" w14:textId="77777777" w:rsidR="009F7F8A" w:rsidRPr="00AC3044" w:rsidRDefault="009F7F8A" w:rsidP="009F7F8A">
            <w:pPr>
              <w:rPr>
                <w:rFonts w:eastAsia="SimSun"/>
              </w:rPr>
            </w:pPr>
            <w:r w:rsidRPr="00AC3044">
              <w:rPr>
                <w:rFonts w:eastAsia="SimSun"/>
              </w:rPr>
              <w:t>5</w:t>
            </w:r>
          </w:p>
        </w:tc>
        <w:tc>
          <w:tcPr>
            <w:tcW w:w="1133" w:type="pct"/>
            <w:vAlign w:val="center"/>
          </w:tcPr>
          <w:p w14:paraId="56C0EB46" w14:textId="77777777" w:rsidR="009F7F8A" w:rsidRPr="00AC3044" w:rsidRDefault="009F7F8A" w:rsidP="009F7F8A">
            <w:pPr>
              <w:rPr>
                <w:rFonts w:eastAsia="SimSun"/>
              </w:rPr>
            </w:pPr>
            <w:r w:rsidRPr="00AC3044">
              <w:rPr>
                <w:rFonts w:eastAsia="SimSun"/>
              </w:rPr>
              <w:t>Урсодезоксихолевая кислота (рекомендуется)</w:t>
            </w:r>
          </w:p>
        </w:tc>
        <w:tc>
          <w:tcPr>
            <w:tcW w:w="614" w:type="pct"/>
            <w:vAlign w:val="center"/>
          </w:tcPr>
          <w:p w14:paraId="420ED13E" w14:textId="77777777" w:rsidR="009F7F8A" w:rsidRPr="00AC3044" w:rsidRDefault="009F7F8A" w:rsidP="009F7F8A">
            <w:pPr>
              <w:rPr>
                <w:rFonts w:eastAsia="SimSun"/>
              </w:rPr>
            </w:pPr>
            <w:r w:rsidRPr="00AC3044">
              <w:rPr>
                <w:rFonts w:eastAsia="SimSun"/>
              </w:rPr>
              <w:t>12 мг/кг</w:t>
            </w:r>
          </w:p>
        </w:tc>
        <w:tc>
          <w:tcPr>
            <w:tcW w:w="486" w:type="pct"/>
            <w:vAlign w:val="center"/>
          </w:tcPr>
          <w:p w14:paraId="4D7E182E" w14:textId="77777777" w:rsidR="009F7F8A" w:rsidRPr="00AC3044" w:rsidRDefault="009F7F8A" w:rsidP="009F7F8A">
            <w:pPr>
              <w:rPr>
                <w:rFonts w:eastAsia="SimSun"/>
              </w:rPr>
            </w:pPr>
            <w:r w:rsidRPr="00AC3044">
              <w:rPr>
                <w:rFonts w:eastAsia="SimSun"/>
              </w:rPr>
              <w:t>–</w:t>
            </w:r>
          </w:p>
        </w:tc>
        <w:tc>
          <w:tcPr>
            <w:tcW w:w="1370" w:type="pct"/>
            <w:vAlign w:val="center"/>
          </w:tcPr>
          <w:p w14:paraId="797282AF" w14:textId="77777777" w:rsidR="009F7F8A" w:rsidRPr="00AC3044" w:rsidRDefault="009F7F8A" w:rsidP="009F7F8A">
            <w:pPr>
              <w:rPr>
                <w:rFonts w:eastAsia="SimSun"/>
              </w:rPr>
            </w:pPr>
            <w:r w:rsidRPr="00AC3044">
              <w:rPr>
                <w:rFonts w:eastAsia="SimSun"/>
              </w:rPr>
              <w:t>C –6 по +180 день</w:t>
            </w:r>
          </w:p>
        </w:tc>
        <w:tc>
          <w:tcPr>
            <w:tcW w:w="1229" w:type="pct"/>
            <w:vAlign w:val="center"/>
          </w:tcPr>
          <w:p w14:paraId="390C7BF2" w14:textId="77777777" w:rsidR="009F7F8A" w:rsidRPr="00AC3044" w:rsidRDefault="009F7F8A" w:rsidP="009F7F8A">
            <w:pPr>
              <w:rPr>
                <w:rFonts w:eastAsia="SimSun"/>
              </w:rPr>
            </w:pPr>
            <w:r w:rsidRPr="00AC3044">
              <w:rPr>
                <w:rFonts w:eastAsia="SimSun"/>
              </w:rPr>
              <w:t>Внутрь, суточная доза разделяется на 1–2 приема (вечер или день и вечер)</w:t>
            </w:r>
          </w:p>
        </w:tc>
      </w:tr>
      <w:tr w:rsidR="009F7F8A" w:rsidRPr="00AC3044" w14:paraId="5EB5C509" w14:textId="77777777" w:rsidTr="009F7F8A">
        <w:trPr>
          <w:trHeight w:val="20"/>
        </w:trPr>
        <w:tc>
          <w:tcPr>
            <w:tcW w:w="168" w:type="pct"/>
          </w:tcPr>
          <w:p w14:paraId="0A897535" w14:textId="77777777" w:rsidR="009F7F8A" w:rsidRPr="00AC3044" w:rsidRDefault="009F7F8A" w:rsidP="009F7F8A">
            <w:pPr>
              <w:rPr>
                <w:rFonts w:eastAsia="SimSun"/>
              </w:rPr>
            </w:pPr>
            <w:r w:rsidRPr="00AC3044">
              <w:rPr>
                <w:rFonts w:eastAsia="SimSun"/>
              </w:rPr>
              <w:t>6</w:t>
            </w:r>
          </w:p>
        </w:tc>
        <w:tc>
          <w:tcPr>
            <w:tcW w:w="1133" w:type="pct"/>
            <w:vAlign w:val="center"/>
          </w:tcPr>
          <w:p w14:paraId="56621C96" w14:textId="77777777" w:rsidR="009F7F8A" w:rsidRPr="00AC3044" w:rsidRDefault="009F7F8A" w:rsidP="009F7F8A">
            <w:pPr>
              <w:rPr>
                <w:rFonts w:eastAsia="SimSun"/>
              </w:rPr>
            </w:pPr>
            <w:r w:rsidRPr="00AC3044">
              <w:rPr>
                <w:rFonts w:eastAsia="SimSun"/>
              </w:rPr>
              <w:t xml:space="preserve">Метилпреднизолон </w:t>
            </w:r>
          </w:p>
        </w:tc>
        <w:tc>
          <w:tcPr>
            <w:tcW w:w="3699" w:type="pct"/>
            <w:gridSpan w:val="4"/>
            <w:vAlign w:val="center"/>
          </w:tcPr>
          <w:p w14:paraId="0CEF9863" w14:textId="77777777" w:rsidR="009F7F8A" w:rsidRPr="00AC3044" w:rsidRDefault="009F7F8A" w:rsidP="009F7F8A">
            <w:pPr>
              <w:rPr>
                <w:rFonts w:eastAsia="SimSun"/>
              </w:rPr>
            </w:pPr>
            <w:r w:rsidRPr="00AC3044">
              <w:rPr>
                <w:rFonts w:eastAsia="SimSun"/>
              </w:rPr>
              <w:t>см. «Инфузия АТГ»</w:t>
            </w:r>
          </w:p>
        </w:tc>
      </w:tr>
      <w:tr w:rsidR="009F7F8A" w:rsidRPr="00AC3044" w14:paraId="5056F489" w14:textId="77777777" w:rsidTr="009F7F8A">
        <w:trPr>
          <w:trHeight w:val="20"/>
        </w:trPr>
        <w:tc>
          <w:tcPr>
            <w:tcW w:w="168" w:type="pct"/>
          </w:tcPr>
          <w:p w14:paraId="7E54D783" w14:textId="77777777" w:rsidR="009F7F8A" w:rsidRPr="00AC3044" w:rsidRDefault="009F7F8A" w:rsidP="009F7F8A">
            <w:pPr>
              <w:rPr>
                <w:rFonts w:eastAsia="SimSun"/>
              </w:rPr>
            </w:pPr>
            <w:r w:rsidRPr="00AC3044">
              <w:rPr>
                <w:rFonts w:eastAsia="SimSun"/>
              </w:rPr>
              <w:lastRenderedPageBreak/>
              <w:t>7</w:t>
            </w:r>
          </w:p>
        </w:tc>
        <w:tc>
          <w:tcPr>
            <w:tcW w:w="1133" w:type="pct"/>
            <w:vAlign w:val="center"/>
          </w:tcPr>
          <w:p w14:paraId="17DCB65A" w14:textId="77777777" w:rsidR="009F7F8A" w:rsidRPr="00AC3044" w:rsidRDefault="009F7F8A" w:rsidP="009F7F8A">
            <w:pPr>
              <w:rPr>
                <w:rFonts w:eastAsia="SimSun"/>
              </w:rPr>
            </w:pPr>
            <w:r w:rsidRPr="00AC3044">
              <w:rPr>
                <w:rFonts w:eastAsia="SimSun"/>
              </w:rPr>
              <w:t>Преднизолон</w:t>
            </w:r>
          </w:p>
        </w:tc>
        <w:tc>
          <w:tcPr>
            <w:tcW w:w="3699" w:type="pct"/>
            <w:gridSpan w:val="4"/>
            <w:vAlign w:val="center"/>
          </w:tcPr>
          <w:p w14:paraId="094C549E" w14:textId="77777777" w:rsidR="009F7F8A" w:rsidRPr="00AC3044" w:rsidRDefault="009F7F8A" w:rsidP="009F7F8A">
            <w:pPr>
              <w:rPr>
                <w:rFonts w:eastAsia="SimSun"/>
              </w:rPr>
            </w:pPr>
            <w:r w:rsidRPr="00AC3044">
              <w:rPr>
                <w:rFonts w:eastAsia="SimSun"/>
              </w:rPr>
              <w:t>см. «Инфузия АТГ»</w:t>
            </w:r>
          </w:p>
        </w:tc>
      </w:tr>
    </w:tbl>
    <w:p w14:paraId="32EFFC05" w14:textId="77777777" w:rsidR="009F7F8A" w:rsidRPr="00C07B2E" w:rsidRDefault="009F7F8A" w:rsidP="009F7F8A">
      <w:pPr>
        <w:rPr>
          <w:rFonts w:eastAsia="SimSun"/>
        </w:rPr>
      </w:pPr>
    </w:p>
    <w:p w14:paraId="3BA413E6" w14:textId="6E0B7261" w:rsidR="009F7F8A" w:rsidRDefault="009F7F8A" w:rsidP="009F7F8A">
      <w:pPr>
        <w:rPr>
          <w:rFonts w:eastAsia="SimSun"/>
        </w:rPr>
      </w:pPr>
      <w:r w:rsidRPr="00AC3044">
        <w:rPr>
          <w:rFonts w:eastAsia="SimSun"/>
        </w:rPr>
        <w:t xml:space="preserve"> </w:t>
      </w:r>
    </w:p>
    <w:p w14:paraId="2B1E9888" w14:textId="631E68B2" w:rsidR="0000369C" w:rsidRPr="0000369C" w:rsidRDefault="0000369C" w:rsidP="0000369C">
      <w:pPr>
        <w:pStyle w:val="2"/>
      </w:pPr>
      <w:bookmarkStart w:id="213" w:name="_Toc67522263"/>
      <w:r>
        <w:t xml:space="preserve">Приложение А3.3. </w:t>
      </w:r>
      <w:r w:rsidRPr="00CC66C1">
        <w:t>Инфузионная терапия у гематологических пациентов</w:t>
      </w:r>
      <w:bookmarkEnd w:id="213"/>
    </w:p>
    <w:p w14:paraId="39626086" w14:textId="77777777" w:rsidR="0000369C" w:rsidRPr="00CC66C1" w:rsidRDefault="0000369C" w:rsidP="0000369C">
      <w:pPr>
        <w:ind w:firstLine="709"/>
        <w:rPr>
          <w:rFonts w:cs="Times New Roman"/>
          <w:szCs w:val="24"/>
        </w:rPr>
      </w:pPr>
      <w:r w:rsidRPr="00CC66C1">
        <w:rPr>
          <w:rFonts w:cs="Times New Roman"/>
          <w:szCs w:val="24"/>
        </w:rPr>
        <w:t>Особое место в сопроводительной терапии пациентов с онкогематологическими заболеваниями занимает инфузионная терапия (ИТ). Она используется почти у всех пациентов, находящихся на стационарном лечении. Однако некорректное ее применение может приводить к тяжелым осложнениям. Инфузионные растворы должны рассматриваться как лекарственные препараты со своими показаниями и противопоказаниями. Необходим обоснованный выбор типа раствора, его количества и темпа введения. Несмотря на накопленный опыт использования ИТ (первое сообщение о применении внутривенной инфузии раствора солей у больных холерой появилось почти 200 лет назад), концепции и схемы ИТ продолжают развиваться.</w:t>
      </w:r>
    </w:p>
    <w:p w14:paraId="0E1DC0CF" w14:textId="77777777" w:rsidR="0000369C" w:rsidRPr="00CC66C1" w:rsidRDefault="0000369C" w:rsidP="0000369C">
      <w:pPr>
        <w:ind w:firstLine="709"/>
        <w:rPr>
          <w:rFonts w:cs="Times New Roman"/>
          <w:szCs w:val="24"/>
        </w:rPr>
      </w:pPr>
      <w:r w:rsidRPr="00CC66C1">
        <w:rPr>
          <w:rFonts w:cs="Times New Roman"/>
          <w:szCs w:val="24"/>
        </w:rPr>
        <w:t>ИТ в гематологии используется для решения таких задач, как создание гемоделюции и форсированного диуреза для профилактики синдрома лизиса опухоли, возмещение жидкостных потерь в результате диареи, лихорадки, сепсиса, кровотечения, депонирования в полостях организма и коррекция электролитных расстройств.</w:t>
      </w:r>
    </w:p>
    <w:p w14:paraId="267A8DA8" w14:textId="77777777" w:rsidR="0000369C" w:rsidRDefault="0000369C" w:rsidP="0000369C">
      <w:pPr>
        <w:ind w:firstLine="709"/>
        <w:rPr>
          <w:rFonts w:cs="Times New Roman"/>
          <w:i/>
          <w:szCs w:val="24"/>
        </w:rPr>
      </w:pPr>
    </w:p>
    <w:p w14:paraId="4699324F" w14:textId="77777777" w:rsidR="0000369C" w:rsidRPr="00CC66C1" w:rsidRDefault="0000369C" w:rsidP="0000369C">
      <w:pPr>
        <w:ind w:firstLine="709"/>
        <w:rPr>
          <w:rFonts w:cs="Times New Roman"/>
          <w:i/>
          <w:szCs w:val="24"/>
          <w:u w:val="single"/>
        </w:rPr>
      </w:pPr>
      <w:r w:rsidRPr="00CC66C1">
        <w:rPr>
          <w:rFonts w:cs="Times New Roman"/>
          <w:i/>
          <w:szCs w:val="24"/>
          <w:u w:val="single"/>
        </w:rPr>
        <w:t>Виды инфузионных растворов</w:t>
      </w:r>
    </w:p>
    <w:p w14:paraId="7E2BD717" w14:textId="77777777" w:rsidR="0000369C" w:rsidRPr="00CC66C1" w:rsidRDefault="0000369C" w:rsidP="0000369C">
      <w:pPr>
        <w:ind w:firstLine="709"/>
        <w:rPr>
          <w:rFonts w:cs="Times New Roman"/>
          <w:szCs w:val="24"/>
        </w:rPr>
      </w:pPr>
      <w:r w:rsidRPr="00CC66C1">
        <w:rPr>
          <w:rFonts w:cs="Times New Roman"/>
          <w:szCs w:val="24"/>
        </w:rPr>
        <w:t xml:space="preserve">Кристаллоиды и коллоиды – два основных типа растворов, которые используются для ИТ в медицине. Кристаллоиды – это растворы солей и глюкозы, которые могут легко премещаться за пределы сосудистого русла посредством диффузии в отличие от коллоидов, представляющие собой растворы крупных молекул (гидроксиэтилкрахмала (ГЭК), альбумина), благодаря которым после инфузии преимущественно остаются в русле и увеличивают коллоидно-осмотическое давление, тем самым удерживая жидкость в просвете сосуда. Однако коллоидные растворы (в частности растворы ГЭК первого и второго поколения) обладают более широким спектром побочных эффектов: нефротоксичность, способность вызывать гипокоагуляцию. Поэтому высокая способность удерживать жидкость в сосудистом русле в сочетании с потенциальной опасностью у коллоидов против низкой коллоидно-осмотической способности и относительной безопасности кристаллоидов являются предметом спора в выборе наилучшего типа раствора для инфузии. Но коллоиды и кристаллоиды не являются взаимоисключающими растворами, а используются в </w:t>
      </w:r>
      <w:r w:rsidRPr="00CC66C1">
        <w:rPr>
          <w:rFonts w:cs="Times New Roman"/>
          <w:szCs w:val="24"/>
        </w:rPr>
        <w:lastRenderedPageBreak/>
        <w:t xml:space="preserve">различных клинических ситуациях. Преимущественно для поддерживающей ИТ и при коррекции </w:t>
      </w:r>
      <w:r w:rsidRPr="00CC66C1">
        <w:rPr>
          <w:rFonts w:cs="Times New Roman"/>
          <w:i/>
          <w:szCs w:val="24"/>
        </w:rPr>
        <w:t>дегидратации</w:t>
      </w:r>
      <w:r w:rsidRPr="00CC66C1">
        <w:rPr>
          <w:rFonts w:cs="Times New Roman"/>
          <w:szCs w:val="24"/>
        </w:rPr>
        <w:t xml:space="preserve"> в результате потери жидкости с перспирацией, лихорадкой, диареей, когда обезвоживаются все жидкостные пространства организма (сосудистое русло, интерстиций, внутриклеточная жидкость) используют сбалансированные кристаллоидные растворы. В экстренных ситуациях, например при массивном кровотечении (</w:t>
      </w:r>
      <w:r w:rsidRPr="00CC66C1">
        <w:rPr>
          <w:rFonts w:cs="Times New Roman"/>
          <w:i/>
          <w:szCs w:val="24"/>
        </w:rPr>
        <w:t>гиповолемия</w:t>
      </w:r>
      <w:r w:rsidRPr="00CC66C1">
        <w:rPr>
          <w:rFonts w:cs="Times New Roman"/>
          <w:szCs w:val="24"/>
        </w:rPr>
        <w:t>), когда требуется быстрое восполнение объема циркулирующей крови для поддержания гемодинамики и, соответственно, доставки кислорода тканям, используют комбинацию коллоидных и кристаллоидных растворов.</w:t>
      </w:r>
    </w:p>
    <w:p w14:paraId="72E777C0" w14:textId="0C2543B5" w:rsidR="0000369C" w:rsidRPr="00CC66C1" w:rsidRDefault="0000369C" w:rsidP="0000369C">
      <w:pPr>
        <w:ind w:firstLine="709"/>
        <w:rPr>
          <w:rFonts w:cs="Times New Roman"/>
          <w:szCs w:val="24"/>
        </w:rPr>
      </w:pPr>
      <w:r w:rsidRPr="00CC66C1">
        <w:rPr>
          <w:rFonts w:cs="Times New Roman"/>
          <w:i/>
          <w:szCs w:val="24"/>
        </w:rPr>
        <w:t xml:space="preserve">Изотонический 0,9% раствор натрия хлорида (0,9% </w:t>
      </w:r>
      <w:r w:rsidRPr="00CC66C1">
        <w:rPr>
          <w:rFonts w:cs="Times New Roman"/>
          <w:i/>
          <w:szCs w:val="24"/>
          <w:lang w:val="en-US"/>
        </w:rPr>
        <w:t>NaCl</w:t>
      </w:r>
      <w:r w:rsidRPr="00CC66C1">
        <w:rPr>
          <w:rFonts w:cs="Times New Roman"/>
          <w:i/>
          <w:szCs w:val="24"/>
        </w:rPr>
        <w:t>),</w:t>
      </w:r>
      <w:r w:rsidRPr="00CC66C1">
        <w:rPr>
          <w:rFonts w:cs="Times New Roman"/>
          <w:szCs w:val="24"/>
        </w:rPr>
        <w:t xml:space="preserve"> который исторически принято было называть физиологическим, таковым не является. Это связано с его высокой концентрацией ионов натрия 154 ммоль/л и хлорида 154 ммоль/л, что выше, чем в плазме здорового человека (см. таб. 1), и с отсутствием буфера. Поэтому инфузия изотонического раствора хлорида натрия может привести к гиперхлоремическому метаболическому ацидозу с развитием хлорид-индуцированного спазма почечных капилляров с последующей острой почечной недостаточностью</w:t>
      </w:r>
      <w:r w:rsidRPr="0048699E">
        <w:rPr>
          <w:rFonts w:cs="Times New Roman"/>
          <w:szCs w:val="24"/>
        </w:rPr>
        <w:t xml:space="preserve"> </w:t>
      </w:r>
      <w:r w:rsidRPr="00CC66C1">
        <w:rPr>
          <w:rFonts w:cs="Times New Roman"/>
          <w:szCs w:val="24"/>
        </w:rPr>
        <w:fldChar w:fldCharType="begin" w:fldLock="1"/>
      </w:r>
      <w:r w:rsidR="001C46FD">
        <w:rPr>
          <w:rFonts w:cs="Times New Roman"/>
          <w:szCs w:val="24"/>
        </w:rPr>
        <w:instrText>ADDIN CSL_CITATION {"citationItems":[{"id":"ITEM-1","itemData":{"DOI":"10.1001/jama.2015.12334","ISSN":"15383598","abstract":"IMPORTANCE: Saline (0.9% sodium chloride) is the most commonly administered intravenous fluid; however, its use may be associated with acute kidney injury (AKI) and increased mortality. OBJECTIVE: To determine the effect of a buffered crystalloid compared with saline on renal complications in patients admitted to the intensive care unit (ICU). DESIGN AND SETTING: Double-blind, cluster randomized, double-crossover trial conducted in 4 ICUs in New Zealand from April 2014 through October 2014. Three ICUs were general medical and surgical ICUs; 1ICU had a predominance of cardiothoracic and vascular surgical patients. PARTICIPANTS: All patients admitted to the ICU requiring crystalloid fluid therapy were eligible for inclusion. Patients with established AKI requiring renal replacement therapy (RRT) were excluded. All 2278 eligible patients were enrolled; 1152 of 1162 patients (99.1%) receiving buffered crystalloid and 1110 of 1116 patients (99.5%) receiving saline were analyzed. INTERVENTIONS: Participating ICUs were assigned a masked study fluid, either saline or a buffered crystalloid, for alternating 7-week treatment blocks. Two ICUs commenced using 1 fluid and the other 2 commenced using the alternative fluid. Two crossovers occurred so that each ICU used each fluid twice over the 28 weeks of the study. The treating clinician determined the rate and frequency of fluid administration. MAIN OUTCOMES AND MEASURES: The primary outcome was proportion of patients with AKI (defined as a rise in serum creatinine level of at least 2-fold or a serum creatinine level of ≥3.96 mg/dL with an increase of ≥0.5 mg/dL); main secondary outcomes were incidence of RRT use and in-hospital mortality. RESULTS: In the buffered crystalloid group, 102 of 1067 patients (9.6%) developed AKI within 90 days after enrollment compared with 94 of 1025 patients (9.2%) in the saline group (absolute difference, 0.4% [95% CI, -2.1% to 2.9%]; relative risk [RR], 1.04 [95% CI, 0.80 to 1.36]; P =.77). In the buffered crystalloid group, RRT was used in 38 of 1152 patients (3.3%) compared with 38 of 1110 patients (3.4%) in the saline group (absolute difference, -0.1% [95% CI, -1.6% to 1.4%]; RR, 0.96 [95% CI, 0.62 to 1.50]; P =.91). Overall, 87 of 1152 patients (7.6%) in the buffered crystalloid group and 95 of 1110 patients (8.6%) in the saline group died in the hospital (absolute difference, -1.0% [95% CI, -3.3% to 1.2%]; RR, 0.88 [95% CI, 0.67 to 1.17]; P=.40). CONCLUSIONS AND RELEVANCE: Amon…","author":[{"dropping-particle":"","family":"Young","given":"Paul","non-dropping-particle":"","parse-names":false,"suffix":""},{"dropping-particle":"","family":"Bailey","given":"Michael","non-dropping-particle":"","parse-names":false,"suffix":""},{"dropping-particle":"","family":"Beasley","given":"Richard","non-dropping-particle":"","parse-names":false,"suffix":""},{"dropping-particle":"","family":"Henderson","given":"Seton","non-dropping-particle":"","parse-names":false,"suffix":""},{"dropping-particle":"","family":"Mackle","given":"Diane","non-dropping-particle":"","parse-names":false,"suffix":""},{"dropping-particle":"","family":"McArthur","given":"Colin","non-dropping-particle":"","parse-names":false,"suffix":""},{"dropping-particle":"","family":"McGuinness","given":"Shay","non-dropping-particle":"","parse-names":false,"suffix":""},{"dropping-particle":"","family":"Mehrtens","given":"Jan","non-dropping-particle":"","parse-names":false,"suffix":""},{"dropping-particle":"","family":"Myburgh","given":"John","non-dropping-particle":"","parse-names":false,"suffix":""},{"dropping-particle":"","family":"Psirides","given":"Alex","non-dropping-particle":"","parse-names":false,"suffix":""},{"dropping-particle":"","family":"Reddy","given":"Sumeet","non-dropping-particle":"","parse-names":false,"suffix":""},{"dropping-particle":"","family":"Bellomo","given":"Rinaldo","non-dropping-particle":"","parse-names":false,"suffix":""},{"dropping-particle":"","family":"Hunt","given":"Anna","non-dropping-particle":"","parse-names":false,"suffix":""},{"dropping-particle":"","family":"Hurford","given":"Sally","non-dropping-particle":"","parse-names":false,"suffix":""},{"dropping-particle":"","family":"Navarra","given":"Leanlove","non-dropping-particle":"","parse-names":false,"suffix":""},{"dropping-particle":"","family":"Jason-Smith","given":"Adelaide","non-dropping-particle":"","parse-names":false,"suffix":""},{"dropping-particle":"","family":"Andrews","given":"Lynn","non-dropping-particle":"","parse-names":false,"suffix":""},{"dropping-particle":"","family":"Hitchings","given":"Louise","non-dropping-particle":"","parse-names":false,"suffix":""},{"dropping-particle":"","family":"Closey","given":"David","non-dropping-particle":"","parse-names":false,"suffix":""},{"dropping-particle":"","family":"Parker","given":"Kim","non-dropping-particle":"","parse-names":false,"suffix":""},{"dropping-particle":"","family":"Minto","given":"Emmeline","non-dropping-particle":"","parse-names":false,"suffix":""},{"dropping-particle":"","family":"Morris","given":"Anna","non-dropping-particle":"","parse-names":false,"suffix":""},{"dropping-particle":"","family":"McConnochie","given":"Rachael","non-dropping-particle":"","parse-names":false,"suffix":""},{"dropping-particle":"","family":"Chen","given":"Yan","non-dropping-particle":"","parse-names":false,"suffix":""},{"dropping-particle":"","family":"Newby","given":"Lynette","non-dropping-particle":"","parse-names":false,"suffix":""},{"dropping-particle":"","family":"Parke","given":"Rachael","non-dropping-particle":"","parse-names":false,"suffix":""},{"dropping-particle":"","family":"McCarthy","given":"Lianne","non-dropping-particle":"","parse-names":false,"suffix":""},{"dropping-particle":"","family":"Gilder","given":"Eileen","non-dropping-particle":"","parse-names":false,"suffix":""},{"dropping-particle":"","family":"Lammert","given":"Andrea","non-dropping-particle":"","parse-names":false,"suffix":""},{"dropping-particle":"","family":"Long","given":"Stephanie","non-dropping-particle":"","parse-names":false,"suffix":""},{"dropping-particle":"","family":"Cowdrey","given":"Keri Anne","non-dropping-particle":"","parse-names":false,"suffix":""},{"dropping-particle":"","family":"Perner","given":"Anders","non-dropping-particle":"","parse-names":false,"suffix":""},{"dropping-particle":"","family":"Morgan","given":"John","non-dropping-particle":"","parse-names":false,"suffix":""},{"dropping-particle":"","family":"Forbes","given":"Andrew","non-dropping-particle":"","parse-names":false,"suffix":""}],"container-title":"JAMA - Journal of the American Medical Association","id":"ITEM-1","issue":"16","issued":{"date-parts":[["2015","10"]]},"page":"1701-1710","publisher":"American Medical Association","title":"Effect of a buffered crystalloid solution vs saline on acute kidney injury among patients in the intensive care unit: The SPLIT randomized clinical trial","type":"article-journal","volume":"314"},"uris":["http://www.mendeley.com/documents/?uuid=2c88c5d9-bfcc-3520-b6bd-db50c835be5e","http://www.mendeley.com/documents/?uuid=14481e58-7f37-4980-972f-c16576e0318f"]}],"mendeley":{"formattedCitation":"[128]","plainTextFormattedCitation":"[128]","previouslyFormattedCitation":"[128]"},"properties":{"noteIndex":0},"schema":"https://github.com/citation-style-language/schema/raw/master/csl-citation.json"}</w:instrText>
      </w:r>
      <w:r w:rsidRPr="00CC66C1">
        <w:rPr>
          <w:rFonts w:cs="Times New Roman"/>
          <w:szCs w:val="24"/>
        </w:rPr>
        <w:fldChar w:fldCharType="end"/>
      </w:r>
      <w:r w:rsidR="008139EA">
        <w:rPr>
          <w:rFonts w:cs="Times New Roman"/>
          <w:szCs w:val="24"/>
        </w:rPr>
        <w:t>[128][128]</w:t>
      </w:r>
      <w:r w:rsidR="001C46FD">
        <w:rPr>
          <w:rFonts w:cs="Times New Roman"/>
          <w:szCs w:val="24"/>
        </w:rPr>
        <w:t>[128]</w:t>
      </w:r>
      <w:r>
        <w:rPr>
          <w:rFonts w:cs="Times New Roman"/>
          <w:szCs w:val="24"/>
        </w:rPr>
        <w:t>[128][1]</w:t>
      </w:r>
      <w:r w:rsidRPr="00CC66C1">
        <w:rPr>
          <w:rFonts w:cs="Times New Roman"/>
          <w:szCs w:val="24"/>
        </w:rPr>
        <w:t xml:space="preserve">. </w:t>
      </w:r>
    </w:p>
    <w:p w14:paraId="34E9FE42" w14:textId="77777777" w:rsidR="0000369C" w:rsidRPr="00CC66C1" w:rsidRDefault="0000369C" w:rsidP="0000369C">
      <w:pPr>
        <w:ind w:firstLine="709"/>
        <w:rPr>
          <w:rFonts w:cs="Times New Roman"/>
          <w:szCs w:val="24"/>
        </w:rPr>
      </w:pPr>
      <w:r w:rsidRPr="00CC66C1">
        <w:rPr>
          <w:rFonts w:cs="Times New Roman"/>
          <w:szCs w:val="24"/>
        </w:rPr>
        <w:t xml:space="preserve">Введение 1000 мл 0,9% натрия хлорида увеличивает объем плазмы на 275 мл, а интерстициальной жидкости на 875 мл,  суммарно 1100 мл  (на 100 мл больше за счет диффузии воды из внутриклеточного пространства в интерстиций под действием концентрационного градиента, который создается ионами </w:t>
      </w:r>
      <w:r w:rsidRPr="00CC66C1">
        <w:rPr>
          <w:rFonts w:cs="Times New Roman"/>
          <w:szCs w:val="24"/>
          <w:lang w:val="en-US"/>
        </w:rPr>
        <w:t>Na</w:t>
      </w:r>
      <w:r w:rsidRPr="00CC66C1">
        <w:rPr>
          <w:rFonts w:cs="Times New Roman"/>
          <w:szCs w:val="24"/>
        </w:rPr>
        <w:t xml:space="preserve">).   Принимая во внимание побочные эффекты, следует избегать использования 0,9% </w:t>
      </w:r>
      <w:r w:rsidRPr="00CC66C1">
        <w:rPr>
          <w:rFonts w:cs="Times New Roman"/>
          <w:szCs w:val="24"/>
          <w:lang w:val="en-US"/>
        </w:rPr>
        <w:t>NaCl</w:t>
      </w:r>
      <w:r w:rsidRPr="00CC66C1">
        <w:rPr>
          <w:rFonts w:cs="Times New Roman"/>
          <w:szCs w:val="24"/>
        </w:rPr>
        <w:t xml:space="preserve"> для ИТ и применять его в качестве растворителя для фармакологических препаратов. </w:t>
      </w:r>
    </w:p>
    <w:p w14:paraId="0FCBE70C" w14:textId="77777777" w:rsidR="0000369C" w:rsidRPr="00CC66C1" w:rsidRDefault="0000369C" w:rsidP="0000369C">
      <w:pPr>
        <w:ind w:firstLine="709"/>
        <w:rPr>
          <w:rFonts w:cs="Times New Roman"/>
          <w:szCs w:val="24"/>
        </w:rPr>
      </w:pPr>
      <w:r w:rsidRPr="00CC66C1">
        <w:rPr>
          <w:rFonts w:cs="Times New Roman"/>
          <w:i/>
          <w:szCs w:val="24"/>
        </w:rPr>
        <w:t>Сбалансированные кристаллоидные растворы (Стерофундин, Плазмалит, Рингер-лактат (таб.1))</w:t>
      </w:r>
      <w:r w:rsidRPr="00CC66C1">
        <w:rPr>
          <w:rFonts w:cs="Times New Roman"/>
          <w:szCs w:val="24"/>
        </w:rPr>
        <w:t xml:space="preserve"> обладают меньшим количеством побочных эффектов за счет снижения концентрации ионов натрия и добавления буфера в раствор, что частично решает проблемы периферических отеков: низкая концентрация ионов натрия в растворе не создает градиент для диффузии воды из внутриклеточного пространства, как это происходит при использовании 0,9% натрия хлорида, а находящийся в растворе  буфер предотвращает развитие ацидоза. Однако раствор Рингер-лактата</w:t>
      </w:r>
      <w:r w:rsidRPr="00CC66C1">
        <w:rPr>
          <w:rFonts w:cs="Times New Roman"/>
          <w:i/>
          <w:szCs w:val="24"/>
        </w:rPr>
        <w:t xml:space="preserve"> </w:t>
      </w:r>
      <w:r w:rsidRPr="00CC66C1">
        <w:rPr>
          <w:rFonts w:cs="Times New Roman"/>
          <w:szCs w:val="24"/>
        </w:rPr>
        <w:t xml:space="preserve">является гипоосмолярным – 256 ммоль/л, что делает его непригодным для использования у пациентов с отеком головного мозга. В настоящее время раствор Рингер-лактата успешно применяется для коррекции гипернатриемии, инфузионной терапии во время лечения сепсиса, панкреатита и др. </w:t>
      </w:r>
    </w:p>
    <w:p w14:paraId="1C6B6C43" w14:textId="77777777" w:rsidR="0000369C" w:rsidRPr="00CC66C1" w:rsidRDefault="0000369C" w:rsidP="0000369C">
      <w:pPr>
        <w:ind w:firstLine="709"/>
        <w:rPr>
          <w:rFonts w:cs="Times New Roman"/>
          <w:szCs w:val="24"/>
        </w:rPr>
      </w:pPr>
      <w:r w:rsidRPr="00CC66C1">
        <w:rPr>
          <w:rFonts w:cs="Times New Roman"/>
          <w:szCs w:val="24"/>
        </w:rPr>
        <w:t xml:space="preserve">Следует помнить, что у пациентов с циркуляторным шоком (тканевой гипоксией) и с заболеваниями печени лактат из раствора не будет метаболизироваться </w:t>
      </w:r>
      <w:r w:rsidRPr="00CC66C1">
        <w:rPr>
          <w:rFonts w:cs="Times New Roman"/>
          <w:szCs w:val="24"/>
        </w:rPr>
        <w:lastRenderedPageBreak/>
        <w:t xml:space="preserve">в анаэробных условиях до бикарбоната, что может приводить к гиперлактатаемии. Следует ограничивать проведение ИТ раствором Рингер-лактата у пациентов с циркуляторным шоком. Необходимо с осторожностью использовать раствор Рингер – Лактата для разведения эритроцитарной массы, так как находящийся в растворе кальций может связать цитрат (антикоагулянт для компонентов крови) и вызвать образование сгустков крови в пакете с компонентами крови.  </w:t>
      </w:r>
    </w:p>
    <w:p w14:paraId="602502F5" w14:textId="77777777" w:rsidR="0000369C" w:rsidRPr="00CC66C1" w:rsidRDefault="0000369C" w:rsidP="0000369C">
      <w:pPr>
        <w:ind w:firstLine="708"/>
        <w:rPr>
          <w:rFonts w:cs="Times New Roman"/>
          <w:szCs w:val="24"/>
        </w:rPr>
      </w:pPr>
      <w:r w:rsidRPr="00CC66C1">
        <w:rPr>
          <w:rFonts w:cs="Times New Roman"/>
          <w:szCs w:val="24"/>
        </w:rPr>
        <w:t xml:space="preserve">Современные растворы, такие как </w:t>
      </w:r>
      <w:r w:rsidRPr="00CC66C1">
        <w:rPr>
          <w:rFonts w:cs="Times New Roman"/>
          <w:i/>
          <w:szCs w:val="24"/>
        </w:rPr>
        <w:t>Стерофундин, Плазмалит</w:t>
      </w:r>
      <w:r w:rsidRPr="00CC66C1">
        <w:rPr>
          <w:rFonts w:cs="Times New Roman"/>
          <w:szCs w:val="24"/>
        </w:rPr>
        <w:t xml:space="preserve"> и др.,  содержат в себе меньшую концентрацию кальция за счет добавления ионов магния, а в качестве буфера – ацетат. Таким образом, у этих растворов также имеется ряд преимуществ перед изотоническим раствором натрия и раствором Рингер-лактат: более низкая концентрация хлорида уменьшает риск развития гиперхлоремического ацидоза, а применение ацетата в качестве буфера дает возможность применять эти растворы у больных с печеночной недостаточностью и циркуляторным шоком без риска ятрогенной гиперлактатемии. Эти растворы также подходят для проведения регидратации при снижении объема жидкости при диареи, рвоте, лихорадке. </w:t>
      </w:r>
    </w:p>
    <w:p w14:paraId="06EF48D3" w14:textId="77777777" w:rsidR="0000369C" w:rsidRPr="00CC66C1" w:rsidRDefault="0000369C" w:rsidP="0000369C">
      <w:pPr>
        <w:ind w:firstLine="709"/>
        <w:rPr>
          <w:rFonts w:cs="Times New Roman"/>
          <w:szCs w:val="24"/>
        </w:rPr>
      </w:pPr>
      <w:r w:rsidRPr="00CC66C1">
        <w:rPr>
          <w:rFonts w:cs="Times New Roman"/>
          <w:szCs w:val="24"/>
        </w:rPr>
        <w:t xml:space="preserve">Не рекомендуется использование изотонического раствора  натрия хлорида у пациентов с гиперкалиемией и почечной недостаточностью (например, при синдроме лизиса опухоли) вместо сбалансированных кристаллоидных растворов, несмотря на наличие в составе последних ионов калия, так как ацидоз, возникающий при использовании 0,9% раствора натрия хлорида, может усугубить гиперкалиемию за счет трансклеточного сдвига калия, который происходит для поддержания электронейтральности плазмы во время ацидоза. Введение же сбалансированного кристаллоидного инфузионного раствора с концентрацией калия 4 ммоль/л больному с гиперкалиемией будет уменьшать концентрацию калия в сторону значения концентрации калия в вводимом растворе.     </w:t>
      </w:r>
    </w:p>
    <w:p w14:paraId="24C975A2" w14:textId="77777777" w:rsidR="0000369C" w:rsidRPr="00CC66C1" w:rsidRDefault="0000369C" w:rsidP="0000369C">
      <w:pPr>
        <w:ind w:firstLine="709"/>
        <w:rPr>
          <w:rFonts w:cs="Times New Roman"/>
          <w:szCs w:val="24"/>
        </w:rPr>
      </w:pPr>
      <w:r w:rsidRPr="00CC66C1">
        <w:rPr>
          <w:rFonts w:cs="Times New Roman"/>
          <w:szCs w:val="24"/>
        </w:rPr>
        <w:t xml:space="preserve">Растворы глюкозы в настоящее время для инфузионной терапии практически не применяются. Это связано как с побочными эффектами – гипергликемия  и повышение концентрации лактата крови, так и с низкой волемической активностью 5% раствора глюкозы: при инфузии 1000 мл 5% раствора глюкозы только 100 мл остается в сосудистом русле, объем жидкости в интерстициальном пространстве увеличивается на 250 мл, 650 мл раствора перемещается во внутриклеточное пространство. </w:t>
      </w:r>
    </w:p>
    <w:p w14:paraId="5FB29D6B" w14:textId="77777777" w:rsidR="0000369C" w:rsidRDefault="0000369C" w:rsidP="0000369C">
      <w:pPr>
        <w:ind w:firstLine="709"/>
        <w:rPr>
          <w:rFonts w:cs="Times New Roman"/>
          <w:szCs w:val="24"/>
        </w:rPr>
      </w:pPr>
    </w:p>
    <w:p w14:paraId="624DFC58" w14:textId="77777777" w:rsidR="0000369C" w:rsidRPr="00CC66C1" w:rsidRDefault="0000369C" w:rsidP="0000369C">
      <w:pPr>
        <w:ind w:firstLine="709"/>
        <w:rPr>
          <w:rFonts w:cs="Times New Roman"/>
          <w:szCs w:val="24"/>
        </w:rPr>
      </w:pPr>
      <w:r w:rsidRPr="00CC66C1">
        <w:rPr>
          <w:rFonts w:cs="Times New Roman"/>
          <w:szCs w:val="24"/>
        </w:rPr>
        <w:t>Таблица 1. Кристаллоидные растворы</w:t>
      </w:r>
    </w:p>
    <w:tbl>
      <w:tblPr>
        <w:tblStyle w:val="aff9"/>
        <w:tblW w:w="0" w:type="auto"/>
        <w:tblLook w:val="04A0" w:firstRow="1" w:lastRow="0" w:firstColumn="1" w:lastColumn="0" w:noHBand="0" w:noVBand="1"/>
      </w:tblPr>
      <w:tblGrid>
        <w:gridCol w:w="1874"/>
        <w:gridCol w:w="1755"/>
        <w:gridCol w:w="1704"/>
        <w:gridCol w:w="1761"/>
        <w:gridCol w:w="1827"/>
      </w:tblGrid>
      <w:tr w:rsidR="0000369C" w:rsidRPr="00CC66C1" w14:paraId="4E7F8F4F" w14:textId="77777777" w:rsidTr="001C46FD">
        <w:tc>
          <w:tcPr>
            <w:tcW w:w="1914" w:type="dxa"/>
          </w:tcPr>
          <w:p w14:paraId="64D69A14" w14:textId="77777777" w:rsidR="0000369C" w:rsidRPr="00CC66C1" w:rsidRDefault="0000369C" w:rsidP="001C46FD">
            <w:pPr>
              <w:jc w:val="center"/>
              <w:rPr>
                <w:rFonts w:cs="Times New Roman"/>
                <w:b/>
                <w:szCs w:val="24"/>
              </w:rPr>
            </w:pPr>
            <w:r w:rsidRPr="00CC66C1">
              <w:rPr>
                <w:rFonts w:cs="Times New Roman"/>
                <w:b/>
                <w:szCs w:val="24"/>
              </w:rPr>
              <w:t>Компоненты</w:t>
            </w:r>
          </w:p>
        </w:tc>
        <w:tc>
          <w:tcPr>
            <w:tcW w:w="1914" w:type="dxa"/>
          </w:tcPr>
          <w:p w14:paraId="17E1D081" w14:textId="77777777" w:rsidR="0000369C" w:rsidRPr="00CC66C1" w:rsidRDefault="0000369C" w:rsidP="001C46FD">
            <w:pPr>
              <w:jc w:val="center"/>
              <w:rPr>
                <w:rFonts w:cs="Times New Roman"/>
                <w:b/>
                <w:szCs w:val="24"/>
              </w:rPr>
            </w:pPr>
            <w:r w:rsidRPr="00CC66C1">
              <w:rPr>
                <w:rFonts w:cs="Times New Roman"/>
                <w:b/>
                <w:szCs w:val="24"/>
              </w:rPr>
              <w:t>Плазма</w:t>
            </w:r>
          </w:p>
        </w:tc>
        <w:tc>
          <w:tcPr>
            <w:tcW w:w="1914" w:type="dxa"/>
          </w:tcPr>
          <w:p w14:paraId="4D08932B" w14:textId="77777777" w:rsidR="0000369C" w:rsidRPr="00CC66C1" w:rsidRDefault="0000369C" w:rsidP="001C46FD">
            <w:pPr>
              <w:jc w:val="center"/>
              <w:rPr>
                <w:rFonts w:cs="Times New Roman"/>
                <w:b/>
                <w:szCs w:val="24"/>
                <w:lang w:val="en-US"/>
              </w:rPr>
            </w:pPr>
            <w:r w:rsidRPr="00CC66C1">
              <w:rPr>
                <w:rFonts w:cs="Times New Roman"/>
                <w:b/>
                <w:szCs w:val="24"/>
              </w:rPr>
              <w:t xml:space="preserve">0,9% </w:t>
            </w:r>
            <w:r w:rsidRPr="00CC66C1">
              <w:rPr>
                <w:rFonts w:cs="Times New Roman"/>
                <w:b/>
                <w:szCs w:val="24"/>
                <w:lang w:val="en-US"/>
              </w:rPr>
              <w:t>NaCl</w:t>
            </w:r>
          </w:p>
        </w:tc>
        <w:tc>
          <w:tcPr>
            <w:tcW w:w="1914" w:type="dxa"/>
          </w:tcPr>
          <w:p w14:paraId="5D02BC33" w14:textId="77777777" w:rsidR="0000369C" w:rsidRPr="00CC66C1" w:rsidRDefault="0000369C" w:rsidP="001C46FD">
            <w:pPr>
              <w:jc w:val="center"/>
              <w:rPr>
                <w:rFonts w:cs="Times New Roman"/>
                <w:b/>
                <w:szCs w:val="24"/>
              </w:rPr>
            </w:pPr>
            <w:r w:rsidRPr="00CC66C1">
              <w:rPr>
                <w:rFonts w:cs="Times New Roman"/>
                <w:b/>
                <w:szCs w:val="24"/>
              </w:rPr>
              <w:t>Рингер-лактат</w:t>
            </w:r>
          </w:p>
        </w:tc>
        <w:tc>
          <w:tcPr>
            <w:tcW w:w="1915" w:type="dxa"/>
          </w:tcPr>
          <w:p w14:paraId="4CFAD9BA" w14:textId="77777777" w:rsidR="0000369C" w:rsidRPr="00CC66C1" w:rsidRDefault="0000369C" w:rsidP="001C46FD">
            <w:pPr>
              <w:jc w:val="center"/>
              <w:rPr>
                <w:rFonts w:cs="Times New Roman"/>
                <w:b/>
                <w:szCs w:val="24"/>
              </w:rPr>
            </w:pPr>
            <w:r w:rsidRPr="00CC66C1">
              <w:rPr>
                <w:rFonts w:cs="Times New Roman"/>
                <w:b/>
                <w:szCs w:val="24"/>
              </w:rPr>
              <w:t>Плазмалит</w:t>
            </w:r>
          </w:p>
        </w:tc>
      </w:tr>
      <w:tr w:rsidR="0000369C" w:rsidRPr="00CC66C1" w14:paraId="67862239" w14:textId="77777777" w:rsidTr="001C46FD">
        <w:tc>
          <w:tcPr>
            <w:tcW w:w="1914" w:type="dxa"/>
          </w:tcPr>
          <w:p w14:paraId="0EA9A245" w14:textId="77777777" w:rsidR="0000369C" w:rsidRPr="00CC66C1" w:rsidRDefault="0000369C" w:rsidP="001C46FD">
            <w:pPr>
              <w:jc w:val="center"/>
              <w:rPr>
                <w:rFonts w:cs="Times New Roman"/>
                <w:szCs w:val="24"/>
              </w:rPr>
            </w:pPr>
            <w:r w:rsidRPr="00CC66C1">
              <w:rPr>
                <w:rFonts w:cs="Times New Roman"/>
                <w:szCs w:val="24"/>
              </w:rPr>
              <w:lastRenderedPageBreak/>
              <w:t>Натрий (ммоль/л)</w:t>
            </w:r>
          </w:p>
        </w:tc>
        <w:tc>
          <w:tcPr>
            <w:tcW w:w="1914" w:type="dxa"/>
          </w:tcPr>
          <w:p w14:paraId="1CC2D901" w14:textId="77777777" w:rsidR="0000369C" w:rsidRPr="00CC66C1" w:rsidRDefault="0000369C" w:rsidP="001C46FD">
            <w:pPr>
              <w:jc w:val="center"/>
              <w:rPr>
                <w:rFonts w:cs="Times New Roman"/>
                <w:szCs w:val="24"/>
              </w:rPr>
            </w:pPr>
            <w:r w:rsidRPr="00CC66C1">
              <w:rPr>
                <w:rFonts w:cs="Times New Roman"/>
                <w:szCs w:val="24"/>
              </w:rPr>
              <w:t>135-145</w:t>
            </w:r>
          </w:p>
        </w:tc>
        <w:tc>
          <w:tcPr>
            <w:tcW w:w="1914" w:type="dxa"/>
          </w:tcPr>
          <w:p w14:paraId="7A0BCE15" w14:textId="77777777" w:rsidR="0000369C" w:rsidRPr="00CC66C1" w:rsidRDefault="0000369C" w:rsidP="001C46FD">
            <w:pPr>
              <w:jc w:val="center"/>
              <w:rPr>
                <w:rFonts w:cs="Times New Roman"/>
                <w:szCs w:val="24"/>
                <w:lang w:val="en-US"/>
              </w:rPr>
            </w:pPr>
            <w:r w:rsidRPr="00CC66C1">
              <w:rPr>
                <w:rFonts w:cs="Times New Roman"/>
                <w:szCs w:val="24"/>
                <w:lang w:val="en-US"/>
              </w:rPr>
              <w:t>154</w:t>
            </w:r>
          </w:p>
        </w:tc>
        <w:tc>
          <w:tcPr>
            <w:tcW w:w="1914" w:type="dxa"/>
          </w:tcPr>
          <w:p w14:paraId="31EDE9DA" w14:textId="77777777" w:rsidR="0000369C" w:rsidRPr="00CC66C1" w:rsidRDefault="0000369C" w:rsidP="001C46FD">
            <w:pPr>
              <w:jc w:val="center"/>
              <w:rPr>
                <w:rFonts w:cs="Times New Roman"/>
                <w:szCs w:val="24"/>
                <w:lang w:val="en-US"/>
              </w:rPr>
            </w:pPr>
            <w:r w:rsidRPr="00CC66C1">
              <w:rPr>
                <w:rFonts w:cs="Times New Roman"/>
                <w:szCs w:val="24"/>
                <w:lang w:val="en-US"/>
              </w:rPr>
              <w:t>130</w:t>
            </w:r>
          </w:p>
        </w:tc>
        <w:tc>
          <w:tcPr>
            <w:tcW w:w="1915" w:type="dxa"/>
          </w:tcPr>
          <w:p w14:paraId="0F310B2B" w14:textId="77777777" w:rsidR="0000369C" w:rsidRPr="00CC66C1" w:rsidRDefault="0000369C" w:rsidP="001C46FD">
            <w:pPr>
              <w:jc w:val="center"/>
              <w:rPr>
                <w:rFonts w:cs="Times New Roman"/>
                <w:szCs w:val="24"/>
              </w:rPr>
            </w:pPr>
            <w:r w:rsidRPr="00CC66C1">
              <w:rPr>
                <w:rFonts w:cs="Times New Roman"/>
                <w:szCs w:val="24"/>
              </w:rPr>
              <w:t>140</w:t>
            </w:r>
          </w:p>
        </w:tc>
      </w:tr>
      <w:tr w:rsidR="0000369C" w:rsidRPr="00CC66C1" w14:paraId="6D371AD3" w14:textId="77777777" w:rsidTr="001C46FD">
        <w:tc>
          <w:tcPr>
            <w:tcW w:w="1914" w:type="dxa"/>
          </w:tcPr>
          <w:p w14:paraId="1FDBC7FD" w14:textId="77777777" w:rsidR="0000369C" w:rsidRPr="00CC66C1" w:rsidRDefault="0000369C" w:rsidP="001C46FD">
            <w:pPr>
              <w:jc w:val="center"/>
              <w:rPr>
                <w:rFonts w:cs="Times New Roman"/>
                <w:szCs w:val="24"/>
              </w:rPr>
            </w:pPr>
            <w:r w:rsidRPr="00CC66C1">
              <w:rPr>
                <w:rFonts w:cs="Times New Roman"/>
                <w:szCs w:val="24"/>
              </w:rPr>
              <w:t>Хлорид (ммоль/л)</w:t>
            </w:r>
          </w:p>
        </w:tc>
        <w:tc>
          <w:tcPr>
            <w:tcW w:w="1914" w:type="dxa"/>
          </w:tcPr>
          <w:p w14:paraId="4D94023C" w14:textId="77777777" w:rsidR="0000369C" w:rsidRPr="00CC66C1" w:rsidRDefault="0000369C" w:rsidP="001C46FD">
            <w:pPr>
              <w:jc w:val="center"/>
              <w:rPr>
                <w:rFonts w:cs="Times New Roman"/>
                <w:szCs w:val="24"/>
              </w:rPr>
            </w:pPr>
            <w:r w:rsidRPr="00CC66C1">
              <w:rPr>
                <w:rFonts w:cs="Times New Roman"/>
                <w:szCs w:val="24"/>
              </w:rPr>
              <w:t>98-106</w:t>
            </w:r>
          </w:p>
        </w:tc>
        <w:tc>
          <w:tcPr>
            <w:tcW w:w="1914" w:type="dxa"/>
          </w:tcPr>
          <w:p w14:paraId="4226A305" w14:textId="77777777" w:rsidR="0000369C" w:rsidRPr="00CC66C1" w:rsidRDefault="0000369C" w:rsidP="001C46FD">
            <w:pPr>
              <w:jc w:val="center"/>
              <w:rPr>
                <w:rFonts w:cs="Times New Roman"/>
                <w:szCs w:val="24"/>
                <w:lang w:val="en-US"/>
              </w:rPr>
            </w:pPr>
            <w:r w:rsidRPr="00CC66C1">
              <w:rPr>
                <w:rFonts w:cs="Times New Roman"/>
                <w:szCs w:val="24"/>
                <w:lang w:val="en-US"/>
              </w:rPr>
              <w:t>154</w:t>
            </w:r>
          </w:p>
        </w:tc>
        <w:tc>
          <w:tcPr>
            <w:tcW w:w="1914" w:type="dxa"/>
          </w:tcPr>
          <w:p w14:paraId="5F48CDE2" w14:textId="77777777" w:rsidR="0000369C" w:rsidRPr="00CC66C1" w:rsidRDefault="0000369C" w:rsidP="001C46FD">
            <w:pPr>
              <w:jc w:val="center"/>
              <w:rPr>
                <w:rFonts w:cs="Times New Roman"/>
                <w:szCs w:val="24"/>
                <w:lang w:val="en-US"/>
              </w:rPr>
            </w:pPr>
            <w:r w:rsidRPr="00CC66C1">
              <w:rPr>
                <w:rFonts w:cs="Times New Roman"/>
                <w:szCs w:val="24"/>
                <w:lang w:val="en-US"/>
              </w:rPr>
              <w:t>109</w:t>
            </w:r>
          </w:p>
        </w:tc>
        <w:tc>
          <w:tcPr>
            <w:tcW w:w="1915" w:type="dxa"/>
          </w:tcPr>
          <w:p w14:paraId="070F337E" w14:textId="77777777" w:rsidR="0000369C" w:rsidRPr="00CC66C1" w:rsidRDefault="0000369C" w:rsidP="001C46FD">
            <w:pPr>
              <w:jc w:val="center"/>
              <w:rPr>
                <w:rFonts w:cs="Times New Roman"/>
                <w:szCs w:val="24"/>
              </w:rPr>
            </w:pPr>
            <w:r w:rsidRPr="00CC66C1">
              <w:rPr>
                <w:rFonts w:cs="Times New Roman"/>
                <w:szCs w:val="24"/>
              </w:rPr>
              <w:t>98</w:t>
            </w:r>
          </w:p>
        </w:tc>
      </w:tr>
      <w:tr w:rsidR="0000369C" w:rsidRPr="00CC66C1" w14:paraId="31CBAF22" w14:textId="77777777" w:rsidTr="001C46FD">
        <w:tc>
          <w:tcPr>
            <w:tcW w:w="1914" w:type="dxa"/>
          </w:tcPr>
          <w:p w14:paraId="760CF760" w14:textId="77777777" w:rsidR="0000369C" w:rsidRPr="00CC66C1" w:rsidRDefault="0000369C" w:rsidP="001C46FD">
            <w:pPr>
              <w:jc w:val="center"/>
              <w:rPr>
                <w:rFonts w:cs="Times New Roman"/>
                <w:szCs w:val="24"/>
              </w:rPr>
            </w:pPr>
            <w:r w:rsidRPr="00CC66C1">
              <w:rPr>
                <w:rFonts w:cs="Times New Roman"/>
                <w:szCs w:val="24"/>
              </w:rPr>
              <w:t>Калий (ммоль/л)</w:t>
            </w:r>
          </w:p>
        </w:tc>
        <w:tc>
          <w:tcPr>
            <w:tcW w:w="1914" w:type="dxa"/>
          </w:tcPr>
          <w:p w14:paraId="6A7B1F46" w14:textId="77777777" w:rsidR="0000369C" w:rsidRPr="00CC66C1" w:rsidRDefault="0000369C" w:rsidP="001C46FD">
            <w:pPr>
              <w:jc w:val="center"/>
              <w:rPr>
                <w:rFonts w:cs="Times New Roman"/>
                <w:szCs w:val="24"/>
              </w:rPr>
            </w:pPr>
            <w:r w:rsidRPr="00CC66C1">
              <w:rPr>
                <w:rFonts w:cs="Times New Roman"/>
                <w:szCs w:val="24"/>
              </w:rPr>
              <w:t>3,5-5,0</w:t>
            </w:r>
          </w:p>
        </w:tc>
        <w:tc>
          <w:tcPr>
            <w:tcW w:w="1914" w:type="dxa"/>
          </w:tcPr>
          <w:p w14:paraId="106BB4F2" w14:textId="77777777" w:rsidR="0000369C" w:rsidRPr="00CC66C1" w:rsidRDefault="0000369C" w:rsidP="001C46FD">
            <w:pPr>
              <w:jc w:val="center"/>
              <w:rPr>
                <w:rFonts w:cs="Times New Roman"/>
                <w:szCs w:val="24"/>
                <w:lang w:val="en-US"/>
              </w:rPr>
            </w:pPr>
            <w:r w:rsidRPr="00CC66C1">
              <w:rPr>
                <w:rFonts w:cs="Times New Roman"/>
                <w:szCs w:val="24"/>
                <w:lang w:val="en-US"/>
              </w:rPr>
              <w:t>-</w:t>
            </w:r>
          </w:p>
        </w:tc>
        <w:tc>
          <w:tcPr>
            <w:tcW w:w="1914" w:type="dxa"/>
          </w:tcPr>
          <w:p w14:paraId="0F096CB4" w14:textId="77777777" w:rsidR="0000369C" w:rsidRPr="00CC66C1" w:rsidRDefault="0000369C" w:rsidP="001C46FD">
            <w:pPr>
              <w:jc w:val="center"/>
              <w:rPr>
                <w:rFonts w:cs="Times New Roman"/>
                <w:szCs w:val="24"/>
                <w:lang w:val="en-US"/>
              </w:rPr>
            </w:pPr>
            <w:r w:rsidRPr="00CC66C1">
              <w:rPr>
                <w:rFonts w:cs="Times New Roman"/>
                <w:szCs w:val="24"/>
                <w:lang w:val="en-US"/>
              </w:rPr>
              <w:t>4</w:t>
            </w:r>
          </w:p>
        </w:tc>
        <w:tc>
          <w:tcPr>
            <w:tcW w:w="1915" w:type="dxa"/>
          </w:tcPr>
          <w:p w14:paraId="779BDF1F" w14:textId="77777777" w:rsidR="0000369C" w:rsidRPr="00CC66C1" w:rsidRDefault="0000369C" w:rsidP="001C46FD">
            <w:pPr>
              <w:jc w:val="center"/>
              <w:rPr>
                <w:rFonts w:cs="Times New Roman"/>
                <w:szCs w:val="24"/>
              </w:rPr>
            </w:pPr>
            <w:r w:rsidRPr="00CC66C1">
              <w:rPr>
                <w:rFonts w:cs="Times New Roman"/>
                <w:szCs w:val="24"/>
              </w:rPr>
              <w:t>5</w:t>
            </w:r>
          </w:p>
        </w:tc>
      </w:tr>
      <w:tr w:rsidR="0000369C" w:rsidRPr="00CC66C1" w14:paraId="2C3F59D6" w14:textId="77777777" w:rsidTr="001C46FD">
        <w:tc>
          <w:tcPr>
            <w:tcW w:w="1914" w:type="dxa"/>
          </w:tcPr>
          <w:p w14:paraId="6E0A8364" w14:textId="77777777" w:rsidR="0000369C" w:rsidRPr="00CC66C1" w:rsidRDefault="0000369C" w:rsidP="001C46FD">
            <w:pPr>
              <w:jc w:val="center"/>
              <w:rPr>
                <w:rFonts w:cs="Times New Roman"/>
                <w:szCs w:val="24"/>
              </w:rPr>
            </w:pPr>
            <w:r w:rsidRPr="00CC66C1">
              <w:rPr>
                <w:rFonts w:cs="Times New Roman"/>
                <w:szCs w:val="24"/>
              </w:rPr>
              <w:t>Кальций (мг/дл)</w:t>
            </w:r>
          </w:p>
        </w:tc>
        <w:tc>
          <w:tcPr>
            <w:tcW w:w="1914" w:type="dxa"/>
          </w:tcPr>
          <w:p w14:paraId="245F7D94" w14:textId="77777777" w:rsidR="0000369C" w:rsidRPr="00CC66C1" w:rsidRDefault="0000369C" w:rsidP="001C46FD">
            <w:pPr>
              <w:jc w:val="center"/>
              <w:rPr>
                <w:rFonts w:cs="Times New Roman"/>
                <w:szCs w:val="24"/>
              </w:rPr>
            </w:pPr>
            <w:r w:rsidRPr="00CC66C1">
              <w:rPr>
                <w:rFonts w:cs="Times New Roman"/>
                <w:szCs w:val="24"/>
              </w:rPr>
              <w:t>3,0-4,5</w:t>
            </w:r>
          </w:p>
        </w:tc>
        <w:tc>
          <w:tcPr>
            <w:tcW w:w="1914" w:type="dxa"/>
          </w:tcPr>
          <w:p w14:paraId="7E61601E" w14:textId="77777777" w:rsidR="0000369C" w:rsidRPr="00CC66C1" w:rsidRDefault="0000369C" w:rsidP="001C46FD">
            <w:pPr>
              <w:jc w:val="center"/>
              <w:rPr>
                <w:rFonts w:cs="Times New Roman"/>
                <w:szCs w:val="24"/>
                <w:lang w:val="en-US"/>
              </w:rPr>
            </w:pPr>
            <w:r w:rsidRPr="00CC66C1">
              <w:rPr>
                <w:rFonts w:cs="Times New Roman"/>
                <w:szCs w:val="24"/>
                <w:lang w:val="en-US"/>
              </w:rPr>
              <w:t>-</w:t>
            </w:r>
          </w:p>
        </w:tc>
        <w:tc>
          <w:tcPr>
            <w:tcW w:w="1914" w:type="dxa"/>
          </w:tcPr>
          <w:p w14:paraId="78B1586E" w14:textId="77777777" w:rsidR="0000369C" w:rsidRPr="00CC66C1" w:rsidRDefault="0000369C" w:rsidP="001C46FD">
            <w:pPr>
              <w:jc w:val="center"/>
              <w:rPr>
                <w:rFonts w:cs="Times New Roman"/>
                <w:szCs w:val="24"/>
                <w:lang w:val="en-US"/>
              </w:rPr>
            </w:pPr>
            <w:r w:rsidRPr="00CC66C1">
              <w:rPr>
                <w:rFonts w:cs="Times New Roman"/>
                <w:szCs w:val="24"/>
                <w:lang w:val="en-US"/>
              </w:rPr>
              <w:t>4</w:t>
            </w:r>
          </w:p>
        </w:tc>
        <w:tc>
          <w:tcPr>
            <w:tcW w:w="1915" w:type="dxa"/>
          </w:tcPr>
          <w:p w14:paraId="469A65C7" w14:textId="77777777" w:rsidR="0000369C" w:rsidRPr="00CC66C1" w:rsidRDefault="0000369C" w:rsidP="001C46FD">
            <w:pPr>
              <w:jc w:val="center"/>
              <w:rPr>
                <w:rFonts w:cs="Times New Roman"/>
                <w:szCs w:val="24"/>
              </w:rPr>
            </w:pPr>
            <w:r w:rsidRPr="00CC66C1">
              <w:rPr>
                <w:rFonts w:cs="Times New Roman"/>
                <w:szCs w:val="24"/>
              </w:rPr>
              <w:t>-</w:t>
            </w:r>
          </w:p>
        </w:tc>
      </w:tr>
      <w:tr w:rsidR="0000369C" w:rsidRPr="00CC66C1" w14:paraId="4CCA99A4" w14:textId="77777777" w:rsidTr="001C46FD">
        <w:tc>
          <w:tcPr>
            <w:tcW w:w="1914" w:type="dxa"/>
          </w:tcPr>
          <w:p w14:paraId="156638B7" w14:textId="77777777" w:rsidR="0000369C" w:rsidRPr="00CC66C1" w:rsidRDefault="0000369C" w:rsidP="001C46FD">
            <w:pPr>
              <w:jc w:val="center"/>
              <w:rPr>
                <w:rFonts w:cs="Times New Roman"/>
                <w:szCs w:val="24"/>
              </w:rPr>
            </w:pPr>
            <w:r w:rsidRPr="00CC66C1">
              <w:rPr>
                <w:rFonts w:cs="Times New Roman"/>
                <w:szCs w:val="24"/>
              </w:rPr>
              <w:t>Магний (ммоль/л)</w:t>
            </w:r>
          </w:p>
        </w:tc>
        <w:tc>
          <w:tcPr>
            <w:tcW w:w="1914" w:type="dxa"/>
          </w:tcPr>
          <w:p w14:paraId="0D9A9362" w14:textId="77777777" w:rsidR="0000369C" w:rsidRPr="00CC66C1" w:rsidRDefault="0000369C" w:rsidP="001C46FD">
            <w:pPr>
              <w:jc w:val="center"/>
              <w:rPr>
                <w:rFonts w:cs="Times New Roman"/>
                <w:szCs w:val="24"/>
              </w:rPr>
            </w:pPr>
            <w:r w:rsidRPr="00CC66C1">
              <w:rPr>
                <w:rFonts w:cs="Times New Roman"/>
                <w:szCs w:val="24"/>
              </w:rPr>
              <w:t>0,7-1,2</w:t>
            </w:r>
          </w:p>
        </w:tc>
        <w:tc>
          <w:tcPr>
            <w:tcW w:w="1914" w:type="dxa"/>
          </w:tcPr>
          <w:p w14:paraId="7E14D457" w14:textId="77777777" w:rsidR="0000369C" w:rsidRPr="00CC66C1" w:rsidRDefault="0000369C" w:rsidP="001C46FD">
            <w:pPr>
              <w:jc w:val="center"/>
              <w:rPr>
                <w:rFonts w:cs="Times New Roman"/>
                <w:szCs w:val="24"/>
                <w:lang w:val="en-US"/>
              </w:rPr>
            </w:pPr>
            <w:r w:rsidRPr="00CC66C1">
              <w:rPr>
                <w:rFonts w:cs="Times New Roman"/>
                <w:szCs w:val="24"/>
                <w:lang w:val="en-US"/>
              </w:rPr>
              <w:t>-</w:t>
            </w:r>
          </w:p>
        </w:tc>
        <w:tc>
          <w:tcPr>
            <w:tcW w:w="1914" w:type="dxa"/>
          </w:tcPr>
          <w:p w14:paraId="00230139" w14:textId="77777777" w:rsidR="0000369C" w:rsidRPr="00CC66C1" w:rsidRDefault="0000369C" w:rsidP="001C46FD">
            <w:pPr>
              <w:jc w:val="center"/>
              <w:rPr>
                <w:rFonts w:cs="Times New Roman"/>
                <w:szCs w:val="24"/>
                <w:lang w:val="en-US"/>
              </w:rPr>
            </w:pPr>
            <w:r w:rsidRPr="00CC66C1">
              <w:rPr>
                <w:rFonts w:cs="Times New Roman"/>
                <w:szCs w:val="24"/>
                <w:lang w:val="en-US"/>
              </w:rPr>
              <w:t>-</w:t>
            </w:r>
          </w:p>
        </w:tc>
        <w:tc>
          <w:tcPr>
            <w:tcW w:w="1915" w:type="dxa"/>
          </w:tcPr>
          <w:p w14:paraId="59F2A5AC" w14:textId="77777777" w:rsidR="0000369C" w:rsidRPr="00CC66C1" w:rsidRDefault="0000369C" w:rsidP="001C46FD">
            <w:pPr>
              <w:jc w:val="center"/>
              <w:rPr>
                <w:rFonts w:cs="Times New Roman"/>
                <w:szCs w:val="24"/>
              </w:rPr>
            </w:pPr>
            <w:r w:rsidRPr="00CC66C1">
              <w:rPr>
                <w:rFonts w:cs="Times New Roman"/>
                <w:szCs w:val="24"/>
              </w:rPr>
              <w:t>3</w:t>
            </w:r>
          </w:p>
        </w:tc>
      </w:tr>
      <w:tr w:rsidR="0000369C" w:rsidRPr="00CC66C1" w14:paraId="12F2866C" w14:textId="77777777" w:rsidTr="001C46FD">
        <w:tc>
          <w:tcPr>
            <w:tcW w:w="1914" w:type="dxa"/>
          </w:tcPr>
          <w:p w14:paraId="13750EDC" w14:textId="77777777" w:rsidR="0000369C" w:rsidRPr="00CC66C1" w:rsidRDefault="0000369C" w:rsidP="001C46FD">
            <w:pPr>
              <w:jc w:val="center"/>
              <w:rPr>
                <w:rFonts w:cs="Times New Roman"/>
                <w:szCs w:val="24"/>
              </w:rPr>
            </w:pPr>
            <w:r w:rsidRPr="00CC66C1">
              <w:rPr>
                <w:rFonts w:cs="Times New Roman"/>
                <w:szCs w:val="24"/>
              </w:rPr>
              <w:t>Буфер (ммоль/л)</w:t>
            </w:r>
          </w:p>
        </w:tc>
        <w:tc>
          <w:tcPr>
            <w:tcW w:w="1914" w:type="dxa"/>
          </w:tcPr>
          <w:p w14:paraId="0CC7BF14" w14:textId="77777777" w:rsidR="0000369C" w:rsidRPr="00CC66C1" w:rsidRDefault="0000369C" w:rsidP="001C46FD">
            <w:pPr>
              <w:jc w:val="center"/>
              <w:rPr>
                <w:rFonts w:cs="Times New Roman"/>
                <w:szCs w:val="24"/>
                <w:vertAlign w:val="subscript"/>
                <w:lang w:val="en-US"/>
              </w:rPr>
            </w:pPr>
            <w:r w:rsidRPr="00CC66C1">
              <w:rPr>
                <w:rFonts w:cs="Times New Roman"/>
                <w:szCs w:val="24"/>
                <w:lang w:val="en-US"/>
              </w:rPr>
              <w:t>HCO</w:t>
            </w:r>
            <w:r w:rsidRPr="00CC66C1">
              <w:rPr>
                <w:rFonts w:cs="Times New Roman"/>
                <w:szCs w:val="24"/>
                <w:vertAlign w:val="superscript"/>
                <w:lang w:val="en-US"/>
              </w:rPr>
              <w:t>-</w:t>
            </w:r>
            <w:r w:rsidRPr="00CC66C1">
              <w:rPr>
                <w:rFonts w:cs="Times New Roman"/>
                <w:szCs w:val="24"/>
                <w:vertAlign w:val="subscript"/>
                <w:lang w:val="en-US"/>
              </w:rPr>
              <w:t>3</w:t>
            </w:r>
          </w:p>
          <w:p w14:paraId="65FA1BBC" w14:textId="77777777" w:rsidR="0000369C" w:rsidRPr="00CC66C1" w:rsidRDefault="0000369C" w:rsidP="001C46FD">
            <w:pPr>
              <w:jc w:val="center"/>
              <w:rPr>
                <w:rFonts w:cs="Times New Roman"/>
                <w:szCs w:val="24"/>
                <w:lang w:val="en-US"/>
              </w:rPr>
            </w:pPr>
            <w:r w:rsidRPr="00CC66C1">
              <w:rPr>
                <w:rFonts w:cs="Times New Roman"/>
                <w:szCs w:val="24"/>
                <w:lang w:val="en-US"/>
              </w:rPr>
              <w:t>(22-28)</w:t>
            </w:r>
          </w:p>
        </w:tc>
        <w:tc>
          <w:tcPr>
            <w:tcW w:w="1914" w:type="dxa"/>
          </w:tcPr>
          <w:p w14:paraId="4706E159" w14:textId="77777777" w:rsidR="0000369C" w:rsidRPr="00CC66C1" w:rsidRDefault="0000369C" w:rsidP="001C46FD">
            <w:pPr>
              <w:jc w:val="center"/>
              <w:rPr>
                <w:rFonts w:cs="Times New Roman"/>
                <w:szCs w:val="24"/>
                <w:lang w:val="en-US"/>
              </w:rPr>
            </w:pPr>
            <w:r w:rsidRPr="00CC66C1">
              <w:rPr>
                <w:rFonts w:cs="Times New Roman"/>
                <w:szCs w:val="24"/>
                <w:lang w:val="en-US"/>
              </w:rPr>
              <w:t>-</w:t>
            </w:r>
          </w:p>
        </w:tc>
        <w:tc>
          <w:tcPr>
            <w:tcW w:w="1914" w:type="dxa"/>
          </w:tcPr>
          <w:p w14:paraId="6DFFFC4E" w14:textId="77777777" w:rsidR="0000369C" w:rsidRPr="00CC66C1" w:rsidRDefault="0000369C" w:rsidP="001C46FD">
            <w:pPr>
              <w:jc w:val="center"/>
              <w:rPr>
                <w:rFonts w:cs="Times New Roman"/>
                <w:szCs w:val="24"/>
              </w:rPr>
            </w:pPr>
            <w:r w:rsidRPr="00CC66C1">
              <w:rPr>
                <w:rFonts w:cs="Times New Roman"/>
                <w:szCs w:val="24"/>
              </w:rPr>
              <w:t>Лактат (28)</w:t>
            </w:r>
          </w:p>
        </w:tc>
        <w:tc>
          <w:tcPr>
            <w:tcW w:w="1915" w:type="dxa"/>
          </w:tcPr>
          <w:p w14:paraId="107F2889" w14:textId="77777777" w:rsidR="0000369C" w:rsidRPr="00CC66C1" w:rsidRDefault="0000369C" w:rsidP="001C46FD">
            <w:pPr>
              <w:jc w:val="center"/>
              <w:rPr>
                <w:rFonts w:cs="Times New Roman"/>
                <w:szCs w:val="24"/>
              </w:rPr>
            </w:pPr>
            <w:r w:rsidRPr="00CC66C1">
              <w:rPr>
                <w:rFonts w:cs="Times New Roman"/>
                <w:szCs w:val="24"/>
              </w:rPr>
              <w:t>Ацетат (27)</w:t>
            </w:r>
          </w:p>
          <w:p w14:paraId="7942CE55" w14:textId="77777777" w:rsidR="0000369C" w:rsidRPr="00CC66C1" w:rsidRDefault="0000369C" w:rsidP="001C46FD">
            <w:pPr>
              <w:jc w:val="center"/>
              <w:rPr>
                <w:rFonts w:cs="Times New Roman"/>
                <w:szCs w:val="24"/>
              </w:rPr>
            </w:pPr>
            <w:r w:rsidRPr="00CC66C1">
              <w:rPr>
                <w:rFonts w:cs="Times New Roman"/>
                <w:szCs w:val="24"/>
              </w:rPr>
              <w:t>Глюканат (23)</w:t>
            </w:r>
          </w:p>
        </w:tc>
      </w:tr>
      <w:tr w:rsidR="0000369C" w:rsidRPr="00CC66C1" w14:paraId="199FC16A" w14:textId="77777777" w:rsidTr="001C46FD">
        <w:tc>
          <w:tcPr>
            <w:tcW w:w="1914" w:type="dxa"/>
          </w:tcPr>
          <w:p w14:paraId="7D1B944E" w14:textId="77777777" w:rsidR="0000369C" w:rsidRPr="00CC66C1" w:rsidRDefault="0000369C" w:rsidP="001C46FD">
            <w:pPr>
              <w:jc w:val="center"/>
              <w:rPr>
                <w:rFonts w:cs="Times New Roman"/>
                <w:szCs w:val="24"/>
              </w:rPr>
            </w:pPr>
            <w:r w:rsidRPr="00CC66C1">
              <w:rPr>
                <w:rFonts w:cs="Times New Roman"/>
                <w:szCs w:val="24"/>
              </w:rPr>
              <w:t>Осмолярность  (мОсм/л)</w:t>
            </w:r>
          </w:p>
        </w:tc>
        <w:tc>
          <w:tcPr>
            <w:tcW w:w="1914" w:type="dxa"/>
          </w:tcPr>
          <w:p w14:paraId="26156195" w14:textId="77777777" w:rsidR="0000369C" w:rsidRPr="00CC66C1" w:rsidRDefault="0000369C" w:rsidP="001C46FD">
            <w:pPr>
              <w:jc w:val="center"/>
              <w:rPr>
                <w:rFonts w:cs="Times New Roman"/>
                <w:szCs w:val="24"/>
                <w:lang w:val="en-US"/>
              </w:rPr>
            </w:pPr>
            <w:r w:rsidRPr="00CC66C1">
              <w:rPr>
                <w:rFonts w:cs="Times New Roman"/>
                <w:szCs w:val="24"/>
                <w:lang w:val="en-US"/>
              </w:rPr>
              <w:t>290</w:t>
            </w:r>
          </w:p>
        </w:tc>
        <w:tc>
          <w:tcPr>
            <w:tcW w:w="1914" w:type="dxa"/>
          </w:tcPr>
          <w:p w14:paraId="1D4D64AD" w14:textId="77777777" w:rsidR="0000369C" w:rsidRPr="00CC66C1" w:rsidRDefault="0000369C" w:rsidP="001C46FD">
            <w:pPr>
              <w:jc w:val="center"/>
              <w:rPr>
                <w:rFonts w:cs="Times New Roman"/>
                <w:szCs w:val="24"/>
                <w:lang w:val="en-US"/>
              </w:rPr>
            </w:pPr>
            <w:r w:rsidRPr="00CC66C1">
              <w:rPr>
                <w:rFonts w:cs="Times New Roman"/>
                <w:szCs w:val="24"/>
                <w:lang w:val="en-US"/>
              </w:rPr>
              <w:t>308</w:t>
            </w:r>
          </w:p>
        </w:tc>
        <w:tc>
          <w:tcPr>
            <w:tcW w:w="1914" w:type="dxa"/>
          </w:tcPr>
          <w:p w14:paraId="3D1C08A1" w14:textId="77777777" w:rsidR="0000369C" w:rsidRPr="00CC66C1" w:rsidRDefault="0000369C" w:rsidP="001C46FD">
            <w:pPr>
              <w:jc w:val="center"/>
              <w:rPr>
                <w:rFonts w:cs="Times New Roman"/>
                <w:szCs w:val="24"/>
              </w:rPr>
            </w:pPr>
            <w:r w:rsidRPr="00CC66C1">
              <w:rPr>
                <w:rFonts w:cs="Times New Roman"/>
                <w:szCs w:val="24"/>
              </w:rPr>
              <w:t>273</w:t>
            </w:r>
          </w:p>
        </w:tc>
        <w:tc>
          <w:tcPr>
            <w:tcW w:w="1915" w:type="dxa"/>
          </w:tcPr>
          <w:p w14:paraId="7783E2C6" w14:textId="77777777" w:rsidR="0000369C" w:rsidRPr="00CC66C1" w:rsidRDefault="0000369C" w:rsidP="001C46FD">
            <w:pPr>
              <w:jc w:val="center"/>
              <w:rPr>
                <w:rFonts w:cs="Times New Roman"/>
                <w:szCs w:val="24"/>
              </w:rPr>
            </w:pPr>
            <w:r w:rsidRPr="00CC66C1">
              <w:rPr>
                <w:rFonts w:cs="Times New Roman"/>
                <w:szCs w:val="24"/>
              </w:rPr>
              <w:t>295</w:t>
            </w:r>
          </w:p>
        </w:tc>
      </w:tr>
    </w:tbl>
    <w:p w14:paraId="20CBC02C" w14:textId="77777777" w:rsidR="0000369C" w:rsidRPr="00CC66C1" w:rsidRDefault="0000369C" w:rsidP="0000369C">
      <w:pPr>
        <w:ind w:firstLine="709"/>
        <w:rPr>
          <w:rFonts w:cs="Times New Roman"/>
          <w:szCs w:val="24"/>
        </w:rPr>
      </w:pPr>
    </w:p>
    <w:p w14:paraId="43982875" w14:textId="77777777" w:rsidR="0000369C" w:rsidRPr="00CC66C1" w:rsidRDefault="0000369C" w:rsidP="0000369C">
      <w:pPr>
        <w:ind w:firstLine="709"/>
        <w:rPr>
          <w:rFonts w:cs="Times New Roman"/>
          <w:i/>
          <w:szCs w:val="24"/>
          <w:u w:val="single"/>
        </w:rPr>
      </w:pPr>
      <w:r w:rsidRPr="00CC66C1">
        <w:rPr>
          <w:rFonts w:cs="Times New Roman"/>
          <w:i/>
          <w:szCs w:val="24"/>
          <w:u w:val="single"/>
        </w:rPr>
        <w:t>Показания к проведению инфузионной терапии</w:t>
      </w:r>
    </w:p>
    <w:p w14:paraId="3F54ED7E" w14:textId="77777777" w:rsidR="0000369C" w:rsidRPr="00CC66C1" w:rsidRDefault="0000369C" w:rsidP="0000369C">
      <w:pPr>
        <w:ind w:firstLine="709"/>
        <w:rPr>
          <w:rFonts w:cs="Times New Roman"/>
          <w:szCs w:val="24"/>
        </w:rPr>
      </w:pPr>
      <w:r w:rsidRPr="00CC66C1">
        <w:rPr>
          <w:rFonts w:cs="Times New Roman"/>
          <w:szCs w:val="24"/>
        </w:rPr>
        <w:t>Основными показаниями для инфузионной терапии у пацментов с онкогематологическими заболеваниями (лейкозы, лимфомы) являются:</w:t>
      </w:r>
    </w:p>
    <w:p w14:paraId="3827BE36" w14:textId="77777777" w:rsidR="0000369C" w:rsidRPr="00CC66C1" w:rsidRDefault="0000369C" w:rsidP="00C5490F">
      <w:pPr>
        <w:pStyle w:val="afe"/>
        <w:numPr>
          <w:ilvl w:val="0"/>
          <w:numId w:val="125"/>
        </w:numPr>
        <w:rPr>
          <w:rFonts w:cs="Times New Roman"/>
          <w:szCs w:val="24"/>
        </w:rPr>
      </w:pPr>
      <w:r w:rsidRPr="00CC66C1">
        <w:rPr>
          <w:rFonts w:cs="Times New Roman"/>
          <w:szCs w:val="24"/>
        </w:rPr>
        <w:t>Дегидратация,</w:t>
      </w:r>
      <w:r w:rsidRPr="00CC66C1">
        <w:rPr>
          <w:rFonts w:cs="Times New Roman"/>
          <w:i/>
          <w:szCs w:val="24"/>
        </w:rPr>
        <w:t xml:space="preserve"> </w:t>
      </w:r>
      <w:r w:rsidRPr="00CC66C1">
        <w:rPr>
          <w:rFonts w:cs="Times New Roman"/>
          <w:szCs w:val="24"/>
        </w:rPr>
        <w:t>причинами которой могут быть диарея, перспирация (вследствие лихорадки), рвота, алиментарная недостаточность.</w:t>
      </w:r>
    </w:p>
    <w:p w14:paraId="67B8E360" w14:textId="77777777" w:rsidR="0000369C" w:rsidRPr="00CC66C1" w:rsidRDefault="0000369C" w:rsidP="00C5490F">
      <w:pPr>
        <w:pStyle w:val="afe"/>
        <w:numPr>
          <w:ilvl w:val="0"/>
          <w:numId w:val="125"/>
        </w:numPr>
        <w:rPr>
          <w:rFonts w:cs="Times New Roman"/>
          <w:szCs w:val="24"/>
        </w:rPr>
      </w:pPr>
      <w:r w:rsidRPr="00CC66C1">
        <w:rPr>
          <w:rFonts w:cs="Times New Roman"/>
          <w:szCs w:val="24"/>
        </w:rPr>
        <w:t>Гиповолемия или дефицит объема циркулирующей крови (например, при кровотечении у гематологических пациентов).</w:t>
      </w:r>
    </w:p>
    <w:p w14:paraId="3AF7B7D6" w14:textId="77777777" w:rsidR="0000369C" w:rsidRPr="00CC66C1" w:rsidRDefault="0000369C" w:rsidP="00C5490F">
      <w:pPr>
        <w:pStyle w:val="afe"/>
        <w:numPr>
          <w:ilvl w:val="0"/>
          <w:numId w:val="125"/>
        </w:numPr>
        <w:rPr>
          <w:rFonts w:cs="Times New Roman"/>
          <w:szCs w:val="24"/>
        </w:rPr>
      </w:pPr>
      <w:r w:rsidRPr="00CC66C1">
        <w:rPr>
          <w:rFonts w:cs="Times New Roman"/>
          <w:szCs w:val="24"/>
        </w:rPr>
        <w:t xml:space="preserve">Проведение форсированного диуреза для профилактики синдрома лизиса опухоли. </w:t>
      </w:r>
    </w:p>
    <w:p w14:paraId="4C545E0A" w14:textId="77777777" w:rsidR="0000369C" w:rsidRPr="00CC66C1" w:rsidRDefault="0000369C" w:rsidP="00C5490F">
      <w:pPr>
        <w:pStyle w:val="afe"/>
        <w:numPr>
          <w:ilvl w:val="0"/>
          <w:numId w:val="125"/>
        </w:numPr>
        <w:rPr>
          <w:rFonts w:cs="Times New Roman"/>
          <w:szCs w:val="24"/>
        </w:rPr>
      </w:pPr>
      <w:r w:rsidRPr="00CC66C1">
        <w:rPr>
          <w:rFonts w:cs="Times New Roman"/>
          <w:szCs w:val="24"/>
        </w:rPr>
        <w:t xml:space="preserve">Проведение терапевтической гемоделюции (для лечения ишемических и тромботических осложнений). </w:t>
      </w:r>
    </w:p>
    <w:p w14:paraId="5BA8828B" w14:textId="77777777" w:rsidR="0000369C" w:rsidRPr="00CC66C1" w:rsidRDefault="0000369C" w:rsidP="00C5490F">
      <w:pPr>
        <w:pStyle w:val="afe"/>
        <w:numPr>
          <w:ilvl w:val="0"/>
          <w:numId w:val="125"/>
        </w:numPr>
        <w:rPr>
          <w:rFonts w:cs="Times New Roman"/>
          <w:szCs w:val="24"/>
        </w:rPr>
      </w:pPr>
      <w:r w:rsidRPr="00CC66C1">
        <w:rPr>
          <w:rFonts w:cs="Times New Roman"/>
          <w:szCs w:val="24"/>
        </w:rPr>
        <w:t xml:space="preserve">Коррекция электролитных нарушений. </w:t>
      </w:r>
    </w:p>
    <w:p w14:paraId="6AA4F153" w14:textId="77777777" w:rsidR="0000369C" w:rsidRPr="00CC66C1" w:rsidRDefault="0000369C" w:rsidP="00C5490F">
      <w:pPr>
        <w:pStyle w:val="afe"/>
        <w:numPr>
          <w:ilvl w:val="0"/>
          <w:numId w:val="125"/>
        </w:numPr>
        <w:rPr>
          <w:rFonts w:cs="Times New Roman"/>
          <w:szCs w:val="24"/>
        </w:rPr>
      </w:pPr>
      <w:r w:rsidRPr="00CC66C1">
        <w:rPr>
          <w:rFonts w:cs="Times New Roman"/>
          <w:szCs w:val="24"/>
        </w:rPr>
        <w:t xml:space="preserve">Дезинтоксикационная терапия. </w:t>
      </w:r>
    </w:p>
    <w:p w14:paraId="54CAED65" w14:textId="77777777" w:rsidR="0000369C" w:rsidRDefault="0000369C" w:rsidP="0000369C">
      <w:pPr>
        <w:ind w:firstLine="709"/>
        <w:rPr>
          <w:rFonts w:cs="Times New Roman"/>
          <w:b/>
          <w:szCs w:val="24"/>
        </w:rPr>
      </w:pPr>
    </w:p>
    <w:p w14:paraId="08021948" w14:textId="6342E437" w:rsidR="0000369C" w:rsidRPr="0048699E" w:rsidRDefault="0000369C" w:rsidP="0000369C">
      <w:pPr>
        <w:ind w:firstLine="709"/>
        <w:rPr>
          <w:rFonts w:cs="Times New Roman"/>
          <w:i/>
          <w:szCs w:val="24"/>
          <w:u w:val="single"/>
          <w:lang w:val="en-US"/>
        </w:rPr>
      </w:pPr>
      <w:r w:rsidRPr="00CC66C1">
        <w:rPr>
          <w:rFonts w:cs="Times New Roman"/>
          <w:i/>
          <w:szCs w:val="24"/>
          <w:u w:val="single"/>
        </w:rPr>
        <w:t>Выбор инфузионных растворов</w:t>
      </w:r>
      <w:r>
        <w:rPr>
          <w:rFonts w:cs="Times New Roman"/>
          <w:i/>
          <w:szCs w:val="24"/>
          <w:u w:val="single"/>
        </w:rPr>
        <w:t xml:space="preserve"> </w:t>
      </w:r>
      <w:r>
        <w:rPr>
          <w:rFonts w:cs="Times New Roman"/>
          <w:i/>
          <w:szCs w:val="24"/>
          <w:u w:val="single"/>
        </w:rPr>
        <w:fldChar w:fldCharType="begin" w:fldLock="1"/>
      </w:r>
      <w:r w:rsidR="001C46FD">
        <w:rPr>
          <w:rFonts w:cs="Times New Roman"/>
          <w:i/>
          <w:szCs w:val="24"/>
          <w:u w:val="single"/>
        </w:rPr>
        <w:instrText>ADDIN CSL_CITATION {"citationItems":[{"id":"ITEM-1","itemData":{"DOI":"10.1007/s40620-016-0363-9","ISSN":"17246059","PMID":"27900717","abstract":"The topic of intravenous (IV) fluids may be regarded as “reverse nephrology”, because nephrologists usually treat to remove fluids rather than to infuse them. However, because nephrology is deeply rooted in fluid, electrolyte, and acid-base balance, IV fluids belong in the realm of our specialty. The field of IV fluid therapy is in motion due to the increasing use of balanced crystalloids, partly fueled by the advent of new solutions. This review aims to capture these recent developments by critically evaluating the current evidence base. It will review both indications and complications of IV fluid therapy, including the characteristics of the currently available solutions. It will also cover the use of IV fluids in specific settings such as kidney transplantation and pediatrics. Finally, this review will address the pathogenesis of saline-induced hyperchloremic acidosis, its potential effect on outcomes, and the question if this should lead to a definitive switch to balanced solutions.","author":[{"dropping-particle":"","family":"Hoorn","given":"Ewout J.","non-dropping-particle":"","parse-names":false,"suffix":""}],"container-title":"Journal of Nephrology","id":"ITEM-1","issue":"4","issued":{"date-parts":[["2017","8","1"]]},"page":"485-492","publisher":"Springer New York LLC","title":"Intravenous fluids: balancing solutions","type":"article","volume":"30"},"uris":["http://www.mendeley.com/documents/?uuid=5b8712a4-69fa-3f35-a7d0-5673405bd845"]}],"mendeley":{"formattedCitation":"[129]","plainTextFormattedCitation":"[129]","previouslyFormattedCitation":"[129]"},"properties":{"noteIndex":0},"schema":"https://github.com/citation-style-language/schema/raw/master/csl-citation.json"}</w:instrText>
      </w:r>
      <w:r>
        <w:rPr>
          <w:rFonts w:cs="Times New Roman"/>
          <w:i/>
          <w:szCs w:val="24"/>
          <w:u w:val="single"/>
        </w:rPr>
        <w:fldChar w:fldCharType="separate"/>
      </w:r>
      <w:r w:rsidRPr="0000369C">
        <w:rPr>
          <w:rFonts w:cs="Times New Roman"/>
          <w:noProof/>
          <w:szCs w:val="24"/>
        </w:rPr>
        <w:t>[129]</w:t>
      </w:r>
      <w:r>
        <w:rPr>
          <w:rFonts w:cs="Times New Roman"/>
          <w:i/>
          <w:szCs w:val="24"/>
          <w:u w:val="single"/>
        </w:rPr>
        <w:fldChar w:fldCharType="end"/>
      </w:r>
    </w:p>
    <w:p w14:paraId="53908D9C" w14:textId="77777777" w:rsidR="0000369C" w:rsidRPr="00CC66C1" w:rsidRDefault="0000369C" w:rsidP="0000369C">
      <w:pPr>
        <w:ind w:firstLine="709"/>
        <w:rPr>
          <w:rFonts w:cs="Times New Roman"/>
          <w:szCs w:val="24"/>
        </w:rPr>
      </w:pPr>
      <w:r w:rsidRPr="00CC66C1">
        <w:rPr>
          <w:rFonts w:cs="Times New Roman"/>
          <w:szCs w:val="24"/>
        </w:rPr>
        <w:t>Сбалансированные полиэлектролитные растворы применяются для коррекции дегидратации, форсированного диуреза, терапевтической гемоделюции.</w:t>
      </w:r>
    </w:p>
    <w:p w14:paraId="6B958B30" w14:textId="77777777" w:rsidR="0000369C" w:rsidRPr="00CC66C1" w:rsidRDefault="0000369C" w:rsidP="0000369C">
      <w:pPr>
        <w:ind w:firstLine="709"/>
        <w:rPr>
          <w:rFonts w:cs="Times New Roman"/>
          <w:szCs w:val="24"/>
        </w:rPr>
      </w:pPr>
      <w:r w:rsidRPr="00CC66C1">
        <w:rPr>
          <w:rFonts w:cs="Times New Roman"/>
          <w:szCs w:val="24"/>
        </w:rPr>
        <w:t>Коллоидные растворы (такие как раствор альбумина), используются в сочетании с кристаллоидными для коррекции гиповолемии. Допустимо использовать только кристаллоидные растворы для коррекции гиповолемии легкой степени.</w:t>
      </w:r>
    </w:p>
    <w:p w14:paraId="63099165" w14:textId="77777777" w:rsidR="0000369C" w:rsidRPr="00CC66C1" w:rsidRDefault="0000369C" w:rsidP="0000369C">
      <w:pPr>
        <w:ind w:firstLine="709"/>
        <w:rPr>
          <w:rFonts w:cs="Times New Roman"/>
          <w:szCs w:val="24"/>
        </w:rPr>
      </w:pPr>
      <w:r w:rsidRPr="00CC66C1">
        <w:rPr>
          <w:rFonts w:cs="Times New Roman"/>
          <w:szCs w:val="24"/>
        </w:rPr>
        <w:lastRenderedPageBreak/>
        <w:t>Для разведения лекарственных препаратов используется 0,9% раствор натрия хлорида, что исключает выпадения солей кальция в приготовленном растворе.</w:t>
      </w:r>
    </w:p>
    <w:p w14:paraId="011BAB55" w14:textId="77777777" w:rsidR="0000369C" w:rsidRPr="00CC66C1" w:rsidRDefault="0000369C" w:rsidP="0000369C">
      <w:pPr>
        <w:ind w:firstLine="709"/>
        <w:rPr>
          <w:rFonts w:cs="Times New Roman"/>
          <w:szCs w:val="24"/>
        </w:rPr>
      </w:pPr>
      <w:r w:rsidRPr="00CC66C1">
        <w:rPr>
          <w:rFonts w:cs="Times New Roman"/>
          <w:szCs w:val="24"/>
        </w:rPr>
        <w:t xml:space="preserve">Объем инфузионной терапии определяется клиническими показаниями. </w:t>
      </w:r>
    </w:p>
    <w:p w14:paraId="1D8894FA" w14:textId="77777777" w:rsidR="0000369C" w:rsidRDefault="0000369C" w:rsidP="0000369C">
      <w:pPr>
        <w:ind w:firstLine="709"/>
        <w:rPr>
          <w:rFonts w:cs="Times New Roman"/>
          <w:b/>
          <w:szCs w:val="24"/>
        </w:rPr>
      </w:pPr>
    </w:p>
    <w:p w14:paraId="1BC7FE09" w14:textId="77777777" w:rsidR="0000369C" w:rsidRPr="00CC66C1" w:rsidRDefault="0000369C" w:rsidP="0000369C">
      <w:pPr>
        <w:ind w:firstLine="709"/>
        <w:rPr>
          <w:rFonts w:cs="Times New Roman"/>
          <w:i/>
          <w:szCs w:val="24"/>
          <w:u w:val="single"/>
        </w:rPr>
      </w:pPr>
      <w:r w:rsidRPr="00CC66C1">
        <w:rPr>
          <w:rFonts w:cs="Times New Roman"/>
          <w:i/>
          <w:szCs w:val="24"/>
          <w:u w:val="single"/>
        </w:rPr>
        <w:t>Алгоритм действия врача</w:t>
      </w:r>
    </w:p>
    <w:p w14:paraId="62695B9F" w14:textId="77777777" w:rsidR="0000369C" w:rsidRPr="00CC66C1" w:rsidRDefault="0000369C" w:rsidP="00C5490F">
      <w:pPr>
        <w:pStyle w:val="afe"/>
        <w:numPr>
          <w:ilvl w:val="0"/>
          <w:numId w:val="126"/>
        </w:numPr>
        <w:rPr>
          <w:rFonts w:cs="Times New Roman"/>
          <w:szCs w:val="24"/>
        </w:rPr>
      </w:pPr>
      <w:r w:rsidRPr="00CC66C1">
        <w:rPr>
          <w:rFonts w:cs="Times New Roman"/>
          <w:szCs w:val="24"/>
        </w:rPr>
        <w:t>Определение показаний для инфузионная терапии.</w:t>
      </w:r>
    </w:p>
    <w:p w14:paraId="7EECDBBB" w14:textId="77777777" w:rsidR="0000369C" w:rsidRPr="00CC66C1" w:rsidRDefault="0000369C" w:rsidP="00C5490F">
      <w:pPr>
        <w:pStyle w:val="afe"/>
        <w:numPr>
          <w:ilvl w:val="0"/>
          <w:numId w:val="126"/>
        </w:numPr>
        <w:rPr>
          <w:rFonts w:cs="Times New Roman"/>
          <w:szCs w:val="24"/>
        </w:rPr>
      </w:pPr>
      <w:r w:rsidRPr="00CC66C1">
        <w:rPr>
          <w:rFonts w:cs="Times New Roman"/>
          <w:szCs w:val="24"/>
        </w:rPr>
        <w:t>Выбор инфузионного раствора в зависимости от показаний.</w:t>
      </w:r>
    </w:p>
    <w:p w14:paraId="5FB68BEB" w14:textId="77777777" w:rsidR="0000369C" w:rsidRPr="00CC66C1" w:rsidRDefault="0000369C" w:rsidP="00C5490F">
      <w:pPr>
        <w:pStyle w:val="afe"/>
        <w:numPr>
          <w:ilvl w:val="0"/>
          <w:numId w:val="126"/>
        </w:numPr>
        <w:rPr>
          <w:rFonts w:cs="Times New Roman"/>
          <w:szCs w:val="24"/>
        </w:rPr>
      </w:pPr>
      <w:r w:rsidRPr="00CC66C1">
        <w:rPr>
          <w:rFonts w:cs="Times New Roman"/>
          <w:szCs w:val="24"/>
        </w:rPr>
        <w:t>Оценка волемического статуса пациента (оценка частоты сердечных сокращений, артериального давления, тургора кожи, влажности слизистых, темпа диуреза и др.). Центральное венозное давление (ЦВД) не является единственным показателем волемического статуса больного и часто может не отражать истинное состояние. Так, у больного с легочной гипертензией и гиповолемией ЦВД может превышать нормальные значения.</w:t>
      </w:r>
    </w:p>
    <w:p w14:paraId="7922A14A" w14:textId="77777777" w:rsidR="0000369C" w:rsidRPr="00CC66C1" w:rsidRDefault="0000369C" w:rsidP="00C5490F">
      <w:pPr>
        <w:pStyle w:val="afe"/>
        <w:numPr>
          <w:ilvl w:val="0"/>
          <w:numId w:val="126"/>
        </w:numPr>
        <w:rPr>
          <w:rFonts w:cs="Times New Roman"/>
          <w:szCs w:val="24"/>
        </w:rPr>
      </w:pPr>
      <w:r w:rsidRPr="00CC66C1">
        <w:rPr>
          <w:rFonts w:cs="Times New Roman"/>
          <w:szCs w:val="24"/>
        </w:rPr>
        <w:t>Обеспечение сосудистого доступа. Проведение инфузионной терапии и оценка ее эффекта (частота сердечных сокращений, артериальное давление, тургор кожи, влажность слизистых, темп диуреза и др.).</w:t>
      </w:r>
    </w:p>
    <w:p w14:paraId="40929BCE" w14:textId="3529CF79" w:rsidR="0000369C" w:rsidRDefault="0000369C" w:rsidP="0000369C">
      <w:pPr>
        <w:widowControl w:val="0"/>
        <w:autoSpaceDE w:val="0"/>
        <w:autoSpaceDN w:val="0"/>
        <w:adjustRightInd w:val="0"/>
        <w:rPr>
          <w:rFonts w:cs="Times New Roman"/>
          <w:szCs w:val="24"/>
        </w:rPr>
      </w:pPr>
    </w:p>
    <w:p w14:paraId="3D952548" w14:textId="6D9B2464" w:rsidR="0000369C" w:rsidRPr="0000369C" w:rsidRDefault="0000369C" w:rsidP="0000369C">
      <w:pPr>
        <w:pStyle w:val="2"/>
      </w:pPr>
      <w:bookmarkStart w:id="214" w:name="_Toc67522264"/>
      <w:r>
        <w:t xml:space="preserve">Приложение А3.4. </w:t>
      </w:r>
      <w:r w:rsidRPr="00427075">
        <w:t>Парентеральное питание у гематологических пациентов</w:t>
      </w:r>
      <w:bookmarkEnd w:id="214"/>
    </w:p>
    <w:p w14:paraId="06B3E8D2" w14:textId="77777777" w:rsidR="0000369C" w:rsidRPr="00427075" w:rsidRDefault="0000369C" w:rsidP="0000369C">
      <w:pPr>
        <w:ind w:firstLine="709"/>
        <w:rPr>
          <w:rFonts w:cs="Times New Roman"/>
          <w:szCs w:val="24"/>
        </w:rPr>
      </w:pPr>
      <w:r w:rsidRPr="00427075">
        <w:rPr>
          <w:rFonts w:cs="Times New Roman"/>
          <w:szCs w:val="24"/>
        </w:rPr>
        <w:t xml:space="preserve">Химиотерапевтическое лечение гематологических пациентов ассоциировано с развитием цитостатического поражения эпителия желудочно-кишечного тракта (ЖКТ) с тяжёлым эмитическим синдромом, который часто делает невозможным проведение традиционного перорального или энтерального питания и приводят к тяжелым метаболическим нарушениям и выраженной мальобсорбции. При развитии жизнеугрожающих состояний проведение перорального питания иногда технически не выполнимо. Потребность же в нутритивной поддержке в период лечения гематологических заболеваний, особенно гемобластозов, возрастает. Это связано с катаболическими процессами, активированными опухолевыми цитокинами, системным воспалительным ответом с лихорадкой. Таким образом, развивается истощение организма, связанное с одной стороны с повышенными потребностями в энергии на фоне опухолевого процесса и с другой стороны, ассоциированные с лечением поражения ЖКТ, ограничивают поступление питательных веществ в организм больного. </w:t>
      </w:r>
    </w:p>
    <w:p w14:paraId="3EF77723" w14:textId="77777777" w:rsidR="0000369C" w:rsidRPr="00427075" w:rsidRDefault="0000369C" w:rsidP="0000369C">
      <w:pPr>
        <w:ind w:firstLine="709"/>
        <w:rPr>
          <w:rFonts w:cs="Times New Roman"/>
          <w:szCs w:val="24"/>
        </w:rPr>
      </w:pPr>
      <w:r w:rsidRPr="00427075">
        <w:rPr>
          <w:rFonts w:cs="Times New Roman"/>
          <w:szCs w:val="24"/>
        </w:rPr>
        <w:t xml:space="preserve">Дефицит питания на разных стадиях лечения гематологических заболеваний (например, индукционноя химиотерапия, трансплантация гемопоэтических стволовых </w:t>
      </w:r>
      <w:r w:rsidRPr="00427075">
        <w:rPr>
          <w:rFonts w:cs="Times New Roman"/>
          <w:szCs w:val="24"/>
        </w:rPr>
        <w:lastRenderedPageBreak/>
        <w:t>клеток крови (ТГСК)) негативно сказывается на исходах лечения. Так, пациенты с острым миелоидным лейкозом с признаками нутритивного дефицита характеризуются более длительной госпитализацией во время индукции ремиссии и имеют более низкую 12 – месячную общую выживаемость в сравнении с больными без признаков истощения, 39 дней и 31 день, 58,3% и 89,9% (p&lt;0.05) соответственно. Пациенты с острым лимфобластным лейкозом с дефицитом массы тела также находятся в стационаре дольше во время индукции ремиссии по сравнению с больными в нормальном метаболическом статусе.</w:t>
      </w:r>
    </w:p>
    <w:p w14:paraId="36A2520E" w14:textId="77777777" w:rsidR="0000369C" w:rsidRPr="00427075" w:rsidRDefault="0000369C" w:rsidP="0000369C">
      <w:pPr>
        <w:ind w:firstLine="708"/>
        <w:rPr>
          <w:rFonts w:cs="Times New Roman"/>
          <w:szCs w:val="24"/>
        </w:rPr>
      </w:pPr>
      <w:r w:rsidRPr="00427075">
        <w:rPr>
          <w:rFonts w:cs="Times New Roman"/>
          <w:szCs w:val="24"/>
        </w:rPr>
        <w:t>Для предотвращения негативных эффектов гипотрофии больных, при невозможности перорального или энтерального питания альтернативным источником питательных веществ остается парентеральное питание (ПП) – введение нутриентов внутривенно (минуя ЖКТ).</w:t>
      </w:r>
    </w:p>
    <w:p w14:paraId="0C32C2D9" w14:textId="77777777" w:rsidR="0000369C" w:rsidRPr="00427075" w:rsidRDefault="0000369C" w:rsidP="0000369C">
      <w:pPr>
        <w:ind w:firstLine="708"/>
        <w:rPr>
          <w:rFonts w:cs="Times New Roman"/>
          <w:szCs w:val="24"/>
        </w:rPr>
      </w:pPr>
      <w:r w:rsidRPr="00427075">
        <w:rPr>
          <w:rFonts w:cs="Times New Roman"/>
          <w:szCs w:val="24"/>
        </w:rPr>
        <w:t xml:space="preserve">Пациенты после ТГСК могут испытывать алиментарную нутритивную недостаточность в связи с прекращением приема пищи при наличии выраженного болевого синдрома слизистой полости рта (мукозит) или развитием реакции трансплантат против хозяина (РТПХ) с поражением кишки и выраженным диарейным синдромом. В этих случаях пероральное и энтеральное питание противопоказано или затруднено и ПП является основным источником доставки нутриентов. Аналогичные изменения и показания к ПП могут так же наблюдаться при проведении химиотерапии и иммуносупрессивной терапии, в период миелотоксического агаранулоцитоза или гранулоцитопении при развитии язвенно-некротического стоматита или некротической энтеропатии. </w:t>
      </w:r>
    </w:p>
    <w:p w14:paraId="1269B78E" w14:textId="77777777" w:rsidR="0000369C" w:rsidRPr="00427075" w:rsidRDefault="0000369C" w:rsidP="0000369C">
      <w:pPr>
        <w:ind w:firstLine="708"/>
        <w:rPr>
          <w:rFonts w:cs="Times New Roman"/>
          <w:szCs w:val="24"/>
        </w:rPr>
      </w:pPr>
      <w:r w:rsidRPr="00427075">
        <w:rPr>
          <w:rFonts w:cs="Times New Roman"/>
          <w:szCs w:val="24"/>
        </w:rPr>
        <w:t xml:space="preserve">Однако необходимо помнить о негативных аспектах парентерального питания: ассоциированные с ПП поражения печени, желчного пузыря (холестаз) и атрофия кишечника, катетер–ассоциированные инфекционные осложнения и гипергликемия – лишь немногие из них. </w:t>
      </w:r>
    </w:p>
    <w:p w14:paraId="7CB38951" w14:textId="77777777" w:rsidR="0000369C" w:rsidRPr="00427075" w:rsidRDefault="0000369C" w:rsidP="0000369C">
      <w:pPr>
        <w:ind w:firstLine="708"/>
        <w:rPr>
          <w:rFonts w:cs="Times New Roman"/>
          <w:szCs w:val="24"/>
        </w:rPr>
      </w:pPr>
      <w:r w:rsidRPr="00427075">
        <w:rPr>
          <w:rFonts w:cs="Times New Roman"/>
          <w:szCs w:val="24"/>
        </w:rPr>
        <w:t xml:space="preserve">Гипергликемия у больных после ТГСК связана с развитием ассоциированного с трансплантацией сахарного диабета, инфекционных </w:t>
      </w:r>
      <w:r>
        <w:rPr>
          <w:rFonts w:cs="Times New Roman"/>
          <w:szCs w:val="24"/>
        </w:rPr>
        <w:t>осложнений, а</w:t>
      </w:r>
      <w:r w:rsidRPr="00427075">
        <w:rPr>
          <w:rFonts w:cs="Times New Roman"/>
          <w:szCs w:val="24"/>
        </w:rPr>
        <w:t xml:space="preserve"> двухлетняя безрецидивная выживаемость больных с нормогликемией в раннем посттрансплантационном периоде выше чем у больных с гипергликемией. При введении нутриентов парентерально снижается стимуляция островков Лангерганса поджелудочной железы так как не вырабатывается инкретин (глюкагон-подобный пептид-1), который стимулирует выработку инсулина при пероральном питании, что ведет к развитию гипергликемии при ПП. Сам по себе стресс во время критического состояния за счет катехоламинов вызывает резистентность периферических тканей к </w:t>
      </w:r>
      <w:r w:rsidRPr="00427075">
        <w:rPr>
          <w:rFonts w:cs="Times New Roman"/>
          <w:szCs w:val="24"/>
        </w:rPr>
        <w:lastRenderedPageBreak/>
        <w:t xml:space="preserve">инсулину и увеличивает продукцию глюкозы печенью. Дефицит витамина </w:t>
      </w:r>
      <w:r w:rsidRPr="00427075">
        <w:rPr>
          <w:rFonts w:cs="Times New Roman"/>
          <w:szCs w:val="24"/>
          <w:lang w:val="en-US"/>
        </w:rPr>
        <w:t>D</w:t>
      </w:r>
      <w:r w:rsidRPr="00427075">
        <w:rPr>
          <w:rFonts w:cs="Times New Roman"/>
          <w:szCs w:val="24"/>
        </w:rPr>
        <w:t xml:space="preserve"> и применение глюкокортикостероидных препаратов также вносят свой вклад в развитие гипергликемии у больных после ТГСК. Для коррекции гипергликемии ассоциированной с  парентеральным питанием, используется постоянна инфузия инсулина с регулярным контролем концентрации глюкозы и последующей коррекцией скорости введения инсулина.</w:t>
      </w:r>
    </w:p>
    <w:p w14:paraId="0EA7D440" w14:textId="77777777" w:rsidR="0000369C" w:rsidRPr="00427075" w:rsidRDefault="0000369C" w:rsidP="0000369C">
      <w:pPr>
        <w:rPr>
          <w:rFonts w:cs="Times New Roman"/>
          <w:szCs w:val="24"/>
        </w:rPr>
      </w:pPr>
      <w:r w:rsidRPr="00427075">
        <w:rPr>
          <w:rFonts w:cs="Times New Roman"/>
          <w:szCs w:val="24"/>
        </w:rPr>
        <w:tab/>
        <w:t xml:space="preserve">Другим, потенциально опасным для жизни, осложнением ПП  является рефидинг-синдром. Это метаболические нарушения, которые возникают вскоре после возобновления питания у длительно (более 3 суток) голодавшего пациента. Так как истощенный пациент испытывает потребность в нутриентах для поддержания функционирования жизненно важных органов, в том числе головного мозга,  то по мере истощения гликогена печени активно начинает мобилизироваться жировая ткань с последующим кетогенезом для  восполнения пула нутриентов. Развивается кето-ацидоз, который опосредует  транклеточный сдвиг ионов калия наружу клетки, при чем его общие запасы в организме истощены предшествующим голоданием. При возобновлении питания кетоацидоз регрессирует в связи с поступлением глюкозы, которая вместе с вырабатывающимся инсулином вызывает обратный ток ионов калия внутри клетки, вызывая гипокалиемию и жизнеугрожающие аритмии.  Следовательно, начало ПП должно быть постепенным, с увеличивающейся скоростью инфузии и под контролем электролитного состава крови. Помимо гипогликемии у больных, требующих начала парентерального питания, часто наблюдается истощение запасов магния, что требует своевременного восполнения во время начала ПП. </w:t>
      </w:r>
    </w:p>
    <w:p w14:paraId="57865D69" w14:textId="77777777" w:rsidR="0000369C" w:rsidRPr="00427075" w:rsidRDefault="0000369C" w:rsidP="0000369C">
      <w:pPr>
        <w:rPr>
          <w:rFonts w:cs="Times New Roman"/>
          <w:szCs w:val="24"/>
        </w:rPr>
      </w:pPr>
      <w:r w:rsidRPr="00427075">
        <w:rPr>
          <w:rFonts w:cs="Times New Roman"/>
          <w:szCs w:val="24"/>
        </w:rPr>
        <w:tab/>
        <w:t>Проведение длительного парентерального питания требует регулярного контроля функции печени (концентрация трансаминаз, липидный профиль, коагулограмма), водно-электролитного баланса и креатинина, концентрации лактата, который может повышаться вследствие синдрома Вернике (дефицит витамина В1). Гипокоагуляция может развиваться в связи с алиментарной недостаточностью витамина К, восполнение которого также необходимо при проведении парентерального питания .</w:t>
      </w:r>
    </w:p>
    <w:p w14:paraId="58BA6DE5" w14:textId="77777777" w:rsidR="0000369C" w:rsidRPr="00427075" w:rsidRDefault="0000369C" w:rsidP="0000369C">
      <w:pPr>
        <w:rPr>
          <w:rFonts w:cs="Times New Roman"/>
          <w:szCs w:val="24"/>
        </w:rPr>
      </w:pPr>
      <w:r w:rsidRPr="00427075">
        <w:rPr>
          <w:rFonts w:cs="Times New Roman"/>
          <w:szCs w:val="24"/>
        </w:rPr>
        <w:tab/>
        <w:t>Длительность периода ПП увеличивает риск развития вышеуказанных осложнений. Возврат к энтеральному (пероральному) питанию возможен после регресса причин, которые потребовали начать ПП. Возобновление перорального питания производят постепенно параллельно с уменьшением объема вводимого парентерального питания, но без потерь в калорийности суточной диеты.</w:t>
      </w:r>
    </w:p>
    <w:p w14:paraId="0316C17D" w14:textId="77777777" w:rsidR="0000369C" w:rsidRDefault="0000369C" w:rsidP="0000369C">
      <w:pPr>
        <w:ind w:firstLine="708"/>
        <w:rPr>
          <w:rFonts w:cs="Times New Roman"/>
          <w:i/>
          <w:szCs w:val="24"/>
          <w:u w:val="single"/>
        </w:rPr>
      </w:pPr>
    </w:p>
    <w:p w14:paraId="1B097CFA" w14:textId="77777777" w:rsidR="0000369C" w:rsidRPr="00427075" w:rsidRDefault="0000369C" w:rsidP="0000369C">
      <w:pPr>
        <w:ind w:firstLine="708"/>
        <w:rPr>
          <w:rFonts w:cs="Times New Roman"/>
          <w:i/>
          <w:szCs w:val="24"/>
          <w:u w:val="single"/>
        </w:rPr>
      </w:pPr>
      <w:r w:rsidRPr="00427075">
        <w:rPr>
          <w:rFonts w:cs="Times New Roman"/>
          <w:i/>
          <w:szCs w:val="24"/>
          <w:u w:val="single"/>
        </w:rPr>
        <w:lastRenderedPageBreak/>
        <w:t>Компоненты парентерального питания</w:t>
      </w:r>
    </w:p>
    <w:p w14:paraId="560C4EE0" w14:textId="77777777" w:rsidR="0000369C" w:rsidRPr="00427075" w:rsidRDefault="0000369C" w:rsidP="0000369C">
      <w:pPr>
        <w:rPr>
          <w:rFonts w:cs="Times New Roman"/>
          <w:szCs w:val="24"/>
        </w:rPr>
      </w:pPr>
      <w:r w:rsidRPr="00427075">
        <w:rPr>
          <w:rFonts w:cs="Times New Roman"/>
          <w:szCs w:val="24"/>
        </w:rPr>
        <w:tab/>
        <w:t xml:space="preserve">Основными питательными веществами для ПП являются белки, жиры и углеводы. В одном грамме белка или углеводов, содержится 4 ккал, жиры наиболее энергоемкие носители и содержат в одном грамме 9 ккал. Их смеси в различных пропорциях используются для осуществления нутритивной поддержки. В настоящее время наиболее распространена схема  введения в следующей пропорции: белки 10-15%, жиры 40-45%, углеводы 40-55%, что в отличии от схемы с доминантным введением глюкозы помогает избежать тяжелую гипергликемию и гиперпродукцию углекислого газа.  </w:t>
      </w:r>
    </w:p>
    <w:p w14:paraId="313ABFDE" w14:textId="77777777" w:rsidR="0000369C" w:rsidRPr="00427075" w:rsidRDefault="0000369C" w:rsidP="0000369C">
      <w:pPr>
        <w:ind w:firstLine="708"/>
        <w:rPr>
          <w:rFonts w:cs="Times New Roman"/>
          <w:szCs w:val="24"/>
        </w:rPr>
      </w:pPr>
      <w:r w:rsidRPr="00427075">
        <w:rPr>
          <w:rFonts w:cs="Times New Roman"/>
          <w:szCs w:val="24"/>
        </w:rPr>
        <w:t xml:space="preserve">Ежедневная потребность в водорастворимых и жирорастворимых витаминах, микроэлементах также восполняется при помощи внутривенного введения вместе с ПП. Для этих целей применяются адъювантные (во флаконах по 10-20 мл) комплексы витаминов и микроэлементов с учетом суточной потребности, которые могут добавляться непосредственно в питательные среды. Как правило комплекс жирорастворимых витаминов (A,D,E,K1) добавляется в жировую эмульсию, а во флаконы с аминокислотами и углеводами вводятся адъюванты с микроэлементами (Se, Zn, Fe, Cu, Cr, I, F, Mn, Mo) и водорастворимыми витаминами, однако существуют препараты с сочетанием водо- и жирорасторимых витаминов. </w:t>
      </w:r>
    </w:p>
    <w:p w14:paraId="35DF6EFB" w14:textId="77777777" w:rsidR="0000369C" w:rsidRPr="00427075" w:rsidRDefault="0000369C" w:rsidP="0000369C">
      <w:pPr>
        <w:ind w:firstLine="708"/>
        <w:rPr>
          <w:rFonts w:cs="Times New Roman"/>
          <w:szCs w:val="24"/>
        </w:rPr>
      </w:pPr>
      <w:r w:rsidRPr="00427075">
        <w:rPr>
          <w:rFonts w:cs="Times New Roman"/>
          <w:szCs w:val="24"/>
        </w:rPr>
        <w:t>ПП может быть как полным, то есть обеспечивать все энергетические и нутритивные потребности пациента, так и неполным (смешанным), когда потребность в питании удовлетворяется как пероральным, так и парентеральным питанием, например во время восстановления после перерыва в приеме пищи.</w:t>
      </w:r>
    </w:p>
    <w:p w14:paraId="57B16A06" w14:textId="77777777" w:rsidR="0000369C" w:rsidRPr="00427075" w:rsidRDefault="0000369C" w:rsidP="0000369C">
      <w:pPr>
        <w:rPr>
          <w:rFonts w:cs="Times New Roman"/>
          <w:szCs w:val="24"/>
        </w:rPr>
      </w:pPr>
      <w:r w:rsidRPr="00427075">
        <w:rPr>
          <w:rFonts w:cs="Times New Roman"/>
          <w:szCs w:val="24"/>
        </w:rPr>
        <w:tab/>
        <w:t>Существует две схемы парентерального питания:</w:t>
      </w:r>
    </w:p>
    <w:p w14:paraId="4C3D5606" w14:textId="77777777" w:rsidR="0000369C" w:rsidRPr="00427075" w:rsidRDefault="0000369C" w:rsidP="0000369C">
      <w:pPr>
        <w:rPr>
          <w:rFonts w:cs="Times New Roman"/>
          <w:szCs w:val="24"/>
        </w:rPr>
      </w:pPr>
      <w:r w:rsidRPr="00427075">
        <w:rPr>
          <w:rFonts w:cs="Times New Roman"/>
          <w:szCs w:val="24"/>
        </w:rPr>
        <w:tab/>
        <w:t>– «модульная», «раздельная» или «флаконная», когда рассчитываются потребности и отдельно вводятся растворы аминокислот («Аминоплазмаль», «Аминовен» и др.) глюкоза 10% или 20% и жировая эмульсия («Интралипид», «Липофундин» 10% и 20%;  и др.).</w:t>
      </w:r>
    </w:p>
    <w:p w14:paraId="681A08F5" w14:textId="77777777" w:rsidR="0000369C" w:rsidRPr="00427075" w:rsidRDefault="0000369C" w:rsidP="0000369C">
      <w:pPr>
        <w:rPr>
          <w:rFonts w:cs="Times New Roman"/>
          <w:szCs w:val="24"/>
        </w:rPr>
      </w:pPr>
      <w:r w:rsidRPr="00427075">
        <w:rPr>
          <w:rFonts w:cs="Times New Roman"/>
          <w:szCs w:val="24"/>
        </w:rPr>
        <w:tab/>
        <w:t xml:space="preserve">– «все в одном» или «три в одном» - это вариант, когда все необходимые нутриенты в стандартном соотношении вводятся из одного пакета. До начала инфузии растворы аминокислот, глюкозы и жировая эмульсия разделены перегородками. Перед началом инфузии медицинский персонал разрывает перегородки в пакете, не нарушая его внешнюю целостность. Таким образом данная методика уменьшает риск инфицирования за счет уменьшения количества инфузионных линий и процедур с отдельными флаконами, сокращается временные затраты медицинского персонала, поэтому является преимущественной в использовании. Препараты «три в одном» </w:t>
      </w:r>
      <w:r w:rsidRPr="00427075">
        <w:rPr>
          <w:rFonts w:cs="Times New Roman"/>
          <w:szCs w:val="24"/>
        </w:rPr>
        <w:lastRenderedPageBreak/>
        <w:t>(«Кабивен периферический ицентральный», «Оликлиномель», «Нутрифлекс Липид 70/180» и др.) различаются между собой по соотношению компонентов, что может быть учтено при назначении этих смесей больным с имеющимися метаболическими нарушениями. Соотношение глюкоза/липиды 55/45% у препарата «Кабивен центральный», 62/38% - «Оликлиномель №7». Не следует назначать больным с сахарным диабетом питание с относительно большим содержанием глюкозы.</w:t>
      </w:r>
    </w:p>
    <w:p w14:paraId="49D6849B" w14:textId="77777777" w:rsidR="0000369C" w:rsidRDefault="0000369C" w:rsidP="0000369C">
      <w:pPr>
        <w:rPr>
          <w:rFonts w:cs="Times New Roman"/>
          <w:szCs w:val="24"/>
        </w:rPr>
      </w:pPr>
      <w:r w:rsidRPr="00427075">
        <w:rPr>
          <w:rFonts w:cs="Times New Roman"/>
          <w:szCs w:val="24"/>
        </w:rPr>
        <w:tab/>
      </w:r>
    </w:p>
    <w:p w14:paraId="45AA13D6" w14:textId="77777777" w:rsidR="0000369C" w:rsidRPr="00427075" w:rsidRDefault="0000369C" w:rsidP="0000369C">
      <w:pPr>
        <w:ind w:firstLine="709"/>
        <w:rPr>
          <w:rFonts w:cs="Times New Roman"/>
          <w:i/>
          <w:szCs w:val="24"/>
          <w:u w:val="single"/>
        </w:rPr>
      </w:pPr>
      <w:r w:rsidRPr="00427075">
        <w:rPr>
          <w:rFonts w:cs="Times New Roman"/>
          <w:i/>
          <w:szCs w:val="24"/>
          <w:u w:val="single"/>
        </w:rPr>
        <w:t>Методика проведения ПП:</w:t>
      </w:r>
    </w:p>
    <w:p w14:paraId="28C7D74E" w14:textId="77777777" w:rsidR="0000369C" w:rsidRPr="00427075" w:rsidRDefault="0000369C" w:rsidP="00C5490F">
      <w:pPr>
        <w:pStyle w:val="afe"/>
        <w:numPr>
          <w:ilvl w:val="0"/>
          <w:numId w:val="134"/>
        </w:numPr>
        <w:rPr>
          <w:rFonts w:cs="Times New Roman"/>
          <w:szCs w:val="24"/>
        </w:rPr>
      </w:pPr>
      <w:r w:rsidRPr="00427075">
        <w:rPr>
          <w:rFonts w:cs="Times New Roman"/>
          <w:szCs w:val="24"/>
        </w:rPr>
        <w:t>круглосуточная, преимущественно используется в круглосуточных стационарах и лучше переносится пациентами, так как суточный объем поступает постепенно и равномерно;</w:t>
      </w:r>
    </w:p>
    <w:p w14:paraId="159B87A8" w14:textId="77777777" w:rsidR="0000369C" w:rsidRPr="00427075" w:rsidRDefault="0000369C" w:rsidP="00C5490F">
      <w:pPr>
        <w:pStyle w:val="afe"/>
        <w:numPr>
          <w:ilvl w:val="0"/>
          <w:numId w:val="134"/>
        </w:numPr>
        <w:rPr>
          <w:rFonts w:cs="Times New Roman"/>
          <w:szCs w:val="24"/>
        </w:rPr>
      </w:pPr>
      <w:r w:rsidRPr="00427075">
        <w:rPr>
          <w:rFonts w:cs="Times New Roman"/>
          <w:szCs w:val="24"/>
        </w:rPr>
        <w:t>продленная  инфузия</w:t>
      </w:r>
      <w:r>
        <w:rPr>
          <w:rFonts w:cs="Times New Roman"/>
          <w:szCs w:val="24"/>
        </w:rPr>
        <w:t xml:space="preserve"> </w:t>
      </w:r>
      <w:r w:rsidRPr="00427075">
        <w:rPr>
          <w:rFonts w:cs="Times New Roman"/>
          <w:szCs w:val="24"/>
        </w:rPr>
        <w:t>(18-20 часов);</w:t>
      </w:r>
    </w:p>
    <w:p w14:paraId="0AAFF3FA" w14:textId="77777777" w:rsidR="0000369C" w:rsidRPr="00427075" w:rsidRDefault="0000369C" w:rsidP="00C5490F">
      <w:pPr>
        <w:pStyle w:val="afe"/>
        <w:numPr>
          <w:ilvl w:val="0"/>
          <w:numId w:val="134"/>
        </w:numPr>
        <w:rPr>
          <w:rFonts w:cs="Times New Roman"/>
          <w:szCs w:val="24"/>
        </w:rPr>
      </w:pPr>
      <w:r w:rsidRPr="00427075">
        <w:rPr>
          <w:rFonts w:cs="Times New Roman"/>
          <w:szCs w:val="24"/>
        </w:rPr>
        <w:t>циклический режим (8-12 часов) для стационаров с дневным пребыванием или для домашнего применения.</w:t>
      </w:r>
    </w:p>
    <w:p w14:paraId="1B2F7D4A" w14:textId="77777777" w:rsidR="0000369C" w:rsidRDefault="0000369C" w:rsidP="0000369C">
      <w:pPr>
        <w:ind w:firstLine="709"/>
        <w:rPr>
          <w:rFonts w:cs="Times New Roman"/>
          <w:i/>
          <w:szCs w:val="24"/>
          <w:u w:val="single"/>
        </w:rPr>
      </w:pPr>
    </w:p>
    <w:p w14:paraId="07E62D98" w14:textId="77777777" w:rsidR="0000369C" w:rsidRPr="00427075" w:rsidRDefault="0000369C" w:rsidP="0000369C">
      <w:pPr>
        <w:ind w:firstLine="709"/>
        <w:rPr>
          <w:rFonts w:cs="Times New Roman"/>
          <w:i/>
          <w:szCs w:val="24"/>
          <w:u w:val="single"/>
        </w:rPr>
      </w:pPr>
      <w:r w:rsidRPr="00427075">
        <w:rPr>
          <w:rFonts w:cs="Times New Roman"/>
          <w:i/>
          <w:szCs w:val="24"/>
          <w:u w:val="single"/>
        </w:rPr>
        <w:t>Принятие решения о начале ПП.</w:t>
      </w:r>
    </w:p>
    <w:p w14:paraId="246FCC0E" w14:textId="77777777" w:rsidR="0000369C" w:rsidRPr="00427075" w:rsidRDefault="0000369C" w:rsidP="0000369C">
      <w:pPr>
        <w:rPr>
          <w:rFonts w:cs="Times New Roman"/>
          <w:szCs w:val="24"/>
        </w:rPr>
      </w:pPr>
      <w:r w:rsidRPr="00427075">
        <w:rPr>
          <w:rFonts w:cs="Times New Roman"/>
          <w:szCs w:val="24"/>
        </w:rPr>
        <w:tab/>
        <w:t>Перед началом ПП необходимо убедиться, что причины, побуждающие начать нутритивную поддержку, не могут быть устранены в первые сутки. К ним относятся: рвота, как побочный эффект химиотерапии; умеренный болевой синдром при мукозите, который может быть устранен анальгетической терапией; диарея, не связанная с некротической энтеропатией, или РТПХ с поражением кишечника. Перед началом ПП должны быть предприняты попытки медикаментозной коррекции данных состояний с целью возобновления перорального приема пищи. Следующим этапом следует оценить возможность начала энтерального (зондового) питания, например, у больных в отделении реанимации и интенсивной терапии в условиях искусственной вентиляции легких (ИВЛ). При отсутствии альтернатив и наличии показаний начинают ПП, предварительно оценив метаболический статус пациента (определение индекса массы тела, оценка жидкости в плевральных, перитонеальной полостях, отечного синдрома с целью определения истинного веса без учета избыточной жидкости в организме) и определив исходные показатели общего белка, альбумина, липидного профиля, электролитный состав крови, концентрацию глюкозы, функции почек и печени. На основании этого рассчитывается суточная потребность в калориях из расчета 25-30 ккал/кг (вес без учета жидкости в полостях)/ сутки. Более точно потребность в калориях можно рассчитать с учетом потери массы тела и суточным азотистым балансом (см. табл.1).</w:t>
      </w:r>
    </w:p>
    <w:p w14:paraId="6FF3F286" w14:textId="77777777" w:rsidR="0000369C" w:rsidRDefault="0000369C" w:rsidP="0000369C">
      <w:pPr>
        <w:ind w:firstLine="709"/>
        <w:rPr>
          <w:rFonts w:cs="Times New Roman"/>
          <w:i/>
          <w:szCs w:val="24"/>
          <w:u w:val="single"/>
        </w:rPr>
      </w:pPr>
    </w:p>
    <w:p w14:paraId="7CABFCC8" w14:textId="69A35D5E" w:rsidR="0000369C" w:rsidRPr="00427075" w:rsidRDefault="0000369C" w:rsidP="0000369C">
      <w:pPr>
        <w:ind w:firstLine="709"/>
        <w:rPr>
          <w:rFonts w:cs="Times New Roman"/>
          <w:i/>
          <w:szCs w:val="24"/>
          <w:u w:val="single"/>
        </w:rPr>
      </w:pPr>
      <w:r w:rsidRPr="00427075">
        <w:rPr>
          <w:rFonts w:cs="Times New Roman"/>
          <w:i/>
          <w:szCs w:val="24"/>
          <w:u w:val="single"/>
        </w:rPr>
        <w:t>Показания для проведения ПП</w:t>
      </w:r>
      <w:r>
        <w:rPr>
          <w:rFonts w:cs="Times New Roman"/>
          <w:i/>
          <w:szCs w:val="24"/>
          <w:u w:val="single"/>
        </w:rPr>
        <w:t xml:space="preserve"> </w:t>
      </w:r>
      <w:r>
        <w:rPr>
          <w:rFonts w:cs="Times New Roman"/>
          <w:i/>
          <w:szCs w:val="24"/>
          <w:u w:val="single"/>
        </w:rPr>
        <w:fldChar w:fldCharType="begin" w:fldLock="1"/>
      </w:r>
      <w:r w:rsidR="001C46FD">
        <w:rPr>
          <w:rFonts w:cs="Times New Roman"/>
          <w:i/>
          <w:szCs w:val="24"/>
          <w:u w:val="single"/>
        </w:rPr>
        <w:instrText>ADDIN CSL_CITATION {"citationItems":[{"id":"ITEM-1","itemData":{"DOI":"10.1016/j.clnu.2016.07.015","ISSN":"15321983","PMID":"27637832","abstract":"Cancers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Nutrition","id":"ITEM-1","issue":"1","issued":{"date-parts":[["2017"]]},"page":"11-48","publisher":"Churchill Livingstone","title":"ESPEN guidelines on nutrition in cancer patients","type":"article-journal","volume":"36"},"uris":["http://www.mendeley.com/documents/?uuid=2586b0c4-9eb6-4463-a0ba-87fe84fbad8f"]}],"mendeley":{"formattedCitation":"[130]","plainTextFormattedCitation":"[130]","previouslyFormattedCitation":"[130]"},"properties":{"noteIndex":0},"schema":"https://github.com/citation-style-language/schema/raw/master/csl-citation.json"}</w:instrText>
      </w:r>
      <w:r>
        <w:rPr>
          <w:rFonts w:cs="Times New Roman"/>
          <w:i/>
          <w:szCs w:val="24"/>
          <w:u w:val="single"/>
        </w:rPr>
        <w:fldChar w:fldCharType="separate"/>
      </w:r>
      <w:r w:rsidRPr="0000369C">
        <w:rPr>
          <w:rFonts w:cs="Times New Roman"/>
          <w:noProof/>
          <w:szCs w:val="24"/>
        </w:rPr>
        <w:t>[130]</w:t>
      </w:r>
      <w:r>
        <w:rPr>
          <w:rFonts w:cs="Times New Roman"/>
          <w:i/>
          <w:szCs w:val="24"/>
          <w:u w:val="single"/>
        </w:rPr>
        <w:fldChar w:fldCharType="end"/>
      </w:r>
      <w:r w:rsidRPr="00427075">
        <w:rPr>
          <w:rFonts w:cs="Times New Roman"/>
          <w:i/>
          <w:szCs w:val="24"/>
          <w:u w:val="single"/>
        </w:rPr>
        <w:t>:</w:t>
      </w:r>
    </w:p>
    <w:p w14:paraId="6D0D7978" w14:textId="77777777" w:rsidR="0000369C" w:rsidRPr="00427075" w:rsidRDefault="0000369C" w:rsidP="00C5490F">
      <w:pPr>
        <w:pStyle w:val="afe"/>
        <w:numPr>
          <w:ilvl w:val="0"/>
          <w:numId w:val="127"/>
        </w:numPr>
        <w:rPr>
          <w:rFonts w:cs="Times New Roman"/>
          <w:szCs w:val="24"/>
        </w:rPr>
      </w:pPr>
      <w:r w:rsidRPr="00427075">
        <w:rPr>
          <w:rFonts w:cs="Times New Roman"/>
          <w:szCs w:val="24"/>
        </w:rPr>
        <w:t>Невозможность проведения перорального или энтерального питания более 72 часов;</w:t>
      </w:r>
    </w:p>
    <w:p w14:paraId="38F9D154" w14:textId="77777777" w:rsidR="0000369C" w:rsidRPr="00427075" w:rsidRDefault="0000369C" w:rsidP="00C5490F">
      <w:pPr>
        <w:pStyle w:val="afe"/>
        <w:numPr>
          <w:ilvl w:val="0"/>
          <w:numId w:val="127"/>
        </w:numPr>
        <w:rPr>
          <w:rFonts w:cs="Times New Roman"/>
          <w:szCs w:val="24"/>
        </w:rPr>
      </w:pPr>
      <w:r w:rsidRPr="00427075">
        <w:rPr>
          <w:rFonts w:cs="Times New Roman"/>
          <w:szCs w:val="24"/>
        </w:rPr>
        <w:t>Тяжелая белково-энергетическая недостаточность (индекс массы тела менее 19 кг/м</w:t>
      </w:r>
      <w:r w:rsidRPr="00427075">
        <w:rPr>
          <w:rFonts w:cs="Times New Roman"/>
          <w:szCs w:val="24"/>
          <w:vertAlign w:val="superscript"/>
        </w:rPr>
        <w:t>2</w:t>
      </w:r>
      <w:r w:rsidRPr="00427075">
        <w:rPr>
          <w:rFonts w:cs="Times New Roman"/>
          <w:szCs w:val="24"/>
        </w:rPr>
        <w:t>), которая не может быть полностью корригирована  пероральным или энтеральным питанием;</w:t>
      </w:r>
    </w:p>
    <w:p w14:paraId="62E04A2C" w14:textId="77777777" w:rsidR="0000369C" w:rsidRPr="00427075" w:rsidRDefault="0000369C" w:rsidP="00C5490F">
      <w:pPr>
        <w:pStyle w:val="afe"/>
        <w:numPr>
          <w:ilvl w:val="0"/>
          <w:numId w:val="127"/>
        </w:numPr>
        <w:rPr>
          <w:rFonts w:cs="Times New Roman"/>
          <w:szCs w:val="24"/>
        </w:rPr>
      </w:pPr>
      <w:r w:rsidRPr="00427075">
        <w:rPr>
          <w:rFonts w:cs="Times New Roman"/>
          <w:szCs w:val="24"/>
        </w:rPr>
        <w:t>Кишечная недостаточность или тяжелая диарея (&gt; 500 мл/сут</w:t>
      </w:r>
      <w:r w:rsidRPr="00427075">
        <w:rPr>
          <w:rFonts w:cs="Times New Roman"/>
          <w:i/>
          <w:szCs w:val="24"/>
        </w:rPr>
        <w:t xml:space="preserve"> </w:t>
      </w:r>
      <w:r w:rsidRPr="00427075">
        <w:rPr>
          <w:rFonts w:cs="Times New Roman"/>
          <w:szCs w:val="24"/>
        </w:rPr>
        <w:t>более 3 суток);</w:t>
      </w:r>
    </w:p>
    <w:p w14:paraId="518A5ED6" w14:textId="77777777" w:rsidR="0000369C" w:rsidRPr="00427075" w:rsidRDefault="0000369C" w:rsidP="00C5490F">
      <w:pPr>
        <w:pStyle w:val="afe"/>
        <w:numPr>
          <w:ilvl w:val="0"/>
          <w:numId w:val="127"/>
        </w:numPr>
        <w:rPr>
          <w:rFonts w:cs="Times New Roman"/>
          <w:szCs w:val="24"/>
        </w:rPr>
      </w:pPr>
      <w:r w:rsidRPr="00427075">
        <w:rPr>
          <w:rFonts w:cs="Times New Roman"/>
          <w:szCs w:val="24"/>
        </w:rPr>
        <w:t>Реакция трансплантат против хозяина с поражением кишечника с признаками тяжелой энтеропатии (диарея, кровоточивость);</w:t>
      </w:r>
    </w:p>
    <w:p w14:paraId="44652450" w14:textId="77777777" w:rsidR="0000369C" w:rsidRPr="00427075" w:rsidRDefault="0000369C" w:rsidP="00C5490F">
      <w:pPr>
        <w:pStyle w:val="afe"/>
        <w:numPr>
          <w:ilvl w:val="0"/>
          <w:numId w:val="127"/>
        </w:numPr>
        <w:rPr>
          <w:rFonts w:cs="Times New Roman"/>
          <w:szCs w:val="24"/>
        </w:rPr>
      </w:pPr>
      <w:r w:rsidRPr="00427075">
        <w:rPr>
          <w:rFonts w:cs="Times New Roman"/>
          <w:szCs w:val="24"/>
        </w:rPr>
        <w:t>Тяжелый мукозит (с прекращением перорального питания);</w:t>
      </w:r>
    </w:p>
    <w:p w14:paraId="772EF277" w14:textId="77777777" w:rsidR="0000369C" w:rsidRPr="00427075" w:rsidRDefault="0000369C" w:rsidP="00C5490F">
      <w:pPr>
        <w:pStyle w:val="afe"/>
        <w:numPr>
          <w:ilvl w:val="0"/>
          <w:numId w:val="127"/>
        </w:numPr>
        <w:rPr>
          <w:rFonts w:cs="Times New Roman"/>
          <w:szCs w:val="24"/>
        </w:rPr>
      </w:pPr>
      <w:r w:rsidRPr="00427075">
        <w:rPr>
          <w:rFonts w:cs="Times New Roman"/>
          <w:szCs w:val="24"/>
        </w:rPr>
        <w:t>Тяжелый панкреатит;</w:t>
      </w:r>
    </w:p>
    <w:p w14:paraId="5F18C487" w14:textId="77777777" w:rsidR="0000369C" w:rsidRPr="00427075" w:rsidRDefault="0000369C" w:rsidP="00C5490F">
      <w:pPr>
        <w:pStyle w:val="afe"/>
        <w:numPr>
          <w:ilvl w:val="0"/>
          <w:numId w:val="127"/>
        </w:numPr>
        <w:rPr>
          <w:rFonts w:cs="Times New Roman"/>
          <w:szCs w:val="24"/>
        </w:rPr>
      </w:pPr>
      <w:r w:rsidRPr="00427075">
        <w:rPr>
          <w:rFonts w:cs="Times New Roman"/>
          <w:szCs w:val="24"/>
        </w:rPr>
        <w:t>Кишечная непроходимость;</w:t>
      </w:r>
    </w:p>
    <w:p w14:paraId="54384E47" w14:textId="77777777" w:rsidR="0000369C" w:rsidRPr="00427075" w:rsidRDefault="0000369C" w:rsidP="00C5490F">
      <w:pPr>
        <w:pStyle w:val="afe"/>
        <w:numPr>
          <w:ilvl w:val="0"/>
          <w:numId w:val="127"/>
        </w:numPr>
        <w:rPr>
          <w:rFonts w:cs="Times New Roman"/>
          <w:szCs w:val="24"/>
        </w:rPr>
      </w:pPr>
      <w:r w:rsidRPr="00427075">
        <w:rPr>
          <w:rFonts w:cs="Times New Roman"/>
          <w:szCs w:val="24"/>
        </w:rPr>
        <w:t xml:space="preserve">Гастростаз или обструкция пилорического отдела желудка; </w:t>
      </w:r>
    </w:p>
    <w:p w14:paraId="0F1FCE77" w14:textId="77777777" w:rsidR="0000369C" w:rsidRPr="00427075" w:rsidRDefault="0000369C" w:rsidP="00C5490F">
      <w:pPr>
        <w:pStyle w:val="afe"/>
        <w:numPr>
          <w:ilvl w:val="0"/>
          <w:numId w:val="127"/>
        </w:numPr>
        <w:rPr>
          <w:rFonts w:cs="Times New Roman"/>
          <w:szCs w:val="24"/>
        </w:rPr>
      </w:pPr>
      <w:r w:rsidRPr="00427075">
        <w:rPr>
          <w:rFonts w:cs="Times New Roman"/>
          <w:szCs w:val="24"/>
        </w:rPr>
        <w:t>Критические состояния (шок, острая дыхательная недостаточность, проведение ИВЛ), когда невозможно проводить парентеральное питание;</w:t>
      </w:r>
    </w:p>
    <w:p w14:paraId="52406872" w14:textId="77777777" w:rsidR="0000369C" w:rsidRPr="00427075" w:rsidRDefault="0000369C" w:rsidP="00C5490F">
      <w:pPr>
        <w:pStyle w:val="afe"/>
        <w:numPr>
          <w:ilvl w:val="0"/>
          <w:numId w:val="127"/>
        </w:numPr>
        <w:rPr>
          <w:rFonts w:cs="Times New Roman"/>
          <w:szCs w:val="24"/>
        </w:rPr>
      </w:pPr>
      <w:r w:rsidRPr="00427075">
        <w:rPr>
          <w:rFonts w:cs="Times New Roman"/>
          <w:szCs w:val="24"/>
        </w:rPr>
        <w:t>Наружный свищ тонкой кишки.</w:t>
      </w:r>
    </w:p>
    <w:p w14:paraId="0BF3C69E" w14:textId="77777777" w:rsidR="0000369C" w:rsidRPr="00427075" w:rsidRDefault="0000369C" w:rsidP="0000369C">
      <w:pPr>
        <w:pStyle w:val="afe"/>
        <w:ind w:left="0" w:firstLine="709"/>
        <w:rPr>
          <w:rFonts w:cs="Times New Roman"/>
          <w:szCs w:val="24"/>
        </w:rPr>
      </w:pPr>
      <w:r w:rsidRPr="00427075">
        <w:rPr>
          <w:rFonts w:cs="Times New Roman"/>
          <w:szCs w:val="24"/>
        </w:rPr>
        <w:t>У гематологических пациентов</w:t>
      </w:r>
      <w:r w:rsidRPr="00427075">
        <w:rPr>
          <w:rFonts w:cs="Times New Roman"/>
          <w:i/>
          <w:color w:val="FF0000"/>
          <w:szCs w:val="24"/>
        </w:rPr>
        <w:t xml:space="preserve"> </w:t>
      </w:r>
      <w:r w:rsidRPr="00427075">
        <w:rPr>
          <w:rFonts w:cs="Times New Roman"/>
          <w:szCs w:val="24"/>
        </w:rPr>
        <w:t>чаще всего начало ПП связано с развитием тяжелой диареи, тяжелой РТПХ с поражением кишечника, мукозитом.</w:t>
      </w:r>
    </w:p>
    <w:p w14:paraId="22174FC7" w14:textId="77777777" w:rsidR="0000369C" w:rsidRDefault="0000369C" w:rsidP="0000369C">
      <w:pPr>
        <w:ind w:firstLine="709"/>
        <w:rPr>
          <w:rFonts w:cs="Times New Roman"/>
          <w:i/>
          <w:szCs w:val="24"/>
          <w:u w:val="single"/>
        </w:rPr>
      </w:pPr>
    </w:p>
    <w:p w14:paraId="735C377E" w14:textId="2D904831" w:rsidR="0000369C" w:rsidRPr="00427075" w:rsidRDefault="0000369C" w:rsidP="0000369C">
      <w:pPr>
        <w:ind w:firstLine="709"/>
        <w:rPr>
          <w:rFonts w:cs="Times New Roman"/>
          <w:i/>
          <w:szCs w:val="24"/>
          <w:u w:val="single"/>
        </w:rPr>
      </w:pPr>
      <w:r w:rsidRPr="00427075">
        <w:rPr>
          <w:rFonts w:cs="Times New Roman"/>
          <w:i/>
          <w:szCs w:val="24"/>
          <w:u w:val="single"/>
        </w:rPr>
        <w:t>Противопоказания для ПП</w:t>
      </w:r>
      <w:r>
        <w:rPr>
          <w:rFonts w:cs="Times New Roman"/>
          <w:i/>
          <w:szCs w:val="24"/>
          <w:u w:val="single"/>
        </w:rPr>
        <w:fldChar w:fldCharType="begin" w:fldLock="1"/>
      </w:r>
      <w:r w:rsidR="001C46FD">
        <w:rPr>
          <w:rFonts w:cs="Times New Roman"/>
          <w:i/>
          <w:szCs w:val="24"/>
          <w:u w:val="single"/>
        </w:rPr>
        <w:instrText>ADDIN CSL_CITATION {"citationItems":[{"id":"ITEM-1","itemData":{"DOI":"10.1016/j.clnu.2016.07.015","ISSN":"15321983","PMID":"27637832","abstract":"Cancers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Nutrition","id":"ITEM-1","issue":"1","issued":{"date-parts":[["2017"]]},"page":"11-48","publisher":"Churchill Livingstone","title":"ESPEN guidelines on nutrition in cancer patients","type":"article-journal","volume":"36"},"uris":["http://www.mendeley.com/documents/?uuid=2586b0c4-9eb6-4463-a0ba-87fe84fbad8f"]}],"mendeley":{"formattedCitation":"[130]","plainTextFormattedCitation":"[130]","previouslyFormattedCitation":"[130]"},"properties":{"noteIndex":0},"schema":"https://github.com/citation-style-language/schema/raw/master/csl-citation.json"}</w:instrText>
      </w:r>
      <w:r>
        <w:rPr>
          <w:rFonts w:cs="Times New Roman"/>
          <w:i/>
          <w:szCs w:val="24"/>
          <w:u w:val="single"/>
        </w:rPr>
        <w:fldChar w:fldCharType="separate"/>
      </w:r>
      <w:r w:rsidRPr="0000369C">
        <w:rPr>
          <w:rFonts w:cs="Times New Roman"/>
          <w:noProof/>
          <w:szCs w:val="24"/>
        </w:rPr>
        <w:t>[130]</w:t>
      </w:r>
      <w:r>
        <w:rPr>
          <w:rFonts w:cs="Times New Roman"/>
          <w:i/>
          <w:szCs w:val="24"/>
          <w:u w:val="single"/>
        </w:rPr>
        <w:fldChar w:fldCharType="end"/>
      </w:r>
      <w:r w:rsidRPr="00427075">
        <w:rPr>
          <w:rFonts w:cs="Times New Roman"/>
          <w:i/>
          <w:szCs w:val="24"/>
          <w:u w:val="single"/>
        </w:rPr>
        <w:t>:</w:t>
      </w:r>
    </w:p>
    <w:p w14:paraId="33C9D170" w14:textId="77777777" w:rsidR="0000369C" w:rsidRPr="00427075" w:rsidRDefault="0000369C" w:rsidP="00C5490F">
      <w:pPr>
        <w:pStyle w:val="afe"/>
        <w:numPr>
          <w:ilvl w:val="0"/>
          <w:numId w:val="128"/>
        </w:numPr>
        <w:rPr>
          <w:rFonts w:cs="Times New Roman"/>
          <w:szCs w:val="24"/>
        </w:rPr>
      </w:pPr>
      <w:r w:rsidRPr="00427075">
        <w:rPr>
          <w:rFonts w:cs="Times New Roman"/>
          <w:szCs w:val="24"/>
        </w:rPr>
        <w:t>Возможность полноценного восполнения нутритивного дефицита перорально или энтерально;</w:t>
      </w:r>
    </w:p>
    <w:p w14:paraId="6074887B" w14:textId="77777777" w:rsidR="0000369C" w:rsidRPr="00427075" w:rsidRDefault="0000369C" w:rsidP="00C5490F">
      <w:pPr>
        <w:pStyle w:val="afe"/>
        <w:numPr>
          <w:ilvl w:val="0"/>
          <w:numId w:val="128"/>
        </w:numPr>
        <w:rPr>
          <w:rFonts w:cs="Times New Roman"/>
          <w:szCs w:val="24"/>
        </w:rPr>
      </w:pPr>
      <w:r w:rsidRPr="00427075">
        <w:rPr>
          <w:rFonts w:cs="Times New Roman"/>
          <w:szCs w:val="24"/>
        </w:rPr>
        <w:t>Терминальное состояние пациента (относительное противопоказание);</w:t>
      </w:r>
    </w:p>
    <w:p w14:paraId="71A4CBDE" w14:textId="77777777" w:rsidR="0000369C" w:rsidRPr="00427075" w:rsidRDefault="0000369C" w:rsidP="00C5490F">
      <w:pPr>
        <w:pStyle w:val="afe"/>
        <w:numPr>
          <w:ilvl w:val="0"/>
          <w:numId w:val="128"/>
        </w:numPr>
        <w:rPr>
          <w:rFonts w:cs="Times New Roman"/>
          <w:szCs w:val="24"/>
        </w:rPr>
      </w:pPr>
      <w:r w:rsidRPr="00427075">
        <w:rPr>
          <w:rFonts w:cs="Times New Roman"/>
          <w:szCs w:val="24"/>
        </w:rPr>
        <w:t xml:space="preserve">Рекомендуется воздержаться в первые 48 часов после развития септического шока от парентерального питания. </w:t>
      </w:r>
    </w:p>
    <w:p w14:paraId="5A2E0725" w14:textId="77777777" w:rsidR="0000369C" w:rsidRPr="00427075" w:rsidRDefault="0000369C" w:rsidP="0000369C">
      <w:pPr>
        <w:ind w:left="360" w:firstLine="348"/>
        <w:rPr>
          <w:rFonts w:cs="Times New Roman"/>
          <w:szCs w:val="24"/>
        </w:rPr>
      </w:pPr>
      <w:r w:rsidRPr="00427075">
        <w:rPr>
          <w:rFonts w:cs="Times New Roman"/>
          <w:szCs w:val="24"/>
        </w:rPr>
        <w:t>Наличие острой почечной недостаточности у больных не может быть противопоказанием для проведения парентерального питания.</w:t>
      </w:r>
    </w:p>
    <w:p w14:paraId="32D50E41" w14:textId="77777777" w:rsidR="0000369C" w:rsidRDefault="0000369C" w:rsidP="0000369C">
      <w:pPr>
        <w:ind w:left="142" w:firstLine="348"/>
        <w:rPr>
          <w:rFonts w:cs="Times New Roman"/>
          <w:szCs w:val="24"/>
        </w:rPr>
      </w:pPr>
    </w:p>
    <w:p w14:paraId="32909819" w14:textId="77777777" w:rsidR="0000369C" w:rsidRPr="00427075" w:rsidRDefault="0000369C" w:rsidP="0000369C">
      <w:pPr>
        <w:ind w:firstLine="709"/>
        <w:rPr>
          <w:rFonts w:cs="Times New Roman"/>
          <w:i/>
          <w:szCs w:val="24"/>
          <w:u w:val="single"/>
        </w:rPr>
      </w:pPr>
      <w:r w:rsidRPr="00427075">
        <w:rPr>
          <w:rFonts w:cs="Times New Roman"/>
          <w:i/>
          <w:szCs w:val="24"/>
          <w:u w:val="single"/>
        </w:rPr>
        <w:t>Осложнения проведения ПП:</w:t>
      </w:r>
    </w:p>
    <w:p w14:paraId="7027D1AB" w14:textId="77777777" w:rsidR="0000369C" w:rsidRPr="00427075" w:rsidRDefault="0000369C" w:rsidP="0000369C">
      <w:pPr>
        <w:ind w:left="709" w:hanging="283"/>
        <w:rPr>
          <w:rFonts w:cs="Times New Roman"/>
          <w:szCs w:val="24"/>
        </w:rPr>
      </w:pPr>
      <w:r w:rsidRPr="00427075">
        <w:rPr>
          <w:rFonts w:cs="Times New Roman"/>
          <w:szCs w:val="24"/>
        </w:rPr>
        <w:t xml:space="preserve">1. Осложнения связанные с катетеризацией центральных вен: </w:t>
      </w:r>
    </w:p>
    <w:p w14:paraId="42A37E1D" w14:textId="77777777" w:rsidR="0000369C" w:rsidRPr="00427075" w:rsidRDefault="0000369C" w:rsidP="00C5490F">
      <w:pPr>
        <w:pStyle w:val="afe"/>
        <w:numPr>
          <w:ilvl w:val="1"/>
          <w:numId w:val="129"/>
        </w:numPr>
        <w:tabs>
          <w:tab w:val="left" w:pos="1134"/>
        </w:tabs>
        <w:rPr>
          <w:rFonts w:cs="Times New Roman"/>
          <w:szCs w:val="24"/>
        </w:rPr>
      </w:pPr>
      <w:r w:rsidRPr="00427075">
        <w:rPr>
          <w:rFonts w:cs="Times New Roman"/>
          <w:szCs w:val="24"/>
        </w:rPr>
        <w:t>Инфекционные;</w:t>
      </w:r>
    </w:p>
    <w:p w14:paraId="1529F515" w14:textId="77777777" w:rsidR="0000369C" w:rsidRPr="00427075" w:rsidRDefault="0000369C" w:rsidP="00C5490F">
      <w:pPr>
        <w:pStyle w:val="afe"/>
        <w:numPr>
          <w:ilvl w:val="1"/>
          <w:numId w:val="129"/>
        </w:numPr>
        <w:tabs>
          <w:tab w:val="left" w:pos="1134"/>
        </w:tabs>
        <w:rPr>
          <w:rFonts w:cs="Times New Roman"/>
          <w:szCs w:val="24"/>
        </w:rPr>
      </w:pPr>
      <w:r w:rsidRPr="00427075">
        <w:rPr>
          <w:rFonts w:cs="Times New Roman"/>
          <w:szCs w:val="24"/>
        </w:rPr>
        <w:t>Тромботические;</w:t>
      </w:r>
    </w:p>
    <w:p w14:paraId="05ABD23E" w14:textId="77777777" w:rsidR="0000369C" w:rsidRPr="00427075" w:rsidRDefault="0000369C" w:rsidP="00C5490F">
      <w:pPr>
        <w:pStyle w:val="afe"/>
        <w:numPr>
          <w:ilvl w:val="1"/>
          <w:numId w:val="129"/>
        </w:numPr>
        <w:tabs>
          <w:tab w:val="left" w:pos="1134"/>
        </w:tabs>
        <w:rPr>
          <w:rFonts w:cs="Times New Roman"/>
          <w:szCs w:val="24"/>
        </w:rPr>
      </w:pPr>
      <w:r w:rsidRPr="00427075">
        <w:rPr>
          <w:rFonts w:cs="Times New Roman"/>
          <w:szCs w:val="24"/>
        </w:rPr>
        <w:t xml:space="preserve">Геморрагические; </w:t>
      </w:r>
    </w:p>
    <w:p w14:paraId="2BAD3D10" w14:textId="77777777" w:rsidR="0000369C" w:rsidRPr="00427075" w:rsidRDefault="0000369C" w:rsidP="00C5490F">
      <w:pPr>
        <w:pStyle w:val="afe"/>
        <w:numPr>
          <w:ilvl w:val="1"/>
          <w:numId w:val="129"/>
        </w:numPr>
        <w:tabs>
          <w:tab w:val="left" w:pos="1134"/>
        </w:tabs>
        <w:rPr>
          <w:rFonts w:cs="Times New Roman"/>
          <w:szCs w:val="24"/>
        </w:rPr>
      </w:pPr>
      <w:r w:rsidRPr="00427075">
        <w:rPr>
          <w:rFonts w:cs="Times New Roman"/>
          <w:szCs w:val="24"/>
        </w:rPr>
        <w:t xml:space="preserve">Воздушная эмболия; </w:t>
      </w:r>
    </w:p>
    <w:p w14:paraId="300C4C8E" w14:textId="77777777" w:rsidR="0000369C" w:rsidRPr="00427075" w:rsidRDefault="0000369C" w:rsidP="00C5490F">
      <w:pPr>
        <w:pStyle w:val="afe"/>
        <w:numPr>
          <w:ilvl w:val="1"/>
          <w:numId w:val="129"/>
        </w:numPr>
        <w:tabs>
          <w:tab w:val="left" w:pos="1134"/>
        </w:tabs>
        <w:rPr>
          <w:rFonts w:cs="Times New Roman"/>
          <w:szCs w:val="24"/>
        </w:rPr>
      </w:pPr>
      <w:r w:rsidRPr="00427075">
        <w:rPr>
          <w:rFonts w:cs="Times New Roman"/>
          <w:szCs w:val="24"/>
        </w:rPr>
        <w:lastRenderedPageBreak/>
        <w:t>Пневмоторакс.</w:t>
      </w:r>
    </w:p>
    <w:p w14:paraId="62E1B0D6" w14:textId="77777777" w:rsidR="0000369C" w:rsidRPr="00427075" w:rsidRDefault="0000369C" w:rsidP="0000369C">
      <w:pPr>
        <w:tabs>
          <w:tab w:val="left" w:pos="284"/>
        </w:tabs>
        <w:ind w:left="993" w:hanging="567"/>
        <w:rPr>
          <w:rFonts w:cs="Times New Roman"/>
          <w:szCs w:val="24"/>
        </w:rPr>
      </w:pPr>
      <w:r w:rsidRPr="00427075">
        <w:rPr>
          <w:rFonts w:cs="Times New Roman"/>
          <w:szCs w:val="24"/>
        </w:rPr>
        <w:t xml:space="preserve">2. Метаболические осложнения: </w:t>
      </w:r>
    </w:p>
    <w:p w14:paraId="0749E600" w14:textId="77777777" w:rsidR="0000369C" w:rsidRPr="00427075" w:rsidRDefault="0000369C" w:rsidP="00C5490F">
      <w:pPr>
        <w:pStyle w:val="afe"/>
        <w:numPr>
          <w:ilvl w:val="0"/>
          <w:numId w:val="130"/>
        </w:numPr>
        <w:tabs>
          <w:tab w:val="left" w:pos="1134"/>
          <w:tab w:val="left" w:pos="1276"/>
        </w:tabs>
        <w:rPr>
          <w:rFonts w:cs="Times New Roman"/>
          <w:szCs w:val="24"/>
        </w:rPr>
      </w:pPr>
      <w:r w:rsidRPr="00427075">
        <w:rPr>
          <w:rFonts w:cs="Times New Roman"/>
          <w:szCs w:val="24"/>
        </w:rPr>
        <w:t>Гипергликемия;</w:t>
      </w:r>
    </w:p>
    <w:p w14:paraId="390942D3" w14:textId="77777777" w:rsidR="0000369C" w:rsidRPr="00427075" w:rsidRDefault="0000369C" w:rsidP="00C5490F">
      <w:pPr>
        <w:pStyle w:val="afe"/>
        <w:numPr>
          <w:ilvl w:val="0"/>
          <w:numId w:val="130"/>
        </w:numPr>
        <w:tabs>
          <w:tab w:val="left" w:pos="1134"/>
          <w:tab w:val="left" w:pos="1276"/>
        </w:tabs>
        <w:rPr>
          <w:rFonts w:cs="Times New Roman"/>
          <w:szCs w:val="24"/>
        </w:rPr>
      </w:pPr>
      <w:r w:rsidRPr="00427075">
        <w:rPr>
          <w:rFonts w:cs="Times New Roman"/>
          <w:szCs w:val="24"/>
        </w:rPr>
        <w:t>Водно-электролитные нарушения;</w:t>
      </w:r>
    </w:p>
    <w:p w14:paraId="335574AA" w14:textId="77777777" w:rsidR="0000369C" w:rsidRPr="00427075" w:rsidRDefault="0000369C" w:rsidP="00C5490F">
      <w:pPr>
        <w:pStyle w:val="afe"/>
        <w:numPr>
          <w:ilvl w:val="0"/>
          <w:numId w:val="130"/>
        </w:numPr>
        <w:tabs>
          <w:tab w:val="left" w:pos="1134"/>
          <w:tab w:val="left" w:pos="1276"/>
        </w:tabs>
        <w:rPr>
          <w:rFonts w:cs="Times New Roman"/>
          <w:szCs w:val="24"/>
        </w:rPr>
      </w:pPr>
      <w:r w:rsidRPr="00427075">
        <w:rPr>
          <w:rFonts w:cs="Times New Roman"/>
          <w:szCs w:val="24"/>
        </w:rPr>
        <w:t>Гипертриглицеридемия;</w:t>
      </w:r>
    </w:p>
    <w:p w14:paraId="706979B1" w14:textId="77777777" w:rsidR="0000369C" w:rsidRPr="00427075" w:rsidRDefault="0000369C" w:rsidP="00C5490F">
      <w:pPr>
        <w:pStyle w:val="afe"/>
        <w:numPr>
          <w:ilvl w:val="0"/>
          <w:numId w:val="130"/>
        </w:numPr>
        <w:tabs>
          <w:tab w:val="left" w:pos="1134"/>
          <w:tab w:val="left" w:pos="1276"/>
        </w:tabs>
        <w:rPr>
          <w:rFonts w:cs="Times New Roman"/>
          <w:szCs w:val="24"/>
        </w:rPr>
      </w:pPr>
      <w:r w:rsidRPr="00427075">
        <w:rPr>
          <w:rFonts w:cs="Times New Roman"/>
          <w:szCs w:val="24"/>
        </w:rPr>
        <w:t>Повышения концентрации азота мочевины;</w:t>
      </w:r>
    </w:p>
    <w:p w14:paraId="196E76A3" w14:textId="77777777" w:rsidR="0000369C" w:rsidRPr="00427075" w:rsidRDefault="0000369C" w:rsidP="00C5490F">
      <w:pPr>
        <w:pStyle w:val="afe"/>
        <w:numPr>
          <w:ilvl w:val="0"/>
          <w:numId w:val="130"/>
        </w:numPr>
        <w:tabs>
          <w:tab w:val="left" w:pos="1134"/>
          <w:tab w:val="left" w:pos="1276"/>
        </w:tabs>
        <w:rPr>
          <w:rFonts w:cs="Times New Roman"/>
          <w:szCs w:val="24"/>
        </w:rPr>
      </w:pPr>
      <w:r w:rsidRPr="00427075">
        <w:rPr>
          <w:rFonts w:cs="Times New Roman"/>
          <w:szCs w:val="24"/>
        </w:rPr>
        <w:t>Повышение активности печеночных трансаминаз.</w:t>
      </w:r>
    </w:p>
    <w:p w14:paraId="3DC9FE17" w14:textId="77777777" w:rsidR="0000369C" w:rsidRPr="00427075" w:rsidRDefault="0000369C" w:rsidP="0000369C">
      <w:pPr>
        <w:tabs>
          <w:tab w:val="left" w:pos="1134"/>
        </w:tabs>
        <w:ind w:left="993" w:hanging="567"/>
        <w:rPr>
          <w:rFonts w:cs="Times New Roman"/>
          <w:szCs w:val="24"/>
        </w:rPr>
      </w:pPr>
      <w:r w:rsidRPr="00427075">
        <w:rPr>
          <w:rFonts w:cs="Times New Roman"/>
          <w:szCs w:val="24"/>
        </w:rPr>
        <w:t>3. Дисфункция органов пищеварительной системы:</w:t>
      </w:r>
    </w:p>
    <w:p w14:paraId="09259F03" w14:textId="77777777" w:rsidR="0000369C" w:rsidRPr="00427075" w:rsidRDefault="0000369C" w:rsidP="00C5490F">
      <w:pPr>
        <w:pStyle w:val="afe"/>
        <w:numPr>
          <w:ilvl w:val="0"/>
          <w:numId w:val="131"/>
        </w:numPr>
        <w:tabs>
          <w:tab w:val="left" w:pos="1134"/>
        </w:tabs>
        <w:rPr>
          <w:rFonts w:cs="Times New Roman"/>
          <w:szCs w:val="24"/>
        </w:rPr>
      </w:pPr>
      <w:r w:rsidRPr="00427075">
        <w:rPr>
          <w:rFonts w:cs="Times New Roman"/>
          <w:szCs w:val="24"/>
        </w:rPr>
        <w:t>Холестаз, холецистит;</w:t>
      </w:r>
    </w:p>
    <w:p w14:paraId="0351E3BA" w14:textId="77777777" w:rsidR="0000369C" w:rsidRPr="00427075" w:rsidRDefault="0000369C" w:rsidP="00C5490F">
      <w:pPr>
        <w:pStyle w:val="afe"/>
        <w:numPr>
          <w:ilvl w:val="0"/>
          <w:numId w:val="131"/>
        </w:numPr>
        <w:tabs>
          <w:tab w:val="left" w:pos="1134"/>
        </w:tabs>
        <w:rPr>
          <w:rFonts w:cs="Times New Roman"/>
          <w:szCs w:val="24"/>
        </w:rPr>
      </w:pPr>
      <w:r w:rsidRPr="00427075">
        <w:rPr>
          <w:rFonts w:cs="Times New Roman"/>
          <w:szCs w:val="24"/>
        </w:rPr>
        <w:t>Гипотрофия стенки кишечника;</w:t>
      </w:r>
    </w:p>
    <w:p w14:paraId="7799FB6F" w14:textId="77777777" w:rsidR="0000369C" w:rsidRPr="00427075" w:rsidRDefault="0000369C" w:rsidP="00C5490F">
      <w:pPr>
        <w:pStyle w:val="afe"/>
        <w:numPr>
          <w:ilvl w:val="0"/>
          <w:numId w:val="131"/>
        </w:numPr>
        <w:tabs>
          <w:tab w:val="left" w:pos="1134"/>
        </w:tabs>
        <w:rPr>
          <w:rFonts w:cs="Times New Roman"/>
          <w:szCs w:val="24"/>
        </w:rPr>
      </w:pPr>
      <w:r w:rsidRPr="00427075">
        <w:rPr>
          <w:rFonts w:cs="Times New Roman"/>
          <w:szCs w:val="24"/>
        </w:rPr>
        <w:t>Жировой стеатоз печени;</w:t>
      </w:r>
    </w:p>
    <w:p w14:paraId="694FB940" w14:textId="77777777" w:rsidR="0000369C" w:rsidRPr="00427075" w:rsidRDefault="0000369C" w:rsidP="00C5490F">
      <w:pPr>
        <w:pStyle w:val="afe"/>
        <w:numPr>
          <w:ilvl w:val="0"/>
          <w:numId w:val="131"/>
        </w:numPr>
        <w:tabs>
          <w:tab w:val="left" w:pos="1134"/>
        </w:tabs>
        <w:rPr>
          <w:rFonts w:cs="Times New Roman"/>
          <w:szCs w:val="24"/>
        </w:rPr>
      </w:pPr>
      <w:r w:rsidRPr="00427075">
        <w:rPr>
          <w:rFonts w:cs="Times New Roman"/>
          <w:szCs w:val="24"/>
        </w:rPr>
        <w:t>Острый панкреатит (особенно в случае с сочетанием с врожденной гипертриглицеридемией)</w:t>
      </w:r>
    </w:p>
    <w:p w14:paraId="3282BA9F" w14:textId="77777777" w:rsidR="0000369C" w:rsidRPr="00427075" w:rsidRDefault="0000369C" w:rsidP="0000369C">
      <w:pPr>
        <w:ind w:firstLine="426"/>
        <w:rPr>
          <w:rFonts w:cs="Times New Roman"/>
          <w:szCs w:val="24"/>
        </w:rPr>
      </w:pPr>
      <w:r w:rsidRPr="00427075">
        <w:rPr>
          <w:rFonts w:cs="Times New Roman"/>
          <w:szCs w:val="24"/>
        </w:rPr>
        <w:t>4. Аллергические реакции на компоненты парентерального питания.</w:t>
      </w:r>
    </w:p>
    <w:p w14:paraId="5C3E2E97" w14:textId="77777777" w:rsidR="0000369C" w:rsidRPr="00427075" w:rsidRDefault="0000369C" w:rsidP="0000369C">
      <w:pPr>
        <w:ind w:firstLine="426"/>
        <w:rPr>
          <w:rFonts w:cs="Times New Roman"/>
          <w:szCs w:val="24"/>
        </w:rPr>
      </w:pPr>
      <w:r w:rsidRPr="00427075">
        <w:rPr>
          <w:rFonts w:cs="Times New Roman"/>
          <w:szCs w:val="24"/>
        </w:rPr>
        <w:t xml:space="preserve">5. Образование преципитатов (солей) в случае несовместимых инфузий с ПП. </w:t>
      </w:r>
    </w:p>
    <w:p w14:paraId="588E45F9" w14:textId="77777777" w:rsidR="0000369C" w:rsidRPr="00427075" w:rsidRDefault="0000369C" w:rsidP="0000369C">
      <w:pPr>
        <w:ind w:firstLine="426"/>
        <w:rPr>
          <w:rFonts w:cs="Times New Roman"/>
          <w:szCs w:val="24"/>
        </w:rPr>
      </w:pPr>
      <w:r w:rsidRPr="00427075">
        <w:rPr>
          <w:rFonts w:cs="Times New Roman"/>
          <w:szCs w:val="24"/>
        </w:rPr>
        <w:t xml:space="preserve">6. Токсические эффекты витаминных комплексов (аккумуляция жирорастворимых витаминов </w:t>
      </w:r>
      <w:r w:rsidRPr="00427075">
        <w:rPr>
          <w:rFonts w:cs="Times New Roman"/>
          <w:szCs w:val="24"/>
          <w:lang w:val="en-US"/>
        </w:rPr>
        <w:t>A</w:t>
      </w:r>
      <w:r w:rsidRPr="00427075">
        <w:rPr>
          <w:rFonts w:cs="Times New Roman"/>
          <w:szCs w:val="24"/>
        </w:rPr>
        <w:t>,</w:t>
      </w:r>
      <w:r w:rsidRPr="00427075">
        <w:rPr>
          <w:rFonts w:cs="Times New Roman"/>
          <w:szCs w:val="24"/>
          <w:lang w:val="en-US"/>
        </w:rPr>
        <w:t>D</w:t>
      </w:r>
      <w:r w:rsidRPr="00427075">
        <w:rPr>
          <w:rFonts w:cs="Times New Roman"/>
          <w:szCs w:val="24"/>
        </w:rPr>
        <w:t>,</w:t>
      </w:r>
      <w:r w:rsidRPr="00427075">
        <w:rPr>
          <w:rFonts w:cs="Times New Roman"/>
          <w:szCs w:val="24"/>
          <w:lang w:val="en-US"/>
        </w:rPr>
        <w:t>E</w:t>
      </w:r>
      <w:r w:rsidRPr="00427075">
        <w:rPr>
          <w:rFonts w:cs="Times New Roman"/>
          <w:szCs w:val="24"/>
        </w:rPr>
        <w:t>,</w:t>
      </w:r>
      <w:r w:rsidRPr="00427075">
        <w:rPr>
          <w:rFonts w:cs="Times New Roman"/>
          <w:szCs w:val="24"/>
          <w:lang w:val="en-US"/>
        </w:rPr>
        <w:t>K</w:t>
      </w:r>
      <w:r w:rsidRPr="00427075">
        <w:rPr>
          <w:rFonts w:cs="Times New Roman"/>
          <w:szCs w:val="24"/>
        </w:rPr>
        <w:t>).</w:t>
      </w:r>
    </w:p>
    <w:p w14:paraId="651F499B" w14:textId="77777777" w:rsidR="0000369C" w:rsidRPr="00427075" w:rsidRDefault="0000369C" w:rsidP="0000369C">
      <w:pPr>
        <w:ind w:firstLine="426"/>
        <w:rPr>
          <w:rFonts w:cs="Times New Roman"/>
          <w:szCs w:val="24"/>
        </w:rPr>
      </w:pPr>
      <w:r w:rsidRPr="00427075">
        <w:rPr>
          <w:rFonts w:cs="Times New Roman"/>
          <w:szCs w:val="24"/>
        </w:rPr>
        <w:t>7. Синдром возобновления питания или рефидинг-синдром.</w:t>
      </w:r>
    </w:p>
    <w:p w14:paraId="7C57AB94" w14:textId="77777777" w:rsidR="0000369C" w:rsidRDefault="0000369C" w:rsidP="0000369C">
      <w:pPr>
        <w:pStyle w:val="afe"/>
        <w:rPr>
          <w:rFonts w:cs="Times New Roman"/>
          <w:b/>
          <w:szCs w:val="24"/>
        </w:rPr>
      </w:pPr>
    </w:p>
    <w:p w14:paraId="4A5E38A9" w14:textId="5A5F19F1" w:rsidR="0000369C" w:rsidRPr="00427075" w:rsidRDefault="0000369C" w:rsidP="0000369C">
      <w:pPr>
        <w:ind w:firstLine="709"/>
        <w:rPr>
          <w:rFonts w:cs="Times New Roman"/>
          <w:i/>
          <w:szCs w:val="24"/>
          <w:u w:val="single"/>
        </w:rPr>
      </w:pPr>
      <w:r w:rsidRPr="00427075">
        <w:rPr>
          <w:rFonts w:cs="Times New Roman"/>
          <w:i/>
          <w:szCs w:val="24"/>
          <w:u w:val="single"/>
        </w:rPr>
        <w:t>Алгоритм действия врача</w:t>
      </w:r>
      <w:r>
        <w:rPr>
          <w:rFonts w:cs="Times New Roman"/>
          <w:i/>
          <w:szCs w:val="24"/>
          <w:u w:val="single"/>
        </w:rPr>
        <w:t xml:space="preserve"> </w:t>
      </w:r>
      <w:r>
        <w:rPr>
          <w:rFonts w:cs="Times New Roman"/>
          <w:i/>
          <w:szCs w:val="24"/>
          <w:u w:val="single"/>
        </w:rPr>
        <w:fldChar w:fldCharType="begin" w:fldLock="1"/>
      </w:r>
      <w:r w:rsidR="001C46FD">
        <w:rPr>
          <w:rFonts w:cs="Times New Roman"/>
          <w:i/>
          <w:szCs w:val="24"/>
          <w:u w:val="single"/>
        </w:rPr>
        <w:instrText>ADDIN CSL_CITATION {"citationItems":[{"id":"ITEM-1","itemData":{"DOI":"10.1016/j.clnu.2016.07.015","ISSN":"15321983","PMID":"27637832","abstract":"Cancers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Nutrition","id":"ITEM-1","issue":"1","issued":{"date-parts":[["2017"]]},"page":"11-48","publisher":"Churchill Livingstone","title":"ESPEN guidelines on nutrition in cancer patients","type":"article-journal","volume":"36"},"uris":["http://www.mendeley.com/documents/?uuid=2586b0c4-9eb6-4463-a0ba-87fe84fbad8f"]}],"mendeley":{"formattedCitation":"[130]","plainTextFormattedCitation":"[130]","previouslyFormattedCitation":"[130]"},"properties":{"noteIndex":0},"schema":"https://github.com/citation-style-language/schema/raw/master/csl-citation.json"}</w:instrText>
      </w:r>
      <w:r>
        <w:rPr>
          <w:rFonts w:cs="Times New Roman"/>
          <w:i/>
          <w:szCs w:val="24"/>
          <w:u w:val="single"/>
        </w:rPr>
        <w:fldChar w:fldCharType="separate"/>
      </w:r>
      <w:r w:rsidRPr="0000369C">
        <w:rPr>
          <w:rFonts w:cs="Times New Roman"/>
          <w:noProof/>
          <w:szCs w:val="24"/>
        </w:rPr>
        <w:t>[130]</w:t>
      </w:r>
      <w:r>
        <w:rPr>
          <w:rFonts w:cs="Times New Roman"/>
          <w:i/>
          <w:szCs w:val="24"/>
          <w:u w:val="single"/>
        </w:rPr>
        <w:fldChar w:fldCharType="end"/>
      </w:r>
      <w:r w:rsidRPr="00427075">
        <w:rPr>
          <w:rFonts w:cs="Times New Roman"/>
          <w:i/>
          <w:szCs w:val="24"/>
          <w:u w:val="single"/>
        </w:rPr>
        <w:t>:</w:t>
      </w:r>
    </w:p>
    <w:p w14:paraId="1BB09AD1" w14:textId="77777777" w:rsidR="0000369C" w:rsidRPr="00427075" w:rsidRDefault="0000369C" w:rsidP="0000369C">
      <w:pPr>
        <w:ind w:firstLine="708"/>
        <w:rPr>
          <w:rFonts w:cs="Times New Roman"/>
          <w:szCs w:val="24"/>
        </w:rPr>
      </w:pPr>
      <w:r w:rsidRPr="00427075">
        <w:rPr>
          <w:rFonts w:cs="Times New Roman"/>
          <w:szCs w:val="24"/>
        </w:rPr>
        <w:t xml:space="preserve">1. </w:t>
      </w:r>
      <w:r w:rsidRPr="00427075">
        <w:rPr>
          <w:rFonts w:cs="Times New Roman"/>
          <w:i/>
          <w:szCs w:val="24"/>
        </w:rPr>
        <w:t>Сосудистый доступ.</w:t>
      </w:r>
      <w:r w:rsidRPr="00427075">
        <w:rPr>
          <w:rFonts w:cs="Times New Roman"/>
          <w:szCs w:val="24"/>
        </w:rPr>
        <w:t xml:space="preserve">  После принятия решения о начала ПП с учетом показаний и противопоказаний решается вопрос об обеспечении сосудистого доступа </w:t>
      </w:r>
      <w:r w:rsidRPr="00427075">
        <w:rPr>
          <w:rFonts w:cs="Times New Roman"/>
          <w:i/>
          <w:szCs w:val="24"/>
        </w:rPr>
        <w:t xml:space="preserve">(см. Приложение «Сосудистый доступ у гематологических пациентов»), </w:t>
      </w:r>
      <w:r w:rsidRPr="00427075">
        <w:rPr>
          <w:rFonts w:cs="Times New Roman"/>
          <w:szCs w:val="24"/>
        </w:rPr>
        <w:t>который</w:t>
      </w:r>
      <w:r w:rsidRPr="00427075">
        <w:rPr>
          <w:rFonts w:cs="Times New Roman"/>
          <w:i/>
          <w:szCs w:val="24"/>
        </w:rPr>
        <w:t xml:space="preserve"> </w:t>
      </w:r>
      <w:r w:rsidRPr="00427075">
        <w:rPr>
          <w:rFonts w:cs="Times New Roman"/>
          <w:szCs w:val="24"/>
        </w:rPr>
        <w:t xml:space="preserve">устанавливается врачом-реаниматологом. При планировании ПП более 5 дней рекомендуется установка центрального венозного катетера. При проведении ПП менее 5 дней, при наличии смесей для парентерального питания с осмолярностью менее 900мОсмоль/л, возможно использование периферического сосудистого доступа. </w:t>
      </w:r>
    </w:p>
    <w:p w14:paraId="612FFB39" w14:textId="77777777" w:rsidR="0000369C" w:rsidRPr="00427075" w:rsidRDefault="0000369C" w:rsidP="0000369C">
      <w:pPr>
        <w:ind w:firstLine="708"/>
        <w:rPr>
          <w:rFonts w:cs="Times New Roman"/>
          <w:szCs w:val="24"/>
        </w:rPr>
      </w:pPr>
      <w:r w:rsidRPr="00427075">
        <w:rPr>
          <w:rFonts w:cs="Times New Roman"/>
          <w:szCs w:val="24"/>
        </w:rPr>
        <w:t>2</w:t>
      </w:r>
      <w:r w:rsidRPr="00427075">
        <w:rPr>
          <w:rFonts w:cs="Times New Roman"/>
          <w:i/>
          <w:szCs w:val="24"/>
        </w:rPr>
        <w:t>. Рассчитывается требуемая суточная калорийность</w:t>
      </w:r>
      <w:r w:rsidRPr="00427075">
        <w:rPr>
          <w:rFonts w:cs="Times New Roman"/>
          <w:szCs w:val="24"/>
        </w:rPr>
        <w:t xml:space="preserve"> в зависимости от степени катаболизма (см. табл 1):</w:t>
      </w:r>
    </w:p>
    <w:p w14:paraId="08C5957F" w14:textId="77777777" w:rsidR="0000369C" w:rsidRDefault="0000369C" w:rsidP="0000369C">
      <w:pPr>
        <w:rPr>
          <w:rFonts w:cs="Times New Roman"/>
          <w:szCs w:val="24"/>
        </w:rPr>
      </w:pPr>
    </w:p>
    <w:p w14:paraId="1F04F02C" w14:textId="77777777" w:rsidR="0000369C" w:rsidRPr="00427075" w:rsidRDefault="0000369C" w:rsidP="0000369C">
      <w:pPr>
        <w:rPr>
          <w:rFonts w:cs="Times New Roman"/>
          <w:szCs w:val="24"/>
        </w:rPr>
      </w:pPr>
      <w:r w:rsidRPr="00427075">
        <w:rPr>
          <w:rFonts w:cs="Times New Roman"/>
          <w:szCs w:val="24"/>
        </w:rPr>
        <w:t>Таблица 1. Расчет энергетических потребностей в зависимости от степени катаболизма.</w:t>
      </w:r>
    </w:p>
    <w:tbl>
      <w:tblPr>
        <w:tblStyle w:val="aff9"/>
        <w:tblW w:w="9571" w:type="dxa"/>
        <w:tblLook w:val="04A0" w:firstRow="1" w:lastRow="0" w:firstColumn="1" w:lastColumn="0" w:noHBand="0" w:noVBand="1"/>
      </w:tblPr>
      <w:tblGrid>
        <w:gridCol w:w="2109"/>
        <w:gridCol w:w="1532"/>
        <w:gridCol w:w="1618"/>
        <w:gridCol w:w="1261"/>
        <w:gridCol w:w="1330"/>
        <w:gridCol w:w="1721"/>
      </w:tblGrid>
      <w:tr w:rsidR="0000369C" w:rsidRPr="00427075" w14:paraId="16894466" w14:textId="77777777" w:rsidTr="001C46FD">
        <w:trPr>
          <w:trHeight w:val="1164"/>
        </w:trPr>
        <w:tc>
          <w:tcPr>
            <w:tcW w:w="2117" w:type="dxa"/>
          </w:tcPr>
          <w:p w14:paraId="1B7E82F5" w14:textId="77777777" w:rsidR="0000369C" w:rsidRPr="00427075" w:rsidRDefault="0000369C" w:rsidP="001C46FD">
            <w:pPr>
              <w:jc w:val="center"/>
              <w:rPr>
                <w:rFonts w:cs="Times New Roman"/>
                <w:szCs w:val="24"/>
              </w:rPr>
            </w:pPr>
            <w:r w:rsidRPr="00427075">
              <w:rPr>
                <w:rFonts w:cs="Times New Roman"/>
                <w:szCs w:val="24"/>
              </w:rPr>
              <w:t>Недостаточность</w:t>
            </w:r>
          </w:p>
          <w:p w14:paraId="5F72A29B" w14:textId="77777777" w:rsidR="0000369C" w:rsidRPr="00427075" w:rsidRDefault="0000369C" w:rsidP="001C46FD">
            <w:pPr>
              <w:jc w:val="center"/>
              <w:rPr>
                <w:rFonts w:cs="Times New Roman"/>
                <w:szCs w:val="24"/>
              </w:rPr>
            </w:pPr>
            <w:r w:rsidRPr="00427075">
              <w:rPr>
                <w:rFonts w:cs="Times New Roman"/>
                <w:szCs w:val="24"/>
              </w:rPr>
              <w:t>питания</w:t>
            </w:r>
          </w:p>
        </w:tc>
        <w:tc>
          <w:tcPr>
            <w:tcW w:w="1545" w:type="dxa"/>
          </w:tcPr>
          <w:p w14:paraId="4BD4F797" w14:textId="77777777" w:rsidR="0000369C" w:rsidRPr="00427075" w:rsidRDefault="0000369C" w:rsidP="001C46FD">
            <w:pPr>
              <w:jc w:val="center"/>
              <w:rPr>
                <w:rFonts w:cs="Times New Roman"/>
                <w:szCs w:val="24"/>
              </w:rPr>
            </w:pPr>
            <w:r w:rsidRPr="00427075">
              <w:rPr>
                <w:rFonts w:cs="Times New Roman"/>
                <w:szCs w:val="24"/>
              </w:rPr>
              <w:t xml:space="preserve">Потеря массы тела (за </w:t>
            </w:r>
            <w:r w:rsidRPr="00427075">
              <w:rPr>
                <w:rFonts w:cs="Times New Roman"/>
                <w:szCs w:val="24"/>
              </w:rPr>
              <w:lastRenderedPageBreak/>
              <w:t>последние 3 мес.)</w:t>
            </w:r>
          </w:p>
        </w:tc>
        <w:tc>
          <w:tcPr>
            <w:tcW w:w="1628" w:type="dxa"/>
          </w:tcPr>
          <w:p w14:paraId="442B292E" w14:textId="77777777" w:rsidR="0000369C" w:rsidRPr="00427075" w:rsidRDefault="0000369C" w:rsidP="001C46FD">
            <w:pPr>
              <w:jc w:val="center"/>
              <w:rPr>
                <w:rFonts w:cs="Times New Roman"/>
                <w:szCs w:val="24"/>
              </w:rPr>
            </w:pPr>
            <w:r w:rsidRPr="00427075">
              <w:rPr>
                <w:rFonts w:cs="Times New Roman"/>
                <w:szCs w:val="24"/>
              </w:rPr>
              <w:lastRenderedPageBreak/>
              <w:t xml:space="preserve">Потери азота, г/сут </w:t>
            </w:r>
            <w:r w:rsidRPr="00427075">
              <w:rPr>
                <w:rFonts w:cs="Times New Roman"/>
                <w:szCs w:val="24"/>
              </w:rPr>
              <w:lastRenderedPageBreak/>
              <w:t>(Азотистый баланс)</w:t>
            </w:r>
          </w:p>
        </w:tc>
        <w:tc>
          <w:tcPr>
            <w:tcW w:w="1277" w:type="dxa"/>
          </w:tcPr>
          <w:p w14:paraId="46D7B4EF" w14:textId="77777777" w:rsidR="0000369C" w:rsidRPr="00427075" w:rsidRDefault="0000369C" w:rsidP="001C46FD">
            <w:pPr>
              <w:jc w:val="center"/>
              <w:rPr>
                <w:rFonts w:cs="Times New Roman"/>
                <w:szCs w:val="24"/>
              </w:rPr>
            </w:pPr>
            <w:r w:rsidRPr="00427075">
              <w:rPr>
                <w:rFonts w:cs="Times New Roman"/>
                <w:szCs w:val="24"/>
              </w:rPr>
              <w:lastRenderedPageBreak/>
              <w:t>Общий белок, г/л</w:t>
            </w:r>
          </w:p>
        </w:tc>
        <w:tc>
          <w:tcPr>
            <w:tcW w:w="1277" w:type="dxa"/>
          </w:tcPr>
          <w:p w14:paraId="5C450BE4" w14:textId="77777777" w:rsidR="0000369C" w:rsidRPr="00427075" w:rsidRDefault="0000369C" w:rsidP="001C46FD">
            <w:pPr>
              <w:jc w:val="center"/>
              <w:rPr>
                <w:rFonts w:cs="Times New Roman"/>
                <w:szCs w:val="24"/>
              </w:rPr>
            </w:pPr>
            <w:r w:rsidRPr="00427075">
              <w:rPr>
                <w:rFonts w:cs="Times New Roman"/>
                <w:szCs w:val="24"/>
              </w:rPr>
              <w:t>Альбумин, г/л</w:t>
            </w:r>
          </w:p>
        </w:tc>
        <w:tc>
          <w:tcPr>
            <w:tcW w:w="1727" w:type="dxa"/>
          </w:tcPr>
          <w:p w14:paraId="5FE60637" w14:textId="77777777" w:rsidR="0000369C" w:rsidRPr="00427075" w:rsidRDefault="0000369C" w:rsidP="001C46FD">
            <w:pPr>
              <w:jc w:val="center"/>
              <w:rPr>
                <w:rFonts w:cs="Times New Roman"/>
                <w:b/>
                <w:szCs w:val="24"/>
              </w:rPr>
            </w:pPr>
            <w:r w:rsidRPr="00427075">
              <w:rPr>
                <w:rFonts w:cs="Times New Roman"/>
                <w:b/>
                <w:szCs w:val="24"/>
              </w:rPr>
              <w:t xml:space="preserve">Потребность энергии в </w:t>
            </w:r>
            <w:r w:rsidRPr="00427075">
              <w:rPr>
                <w:rFonts w:cs="Times New Roman"/>
                <w:b/>
                <w:szCs w:val="24"/>
              </w:rPr>
              <w:lastRenderedPageBreak/>
              <w:t>сутки, ккал/кг</w:t>
            </w:r>
          </w:p>
        </w:tc>
      </w:tr>
      <w:tr w:rsidR="0000369C" w:rsidRPr="00427075" w14:paraId="0894E03F" w14:textId="77777777" w:rsidTr="001C46FD">
        <w:trPr>
          <w:trHeight w:val="329"/>
        </w:trPr>
        <w:tc>
          <w:tcPr>
            <w:tcW w:w="2117" w:type="dxa"/>
          </w:tcPr>
          <w:p w14:paraId="2B11BD6B" w14:textId="77777777" w:rsidR="0000369C" w:rsidRPr="00427075" w:rsidRDefault="0000369C" w:rsidP="001C46FD">
            <w:pPr>
              <w:jc w:val="center"/>
              <w:rPr>
                <w:rFonts w:cs="Times New Roman"/>
                <w:szCs w:val="24"/>
              </w:rPr>
            </w:pPr>
            <w:r w:rsidRPr="00427075">
              <w:rPr>
                <w:rFonts w:cs="Times New Roman"/>
                <w:szCs w:val="24"/>
              </w:rPr>
              <w:lastRenderedPageBreak/>
              <w:t>Нет</w:t>
            </w:r>
          </w:p>
        </w:tc>
        <w:tc>
          <w:tcPr>
            <w:tcW w:w="1545" w:type="dxa"/>
          </w:tcPr>
          <w:p w14:paraId="629C8CD5" w14:textId="77777777" w:rsidR="0000369C" w:rsidRPr="00427075" w:rsidRDefault="0000369C" w:rsidP="001C46FD">
            <w:pPr>
              <w:jc w:val="center"/>
              <w:rPr>
                <w:rFonts w:cs="Times New Roman"/>
                <w:szCs w:val="24"/>
              </w:rPr>
            </w:pPr>
            <w:r w:rsidRPr="00427075">
              <w:rPr>
                <w:rFonts w:cs="Times New Roman"/>
                <w:szCs w:val="24"/>
              </w:rPr>
              <w:t>&lt; 2%</w:t>
            </w:r>
          </w:p>
        </w:tc>
        <w:tc>
          <w:tcPr>
            <w:tcW w:w="1628" w:type="dxa"/>
          </w:tcPr>
          <w:p w14:paraId="2AD3B4DA" w14:textId="77777777" w:rsidR="0000369C" w:rsidRPr="00427075" w:rsidRDefault="0000369C" w:rsidP="001C46FD">
            <w:pPr>
              <w:jc w:val="center"/>
              <w:rPr>
                <w:rFonts w:cs="Times New Roman"/>
                <w:szCs w:val="24"/>
              </w:rPr>
            </w:pPr>
            <w:r w:rsidRPr="00427075">
              <w:rPr>
                <w:rFonts w:cs="Times New Roman"/>
                <w:szCs w:val="24"/>
              </w:rPr>
              <w:t>0-6</w:t>
            </w:r>
          </w:p>
        </w:tc>
        <w:tc>
          <w:tcPr>
            <w:tcW w:w="1277" w:type="dxa"/>
          </w:tcPr>
          <w:p w14:paraId="16CDD123" w14:textId="77777777" w:rsidR="0000369C" w:rsidRPr="00427075" w:rsidRDefault="0000369C" w:rsidP="001C46FD">
            <w:pPr>
              <w:jc w:val="center"/>
              <w:rPr>
                <w:rFonts w:cs="Times New Roman"/>
                <w:szCs w:val="24"/>
              </w:rPr>
            </w:pPr>
            <w:r w:rsidRPr="00427075">
              <w:rPr>
                <w:rFonts w:cs="Times New Roman"/>
                <w:szCs w:val="24"/>
              </w:rPr>
              <w:t>&gt;65</w:t>
            </w:r>
          </w:p>
        </w:tc>
        <w:tc>
          <w:tcPr>
            <w:tcW w:w="1277" w:type="dxa"/>
          </w:tcPr>
          <w:p w14:paraId="70DCD932" w14:textId="77777777" w:rsidR="0000369C" w:rsidRPr="00427075" w:rsidRDefault="0000369C" w:rsidP="001C46FD">
            <w:pPr>
              <w:jc w:val="center"/>
              <w:rPr>
                <w:rFonts w:cs="Times New Roman"/>
                <w:szCs w:val="24"/>
              </w:rPr>
            </w:pPr>
            <w:r w:rsidRPr="00427075">
              <w:rPr>
                <w:rFonts w:cs="Times New Roman"/>
                <w:szCs w:val="24"/>
              </w:rPr>
              <w:t>&gt;35</w:t>
            </w:r>
          </w:p>
        </w:tc>
        <w:tc>
          <w:tcPr>
            <w:tcW w:w="1727" w:type="dxa"/>
          </w:tcPr>
          <w:p w14:paraId="638536D1" w14:textId="77777777" w:rsidR="0000369C" w:rsidRPr="00427075" w:rsidRDefault="0000369C" w:rsidP="001C46FD">
            <w:pPr>
              <w:jc w:val="center"/>
              <w:rPr>
                <w:rFonts w:cs="Times New Roman"/>
                <w:b/>
                <w:szCs w:val="24"/>
              </w:rPr>
            </w:pPr>
            <w:r w:rsidRPr="00427075">
              <w:rPr>
                <w:rFonts w:cs="Times New Roman"/>
                <w:b/>
                <w:szCs w:val="24"/>
              </w:rPr>
              <w:t>20 – 25</w:t>
            </w:r>
          </w:p>
        </w:tc>
      </w:tr>
      <w:tr w:rsidR="0000369C" w:rsidRPr="00427075" w14:paraId="34C6DB6A" w14:textId="77777777" w:rsidTr="001C46FD">
        <w:trPr>
          <w:trHeight w:val="313"/>
        </w:trPr>
        <w:tc>
          <w:tcPr>
            <w:tcW w:w="2117" w:type="dxa"/>
          </w:tcPr>
          <w:p w14:paraId="526B8F14" w14:textId="77777777" w:rsidR="0000369C" w:rsidRPr="00427075" w:rsidRDefault="0000369C" w:rsidP="001C46FD">
            <w:pPr>
              <w:jc w:val="center"/>
              <w:rPr>
                <w:rFonts w:cs="Times New Roman"/>
                <w:szCs w:val="24"/>
              </w:rPr>
            </w:pPr>
            <w:r w:rsidRPr="00427075">
              <w:rPr>
                <w:rFonts w:cs="Times New Roman"/>
                <w:szCs w:val="24"/>
              </w:rPr>
              <w:t>Легкая</w:t>
            </w:r>
          </w:p>
        </w:tc>
        <w:tc>
          <w:tcPr>
            <w:tcW w:w="1545" w:type="dxa"/>
          </w:tcPr>
          <w:p w14:paraId="035CC2F8" w14:textId="77777777" w:rsidR="0000369C" w:rsidRPr="00427075" w:rsidRDefault="0000369C" w:rsidP="001C46FD">
            <w:pPr>
              <w:jc w:val="center"/>
              <w:rPr>
                <w:rFonts w:cs="Times New Roman"/>
                <w:szCs w:val="24"/>
              </w:rPr>
            </w:pPr>
            <w:r w:rsidRPr="00427075">
              <w:rPr>
                <w:rFonts w:cs="Times New Roman"/>
                <w:szCs w:val="24"/>
              </w:rPr>
              <w:t>2-5%</w:t>
            </w:r>
          </w:p>
        </w:tc>
        <w:tc>
          <w:tcPr>
            <w:tcW w:w="1628" w:type="dxa"/>
          </w:tcPr>
          <w:p w14:paraId="18B04943" w14:textId="77777777" w:rsidR="0000369C" w:rsidRPr="00427075" w:rsidRDefault="0000369C" w:rsidP="001C46FD">
            <w:pPr>
              <w:jc w:val="center"/>
              <w:rPr>
                <w:rFonts w:cs="Times New Roman"/>
                <w:szCs w:val="24"/>
              </w:rPr>
            </w:pPr>
            <w:r w:rsidRPr="00427075">
              <w:rPr>
                <w:rFonts w:cs="Times New Roman"/>
                <w:szCs w:val="24"/>
              </w:rPr>
              <w:t>6-12</w:t>
            </w:r>
          </w:p>
        </w:tc>
        <w:tc>
          <w:tcPr>
            <w:tcW w:w="1277" w:type="dxa"/>
          </w:tcPr>
          <w:p w14:paraId="3DF7466A" w14:textId="77777777" w:rsidR="0000369C" w:rsidRPr="00427075" w:rsidRDefault="0000369C" w:rsidP="001C46FD">
            <w:pPr>
              <w:jc w:val="center"/>
              <w:rPr>
                <w:rFonts w:cs="Times New Roman"/>
                <w:szCs w:val="24"/>
              </w:rPr>
            </w:pPr>
            <w:r w:rsidRPr="00427075">
              <w:rPr>
                <w:rFonts w:cs="Times New Roman"/>
                <w:szCs w:val="24"/>
              </w:rPr>
              <w:t>65-55</w:t>
            </w:r>
          </w:p>
        </w:tc>
        <w:tc>
          <w:tcPr>
            <w:tcW w:w="1277" w:type="dxa"/>
          </w:tcPr>
          <w:p w14:paraId="52551764" w14:textId="77777777" w:rsidR="0000369C" w:rsidRPr="00427075" w:rsidRDefault="0000369C" w:rsidP="001C46FD">
            <w:pPr>
              <w:jc w:val="center"/>
              <w:rPr>
                <w:rFonts w:cs="Times New Roman"/>
                <w:szCs w:val="24"/>
              </w:rPr>
            </w:pPr>
            <w:r w:rsidRPr="00427075">
              <w:rPr>
                <w:rFonts w:cs="Times New Roman"/>
                <w:szCs w:val="24"/>
              </w:rPr>
              <w:t>35-30</w:t>
            </w:r>
          </w:p>
        </w:tc>
        <w:tc>
          <w:tcPr>
            <w:tcW w:w="1727" w:type="dxa"/>
          </w:tcPr>
          <w:p w14:paraId="256F2ABA" w14:textId="77777777" w:rsidR="0000369C" w:rsidRPr="00427075" w:rsidRDefault="0000369C" w:rsidP="001C46FD">
            <w:pPr>
              <w:jc w:val="center"/>
              <w:rPr>
                <w:rFonts w:cs="Times New Roman"/>
                <w:b/>
                <w:szCs w:val="24"/>
              </w:rPr>
            </w:pPr>
            <w:r w:rsidRPr="00427075">
              <w:rPr>
                <w:rFonts w:cs="Times New Roman"/>
                <w:b/>
                <w:szCs w:val="24"/>
              </w:rPr>
              <w:t>25 – 30</w:t>
            </w:r>
          </w:p>
        </w:tc>
      </w:tr>
      <w:tr w:rsidR="0000369C" w:rsidRPr="00427075" w14:paraId="6832C5DA" w14:textId="77777777" w:rsidTr="001C46FD">
        <w:trPr>
          <w:trHeight w:val="313"/>
        </w:trPr>
        <w:tc>
          <w:tcPr>
            <w:tcW w:w="2117" w:type="dxa"/>
          </w:tcPr>
          <w:p w14:paraId="4BDC540A" w14:textId="77777777" w:rsidR="0000369C" w:rsidRPr="00427075" w:rsidRDefault="0000369C" w:rsidP="001C46FD">
            <w:pPr>
              <w:jc w:val="center"/>
              <w:rPr>
                <w:rFonts w:cs="Times New Roman"/>
                <w:szCs w:val="24"/>
              </w:rPr>
            </w:pPr>
            <w:r w:rsidRPr="00427075">
              <w:rPr>
                <w:rFonts w:cs="Times New Roman"/>
                <w:szCs w:val="24"/>
              </w:rPr>
              <w:t>Средняя</w:t>
            </w:r>
          </w:p>
        </w:tc>
        <w:tc>
          <w:tcPr>
            <w:tcW w:w="1545" w:type="dxa"/>
          </w:tcPr>
          <w:p w14:paraId="5E90D800" w14:textId="77777777" w:rsidR="0000369C" w:rsidRPr="00427075" w:rsidRDefault="0000369C" w:rsidP="001C46FD">
            <w:pPr>
              <w:jc w:val="center"/>
              <w:rPr>
                <w:rFonts w:cs="Times New Roman"/>
                <w:szCs w:val="24"/>
              </w:rPr>
            </w:pPr>
            <w:r w:rsidRPr="00427075">
              <w:rPr>
                <w:rFonts w:cs="Times New Roman"/>
                <w:szCs w:val="24"/>
              </w:rPr>
              <w:t>6-10%</w:t>
            </w:r>
          </w:p>
        </w:tc>
        <w:tc>
          <w:tcPr>
            <w:tcW w:w="1628" w:type="dxa"/>
          </w:tcPr>
          <w:p w14:paraId="75BB6611" w14:textId="77777777" w:rsidR="0000369C" w:rsidRPr="00427075" w:rsidRDefault="0000369C" w:rsidP="001C46FD">
            <w:pPr>
              <w:jc w:val="center"/>
              <w:rPr>
                <w:rFonts w:cs="Times New Roman"/>
                <w:szCs w:val="24"/>
              </w:rPr>
            </w:pPr>
            <w:r w:rsidRPr="00427075">
              <w:rPr>
                <w:rFonts w:cs="Times New Roman"/>
                <w:szCs w:val="24"/>
              </w:rPr>
              <w:t>6-12</w:t>
            </w:r>
          </w:p>
        </w:tc>
        <w:tc>
          <w:tcPr>
            <w:tcW w:w="1277" w:type="dxa"/>
          </w:tcPr>
          <w:p w14:paraId="314793DC" w14:textId="77777777" w:rsidR="0000369C" w:rsidRPr="00427075" w:rsidRDefault="0000369C" w:rsidP="001C46FD">
            <w:pPr>
              <w:jc w:val="center"/>
              <w:rPr>
                <w:rFonts w:cs="Times New Roman"/>
                <w:szCs w:val="24"/>
              </w:rPr>
            </w:pPr>
            <w:r w:rsidRPr="00427075">
              <w:rPr>
                <w:rFonts w:cs="Times New Roman"/>
                <w:szCs w:val="24"/>
              </w:rPr>
              <w:t>55-45</w:t>
            </w:r>
          </w:p>
        </w:tc>
        <w:tc>
          <w:tcPr>
            <w:tcW w:w="1277" w:type="dxa"/>
          </w:tcPr>
          <w:p w14:paraId="2200382A" w14:textId="77777777" w:rsidR="0000369C" w:rsidRPr="00427075" w:rsidRDefault="0000369C" w:rsidP="001C46FD">
            <w:pPr>
              <w:jc w:val="center"/>
              <w:rPr>
                <w:rFonts w:cs="Times New Roman"/>
                <w:szCs w:val="24"/>
              </w:rPr>
            </w:pPr>
            <w:r w:rsidRPr="00427075">
              <w:rPr>
                <w:rFonts w:cs="Times New Roman"/>
                <w:szCs w:val="24"/>
              </w:rPr>
              <w:t>30-25</w:t>
            </w:r>
          </w:p>
        </w:tc>
        <w:tc>
          <w:tcPr>
            <w:tcW w:w="1727" w:type="dxa"/>
          </w:tcPr>
          <w:p w14:paraId="7D77638B" w14:textId="77777777" w:rsidR="0000369C" w:rsidRPr="00427075" w:rsidRDefault="0000369C" w:rsidP="001C46FD">
            <w:pPr>
              <w:jc w:val="center"/>
              <w:rPr>
                <w:rFonts w:cs="Times New Roman"/>
                <w:b/>
                <w:szCs w:val="24"/>
              </w:rPr>
            </w:pPr>
            <w:r w:rsidRPr="00427075">
              <w:rPr>
                <w:rFonts w:cs="Times New Roman"/>
                <w:b/>
                <w:szCs w:val="24"/>
              </w:rPr>
              <w:t>25 – 35</w:t>
            </w:r>
          </w:p>
        </w:tc>
      </w:tr>
      <w:tr w:rsidR="0000369C" w:rsidRPr="00427075" w14:paraId="33C5303F" w14:textId="77777777" w:rsidTr="001C46FD">
        <w:trPr>
          <w:trHeight w:val="329"/>
        </w:trPr>
        <w:tc>
          <w:tcPr>
            <w:tcW w:w="2117" w:type="dxa"/>
          </w:tcPr>
          <w:p w14:paraId="7EDD2DDC" w14:textId="77777777" w:rsidR="0000369C" w:rsidRPr="00427075" w:rsidRDefault="0000369C" w:rsidP="001C46FD">
            <w:pPr>
              <w:jc w:val="center"/>
              <w:rPr>
                <w:rFonts w:cs="Times New Roman"/>
                <w:szCs w:val="24"/>
              </w:rPr>
            </w:pPr>
            <w:r w:rsidRPr="00427075">
              <w:rPr>
                <w:rFonts w:cs="Times New Roman"/>
                <w:szCs w:val="24"/>
              </w:rPr>
              <w:t>Тяжелая</w:t>
            </w:r>
          </w:p>
        </w:tc>
        <w:tc>
          <w:tcPr>
            <w:tcW w:w="1545" w:type="dxa"/>
          </w:tcPr>
          <w:p w14:paraId="06353FD2" w14:textId="77777777" w:rsidR="0000369C" w:rsidRPr="00427075" w:rsidRDefault="0000369C" w:rsidP="001C46FD">
            <w:pPr>
              <w:jc w:val="center"/>
              <w:rPr>
                <w:rFonts w:cs="Times New Roman"/>
                <w:szCs w:val="24"/>
              </w:rPr>
            </w:pPr>
            <w:r w:rsidRPr="00427075">
              <w:rPr>
                <w:rFonts w:cs="Times New Roman"/>
                <w:szCs w:val="24"/>
              </w:rPr>
              <w:t>&lt;10 %</w:t>
            </w:r>
          </w:p>
        </w:tc>
        <w:tc>
          <w:tcPr>
            <w:tcW w:w="1628" w:type="dxa"/>
          </w:tcPr>
          <w:p w14:paraId="43DE082C" w14:textId="77777777" w:rsidR="0000369C" w:rsidRPr="00427075" w:rsidRDefault="0000369C" w:rsidP="001C46FD">
            <w:pPr>
              <w:jc w:val="center"/>
              <w:rPr>
                <w:rFonts w:cs="Times New Roman"/>
                <w:szCs w:val="24"/>
              </w:rPr>
            </w:pPr>
            <w:r w:rsidRPr="00427075">
              <w:rPr>
                <w:rFonts w:cs="Times New Roman"/>
                <w:szCs w:val="24"/>
              </w:rPr>
              <w:t>&gt;12</w:t>
            </w:r>
          </w:p>
        </w:tc>
        <w:tc>
          <w:tcPr>
            <w:tcW w:w="1277" w:type="dxa"/>
          </w:tcPr>
          <w:p w14:paraId="37EC5242" w14:textId="77777777" w:rsidR="0000369C" w:rsidRPr="00427075" w:rsidRDefault="0000369C" w:rsidP="001C46FD">
            <w:pPr>
              <w:jc w:val="center"/>
              <w:rPr>
                <w:rFonts w:cs="Times New Roman"/>
                <w:szCs w:val="24"/>
              </w:rPr>
            </w:pPr>
            <w:r w:rsidRPr="00427075">
              <w:rPr>
                <w:rFonts w:cs="Times New Roman"/>
                <w:szCs w:val="24"/>
              </w:rPr>
              <w:t>&lt;45</w:t>
            </w:r>
          </w:p>
        </w:tc>
        <w:tc>
          <w:tcPr>
            <w:tcW w:w="1277" w:type="dxa"/>
          </w:tcPr>
          <w:p w14:paraId="001C7264" w14:textId="77777777" w:rsidR="0000369C" w:rsidRPr="00427075" w:rsidRDefault="0000369C" w:rsidP="001C46FD">
            <w:pPr>
              <w:jc w:val="center"/>
              <w:rPr>
                <w:rFonts w:cs="Times New Roman"/>
                <w:szCs w:val="24"/>
              </w:rPr>
            </w:pPr>
            <w:r w:rsidRPr="00427075">
              <w:rPr>
                <w:rFonts w:cs="Times New Roman"/>
                <w:szCs w:val="24"/>
              </w:rPr>
              <w:t>&lt;25</w:t>
            </w:r>
          </w:p>
        </w:tc>
        <w:tc>
          <w:tcPr>
            <w:tcW w:w="1727" w:type="dxa"/>
          </w:tcPr>
          <w:p w14:paraId="5E5D1395" w14:textId="77777777" w:rsidR="0000369C" w:rsidRPr="00427075" w:rsidRDefault="0000369C" w:rsidP="001C46FD">
            <w:pPr>
              <w:jc w:val="center"/>
              <w:rPr>
                <w:rFonts w:cs="Times New Roman"/>
                <w:b/>
                <w:szCs w:val="24"/>
              </w:rPr>
            </w:pPr>
            <w:r w:rsidRPr="00427075">
              <w:rPr>
                <w:rFonts w:cs="Times New Roman"/>
                <w:b/>
                <w:szCs w:val="24"/>
              </w:rPr>
              <w:t>30 – 45</w:t>
            </w:r>
          </w:p>
        </w:tc>
      </w:tr>
    </w:tbl>
    <w:p w14:paraId="2ED89F14" w14:textId="77777777" w:rsidR="0000369C" w:rsidRPr="00427075" w:rsidRDefault="0000369C" w:rsidP="0000369C">
      <w:pPr>
        <w:rPr>
          <w:rFonts w:cs="Times New Roman"/>
          <w:szCs w:val="24"/>
        </w:rPr>
      </w:pPr>
      <w:r w:rsidRPr="00427075">
        <w:rPr>
          <w:rFonts w:cs="Times New Roman"/>
          <w:szCs w:val="24"/>
        </w:rPr>
        <w:tab/>
        <w:t xml:space="preserve">Азотистый баланс  (АБ) можно рассчитать по формуле: </w:t>
      </w:r>
    </w:p>
    <w:p w14:paraId="475B92F7" w14:textId="77777777" w:rsidR="0000369C" w:rsidRDefault="0000369C" w:rsidP="0000369C">
      <w:pPr>
        <w:rPr>
          <w:rFonts w:cs="Times New Roman"/>
          <w:i/>
          <w:szCs w:val="24"/>
        </w:rPr>
      </w:pPr>
      <w:r w:rsidRPr="00427075">
        <w:rPr>
          <w:rFonts w:cs="Times New Roman"/>
          <w:i/>
          <w:szCs w:val="24"/>
        </w:rPr>
        <w:t>АБ =  введенный белок (г)/6,25 – азот мочи (г) -4 9внепочечные потери.</w:t>
      </w:r>
    </w:p>
    <w:p w14:paraId="1F21D943" w14:textId="77777777" w:rsidR="0000369C" w:rsidRPr="00427075" w:rsidRDefault="0000369C" w:rsidP="0000369C">
      <w:pPr>
        <w:rPr>
          <w:rFonts w:cs="Times New Roman"/>
          <w:i/>
          <w:szCs w:val="24"/>
        </w:rPr>
      </w:pPr>
    </w:p>
    <w:p w14:paraId="70989669" w14:textId="77777777" w:rsidR="0000369C" w:rsidRPr="00427075" w:rsidRDefault="0000369C" w:rsidP="0000369C">
      <w:pPr>
        <w:rPr>
          <w:rFonts w:cs="Times New Roman"/>
          <w:szCs w:val="24"/>
        </w:rPr>
      </w:pPr>
      <w:r w:rsidRPr="00427075">
        <w:rPr>
          <w:rFonts w:cs="Times New Roman"/>
          <w:i/>
          <w:szCs w:val="24"/>
        </w:rPr>
        <w:tab/>
      </w:r>
      <w:r w:rsidRPr="00427075">
        <w:rPr>
          <w:rFonts w:cs="Times New Roman"/>
          <w:szCs w:val="24"/>
        </w:rPr>
        <w:t xml:space="preserve">3. </w:t>
      </w:r>
      <w:r w:rsidRPr="00427075">
        <w:rPr>
          <w:rFonts w:cs="Times New Roman"/>
          <w:i/>
          <w:szCs w:val="24"/>
        </w:rPr>
        <w:t>Расчет скорости введения</w:t>
      </w:r>
      <w:r w:rsidRPr="00427075">
        <w:rPr>
          <w:rFonts w:cs="Times New Roman"/>
          <w:szCs w:val="24"/>
        </w:rPr>
        <w:t xml:space="preserve">. После определения суточной потребности в калориях производится расчет скорости введения. Например, больному массой 70 кг при легкой степени недостаточности питания (потеря массы тела менее 5% за последние 3 месяца, АБ от 6 до 12 г/сут) требуется от 25 до 30 ккал/кг/сут или от 1750 до 2100 ккал. В стандартных смесях для ПП («Кабивен центральный», «Оликлиномель </w:t>
      </w:r>
      <w:r w:rsidRPr="00427075">
        <w:rPr>
          <w:rFonts w:cs="Times New Roman"/>
          <w:szCs w:val="24"/>
          <w:lang w:val="en-US"/>
        </w:rPr>
        <w:t>N</w:t>
      </w:r>
      <w:r w:rsidRPr="00427075">
        <w:rPr>
          <w:rFonts w:cs="Times New Roman"/>
          <w:szCs w:val="24"/>
        </w:rPr>
        <w:t xml:space="preserve">7», «Нутрифлекс липид 70/180») содержится в среднем 2000 ккал в полном объеме смеси. Данный расчет выполнен преднамеренно, чтобы один пакет «три в одном» удовлетворял энергетическим потребностям большинства больных и что удобно для ежесуточной смены инфузионной линии. Скорость введения в данном случае равняется объем (в мл)/24, выраженной в мл/час. </w:t>
      </w:r>
    </w:p>
    <w:p w14:paraId="28CF2764" w14:textId="77777777" w:rsidR="0000369C" w:rsidRPr="00427075" w:rsidRDefault="0000369C" w:rsidP="0000369C">
      <w:pPr>
        <w:ind w:firstLine="708"/>
        <w:rPr>
          <w:rFonts w:cs="Times New Roman"/>
          <w:szCs w:val="24"/>
        </w:rPr>
      </w:pPr>
      <w:r w:rsidRPr="00427075">
        <w:rPr>
          <w:rFonts w:cs="Times New Roman"/>
          <w:szCs w:val="24"/>
        </w:rPr>
        <w:t xml:space="preserve">4. </w:t>
      </w:r>
      <w:r w:rsidRPr="00427075">
        <w:rPr>
          <w:rFonts w:cs="Times New Roman"/>
          <w:i/>
          <w:szCs w:val="24"/>
        </w:rPr>
        <w:t>Начало введения ПП в первые сутки</w:t>
      </w:r>
      <w:r w:rsidRPr="00427075">
        <w:rPr>
          <w:rFonts w:cs="Times New Roman"/>
          <w:szCs w:val="24"/>
        </w:rPr>
        <w:t>. При нахождении больного в круглосуточном стационаре ПП вводится непрерывно в течении 24 часов. В первые сутки вводят 50% объема от требуемой пациенту калорийности с увеличением на 25% в последующие 2 суток. Для нутритивной поддержки больных в дневных стационарах возможен циклический режим: введение 8-12 часов (не более 50% объема от требуемой пациенту калорийности). Производители парентерального питания также рекомендуют постепенно увеличивать скорость до целевой в первые 30 минут введения ПП.</w:t>
      </w:r>
    </w:p>
    <w:p w14:paraId="2E26FAE0" w14:textId="77777777" w:rsidR="0000369C" w:rsidRPr="00427075" w:rsidRDefault="0000369C" w:rsidP="0000369C">
      <w:pPr>
        <w:ind w:firstLine="708"/>
        <w:rPr>
          <w:rFonts w:cs="Times New Roman"/>
          <w:szCs w:val="24"/>
        </w:rPr>
      </w:pPr>
      <w:r w:rsidRPr="00427075">
        <w:rPr>
          <w:rFonts w:cs="Times New Roman"/>
          <w:szCs w:val="24"/>
        </w:rPr>
        <w:t xml:space="preserve">5. </w:t>
      </w:r>
      <w:r w:rsidRPr="00427075">
        <w:rPr>
          <w:rFonts w:cs="Times New Roman"/>
          <w:i/>
          <w:szCs w:val="24"/>
        </w:rPr>
        <w:t>Контроль возможных осложнений</w:t>
      </w:r>
      <w:r w:rsidRPr="00427075">
        <w:rPr>
          <w:rFonts w:cs="Times New Roman"/>
          <w:szCs w:val="24"/>
        </w:rPr>
        <w:t xml:space="preserve"> осуществляется лечащим врачом. Оценивается реакция на введение парентеральной смеси как в первые минуты на наличие анафилактической реакции, так и в последующие часы и дни на наличие прочих аллергических реакций. Необходим ежедневный осмотр растворов и инфузионных линий  на предмет образования преципитатов.  Своевременный контроль лабораторных анализов (см. ниже), позволяет предотвращать и корректировать метаболические осложнения ПП. Необходимо в течение первых 48 часов дважды </w:t>
      </w:r>
      <w:r w:rsidRPr="00427075">
        <w:rPr>
          <w:rFonts w:cs="Times New Roman"/>
          <w:szCs w:val="24"/>
        </w:rPr>
        <w:lastRenderedPageBreak/>
        <w:t>фиксировать ЭКГ и контролировать электролиты крови с целью предотвращения рефидинг-синдрома.</w:t>
      </w:r>
    </w:p>
    <w:p w14:paraId="28732B28" w14:textId="77777777" w:rsidR="0000369C" w:rsidRPr="00427075" w:rsidRDefault="0000369C" w:rsidP="0000369C">
      <w:pPr>
        <w:ind w:firstLine="708"/>
        <w:rPr>
          <w:rFonts w:cs="Times New Roman"/>
          <w:szCs w:val="24"/>
        </w:rPr>
      </w:pPr>
      <w:r w:rsidRPr="00427075">
        <w:rPr>
          <w:rFonts w:cs="Times New Roman"/>
          <w:szCs w:val="24"/>
        </w:rPr>
        <w:t xml:space="preserve">6. </w:t>
      </w:r>
      <w:r w:rsidRPr="00427075">
        <w:rPr>
          <w:rFonts w:cs="Times New Roman"/>
          <w:i/>
          <w:szCs w:val="24"/>
        </w:rPr>
        <w:t>Включение в схему питания адъювантных витаминных комплексов</w:t>
      </w:r>
      <w:r w:rsidRPr="00427075">
        <w:rPr>
          <w:rFonts w:cs="Times New Roman"/>
          <w:szCs w:val="24"/>
        </w:rPr>
        <w:t xml:space="preserve">. С целью дифференцировки причины развития аллергической реакции, витаминные комплексы следует добавлять не ранее, чем через 48 часов после начала ПП. </w:t>
      </w:r>
    </w:p>
    <w:p w14:paraId="654B77D1" w14:textId="77777777" w:rsidR="0000369C" w:rsidRPr="00427075" w:rsidRDefault="0000369C" w:rsidP="0000369C">
      <w:pPr>
        <w:ind w:firstLine="708"/>
        <w:rPr>
          <w:rFonts w:cs="Times New Roman"/>
          <w:szCs w:val="24"/>
        </w:rPr>
      </w:pPr>
      <w:r w:rsidRPr="00427075">
        <w:rPr>
          <w:rFonts w:cs="Times New Roman"/>
          <w:szCs w:val="24"/>
        </w:rPr>
        <w:t xml:space="preserve">7. </w:t>
      </w:r>
      <w:r w:rsidRPr="00427075">
        <w:rPr>
          <w:rFonts w:cs="Times New Roman"/>
          <w:i/>
          <w:szCs w:val="24"/>
        </w:rPr>
        <w:t>Оценка эффективности ПП</w:t>
      </w:r>
      <w:r w:rsidRPr="00427075">
        <w:rPr>
          <w:rFonts w:cs="Times New Roman"/>
          <w:szCs w:val="24"/>
        </w:rPr>
        <w:t xml:space="preserve">. Врачом после начала ПП проводится оценка его эффективности и диагностика возможных осложнений. Эффективность оценивается с учетом анализа прироста  массы тела, оптимальным считается увеличение массы за 7 дней на 0,5 – 1 кг при изначально умеренном или тяжелом дефиците. Также еженедельно оцениваются ИМТ, расчет азотистого баланса, концентрация альбумина и общего белка. При уменьшении степени катаболизма (см. табл. 1) производится перерасчёт суточной потребности больного в калориях. </w:t>
      </w:r>
    </w:p>
    <w:p w14:paraId="1B408869" w14:textId="77777777" w:rsidR="0000369C" w:rsidRPr="00427075" w:rsidRDefault="0000369C" w:rsidP="0000369C">
      <w:pPr>
        <w:pStyle w:val="afe"/>
        <w:ind w:left="0" w:firstLine="709"/>
        <w:rPr>
          <w:rFonts w:cs="Times New Roman"/>
          <w:i/>
          <w:szCs w:val="24"/>
        </w:rPr>
      </w:pPr>
      <w:r w:rsidRPr="00427075">
        <w:rPr>
          <w:rFonts w:cs="Times New Roman"/>
          <w:i/>
          <w:szCs w:val="24"/>
        </w:rPr>
        <w:t>8.Лабораторные исследования во время проведения ПП:</w:t>
      </w:r>
    </w:p>
    <w:p w14:paraId="15BDE4D0" w14:textId="77777777" w:rsidR="0000369C" w:rsidRPr="00427075" w:rsidRDefault="0000369C" w:rsidP="00C5490F">
      <w:pPr>
        <w:pStyle w:val="afe"/>
        <w:numPr>
          <w:ilvl w:val="0"/>
          <w:numId w:val="132"/>
        </w:numPr>
        <w:rPr>
          <w:rFonts w:cs="Times New Roman"/>
          <w:szCs w:val="24"/>
        </w:rPr>
      </w:pPr>
      <w:r w:rsidRPr="00427075">
        <w:rPr>
          <w:rFonts w:cs="Times New Roman"/>
          <w:szCs w:val="24"/>
        </w:rPr>
        <w:t xml:space="preserve">Концентрация глюкозы – 2 – 4 р/сут; </w:t>
      </w:r>
    </w:p>
    <w:p w14:paraId="30FFA9AC" w14:textId="77777777" w:rsidR="0000369C" w:rsidRPr="00427075" w:rsidRDefault="0000369C" w:rsidP="00C5490F">
      <w:pPr>
        <w:pStyle w:val="afe"/>
        <w:numPr>
          <w:ilvl w:val="0"/>
          <w:numId w:val="132"/>
        </w:numPr>
        <w:rPr>
          <w:rFonts w:cs="Times New Roman"/>
          <w:szCs w:val="24"/>
        </w:rPr>
      </w:pPr>
      <w:r w:rsidRPr="00427075">
        <w:rPr>
          <w:rFonts w:cs="Times New Roman"/>
          <w:szCs w:val="24"/>
        </w:rPr>
        <w:t>Электролитный состав крови – 1 р/сут;</w:t>
      </w:r>
    </w:p>
    <w:p w14:paraId="5B1D0878" w14:textId="77777777" w:rsidR="0000369C" w:rsidRPr="00427075" w:rsidRDefault="0000369C" w:rsidP="00C5490F">
      <w:pPr>
        <w:pStyle w:val="afe"/>
        <w:numPr>
          <w:ilvl w:val="0"/>
          <w:numId w:val="132"/>
        </w:numPr>
        <w:rPr>
          <w:rFonts w:cs="Times New Roman"/>
          <w:szCs w:val="24"/>
        </w:rPr>
      </w:pPr>
      <w:r w:rsidRPr="00427075">
        <w:rPr>
          <w:rFonts w:cs="Times New Roman"/>
          <w:szCs w:val="24"/>
        </w:rPr>
        <w:t>Биохимический анализ крови (дважды в неделю) с исследованием концентрации печеночных трансаминаз, общий белок, альбумин, триглицериды, липаза, амилаза;</w:t>
      </w:r>
    </w:p>
    <w:p w14:paraId="03DACD66" w14:textId="77777777" w:rsidR="0000369C" w:rsidRPr="00427075" w:rsidRDefault="0000369C" w:rsidP="00C5490F">
      <w:pPr>
        <w:pStyle w:val="afe"/>
        <w:numPr>
          <w:ilvl w:val="0"/>
          <w:numId w:val="132"/>
        </w:numPr>
        <w:rPr>
          <w:rFonts w:cs="Times New Roman"/>
          <w:szCs w:val="24"/>
        </w:rPr>
      </w:pPr>
      <w:r w:rsidRPr="00427075">
        <w:rPr>
          <w:rFonts w:cs="Times New Roman"/>
          <w:szCs w:val="24"/>
        </w:rPr>
        <w:t xml:space="preserve">Контроль концентрации витаминов </w:t>
      </w:r>
      <w:r w:rsidRPr="00427075">
        <w:rPr>
          <w:rFonts w:cs="Times New Roman"/>
          <w:i/>
          <w:szCs w:val="24"/>
        </w:rPr>
        <w:t>(тиамин)</w:t>
      </w:r>
      <w:r w:rsidRPr="00427075">
        <w:rPr>
          <w:rFonts w:cs="Times New Roman"/>
          <w:szCs w:val="24"/>
        </w:rPr>
        <w:t xml:space="preserve">  и микроэлементов </w:t>
      </w:r>
      <w:r w:rsidRPr="00427075">
        <w:rPr>
          <w:rFonts w:cs="Times New Roman"/>
          <w:i/>
          <w:szCs w:val="24"/>
        </w:rPr>
        <w:t>(калий, натрий, кальций, хлориды магний)</w:t>
      </w:r>
      <w:r w:rsidRPr="00427075">
        <w:rPr>
          <w:rFonts w:cs="Times New Roman"/>
          <w:szCs w:val="24"/>
        </w:rPr>
        <w:t xml:space="preserve">  при длительном парентеральном питании (более 1 месяца).</w:t>
      </w:r>
    </w:p>
    <w:p w14:paraId="7C066172" w14:textId="77777777" w:rsidR="0000369C" w:rsidRPr="00427075" w:rsidRDefault="0000369C" w:rsidP="0000369C">
      <w:pPr>
        <w:pStyle w:val="afe"/>
        <w:ind w:left="0" w:firstLine="709"/>
        <w:rPr>
          <w:rFonts w:cs="Times New Roman"/>
          <w:i/>
          <w:szCs w:val="24"/>
        </w:rPr>
      </w:pPr>
      <w:r w:rsidRPr="00427075">
        <w:rPr>
          <w:rFonts w:cs="Times New Roman"/>
          <w:i/>
          <w:szCs w:val="24"/>
        </w:rPr>
        <w:t>9.Регулярные обследования во время проведения ПП:</w:t>
      </w:r>
    </w:p>
    <w:p w14:paraId="1BD556BD" w14:textId="77777777" w:rsidR="0000369C" w:rsidRPr="00427075" w:rsidRDefault="0000369C" w:rsidP="00C5490F">
      <w:pPr>
        <w:pStyle w:val="afe"/>
        <w:numPr>
          <w:ilvl w:val="0"/>
          <w:numId w:val="133"/>
        </w:numPr>
        <w:rPr>
          <w:rFonts w:cs="Times New Roman"/>
          <w:szCs w:val="24"/>
        </w:rPr>
      </w:pPr>
      <w:r w:rsidRPr="00427075">
        <w:rPr>
          <w:rFonts w:cs="Times New Roman"/>
          <w:szCs w:val="24"/>
        </w:rPr>
        <w:t>Суточный баланс жидкости – ежедневно;</w:t>
      </w:r>
    </w:p>
    <w:p w14:paraId="626D621B" w14:textId="77777777" w:rsidR="0000369C" w:rsidRPr="00427075" w:rsidRDefault="0000369C" w:rsidP="00C5490F">
      <w:pPr>
        <w:pStyle w:val="afe"/>
        <w:numPr>
          <w:ilvl w:val="0"/>
          <w:numId w:val="133"/>
        </w:numPr>
        <w:rPr>
          <w:rFonts w:cs="Times New Roman"/>
          <w:szCs w:val="24"/>
        </w:rPr>
      </w:pPr>
      <w:r w:rsidRPr="00427075">
        <w:rPr>
          <w:rFonts w:cs="Times New Roman"/>
          <w:szCs w:val="24"/>
        </w:rPr>
        <w:t>Динамика массы тела – ежедневно (стремительная прибавка в весе, более 2 кг в неделю, вероятнее всего связана с задержкой жидкости);</w:t>
      </w:r>
    </w:p>
    <w:p w14:paraId="195990A9" w14:textId="77777777" w:rsidR="0000369C" w:rsidRPr="00427075" w:rsidRDefault="0000369C" w:rsidP="00C5490F">
      <w:pPr>
        <w:pStyle w:val="afe"/>
        <w:numPr>
          <w:ilvl w:val="0"/>
          <w:numId w:val="133"/>
        </w:numPr>
        <w:rPr>
          <w:rFonts w:cs="Times New Roman"/>
          <w:szCs w:val="24"/>
        </w:rPr>
      </w:pPr>
      <w:r w:rsidRPr="00427075">
        <w:rPr>
          <w:rFonts w:cs="Times New Roman"/>
          <w:szCs w:val="24"/>
        </w:rPr>
        <w:t>Азотистый баланс и оценка трофического статуса (ИМТ) – один раз в неделю.</w:t>
      </w:r>
    </w:p>
    <w:p w14:paraId="1C0F579F" w14:textId="77777777" w:rsidR="0000369C" w:rsidRPr="00427075" w:rsidRDefault="0000369C" w:rsidP="0000369C">
      <w:pPr>
        <w:rPr>
          <w:rFonts w:cs="Times New Roman"/>
          <w:szCs w:val="24"/>
        </w:rPr>
      </w:pPr>
      <w:r w:rsidRPr="00427075">
        <w:rPr>
          <w:rFonts w:cs="Times New Roman"/>
          <w:szCs w:val="24"/>
        </w:rPr>
        <w:tab/>
        <w:t xml:space="preserve"> 10. </w:t>
      </w:r>
      <w:r w:rsidRPr="00427075">
        <w:rPr>
          <w:rFonts w:cs="Times New Roman"/>
          <w:i/>
          <w:szCs w:val="24"/>
        </w:rPr>
        <w:t>Завершение ПП.</w:t>
      </w:r>
      <w:r w:rsidRPr="00427075">
        <w:rPr>
          <w:rFonts w:cs="Times New Roman"/>
          <w:szCs w:val="24"/>
        </w:rPr>
        <w:t xml:space="preserve"> После разрешения причин, потребовавших проведения ПП, скорость инфузии питательной смеси уменьшается на количество калорий, употребляемых пациентом перорально. </w:t>
      </w:r>
    </w:p>
    <w:p w14:paraId="13A13965" w14:textId="77777777" w:rsidR="0000369C" w:rsidRPr="00427075" w:rsidRDefault="0000369C" w:rsidP="0000369C">
      <w:pPr>
        <w:ind w:firstLine="708"/>
        <w:rPr>
          <w:rFonts w:cs="Times New Roman"/>
          <w:szCs w:val="24"/>
        </w:rPr>
      </w:pPr>
      <w:r w:rsidRPr="00427075">
        <w:rPr>
          <w:rFonts w:cs="Times New Roman"/>
          <w:szCs w:val="24"/>
        </w:rPr>
        <w:t>При возникновении любых аллергических реакций необходимо прекратить ввдение препарата. В случае развития уртикарной сыпи обосновано применение антигистаминных препаратов, таких как дифенгидрамин, супрастин, тавегил. При развитии анафилактического шока первым вводится адреналин и инфузионная нагрузка с последующим введением дексаметазона или преднизолона.</w:t>
      </w:r>
    </w:p>
    <w:p w14:paraId="2B2387DF" w14:textId="77777777" w:rsidR="0000369C" w:rsidRDefault="0000369C" w:rsidP="0000369C">
      <w:pPr>
        <w:ind w:firstLine="709"/>
        <w:rPr>
          <w:rFonts w:cs="Times New Roman"/>
          <w:b/>
          <w:szCs w:val="24"/>
        </w:rPr>
      </w:pPr>
    </w:p>
    <w:p w14:paraId="0D2047FD" w14:textId="77777777" w:rsidR="0000369C" w:rsidRPr="00427075" w:rsidRDefault="0000369C" w:rsidP="0000369C">
      <w:pPr>
        <w:ind w:firstLine="709"/>
        <w:rPr>
          <w:rFonts w:cs="Times New Roman"/>
          <w:i/>
          <w:szCs w:val="24"/>
          <w:u w:val="single"/>
        </w:rPr>
      </w:pPr>
      <w:r w:rsidRPr="00427075">
        <w:rPr>
          <w:rFonts w:cs="Times New Roman"/>
          <w:i/>
          <w:szCs w:val="24"/>
          <w:u w:val="single"/>
        </w:rPr>
        <w:t>Особые указания</w:t>
      </w:r>
    </w:p>
    <w:p w14:paraId="2A765D73" w14:textId="77777777" w:rsidR="0000369C" w:rsidRPr="00427075" w:rsidRDefault="0000369C" w:rsidP="0000369C">
      <w:pPr>
        <w:ind w:firstLine="709"/>
        <w:rPr>
          <w:rFonts w:cs="Times New Roman"/>
          <w:szCs w:val="24"/>
        </w:rPr>
      </w:pPr>
      <w:r w:rsidRPr="00427075">
        <w:rPr>
          <w:rFonts w:cs="Times New Roman"/>
          <w:szCs w:val="24"/>
        </w:rPr>
        <w:t>Противопоказано одновременное введение цефтриаксона и смесей ПП из-за риска образования цефтриаксон-кальциевой соли. Описаны случаи образования преципитата фосфата кальция при проведении ПП. Дестабилизация липидной эмульсии может быть вызвана введением иных препаратов в камеру с парентеральным питанием. Дестабилизация липидов и образование преципитатов может вести к нарушению микроциркуляции, что проявляется развитием острой дыхательной недостаточности, неврологическими нарушениями. В данном случае необходимо остановить проведение ПП.</w:t>
      </w:r>
    </w:p>
    <w:p w14:paraId="19EBC285" w14:textId="77777777" w:rsidR="0000369C" w:rsidRPr="00427075" w:rsidRDefault="0000369C" w:rsidP="0000369C">
      <w:pPr>
        <w:ind w:firstLine="709"/>
        <w:rPr>
          <w:rFonts w:cs="Times New Roman"/>
          <w:szCs w:val="24"/>
        </w:rPr>
      </w:pPr>
      <w:r w:rsidRPr="00427075">
        <w:rPr>
          <w:rFonts w:cs="Times New Roman"/>
          <w:szCs w:val="24"/>
        </w:rPr>
        <w:t xml:space="preserve">При выполнении анализа на свободный гемоглобин (методом измерения оптической плотности), необходимо прекратить введение жировой эмульсии минимум за 6 часов до набора пробы крови с целью исключения ошибок определения концентрации свободного гемоглобина плазмы.  </w:t>
      </w:r>
    </w:p>
    <w:p w14:paraId="04923592" w14:textId="0BB315A6" w:rsidR="0000369C" w:rsidRDefault="0000369C" w:rsidP="0000369C">
      <w:pPr>
        <w:widowControl w:val="0"/>
        <w:autoSpaceDE w:val="0"/>
        <w:autoSpaceDN w:val="0"/>
        <w:adjustRightInd w:val="0"/>
        <w:ind w:left="640" w:hanging="640"/>
        <w:rPr>
          <w:rFonts w:cs="Times New Roman"/>
          <w:szCs w:val="24"/>
        </w:rPr>
      </w:pPr>
    </w:p>
    <w:p w14:paraId="4D07848C" w14:textId="6935B1D1" w:rsidR="0000369C" w:rsidRDefault="0000369C" w:rsidP="0000369C">
      <w:pPr>
        <w:pStyle w:val="2"/>
      </w:pPr>
      <w:bookmarkStart w:id="215" w:name="_Toc67522265"/>
      <w:r>
        <w:t xml:space="preserve">Приложение А3.5. </w:t>
      </w:r>
      <w:bookmarkStart w:id="216" w:name="_Toc64477951"/>
      <w:r>
        <w:t>Применение</w:t>
      </w:r>
      <w:r w:rsidRPr="009848E0">
        <w:t xml:space="preserve"> компонентов донорской крови у </w:t>
      </w:r>
      <w:r>
        <w:t xml:space="preserve">гематологических </w:t>
      </w:r>
      <w:r w:rsidRPr="009848E0">
        <w:t>пациентов</w:t>
      </w:r>
      <w:bookmarkEnd w:id="215"/>
      <w:bookmarkEnd w:id="216"/>
    </w:p>
    <w:p w14:paraId="01B410A4" w14:textId="77777777" w:rsidR="0000369C" w:rsidRPr="00106C1D" w:rsidRDefault="0000369C" w:rsidP="0000369C">
      <w:pPr>
        <w:ind w:firstLine="708"/>
        <w:contextualSpacing/>
        <w:rPr>
          <w:szCs w:val="24"/>
        </w:rPr>
      </w:pPr>
      <w:r w:rsidRPr="004C7AAC">
        <w:rPr>
          <w:szCs w:val="24"/>
        </w:rPr>
        <w:t xml:space="preserve">Основным </w:t>
      </w:r>
      <w:r w:rsidRPr="004C7AAC">
        <w:rPr>
          <w:szCs w:val="24"/>
          <w:lang w:eastAsia="ru-RU"/>
        </w:rPr>
        <w:t xml:space="preserve">медицинским </w:t>
      </w:r>
      <w:r w:rsidRPr="00E74023">
        <w:rPr>
          <w:szCs w:val="24"/>
          <w:lang w:eastAsia="ru-RU"/>
        </w:rPr>
        <w:t xml:space="preserve">показанием к </w:t>
      </w:r>
      <w:r w:rsidRPr="00E74023">
        <w:rPr>
          <w:szCs w:val="24"/>
        </w:rPr>
        <w:t xml:space="preserve">трансфузии эритроцитов у </w:t>
      </w:r>
      <w:r>
        <w:rPr>
          <w:szCs w:val="24"/>
        </w:rPr>
        <w:t xml:space="preserve">гематологических </w:t>
      </w:r>
      <w:r w:rsidRPr="00E74023">
        <w:rPr>
          <w:szCs w:val="24"/>
        </w:rPr>
        <w:t xml:space="preserve">пациентов является неадекватная оксигенация </w:t>
      </w:r>
      <w:r>
        <w:rPr>
          <w:szCs w:val="24"/>
        </w:rPr>
        <w:t xml:space="preserve">органов и тканей </w:t>
      </w:r>
      <w:r w:rsidRPr="00E74023">
        <w:rPr>
          <w:szCs w:val="24"/>
        </w:rPr>
        <w:t>и связанный с этим риск осложнений.</w:t>
      </w:r>
      <w:r>
        <w:rPr>
          <w:szCs w:val="24"/>
        </w:rPr>
        <w:t xml:space="preserve"> </w:t>
      </w:r>
      <w:r w:rsidRPr="00E74023">
        <w:rPr>
          <w:szCs w:val="24"/>
        </w:rPr>
        <w:t xml:space="preserve">Переливание донорских тромбоцитов гематологическим </w:t>
      </w:r>
      <w:r>
        <w:rPr>
          <w:szCs w:val="24"/>
        </w:rPr>
        <w:t>пациента</w:t>
      </w:r>
      <w:r w:rsidRPr="00E74023">
        <w:rPr>
          <w:szCs w:val="24"/>
        </w:rPr>
        <w:t xml:space="preserve">м проводят </w:t>
      </w:r>
      <w:r w:rsidRPr="00E74023">
        <w:rPr>
          <w:szCs w:val="24"/>
          <w:lang w:val="en-US"/>
        </w:rPr>
        <w:t>c</w:t>
      </w:r>
      <w:r w:rsidRPr="00E74023">
        <w:rPr>
          <w:szCs w:val="24"/>
        </w:rPr>
        <w:t xml:space="preserve"> целью профилактики спонтанных геморрагических осложнений на фоне глубокой тромбоцитопении, индуцированной проведением интенсивной химиотерапии, или с лечебной целью пациентам с уже имеющимися геморрагическими осложнениями.</w:t>
      </w:r>
      <w:r>
        <w:rPr>
          <w:szCs w:val="24"/>
        </w:rPr>
        <w:t xml:space="preserve"> При необходимости </w:t>
      </w:r>
      <w:r w:rsidRPr="00E74023">
        <w:rPr>
          <w:szCs w:val="24"/>
        </w:rPr>
        <w:t>восполнения дефицита факторов свертывания</w:t>
      </w:r>
      <w:r>
        <w:rPr>
          <w:szCs w:val="24"/>
        </w:rPr>
        <w:t xml:space="preserve"> </w:t>
      </w:r>
      <w:r w:rsidRPr="00E74023">
        <w:rPr>
          <w:szCs w:val="24"/>
        </w:rPr>
        <w:t>универсальным препаратом</w:t>
      </w:r>
      <w:r w:rsidRPr="009848E0">
        <w:rPr>
          <w:szCs w:val="24"/>
        </w:rPr>
        <w:t xml:space="preserve"> </w:t>
      </w:r>
      <w:r w:rsidRPr="00E74023">
        <w:rPr>
          <w:szCs w:val="24"/>
        </w:rPr>
        <w:t xml:space="preserve">на сегодняшний день является </w:t>
      </w:r>
      <w:r>
        <w:rPr>
          <w:szCs w:val="24"/>
        </w:rPr>
        <w:t>с</w:t>
      </w:r>
      <w:r w:rsidRPr="00E74023">
        <w:rPr>
          <w:szCs w:val="24"/>
        </w:rPr>
        <w:t>вежезамороженная плазма (СЗП</w:t>
      </w:r>
      <w:r>
        <w:rPr>
          <w:szCs w:val="24"/>
        </w:rPr>
        <w:t>)</w:t>
      </w:r>
      <w:r w:rsidRPr="00E74023">
        <w:rPr>
          <w:szCs w:val="24"/>
        </w:rPr>
        <w:t xml:space="preserve">. Показаниями для ее применения при острой кровопотере являются удлинение хронометрических показателей коагулограммы более чем в 1,8 раз; изолированное снижение уровня одного из факторов свертывания на 20% и более или комплекса факторов на 40% и более. Кроме СЗП для коррекции нарушений гемостаза при острой кровопотере применяются криопреципитат, очищенные или генноинженерные препараты факторов свертывания или их комплексов, ингибиторы протеаз, ингибиторы фибринолиза, десмопрессин. Трансфузии СЗП показаны </w:t>
      </w:r>
      <w:r>
        <w:rPr>
          <w:szCs w:val="24"/>
        </w:rPr>
        <w:t xml:space="preserve">также </w:t>
      </w:r>
      <w:r w:rsidRPr="00E74023">
        <w:rPr>
          <w:szCs w:val="24"/>
        </w:rPr>
        <w:t xml:space="preserve">для </w:t>
      </w:r>
      <w:r w:rsidRPr="00E74023">
        <w:rPr>
          <w:color w:val="000000"/>
          <w:szCs w:val="24"/>
        </w:rPr>
        <w:t>возмещения объема при проведении</w:t>
      </w:r>
      <w:r w:rsidRPr="004C7AAC">
        <w:rPr>
          <w:color w:val="000000"/>
          <w:szCs w:val="24"/>
        </w:rPr>
        <w:t xml:space="preserve"> </w:t>
      </w:r>
      <w:r w:rsidRPr="004C7AAC">
        <w:rPr>
          <w:szCs w:val="24"/>
        </w:rPr>
        <w:t xml:space="preserve">процедур плазмафереза при гиперлейкоцитозе, </w:t>
      </w:r>
      <w:r>
        <w:rPr>
          <w:szCs w:val="24"/>
        </w:rPr>
        <w:t xml:space="preserve">Выбор конкретного вида компонента крови для </w:t>
      </w:r>
      <w:r>
        <w:rPr>
          <w:szCs w:val="24"/>
        </w:rPr>
        <w:lastRenderedPageBreak/>
        <w:t>гемотрансфузии (тип э</w:t>
      </w:r>
      <w:r>
        <w:rPr>
          <w:szCs w:val="24"/>
          <w:lang w:eastAsia="ru-RU"/>
        </w:rPr>
        <w:t>ритроцитосодержащего компонента</w:t>
      </w:r>
      <w:r w:rsidRPr="003B52EE">
        <w:rPr>
          <w:szCs w:val="24"/>
          <w:lang w:eastAsia="ru-RU"/>
        </w:rPr>
        <w:t xml:space="preserve"> крови</w:t>
      </w:r>
      <w:r>
        <w:rPr>
          <w:szCs w:val="24"/>
          <w:lang w:eastAsia="ru-RU"/>
        </w:rPr>
        <w:t xml:space="preserve">, тип </w:t>
      </w:r>
      <w:r w:rsidRPr="003B52EE">
        <w:rPr>
          <w:bCs/>
          <w:iCs/>
          <w:szCs w:val="24"/>
          <w:lang w:eastAsia="ru-RU"/>
        </w:rPr>
        <w:t>концентрата тромбоцитов</w:t>
      </w:r>
      <w:r>
        <w:rPr>
          <w:bCs/>
          <w:iCs/>
          <w:szCs w:val="24"/>
          <w:lang w:eastAsia="ru-RU"/>
        </w:rPr>
        <w:t xml:space="preserve">, тип препарата </w:t>
      </w:r>
      <w:r w:rsidRPr="003B52EE">
        <w:rPr>
          <w:iCs/>
          <w:szCs w:val="24"/>
        </w:rPr>
        <w:t>плазмы</w:t>
      </w:r>
      <w:r>
        <w:rPr>
          <w:iCs/>
          <w:szCs w:val="24"/>
        </w:rPr>
        <w:t xml:space="preserve">) осуществляется лечащим врачом или врачом-трансфузиологом в соответствии с клинической ситуаций и на основании </w:t>
      </w:r>
      <w:r w:rsidRPr="00EE003B">
        <w:rPr>
          <w:szCs w:val="24"/>
        </w:rPr>
        <w:t>Приказа Минздрава России от 28.10.2020 N 1170н</w:t>
      </w:r>
      <w:r w:rsidRPr="00EE003B">
        <w:rPr>
          <w:szCs w:val="24"/>
        </w:rPr>
        <w:br/>
        <w:t xml:space="preserve">"Об утверждении порядка оказания медицинской помощи населению по профилю "трансфузиология", Приказа Минздрава России от 20.10.2020 </w:t>
      </w:r>
      <w:r w:rsidRPr="00EE003B">
        <w:rPr>
          <w:szCs w:val="24"/>
          <w:lang w:val="en-US"/>
        </w:rPr>
        <w:t>N</w:t>
      </w:r>
      <w:r w:rsidRPr="00EE003B">
        <w:rPr>
          <w:szCs w:val="24"/>
        </w:rPr>
        <w:t xml:space="preserve"> 1134н «О порядке медицинского обследования реципиента, проведения проб на индивидуальную совместимость, включая биологическую пробу, при трансфузии донорской крови и (или) ее компонентов»</w:t>
      </w:r>
      <w:r>
        <w:rPr>
          <w:szCs w:val="24"/>
        </w:rPr>
        <w:t>, рекомендациями «Клиническое использование эритроцитсодержащих компонентов крови»  (2018</w:t>
      </w:r>
      <w:r w:rsidRPr="00360841">
        <w:rPr>
          <w:szCs w:val="24"/>
        </w:rPr>
        <w:t xml:space="preserve"> </w:t>
      </w:r>
      <w:r>
        <w:rPr>
          <w:szCs w:val="24"/>
        </w:rPr>
        <w:t>г</w:t>
      </w:r>
      <w:r w:rsidRPr="00360841">
        <w:rPr>
          <w:szCs w:val="24"/>
        </w:rPr>
        <w:t>.</w:t>
      </w:r>
      <w:r>
        <w:rPr>
          <w:szCs w:val="24"/>
        </w:rPr>
        <w:t xml:space="preserve">), </w:t>
      </w:r>
      <w:r w:rsidRPr="00106C1D">
        <w:rPr>
          <w:szCs w:val="24"/>
        </w:rPr>
        <w:t xml:space="preserve">Постановления от 22.06.2019 г. </w:t>
      </w:r>
      <w:r w:rsidRPr="00106C1D">
        <w:rPr>
          <w:szCs w:val="24"/>
          <w:lang w:val="en-US"/>
        </w:rPr>
        <w:t>N</w:t>
      </w:r>
      <w:r w:rsidRPr="00106C1D">
        <w:rPr>
          <w:szCs w:val="24"/>
        </w:rPr>
        <w:t xml:space="preserve">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  другими нормативными актами.</w:t>
      </w:r>
    </w:p>
    <w:p w14:paraId="73EF0AB0" w14:textId="77777777" w:rsidR="0000369C" w:rsidRDefault="0000369C" w:rsidP="0000369C">
      <w:pPr>
        <w:contextualSpacing/>
        <w:rPr>
          <w:b/>
          <w:szCs w:val="24"/>
          <w:lang w:eastAsia="ru-RU"/>
        </w:rPr>
      </w:pPr>
    </w:p>
    <w:p w14:paraId="3479FB1A" w14:textId="77777777" w:rsidR="0000369C" w:rsidRPr="00360841" w:rsidRDefault="0000369C" w:rsidP="0000369C">
      <w:pPr>
        <w:contextualSpacing/>
        <w:rPr>
          <w:i/>
          <w:szCs w:val="24"/>
          <w:u w:val="single"/>
          <w:lang w:eastAsia="ru-RU"/>
        </w:rPr>
      </w:pPr>
      <w:r w:rsidRPr="00360841">
        <w:rPr>
          <w:i/>
          <w:szCs w:val="24"/>
          <w:u w:val="single"/>
          <w:lang w:eastAsia="ru-RU"/>
        </w:rPr>
        <w:t>Трансфузии эритроцитосодержащих компонентов крови (ЭСК)</w:t>
      </w:r>
    </w:p>
    <w:p w14:paraId="46A2D3E9" w14:textId="77777777" w:rsidR="0000369C" w:rsidRPr="00FA3E28" w:rsidRDefault="0000369C" w:rsidP="0000369C">
      <w:pPr>
        <w:ind w:firstLine="708"/>
        <w:rPr>
          <w:rFonts w:eastAsia="Times New Roman"/>
          <w:szCs w:val="24"/>
          <w:u w:val="single"/>
        </w:rPr>
      </w:pPr>
      <w:r w:rsidRPr="00FA3E28">
        <w:rPr>
          <w:rFonts w:eastAsia="Times New Roman"/>
          <w:bCs/>
          <w:szCs w:val="24"/>
          <w:u w:val="single"/>
        </w:rPr>
        <w:t>Необходимые исследования до трансфузии</w:t>
      </w:r>
    </w:p>
    <w:p w14:paraId="6FA865B6" w14:textId="77777777" w:rsidR="0000369C" w:rsidRDefault="0000369C" w:rsidP="0000369C">
      <w:pPr>
        <w:ind w:firstLine="708"/>
        <w:rPr>
          <w:rFonts w:eastAsia="Times New Roman"/>
          <w:szCs w:val="24"/>
        </w:rPr>
      </w:pPr>
      <w:r>
        <w:rPr>
          <w:rFonts w:eastAsia="Times New Roman"/>
          <w:szCs w:val="24"/>
        </w:rPr>
        <w:t xml:space="preserve">Всем гематологическим пациентам при поступлении в медицинскую организацию необходимо осуществить первичное определение группы крови в клиническом отделении по системе AB0 и резус-принадлежности с внесением результатов определения в медицинскую документацию. После первичного определения группы крови образец крови больного направляется в клинико-диагностическую лабораторию организации, осуществляющей клиническое использование донорской крови и ее компонентов, где проводят следующие подтверждающие исследования, c внесением в медицинскую документацию: </w:t>
      </w:r>
    </w:p>
    <w:p w14:paraId="2A52EFAE" w14:textId="77777777" w:rsidR="0000369C" w:rsidRPr="00360841" w:rsidRDefault="0000369C" w:rsidP="00C5490F">
      <w:pPr>
        <w:pStyle w:val="afe"/>
        <w:numPr>
          <w:ilvl w:val="0"/>
          <w:numId w:val="68"/>
        </w:numPr>
        <w:rPr>
          <w:szCs w:val="24"/>
        </w:rPr>
      </w:pPr>
      <w:r w:rsidRPr="00360841">
        <w:rPr>
          <w:rFonts w:eastAsia="Times New Roman"/>
          <w:szCs w:val="24"/>
        </w:rPr>
        <w:t>определение группы крови по системе AB0 и резус-принадлежности;</w:t>
      </w:r>
    </w:p>
    <w:p w14:paraId="4AC1A3BA" w14:textId="77777777" w:rsidR="0000369C" w:rsidRPr="00360841" w:rsidRDefault="0000369C" w:rsidP="00C5490F">
      <w:pPr>
        <w:pStyle w:val="afe"/>
        <w:numPr>
          <w:ilvl w:val="0"/>
          <w:numId w:val="68"/>
        </w:numPr>
        <w:rPr>
          <w:szCs w:val="24"/>
        </w:rPr>
      </w:pPr>
      <w:r w:rsidRPr="00360841">
        <w:rPr>
          <w:rFonts w:eastAsia="Times New Roman"/>
          <w:szCs w:val="24"/>
        </w:rPr>
        <w:t>определение антигена K;</w:t>
      </w:r>
    </w:p>
    <w:p w14:paraId="01B2F549" w14:textId="77777777" w:rsidR="0000369C" w:rsidRPr="00360841" w:rsidRDefault="0000369C" w:rsidP="00C5490F">
      <w:pPr>
        <w:pStyle w:val="afe"/>
        <w:numPr>
          <w:ilvl w:val="0"/>
          <w:numId w:val="68"/>
        </w:numPr>
        <w:rPr>
          <w:szCs w:val="24"/>
        </w:rPr>
      </w:pPr>
      <w:r w:rsidRPr="00360841">
        <w:rPr>
          <w:rFonts w:eastAsia="Times New Roman"/>
          <w:szCs w:val="24"/>
        </w:rPr>
        <w:t>скрининг аллоиммунных антител с использованием не менее 3 образцов тест-эритроцитов;</w:t>
      </w:r>
    </w:p>
    <w:p w14:paraId="49789569" w14:textId="77777777" w:rsidR="0000369C" w:rsidRPr="00360841" w:rsidRDefault="0000369C" w:rsidP="00C5490F">
      <w:pPr>
        <w:pStyle w:val="afe"/>
        <w:numPr>
          <w:ilvl w:val="0"/>
          <w:numId w:val="68"/>
        </w:numPr>
        <w:rPr>
          <w:szCs w:val="24"/>
        </w:rPr>
      </w:pPr>
      <w:r w:rsidRPr="00360841">
        <w:rPr>
          <w:rFonts w:eastAsia="Times New Roman"/>
          <w:szCs w:val="24"/>
        </w:rPr>
        <w:t>определение антигенов эритроцитов C, c, E, e. При совпадении результатов определения антигенов эритроцитов C, c, E, e, K, проведенных дважды в организации, осуществляющей клиническое использование донорской крови и ее компонентов, антигены эритроцитов C, c, E, e, K  считаются установленными и в дальнейшем не определяются.</w:t>
      </w:r>
    </w:p>
    <w:p w14:paraId="3208B736" w14:textId="77777777" w:rsidR="0000369C" w:rsidRDefault="0000369C" w:rsidP="0000369C">
      <w:pPr>
        <w:ind w:firstLine="708"/>
        <w:rPr>
          <w:szCs w:val="24"/>
        </w:rPr>
      </w:pPr>
      <w:r>
        <w:rPr>
          <w:rFonts w:eastAsia="Times New Roman"/>
          <w:szCs w:val="24"/>
        </w:rPr>
        <w:lastRenderedPageBreak/>
        <w:t>Не допускается внесение в медицинскую документацию результатов указанных выше исследований на основании данных медицинской документации, оформленной иными медицинскими организациями, в которых больному ранее была оказана медицинская помощь или проводилось медицинское обследование.</w:t>
      </w:r>
    </w:p>
    <w:p w14:paraId="136969D6" w14:textId="77777777" w:rsidR="0000369C" w:rsidRDefault="0000369C" w:rsidP="0000369C">
      <w:pPr>
        <w:ind w:firstLine="708"/>
        <w:rPr>
          <w:rFonts w:eastAsia="Times New Roman"/>
          <w:szCs w:val="24"/>
        </w:rPr>
      </w:pPr>
      <w:r>
        <w:rPr>
          <w:rFonts w:eastAsia="Times New Roman"/>
          <w:szCs w:val="24"/>
        </w:rPr>
        <w:t>В целях профилактики реакций и осложнений в связи с трансфузией используются ЭСК, идентичные или совместимые по системе AB0, резус-принадлежности и K. При плановых трансфузиях ЭСК дополнительно учитывают совместимость донора и реципиента по антигенам эритроцитов C, c, E, e, С</w:t>
      </w:r>
      <w:r>
        <w:rPr>
          <w:rFonts w:eastAsia="Times New Roman"/>
          <w:szCs w:val="24"/>
          <w:vertAlign w:val="superscript"/>
          <w:lang w:val="en-US" w:eastAsia="ru-RU"/>
        </w:rPr>
        <w:t>W</w:t>
      </w:r>
      <w:r>
        <w:rPr>
          <w:rFonts w:eastAsia="Times New Roman"/>
          <w:szCs w:val="24"/>
        </w:rPr>
        <w:t>.</w:t>
      </w:r>
    </w:p>
    <w:p w14:paraId="4E0DFAB4" w14:textId="77777777" w:rsidR="0000369C" w:rsidRDefault="0000369C" w:rsidP="0000369C">
      <w:pPr>
        <w:ind w:firstLine="708"/>
        <w:rPr>
          <w:rFonts w:eastAsia="Times New Roman"/>
          <w:szCs w:val="24"/>
        </w:rPr>
      </w:pPr>
      <w:r>
        <w:rPr>
          <w:rFonts w:eastAsia="Times New Roman"/>
          <w:szCs w:val="24"/>
          <w:lang w:eastAsia="ru-RU"/>
        </w:rPr>
        <w:t xml:space="preserve">Индивидуальный подбор компонентов крови осуществляется реципиентам, имеющим: </w:t>
      </w:r>
    </w:p>
    <w:p w14:paraId="09579B91" w14:textId="77777777" w:rsidR="0000369C" w:rsidRPr="00360841" w:rsidRDefault="0000369C" w:rsidP="00C5490F">
      <w:pPr>
        <w:pStyle w:val="afe"/>
        <w:numPr>
          <w:ilvl w:val="0"/>
          <w:numId w:val="69"/>
        </w:numPr>
        <w:rPr>
          <w:rFonts w:eastAsia="Times New Roman"/>
          <w:szCs w:val="24"/>
        </w:rPr>
      </w:pPr>
      <w:r w:rsidRPr="00360841">
        <w:rPr>
          <w:rFonts w:eastAsia="Times New Roman"/>
          <w:szCs w:val="24"/>
          <w:lang w:eastAsia="ru-RU"/>
        </w:rPr>
        <w:t>посттрансфузионные осложнения в анамнезе</w:t>
      </w:r>
    </w:p>
    <w:p w14:paraId="00F7CACB" w14:textId="77777777" w:rsidR="0000369C" w:rsidRPr="00360841" w:rsidRDefault="0000369C" w:rsidP="00C5490F">
      <w:pPr>
        <w:pStyle w:val="afe"/>
        <w:numPr>
          <w:ilvl w:val="0"/>
          <w:numId w:val="69"/>
        </w:numPr>
        <w:rPr>
          <w:rFonts w:eastAsia="Times New Roman"/>
          <w:szCs w:val="24"/>
          <w:lang w:eastAsia="ru-RU"/>
        </w:rPr>
      </w:pPr>
      <w:r w:rsidRPr="00360841">
        <w:rPr>
          <w:rFonts w:eastAsia="Times New Roman"/>
          <w:szCs w:val="24"/>
          <w:lang w:eastAsia="ru-RU"/>
        </w:rPr>
        <w:t>беременность</w:t>
      </w:r>
    </w:p>
    <w:p w14:paraId="3D2B7B4E" w14:textId="77777777" w:rsidR="0000369C" w:rsidRPr="00360841" w:rsidRDefault="0000369C" w:rsidP="00C5490F">
      <w:pPr>
        <w:pStyle w:val="afe"/>
        <w:numPr>
          <w:ilvl w:val="0"/>
          <w:numId w:val="69"/>
        </w:numPr>
        <w:rPr>
          <w:rFonts w:eastAsia="Times New Roman"/>
          <w:szCs w:val="24"/>
          <w:lang w:eastAsia="ru-RU"/>
        </w:rPr>
      </w:pPr>
      <w:r w:rsidRPr="00360841">
        <w:rPr>
          <w:rFonts w:eastAsia="Times New Roman"/>
          <w:szCs w:val="24"/>
          <w:lang w:eastAsia="ru-RU"/>
        </w:rPr>
        <w:t>рождение детей с гемолитической болезнью новорожденного в анамнезе</w:t>
      </w:r>
    </w:p>
    <w:p w14:paraId="48262399" w14:textId="77777777" w:rsidR="0000369C" w:rsidRPr="00360841" w:rsidRDefault="0000369C" w:rsidP="00C5490F">
      <w:pPr>
        <w:pStyle w:val="afe"/>
        <w:numPr>
          <w:ilvl w:val="0"/>
          <w:numId w:val="69"/>
        </w:numPr>
        <w:rPr>
          <w:rFonts w:eastAsia="Times New Roman"/>
          <w:szCs w:val="24"/>
        </w:rPr>
      </w:pPr>
      <w:r w:rsidRPr="00360841">
        <w:rPr>
          <w:rFonts w:eastAsia="Times New Roman"/>
          <w:szCs w:val="24"/>
          <w:lang w:eastAsia="ru-RU"/>
        </w:rPr>
        <w:t xml:space="preserve">аллоиммунные антитела. </w:t>
      </w:r>
    </w:p>
    <w:p w14:paraId="7A3075BA" w14:textId="77777777" w:rsidR="0000369C" w:rsidRDefault="0000369C" w:rsidP="0000369C">
      <w:pPr>
        <w:ind w:firstLine="708"/>
        <w:rPr>
          <w:rFonts w:eastAsia="Times New Roman"/>
          <w:szCs w:val="24"/>
        </w:rPr>
      </w:pPr>
      <w:r w:rsidRPr="001A5953">
        <w:rPr>
          <w:rFonts w:eastAsia="Times New Roman"/>
          <w:szCs w:val="24"/>
        </w:rPr>
        <w:t>Индивидуальный подбор не отменяет постановку пробы на совместимость на плоскости</w:t>
      </w:r>
      <w:r>
        <w:rPr>
          <w:rFonts w:eastAsia="Times New Roman"/>
          <w:szCs w:val="24"/>
        </w:rPr>
        <w:t xml:space="preserve"> при комнатной температуре</w:t>
      </w:r>
      <w:r w:rsidRPr="001A5953">
        <w:rPr>
          <w:rFonts w:eastAsia="Times New Roman"/>
          <w:szCs w:val="24"/>
        </w:rPr>
        <w:t xml:space="preserve"> и биологическую пробу врачом, проводящим трансфузию.</w:t>
      </w:r>
    </w:p>
    <w:p w14:paraId="302155E9" w14:textId="77777777" w:rsidR="0000369C" w:rsidRDefault="0000369C" w:rsidP="0000369C">
      <w:pPr>
        <w:ind w:firstLine="708"/>
        <w:rPr>
          <w:rFonts w:eastAsia="Times New Roman"/>
          <w:szCs w:val="24"/>
        </w:rPr>
      </w:pPr>
      <w:r>
        <w:rPr>
          <w:rFonts w:eastAsia="Times New Roman"/>
          <w:szCs w:val="24"/>
        </w:rPr>
        <w:t>При определении показаний к трансфузиям компонентов донорской крови обязательно проводятся следующие лабораторные исследования:</w:t>
      </w:r>
    </w:p>
    <w:p w14:paraId="09E99082" w14:textId="77777777" w:rsidR="0000369C" w:rsidRPr="00360841" w:rsidRDefault="0000369C" w:rsidP="00C5490F">
      <w:pPr>
        <w:pStyle w:val="afe"/>
        <w:numPr>
          <w:ilvl w:val="0"/>
          <w:numId w:val="70"/>
        </w:numPr>
        <w:rPr>
          <w:rFonts w:eastAsia="Times New Roman"/>
          <w:szCs w:val="24"/>
        </w:rPr>
      </w:pPr>
      <w:r w:rsidRPr="00360841">
        <w:rPr>
          <w:rFonts w:eastAsia="Times New Roman"/>
          <w:szCs w:val="24"/>
        </w:rPr>
        <w:t>Перед трансфузией клеточных компонентов донорской крови (эритроцитная взвесь, концентрат тромбоцитов) - общий (клинический) анализ крови</w:t>
      </w:r>
    </w:p>
    <w:p w14:paraId="60597BEE" w14:textId="77777777" w:rsidR="0000369C" w:rsidRPr="00360841" w:rsidRDefault="0000369C" w:rsidP="00C5490F">
      <w:pPr>
        <w:pStyle w:val="afe"/>
        <w:numPr>
          <w:ilvl w:val="0"/>
          <w:numId w:val="70"/>
        </w:numPr>
        <w:rPr>
          <w:szCs w:val="24"/>
        </w:rPr>
      </w:pPr>
      <w:r w:rsidRPr="00360841">
        <w:rPr>
          <w:rFonts w:eastAsia="Times New Roman"/>
          <w:szCs w:val="24"/>
        </w:rPr>
        <w:t>Перед трансфузией СЗП, криопреципитата и криосупернатантной плазмы - коагулограмма.</w:t>
      </w:r>
    </w:p>
    <w:p w14:paraId="63F435D8" w14:textId="77777777" w:rsidR="0000369C" w:rsidRPr="00360841" w:rsidRDefault="0000369C" w:rsidP="00C5490F">
      <w:pPr>
        <w:pStyle w:val="afe"/>
        <w:numPr>
          <w:ilvl w:val="0"/>
          <w:numId w:val="70"/>
        </w:numPr>
        <w:rPr>
          <w:szCs w:val="24"/>
        </w:rPr>
      </w:pPr>
      <w:r w:rsidRPr="00360841">
        <w:rPr>
          <w:rFonts w:eastAsia="Times New Roman"/>
          <w:szCs w:val="24"/>
        </w:rPr>
        <w:t>После трансфузии компонентов крови</w:t>
      </w:r>
    </w:p>
    <w:p w14:paraId="2AC29E40" w14:textId="77777777" w:rsidR="0000369C" w:rsidRPr="004E4312" w:rsidRDefault="0000369C" w:rsidP="0000369C">
      <w:pPr>
        <w:rPr>
          <w:b/>
          <w:u w:val="single"/>
        </w:rPr>
      </w:pPr>
      <w:r w:rsidRPr="004E4312">
        <w:rPr>
          <w:u w:val="single"/>
        </w:rPr>
        <w:t>Показания к переливанию ЭСК</w:t>
      </w:r>
    </w:p>
    <w:p w14:paraId="073DBD9E" w14:textId="77777777" w:rsidR="0000369C" w:rsidRPr="003E19FB" w:rsidRDefault="0000369C" w:rsidP="00C5490F">
      <w:pPr>
        <w:pStyle w:val="FitzBullet"/>
        <w:numPr>
          <w:ilvl w:val="0"/>
          <w:numId w:val="71"/>
        </w:numPr>
        <w:tabs>
          <w:tab w:val="clear" w:pos="317"/>
          <w:tab w:val="left" w:pos="144"/>
        </w:tabs>
        <w:spacing w:before="0" w:after="0" w:line="360" w:lineRule="auto"/>
      </w:pPr>
      <w:r w:rsidRPr="003E19FB">
        <w:t>Пациентам с хронической анемией переливание показано при уровне гемоглобина &lt; 60 г/л. В данном случае переливание донорских эритроцитов проводится только для коррекции важнейших симптомов, обусловленных анемией и не поддающихся основной патогенетической терапии.</w:t>
      </w:r>
    </w:p>
    <w:p w14:paraId="66A00AFF" w14:textId="77777777" w:rsidR="0000369C" w:rsidRPr="003E19FB" w:rsidRDefault="0000369C" w:rsidP="00C5490F">
      <w:pPr>
        <w:pStyle w:val="FitzBullet"/>
        <w:numPr>
          <w:ilvl w:val="0"/>
          <w:numId w:val="71"/>
        </w:numPr>
        <w:tabs>
          <w:tab w:val="clear" w:pos="317"/>
          <w:tab w:val="left" w:pos="144"/>
        </w:tabs>
        <w:spacing w:before="0" w:after="0" w:line="360" w:lineRule="auto"/>
      </w:pPr>
      <w:r w:rsidRPr="003E19FB">
        <w:t>Пациентам с сепсисом, ишемической болезнью сердца (в том числе, инфарктом миокарда, стенокардией напряжения), миокардитом и другими кардиопатиями трансфузии эритроцитов рекомендованы при уровне гемоглобина &lt; 100 г/л.</w:t>
      </w:r>
    </w:p>
    <w:p w14:paraId="24D2C61C" w14:textId="77777777" w:rsidR="0000369C" w:rsidRPr="003E19FB" w:rsidRDefault="0000369C" w:rsidP="00C5490F">
      <w:pPr>
        <w:pStyle w:val="FitzBullet"/>
        <w:numPr>
          <w:ilvl w:val="0"/>
          <w:numId w:val="71"/>
        </w:numPr>
        <w:tabs>
          <w:tab w:val="clear" w:pos="317"/>
          <w:tab w:val="left" w:pos="144"/>
        </w:tabs>
        <w:spacing w:before="0" w:after="0" w:line="360" w:lineRule="auto"/>
      </w:pPr>
      <w:r w:rsidRPr="003E19FB">
        <w:t>Пациентам старше 60 лет трансфузии эритроцитов показаны при уровне гемоглобина &lt; 100 г/л.</w:t>
      </w:r>
    </w:p>
    <w:p w14:paraId="4506E21C" w14:textId="77777777" w:rsidR="0000369C" w:rsidRPr="003E19FB" w:rsidRDefault="0000369C" w:rsidP="00C5490F">
      <w:pPr>
        <w:pStyle w:val="FitzBullet"/>
        <w:numPr>
          <w:ilvl w:val="0"/>
          <w:numId w:val="71"/>
        </w:numPr>
        <w:tabs>
          <w:tab w:val="clear" w:pos="317"/>
          <w:tab w:val="left" w:pos="144"/>
        </w:tabs>
        <w:spacing w:before="0" w:after="0" w:line="360" w:lineRule="auto"/>
      </w:pPr>
      <w:r w:rsidRPr="003E19FB">
        <w:lastRenderedPageBreak/>
        <w:t>Беременным пациенткам с заболеваниями системы крови рекомендовано обеспечивать уровень гемоглобина в крови не менее 80 г/л.</w:t>
      </w:r>
    </w:p>
    <w:p w14:paraId="341D2005" w14:textId="77777777" w:rsidR="0000369C" w:rsidRPr="004E4312" w:rsidRDefault="0000369C" w:rsidP="0000369C">
      <w:pPr>
        <w:rPr>
          <w:b/>
          <w:u w:val="single"/>
        </w:rPr>
      </w:pPr>
      <w:r w:rsidRPr="004E4312">
        <w:rPr>
          <w:u w:val="single"/>
        </w:rPr>
        <w:t>Показания к ЭСК при острой анемии вследствие массивной кровопотери</w:t>
      </w:r>
    </w:p>
    <w:p w14:paraId="5C621D1B" w14:textId="77777777" w:rsidR="0000369C" w:rsidRPr="003E19FB" w:rsidRDefault="0000369C" w:rsidP="00C5490F">
      <w:pPr>
        <w:pStyle w:val="FitzBullet"/>
        <w:numPr>
          <w:ilvl w:val="0"/>
          <w:numId w:val="71"/>
        </w:numPr>
        <w:tabs>
          <w:tab w:val="clear" w:pos="317"/>
          <w:tab w:val="left" w:pos="144"/>
        </w:tabs>
        <w:spacing w:before="0" w:after="0" w:line="360" w:lineRule="auto"/>
      </w:pPr>
      <w:r w:rsidRPr="003E19FB">
        <w:t>Кровопотеря, составляющая 15—30% от объема циркулирующей крови при наличии предшествующей анемии или сопутствующих кардиологических или пульмонологических заболеваниях.</w:t>
      </w:r>
    </w:p>
    <w:p w14:paraId="3B0384FA" w14:textId="77777777" w:rsidR="0000369C" w:rsidRPr="003E19FB" w:rsidRDefault="0000369C" w:rsidP="00C5490F">
      <w:pPr>
        <w:pStyle w:val="FitzBullet"/>
        <w:numPr>
          <w:ilvl w:val="0"/>
          <w:numId w:val="71"/>
        </w:numPr>
        <w:tabs>
          <w:tab w:val="clear" w:pos="317"/>
          <w:tab w:val="left" w:pos="144"/>
        </w:tabs>
        <w:spacing w:before="0" w:after="0" w:line="360" w:lineRule="auto"/>
      </w:pPr>
      <w:r w:rsidRPr="003E19FB">
        <w:t>Уровень гемоглобина ниже 70—90 г/л при активном кровотечении.</w:t>
      </w:r>
    </w:p>
    <w:p w14:paraId="11114171" w14:textId="77777777" w:rsidR="0000369C" w:rsidRPr="003E19FB" w:rsidRDefault="0000369C" w:rsidP="00C5490F">
      <w:pPr>
        <w:pStyle w:val="FitzBullet"/>
        <w:numPr>
          <w:ilvl w:val="0"/>
          <w:numId w:val="71"/>
        </w:numPr>
        <w:tabs>
          <w:tab w:val="clear" w:pos="317"/>
          <w:tab w:val="left" w:pos="144"/>
        </w:tabs>
        <w:spacing w:before="0" w:after="0" w:line="360" w:lineRule="auto"/>
      </w:pPr>
      <w:r w:rsidRPr="003E19FB">
        <w:t>Уровень гемоглобина &lt; 100 г/л у пациентов с черепно-мозговой травмой, субарахноидальным кровоизлиянием, хронической дыхательной недостаточностью, ишемической болезнью сердца, кардиохирургических пациентов, пожилых пациентов </w:t>
      </w:r>
    </w:p>
    <w:p w14:paraId="5E083EA0" w14:textId="77777777" w:rsidR="0000369C" w:rsidRDefault="0000369C" w:rsidP="00C5490F">
      <w:pPr>
        <w:pStyle w:val="FitzBullet"/>
        <w:numPr>
          <w:ilvl w:val="0"/>
          <w:numId w:val="71"/>
        </w:numPr>
        <w:tabs>
          <w:tab w:val="clear" w:pos="317"/>
          <w:tab w:val="left" w:pos="144"/>
        </w:tabs>
        <w:spacing w:before="0" w:after="0" w:line="360" w:lineRule="auto"/>
      </w:pPr>
      <w:r w:rsidRPr="003E19FB">
        <w:t>Рекомендуется соблюдение формулы 1:1:1, обозначающей должное соотношение эритроцитов, СЗП и тромбоцитов.</w:t>
      </w:r>
    </w:p>
    <w:p w14:paraId="7D577143" w14:textId="77777777" w:rsidR="0000369C" w:rsidRPr="003E19FB" w:rsidRDefault="0000369C" w:rsidP="0000369C">
      <w:pPr>
        <w:pStyle w:val="FitzBullet"/>
        <w:spacing w:before="0" w:after="0" w:line="360" w:lineRule="auto"/>
        <w:ind w:left="720" w:firstLine="0"/>
      </w:pPr>
    </w:p>
    <w:p w14:paraId="1EA1222F" w14:textId="77777777" w:rsidR="0000369C" w:rsidRPr="00360841" w:rsidRDefault="0000369C" w:rsidP="0000369C">
      <w:pPr>
        <w:rPr>
          <w:bCs/>
          <w:i/>
          <w:iCs/>
          <w:szCs w:val="24"/>
          <w:u w:val="single"/>
          <w:lang w:eastAsia="ru-RU"/>
        </w:rPr>
      </w:pPr>
      <w:r w:rsidRPr="00360841">
        <w:rPr>
          <w:bCs/>
          <w:i/>
          <w:iCs/>
          <w:szCs w:val="24"/>
          <w:u w:val="single"/>
          <w:lang w:eastAsia="ru-RU"/>
        </w:rPr>
        <w:t>Трансфузии концентрата тромбоцитов</w:t>
      </w:r>
    </w:p>
    <w:p w14:paraId="26A92EE1" w14:textId="77777777" w:rsidR="0000369C" w:rsidRPr="003E19FB" w:rsidRDefault="0000369C" w:rsidP="0000369C">
      <w:pPr>
        <w:ind w:firstLine="709"/>
        <w:contextualSpacing/>
        <w:rPr>
          <w:color w:val="333333"/>
          <w:szCs w:val="24"/>
        </w:rPr>
      </w:pPr>
      <w:r>
        <w:rPr>
          <w:color w:val="373838"/>
          <w:szCs w:val="24"/>
        </w:rPr>
        <w:t xml:space="preserve">Считается, что </w:t>
      </w:r>
      <w:r w:rsidRPr="003E19FB">
        <w:rPr>
          <w:color w:val="333333"/>
          <w:szCs w:val="24"/>
        </w:rPr>
        <w:t>пороговый уровень тромбоцитов у пациентов в стационаре, при котором проводятся профилактические трансфузии концентрата тромбоцитов, составляет 10</w:t>
      </w:r>
      <w:r>
        <w:rPr>
          <w:color w:val="333333"/>
          <w:szCs w:val="24"/>
        </w:rPr>
        <w:t>х</w:t>
      </w:r>
      <w:r w:rsidRPr="003E19FB">
        <w:rPr>
          <w:color w:val="333333"/>
          <w:szCs w:val="24"/>
        </w:rPr>
        <w:t>10</w:t>
      </w:r>
      <w:r w:rsidRPr="003E19FB">
        <w:rPr>
          <w:color w:val="333333"/>
          <w:szCs w:val="24"/>
          <w:vertAlign w:val="superscript"/>
        </w:rPr>
        <w:t>9</w:t>
      </w:r>
      <w:r w:rsidRPr="003E19FB">
        <w:rPr>
          <w:color w:val="333333"/>
          <w:szCs w:val="24"/>
        </w:rPr>
        <w:t>/л при условии отсутствия факторов риска кровотечения. Для амбулаторных пациентов это значение может быть увеличено. Медицинские манипуляции, например, установка центрального венозного катетера (ЦВК), являются условием к проведению профилактических трансфузий концентрата тромбоцитов при количестве тромбоцитов в периферической крови 20</w:t>
      </w:r>
      <w:r>
        <w:rPr>
          <w:color w:val="333333"/>
          <w:szCs w:val="24"/>
        </w:rPr>
        <w:t>-30</w:t>
      </w:r>
      <w:r>
        <w:rPr>
          <w:szCs w:val="24"/>
        </w:rPr>
        <w:t>х</w:t>
      </w:r>
      <w:r w:rsidRPr="003E19FB">
        <w:rPr>
          <w:color w:val="333333"/>
          <w:szCs w:val="24"/>
        </w:rPr>
        <w:t>10</w:t>
      </w:r>
      <w:r w:rsidRPr="003E19FB">
        <w:rPr>
          <w:color w:val="333333"/>
          <w:szCs w:val="24"/>
          <w:vertAlign w:val="superscript"/>
        </w:rPr>
        <w:t>9</w:t>
      </w:r>
      <w:r w:rsidRPr="003E19FB">
        <w:rPr>
          <w:color w:val="333333"/>
          <w:szCs w:val="24"/>
        </w:rPr>
        <w:t>/л и ниже, а перед люмбальной пункцией или объемной операцией пороговый уровень тромбоцитов повышается до 50</w:t>
      </w:r>
      <w:r>
        <w:rPr>
          <w:color w:val="333333"/>
          <w:szCs w:val="24"/>
        </w:rPr>
        <w:t>х</w:t>
      </w:r>
      <w:r w:rsidRPr="003E19FB">
        <w:rPr>
          <w:color w:val="333333"/>
          <w:szCs w:val="24"/>
        </w:rPr>
        <w:t>10</w:t>
      </w:r>
      <w:r w:rsidRPr="003E19FB">
        <w:rPr>
          <w:color w:val="333333"/>
          <w:szCs w:val="24"/>
          <w:vertAlign w:val="superscript"/>
        </w:rPr>
        <w:t>9</w:t>
      </w:r>
      <w:r w:rsidRPr="003E19FB">
        <w:rPr>
          <w:color w:val="333333"/>
          <w:szCs w:val="24"/>
        </w:rPr>
        <w:t>/л</w:t>
      </w:r>
      <w:r>
        <w:rPr>
          <w:color w:val="333333"/>
          <w:szCs w:val="24"/>
        </w:rPr>
        <w:t>.</w:t>
      </w:r>
      <w:r>
        <w:rPr>
          <w:szCs w:val="24"/>
        </w:rPr>
        <w:t xml:space="preserve"> </w:t>
      </w:r>
    </w:p>
    <w:p w14:paraId="4378445B" w14:textId="77777777" w:rsidR="0000369C" w:rsidRDefault="0000369C" w:rsidP="0000369C">
      <w:pPr>
        <w:ind w:firstLine="709"/>
        <w:contextualSpacing/>
        <w:rPr>
          <w:bCs/>
          <w:szCs w:val="24"/>
        </w:rPr>
      </w:pPr>
      <w:r>
        <w:rPr>
          <w:szCs w:val="24"/>
        </w:rPr>
        <w:t>При некоторых гематологических заболеваниях, ассоциированных с повышенным риском геморрагических осложнений, пороговый уровень тромбоцитов должен быть увеличен. Так,  у  всех пациентов</w:t>
      </w:r>
      <w:r w:rsidRPr="003E19FB">
        <w:rPr>
          <w:szCs w:val="24"/>
        </w:rPr>
        <w:t xml:space="preserve"> с острым промиелоцитарным лейкозом (ОПЛ)</w:t>
      </w:r>
      <w:r>
        <w:rPr>
          <w:szCs w:val="24"/>
        </w:rPr>
        <w:t xml:space="preserve"> пороговый уровень тромбоцитов увеличен до </w:t>
      </w:r>
      <w:r w:rsidRPr="003E19FB">
        <w:rPr>
          <w:color w:val="333333"/>
          <w:szCs w:val="24"/>
        </w:rPr>
        <w:t>50</w:t>
      </w:r>
      <w:r>
        <w:rPr>
          <w:color w:val="333333"/>
          <w:szCs w:val="24"/>
        </w:rPr>
        <w:t>х</w:t>
      </w:r>
      <w:r w:rsidRPr="003E19FB">
        <w:rPr>
          <w:color w:val="333333"/>
          <w:szCs w:val="24"/>
        </w:rPr>
        <w:t>10</w:t>
      </w:r>
      <w:r w:rsidRPr="003E19FB">
        <w:rPr>
          <w:color w:val="333333"/>
          <w:szCs w:val="24"/>
          <w:vertAlign w:val="superscript"/>
        </w:rPr>
        <w:t>9</w:t>
      </w:r>
      <w:r w:rsidRPr="003E19FB">
        <w:rPr>
          <w:color w:val="333333"/>
          <w:szCs w:val="24"/>
        </w:rPr>
        <w:t>/л</w:t>
      </w:r>
      <w:r>
        <w:rPr>
          <w:szCs w:val="24"/>
        </w:rPr>
        <w:t>,</w:t>
      </w:r>
      <w:r w:rsidRPr="003E19FB">
        <w:rPr>
          <w:szCs w:val="24"/>
        </w:rPr>
        <w:t xml:space="preserve"> </w:t>
      </w:r>
      <w:r w:rsidRPr="003E19FB">
        <w:rPr>
          <w:bCs/>
          <w:szCs w:val="24"/>
        </w:rPr>
        <w:t>поскольку ОПЛ характеризуется тяжелым геморрагическим синдромом и избыточным активированным фибринолизом</w:t>
      </w:r>
      <w:r>
        <w:rPr>
          <w:bCs/>
          <w:szCs w:val="24"/>
        </w:rPr>
        <w:t xml:space="preserve">; у  </w:t>
      </w:r>
      <w:r w:rsidRPr="003E19FB">
        <w:rPr>
          <w:szCs w:val="24"/>
        </w:rPr>
        <w:t>беременны</w:t>
      </w:r>
      <w:r>
        <w:rPr>
          <w:szCs w:val="24"/>
        </w:rPr>
        <w:t>х</w:t>
      </w:r>
      <w:r w:rsidRPr="003E19FB">
        <w:rPr>
          <w:szCs w:val="24"/>
        </w:rPr>
        <w:t xml:space="preserve"> пациент</w:t>
      </w:r>
      <w:r>
        <w:rPr>
          <w:szCs w:val="24"/>
        </w:rPr>
        <w:t>ок</w:t>
      </w:r>
      <w:r w:rsidRPr="003E19FB">
        <w:rPr>
          <w:szCs w:val="24"/>
        </w:rPr>
        <w:t xml:space="preserve"> с </w:t>
      </w:r>
      <w:r>
        <w:rPr>
          <w:szCs w:val="24"/>
        </w:rPr>
        <w:t xml:space="preserve">другими </w:t>
      </w:r>
      <w:r w:rsidRPr="003E19FB">
        <w:rPr>
          <w:szCs w:val="24"/>
        </w:rPr>
        <w:t xml:space="preserve">опухолевыми </w:t>
      </w:r>
      <w:r>
        <w:rPr>
          <w:szCs w:val="24"/>
        </w:rPr>
        <w:t>гематологическими заболеваниями</w:t>
      </w:r>
      <w:r w:rsidRPr="003E19FB">
        <w:rPr>
          <w:bCs/>
          <w:szCs w:val="24"/>
        </w:rPr>
        <w:t xml:space="preserve"> пороговый уровень тромбоцитов составляет 30</w:t>
      </w:r>
      <w:r>
        <w:rPr>
          <w:bCs/>
          <w:szCs w:val="24"/>
        </w:rPr>
        <w:t>х</w:t>
      </w:r>
      <w:r w:rsidRPr="003E19FB">
        <w:rPr>
          <w:bCs/>
          <w:szCs w:val="24"/>
        </w:rPr>
        <w:t>10</w:t>
      </w:r>
      <w:r w:rsidRPr="003E19FB">
        <w:rPr>
          <w:bCs/>
          <w:szCs w:val="24"/>
          <w:vertAlign w:val="superscript"/>
        </w:rPr>
        <w:t>9</w:t>
      </w:r>
      <w:r w:rsidRPr="003E19FB">
        <w:rPr>
          <w:bCs/>
          <w:szCs w:val="24"/>
        </w:rPr>
        <w:t>/л.</w:t>
      </w:r>
    </w:p>
    <w:p w14:paraId="77E32FFF" w14:textId="77777777" w:rsidR="0000369C" w:rsidRPr="003E19FB" w:rsidRDefault="0000369C" w:rsidP="0000369C">
      <w:pPr>
        <w:ind w:firstLine="709"/>
        <w:contextualSpacing/>
        <w:rPr>
          <w:szCs w:val="24"/>
          <w:lang w:eastAsia="ru-RU"/>
        </w:rPr>
      </w:pPr>
      <w:r w:rsidRPr="003E19FB">
        <w:rPr>
          <w:szCs w:val="24"/>
          <w:lang w:eastAsia="ru-RU"/>
        </w:rPr>
        <w:t>Переливание тромбоцитов не показано при тромбоцитопении иммунного генеза, за исключением случаев, когда оно необходимо по жизненным показаниям при развивш</w:t>
      </w:r>
      <w:r>
        <w:rPr>
          <w:szCs w:val="24"/>
          <w:lang w:eastAsia="ru-RU"/>
        </w:rPr>
        <w:t>е</w:t>
      </w:r>
      <w:r w:rsidRPr="003E19FB">
        <w:rPr>
          <w:szCs w:val="24"/>
          <w:lang w:eastAsia="ru-RU"/>
        </w:rPr>
        <w:t>мся кровотечении.</w:t>
      </w:r>
      <w:r>
        <w:rPr>
          <w:szCs w:val="24"/>
          <w:lang w:eastAsia="ru-RU"/>
        </w:rPr>
        <w:t xml:space="preserve"> </w:t>
      </w:r>
      <w:r w:rsidRPr="003E19FB">
        <w:rPr>
          <w:szCs w:val="24"/>
          <w:lang w:eastAsia="ru-RU"/>
        </w:rPr>
        <w:t xml:space="preserve">При тромбоцитопатиях трансфузия тромбоцитов также </w:t>
      </w:r>
      <w:r>
        <w:rPr>
          <w:szCs w:val="24"/>
          <w:lang w:eastAsia="ru-RU"/>
        </w:rPr>
        <w:lastRenderedPageBreak/>
        <w:t xml:space="preserve">рутинно не показана, и </w:t>
      </w:r>
      <w:r w:rsidRPr="003E19FB">
        <w:rPr>
          <w:szCs w:val="24"/>
          <w:lang w:eastAsia="ru-RU"/>
        </w:rPr>
        <w:t>осуществляется только в неотложных ситуациях: при массивных кровотечениях, операциях, родах.</w:t>
      </w:r>
    </w:p>
    <w:p w14:paraId="61B53AC7" w14:textId="77777777" w:rsidR="0000369C" w:rsidRDefault="0000369C" w:rsidP="0000369C">
      <w:pPr>
        <w:ind w:firstLine="709"/>
        <w:contextualSpacing/>
        <w:rPr>
          <w:szCs w:val="24"/>
        </w:rPr>
      </w:pPr>
      <w:r w:rsidRPr="002A1C4D">
        <w:rPr>
          <w:szCs w:val="24"/>
          <w:u w:val="single"/>
        </w:rPr>
        <w:t>Показания к переливанию концентрата тромбоцитов с профилактической целью</w:t>
      </w:r>
      <w:r w:rsidRPr="00BA458B">
        <w:rPr>
          <w:szCs w:val="24"/>
        </w:rPr>
        <w:t xml:space="preserve"> приведены в табл. 1.</w:t>
      </w:r>
    </w:p>
    <w:p w14:paraId="009CC8ED" w14:textId="77777777" w:rsidR="0000369C" w:rsidRDefault="0000369C" w:rsidP="0000369C">
      <w:pPr>
        <w:contextualSpacing/>
        <w:rPr>
          <w:bCs/>
          <w:szCs w:val="24"/>
        </w:rPr>
      </w:pPr>
    </w:p>
    <w:p w14:paraId="19D4DD67" w14:textId="77777777" w:rsidR="0000369C" w:rsidRPr="0008195A" w:rsidRDefault="0000369C" w:rsidP="0000369C">
      <w:pPr>
        <w:contextualSpacing/>
        <w:rPr>
          <w:szCs w:val="24"/>
        </w:rPr>
      </w:pPr>
      <w:r w:rsidRPr="0008195A">
        <w:rPr>
          <w:bCs/>
          <w:szCs w:val="24"/>
        </w:rPr>
        <w:t>Таблица 1. Показания к переливанию концентрата тромбоцитов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2663"/>
        <w:gridCol w:w="3690"/>
      </w:tblGrid>
      <w:tr w:rsidR="0000369C" w:rsidRPr="004C7AAC" w14:paraId="3FF31357" w14:textId="77777777" w:rsidTr="001C46FD">
        <w:tc>
          <w:tcPr>
            <w:tcW w:w="3007" w:type="dxa"/>
            <w:vAlign w:val="center"/>
          </w:tcPr>
          <w:p w14:paraId="163E7FD4" w14:textId="77777777" w:rsidR="0000369C" w:rsidRPr="00BA458B" w:rsidRDefault="0000369C" w:rsidP="001C46FD">
            <w:pPr>
              <w:pStyle w:val="Table-head-italic"/>
              <w:spacing w:line="360" w:lineRule="auto"/>
              <w:jc w:val="center"/>
              <w:rPr>
                <w:i w:val="0"/>
                <w:sz w:val="22"/>
                <w:szCs w:val="22"/>
                <w:lang w:val="ru-RU"/>
              </w:rPr>
            </w:pPr>
            <w:r w:rsidRPr="00BA458B">
              <w:rPr>
                <w:i w:val="0"/>
                <w:sz w:val="22"/>
                <w:szCs w:val="22"/>
                <w:lang w:val="ru-RU"/>
              </w:rPr>
              <w:t>Показание</w:t>
            </w:r>
          </w:p>
        </w:tc>
        <w:tc>
          <w:tcPr>
            <w:tcW w:w="2663" w:type="dxa"/>
            <w:vAlign w:val="center"/>
          </w:tcPr>
          <w:p w14:paraId="76BAAAF6" w14:textId="77777777" w:rsidR="0000369C" w:rsidRPr="00BA458B" w:rsidRDefault="0000369C" w:rsidP="001C46FD">
            <w:pPr>
              <w:pStyle w:val="Table-head-italic"/>
              <w:spacing w:line="360" w:lineRule="auto"/>
              <w:jc w:val="center"/>
              <w:rPr>
                <w:i w:val="0"/>
                <w:sz w:val="22"/>
                <w:szCs w:val="22"/>
                <w:lang w:val="ru-RU"/>
              </w:rPr>
            </w:pPr>
            <w:r w:rsidRPr="00BA458B">
              <w:rPr>
                <w:i w:val="0"/>
                <w:sz w:val="22"/>
                <w:szCs w:val="22"/>
                <w:lang w:val="ru-RU"/>
              </w:rPr>
              <w:t>Количество тромбоцитов в периферической крови</w:t>
            </w:r>
          </w:p>
        </w:tc>
        <w:tc>
          <w:tcPr>
            <w:tcW w:w="3690" w:type="dxa"/>
            <w:vAlign w:val="center"/>
          </w:tcPr>
          <w:p w14:paraId="723D97BD" w14:textId="77777777" w:rsidR="0000369C" w:rsidRPr="00BA458B" w:rsidRDefault="0000369C" w:rsidP="001C46FD">
            <w:pPr>
              <w:pStyle w:val="Table-head-italic"/>
              <w:spacing w:line="360" w:lineRule="auto"/>
              <w:jc w:val="center"/>
              <w:rPr>
                <w:i w:val="0"/>
                <w:sz w:val="22"/>
                <w:szCs w:val="22"/>
                <w:lang w:val="ru-RU"/>
              </w:rPr>
            </w:pPr>
            <w:r w:rsidRPr="00BA458B">
              <w:rPr>
                <w:i w:val="0"/>
                <w:sz w:val="22"/>
                <w:szCs w:val="22"/>
                <w:lang w:val="ru-RU"/>
              </w:rPr>
              <w:t>Примечания</w:t>
            </w:r>
          </w:p>
        </w:tc>
      </w:tr>
      <w:tr w:rsidR="0000369C" w:rsidRPr="004C7AAC" w14:paraId="68532AB3" w14:textId="77777777" w:rsidTr="001C46FD">
        <w:tc>
          <w:tcPr>
            <w:tcW w:w="3007" w:type="dxa"/>
          </w:tcPr>
          <w:p w14:paraId="6B39B6D0" w14:textId="77777777" w:rsidR="0000369C" w:rsidRPr="00BA458B" w:rsidRDefault="0000369C" w:rsidP="001C46FD">
            <w:pPr>
              <w:pStyle w:val="table-text-0"/>
              <w:spacing w:before="0" w:line="360" w:lineRule="auto"/>
              <w:ind w:firstLine="0"/>
              <w:rPr>
                <w:sz w:val="22"/>
                <w:szCs w:val="22"/>
                <w:lang w:val="ru-RU"/>
              </w:rPr>
            </w:pPr>
            <w:r w:rsidRPr="00BA458B">
              <w:rPr>
                <w:sz w:val="22"/>
                <w:szCs w:val="22"/>
                <w:lang w:val="ru-RU"/>
              </w:rPr>
              <w:t>Во время или после химиотерапии, в период миелотоксического агранулоцитоза</w:t>
            </w:r>
          </w:p>
        </w:tc>
        <w:tc>
          <w:tcPr>
            <w:tcW w:w="2663" w:type="dxa"/>
            <w:vAlign w:val="center"/>
          </w:tcPr>
          <w:p w14:paraId="20272AF9" w14:textId="77777777" w:rsidR="0000369C" w:rsidRPr="00BA458B" w:rsidRDefault="0000369C" w:rsidP="001C46FD">
            <w:pPr>
              <w:pStyle w:val="table-text-0"/>
              <w:spacing w:before="0" w:line="360" w:lineRule="auto"/>
              <w:ind w:firstLine="0"/>
              <w:rPr>
                <w:sz w:val="22"/>
                <w:szCs w:val="22"/>
                <w:lang w:val="ru-RU"/>
              </w:rPr>
            </w:pPr>
            <w:r>
              <w:rPr>
                <w:sz w:val="22"/>
                <w:szCs w:val="22"/>
                <w:lang w:val="ru-RU"/>
              </w:rPr>
              <w:t>М</w:t>
            </w:r>
            <w:r w:rsidRPr="00BA458B">
              <w:rPr>
                <w:sz w:val="22"/>
                <w:szCs w:val="22"/>
                <w:lang w:val="ru-RU"/>
              </w:rPr>
              <w:t>енее 10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19A84B08" w14:textId="77777777" w:rsidR="0000369C" w:rsidRPr="00A83EB7" w:rsidRDefault="0000369C" w:rsidP="001C46FD">
            <w:pPr>
              <w:pStyle w:val="table-text-0"/>
              <w:spacing w:before="0" w:line="360" w:lineRule="auto"/>
              <w:ind w:firstLine="0"/>
              <w:rPr>
                <w:sz w:val="22"/>
                <w:szCs w:val="22"/>
                <w:lang w:val="ru-RU"/>
              </w:rPr>
            </w:pPr>
            <w:r w:rsidRPr="00A83EB7">
              <w:rPr>
                <w:sz w:val="22"/>
                <w:szCs w:val="22"/>
                <w:lang w:val="ru-RU"/>
              </w:rPr>
              <w:t>При синдроме повышенного потребления тромбоцитов* данный порог необходимо повысить</w:t>
            </w:r>
          </w:p>
        </w:tc>
      </w:tr>
      <w:tr w:rsidR="0000369C" w:rsidRPr="004C7AAC" w14:paraId="241BFCE8" w14:textId="77777777" w:rsidTr="001C46FD">
        <w:tc>
          <w:tcPr>
            <w:tcW w:w="3007" w:type="dxa"/>
          </w:tcPr>
          <w:p w14:paraId="599A0917" w14:textId="77777777" w:rsidR="0000369C" w:rsidRPr="00BA458B" w:rsidRDefault="0000369C" w:rsidP="001C46FD">
            <w:pPr>
              <w:pStyle w:val="table-text-0"/>
              <w:spacing w:before="0" w:line="360" w:lineRule="auto"/>
              <w:ind w:firstLine="0"/>
              <w:rPr>
                <w:sz w:val="22"/>
                <w:szCs w:val="22"/>
                <w:lang w:val="ru-RU"/>
              </w:rPr>
            </w:pPr>
            <w:r w:rsidRPr="00BA458B">
              <w:rPr>
                <w:sz w:val="22"/>
                <w:szCs w:val="22"/>
                <w:lang w:val="ru-RU"/>
              </w:rPr>
              <w:t>Установка ЦВК</w:t>
            </w:r>
          </w:p>
        </w:tc>
        <w:tc>
          <w:tcPr>
            <w:tcW w:w="2663" w:type="dxa"/>
            <w:vAlign w:val="center"/>
          </w:tcPr>
          <w:p w14:paraId="055B9F0F" w14:textId="77777777" w:rsidR="0000369C" w:rsidRPr="00BA458B" w:rsidRDefault="0000369C" w:rsidP="001C46FD">
            <w:pPr>
              <w:pStyle w:val="table-text-0"/>
              <w:spacing w:before="0" w:line="360" w:lineRule="auto"/>
              <w:ind w:firstLine="0"/>
              <w:rPr>
                <w:sz w:val="22"/>
                <w:szCs w:val="22"/>
                <w:lang w:val="ru-RU"/>
              </w:rPr>
            </w:pPr>
            <w:r>
              <w:rPr>
                <w:sz w:val="22"/>
                <w:szCs w:val="22"/>
                <w:lang w:val="ru-RU"/>
              </w:rPr>
              <w:t>М</w:t>
            </w:r>
            <w:r w:rsidRPr="00BA458B">
              <w:rPr>
                <w:sz w:val="22"/>
                <w:szCs w:val="22"/>
                <w:lang w:val="ru-RU"/>
              </w:rPr>
              <w:t>енее 30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26F1C4EA" w14:textId="77777777" w:rsidR="0000369C" w:rsidRPr="00A83EB7" w:rsidRDefault="0000369C" w:rsidP="001C46FD">
            <w:pPr>
              <w:pStyle w:val="table-text-0"/>
              <w:spacing w:before="0" w:line="360" w:lineRule="auto"/>
              <w:ind w:firstLine="0"/>
              <w:jc w:val="center"/>
              <w:rPr>
                <w:sz w:val="22"/>
                <w:szCs w:val="22"/>
                <w:lang w:val="ru-RU"/>
              </w:rPr>
            </w:pPr>
            <w:r>
              <w:rPr>
                <w:sz w:val="22"/>
                <w:szCs w:val="22"/>
                <w:lang w:val="ru-RU"/>
              </w:rPr>
              <w:t>-</w:t>
            </w:r>
          </w:p>
        </w:tc>
      </w:tr>
      <w:tr w:rsidR="0000369C" w:rsidRPr="004C7AAC" w14:paraId="50B5B2B4" w14:textId="77777777" w:rsidTr="001C46FD">
        <w:tc>
          <w:tcPr>
            <w:tcW w:w="3007" w:type="dxa"/>
          </w:tcPr>
          <w:p w14:paraId="60C21716" w14:textId="77777777" w:rsidR="0000369C" w:rsidRPr="00BA458B" w:rsidRDefault="0000369C" w:rsidP="001C46FD">
            <w:pPr>
              <w:pStyle w:val="table-text-0"/>
              <w:spacing w:before="0" w:line="360" w:lineRule="auto"/>
              <w:ind w:firstLine="0"/>
              <w:rPr>
                <w:sz w:val="22"/>
                <w:szCs w:val="22"/>
                <w:lang w:val="ru-RU"/>
              </w:rPr>
            </w:pPr>
            <w:r w:rsidRPr="00BA458B">
              <w:rPr>
                <w:sz w:val="22"/>
                <w:szCs w:val="22"/>
                <w:lang w:val="ru-RU"/>
              </w:rPr>
              <w:t>Люмбальная пункция</w:t>
            </w:r>
          </w:p>
        </w:tc>
        <w:tc>
          <w:tcPr>
            <w:tcW w:w="2663" w:type="dxa"/>
            <w:vAlign w:val="center"/>
          </w:tcPr>
          <w:p w14:paraId="10FC99C9" w14:textId="77777777" w:rsidR="0000369C" w:rsidRPr="00BA458B" w:rsidRDefault="0000369C" w:rsidP="001C46FD">
            <w:pPr>
              <w:pStyle w:val="table-text-0"/>
              <w:spacing w:before="0" w:line="360" w:lineRule="auto"/>
              <w:ind w:firstLine="0"/>
              <w:rPr>
                <w:sz w:val="22"/>
                <w:szCs w:val="22"/>
                <w:lang w:val="ru-RU"/>
              </w:rPr>
            </w:pPr>
            <w:r>
              <w:rPr>
                <w:sz w:val="22"/>
                <w:szCs w:val="22"/>
                <w:lang w:val="ru-RU"/>
              </w:rPr>
              <w:t>М</w:t>
            </w:r>
            <w:r w:rsidRPr="00BA458B">
              <w:rPr>
                <w:sz w:val="22"/>
                <w:szCs w:val="22"/>
                <w:lang w:val="ru-RU"/>
              </w:rPr>
              <w:t>енее 50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45A471FC" w14:textId="77777777" w:rsidR="0000369C" w:rsidRPr="00A83EB7" w:rsidRDefault="0000369C" w:rsidP="001C46FD">
            <w:pPr>
              <w:pStyle w:val="table-text-0"/>
              <w:spacing w:before="0" w:line="360" w:lineRule="auto"/>
              <w:ind w:firstLine="0"/>
              <w:jc w:val="center"/>
              <w:rPr>
                <w:sz w:val="22"/>
                <w:szCs w:val="22"/>
                <w:lang w:val="ru-RU"/>
              </w:rPr>
            </w:pPr>
            <w:r>
              <w:rPr>
                <w:sz w:val="22"/>
                <w:szCs w:val="22"/>
                <w:lang w:val="ru-RU"/>
              </w:rPr>
              <w:t>-</w:t>
            </w:r>
          </w:p>
        </w:tc>
      </w:tr>
      <w:tr w:rsidR="0000369C" w:rsidRPr="004C7AAC" w14:paraId="41CFA07B" w14:textId="77777777" w:rsidTr="001C46FD">
        <w:tc>
          <w:tcPr>
            <w:tcW w:w="3007" w:type="dxa"/>
          </w:tcPr>
          <w:p w14:paraId="65957B48" w14:textId="77777777" w:rsidR="0000369C" w:rsidRPr="00BA458B" w:rsidRDefault="0000369C" w:rsidP="001C46FD">
            <w:pPr>
              <w:pStyle w:val="table-text-0"/>
              <w:spacing w:before="0" w:line="360" w:lineRule="auto"/>
              <w:ind w:firstLine="0"/>
              <w:rPr>
                <w:sz w:val="22"/>
                <w:szCs w:val="22"/>
                <w:lang w:val="ru-RU"/>
              </w:rPr>
            </w:pPr>
            <w:r w:rsidRPr="00BA458B">
              <w:rPr>
                <w:sz w:val="22"/>
                <w:szCs w:val="22"/>
                <w:lang w:val="ru-RU"/>
              </w:rPr>
              <w:t>Объемные операции и малообъемные инвазивные вмешательства</w:t>
            </w:r>
          </w:p>
        </w:tc>
        <w:tc>
          <w:tcPr>
            <w:tcW w:w="2663" w:type="dxa"/>
            <w:vAlign w:val="center"/>
          </w:tcPr>
          <w:p w14:paraId="32A75578" w14:textId="77777777" w:rsidR="0000369C" w:rsidRPr="00BA458B" w:rsidRDefault="0000369C" w:rsidP="001C46FD">
            <w:pPr>
              <w:pStyle w:val="table-text-0"/>
              <w:spacing w:before="0" w:line="360" w:lineRule="auto"/>
              <w:ind w:firstLine="0"/>
              <w:rPr>
                <w:sz w:val="22"/>
                <w:szCs w:val="22"/>
                <w:lang w:val="ru-RU"/>
              </w:rPr>
            </w:pPr>
            <w:r>
              <w:rPr>
                <w:sz w:val="22"/>
                <w:szCs w:val="22"/>
                <w:lang w:val="ru-RU"/>
              </w:rPr>
              <w:t>М</w:t>
            </w:r>
            <w:r w:rsidRPr="00BA458B">
              <w:rPr>
                <w:sz w:val="22"/>
                <w:szCs w:val="22"/>
                <w:lang w:val="ru-RU"/>
              </w:rPr>
              <w:t>енее 50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5886AE0A" w14:textId="77777777" w:rsidR="0000369C" w:rsidRPr="00A83EB7" w:rsidRDefault="0000369C" w:rsidP="001C46FD">
            <w:pPr>
              <w:pStyle w:val="table-text-0"/>
              <w:spacing w:before="0" w:line="360" w:lineRule="auto"/>
              <w:ind w:firstLine="0"/>
              <w:rPr>
                <w:sz w:val="22"/>
                <w:szCs w:val="22"/>
                <w:lang w:val="ru-RU"/>
              </w:rPr>
            </w:pPr>
            <w:r w:rsidRPr="00A83EB7">
              <w:rPr>
                <w:sz w:val="22"/>
                <w:szCs w:val="22"/>
                <w:lang w:val="ru-RU"/>
              </w:rPr>
              <w:t>Помимо профилактической трансфузии, необходимо резервирование концентрата тромбоцитов для проведения операции. Доза определяется массой тела пациента, а количество трансфузий — объемом операции</w:t>
            </w:r>
          </w:p>
        </w:tc>
      </w:tr>
      <w:tr w:rsidR="0000369C" w:rsidRPr="004C7AAC" w14:paraId="41C11852" w14:textId="77777777" w:rsidTr="001C46FD">
        <w:tc>
          <w:tcPr>
            <w:tcW w:w="3007" w:type="dxa"/>
          </w:tcPr>
          <w:p w14:paraId="554C6945" w14:textId="77777777" w:rsidR="0000369C" w:rsidRPr="00BA458B" w:rsidRDefault="0000369C" w:rsidP="001C46FD">
            <w:pPr>
              <w:pStyle w:val="table-text-0"/>
              <w:spacing w:before="0" w:line="360" w:lineRule="auto"/>
              <w:ind w:firstLine="0"/>
              <w:rPr>
                <w:sz w:val="22"/>
                <w:szCs w:val="22"/>
                <w:lang w:val="ru-RU"/>
              </w:rPr>
            </w:pPr>
            <w:r w:rsidRPr="00BA458B">
              <w:rPr>
                <w:sz w:val="22"/>
                <w:szCs w:val="22"/>
                <w:lang w:val="ru-RU"/>
              </w:rPr>
              <w:t>Беременные</w:t>
            </w:r>
          </w:p>
        </w:tc>
        <w:tc>
          <w:tcPr>
            <w:tcW w:w="2663" w:type="dxa"/>
          </w:tcPr>
          <w:p w14:paraId="6F6F6D0E" w14:textId="77777777" w:rsidR="0000369C" w:rsidRPr="00BA458B" w:rsidRDefault="0000369C" w:rsidP="001C46FD">
            <w:pPr>
              <w:pStyle w:val="table-text-0"/>
              <w:spacing w:before="0" w:line="360" w:lineRule="auto"/>
              <w:ind w:firstLine="0"/>
              <w:rPr>
                <w:sz w:val="22"/>
                <w:szCs w:val="22"/>
                <w:lang w:val="ru-RU"/>
              </w:rPr>
            </w:pPr>
            <w:r>
              <w:rPr>
                <w:sz w:val="22"/>
                <w:szCs w:val="22"/>
                <w:lang w:val="ru-RU"/>
              </w:rPr>
              <w:t xml:space="preserve">Менее </w:t>
            </w:r>
            <w:r w:rsidRPr="00BA458B">
              <w:rPr>
                <w:sz w:val="22"/>
                <w:szCs w:val="22"/>
                <w:lang w:val="ru-RU"/>
              </w:rPr>
              <w:t>30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20B7AEFE" w14:textId="77777777" w:rsidR="0000369C" w:rsidRPr="00A83EB7" w:rsidRDefault="0000369C" w:rsidP="001C46FD">
            <w:pPr>
              <w:pStyle w:val="table-text-0"/>
              <w:spacing w:before="0" w:line="360" w:lineRule="auto"/>
              <w:ind w:firstLine="0"/>
              <w:jc w:val="center"/>
              <w:rPr>
                <w:sz w:val="22"/>
                <w:szCs w:val="22"/>
                <w:lang w:val="ru-RU"/>
              </w:rPr>
            </w:pPr>
            <w:r>
              <w:rPr>
                <w:sz w:val="22"/>
                <w:szCs w:val="22"/>
                <w:lang w:val="ru-RU"/>
              </w:rPr>
              <w:t>-</w:t>
            </w:r>
          </w:p>
        </w:tc>
      </w:tr>
      <w:tr w:rsidR="0000369C" w:rsidRPr="004C7AAC" w14:paraId="1BB3B300" w14:textId="77777777" w:rsidTr="001C46FD">
        <w:tc>
          <w:tcPr>
            <w:tcW w:w="3007" w:type="dxa"/>
          </w:tcPr>
          <w:p w14:paraId="27CED7A9" w14:textId="77777777" w:rsidR="0000369C" w:rsidRPr="00BA458B" w:rsidRDefault="0000369C" w:rsidP="001C46FD">
            <w:pPr>
              <w:pStyle w:val="table-text-0"/>
              <w:spacing w:before="0" w:line="360" w:lineRule="auto"/>
              <w:ind w:firstLine="0"/>
              <w:rPr>
                <w:sz w:val="22"/>
                <w:szCs w:val="22"/>
                <w:lang w:val="ru-RU"/>
              </w:rPr>
            </w:pPr>
            <w:r>
              <w:rPr>
                <w:sz w:val="22"/>
                <w:szCs w:val="22"/>
                <w:lang w:val="ru-RU"/>
              </w:rPr>
              <w:t>Пациенты с</w:t>
            </w:r>
            <w:r w:rsidRPr="00BA458B">
              <w:rPr>
                <w:sz w:val="22"/>
                <w:szCs w:val="22"/>
                <w:lang w:val="ru-RU"/>
              </w:rPr>
              <w:t xml:space="preserve"> ОПЛ</w:t>
            </w:r>
          </w:p>
        </w:tc>
        <w:tc>
          <w:tcPr>
            <w:tcW w:w="2663" w:type="dxa"/>
          </w:tcPr>
          <w:p w14:paraId="45342804" w14:textId="77777777" w:rsidR="0000369C" w:rsidRPr="00BA458B" w:rsidRDefault="0000369C" w:rsidP="001C46FD">
            <w:pPr>
              <w:pStyle w:val="table-text-0"/>
              <w:spacing w:before="0" w:line="360" w:lineRule="auto"/>
              <w:ind w:firstLine="0"/>
              <w:rPr>
                <w:sz w:val="22"/>
                <w:szCs w:val="22"/>
                <w:lang w:val="ru-RU"/>
              </w:rPr>
            </w:pPr>
            <w:r>
              <w:rPr>
                <w:sz w:val="22"/>
                <w:szCs w:val="22"/>
                <w:lang w:val="ru-RU"/>
              </w:rPr>
              <w:t>Менее</w:t>
            </w:r>
            <w:r w:rsidRPr="00BA458B">
              <w:rPr>
                <w:sz w:val="22"/>
                <w:szCs w:val="22"/>
                <w:lang w:val="ru-RU"/>
              </w:rPr>
              <w:t xml:space="preserve"> 50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7CEFEF13" w14:textId="77777777" w:rsidR="0000369C" w:rsidRPr="00A83EB7" w:rsidRDefault="0000369C" w:rsidP="001C46FD">
            <w:pPr>
              <w:pStyle w:val="table-text-0"/>
              <w:spacing w:before="0" w:line="360" w:lineRule="auto"/>
              <w:ind w:firstLine="0"/>
              <w:jc w:val="center"/>
              <w:rPr>
                <w:sz w:val="22"/>
                <w:szCs w:val="22"/>
                <w:lang w:val="ru-RU"/>
              </w:rPr>
            </w:pPr>
            <w:r>
              <w:rPr>
                <w:sz w:val="22"/>
                <w:szCs w:val="22"/>
                <w:lang w:val="ru-RU"/>
              </w:rPr>
              <w:t>-</w:t>
            </w:r>
          </w:p>
        </w:tc>
      </w:tr>
      <w:tr w:rsidR="0000369C" w:rsidRPr="004C7AAC" w14:paraId="063C63E5" w14:textId="77777777" w:rsidTr="001C46FD">
        <w:tc>
          <w:tcPr>
            <w:tcW w:w="3007" w:type="dxa"/>
          </w:tcPr>
          <w:p w14:paraId="57E6CDA8" w14:textId="77777777" w:rsidR="0000369C" w:rsidRPr="00BA458B" w:rsidRDefault="0000369C" w:rsidP="001C46FD">
            <w:pPr>
              <w:pStyle w:val="table-text-0"/>
              <w:spacing w:before="0" w:line="360" w:lineRule="auto"/>
              <w:ind w:firstLine="0"/>
              <w:rPr>
                <w:sz w:val="22"/>
                <w:szCs w:val="22"/>
                <w:lang w:val="ru-RU"/>
              </w:rPr>
            </w:pPr>
            <w:r w:rsidRPr="00BA458B">
              <w:rPr>
                <w:sz w:val="22"/>
                <w:szCs w:val="22"/>
                <w:lang w:val="ru-RU"/>
              </w:rPr>
              <w:t>ДВС</w:t>
            </w:r>
            <w:r>
              <w:rPr>
                <w:sz w:val="22"/>
                <w:szCs w:val="22"/>
                <w:lang w:val="ru-RU"/>
              </w:rPr>
              <w:t>-</w:t>
            </w:r>
            <w:r w:rsidRPr="00BA458B">
              <w:rPr>
                <w:sz w:val="22"/>
                <w:szCs w:val="22"/>
                <w:lang w:val="ru-RU"/>
              </w:rPr>
              <w:t>синдром</w:t>
            </w:r>
          </w:p>
        </w:tc>
        <w:tc>
          <w:tcPr>
            <w:tcW w:w="2663" w:type="dxa"/>
          </w:tcPr>
          <w:p w14:paraId="4C6C8AE2" w14:textId="77777777" w:rsidR="0000369C" w:rsidRPr="00BA458B" w:rsidRDefault="0000369C" w:rsidP="001C46FD">
            <w:pPr>
              <w:pStyle w:val="table-text-0"/>
              <w:spacing w:before="0" w:line="360" w:lineRule="auto"/>
              <w:ind w:firstLine="0"/>
              <w:rPr>
                <w:sz w:val="22"/>
                <w:szCs w:val="22"/>
                <w:lang w:val="ru-RU"/>
              </w:rPr>
            </w:pPr>
            <w:r>
              <w:rPr>
                <w:sz w:val="22"/>
                <w:szCs w:val="22"/>
                <w:lang w:val="ru-RU"/>
              </w:rPr>
              <w:t>Менее</w:t>
            </w:r>
            <w:r w:rsidRPr="00BA458B">
              <w:rPr>
                <w:sz w:val="22"/>
                <w:szCs w:val="22"/>
                <w:lang w:val="ru-RU"/>
              </w:rPr>
              <w:t xml:space="preserve"> 50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7B18ECAB" w14:textId="77777777" w:rsidR="0000369C" w:rsidRPr="00A83EB7" w:rsidRDefault="0000369C" w:rsidP="001C46FD">
            <w:pPr>
              <w:pStyle w:val="table-text-0"/>
              <w:spacing w:before="0" w:line="360" w:lineRule="auto"/>
              <w:ind w:firstLine="0"/>
              <w:rPr>
                <w:sz w:val="22"/>
                <w:szCs w:val="22"/>
                <w:lang w:val="ru-RU"/>
              </w:rPr>
            </w:pPr>
            <w:r w:rsidRPr="00A83EB7">
              <w:rPr>
                <w:sz w:val="22"/>
                <w:szCs w:val="22"/>
                <w:lang w:val="ru-RU"/>
              </w:rPr>
              <w:t>Как часть основной терапии ДВС- синдрома</w:t>
            </w:r>
          </w:p>
        </w:tc>
      </w:tr>
    </w:tbl>
    <w:p w14:paraId="55D100C3" w14:textId="77777777" w:rsidR="0000369C" w:rsidRPr="0008195A" w:rsidRDefault="0000369C" w:rsidP="0000369C">
      <w:pPr>
        <w:rPr>
          <w:b/>
        </w:rPr>
      </w:pPr>
      <w:r w:rsidRPr="0008195A">
        <w:t>* Сепсис, пульмонологические заболевания, лихорадка.</w:t>
      </w:r>
    </w:p>
    <w:p w14:paraId="4E171800" w14:textId="77777777" w:rsidR="0000369C" w:rsidRDefault="0000369C" w:rsidP="0000369C">
      <w:pPr>
        <w:pStyle w:val="3"/>
        <w:spacing w:before="0"/>
        <w:ind w:firstLine="708"/>
        <w:rPr>
          <w:rFonts w:ascii="Times New Roman" w:hAnsi="Times New Roman" w:cs="Times New Roman"/>
          <w:b/>
          <w:u w:val="single"/>
        </w:rPr>
      </w:pPr>
    </w:p>
    <w:p w14:paraId="670085B3" w14:textId="77777777" w:rsidR="0000369C" w:rsidRPr="00287E25" w:rsidRDefault="0000369C" w:rsidP="0000369C">
      <w:pPr>
        <w:ind w:firstLine="708"/>
        <w:rPr>
          <w:b/>
          <w:u w:val="single"/>
        </w:rPr>
      </w:pPr>
      <w:r w:rsidRPr="00287E25">
        <w:rPr>
          <w:u w:val="single"/>
        </w:rPr>
        <w:t>Показания к переливанию концентрата тромбоцитов с лечебной целью.</w:t>
      </w:r>
    </w:p>
    <w:p w14:paraId="1A160BBB" w14:textId="77777777" w:rsidR="0000369C" w:rsidRDefault="0000369C" w:rsidP="0000369C">
      <w:pPr>
        <w:ind w:firstLine="708"/>
        <w:rPr>
          <w:szCs w:val="24"/>
        </w:rPr>
      </w:pPr>
      <w:r w:rsidRPr="004C7AAC">
        <w:rPr>
          <w:bCs/>
          <w:szCs w:val="24"/>
        </w:rPr>
        <w:t>Наличие у пациента геморрагического синдрома</w:t>
      </w:r>
      <w:r>
        <w:rPr>
          <w:bCs/>
          <w:szCs w:val="24"/>
        </w:rPr>
        <w:t xml:space="preserve"> — </w:t>
      </w:r>
      <w:r w:rsidRPr="00A83EB7">
        <w:rPr>
          <w:bCs/>
          <w:szCs w:val="24"/>
        </w:rPr>
        <w:t>прямое показание к переливанию концентрата тромбоцитов независимо от лабораторных показателей. Оценка тяжести</w:t>
      </w:r>
      <w:r>
        <w:rPr>
          <w:bCs/>
          <w:szCs w:val="24"/>
        </w:rPr>
        <w:t xml:space="preserve"> </w:t>
      </w:r>
      <w:r w:rsidRPr="004C7AAC">
        <w:rPr>
          <w:bCs/>
          <w:szCs w:val="24"/>
        </w:rPr>
        <w:t>геморрагического синдрома проводится по шкале ВОЗ</w:t>
      </w:r>
      <w:r>
        <w:rPr>
          <w:bCs/>
          <w:szCs w:val="24"/>
        </w:rPr>
        <w:t xml:space="preserve"> (табл. 2)</w:t>
      </w:r>
      <w:r w:rsidRPr="004C7AAC">
        <w:rPr>
          <w:szCs w:val="24"/>
        </w:rPr>
        <w:t>.</w:t>
      </w:r>
    </w:p>
    <w:p w14:paraId="5ACCC765" w14:textId="77777777" w:rsidR="0000369C" w:rsidRDefault="0000369C" w:rsidP="0000369C">
      <w:pPr>
        <w:rPr>
          <w:bCs/>
          <w:szCs w:val="24"/>
        </w:rPr>
      </w:pPr>
    </w:p>
    <w:p w14:paraId="7D0A4BF3" w14:textId="77777777" w:rsidR="0000369C" w:rsidRPr="002A1C4D" w:rsidRDefault="0000369C" w:rsidP="0000369C">
      <w:pPr>
        <w:rPr>
          <w:szCs w:val="24"/>
        </w:rPr>
      </w:pPr>
      <w:r w:rsidRPr="002A1C4D">
        <w:rPr>
          <w:bCs/>
          <w:szCs w:val="24"/>
        </w:rPr>
        <w:t>Таблица 2. Шкала кровотечений по ВОЗ</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1"/>
      </w:tblGrid>
      <w:tr w:rsidR="0000369C" w:rsidRPr="004C7AAC" w14:paraId="0A688648" w14:textId="77777777" w:rsidTr="001C46FD">
        <w:tc>
          <w:tcPr>
            <w:tcW w:w="9121" w:type="dxa"/>
            <w:shd w:val="clear" w:color="auto" w:fill="auto"/>
          </w:tcPr>
          <w:p w14:paraId="0F109674" w14:textId="77777777" w:rsidR="0000369C" w:rsidRPr="004C7AAC" w:rsidRDefault="0000369C" w:rsidP="001C46FD">
            <w:pPr>
              <w:pStyle w:val="table-text-1"/>
              <w:spacing w:before="0" w:after="0" w:line="360" w:lineRule="auto"/>
              <w:rPr>
                <w:b/>
                <w:i/>
                <w:sz w:val="24"/>
                <w:szCs w:val="24"/>
              </w:rPr>
            </w:pPr>
            <w:r w:rsidRPr="002E0659">
              <w:rPr>
                <w:sz w:val="22"/>
                <w:szCs w:val="22"/>
              </w:rPr>
              <w:t>1 степень (не требует трансфузии)</w:t>
            </w:r>
          </w:p>
        </w:tc>
      </w:tr>
      <w:tr w:rsidR="0000369C" w:rsidRPr="004C7AAC" w14:paraId="284A0C34" w14:textId="77777777" w:rsidTr="001C46FD">
        <w:tc>
          <w:tcPr>
            <w:tcW w:w="9121" w:type="dxa"/>
            <w:shd w:val="clear" w:color="auto" w:fill="auto"/>
          </w:tcPr>
          <w:p w14:paraId="66F43D17" w14:textId="77777777" w:rsidR="0000369C" w:rsidRPr="002E0659" w:rsidRDefault="0000369C" w:rsidP="001C46FD">
            <w:pPr>
              <w:pStyle w:val="table-text-0"/>
              <w:spacing w:before="0" w:line="360" w:lineRule="auto"/>
              <w:ind w:firstLine="0"/>
              <w:rPr>
                <w:sz w:val="22"/>
                <w:szCs w:val="22"/>
                <w:lang w:val="ru-RU"/>
              </w:rPr>
            </w:pPr>
            <w:r w:rsidRPr="002E0659">
              <w:rPr>
                <w:sz w:val="22"/>
                <w:szCs w:val="22"/>
                <w:lang w:val="ru-RU"/>
              </w:rPr>
              <w:t xml:space="preserve">Кровоточивость кожи и слизистых, включая </w:t>
            </w:r>
            <w:r>
              <w:rPr>
                <w:sz w:val="22"/>
                <w:szCs w:val="22"/>
                <w:lang w:val="ru-RU"/>
              </w:rPr>
              <w:t>полость рта</w:t>
            </w:r>
          </w:p>
          <w:p w14:paraId="42D87964" w14:textId="77777777" w:rsidR="0000369C" w:rsidRPr="002E0659" w:rsidRDefault="0000369C" w:rsidP="001C46FD">
            <w:pPr>
              <w:pStyle w:val="table-text-0"/>
              <w:spacing w:before="0" w:line="360" w:lineRule="auto"/>
              <w:ind w:firstLine="0"/>
              <w:rPr>
                <w:sz w:val="22"/>
                <w:szCs w:val="22"/>
                <w:lang w:val="ru-RU"/>
              </w:rPr>
            </w:pPr>
            <w:r w:rsidRPr="002E0659">
              <w:rPr>
                <w:sz w:val="22"/>
                <w:szCs w:val="22"/>
                <w:lang w:val="ru-RU"/>
              </w:rPr>
              <w:t>Петехии менее 2</w:t>
            </w:r>
            <w:r>
              <w:rPr>
                <w:sz w:val="22"/>
                <w:szCs w:val="22"/>
                <w:lang w:val="ru-RU"/>
              </w:rPr>
              <w:t> </w:t>
            </w:r>
            <w:r w:rsidRPr="002E0659">
              <w:rPr>
                <w:sz w:val="22"/>
                <w:szCs w:val="22"/>
                <w:lang w:val="ru-RU"/>
              </w:rPr>
              <w:t>мм</w:t>
            </w:r>
          </w:p>
          <w:p w14:paraId="05B5C999" w14:textId="77777777" w:rsidR="0000369C" w:rsidRPr="002E0659" w:rsidRDefault="0000369C" w:rsidP="001C46FD">
            <w:pPr>
              <w:pStyle w:val="table-text-0"/>
              <w:spacing w:before="0" w:line="360" w:lineRule="auto"/>
              <w:ind w:firstLine="0"/>
              <w:rPr>
                <w:sz w:val="22"/>
                <w:szCs w:val="22"/>
                <w:lang w:val="ru-RU"/>
              </w:rPr>
            </w:pPr>
            <w:r>
              <w:rPr>
                <w:sz w:val="22"/>
                <w:szCs w:val="22"/>
                <w:lang w:val="ru-RU"/>
              </w:rPr>
              <w:lastRenderedPageBreak/>
              <w:t>Пурпура менее 2,54 </w:t>
            </w:r>
            <w:r w:rsidRPr="002E0659">
              <w:rPr>
                <w:sz w:val="22"/>
                <w:szCs w:val="22"/>
                <w:lang w:val="ru-RU"/>
              </w:rPr>
              <w:t>см в диаметре</w:t>
            </w:r>
          </w:p>
          <w:p w14:paraId="2A03A503" w14:textId="77777777" w:rsidR="0000369C" w:rsidRPr="002E0659" w:rsidRDefault="0000369C" w:rsidP="001C46FD">
            <w:pPr>
              <w:pStyle w:val="table-text-0"/>
              <w:spacing w:before="0" w:line="360" w:lineRule="auto"/>
              <w:ind w:firstLine="0"/>
              <w:rPr>
                <w:sz w:val="22"/>
                <w:szCs w:val="22"/>
                <w:lang w:val="ru-RU"/>
              </w:rPr>
            </w:pPr>
            <w:r>
              <w:rPr>
                <w:sz w:val="22"/>
                <w:szCs w:val="22"/>
                <w:lang w:val="ru-RU"/>
              </w:rPr>
              <w:t>Экхимозы (очаги менее 10 </w:t>
            </w:r>
            <w:r w:rsidRPr="002E0659">
              <w:rPr>
                <w:sz w:val="22"/>
                <w:szCs w:val="22"/>
                <w:lang w:val="ru-RU"/>
              </w:rPr>
              <w:t>см в диаметре)</w:t>
            </w:r>
          </w:p>
          <w:p w14:paraId="68DE20EE" w14:textId="77777777" w:rsidR="0000369C" w:rsidRPr="002E0659" w:rsidRDefault="0000369C" w:rsidP="001C46FD">
            <w:pPr>
              <w:pStyle w:val="table-text-0"/>
              <w:spacing w:before="0" w:line="360" w:lineRule="auto"/>
              <w:ind w:firstLine="0"/>
              <w:rPr>
                <w:sz w:val="22"/>
                <w:szCs w:val="22"/>
                <w:lang w:val="ru-RU"/>
              </w:rPr>
            </w:pPr>
            <w:r w:rsidRPr="002E0659">
              <w:rPr>
                <w:sz w:val="22"/>
                <w:szCs w:val="22"/>
                <w:lang w:val="ru-RU"/>
              </w:rPr>
              <w:t>Ротоглоточные кровотечения</w:t>
            </w:r>
          </w:p>
          <w:p w14:paraId="2CA2372F" w14:textId="77777777" w:rsidR="0000369C" w:rsidRPr="002E0659" w:rsidRDefault="0000369C" w:rsidP="001C46FD">
            <w:pPr>
              <w:pStyle w:val="table-text-0"/>
              <w:spacing w:before="0" w:line="360" w:lineRule="auto"/>
              <w:ind w:firstLine="0"/>
              <w:rPr>
                <w:sz w:val="22"/>
                <w:szCs w:val="22"/>
                <w:lang w:val="ru-RU"/>
              </w:rPr>
            </w:pPr>
            <w:r w:rsidRPr="002E0659">
              <w:rPr>
                <w:sz w:val="22"/>
                <w:szCs w:val="22"/>
                <w:lang w:val="ru-RU"/>
              </w:rPr>
              <w:t>Кровоизлияния в конъюнктиву</w:t>
            </w:r>
          </w:p>
          <w:p w14:paraId="662BCF0D" w14:textId="77777777" w:rsidR="0000369C" w:rsidRPr="002E0659" w:rsidRDefault="0000369C" w:rsidP="001C46FD">
            <w:pPr>
              <w:pStyle w:val="table-text-0"/>
              <w:spacing w:before="0" w:line="360" w:lineRule="auto"/>
              <w:ind w:firstLine="0"/>
              <w:rPr>
                <w:sz w:val="22"/>
                <w:szCs w:val="22"/>
                <w:lang w:val="ru-RU"/>
              </w:rPr>
            </w:pPr>
            <w:r w:rsidRPr="002E0659">
              <w:rPr>
                <w:sz w:val="22"/>
                <w:szCs w:val="22"/>
                <w:lang w:val="ru-RU"/>
              </w:rPr>
              <w:t>Носовые кровотечения продолжительностью менее 1</w:t>
            </w:r>
            <w:r>
              <w:rPr>
                <w:sz w:val="22"/>
                <w:szCs w:val="22"/>
                <w:lang w:val="ru-RU"/>
              </w:rPr>
              <w:t> </w:t>
            </w:r>
            <w:r w:rsidRPr="002E0659">
              <w:rPr>
                <w:sz w:val="22"/>
                <w:szCs w:val="22"/>
                <w:lang w:val="ru-RU"/>
              </w:rPr>
              <w:t>часа</w:t>
            </w:r>
            <w:r>
              <w:rPr>
                <w:sz w:val="22"/>
                <w:szCs w:val="22"/>
                <w:lang w:val="ru-RU"/>
              </w:rPr>
              <w:t>,</w:t>
            </w:r>
            <w:r w:rsidRPr="002E0659">
              <w:rPr>
                <w:sz w:val="22"/>
                <w:szCs w:val="22"/>
                <w:lang w:val="ru-RU"/>
              </w:rPr>
              <w:t xml:space="preserve"> не требующие вмешательства</w:t>
            </w:r>
          </w:p>
          <w:p w14:paraId="39B322C7" w14:textId="77777777" w:rsidR="0000369C" w:rsidRPr="002E0659" w:rsidRDefault="0000369C" w:rsidP="001C46FD">
            <w:pPr>
              <w:pStyle w:val="table-text-0"/>
              <w:spacing w:before="0" w:line="360" w:lineRule="auto"/>
              <w:ind w:firstLine="0"/>
              <w:rPr>
                <w:sz w:val="22"/>
                <w:szCs w:val="22"/>
                <w:lang w:val="ru-RU"/>
              </w:rPr>
            </w:pPr>
            <w:r w:rsidRPr="002E0659">
              <w:rPr>
                <w:sz w:val="22"/>
                <w:szCs w:val="22"/>
                <w:lang w:val="ru-RU"/>
              </w:rPr>
              <w:t xml:space="preserve">Аномальные ациклические маточные кровотечения (менее </w:t>
            </w:r>
            <w:r>
              <w:rPr>
                <w:sz w:val="22"/>
                <w:szCs w:val="22"/>
                <w:lang w:val="ru-RU"/>
              </w:rPr>
              <w:t xml:space="preserve">двух </w:t>
            </w:r>
            <w:r w:rsidRPr="002E0659">
              <w:rPr>
                <w:sz w:val="22"/>
                <w:szCs w:val="22"/>
                <w:lang w:val="ru-RU"/>
              </w:rPr>
              <w:t xml:space="preserve">прокладок в </w:t>
            </w:r>
            <w:r>
              <w:rPr>
                <w:sz w:val="22"/>
                <w:szCs w:val="22"/>
                <w:lang w:val="ru-RU"/>
              </w:rPr>
              <w:t>сутки</w:t>
            </w:r>
            <w:r w:rsidRPr="002E0659">
              <w:rPr>
                <w:sz w:val="22"/>
                <w:szCs w:val="22"/>
                <w:lang w:val="ru-RU"/>
              </w:rPr>
              <w:t>)</w:t>
            </w:r>
          </w:p>
        </w:tc>
      </w:tr>
      <w:tr w:rsidR="0000369C" w:rsidRPr="004C7AAC" w14:paraId="401FF8B7" w14:textId="77777777" w:rsidTr="001C46FD">
        <w:tc>
          <w:tcPr>
            <w:tcW w:w="9121" w:type="dxa"/>
            <w:shd w:val="clear" w:color="auto" w:fill="auto"/>
          </w:tcPr>
          <w:p w14:paraId="3BC2ED8C" w14:textId="77777777" w:rsidR="0000369C" w:rsidRPr="002E0659" w:rsidRDefault="0000369C" w:rsidP="001C46FD">
            <w:pPr>
              <w:pStyle w:val="table-text-1"/>
              <w:spacing w:before="0" w:after="0" w:line="360" w:lineRule="auto"/>
              <w:rPr>
                <w:sz w:val="22"/>
                <w:szCs w:val="22"/>
              </w:rPr>
            </w:pPr>
            <w:r w:rsidRPr="002E0659">
              <w:rPr>
                <w:sz w:val="22"/>
                <w:szCs w:val="22"/>
              </w:rPr>
              <w:lastRenderedPageBreak/>
              <w:t>2 степень (</w:t>
            </w:r>
            <w:r>
              <w:rPr>
                <w:sz w:val="22"/>
                <w:szCs w:val="22"/>
              </w:rPr>
              <w:t xml:space="preserve">в основном </w:t>
            </w:r>
            <w:r w:rsidRPr="002E0659">
              <w:rPr>
                <w:sz w:val="22"/>
                <w:szCs w:val="22"/>
              </w:rPr>
              <w:t>не требуют трансфузии)</w:t>
            </w:r>
          </w:p>
        </w:tc>
      </w:tr>
      <w:tr w:rsidR="0000369C" w:rsidRPr="004C7AAC" w14:paraId="636EE96E" w14:textId="77777777" w:rsidTr="001C46FD">
        <w:tc>
          <w:tcPr>
            <w:tcW w:w="9121" w:type="dxa"/>
            <w:shd w:val="clear" w:color="auto" w:fill="auto"/>
          </w:tcPr>
          <w:p w14:paraId="25954AB1" w14:textId="77777777" w:rsidR="0000369C" w:rsidRPr="002E0659" w:rsidRDefault="0000369C" w:rsidP="001C46FD">
            <w:pPr>
              <w:pStyle w:val="table-text-0"/>
              <w:spacing w:before="0" w:line="360" w:lineRule="auto"/>
              <w:ind w:firstLine="0"/>
              <w:rPr>
                <w:sz w:val="22"/>
                <w:szCs w:val="22"/>
                <w:lang w:val="ru-RU"/>
              </w:rPr>
            </w:pPr>
            <w:r w:rsidRPr="002E0659">
              <w:rPr>
                <w:sz w:val="22"/>
                <w:szCs w:val="22"/>
                <w:lang w:val="ru-RU"/>
              </w:rPr>
              <w:t>Экхимозы (более 10</w:t>
            </w:r>
            <w:r>
              <w:rPr>
                <w:sz w:val="22"/>
                <w:szCs w:val="22"/>
                <w:lang w:val="ru-RU"/>
              </w:rPr>
              <w:t> </w:t>
            </w:r>
            <w:r w:rsidRPr="002E0659">
              <w:rPr>
                <w:sz w:val="22"/>
                <w:szCs w:val="22"/>
                <w:lang w:val="ru-RU"/>
              </w:rPr>
              <w:t>см в диаметре)</w:t>
            </w:r>
          </w:p>
          <w:p w14:paraId="6B5F2358" w14:textId="77777777" w:rsidR="0000369C" w:rsidRPr="002E0659" w:rsidRDefault="0000369C" w:rsidP="001C46FD">
            <w:pPr>
              <w:pStyle w:val="table-text-0"/>
              <w:spacing w:before="0" w:line="360" w:lineRule="auto"/>
              <w:ind w:firstLine="0"/>
              <w:rPr>
                <w:sz w:val="22"/>
                <w:szCs w:val="22"/>
                <w:lang w:val="ru-RU"/>
              </w:rPr>
            </w:pPr>
            <w:r w:rsidRPr="002E0659">
              <w:rPr>
                <w:sz w:val="22"/>
                <w:szCs w:val="22"/>
                <w:lang w:val="ru-RU"/>
              </w:rPr>
              <w:t>Гематомы</w:t>
            </w:r>
          </w:p>
          <w:p w14:paraId="3BDBC5E7" w14:textId="77777777" w:rsidR="0000369C" w:rsidRPr="002E0659" w:rsidRDefault="0000369C" w:rsidP="001C46FD">
            <w:pPr>
              <w:pStyle w:val="table-text-0"/>
              <w:spacing w:before="0" w:line="360" w:lineRule="auto"/>
              <w:ind w:firstLine="0"/>
              <w:rPr>
                <w:sz w:val="22"/>
                <w:szCs w:val="22"/>
                <w:lang w:val="ru-RU"/>
              </w:rPr>
            </w:pPr>
            <w:r w:rsidRPr="002E0659">
              <w:rPr>
                <w:sz w:val="22"/>
                <w:szCs w:val="22"/>
                <w:lang w:val="ru-RU"/>
              </w:rPr>
              <w:t>Носовые кровотечения продолжительностью более 1</w:t>
            </w:r>
            <w:r>
              <w:rPr>
                <w:sz w:val="22"/>
                <w:szCs w:val="22"/>
                <w:lang w:val="ru-RU"/>
              </w:rPr>
              <w:t> </w:t>
            </w:r>
            <w:r w:rsidRPr="002E0659">
              <w:rPr>
                <w:sz w:val="22"/>
                <w:szCs w:val="22"/>
                <w:lang w:val="ru-RU"/>
              </w:rPr>
              <w:t>часа или требующие тампонады</w:t>
            </w:r>
          </w:p>
          <w:p w14:paraId="79440E26" w14:textId="77777777" w:rsidR="0000369C" w:rsidRPr="002E0659" w:rsidRDefault="0000369C" w:rsidP="001C46FD">
            <w:pPr>
              <w:pStyle w:val="table-text-0"/>
              <w:spacing w:before="0" w:line="360" w:lineRule="auto"/>
              <w:ind w:firstLine="0"/>
              <w:rPr>
                <w:sz w:val="22"/>
                <w:szCs w:val="22"/>
                <w:lang w:val="ru-RU"/>
              </w:rPr>
            </w:pPr>
            <w:r w:rsidRPr="002E0659">
              <w:rPr>
                <w:sz w:val="22"/>
                <w:szCs w:val="22"/>
                <w:lang w:val="ru-RU"/>
              </w:rPr>
              <w:t>Кровоизлияния в сетчатку без ухудшения зрения</w:t>
            </w:r>
          </w:p>
          <w:p w14:paraId="42DFC2D6" w14:textId="77777777" w:rsidR="0000369C" w:rsidRPr="002E0659" w:rsidRDefault="0000369C" w:rsidP="001C46FD">
            <w:pPr>
              <w:pStyle w:val="table-text-0"/>
              <w:spacing w:before="0" w:line="360" w:lineRule="auto"/>
              <w:ind w:firstLine="0"/>
              <w:rPr>
                <w:sz w:val="22"/>
                <w:szCs w:val="22"/>
                <w:lang w:val="ru-RU"/>
              </w:rPr>
            </w:pPr>
            <w:r w:rsidRPr="002E0659">
              <w:rPr>
                <w:sz w:val="22"/>
                <w:szCs w:val="22"/>
                <w:lang w:val="ru-RU"/>
              </w:rPr>
              <w:t xml:space="preserve">Аномальные ациклические маточные кровотечения (более </w:t>
            </w:r>
            <w:r>
              <w:rPr>
                <w:sz w:val="22"/>
                <w:szCs w:val="22"/>
                <w:lang w:val="ru-RU"/>
              </w:rPr>
              <w:t xml:space="preserve">двух </w:t>
            </w:r>
            <w:r w:rsidRPr="002E0659">
              <w:rPr>
                <w:sz w:val="22"/>
                <w:szCs w:val="22"/>
                <w:lang w:val="ru-RU"/>
              </w:rPr>
              <w:t xml:space="preserve">прокладок в </w:t>
            </w:r>
            <w:r>
              <w:rPr>
                <w:sz w:val="22"/>
                <w:szCs w:val="22"/>
                <w:lang w:val="ru-RU"/>
              </w:rPr>
              <w:t>сутки</w:t>
            </w:r>
            <w:r w:rsidRPr="002E0659">
              <w:rPr>
                <w:sz w:val="22"/>
                <w:szCs w:val="22"/>
                <w:lang w:val="ru-RU"/>
              </w:rPr>
              <w:t>)</w:t>
            </w:r>
          </w:p>
          <w:p w14:paraId="1D426F79" w14:textId="77777777" w:rsidR="0000369C" w:rsidRPr="002E0659" w:rsidRDefault="0000369C" w:rsidP="001C46FD">
            <w:pPr>
              <w:pStyle w:val="table-text-0"/>
              <w:spacing w:before="0" w:line="360" w:lineRule="auto"/>
              <w:ind w:firstLine="0"/>
              <w:rPr>
                <w:sz w:val="22"/>
                <w:szCs w:val="22"/>
                <w:lang w:val="ru-RU"/>
              </w:rPr>
            </w:pPr>
            <w:r w:rsidRPr="002E0659">
              <w:rPr>
                <w:sz w:val="22"/>
                <w:szCs w:val="22"/>
                <w:lang w:val="ru-RU"/>
              </w:rPr>
              <w:t>Мелена, рвота с кровью, кровохарканье, гематурия, стул с кровью</w:t>
            </w:r>
          </w:p>
          <w:p w14:paraId="18BB45BC" w14:textId="77777777" w:rsidR="0000369C" w:rsidRPr="00360841" w:rsidRDefault="0000369C" w:rsidP="001C46FD">
            <w:pPr>
              <w:pStyle w:val="table-text-0"/>
              <w:spacing w:before="0" w:line="360" w:lineRule="auto"/>
              <w:ind w:firstLine="0"/>
              <w:rPr>
                <w:sz w:val="24"/>
                <w:szCs w:val="24"/>
                <w:lang w:val="ru-RU"/>
              </w:rPr>
            </w:pPr>
            <w:r w:rsidRPr="002E0659">
              <w:rPr>
                <w:sz w:val="22"/>
                <w:szCs w:val="22"/>
                <w:lang w:val="ru-RU"/>
              </w:rPr>
              <w:t>Кровотечения после инвазивных вмешательств, мышечно-суставные кровоизлияния</w:t>
            </w:r>
          </w:p>
        </w:tc>
      </w:tr>
      <w:tr w:rsidR="0000369C" w:rsidRPr="004C7AAC" w14:paraId="1A773D0D" w14:textId="77777777" w:rsidTr="001C46FD">
        <w:tc>
          <w:tcPr>
            <w:tcW w:w="9121" w:type="dxa"/>
            <w:shd w:val="clear" w:color="auto" w:fill="auto"/>
          </w:tcPr>
          <w:p w14:paraId="30FDFA47" w14:textId="77777777" w:rsidR="0000369C" w:rsidRPr="004C7AAC" w:rsidRDefault="0000369C" w:rsidP="001C46FD">
            <w:pPr>
              <w:pStyle w:val="table-text-1"/>
              <w:spacing w:before="0" w:after="0" w:line="360" w:lineRule="auto"/>
              <w:rPr>
                <w:b/>
                <w:i/>
                <w:sz w:val="24"/>
                <w:szCs w:val="24"/>
              </w:rPr>
            </w:pPr>
            <w:r w:rsidRPr="002E0659">
              <w:rPr>
                <w:sz w:val="22"/>
                <w:szCs w:val="22"/>
              </w:rPr>
              <w:t>3 степень (требуют трансфузии)</w:t>
            </w:r>
          </w:p>
        </w:tc>
      </w:tr>
      <w:tr w:rsidR="0000369C" w:rsidRPr="004C7AAC" w14:paraId="5AC2CDB5" w14:textId="77777777" w:rsidTr="001C46FD">
        <w:tc>
          <w:tcPr>
            <w:tcW w:w="9121" w:type="dxa"/>
            <w:shd w:val="clear" w:color="auto" w:fill="auto"/>
          </w:tcPr>
          <w:p w14:paraId="6B6DEB98" w14:textId="77777777" w:rsidR="0000369C" w:rsidRPr="002E0659" w:rsidRDefault="0000369C" w:rsidP="001C46FD">
            <w:pPr>
              <w:pStyle w:val="table-text-0"/>
              <w:spacing w:before="0" w:line="360" w:lineRule="auto"/>
              <w:ind w:firstLine="0"/>
              <w:rPr>
                <w:sz w:val="22"/>
                <w:szCs w:val="22"/>
                <w:lang w:val="ru-RU"/>
              </w:rPr>
            </w:pPr>
            <w:r w:rsidRPr="002E0659">
              <w:rPr>
                <w:sz w:val="22"/>
                <w:szCs w:val="22"/>
                <w:lang w:val="ru-RU"/>
              </w:rPr>
              <w:t>Мелена</w:t>
            </w:r>
          </w:p>
          <w:p w14:paraId="72F4182F" w14:textId="77777777" w:rsidR="0000369C" w:rsidRPr="002E0659" w:rsidRDefault="0000369C" w:rsidP="001C46FD">
            <w:pPr>
              <w:pStyle w:val="table-text-0"/>
              <w:spacing w:before="0" w:line="360" w:lineRule="auto"/>
              <w:ind w:firstLine="0"/>
              <w:rPr>
                <w:sz w:val="22"/>
                <w:szCs w:val="22"/>
                <w:lang w:val="ru-RU"/>
              </w:rPr>
            </w:pPr>
            <w:r w:rsidRPr="002E0659">
              <w:rPr>
                <w:sz w:val="22"/>
                <w:szCs w:val="22"/>
                <w:lang w:val="ru-RU"/>
              </w:rPr>
              <w:t>Рвота с кровью</w:t>
            </w:r>
          </w:p>
          <w:p w14:paraId="1950A78E" w14:textId="77777777" w:rsidR="0000369C" w:rsidRPr="002E0659" w:rsidRDefault="0000369C" w:rsidP="001C46FD">
            <w:pPr>
              <w:pStyle w:val="table-text-0"/>
              <w:spacing w:before="0" w:line="360" w:lineRule="auto"/>
              <w:ind w:firstLine="0"/>
              <w:rPr>
                <w:sz w:val="22"/>
                <w:szCs w:val="22"/>
                <w:lang w:val="ru-RU"/>
              </w:rPr>
            </w:pPr>
            <w:r w:rsidRPr="002E0659">
              <w:rPr>
                <w:sz w:val="22"/>
                <w:szCs w:val="22"/>
                <w:lang w:val="ru-RU"/>
              </w:rPr>
              <w:t>Кровохарканье</w:t>
            </w:r>
          </w:p>
          <w:p w14:paraId="4638BC64" w14:textId="77777777" w:rsidR="0000369C" w:rsidRPr="002E0659" w:rsidRDefault="0000369C" w:rsidP="001C46FD">
            <w:pPr>
              <w:pStyle w:val="table-text-0"/>
              <w:spacing w:before="0" w:line="360" w:lineRule="auto"/>
              <w:ind w:firstLine="0"/>
              <w:rPr>
                <w:sz w:val="22"/>
                <w:szCs w:val="22"/>
                <w:lang w:val="ru-RU"/>
              </w:rPr>
            </w:pPr>
            <w:r w:rsidRPr="002E0659">
              <w:rPr>
                <w:sz w:val="22"/>
                <w:szCs w:val="22"/>
                <w:lang w:val="ru-RU"/>
              </w:rPr>
              <w:t>Гематурия</w:t>
            </w:r>
            <w:r>
              <w:rPr>
                <w:sz w:val="22"/>
                <w:szCs w:val="22"/>
                <w:lang w:val="ru-RU"/>
              </w:rPr>
              <w:t>,</w:t>
            </w:r>
            <w:r w:rsidRPr="002E0659">
              <w:rPr>
                <w:sz w:val="22"/>
                <w:szCs w:val="22"/>
                <w:lang w:val="ru-RU"/>
              </w:rPr>
              <w:t xml:space="preserve"> включая непрекращающееся кровотечение без свертывания </w:t>
            </w:r>
          </w:p>
          <w:p w14:paraId="09A01EF3" w14:textId="77777777" w:rsidR="0000369C" w:rsidRPr="002E0659" w:rsidRDefault="0000369C" w:rsidP="001C46FD">
            <w:pPr>
              <w:pStyle w:val="table-text-0"/>
              <w:spacing w:before="0" w:line="360" w:lineRule="auto"/>
              <w:ind w:firstLine="0"/>
              <w:rPr>
                <w:sz w:val="22"/>
                <w:szCs w:val="22"/>
                <w:lang w:val="ru-RU"/>
              </w:rPr>
            </w:pPr>
            <w:r w:rsidRPr="002E0659">
              <w:rPr>
                <w:sz w:val="22"/>
                <w:szCs w:val="22"/>
                <w:lang w:val="ru-RU"/>
              </w:rPr>
              <w:t>Аномальные маточные кровотечения</w:t>
            </w:r>
          </w:p>
          <w:p w14:paraId="5ED002DA" w14:textId="77777777" w:rsidR="0000369C" w:rsidRPr="002E0659" w:rsidRDefault="0000369C" w:rsidP="001C46FD">
            <w:pPr>
              <w:pStyle w:val="table-text-0"/>
              <w:spacing w:before="0" w:line="360" w:lineRule="auto"/>
              <w:ind w:firstLine="0"/>
              <w:rPr>
                <w:sz w:val="22"/>
                <w:szCs w:val="22"/>
                <w:lang w:val="ru-RU"/>
              </w:rPr>
            </w:pPr>
            <w:r w:rsidRPr="002E0659">
              <w:rPr>
                <w:sz w:val="22"/>
                <w:szCs w:val="22"/>
                <w:lang w:val="ru-RU"/>
              </w:rPr>
              <w:t>Стул с кровью</w:t>
            </w:r>
          </w:p>
          <w:p w14:paraId="6D0A5656" w14:textId="77777777" w:rsidR="0000369C" w:rsidRPr="002E0659" w:rsidRDefault="0000369C" w:rsidP="001C46FD">
            <w:pPr>
              <w:pStyle w:val="table-text-0"/>
              <w:spacing w:before="0" w:line="360" w:lineRule="auto"/>
              <w:ind w:firstLine="0"/>
              <w:rPr>
                <w:sz w:val="22"/>
                <w:szCs w:val="22"/>
                <w:lang w:val="ru-RU"/>
              </w:rPr>
            </w:pPr>
            <w:r w:rsidRPr="002E0659">
              <w:rPr>
                <w:sz w:val="22"/>
                <w:szCs w:val="22"/>
                <w:lang w:val="ru-RU"/>
              </w:rPr>
              <w:t xml:space="preserve">Носовое кровотечение </w:t>
            </w:r>
          </w:p>
          <w:p w14:paraId="409F05B9" w14:textId="77777777" w:rsidR="0000369C" w:rsidRPr="002E0659" w:rsidRDefault="0000369C" w:rsidP="001C46FD">
            <w:pPr>
              <w:pStyle w:val="table-text-0"/>
              <w:spacing w:before="0" w:line="360" w:lineRule="auto"/>
              <w:ind w:firstLine="0"/>
              <w:rPr>
                <w:sz w:val="22"/>
                <w:szCs w:val="22"/>
                <w:lang w:val="ru-RU"/>
              </w:rPr>
            </w:pPr>
            <w:r w:rsidRPr="00A83EB7">
              <w:rPr>
                <w:sz w:val="22"/>
                <w:szCs w:val="22"/>
                <w:lang w:val="ru-RU"/>
              </w:rPr>
              <w:t>Ротоглоточное кровотечение</w:t>
            </w:r>
          </w:p>
          <w:p w14:paraId="2FAB5403" w14:textId="77777777" w:rsidR="0000369C" w:rsidRPr="00360841" w:rsidRDefault="0000369C" w:rsidP="001C46FD">
            <w:pPr>
              <w:pStyle w:val="table-text-0"/>
              <w:spacing w:before="0" w:line="360" w:lineRule="auto"/>
              <w:ind w:firstLine="0"/>
              <w:rPr>
                <w:sz w:val="24"/>
                <w:szCs w:val="24"/>
                <w:lang w:val="ru-RU"/>
              </w:rPr>
            </w:pPr>
            <w:r w:rsidRPr="002E0659">
              <w:rPr>
                <w:sz w:val="22"/>
                <w:szCs w:val="22"/>
                <w:lang w:val="ru-RU"/>
              </w:rPr>
              <w:t>Кровотечения после инвазивных вмешательств, мышечно-суставные кровоизлияния или кровоизлияния в мягкие ткани</w:t>
            </w:r>
          </w:p>
        </w:tc>
      </w:tr>
      <w:tr w:rsidR="0000369C" w:rsidRPr="004C7AAC" w14:paraId="6EC88471" w14:textId="77777777" w:rsidTr="001C46FD">
        <w:tc>
          <w:tcPr>
            <w:tcW w:w="9121" w:type="dxa"/>
            <w:shd w:val="clear" w:color="auto" w:fill="auto"/>
          </w:tcPr>
          <w:p w14:paraId="7E5A71B1" w14:textId="77777777" w:rsidR="0000369C" w:rsidRPr="004C7AAC" w:rsidRDefault="0000369C" w:rsidP="001C46FD">
            <w:pPr>
              <w:pStyle w:val="table-text-1"/>
              <w:spacing w:before="0" w:after="0" w:line="360" w:lineRule="auto"/>
              <w:rPr>
                <w:b/>
                <w:i/>
                <w:sz w:val="24"/>
                <w:szCs w:val="24"/>
              </w:rPr>
            </w:pPr>
            <w:r w:rsidRPr="002E0659">
              <w:rPr>
                <w:sz w:val="22"/>
                <w:szCs w:val="22"/>
              </w:rPr>
              <w:t>4 степень (требуют трансфузии)</w:t>
            </w:r>
          </w:p>
        </w:tc>
      </w:tr>
      <w:tr w:rsidR="0000369C" w:rsidRPr="004C7AAC" w14:paraId="4EA39324" w14:textId="77777777" w:rsidTr="001C46FD">
        <w:tc>
          <w:tcPr>
            <w:tcW w:w="9121" w:type="dxa"/>
            <w:shd w:val="clear" w:color="auto" w:fill="auto"/>
          </w:tcPr>
          <w:p w14:paraId="1D8DC7AF" w14:textId="77777777" w:rsidR="0000369C" w:rsidRPr="002E0659" w:rsidRDefault="0000369C" w:rsidP="001C46FD">
            <w:pPr>
              <w:pStyle w:val="table-text-0"/>
              <w:spacing w:before="0" w:line="360" w:lineRule="auto"/>
              <w:ind w:firstLine="0"/>
              <w:rPr>
                <w:sz w:val="22"/>
                <w:szCs w:val="22"/>
                <w:lang w:val="ru-RU"/>
              </w:rPr>
            </w:pPr>
            <w:r w:rsidRPr="002E0659">
              <w:rPr>
                <w:sz w:val="22"/>
                <w:szCs w:val="22"/>
                <w:lang w:val="ru-RU"/>
              </w:rPr>
              <w:t>Кровоизлияния в сетчатку с нарушением зрения</w:t>
            </w:r>
          </w:p>
          <w:p w14:paraId="633235F3" w14:textId="77777777" w:rsidR="0000369C" w:rsidRPr="002E0659" w:rsidRDefault="0000369C" w:rsidP="001C46FD">
            <w:pPr>
              <w:pStyle w:val="table-text-0"/>
              <w:spacing w:before="0" w:line="360" w:lineRule="auto"/>
              <w:ind w:firstLine="0"/>
              <w:rPr>
                <w:sz w:val="22"/>
                <w:szCs w:val="22"/>
                <w:lang w:val="ru-RU"/>
              </w:rPr>
            </w:pPr>
            <w:r w:rsidRPr="002E0659">
              <w:rPr>
                <w:sz w:val="22"/>
                <w:szCs w:val="22"/>
                <w:lang w:val="ru-RU"/>
              </w:rPr>
              <w:t xml:space="preserve">Нефатальные кровоизлияния в </w:t>
            </w:r>
            <w:r>
              <w:rPr>
                <w:sz w:val="22"/>
                <w:szCs w:val="22"/>
                <w:lang w:val="ru-RU"/>
              </w:rPr>
              <w:t>ЦНС</w:t>
            </w:r>
            <w:r w:rsidRPr="002E0659">
              <w:rPr>
                <w:sz w:val="22"/>
                <w:szCs w:val="22"/>
                <w:lang w:val="ru-RU"/>
              </w:rPr>
              <w:t xml:space="preserve"> с невро</w:t>
            </w:r>
            <w:r>
              <w:rPr>
                <w:sz w:val="22"/>
                <w:szCs w:val="22"/>
                <w:lang w:val="ru-RU"/>
              </w:rPr>
              <w:t>логической симптоматикой</w:t>
            </w:r>
          </w:p>
          <w:p w14:paraId="184CA005" w14:textId="77777777" w:rsidR="0000369C" w:rsidRPr="00360841" w:rsidRDefault="0000369C" w:rsidP="001C46FD">
            <w:pPr>
              <w:pStyle w:val="table-text-0"/>
              <w:spacing w:before="0" w:line="360" w:lineRule="auto"/>
              <w:ind w:firstLine="0"/>
              <w:rPr>
                <w:sz w:val="24"/>
                <w:szCs w:val="24"/>
                <w:lang w:val="ru-RU"/>
              </w:rPr>
            </w:pPr>
            <w:r w:rsidRPr="002E0659">
              <w:rPr>
                <w:sz w:val="22"/>
                <w:szCs w:val="22"/>
                <w:lang w:val="ru-RU"/>
              </w:rPr>
              <w:t>Фатальные кровотечения вне зависимости от источника</w:t>
            </w:r>
          </w:p>
        </w:tc>
      </w:tr>
    </w:tbl>
    <w:p w14:paraId="7450B62C" w14:textId="77777777" w:rsidR="0000369C" w:rsidRDefault="0000369C" w:rsidP="0000369C">
      <w:pPr>
        <w:pStyle w:val="3"/>
        <w:spacing w:before="0"/>
        <w:ind w:firstLine="708"/>
        <w:rPr>
          <w:rFonts w:ascii="Times New Roman" w:hAnsi="Times New Roman" w:cs="Times New Roman"/>
          <w:b/>
          <w:u w:val="single"/>
        </w:rPr>
      </w:pPr>
    </w:p>
    <w:p w14:paraId="5769BDFA" w14:textId="77777777" w:rsidR="0000369C" w:rsidRPr="00287E25" w:rsidRDefault="0000369C" w:rsidP="0000369C">
      <w:pPr>
        <w:ind w:firstLine="708"/>
        <w:rPr>
          <w:b/>
          <w:u w:val="single"/>
        </w:rPr>
      </w:pPr>
      <w:r w:rsidRPr="00287E25">
        <w:rPr>
          <w:u w:val="single"/>
        </w:rPr>
        <w:t>Расчет дозы концентрата тромбоцитов для трансфузий</w:t>
      </w:r>
    </w:p>
    <w:p w14:paraId="0EAA13BD" w14:textId="77777777" w:rsidR="0000369C" w:rsidRPr="001A1BC0" w:rsidRDefault="0000369C" w:rsidP="0000369C">
      <w:pPr>
        <w:ind w:firstLine="708"/>
        <w:rPr>
          <w:szCs w:val="24"/>
        </w:rPr>
      </w:pPr>
      <w:r w:rsidRPr="001A5953">
        <w:rPr>
          <w:rFonts w:eastAsia="Times New Roman"/>
          <w:szCs w:val="24"/>
        </w:rPr>
        <w:t>Количество концентрата тромбоцитов для трансфузии необходимо использовать из расчета 50-70х</w:t>
      </w:r>
      <w:r w:rsidRPr="001A5953">
        <w:rPr>
          <w:szCs w:val="24"/>
        </w:rPr>
        <w:t>10</w:t>
      </w:r>
      <w:r>
        <w:rPr>
          <w:szCs w:val="24"/>
          <w:vertAlign w:val="superscript"/>
        </w:rPr>
        <w:t>9</w:t>
      </w:r>
      <w:r w:rsidRPr="001A5953">
        <w:rPr>
          <w:szCs w:val="24"/>
        </w:rPr>
        <w:t xml:space="preserve"> тромбоцитов на 10</w:t>
      </w:r>
      <w:r>
        <w:rPr>
          <w:szCs w:val="24"/>
        </w:rPr>
        <w:t xml:space="preserve"> </w:t>
      </w:r>
      <w:r w:rsidRPr="001A5953">
        <w:rPr>
          <w:szCs w:val="24"/>
        </w:rPr>
        <w:t>кг массы тела реципиента или 200-2</w:t>
      </w:r>
      <w:r w:rsidRPr="001A5953">
        <w:rPr>
          <w:rFonts w:eastAsia="Times New Roman"/>
          <w:szCs w:val="24"/>
        </w:rPr>
        <w:t>50х</w:t>
      </w:r>
      <w:r w:rsidRPr="001A5953">
        <w:rPr>
          <w:szCs w:val="24"/>
        </w:rPr>
        <w:t>10</w:t>
      </w:r>
      <w:r>
        <w:rPr>
          <w:szCs w:val="24"/>
          <w:vertAlign w:val="superscript"/>
        </w:rPr>
        <w:t>9</w:t>
      </w:r>
      <w:r w:rsidRPr="001A5953">
        <w:rPr>
          <w:szCs w:val="24"/>
        </w:rPr>
        <w:t xml:space="preserve"> тромбоцитов на 1м</w:t>
      </w:r>
      <w:r w:rsidRPr="00A17D81">
        <w:rPr>
          <w:szCs w:val="24"/>
          <w:vertAlign w:val="superscript"/>
        </w:rPr>
        <w:t>2</w:t>
      </w:r>
      <w:r w:rsidRPr="001A5953">
        <w:rPr>
          <w:szCs w:val="24"/>
        </w:rPr>
        <w:t xml:space="preserve"> поверхности тела реципиента.</w:t>
      </w:r>
    </w:p>
    <w:p w14:paraId="2DC3ED10" w14:textId="77777777" w:rsidR="0000369C" w:rsidRDefault="0000369C" w:rsidP="0000369C">
      <w:pPr>
        <w:ind w:firstLine="708"/>
        <w:rPr>
          <w:szCs w:val="24"/>
        </w:rPr>
      </w:pPr>
      <w:r>
        <w:rPr>
          <w:szCs w:val="24"/>
        </w:rPr>
        <w:lastRenderedPageBreak/>
        <w:t>О</w:t>
      </w:r>
      <w:r w:rsidRPr="001A1BC0">
        <w:rPr>
          <w:szCs w:val="24"/>
        </w:rPr>
        <w:t xml:space="preserve">птимальная доза для лечебных трансфузий — спорный вопрос; на основании общего консенсуса, терапевтические трансфузии должны увеличить количество тромбоцитов до уровня, обеспечивающего адекватный гемостаз. </w:t>
      </w:r>
    </w:p>
    <w:p w14:paraId="506A4984" w14:textId="77777777" w:rsidR="0000369C" w:rsidRDefault="0000369C" w:rsidP="0000369C">
      <w:pPr>
        <w:ind w:firstLine="708"/>
        <w:rPr>
          <w:u w:val="single"/>
        </w:rPr>
      </w:pPr>
    </w:p>
    <w:p w14:paraId="18932A77" w14:textId="77777777" w:rsidR="0000369C" w:rsidRPr="00287E25" w:rsidRDefault="0000369C" w:rsidP="0000369C">
      <w:pPr>
        <w:ind w:firstLine="708"/>
        <w:rPr>
          <w:b/>
          <w:u w:val="single"/>
        </w:rPr>
      </w:pPr>
      <w:r w:rsidRPr="00287E25">
        <w:rPr>
          <w:u w:val="single"/>
        </w:rPr>
        <w:t>Критерии эффективности трансфузий концентрата тромбоцитов</w:t>
      </w:r>
    </w:p>
    <w:p w14:paraId="60D0E514" w14:textId="77777777" w:rsidR="0000369C" w:rsidRPr="00A17D81" w:rsidRDefault="0000369C" w:rsidP="0000369C">
      <w:pPr>
        <w:ind w:firstLine="708"/>
        <w:contextualSpacing/>
        <w:rPr>
          <w:szCs w:val="24"/>
          <w:lang w:eastAsia="ru-RU"/>
        </w:rPr>
      </w:pPr>
      <w:r w:rsidRPr="003B6BB6">
        <w:rPr>
          <w:i/>
          <w:szCs w:val="24"/>
          <w:lang w:eastAsia="ru-RU"/>
        </w:rPr>
        <w:t xml:space="preserve">Клиническими критериями </w:t>
      </w:r>
      <w:r w:rsidRPr="00A17D81">
        <w:rPr>
          <w:szCs w:val="24"/>
          <w:lang w:eastAsia="ru-RU"/>
        </w:rPr>
        <w:t xml:space="preserve">эффективности трансфузии </w:t>
      </w:r>
      <w:r>
        <w:rPr>
          <w:szCs w:val="24"/>
          <w:lang w:eastAsia="ru-RU"/>
        </w:rPr>
        <w:t xml:space="preserve">концентрата </w:t>
      </w:r>
      <w:r w:rsidRPr="00A17D81">
        <w:rPr>
          <w:szCs w:val="24"/>
          <w:lang w:eastAsia="ru-RU"/>
        </w:rPr>
        <w:t>тромбоцитов являются прекращение или уменьшение выраженности спонтанной кровоточивости, отсутствие свежих геморрагий на коже и видимых слизистых.</w:t>
      </w:r>
    </w:p>
    <w:p w14:paraId="48F125E7" w14:textId="77777777" w:rsidR="0000369C" w:rsidRPr="00A17D81" w:rsidRDefault="0000369C" w:rsidP="0000369C">
      <w:pPr>
        <w:ind w:firstLine="708"/>
        <w:contextualSpacing/>
        <w:rPr>
          <w:szCs w:val="24"/>
          <w:lang w:eastAsia="ru-RU"/>
        </w:rPr>
      </w:pPr>
      <w:r w:rsidRPr="003B6BB6">
        <w:rPr>
          <w:i/>
          <w:szCs w:val="24"/>
          <w:lang w:eastAsia="ru-RU"/>
        </w:rPr>
        <w:t xml:space="preserve">Лабораторными </w:t>
      </w:r>
      <w:r>
        <w:rPr>
          <w:i/>
          <w:szCs w:val="24"/>
          <w:lang w:eastAsia="ru-RU"/>
        </w:rPr>
        <w:t>критериями</w:t>
      </w:r>
      <w:r w:rsidRPr="00A17D81">
        <w:rPr>
          <w:szCs w:val="24"/>
          <w:lang w:eastAsia="ru-RU"/>
        </w:rPr>
        <w:t xml:space="preserve"> эффективности переливания тромбоцитов являются увеличение количества циркулирующих тромбоцитов — абсолютный прирост тромбоцитов (АПТ) или скорректированный прирост тромбоцитов (СПТ) через 1 час и 18—24 ч после окончания трансфузии, а также показатели максимальной амплитуды на тромбоэластограмме.</w:t>
      </w:r>
    </w:p>
    <w:p w14:paraId="6647EF80" w14:textId="77777777" w:rsidR="0000369C" w:rsidRPr="00A17D81" w:rsidRDefault="0000369C" w:rsidP="0000369C">
      <w:pPr>
        <w:ind w:firstLine="708"/>
        <w:contextualSpacing/>
        <w:rPr>
          <w:bCs/>
          <w:szCs w:val="24"/>
        </w:rPr>
      </w:pPr>
      <w:r w:rsidRPr="00A17D81">
        <w:rPr>
          <w:color w:val="000000"/>
          <w:szCs w:val="24"/>
        </w:rPr>
        <w:t xml:space="preserve">Трансфузию считают эффективной, если абсолютный прирост тромбоцитов через 1 час составил </w:t>
      </w:r>
      <w:r w:rsidRPr="00A17D81">
        <w:rPr>
          <w:szCs w:val="24"/>
        </w:rPr>
        <w:t>10</w:t>
      </w:r>
      <w:r>
        <w:rPr>
          <w:szCs w:val="24"/>
        </w:rPr>
        <w:t>х</w:t>
      </w:r>
      <w:r w:rsidRPr="00A17D81">
        <w:rPr>
          <w:szCs w:val="24"/>
        </w:rPr>
        <w:t>10</w:t>
      </w:r>
      <w:r w:rsidRPr="00A17D81">
        <w:rPr>
          <w:szCs w:val="24"/>
          <w:vertAlign w:val="superscript"/>
        </w:rPr>
        <w:t>9</w:t>
      </w:r>
      <w:r w:rsidRPr="00A17D81">
        <w:rPr>
          <w:szCs w:val="24"/>
        </w:rPr>
        <w:t>/л от исходного уровня.</w:t>
      </w:r>
      <w:r>
        <w:rPr>
          <w:szCs w:val="24"/>
        </w:rPr>
        <w:t xml:space="preserve"> </w:t>
      </w:r>
      <w:r w:rsidRPr="00A17D81">
        <w:rPr>
          <w:bCs/>
          <w:szCs w:val="24"/>
        </w:rPr>
        <w:t>Для стандартизации оценки эффективности трансфузий скорректированный прирост тромбоцитов рассчитывается по формуле и выража</w:t>
      </w:r>
      <w:r>
        <w:rPr>
          <w:bCs/>
          <w:szCs w:val="24"/>
        </w:rPr>
        <w:t>ется в расчетных единицах (РЕ)</w:t>
      </w:r>
      <w:r w:rsidRPr="00A17D81">
        <w:rPr>
          <w:bCs/>
          <w:szCs w:val="24"/>
        </w:rPr>
        <w:t>:</w:t>
      </w:r>
    </w:p>
    <w:p w14:paraId="70BBE082" w14:textId="77777777" w:rsidR="0000369C" w:rsidRPr="00A17D81" w:rsidRDefault="0000369C" w:rsidP="0000369C">
      <w:pPr>
        <w:pStyle w:val="formula"/>
        <w:spacing w:before="0" w:after="0" w:line="360" w:lineRule="auto"/>
        <w:rPr>
          <w:sz w:val="24"/>
          <w:szCs w:val="24"/>
        </w:rPr>
      </w:pPr>
      <w:r w:rsidRPr="00A17D81">
        <w:rPr>
          <w:sz w:val="24"/>
          <w:szCs w:val="24"/>
        </w:rPr>
        <w:t>СПТ = (АПТ </w:t>
      </w:r>
      <w:r>
        <w:rPr>
          <w:sz w:val="24"/>
          <w:szCs w:val="24"/>
        </w:rPr>
        <w:t xml:space="preserve">х </w:t>
      </w:r>
      <w:r w:rsidRPr="00A17D81">
        <w:rPr>
          <w:sz w:val="24"/>
          <w:szCs w:val="24"/>
        </w:rPr>
        <w:t>площадь поверхности тела, м</w:t>
      </w:r>
      <w:r w:rsidRPr="00A17D81">
        <w:rPr>
          <w:sz w:val="24"/>
          <w:szCs w:val="24"/>
          <w:vertAlign w:val="superscript"/>
        </w:rPr>
        <w:t>2</w:t>
      </w:r>
      <w:r w:rsidRPr="00A17D81">
        <w:rPr>
          <w:sz w:val="24"/>
          <w:szCs w:val="24"/>
        </w:rPr>
        <w:t xml:space="preserve">) / количество перелитых тромбоцитов </w:t>
      </w:r>
      <w:r>
        <w:rPr>
          <w:sz w:val="24"/>
          <w:szCs w:val="24"/>
        </w:rPr>
        <w:t>х</w:t>
      </w:r>
      <w:r w:rsidRPr="00A17D81">
        <w:rPr>
          <w:sz w:val="24"/>
          <w:szCs w:val="24"/>
        </w:rPr>
        <w:t> 10</w:t>
      </w:r>
      <w:r w:rsidRPr="00A17D81">
        <w:rPr>
          <w:sz w:val="24"/>
          <w:szCs w:val="24"/>
          <w:vertAlign w:val="superscript"/>
        </w:rPr>
        <w:t>11</w:t>
      </w:r>
    </w:p>
    <w:p w14:paraId="72A0C15A" w14:textId="77777777" w:rsidR="0000369C" w:rsidRPr="00D77CA7" w:rsidRDefault="0000369C" w:rsidP="0000369C">
      <w:pPr>
        <w:ind w:firstLine="227"/>
        <w:contextualSpacing/>
        <w:rPr>
          <w:szCs w:val="24"/>
        </w:rPr>
      </w:pPr>
      <w:r w:rsidRPr="00A17D81">
        <w:rPr>
          <w:szCs w:val="24"/>
        </w:rPr>
        <w:t>Трансфузию считают эффективной, если СПТ через 1 час составил &gt; 7,5 РЕ, а СПТ через 24 ч &gt; 4,5 РЕ.</w:t>
      </w:r>
      <w:r>
        <w:rPr>
          <w:szCs w:val="24"/>
        </w:rPr>
        <w:t xml:space="preserve"> </w:t>
      </w:r>
      <w:r w:rsidRPr="00A17D81">
        <w:rPr>
          <w:szCs w:val="24"/>
          <w:lang w:eastAsia="ru-RU"/>
        </w:rPr>
        <w:t>В случае неэффективности трансфузий необходимо определить возможные причины. При возникновении рефрактерности к трансфузиям или наличия в анамнезе посттрансфузионных реакций и осложнений показан индивидуал</w:t>
      </w:r>
      <w:r>
        <w:rPr>
          <w:szCs w:val="24"/>
          <w:lang w:eastAsia="ru-RU"/>
        </w:rPr>
        <w:t xml:space="preserve">ьный подбор тромбоцитов донора, применение плазмафереза (см. Приложение </w:t>
      </w:r>
      <w:r w:rsidRPr="00D77CA7">
        <w:rPr>
          <w:szCs w:val="24"/>
        </w:rPr>
        <w:t>«Лечебный цитаферез и плазмаферез при гематологических заболеваниях»</w:t>
      </w:r>
      <w:r w:rsidRPr="00D77CA7">
        <w:rPr>
          <w:szCs w:val="24"/>
          <w:lang w:eastAsia="ru-RU"/>
        </w:rPr>
        <w:t>).</w:t>
      </w:r>
    </w:p>
    <w:p w14:paraId="1C2689B7" w14:textId="77777777" w:rsidR="0000369C" w:rsidRDefault="0000369C" w:rsidP="0000369C">
      <w:pPr>
        <w:rPr>
          <w:i/>
          <w:iCs/>
          <w:u w:val="single"/>
        </w:rPr>
      </w:pPr>
    </w:p>
    <w:p w14:paraId="0D7DFA3D" w14:textId="77777777" w:rsidR="0000369C" w:rsidRPr="00287E25" w:rsidRDefault="0000369C" w:rsidP="0000369C">
      <w:pPr>
        <w:rPr>
          <w:b/>
          <w:i/>
          <w:iCs/>
          <w:u w:val="single"/>
        </w:rPr>
      </w:pPr>
      <w:r w:rsidRPr="00287E25">
        <w:rPr>
          <w:i/>
          <w:iCs/>
          <w:u w:val="single"/>
        </w:rPr>
        <w:t>Трансфузии СЗП</w:t>
      </w:r>
    </w:p>
    <w:p w14:paraId="34F5B7F3" w14:textId="77777777" w:rsidR="0000369C" w:rsidRPr="00287E25" w:rsidRDefault="0000369C" w:rsidP="0000369C">
      <w:pPr>
        <w:ind w:firstLine="349"/>
        <w:rPr>
          <w:b/>
          <w:u w:val="single"/>
        </w:rPr>
      </w:pPr>
      <w:r w:rsidRPr="00287E25">
        <w:rPr>
          <w:u w:val="single"/>
        </w:rPr>
        <w:t>Показания к переливанию СЗП:</w:t>
      </w:r>
    </w:p>
    <w:p w14:paraId="519EAB2F" w14:textId="77777777" w:rsidR="0000369C" w:rsidRPr="003B52EE" w:rsidRDefault="0000369C" w:rsidP="00C5490F">
      <w:pPr>
        <w:pStyle w:val="FitzBullet"/>
        <w:numPr>
          <w:ilvl w:val="0"/>
          <w:numId w:val="72"/>
        </w:numPr>
        <w:tabs>
          <w:tab w:val="clear" w:pos="317"/>
          <w:tab w:val="left" w:pos="144"/>
        </w:tabs>
        <w:spacing w:before="0" w:after="0" w:line="360" w:lineRule="auto"/>
        <w:ind w:left="709"/>
      </w:pPr>
      <w:r w:rsidRPr="003B52EE">
        <w:t xml:space="preserve">Экстренная реверсия действия непрямых антикоагулянтов (варфарин); переливают </w:t>
      </w:r>
      <w:r>
        <w:t xml:space="preserve">СЗП из расчета </w:t>
      </w:r>
      <w:r w:rsidRPr="003B52EE">
        <w:t>5—8 мл/кг.</w:t>
      </w:r>
    </w:p>
    <w:p w14:paraId="4F1A15F8" w14:textId="77777777" w:rsidR="0000369C" w:rsidRPr="003B52EE" w:rsidRDefault="0000369C" w:rsidP="00C5490F">
      <w:pPr>
        <w:pStyle w:val="FitzBullet"/>
        <w:numPr>
          <w:ilvl w:val="0"/>
          <w:numId w:val="72"/>
        </w:numPr>
        <w:tabs>
          <w:tab w:val="clear" w:pos="317"/>
          <w:tab w:val="left" w:pos="144"/>
        </w:tabs>
        <w:spacing w:before="0" w:after="0" w:line="360" w:lineRule="auto"/>
        <w:ind w:left="709"/>
      </w:pPr>
      <w:r w:rsidRPr="003B52EE">
        <w:t>Коррекция дефицита известного фактора свертывания, для которого нет в наличии специфического концентрата. Для достижения 30% концентрации факторов в плазме необходимо переливать СЗП в количестве 10—15 мл/кг.</w:t>
      </w:r>
    </w:p>
    <w:p w14:paraId="36C9BA83" w14:textId="77777777" w:rsidR="0000369C" w:rsidRPr="003B52EE" w:rsidRDefault="0000369C" w:rsidP="00C5490F">
      <w:pPr>
        <w:pStyle w:val="FitzBullet"/>
        <w:numPr>
          <w:ilvl w:val="0"/>
          <w:numId w:val="72"/>
        </w:numPr>
        <w:tabs>
          <w:tab w:val="clear" w:pos="317"/>
          <w:tab w:val="left" w:pos="144"/>
        </w:tabs>
        <w:spacing w:before="0" w:after="0" w:line="360" w:lineRule="auto"/>
        <w:ind w:left="709"/>
      </w:pPr>
      <w:r w:rsidRPr="003B52EE">
        <w:t>Коррекция геморрагического синдрома при увеличении (&gt; 1,5 раз по сравнению с нормой) ПВ или АЧТВ.</w:t>
      </w:r>
    </w:p>
    <w:p w14:paraId="7405113F" w14:textId="77777777" w:rsidR="0000369C" w:rsidRPr="003B52EE" w:rsidRDefault="0000369C" w:rsidP="00C5490F">
      <w:pPr>
        <w:pStyle w:val="FitzBullet"/>
        <w:numPr>
          <w:ilvl w:val="0"/>
          <w:numId w:val="72"/>
        </w:numPr>
        <w:tabs>
          <w:tab w:val="clear" w:pos="317"/>
          <w:tab w:val="left" w:pos="144"/>
        </w:tabs>
        <w:spacing w:before="0" w:after="0" w:line="360" w:lineRule="auto"/>
        <w:ind w:left="709"/>
      </w:pPr>
      <w:r>
        <w:lastRenderedPageBreak/>
        <w:t>В</w:t>
      </w:r>
      <w:r w:rsidRPr="003B52EE">
        <w:t>озмещени</w:t>
      </w:r>
      <w:r>
        <w:t>е</w:t>
      </w:r>
      <w:r w:rsidRPr="003B52EE">
        <w:t xml:space="preserve"> объема при проведении плазмафереза.</w:t>
      </w:r>
    </w:p>
    <w:p w14:paraId="0173A00B" w14:textId="77777777" w:rsidR="0000369C" w:rsidRPr="003B52EE" w:rsidRDefault="0000369C" w:rsidP="00C5490F">
      <w:pPr>
        <w:pStyle w:val="FitzBullet"/>
        <w:numPr>
          <w:ilvl w:val="0"/>
          <w:numId w:val="72"/>
        </w:numPr>
        <w:tabs>
          <w:tab w:val="clear" w:pos="317"/>
          <w:tab w:val="left" w:pos="144"/>
        </w:tabs>
        <w:spacing w:before="0" w:after="0" w:line="360" w:lineRule="auto"/>
        <w:ind w:left="709"/>
      </w:pPr>
      <w:r>
        <w:t>Д</w:t>
      </w:r>
      <w:r w:rsidRPr="003B52EE">
        <w:t>ефицит антитромбина III в ходе терапии аспарагиназой. СЗП вводят в дозе 3—3,5 мл/кг/сут.</w:t>
      </w:r>
    </w:p>
    <w:p w14:paraId="4BCF66BD" w14:textId="77777777" w:rsidR="0000369C" w:rsidRPr="003B52EE" w:rsidRDefault="0000369C" w:rsidP="00C5490F">
      <w:pPr>
        <w:pStyle w:val="FitzBullet"/>
        <w:numPr>
          <w:ilvl w:val="0"/>
          <w:numId w:val="72"/>
        </w:numPr>
        <w:tabs>
          <w:tab w:val="clear" w:pos="317"/>
          <w:tab w:val="left" w:pos="144"/>
        </w:tabs>
        <w:spacing w:before="0" w:after="0" w:line="360" w:lineRule="auto"/>
        <w:ind w:left="709"/>
      </w:pPr>
      <w:r>
        <w:t>И</w:t>
      </w:r>
      <w:r w:rsidRPr="003B52EE">
        <w:t>нгибиторн</w:t>
      </w:r>
      <w:r>
        <w:t>ая</w:t>
      </w:r>
      <w:r w:rsidRPr="003B52EE">
        <w:t xml:space="preserve"> форм</w:t>
      </w:r>
      <w:r>
        <w:t>а</w:t>
      </w:r>
      <w:r w:rsidRPr="003B52EE">
        <w:t xml:space="preserve"> гемофилии </w:t>
      </w:r>
      <w:r w:rsidRPr="003B52EE">
        <w:rPr>
          <w:lang w:val="en-US"/>
        </w:rPr>
        <w:t>A</w:t>
      </w:r>
      <w:r w:rsidRPr="003B52EE">
        <w:t xml:space="preserve"> и массивны</w:t>
      </w:r>
      <w:r>
        <w:t>е</w:t>
      </w:r>
      <w:r w:rsidRPr="003B52EE">
        <w:t xml:space="preserve"> кровопотер</w:t>
      </w:r>
      <w:r>
        <w:t>и. П</w:t>
      </w:r>
      <w:r w:rsidRPr="003B52EE">
        <w:t>оказано переливание криосупернатантной плазмы (плазма со сниженной концентрацией фактора VIII).</w:t>
      </w:r>
    </w:p>
    <w:p w14:paraId="6EA548F5" w14:textId="77777777" w:rsidR="0000369C" w:rsidRPr="00287E25" w:rsidRDefault="0000369C" w:rsidP="0000369C">
      <w:pPr>
        <w:ind w:firstLine="349"/>
        <w:rPr>
          <w:b/>
          <w:u w:val="single"/>
        </w:rPr>
      </w:pPr>
      <w:r w:rsidRPr="00287E25">
        <w:rPr>
          <w:u w:val="single"/>
        </w:rPr>
        <w:t>Показания к переливанию криопреципитата</w:t>
      </w:r>
    </w:p>
    <w:p w14:paraId="55ECE4AD" w14:textId="77777777" w:rsidR="0000369C" w:rsidRPr="003B52EE" w:rsidRDefault="0000369C" w:rsidP="00C5490F">
      <w:pPr>
        <w:pStyle w:val="FitzBullet"/>
        <w:numPr>
          <w:ilvl w:val="0"/>
          <w:numId w:val="73"/>
        </w:numPr>
        <w:tabs>
          <w:tab w:val="clear" w:pos="317"/>
          <w:tab w:val="left" w:pos="144"/>
        </w:tabs>
        <w:spacing w:before="0" w:after="0" w:line="360" w:lineRule="auto"/>
        <w:ind w:left="709"/>
      </w:pPr>
      <w:r w:rsidRPr="003B52EE">
        <w:t xml:space="preserve">Операции или роды у </w:t>
      </w:r>
      <w:r>
        <w:t>пациентов с</w:t>
      </w:r>
      <w:r w:rsidRPr="003B52EE">
        <w:t xml:space="preserve"> болезнью Виллебранда (при отсутствии эффекта десмопрессина).</w:t>
      </w:r>
    </w:p>
    <w:p w14:paraId="7C0D9C7B" w14:textId="77777777" w:rsidR="0000369C" w:rsidRPr="003B52EE" w:rsidRDefault="0000369C" w:rsidP="00C5490F">
      <w:pPr>
        <w:pStyle w:val="FitzBullet"/>
        <w:numPr>
          <w:ilvl w:val="0"/>
          <w:numId w:val="73"/>
        </w:numPr>
        <w:tabs>
          <w:tab w:val="clear" w:pos="317"/>
          <w:tab w:val="left" w:pos="144"/>
        </w:tabs>
        <w:spacing w:before="0" w:after="0" w:line="360" w:lineRule="auto"/>
        <w:ind w:left="709"/>
      </w:pPr>
      <w:r w:rsidRPr="003B52EE">
        <w:t>Гипофибриногенемия (&lt; 1 г/л).</w:t>
      </w:r>
    </w:p>
    <w:p w14:paraId="31392082" w14:textId="77777777" w:rsidR="0000369C" w:rsidRPr="003B52EE" w:rsidRDefault="0000369C" w:rsidP="00C5490F">
      <w:pPr>
        <w:pStyle w:val="FitzBullet"/>
        <w:numPr>
          <w:ilvl w:val="0"/>
          <w:numId w:val="73"/>
        </w:numPr>
        <w:tabs>
          <w:tab w:val="clear" w:pos="317"/>
          <w:tab w:val="left" w:pos="144"/>
        </w:tabs>
        <w:spacing w:before="0" w:after="0" w:line="360" w:lineRule="auto"/>
        <w:ind w:left="709"/>
      </w:pPr>
      <w:r w:rsidRPr="003B52EE">
        <w:t>Болезнь Виллебранда с геморрагическими осложнениями.</w:t>
      </w:r>
    </w:p>
    <w:p w14:paraId="77A0DE96" w14:textId="77777777" w:rsidR="0000369C" w:rsidRPr="003B52EE" w:rsidRDefault="0000369C" w:rsidP="00C5490F">
      <w:pPr>
        <w:pStyle w:val="FitzBullet"/>
        <w:numPr>
          <w:ilvl w:val="0"/>
          <w:numId w:val="73"/>
        </w:numPr>
        <w:tabs>
          <w:tab w:val="clear" w:pos="317"/>
          <w:tab w:val="left" w:pos="144"/>
        </w:tabs>
        <w:spacing w:before="0" w:after="0" w:line="360" w:lineRule="auto"/>
        <w:ind w:left="709"/>
      </w:pPr>
      <w:r>
        <w:t>П</w:t>
      </w:r>
      <w:r w:rsidRPr="003B52EE">
        <w:t>ериоперационн</w:t>
      </w:r>
      <w:r>
        <w:t>ый</w:t>
      </w:r>
      <w:r w:rsidRPr="003B52EE">
        <w:t xml:space="preserve"> период или массивны</w:t>
      </w:r>
      <w:r>
        <w:t>е</w:t>
      </w:r>
      <w:r w:rsidRPr="003B52EE">
        <w:t xml:space="preserve"> </w:t>
      </w:r>
      <w:r>
        <w:t>кровотечения при</w:t>
      </w:r>
      <w:r w:rsidRPr="003B52EE">
        <w:t xml:space="preserve"> уровне фибриногена &lt; 1,5 г/л.</w:t>
      </w:r>
    </w:p>
    <w:p w14:paraId="718805A5" w14:textId="77777777" w:rsidR="0000369C" w:rsidRPr="003B52EE" w:rsidRDefault="0000369C" w:rsidP="0000369C">
      <w:pPr>
        <w:ind w:firstLine="708"/>
        <w:rPr>
          <w:szCs w:val="24"/>
        </w:rPr>
      </w:pPr>
      <w:r w:rsidRPr="003B52EE">
        <w:rPr>
          <w:szCs w:val="24"/>
        </w:rPr>
        <w:t xml:space="preserve">Расчетная доза </w:t>
      </w:r>
      <w:r w:rsidRPr="00C019E2">
        <w:rPr>
          <w:iCs/>
          <w:szCs w:val="24"/>
        </w:rPr>
        <w:t>криопреципитата</w:t>
      </w:r>
      <w:r w:rsidRPr="003B52EE">
        <w:rPr>
          <w:szCs w:val="24"/>
        </w:rPr>
        <w:t xml:space="preserve"> составляет 1 ед на 5 кг массы тела </w:t>
      </w:r>
      <w:r>
        <w:rPr>
          <w:szCs w:val="24"/>
        </w:rPr>
        <w:t>пациента</w:t>
      </w:r>
      <w:r w:rsidRPr="003B52EE">
        <w:rPr>
          <w:szCs w:val="24"/>
        </w:rPr>
        <w:t xml:space="preserve"> или 15</w:t>
      </w:r>
      <w:r>
        <w:rPr>
          <w:szCs w:val="24"/>
        </w:rPr>
        <w:t>—20 ед при массе тела 70 кг</w:t>
      </w:r>
      <w:r w:rsidRPr="003B52EE">
        <w:rPr>
          <w:szCs w:val="24"/>
        </w:rPr>
        <w:t>. В 1 единице содержится: фибриногена не менее 140 мг, FVIII — не менее 70 МЕ.</w:t>
      </w:r>
    </w:p>
    <w:p w14:paraId="0A4D6D2D" w14:textId="77777777" w:rsidR="0000369C" w:rsidRDefault="0000369C" w:rsidP="0000369C">
      <w:pPr>
        <w:ind w:firstLine="708"/>
        <w:rPr>
          <w:u w:val="single"/>
        </w:rPr>
      </w:pPr>
    </w:p>
    <w:p w14:paraId="57620FEB" w14:textId="77777777" w:rsidR="0000369C" w:rsidRPr="00287E25" w:rsidRDefault="0000369C" w:rsidP="0000369C">
      <w:pPr>
        <w:ind w:firstLine="708"/>
        <w:rPr>
          <w:b/>
          <w:u w:val="single"/>
        </w:rPr>
      </w:pPr>
      <w:r w:rsidRPr="00287E25">
        <w:rPr>
          <w:u w:val="single"/>
        </w:rPr>
        <w:t xml:space="preserve">Качество компонентов крови, применяемых при сопроводительной терапии гематологических пациентов </w:t>
      </w:r>
    </w:p>
    <w:p w14:paraId="68098987" w14:textId="77777777" w:rsidR="0000369C" w:rsidRPr="003B52EE" w:rsidRDefault="0000369C" w:rsidP="0000369C">
      <w:pPr>
        <w:ind w:firstLine="709"/>
        <w:rPr>
          <w:szCs w:val="24"/>
        </w:rPr>
      </w:pPr>
      <w:r>
        <w:rPr>
          <w:szCs w:val="24"/>
        </w:rPr>
        <w:t xml:space="preserve">При </w:t>
      </w:r>
      <w:r w:rsidRPr="003B52EE">
        <w:rPr>
          <w:szCs w:val="24"/>
        </w:rPr>
        <w:t>гематологически</w:t>
      </w:r>
      <w:r>
        <w:rPr>
          <w:szCs w:val="24"/>
        </w:rPr>
        <w:t>х заболеваниях с известными показаниями</w:t>
      </w:r>
      <w:r w:rsidRPr="003B52EE">
        <w:rPr>
          <w:szCs w:val="24"/>
        </w:rPr>
        <w:t xml:space="preserve"> </w:t>
      </w:r>
      <w:r>
        <w:rPr>
          <w:szCs w:val="24"/>
        </w:rPr>
        <w:t>к неоднократным</w:t>
      </w:r>
      <w:r w:rsidRPr="003B52EE">
        <w:rPr>
          <w:szCs w:val="24"/>
        </w:rPr>
        <w:t xml:space="preserve"> трансфузия</w:t>
      </w:r>
      <w:r>
        <w:rPr>
          <w:szCs w:val="24"/>
        </w:rPr>
        <w:t>м</w:t>
      </w:r>
      <w:r w:rsidRPr="003B52EE">
        <w:rPr>
          <w:szCs w:val="24"/>
        </w:rPr>
        <w:t xml:space="preserve"> компонентов крови</w:t>
      </w:r>
      <w:r>
        <w:rPr>
          <w:szCs w:val="24"/>
        </w:rPr>
        <w:t xml:space="preserve"> (лейкозы, лимфомы, миелодиспластические синдромы, апластическая анемия и др), </w:t>
      </w:r>
      <w:r w:rsidRPr="003B52EE">
        <w:rPr>
          <w:szCs w:val="24"/>
        </w:rPr>
        <w:t xml:space="preserve">с целью профилактики нежелательных реакций и осложнений, связанных с трансфузиями, </w:t>
      </w:r>
      <w:r>
        <w:rPr>
          <w:szCs w:val="24"/>
        </w:rPr>
        <w:t>рекомендуется</w:t>
      </w:r>
      <w:r w:rsidRPr="003B52EE">
        <w:rPr>
          <w:szCs w:val="24"/>
        </w:rPr>
        <w:t xml:space="preserve"> использование компонентов крови со следующими характеристиками:</w:t>
      </w:r>
    </w:p>
    <w:p w14:paraId="50EDF41B" w14:textId="77777777" w:rsidR="0000369C" w:rsidRPr="003B52EE" w:rsidRDefault="0000369C" w:rsidP="00C5490F">
      <w:pPr>
        <w:pStyle w:val="FitzBullet"/>
        <w:numPr>
          <w:ilvl w:val="0"/>
          <w:numId w:val="74"/>
        </w:numPr>
        <w:tabs>
          <w:tab w:val="clear" w:pos="317"/>
          <w:tab w:val="left" w:pos="144"/>
        </w:tabs>
        <w:spacing w:before="0" w:after="0" w:line="360" w:lineRule="auto"/>
        <w:ind w:left="709"/>
      </w:pPr>
      <w:r w:rsidRPr="003B52EE">
        <w:t>Лейкоредуцированные — содержание лейкоцитов в дозе переливаемой среды снижено до 1 </w:t>
      </w:r>
      <w:r>
        <w:t>х</w:t>
      </w:r>
      <w:r w:rsidRPr="003B52EE">
        <w:t xml:space="preserve"> 10</w:t>
      </w:r>
      <w:r w:rsidRPr="003B52EE">
        <w:rPr>
          <w:vertAlign w:val="superscript"/>
        </w:rPr>
        <w:t>6</w:t>
      </w:r>
      <w:r w:rsidRPr="003B52EE">
        <w:t> клеток.</w:t>
      </w:r>
    </w:p>
    <w:p w14:paraId="53BA9782" w14:textId="77777777" w:rsidR="0000369C" w:rsidRPr="003B52EE" w:rsidRDefault="0000369C" w:rsidP="00C5490F">
      <w:pPr>
        <w:pStyle w:val="FitzBullet"/>
        <w:numPr>
          <w:ilvl w:val="0"/>
          <w:numId w:val="74"/>
        </w:numPr>
        <w:tabs>
          <w:tab w:val="clear" w:pos="317"/>
          <w:tab w:val="left" w:pos="144"/>
        </w:tabs>
        <w:spacing w:before="0" w:after="0" w:line="360" w:lineRule="auto"/>
        <w:ind w:left="709"/>
      </w:pPr>
      <w:r w:rsidRPr="003B52EE">
        <w:t>Облученные эритроциты и тромбоциты (гамма-излучение или рентегновское излучение в дозе 25—50 Гр).</w:t>
      </w:r>
    </w:p>
    <w:p w14:paraId="38533F0D" w14:textId="77777777" w:rsidR="0000369C" w:rsidRPr="003B52EE" w:rsidRDefault="0000369C" w:rsidP="00C5490F">
      <w:pPr>
        <w:pStyle w:val="FitzBullet"/>
        <w:numPr>
          <w:ilvl w:val="0"/>
          <w:numId w:val="74"/>
        </w:numPr>
        <w:tabs>
          <w:tab w:val="clear" w:pos="317"/>
          <w:tab w:val="left" w:pos="144"/>
        </w:tabs>
        <w:spacing w:before="0" w:after="0" w:line="360" w:lineRule="auto"/>
        <w:ind w:left="709"/>
      </w:pPr>
      <w:r w:rsidRPr="003B52EE">
        <w:t>Ограничение использования донорской плазмы путем использования взвешивающих растворов для эритроцитов.</w:t>
      </w:r>
    </w:p>
    <w:p w14:paraId="6CA6B3FB" w14:textId="77777777" w:rsidR="0000369C" w:rsidRPr="003B52EE" w:rsidRDefault="0000369C" w:rsidP="00C5490F">
      <w:pPr>
        <w:pStyle w:val="FitzBullet"/>
        <w:numPr>
          <w:ilvl w:val="0"/>
          <w:numId w:val="74"/>
        </w:numPr>
        <w:tabs>
          <w:tab w:val="clear" w:pos="317"/>
          <w:tab w:val="left" w:pos="144"/>
        </w:tabs>
        <w:spacing w:before="0" w:after="0" w:line="360" w:lineRule="auto"/>
        <w:ind w:left="709"/>
      </w:pPr>
      <w:r w:rsidRPr="003B52EE">
        <w:t>После исследования донорской крови на маркеры вирусных инфекций посредством молекулярно-биологических методов.</w:t>
      </w:r>
    </w:p>
    <w:p w14:paraId="5253915A" w14:textId="77777777" w:rsidR="0000369C" w:rsidRPr="00360841" w:rsidRDefault="0000369C" w:rsidP="00C5490F">
      <w:pPr>
        <w:pStyle w:val="afe"/>
        <w:numPr>
          <w:ilvl w:val="0"/>
          <w:numId w:val="74"/>
        </w:numPr>
        <w:ind w:left="709"/>
        <w:rPr>
          <w:szCs w:val="24"/>
        </w:rPr>
      </w:pPr>
      <w:r w:rsidRPr="00360841">
        <w:rPr>
          <w:szCs w:val="24"/>
        </w:rPr>
        <w:t>С целью повышения безопасности трансфузий дополнительно могут применяться следующие технологии:</w:t>
      </w:r>
    </w:p>
    <w:p w14:paraId="6AFC1C8F" w14:textId="77777777" w:rsidR="0000369C" w:rsidRPr="003B52EE" w:rsidRDefault="0000369C" w:rsidP="00C5490F">
      <w:pPr>
        <w:pStyle w:val="FitzBullet"/>
        <w:numPr>
          <w:ilvl w:val="0"/>
          <w:numId w:val="74"/>
        </w:numPr>
        <w:tabs>
          <w:tab w:val="clear" w:pos="317"/>
          <w:tab w:val="left" w:pos="144"/>
        </w:tabs>
        <w:spacing w:before="0" w:after="0" w:line="360" w:lineRule="auto"/>
        <w:ind w:left="709"/>
      </w:pPr>
      <w:r w:rsidRPr="003B52EE">
        <w:lastRenderedPageBreak/>
        <w:t>Инактивация патогенов в концентрате тромбоцитов.</w:t>
      </w:r>
    </w:p>
    <w:p w14:paraId="64E0853F" w14:textId="77777777" w:rsidR="0000369C" w:rsidRPr="003B52EE" w:rsidRDefault="0000369C" w:rsidP="00C5490F">
      <w:pPr>
        <w:pStyle w:val="FitzBullet"/>
        <w:numPr>
          <w:ilvl w:val="0"/>
          <w:numId w:val="74"/>
        </w:numPr>
        <w:tabs>
          <w:tab w:val="clear" w:pos="317"/>
          <w:tab w:val="left" w:pos="144"/>
        </w:tabs>
        <w:spacing w:before="0" w:after="0" w:line="360" w:lineRule="auto"/>
        <w:ind w:left="709"/>
      </w:pPr>
      <w:r w:rsidRPr="003B52EE">
        <w:t>Применение добавочных растворов для замещения донорской плазмы в концентрате тромбоцитов.</w:t>
      </w:r>
    </w:p>
    <w:p w14:paraId="14649FED" w14:textId="77777777" w:rsidR="0000369C" w:rsidRPr="003B52EE" w:rsidRDefault="0000369C" w:rsidP="00C5490F">
      <w:pPr>
        <w:pStyle w:val="FitzBullet"/>
        <w:numPr>
          <w:ilvl w:val="0"/>
          <w:numId w:val="74"/>
        </w:numPr>
        <w:tabs>
          <w:tab w:val="clear" w:pos="317"/>
          <w:tab w:val="left" w:pos="144"/>
        </w:tabs>
        <w:spacing w:before="0" w:after="0" w:line="360" w:lineRule="auto"/>
        <w:ind w:left="709"/>
      </w:pPr>
      <w:r w:rsidRPr="003B52EE">
        <w:t>Расширение спектра тестируемых маркеров вирусных инфекций (цитомегаловирус, вирус гепатита </w:t>
      </w:r>
      <w:r w:rsidRPr="003B52EE">
        <w:rPr>
          <w:lang w:val="en-US"/>
        </w:rPr>
        <w:t>B</w:t>
      </w:r>
      <w:r w:rsidRPr="003B52EE">
        <w:t xml:space="preserve">, </w:t>
      </w:r>
      <w:r w:rsidRPr="003B52EE">
        <w:rPr>
          <w:lang w:val="en-US"/>
        </w:rPr>
        <w:t>T</w:t>
      </w:r>
      <w:r w:rsidRPr="003B52EE">
        <w:t>-лимфотропный вирус человека и другие).</w:t>
      </w:r>
    </w:p>
    <w:p w14:paraId="7357F8FF" w14:textId="77777777" w:rsidR="0000369C" w:rsidRDefault="0000369C" w:rsidP="0000369C">
      <w:pPr>
        <w:ind w:firstLine="709"/>
        <w:rPr>
          <w:szCs w:val="24"/>
        </w:rPr>
      </w:pPr>
      <w:r w:rsidRPr="003B52EE">
        <w:rPr>
          <w:szCs w:val="24"/>
        </w:rPr>
        <w:t>Основные реакции и осложнения, связанные с трансфузией приведены в табл. 3.</w:t>
      </w:r>
    </w:p>
    <w:p w14:paraId="10F84DCB" w14:textId="77777777" w:rsidR="0000369C" w:rsidRDefault="0000369C" w:rsidP="0000369C">
      <w:pPr>
        <w:rPr>
          <w:bCs/>
          <w:szCs w:val="24"/>
        </w:rPr>
      </w:pPr>
    </w:p>
    <w:p w14:paraId="20CD21AA" w14:textId="77777777" w:rsidR="0000369C" w:rsidRPr="008E43BE" w:rsidRDefault="0000369C" w:rsidP="0000369C">
      <w:pPr>
        <w:rPr>
          <w:szCs w:val="24"/>
        </w:rPr>
      </w:pPr>
      <w:r w:rsidRPr="008E43BE">
        <w:rPr>
          <w:bCs/>
          <w:szCs w:val="24"/>
        </w:rPr>
        <w:t>Таблица 3. Основные реакции и осложнения, связанные с трансфузией (переливанием) компонентов донорской крови</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0"/>
        <w:gridCol w:w="2340"/>
        <w:gridCol w:w="2520"/>
        <w:gridCol w:w="2284"/>
      </w:tblGrid>
      <w:tr w:rsidR="0000369C" w:rsidRPr="004C7AAC" w14:paraId="596175D2" w14:textId="77777777" w:rsidTr="001C46FD">
        <w:trPr>
          <w:jc w:val="center"/>
        </w:trPr>
        <w:tc>
          <w:tcPr>
            <w:tcW w:w="2110" w:type="dxa"/>
          </w:tcPr>
          <w:p w14:paraId="78914415" w14:textId="77777777" w:rsidR="0000369C" w:rsidRPr="00CA11E8" w:rsidRDefault="0000369C" w:rsidP="001C46FD">
            <w:pPr>
              <w:pStyle w:val="Table-head-italic"/>
              <w:spacing w:line="360" w:lineRule="auto"/>
              <w:jc w:val="center"/>
              <w:rPr>
                <w:i w:val="0"/>
                <w:sz w:val="22"/>
                <w:szCs w:val="22"/>
                <w:lang w:val="ru-RU"/>
              </w:rPr>
            </w:pPr>
            <w:r w:rsidRPr="00CA11E8">
              <w:rPr>
                <w:i w:val="0"/>
                <w:sz w:val="22"/>
                <w:szCs w:val="22"/>
                <w:lang w:val="ru-RU"/>
              </w:rPr>
              <w:t>Реакция (осложнение)</w:t>
            </w:r>
          </w:p>
        </w:tc>
        <w:tc>
          <w:tcPr>
            <w:tcW w:w="2340" w:type="dxa"/>
          </w:tcPr>
          <w:p w14:paraId="77EDC4D9" w14:textId="77777777" w:rsidR="0000369C" w:rsidRPr="00CA11E8" w:rsidRDefault="0000369C" w:rsidP="001C46FD">
            <w:pPr>
              <w:pStyle w:val="Table-head-italic"/>
              <w:spacing w:line="360" w:lineRule="auto"/>
              <w:jc w:val="center"/>
              <w:rPr>
                <w:i w:val="0"/>
                <w:sz w:val="22"/>
                <w:szCs w:val="22"/>
                <w:lang w:val="ru-RU"/>
              </w:rPr>
            </w:pPr>
            <w:r w:rsidRPr="00CA11E8">
              <w:rPr>
                <w:i w:val="0"/>
                <w:sz w:val="22"/>
                <w:szCs w:val="22"/>
                <w:lang w:val="ru-RU"/>
              </w:rPr>
              <w:t>Причина</w:t>
            </w:r>
          </w:p>
        </w:tc>
        <w:tc>
          <w:tcPr>
            <w:tcW w:w="2520" w:type="dxa"/>
          </w:tcPr>
          <w:p w14:paraId="77A5B655" w14:textId="77777777" w:rsidR="0000369C" w:rsidRPr="00CA11E8" w:rsidRDefault="0000369C" w:rsidP="001C46FD">
            <w:pPr>
              <w:pStyle w:val="Table-head-italic"/>
              <w:spacing w:line="360" w:lineRule="auto"/>
              <w:jc w:val="center"/>
              <w:rPr>
                <w:i w:val="0"/>
                <w:sz w:val="22"/>
                <w:szCs w:val="22"/>
                <w:lang w:val="ru-RU"/>
              </w:rPr>
            </w:pPr>
            <w:r w:rsidRPr="00CA11E8">
              <w:rPr>
                <w:i w:val="0"/>
                <w:sz w:val="22"/>
                <w:szCs w:val="22"/>
                <w:lang w:val="ru-RU"/>
              </w:rPr>
              <w:t>Лечение</w:t>
            </w:r>
          </w:p>
        </w:tc>
        <w:tc>
          <w:tcPr>
            <w:tcW w:w="2284" w:type="dxa"/>
          </w:tcPr>
          <w:p w14:paraId="2B50E4AC" w14:textId="77777777" w:rsidR="0000369C" w:rsidRPr="00CA11E8" w:rsidRDefault="0000369C" w:rsidP="001C46FD">
            <w:pPr>
              <w:pStyle w:val="Table-head-italic"/>
              <w:spacing w:line="360" w:lineRule="auto"/>
              <w:jc w:val="center"/>
              <w:rPr>
                <w:i w:val="0"/>
                <w:sz w:val="22"/>
                <w:szCs w:val="22"/>
                <w:lang w:val="ru-RU"/>
              </w:rPr>
            </w:pPr>
            <w:r w:rsidRPr="00CA11E8">
              <w:rPr>
                <w:i w:val="0"/>
                <w:sz w:val="22"/>
                <w:szCs w:val="22"/>
                <w:lang w:val="ru-RU"/>
              </w:rPr>
              <w:t>Обязательные и дополнительные лабораторные и инструментальные исследования*</w:t>
            </w:r>
          </w:p>
        </w:tc>
      </w:tr>
      <w:tr w:rsidR="0000369C" w:rsidRPr="004C7AAC" w14:paraId="7968D3F8" w14:textId="77777777" w:rsidTr="001C46FD">
        <w:trPr>
          <w:jc w:val="center"/>
        </w:trPr>
        <w:tc>
          <w:tcPr>
            <w:tcW w:w="2110" w:type="dxa"/>
            <w:vAlign w:val="center"/>
          </w:tcPr>
          <w:p w14:paraId="0AF1E33E"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 xml:space="preserve">Острая сердечно-сосудистая недостаточность, отек легких (синдром </w:t>
            </w:r>
            <w:r w:rsidRPr="00CA11E8">
              <w:rPr>
                <w:sz w:val="22"/>
                <w:szCs w:val="22"/>
              </w:rPr>
              <w:t>TACO</w:t>
            </w:r>
            <w:r w:rsidRPr="00CA11E8">
              <w:rPr>
                <w:sz w:val="22"/>
                <w:szCs w:val="22"/>
                <w:lang w:val="ru-RU"/>
              </w:rPr>
              <w:t xml:space="preserve">, от </w:t>
            </w:r>
            <w:r w:rsidRPr="00CA11E8">
              <w:rPr>
                <w:sz w:val="22"/>
                <w:szCs w:val="22"/>
              </w:rPr>
              <w:t>t</w:t>
            </w:r>
            <w:r w:rsidRPr="00CA11E8">
              <w:rPr>
                <w:sz w:val="22"/>
                <w:szCs w:val="22"/>
                <w:lang w:val="ru-RU"/>
              </w:rPr>
              <w:t>ransfusion associated circulatory overload)</w:t>
            </w:r>
          </w:p>
        </w:tc>
        <w:tc>
          <w:tcPr>
            <w:tcW w:w="2340" w:type="dxa"/>
          </w:tcPr>
          <w:p w14:paraId="7CA76EDA"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Перегрузка объемом</w:t>
            </w:r>
          </w:p>
        </w:tc>
        <w:tc>
          <w:tcPr>
            <w:tcW w:w="2520" w:type="dxa"/>
          </w:tcPr>
          <w:p w14:paraId="3E549D47"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 xml:space="preserve">Симптоматическая терапия отека легких </w:t>
            </w:r>
          </w:p>
        </w:tc>
        <w:tc>
          <w:tcPr>
            <w:tcW w:w="2284" w:type="dxa"/>
          </w:tcPr>
          <w:p w14:paraId="4F227ED7" w14:textId="77777777" w:rsidR="0000369C" w:rsidRPr="00CA11E8" w:rsidRDefault="0000369C" w:rsidP="001C46FD">
            <w:pPr>
              <w:pStyle w:val="table-text-0"/>
              <w:spacing w:before="0" w:line="360" w:lineRule="auto"/>
              <w:ind w:firstLine="0"/>
              <w:rPr>
                <w:sz w:val="22"/>
                <w:szCs w:val="22"/>
                <w:lang w:val="ru-RU"/>
              </w:rPr>
            </w:pPr>
          </w:p>
        </w:tc>
      </w:tr>
      <w:tr w:rsidR="0000369C" w:rsidRPr="004C7AAC" w14:paraId="2355083E" w14:textId="77777777" w:rsidTr="001C46FD">
        <w:trPr>
          <w:jc w:val="center"/>
        </w:trPr>
        <w:tc>
          <w:tcPr>
            <w:tcW w:w="2110" w:type="dxa"/>
          </w:tcPr>
          <w:p w14:paraId="4598D771"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 xml:space="preserve">Острое обусловленное трансфузией повреждение легких (синдром TRALI, от </w:t>
            </w:r>
            <w:r w:rsidRPr="00CA11E8">
              <w:rPr>
                <w:sz w:val="22"/>
                <w:szCs w:val="22"/>
              </w:rPr>
              <w:t>t</w:t>
            </w:r>
            <w:r w:rsidRPr="00CA11E8">
              <w:rPr>
                <w:sz w:val="22"/>
                <w:szCs w:val="22"/>
                <w:lang w:val="ru-RU"/>
              </w:rPr>
              <w:t>ransfusion-related acute lung injury)</w:t>
            </w:r>
          </w:p>
        </w:tc>
        <w:tc>
          <w:tcPr>
            <w:tcW w:w="2340" w:type="dxa"/>
          </w:tcPr>
          <w:p w14:paraId="138DD7C1"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Наличие донорских антилейкоцитарных антител в крови реципиента</w:t>
            </w:r>
          </w:p>
        </w:tc>
        <w:tc>
          <w:tcPr>
            <w:tcW w:w="2520" w:type="dxa"/>
          </w:tcPr>
          <w:p w14:paraId="439AC873"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Глюкокортикоиды (преднизолон, 30—60 мг, или дексаметазон, по 4—8 мг)</w:t>
            </w:r>
          </w:p>
          <w:p w14:paraId="2408CC9B"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Симптоматическая терапия отека легких</w:t>
            </w:r>
          </w:p>
        </w:tc>
        <w:tc>
          <w:tcPr>
            <w:tcW w:w="2284" w:type="dxa"/>
          </w:tcPr>
          <w:p w14:paraId="009E0E36"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Обязательные: рентгенография органов грудной клетки</w:t>
            </w:r>
          </w:p>
          <w:p w14:paraId="4A93CE10"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Дополнительные: тесты на антилейкоцитарные антитела и антитела к нейтрофилам в сыворотке</w:t>
            </w:r>
          </w:p>
        </w:tc>
      </w:tr>
      <w:tr w:rsidR="0000369C" w:rsidRPr="004C7AAC" w14:paraId="042993D1" w14:textId="77777777" w:rsidTr="001C46FD">
        <w:trPr>
          <w:jc w:val="center"/>
        </w:trPr>
        <w:tc>
          <w:tcPr>
            <w:tcW w:w="2110" w:type="dxa"/>
          </w:tcPr>
          <w:p w14:paraId="1029FBF5"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 xml:space="preserve">Одышка, связанная с трансфузией </w:t>
            </w:r>
            <w:r w:rsidRPr="00CA11E8">
              <w:rPr>
                <w:sz w:val="22"/>
                <w:szCs w:val="22"/>
                <w:lang w:val="ru-RU"/>
              </w:rPr>
              <w:lastRenderedPageBreak/>
              <w:t>(синдром TAD, от transfusion-associated dyspnea)</w:t>
            </w:r>
          </w:p>
        </w:tc>
        <w:tc>
          <w:tcPr>
            <w:tcW w:w="2340" w:type="dxa"/>
          </w:tcPr>
          <w:p w14:paraId="35B399C8"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lastRenderedPageBreak/>
              <w:t xml:space="preserve">Острый респираторный </w:t>
            </w:r>
            <w:r w:rsidRPr="00CA11E8">
              <w:rPr>
                <w:sz w:val="22"/>
                <w:szCs w:val="22"/>
                <w:lang w:val="ru-RU"/>
              </w:rPr>
              <w:lastRenderedPageBreak/>
              <w:t>дистресс-синдром, развивающийся в течение 24 часов после трансфузии</w:t>
            </w:r>
          </w:p>
        </w:tc>
        <w:tc>
          <w:tcPr>
            <w:tcW w:w="2520" w:type="dxa"/>
          </w:tcPr>
          <w:p w14:paraId="461F54D7"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lastRenderedPageBreak/>
              <w:t>Симптоматическая терапия</w:t>
            </w:r>
          </w:p>
        </w:tc>
        <w:tc>
          <w:tcPr>
            <w:tcW w:w="2284" w:type="dxa"/>
          </w:tcPr>
          <w:p w14:paraId="3B068503" w14:textId="77777777" w:rsidR="0000369C" w:rsidRPr="00CA11E8" w:rsidRDefault="0000369C" w:rsidP="001C46FD">
            <w:pPr>
              <w:pStyle w:val="table-text-0"/>
              <w:spacing w:before="0" w:line="360" w:lineRule="auto"/>
              <w:ind w:firstLine="0"/>
              <w:rPr>
                <w:sz w:val="22"/>
                <w:szCs w:val="22"/>
                <w:lang w:val="ru-RU"/>
              </w:rPr>
            </w:pPr>
          </w:p>
        </w:tc>
      </w:tr>
      <w:tr w:rsidR="0000369C" w:rsidRPr="004C7AAC" w14:paraId="5FB4A9F8" w14:textId="77777777" w:rsidTr="001C46FD">
        <w:trPr>
          <w:jc w:val="center"/>
        </w:trPr>
        <w:tc>
          <w:tcPr>
            <w:tcW w:w="2110" w:type="dxa"/>
            <w:vMerge w:val="restart"/>
          </w:tcPr>
          <w:p w14:paraId="4A187697"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Аллергические реакции (крапивница, анафилактический шок и др.)</w:t>
            </w:r>
          </w:p>
        </w:tc>
        <w:tc>
          <w:tcPr>
            <w:tcW w:w="2340" w:type="dxa"/>
          </w:tcPr>
          <w:p w14:paraId="278A6B81"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Крапивница: наличие антител к белкам плазмы</w:t>
            </w:r>
          </w:p>
        </w:tc>
        <w:tc>
          <w:tcPr>
            <w:tcW w:w="2520" w:type="dxa"/>
          </w:tcPr>
          <w:p w14:paraId="044AF5E1"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Антигистаминные препараты (клемастин, 2%, 2 мг, или другой препарат с аналогичным действием)</w:t>
            </w:r>
          </w:p>
        </w:tc>
        <w:tc>
          <w:tcPr>
            <w:tcW w:w="2284" w:type="dxa"/>
          </w:tcPr>
          <w:p w14:paraId="4AC76D30" w14:textId="77777777" w:rsidR="0000369C" w:rsidRPr="00CA11E8" w:rsidRDefault="0000369C" w:rsidP="001C46FD">
            <w:pPr>
              <w:pStyle w:val="table-text-0"/>
              <w:spacing w:before="0" w:line="360" w:lineRule="auto"/>
              <w:ind w:firstLine="0"/>
              <w:rPr>
                <w:sz w:val="22"/>
                <w:szCs w:val="22"/>
                <w:lang w:val="ru-RU"/>
              </w:rPr>
            </w:pPr>
          </w:p>
        </w:tc>
      </w:tr>
      <w:tr w:rsidR="0000369C" w:rsidRPr="004C7AAC" w14:paraId="4DDA0BA0" w14:textId="77777777" w:rsidTr="001C46FD">
        <w:trPr>
          <w:jc w:val="center"/>
        </w:trPr>
        <w:tc>
          <w:tcPr>
            <w:tcW w:w="2110" w:type="dxa"/>
            <w:vMerge/>
            <w:vAlign w:val="center"/>
          </w:tcPr>
          <w:p w14:paraId="30E97FA3" w14:textId="77777777" w:rsidR="0000369C" w:rsidRPr="00CA11E8" w:rsidRDefault="0000369C" w:rsidP="001C46FD">
            <w:pPr>
              <w:pStyle w:val="table-text-0"/>
              <w:spacing w:before="0" w:line="360" w:lineRule="auto"/>
              <w:ind w:firstLine="0"/>
              <w:rPr>
                <w:sz w:val="22"/>
                <w:szCs w:val="22"/>
                <w:lang w:val="ru-RU"/>
              </w:rPr>
            </w:pPr>
          </w:p>
        </w:tc>
        <w:tc>
          <w:tcPr>
            <w:tcW w:w="2340" w:type="dxa"/>
          </w:tcPr>
          <w:p w14:paraId="08D26350"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Анафилактический шок: первичный иммунодефицит IgA у реципиента</w:t>
            </w:r>
          </w:p>
        </w:tc>
        <w:tc>
          <w:tcPr>
            <w:tcW w:w="2520" w:type="dxa"/>
          </w:tcPr>
          <w:p w14:paraId="0A38B867"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Противошоковая терапия</w:t>
            </w:r>
          </w:p>
        </w:tc>
        <w:tc>
          <w:tcPr>
            <w:tcW w:w="2284" w:type="dxa"/>
          </w:tcPr>
          <w:p w14:paraId="3D06EDB5"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Дополнительные: оценка уровня сывороточного IgA у реципиента</w:t>
            </w:r>
          </w:p>
        </w:tc>
      </w:tr>
      <w:tr w:rsidR="0000369C" w:rsidRPr="004C7AAC" w14:paraId="04107D94" w14:textId="77777777" w:rsidTr="001C46FD">
        <w:trPr>
          <w:jc w:val="center"/>
        </w:trPr>
        <w:tc>
          <w:tcPr>
            <w:tcW w:w="2110" w:type="dxa"/>
          </w:tcPr>
          <w:p w14:paraId="40FCCEEB"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 xml:space="preserve">Пострансфузионная артериальная гипотония (HTR, от </w:t>
            </w:r>
            <w:r w:rsidRPr="00CA11E8">
              <w:rPr>
                <w:sz w:val="22"/>
                <w:szCs w:val="22"/>
              </w:rPr>
              <w:t>post</w:t>
            </w:r>
            <w:r w:rsidRPr="00CA11E8">
              <w:rPr>
                <w:sz w:val="22"/>
                <w:szCs w:val="22"/>
                <w:lang w:val="ru-RU"/>
              </w:rPr>
              <w:t>-</w:t>
            </w:r>
            <w:r w:rsidRPr="00CA11E8">
              <w:rPr>
                <w:sz w:val="22"/>
                <w:szCs w:val="22"/>
              </w:rPr>
              <w:t>transfusion</w:t>
            </w:r>
            <w:r w:rsidRPr="00CA11E8">
              <w:rPr>
                <w:sz w:val="22"/>
                <w:szCs w:val="22"/>
                <w:lang w:val="ru-RU"/>
              </w:rPr>
              <w:t xml:space="preserve"> </w:t>
            </w:r>
            <w:r w:rsidRPr="00CA11E8">
              <w:rPr>
                <w:sz w:val="22"/>
                <w:szCs w:val="22"/>
              </w:rPr>
              <w:t>hypotension</w:t>
            </w:r>
            <w:r w:rsidRPr="00CA11E8">
              <w:rPr>
                <w:sz w:val="22"/>
                <w:szCs w:val="22"/>
                <w:lang w:val="ru-RU"/>
              </w:rPr>
              <w:t>)</w:t>
            </w:r>
          </w:p>
        </w:tc>
        <w:tc>
          <w:tcPr>
            <w:tcW w:w="2340" w:type="dxa"/>
          </w:tcPr>
          <w:p w14:paraId="3D9AE663"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Сосудистая реакция, обусловленная выбросом брадикинина</w:t>
            </w:r>
          </w:p>
        </w:tc>
        <w:tc>
          <w:tcPr>
            <w:tcW w:w="2520" w:type="dxa"/>
          </w:tcPr>
          <w:p w14:paraId="7A8535B5"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 xml:space="preserve">Симптоматическая терапия, в тяжелых случаях — применение вазопрессоров </w:t>
            </w:r>
          </w:p>
        </w:tc>
        <w:tc>
          <w:tcPr>
            <w:tcW w:w="2284" w:type="dxa"/>
          </w:tcPr>
          <w:p w14:paraId="636A6779" w14:textId="77777777" w:rsidR="0000369C" w:rsidRPr="00CA11E8" w:rsidRDefault="0000369C" w:rsidP="001C46FD">
            <w:pPr>
              <w:pStyle w:val="table-text-0"/>
              <w:spacing w:before="0" w:line="360" w:lineRule="auto"/>
              <w:ind w:firstLine="0"/>
              <w:rPr>
                <w:sz w:val="22"/>
                <w:szCs w:val="22"/>
                <w:lang w:val="ru-RU"/>
              </w:rPr>
            </w:pPr>
          </w:p>
        </w:tc>
      </w:tr>
      <w:tr w:rsidR="0000369C" w:rsidRPr="004C7AAC" w14:paraId="35A0BD77" w14:textId="77777777" w:rsidTr="001C46FD">
        <w:trPr>
          <w:jc w:val="center"/>
        </w:trPr>
        <w:tc>
          <w:tcPr>
            <w:tcW w:w="2110" w:type="dxa"/>
          </w:tcPr>
          <w:p w14:paraId="07AE4A78"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Гипертермическая (фебрильная) негемолитическая реакция (FNHTR, от febrile non-hemolytic transfusion reaction)</w:t>
            </w:r>
          </w:p>
        </w:tc>
        <w:tc>
          <w:tcPr>
            <w:tcW w:w="2340" w:type="dxa"/>
          </w:tcPr>
          <w:p w14:paraId="446B9DCF"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Секреция цитокинов иммунокомпетентными клетками, сопровождающаяся повышением температуры тела реципиента выше 38</w:t>
            </w:r>
            <w:r w:rsidRPr="00CA11E8">
              <w:rPr>
                <w:rFonts w:ascii="Symbol" w:hAnsi="Symbol" w:cs="Symbol"/>
              </w:rPr>
              <w:t></w:t>
            </w:r>
            <w:r w:rsidRPr="00CA11E8">
              <w:rPr>
                <w:sz w:val="22"/>
                <w:szCs w:val="22"/>
                <w:lang w:val="ru-RU"/>
              </w:rPr>
              <w:t>С</w:t>
            </w:r>
          </w:p>
        </w:tc>
        <w:tc>
          <w:tcPr>
            <w:tcW w:w="2520" w:type="dxa"/>
          </w:tcPr>
          <w:p w14:paraId="6F91DB39"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Антигистаминные препараты (клемастин 2%, 2 мг, или другой препарат с аналогичным действием)</w:t>
            </w:r>
          </w:p>
          <w:p w14:paraId="49940F6B"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Наркотические анальгетики (промедол 2%, 2 мл)</w:t>
            </w:r>
          </w:p>
          <w:p w14:paraId="5020637F"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Глюкокортикоиды (преднизолон, 30—60 мг, или дексаметазон, 4—8 мг)</w:t>
            </w:r>
          </w:p>
        </w:tc>
        <w:tc>
          <w:tcPr>
            <w:tcW w:w="2284" w:type="dxa"/>
          </w:tcPr>
          <w:p w14:paraId="0595E0FF"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Обязательные: бактериологическое исследование крови</w:t>
            </w:r>
          </w:p>
          <w:p w14:paraId="61E552A7"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Дополнительные: определение антилейкоцитарных антител, антитромбоцитарных антител, антител к нейтрофилам в сыворотке</w:t>
            </w:r>
          </w:p>
        </w:tc>
      </w:tr>
      <w:tr w:rsidR="0000369C" w:rsidRPr="004C7AAC" w14:paraId="50475ABD" w14:textId="77777777" w:rsidTr="001C46FD">
        <w:trPr>
          <w:jc w:val="center"/>
        </w:trPr>
        <w:tc>
          <w:tcPr>
            <w:tcW w:w="2110" w:type="dxa"/>
            <w:vMerge w:val="restart"/>
          </w:tcPr>
          <w:p w14:paraId="72914E2D" w14:textId="77777777" w:rsidR="0000369C" w:rsidRPr="00360841" w:rsidRDefault="0000369C" w:rsidP="001C46FD">
            <w:pPr>
              <w:pStyle w:val="table-text-0"/>
              <w:spacing w:before="0" w:line="360" w:lineRule="auto"/>
              <w:ind w:firstLine="0"/>
              <w:rPr>
                <w:sz w:val="22"/>
                <w:szCs w:val="22"/>
              </w:rPr>
            </w:pPr>
            <w:r w:rsidRPr="00CA11E8">
              <w:rPr>
                <w:sz w:val="22"/>
                <w:szCs w:val="22"/>
                <w:lang w:val="ru-RU"/>
              </w:rPr>
              <w:t>Острый</w:t>
            </w:r>
            <w:r w:rsidRPr="00360841">
              <w:rPr>
                <w:sz w:val="22"/>
                <w:szCs w:val="22"/>
              </w:rPr>
              <w:t xml:space="preserve"> </w:t>
            </w:r>
            <w:r w:rsidRPr="00CA11E8">
              <w:rPr>
                <w:sz w:val="22"/>
                <w:szCs w:val="22"/>
                <w:lang w:val="ru-RU"/>
              </w:rPr>
              <w:t>гемолиз</w:t>
            </w:r>
            <w:r w:rsidRPr="00360841">
              <w:rPr>
                <w:sz w:val="22"/>
                <w:szCs w:val="22"/>
              </w:rPr>
              <w:t xml:space="preserve"> (AHTR, </w:t>
            </w:r>
            <w:r w:rsidRPr="00CA11E8">
              <w:rPr>
                <w:sz w:val="22"/>
                <w:szCs w:val="22"/>
                <w:lang w:val="ru-RU"/>
              </w:rPr>
              <w:t>от</w:t>
            </w:r>
            <w:r w:rsidRPr="00360841">
              <w:rPr>
                <w:sz w:val="22"/>
                <w:szCs w:val="22"/>
              </w:rPr>
              <w:t xml:space="preserve"> acute hemolytic transfusion reaction)</w:t>
            </w:r>
          </w:p>
        </w:tc>
        <w:tc>
          <w:tcPr>
            <w:tcW w:w="2340" w:type="dxa"/>
          </w:tcPr>
          <w:p w14:paraId="4B710D48"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 xml:space="preserve">Иммунная реакция: наличие у реципиента антител к аллоантигенам </w:t>
            </w:r>
            <w:r w:rsidRPr="00CA11E8">
              <w:rPr>
                <w:sz w:val="22"/>
                <w:szCs w:val="22"/>
                <w:lang w:val="ru-RU"/>
              </w:rPr>
              <w:lastRenderedPageBreak/>
              <w:t xml:space="preserve">эритроцитов донора (ABO, резус-фактор и другая несовместимость) </w:t>
            </w:r>
          </w:p>
        </w:tc>
        <w:tc>
          <w:tcPr>
            <w:tcW w:w="2520" w:type="dxa"/>
            <w:vMerge w:val="restart"/>
          </w:tcPr>
          <w:p w14:paraId="4B176397"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lastRenderedPageBreak/>
              <w:t>Глюкокортикоиды (преднизолон, 30—60 мг, или дексаметазон, 4—8 мг)</w:t>
            </w:r>
          </w:p>
          <w:p w14:paraId="5B5468ED"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lastRenderedPageBreak/>
              <w:t>Форсированный диурез (NaCl 0,9%, 2000—3000 мл; фуросемид, 20—40 мг); проводится до купирования клинических проявлений гемолиза</w:t>
            </w:r>
          </w:p>
          <w:p w14:paraId="504A3A77"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Контроль АД, ЦВД, объема и цвет мочи</w:t>
            </w:r>
          </w:p>
          <w:p w14:paraId="4AB1D66C"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При неэффективности консервативной терапии или анурии —плазмаферез и гемодиализ</w:t>
            </w:r>
          </w:p>
        </w:tc>
        <w:tc>
          <w:tcPr>
            <w:tcW w:w="2284" w:type="dxa"/>
          </w:tcPr>
          <w:p w14:paraId="237BDC5B"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lastRenderedPageBreak/>
              <w:t xml:space="preserve">Обязательные: определение в сыворотке свободного </w:t>
            </w:r>
            <w:r w:rsidRPr="00CA11E8">
              <w:rPr>
                <w:sz w:val="22"/>
                <w:szCs w:val="22"/>
                <w:lang w:val="ru-RU"/>
              </w:rPr>
              <w:lastRenderedPageBreak/>
              <w:t>гемоглобина, билирубина; анализ мочи на гемоглобинурию, гемосидеринурию</w:t>
            </w:r>
          </w:p>
          <w:p w14:paraId="61C150D8"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Дополнительные: прямая проба Кумбса, оценка химеризма эритроцитов в периферической крови реципиента</w:t>
            </w:r>
          </w:p>
        </w:tc>
      </w:tr>
      <w:tr w:rsidR="0000369C" w:rsidRPr="004C7AAC" w14:paraId="1511C1BE" w14:textId="77777777" w:rsidTr="001C46FD">
        <w:trPr>
          <w:jc w:val="center"/>
        </w:trPr>
        <w:tc>
          <w:tcPr>
            <w:tcW w:w="2110" w:type="dxa"/>
            <w:vMerge/>
          </w:tcPr>
          <w:p w14:paraId="5C70F08E" w14:textId="77777777" w:rsidR="0000369C" w:rsidRPr="00CA11E8" w:rsidRDefault="0000369C" w:rsidP="001C46FD">
            <w:pPr>
              <w:pStyle w:val="table-text-0"/>
              <w:spacing w:before="0" w:line="360" w:lineRule="auto"/>
              <w:ind w:firstLine="0"/>
              <w:rPr>
                <w:sz w:val="22"/>
                <w:szCs w:val="22"/>
                <w:lang w:val="ru-RU"/>
              </w:rPr>
            </w:pPr>
          </w:p>
        </w:tc>
        <w:tc>
          <w:tcPr>
            <w:tcW w:w="2340" w:type="dxa"/>
          </w:tcPr>
          <w:p w14:paraId="73C96700"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Неиммунная реакция: разрушение эритроцитов донора вследствие нарушения температурного режима или сроков хранения, несоблюдения правил подготовки к переливанию, смешивания с гипотоническим или гипертоническим растворами</w:t>
            </w:r>
          </w:p>
        </w:tc>
        <w:tc>
          <w:tcPr>
            <w:tcW w:w="2520" w:type="dxa"/>
            <w:vMerge/>
          </w:tcPr>
          <w:p w14:paraId="10816F07" w14:textId="77777777" w:rsidR="0000369C" w:rsidRPr="00CA11E8" w:rsidRDefault="0000369C" w:rsidP="001C46FD">
            <w:pPr>
              <w:pStyle w:val="table-text-0"/>
              <w:spacing w:before="0" w:line="360" w:lineRule="auto"/>
              <w:ind w:firstLine="0"/>
              <w:rPr>
                <w:sz w:val="22"/>
                <w:szCs w:val="22"/>
                <w:lang w:val="ru-RU"/>
              </w:rPr>
            </w:pPr>
          </w:p>
        </w:tc>
        <w:tc>
          <w:tcPr>
            <w:tcW w:w="2284" w:type="dxa"/>
          </w:tcPr>
          <w:p w14:paraId="508D151E"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Обязательные: определение в сыворотке свободного гемоглобина, билирубина; анализ мочи на гемоглобинурию, гемосидеринурию</w:t>
            </w:r>
          </w:p>
          <w:p w14:paraId="4F6FF4DE" w14:textId="77777777" w:rsidR="0000369C" w:rsidRPr="00CA11E8" w:rsidRDefault="0000369C" w:rsidP="001C46FD">
            <w:pPr>
              <w:pStyle w:val="table-text-0"/>
              <w:spacing w:before="0" w:line="360" w:lineRule="auto"/>
              <w:ind w:firstLine="0"/>
              <w:rPr>
                <w:sz w:val="22"/>
                <w:szCs w:val="22"/>
                <w:lang w:val="ru-RU"/>
              </w:rPr>
            </w:pPr>
          </w:p>
        </w:tc>
      </w:tr>
      <w:tr w:rsidR="0000369C" w:rsidRPr="004C7AAC" w14:paraId="2B770956" w14:textId="77777777" w:rsidTr="001C46FD">
        <w:trPr>
          <w:jc w:val="center"/>
        </w:trPr>
        <w:tc>
          <w:tcPr>
            <w:tcW w:w="2110" w:type="dxa"/>
          </w:tcPr>
          <w:p w14:paraId="65424860" w14:textId="77777777" w:rsidR="0000369C" w:rsidRPr="00360841" w:rsidRDefault="0000369C" w:rsidP="001C46FD">
            <w:pPr>
              <w:pStyle w:val="table-text-0"/>
              <w:spacing w:before="0" w:line="360" w:lineRule="auto"/>
              <w:ind w:firstLine="0"/>
              <w:rPr>
                <w:sz w:val="22"/>
                <w:szCs w:val="22"/>
              </w:rPr>
            </w:pPr>
            <w:r w:rsidRPr="00CA11E8">
              <w:rPr>
                <w:sz w:val="22"/>
                <w:szCs w:val="22"/>
                <w:lang w:val="ru-RU"/>
              </w:rPr>
              <w:t>Отсроченный</w:t>
            </w:r>
            <w:r w:rsidRPr="00360841">
              <w:rPr>
                <w:sz w:val="22"/>
                <w:szCs w:val="22"/>
              </w:rPr>
              <w:t xml:space="preserve"> </w:t>
            </w:r>
            <w:r w:rsidRPr="00CA11E8">
              <w:rPr>
                <w:sz w:val="22"/>
                <w:szCs w:val="22"/>
                <w:lang w:val="ru-RU"/>
              </w:rPr>
              <w:t>гемолиз</w:t>
            </w:r>
            <w:r w:rsidRPr="00360841">
              <w:rPr>
                <w:sz w:val="22"/>
                <w:szCs w:val="22"/>
              </w:rPr>
              <w:t xml:space="preserve"> (DHTR, </w:t>
            </w:r>
            <w:r w:rsidRPr="00CA11E8">
              <w:rPr>
                <w:sz w:val="22"/>
                <w:szCs w:val="22"/>
                <w:lang w:val="ru-RU"/>
              </w:rPr>
              <w:t>от</w:t>
            </w:r>
            <w:r w:rsidRPr="00360841">
              <w:rPr>
                <w:sz w:val="22"/>
                <w:szCs w:val="22"/>
              </w:rPr>
              <w:t xml:space="preserve"> delayed hemolytic transfusion reaction)</w:t>
            </w:r>
          </w:p>
        </w:tc>
        <w:tc>
          <w:tcPr>
            <w:tcW w:w="2340" w:type="dxa"/>
          </w:tcPr>
          <w:p w14:paraId="3ADF671D"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Внутриклеточный (тканевый) гемолиз в результате трансфузии несовместимых по аллоантигенам эритроцитов донора</w:t>
            </w:r>
          </w:p>
          <w:p w14:paraId="27838E04"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 xml:space="preserve">Аллоиммунизация отмечается в период </w:t>
            </w:r>
            <w:r w:rsidRPr="00CA11E8">
              <w:rPr>
                <w:sz w:val="22"/>
                <w:szCs w:val="22"/>
                <w:lang w:val="ru-RU"/>
              </w:rPr>
              <w:lastRenderedPageBreak/>
              <w:t>от 24 часов до 28 дней после трансфузии</w:t>
            </w:r>
          </w:p>
        </w:tc>
        <w:tc>
          <w:tcPr>
            <w:tcW w:w="2520" w:type="dxa"/>
          </w:tcPr>
          <w:p w14:paraId="7CEBF80E"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lastRenderedPageBreak/>
              <w:t xml:space="preserve"> Глюкокортикоиды (преднизолон, 30—60 мг, или дексаметазон, 4—8 мг)</w:t>
            </w:r>
          </w:p>
          <w:p w14:paraId="039831AB"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 xml:space="preserve">Форсированный диурез (NaCl 0,9%, 2000—3000 мл; фуросемид, 20—40 мг); проводится до купирования </w:t>
            </w:r>
            <w:r w:rsidRPr="00CA11E8">
              <w:rPr>
                <w:sz w:val="22"/>
                <w:szCs w:val="22"/>
                <w:lang w:val="ru-RU"/>
              </w:rPr>
              <w:lastRenderedPageBreak/>
              <w:t>клинических проявлений гемолиза</w:t>
            </w:r>
          </w:p>
          <w:p w14:paraId="00B614EA"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Контроль АД, ЦВД, объема и цвет мочи</w:t>
            </w:r>
          </w:p>
          <w:p w14:paraId="644CF36D"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При неэффективности консервативной терапии или анурии —плазмаферез и гемодиализ</w:t>
            </w:r>
          </w:p>
        </w:tc>
        <w:tc>
          <w:tcPr>
            <w:tcW w:w="2284" w:type="dxa"/>
          </w:tcPr>
          <w:p w14:paraId="7723930F"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lastRenderedPageBreak/>
              <w:t xml:space="preserve">Обязательные: определение в сыворотке свободного гемоглобина, билирубина; анализ мочи на гемоглобинурию, </w:t>
            </w:r>
            <w:r w:rsidRPr="00CA11E8">
              <w:rPr>
                <w:sz w:val="22"/>
                <w:szCs w:val="22"/>
                <w:lang w:val="ru-RU"/>
              </w:rPr>
              <w:lastRenderedPageBreak/>
              <w:t>гемосидеринурию; прямая проба Кумбса</w:t>
            </w:r>
          </w:p>
          <w:p w14:paraId="2ACD926C"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Дополнительные: выявление антиэритроцитарных аллоантител с новой специфичностью</w:t>
            </w:r>
          </w:p>
        </w:tc>
      </w:tr>
      <w:tr w:rsidR="0000369C" w:rsidRPr="004C7AAC" w14:paraId="129C5780" w14:textId="77777777" w:rsidTr="001C46FD">
        <w:trPr>
          <w:jc w:val="center"/>
        </w:trPr>
        <w:tc>
          <w:tcPr>
            <w:tcW w:w="2110" w:type="dxa"/>
          </w:tcPr>
          <w:p w14:paraId="10ADE264"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lastRenderedPageBreak/>
              <w:t>Отсроченная серологическая трансфузионная реакция (DSTR, от delayed serologic transfusion reaction)</w:t>
            </w:r>
          </w:p>
        </w:tc>
        <w:tc>
          <w:tcPr>
            <w:tcW w:w="2340" w:type="dxa"/>
          </w:tcPr>
          <w:p w14:paraId="79D2C801"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Непосредственно после трансфузии признаки гемолиза отсутствуют; в срок от 24 ч до 28 дней после трансфузии у реципиента выявляются новые антиэритроцитарные аллоантитела</w:t>
            </w:r>
          </w:p>
        </w:tc>
        <w:tc>
          <w:tcPr>
            <w:tcW w:w="2520" w:type="dxa"/>
          </w:tcPr>
          <w:p w14:paraId="264FB89D" w14:textId="77777777" w:rsidR="0000369C" w:rsidRPr="00CA11E8" w:rsidRDefault="0000369C" w:rsidP="001C46FD">
            <w:pPr>
              <w:pStyle w:val="table-text-0"/>
              <w:spacing w:before="0" w:line="360" w:lineRule="auto"/>
              <w:ind w:firstLine="0"/>
              <w:rPr>
                <w:sz w:val="22"/>
                <w:szCs w:val="22"/>
                <w:lang w:val="ru-RU"/>
              </w:rPr>
            </w:pPr>
          </w:p>
        </w:tc>
        <w:tc>
          <w:tcPr>
            <w:tcW w:w="2284" w:type="dxa"/>
          </w:tcPr>
          <w:p w14:paraId="5B6A2863"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Обязательные: прямая проба Кумбса</w:t>
            </w:r>
          </w:p>
        </w:tc>
      </w:tr>
      <w:tr w:rsidR="0000369C" w:rsidRPr="004C7AAC" w14:paraId="0B7D618A" w14:textId="77777777" w:rsidTr="001C46FD">
        <w:trPr>
          <w:jc w:val="center"/>
        </w:trPr>
        <w:tc>
          <w:tcPr>
            <w:tcW w:w="2110" w:type="dxa"/>
          </w:tcPr>
          <w:p w14:paraId="12D594CE"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Посттрансфузионная реакция «трансплантат против хозяина» (TA-GVHD, от transfusion-associated graft-versus-host-disease)</w:t>
            </w:r>
          </w:p>
        </w:tc>
        <w:tc>
          <w:tcPr>
            <w:tcW w:w="2340" w:type="dxa"/>
          </w:tcPr>
          <w:p w14:paraId="26BA6B5E"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Введение иммунокомпетентных клеток донора (</w:t>
            </w:r>
            <w:r w:rsidRPr="00CA11E8">
              <w:rPr>
                <w:sz w:val="22"/>
                <w:szCs w:val="22"/>
              </w:rPr>
              <w:t>T</w:t>
            </w:r>
            <w:r w:rsidRPr="00CA11E8">
              <w:rPr>
                <w:sz w:val="22"/>
                <w:szCs w:val="22"/>
                <w:lang w:val="ru-RU"/>
              </w:rPr>
              <w:t xml:space="preserve">-лимфоцитов) иммунокомпрометированному реципиенту приводит к их пролиферации и дифференцировке в организме реципиента, что вызывает повреждение клеток реципиента, экспрессирующих HLA-антигены </w:t>
            </w:r>
            <w:r w:rsidRPr="00CA11E8">
              <w:rPr>
                <w:sz w:val="22"/>
                <w:szCs w:val="22"/>
              </w:rPr>
              <w:t>I</w:t>
            </w:r>
            <w:r w:rsidRPr="00CA11E8">
              <w:rPr>
                <w:sz w:val="22"/>
                <w:szCs w:val="22"/>
                <w:lang w:val="ru-RU"/>
              </w:rPr>
              <w:t xml:space="preserve"> и </w:t>
            </w:r>
            <w:r w:rsidRPr="00CA11E8">
              <w:rPr>
                <w:sz w:val="22"/>
                <w:szCs w:val="22"/>
              </w:rPr>
              <w:t>II</w:t>
            </w:r>
            <w:r w:rsidRPr="00CA11E8">
              <w:rPr>
                <w:sz w:val="22"/>
                <w:szCs w:val="22"/>
                <w:lang w:val="ru-RU"/>
              </w:rPr>
              <w:t xml:space="preserve"> классов (кожа, </w:t>
            </w:r>
            <w:r w:rsidRPr="00CA11E8">
              <w:rPr>
                <w:sz w:val="22"/>
                <w:szCs w:val="22"/>
                <w:lang w:val="ru-RU"/>
              </w:rPr>
              <w:lastRenderedPageBreak/>
              <w:t>ЖКТ, печень, селезенка, костный мозг)</w:t>
            </w:r>
          </w:p>
          <w:p w14:paraId="58B5C865"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Характерны кожная эритема, диарея, поражение печени с гепатомегалией</w:t>
            </w:r>
          </w:p>
          <w:p w14:paraId="50D59CF6"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Синдром может развиваться в сроки от 2 дней до 6 недель после трансфузии</w:t>
            </w:r>
          </w:p>
        </w:tc>
        <w:tc>
          <w:tcPr>
            <w:tcW w:w="2520" w:type="dxa"/>
          </w:tcPr>
          <w:p w14:paraId="2DF37424"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lastRenderedPageBreak/>
              <w:t>Глюкокортикоиды</w:t>
            </w:r>
          </w:p>
        </w:tc>
        <w:tc>
          <w:tcPr>
            <w:tcW w:w="2284" w:type="dxa"/>
          </w:tcPr>
          <w:p w14:paraId="6FBB5CB2"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Обязательные: общий и биохимический (активность АЛТ, АСТ, ЩФ, уровень билирубина) анализ крови, коагулограмма (уровень фибриногена), биопсия кожи с гистологическим исследованием (при наличии кожной эритемы)</w:t>
            </w:r>
          </w:p>
          <w:p w14:paraId="01E00DC8"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 xml:space="preserve">Дополнительные: исследование </w:t>
            </w:r>
            <w:r w:rsidRPr="00CA11E8">
              <w:rPr>
                <w:sz w:val="22"/>
                <w:szCs w:val="22"/>
                <w:lang w:val="ru-RU"/>
              </w:rPr>
              <w:lastRenderedPageBreak/>
              <w:t>химеризма лейкоцитов; УЗИ брюшной полости</w:t>
            </w:r>
          </w:p>
        </w:tc>
      </w:tr>
      <w:tr w:rsidR="0000369C" w:rsidRPr="004C7AAC" w14:paraId="5CD50E6F" w14:textId="77777777" w:rsidTr="001C46FD">
        <w:trPr>
          <w:jc w:val="center"/>
        </w:trPr>
        <w:tc>
          <w:tcPr>
            <w:tcW w:w="2110" w:type="dxa"/>
          </w:tcPr>
          <w:p w14:paraId="6413A13B"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lastRenderedPageBreak/>
              <w:t>Пострансфузионная пурпура (PTP, от post-transfusion purpura)</w:t>
            </w:r>
          </w:p>
        </w:tc>
        <w:tc>
          <w:tcPr>
            <w:tcW w:w="2340" w:type="dxa"/>
          </w:tcPr>
          <w:p w14:paraId="601D4ACF"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Образование антител к тромбоцитам или лейкоцитам (анти-HLA, анти-HPA) через 5—12 дней после трансфузии, проявляющееся выраженной тромбоцитопенией и геморрагическим синдромом</w:t>
            </w:r>
          </w:p>
        </w:tc>
        <w:tc>
          <w:tcPr>
            <w:tcW w:w="2520" w:type="dxa"/>
          </w:tcPr>
          <w:p w14:paraId="5ECBD7D1"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 xml:space="preserve">Глюкокортикоиды </w:t>
            </w:r>
          </w:p>
        </w:tc>
        <w:tc>
          <w:tcPr>
            <w:tcW w:w="2284" w:type="dxa"/>
          </w:tcPr>
          <w:p w14:paraId="4D2346FD"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Обязательные: общий анализ крови, выявление антилейкоцитарных аллоантител (анти-HLA) в сыворотке</w:t>
            </w:r>
          </w:p>
          <w:p w14:paraId="5D673E7C"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Дополнительные: выявление антитромбоцитарных антител (анти-HPA) в сыворотке</w:t>
            </w:r>
          </w:p>
        </w:tc>
      </w:tr>
      <w:tr w:rsidR="0000369C" w:rsidRPr="004C7AAC" w14:paraId="146A31E9" w14:textId="77777777" w:rsidTr="001C46FD">
        <w:trPr>
          <w:jc w:val="center"/>
        </w:trPr>
        <w:tc>
          <w:tcPr>
            <w:tcW w:w="2110" w:type="dxa"/>
            <w:vMerge w:val="restart"/>
          </w:tcPr>
          <w:p w14:paraId="7497AE09"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Другие</w:t>
            </w:r>
          </w:p>
        </w:tc>
        <w:tc>
          <w:tcPr>
            <w:tcW w:w="2340" w:type="dxa"/>
          </w:tcPr>
          <w:p w14:paraId="79FC76D1"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Септический шок при переливании инфицированного компонента крови</w:t>
            </w:r>
          </w:p>
        </w:tc>
        <w:tc>
          <w:tcPr>
            <w:tcW w:w="2520" w:type="dxa"/>
          </w:tcPr>
          <w:p w14:paraId="65673153"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Антибактериальная терапия широкого спектра действия, противошоковая терапия</w:t>
            </w:r>
          </w:p>
        </w:tc>
        <w:tc>
          <w:tcPr>
            <w:tcW w:w="2284" w:type="dxa"/>
          </w:tcPr>
          <w:p w14:paraId="42DC31AA"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Обязательные: бактериологическое исследование крови</w:t>
            </w:r>
          </w:p>
        </w:tc>
      </w:tr>
      <w:tr w:rsidR="0000369C" w:rsidRPr="004C7AAC" w14:paraId="08D0DE0A" w14:textId="77777777" w:rsidTr="001C46FD">
        <w:trPr>
          <w:jc w:val="center"/>
        </w:trPr>
        <w:tc>
          <w:tcPr>
            <w:tcW w:w="2110" w:type="dxa"/>
            <w:vMerge/>
          </w:tcPr>
          <w:p w14:paraId="49096161" w14:textId="77777777" w:rsidR="0000369C" w:rsidRPr="00CA11E8" w:rsidRDefault="0000369C" w:rsidP="001C46FD">
            <w:pPr>
              <w:pStyle w:val="table-text-0"/>
              <w:spacing w:before="0" w:line="360" w:lineRule="auto"/>
              <w:ind w:firstLine="0"/>
              <w:rPr>
                <w:sz w:val="22"/>
                <w:szCs w:val="22"/>
                <w:lang w:val="ru-RU"/>
              </w:rPr>
            </w:pPr>
          </w:p>
        </w:tc>
        <w:tc>
          <w:tcPr>
            <w:tcW w:w="2340" w:type="dxa"/>
          </w:tcPr>
          <w:p w14:paraId="07E9A6C0"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Перегрузка железом (гемосидероз) органов в результате множественных переливаний эритроцитов</w:t>
            </w:r>
          </w:p>
        </w:tc>
        <w:tc>
          <w:tcPr>
            <w:tcW w:w="2520" w:type="dxa"/>
          </w:tcPr>
          <w:p w14:paraId="29AEC56E"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Комплексообразующие средства (деферазирокс, 15—20 мг/кг или другой препарат с аналогичным действием)</w:t>
            </w:r>
          </w:p>
        </w:tc>
        <w:tc>
          <w:tcPr>
            <w:tcW w:w="2284" w:type="dxa"/>
          </w:tcPr>
          <w:p w14:paraId="30D8D0D9"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Обязательные: определение уровня ферритина в сыворотке (не должен превышать 1000 мкг/л)</w:t>
            </w:r>
          </w:p>
        </w:tc>
      </w:tr>
    </w:tbl>
    <w:p w14:paraId="4FE2EADE" w14:textId="77777777" w:rsidR="0000369C" w:rsidRPr="008E43BE" w:rsidRDefault="0000369C" w:rsidP="0000369C">
      <w:pPr>
        <w:rPr>
          <w:sz w:val="20"/>
          <w:szCs w:val="20"/>
        </w:rPr>
      </w:pPr>
      <w:r w:rsidRPr="008E43BE">
        <w:rPr>
          <w:sz w:val="20"/>
          <w:szCs w:val="20"/>
        </w:rPr>
        <w:t>* Контейнер с компонентом крови, при трансфузии которого возникла реакция или осложнение, передается в установленном порядке для оценки параметров качества и безопасности.</w:t>
      </w:r>
    </w:p>
    <w:p w14:paraId="4F591A31" w14:textId="77777777" w:rsidR="0000369C" w:rsidRDefault="0000369C" w:rsidP="0000369C">
      <w:pPr>
        <w:ind w:firstLine="708"/>
        <w:rPr>
          <w:szCs w:val="24"/>
        </w:rPr>
      </w:pPr>
    </w:p>
    <w:p w14:paraId="284EB7F2" w14:textId="77777777" w:rsidR="0000369C" w:rsidRDefault="0000369C" w:rsidP="0000369C">
      <w:pPr>
        <w:ind w:firstLine="708"/>
        <w:rPr>
          <w:szCs w:val="24"/>
        </w:rPr>
      </w:pPr>
      <w:r w:rsidRPr="002D194B">
        <w:rPr>
          <w:szCs w:val="24"/>
        </w:rPr>
        <w:lastRenderedPageBreak/>
        <w:t>Степень тяжести посттрансфузионных реакции и осложнений можно определить по шкале</w:t>
      </w:r>
      <w:r>
        <w:rPr>
          <w:szCs w:val="24"/>
        </w:rPr>
        <w:t>,</w:t>
      </w:r>
      <w:r w:rsidRPr="002D194B">
        <w:rPr>
          <w:szCs w:val="24"/>
        </w:rPr>
        <w:t xml:space="preserve"> приведенной в табл</w:t>
      </w:r>
      <w:r>
        <w:rPr>
          <w:szCs w:val="24"/>
        </w:rPr>
        <w:t>. </w:t>
      </w:r>
      <w:r w:rsidRPr="002D194B">
        <w:rPr>
          <w:szCs w:val="24"/>
        </w:rPr>
        <w:t>4.</w:t>
      </w:r>
    </w:p>
    <w:p w14:paraId="6EF39933" w14:textId="77777777" w:rsidR="0000369C" w:rsidRDefault="0000369C" w:rsidP="0000369C">
      <w:pPr>
        <w:rPr>
          <w:bCs/>
          <w:szCs w:val="24"/>
        </w:rPr>
      </w:pPr>
    </w:p>
    <w:p w14:paraId="12493503" w14:textId="77777777" w:rsidR="0000369C" w:rsidRPr="008E43BE" w:rsidRDefault="0000369C" w:rsidP="0000369C">
      <w:pPr>
        <w:rPr>
          <w:szCs w:val="24"/>
        </w:rPr>
      </w:pPr>
      <w:r w:rsidRPr="008E43BE">
        <w:rPr>
          <w:bCs/>
          <w:szCs w:val="24"/>
        </w:rPr>
        <w:t>Таблица 4. Шкала степени тяжести реакции или осложнения</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7380"/>
      </w:tblGrid>
      <w:tr w:rsidR="0000369C" w:rsidRPr="004C7AAC" w14:paraId="700EB77A" w14:textId="77777777" w:rsidTr="001C46FD">
        <w:tc>
          <w:tcPr>
            <w:tcW w:w="1800" w:type="dxa"/>
          </w:tcPr>
          <w:p w14:paraId="1D8374C1" w14:textId="77777777" w:rsidR="0000369C" w:rsidRPr="002F2E09" w:rsidRDefault="0000369C" w:rsidP="001C46FD">
            <w:pPr>
              <w:pStyle w:val="Table-head-italic"/>
              <w:spacing w:line="360" w:lineRule="auto"/>
              <w:rPr>
                <w:i w:val="0"/>
                <w:sz w:val="22"/>
                <w:szCs w:val="22"/>
                <w:lang w:val="ru-RU"/>
              </w:rPr>
            </w:pPr>
            <w:r w:rsidRPr="002F2E09">
              <w:rPr>
                <w:i w:val="0"/>
                <w:sz w:val="22"/>
                <w:szCs w:val="22"/>
                <w:lang w:val="ru-RU"/>
              </w:rPr>
              <w:t>Категори</w:t>
            </w:r>
            <w:r>
              <w:rPr>
                <w:i w:val="0"/>
                <w:sz w:val="22"/>
                <w:szCs w:val="22"/>
                <w:lang w:val="ru-RU"/>
              </w:rPr>
              <w:t>я</w:t>
            </w:r>
          </w:p>
        </w:tc>
        <w:tc>
          <w:tcPr>
            <w:tcW w:w="7380" w:type="dxa"/>
          </w:tcPr>
          <w:p w14:paraId="5722E096" w14:textId="77777777" w:rsidR="0000369C" w:rsidRPr="002F2E09" w:rsidRDefault="0000369C" w:rsidP="001C46FD">
            <w:pPr>
              <w:pStyle w:val="Table-head-italic"/>
              <w:spacing w:line="360" w:lineRule="auto"/>
              <w:rPr>
                <w:i w:val="0"/>
                <w:sz w:val="22"/>
                <w:szCs w:val="22"/>
                <w:lang w:val="ru-RU"/>
              </w:rPr>
            </w:pPr>
            <w:r>
              <w:rPr>
                <w:i w:val="0"/>
                <w:sz w:val="22"/>
                <w:szCs w:val="22"/>
                <w:lang w:val="ru-RU"/>
              </w:rPr>
              <w:t>Определение</w:t>
            </w:r>
          </w:p>
        </w:tc>
      </w:tr>
      <w:tr w:rsidR="0000369C" w:rsidRPr="004C7AAC" w14:paraId="2BED51DA" w14:textId="77777777" w:rsidTr="001C46FD">
        <w:tc>
          <w:tcPr>
            <w:tcW w:w="1800" w:type="dxa"/>
          </w:tcPr>
          <w:p w14:paraId="7FA1AD1E" w14:textId="77777777" w:rsidR="0000369C" w:rsidRPr="002F2E09" w:rsidRDefault="0000369C" w:rsidP="001C46FD">
            <w:pPr>
              <w:pStyle w:val="table-text-0"/>
              <w:spacing w:before="0" w:line="360" w:lineRule="auto"/>
              <w:ind w:firstLine="0"/>
              <w:rPr>
                <w:sz w:val="22"/>
                <w:szCs w:val="22"/>
                <w:lang w:val="ru-RU"/>
              </w:rPr>
            </w:pPr>
            <w:r w:rsidRPr="002F2E09">
              <w:rPr>
                <w:sz w:val="22"/>
                <w:szCs w:val="22"/>
                <w:lang w:val="ru-RU"/>
              </w:rPr>
              <w:t>0</w:t>
            </w:r>
          </w:p>
        </w:tc>
        <w:tc>
          <w:tcPr>
            <w:tcW w:w="7380" w:type="dxa"/>
          </w:tcPr>
          <w:p w14:paraId="787B4404" w14:textId="77777777" w:rsidR="0000369C" w:rsidRPr="002F2E09" w:rsidRDefault="0000369C" w:rsidP="001C46FD">
            <w:pPr>
              <w:pStyle w:val="table-text-0"/>
              <w:spacing w:before="0" w:line="360" w:lineRule="auto"/>
              <w:ind w:firstLine="0"/>
              <w:rPr>
                <w:sz w:val="22"/>
                <w:szCs w:val="22"/>
                <w:lang w:val="ru-RU"/>
              </w:rPr>
            </w:pPr>
            <w:r w:rsidRPr="002F2E09">
              <w:rPr>
                <w:sz w:val="22"/>
                <w:szCs w:val="22"/>
                <w:lang w:val="ru-RU"/>
              </w:rPr>
              <w:t>Реакци</w:t>
            </w:r>
            <w:r>
              <w:rPr>
                <w:sz w:val="22"/>
                <w:szCs w:val="22"/>
                <w:lang w:val="ru-RU"/>
              </w:rPr>
              <w:t>и</w:t>
            </w:r>
            <w:r w:rsidRPr="002F2E09">
              <w:rPr>
                <w:sz w:val="22"/>
                <w:szCs w:val="22"/>
                <w:lang w:val="ru-RU"/>
              </w:rPr>
              <w:t xml:space="preserve"> и осложнений нет</w:t>
            </w:r>
          </w:p>
        </w:tc>
      </w:tr>
      <w:tr w:rsidR="0000369C" w:rsidRPr="004C7AAC" w14:paraId="1EEAF521" w14:textId="77777777" w:rsidTr="001C46FD">
        <w:tc>
          <w:tcPr>
            <w:tcW w:w="1800" w:type="dxa"/>
          </w:tcPr>
          <w:p w14:paraId="4A69F089" w14:textId="77777777" w:rsidR="0000369C" w:rsidRPr="002F2E09" w:rsidRDefault="0000369C" w:rsidP="001C46FD">
            <w:pPr>
              <w:pStyle w:val="table-text-0"/>
              <w:spacing w:before="0" w:line="360" w:lineRule="auto"/>
              <w:ind w:firstLine="0"/>
              <w:rPr>
                <w:sz w:val="22"/>
                <w:szCs w:val="22"/>
                <w:lang w:val="ru-RU"/>
              </w:rPr>
            </w:pPr>
            <w:r w:rsidRPr="002F2E09">
              <w:rPr>
                <w:sz w:val="22"/>
                <w:szCs w:val="22"/>
                <w:lang w:val="ru-RU"/>
              </w:rPr>
              <w:t>1</w:t>
            </w:r>
          </w:p>
        </w:tc>
        <w:tc>
          <w:tcPr>
            <w:tcW w:w="7380" w:type="dxa"/>
          </w:tcPr>
          <w:p w14:paraId="5D3D9787" w14:textId="77777777" w:rsidR="0000369C" w:rsidRPr="002F2E09" w:rsidRDefault="0000369C" w:rsidP="001C46FD">
            <w:pPr>
              <w:pStyle w:val="table-text-0"/>
              <w:spacing w:before="0" w:line="360" w:lineRule="auto"/>
              <w:ind w:firstLine="0"/>
              <w:rPr>
                <w:sz w:val="22"/>
                <w:szCs w:val="22"/>
                <w:lang w:val="ru-RU"/>
              </w:rPr>
            </w:pPr>
            <w:r w:rsidRPr="002F2E09">
              <w:rPr>
                <w:sz w:val="22"/>
                <w:szCs w:val="22"/>
                <w:lang w:val="ru-RU"/>
              </w:rPr>
              <w:t>Легкой степени: температура &lt;</w:t>
            </w:r>
            <w:r>
              <w:rPr>
                <w:sz w:val="22"/>
                <w:szCs w:val="22"/>
                <w:lang w:val="ru-RU"/>
              </w:rPr>
              <w:t> </w:t>
            </w:r>
            <w:r w:rsidRPr="002F2E09">
              <w:rPr>
                <w:sz w:val="22"/>
                <w:szCs w:val="22"/>
                <w:lang w:val="ru-RU"/>
              </w:rPr>
              <w:t>38</w:t>
            </w:r>
            <w:r w:rsidRPr="003511FE">
              <w:rPr>
                <w:rFonts w:ascii="Symbol" w:hAnsi="Symbol" w:cs="Symbol"/>
              </w:rPr>
              <w:t></w:t>
            </w:r>
            <w:r>
              <w:rPr>
                <w:sz w:val="22"/>
                <w:szCs w:val="22"/>
              </w:rPr>
              <w:t>C</w:t>
            </w:r>
            <w:r w:rsidRPr="002F2E09">
              <w:rPr>
                <w:sz w:val="22"/>
                <w:szCs w:val="22"/>
                <w:lang w:val="ru-RU"/>
              </w:rPr>
              <w:t xml:space="preserve">, другие незначительные симптомы, без долгосрочных </w:t>
            </w:r>
            <w:r>
              <w:rPr>
                <w:sz w:val="22"/>
                <w:szCs w:val="22"/>
                <w:lang w:val="ru-RU"/>
              </w:rPr>
              <w:t xml:space="preserve">патологических </w:t>
            </w:r>
            <w:r w:rsidRPr="002F2E09">
              <w:rPr>
                <w:sz w:val="22"/>
                <w:szCs w:val="22"/>
                <w:lang w:val="ru-RU"/>
              </w:rPr>
              <w:t xml:space="preserve">последствий. </w:t>
            </w:r>
            <w:r w:rsidRPr="002F2E09">
              <w:rPr>
                <w:sz w:val="22"/>
                <w:szCs w:val="22"/>
                <w:u w:val="single"/>
                <w:lang w:val="ru-RU"/>
              </w:rPr>
              <w:t>Не требует</w:t>
            </w:r>
            <w:r>
              <w:rPr>
                <w:sz w:val="22"/>
                <w:szCs w:val="22"/>
                <w:u w:val="single"/>
                <w:lang w:val="ru-RU"/>
              </w:rPr>
              <w:t xml:space="preserve"> </w:t>
            </w:r>
            <w:r w:rsidRPr="002F2E09">
              <w:rPr>
                <w:sz w:val="22"/>
                <w:szCs w:val="22"/>
                <w:u w:val="single"/>
                <w:lang w:val="ru-RU"/>
              </w:rPr>
              <w:t>терапевтического вмешательства</w:t>
            </w:r>
          </w:p>
        </w:tc>
      </w:tr>
      <w:tr w:rsidR="0000369C" w:rsidRPr="004C7AAC" w14:paraId="32506936" w14:textId="77777777" w:rsidTr="001C46FD">
        <w:tc>
          <w:tcPr>
            <w:tcW w:w="1800" w:type="dxa"/>
          </w:tcPr>
          <w:p w14:paraId="36CAB9B9" w14:textId="77777777" w:rsidR="0000369C" w:rsidRPr="002F2E09" w:rsidRDefault="0000369C" w:rsidP="001C46FD">
            <w:pPr>
              <w:pStyle w:val="table-text-0"/>
              <w:spacing w:before="0" w:line="360" w:lineRule="auto"/>
              <w:ind w:firstLine="0"/>
              <w:rPr>
                <w:sz w:val="22"/>
                <w:szCs w:val="22"/>
                <w:lang w:val="ru-RU"/>
              </w:rPr>
            </w:pPr>
            <w:r w:rsidRPr="002F2E09">
              <w:rPr>
                <w:sz w:val="22"/>
                <w:szCs w:val="22"/>
                <w:lang w:val="ru-RU"/>
              </w:rPr>
              <w:t>2</w:t>
            </w:r>
          </w:p>
        </w:tc>
        <w:tc>
          <w:tcPr>
            <w:tcW w:w="7380" w:type="dxa"/>
          </w:tcPr>
          <w:p w14:paraId="1A43B3AB" w14:textId="77777777" w:rsidR="0000369C" w:rsidRPr="002F2E09" w:rsidRDefault="0000369C" w:rsidP="001C46FD">
            <w:pPr>
              <w:pStyle w:val="table-text-0"/>
              <w:spacing w:before="0" w:line="360" w:lineRule="auto"/>
              <w:ind w:firstLine="0"/>
              <w:rPr>
                <w:sz w:val="22"/>
                <w:szCs w:val="22"/>
                <w:lang w:val="ru-RU"/>
              </w:rPr>
            </w:pPr>
            <w:r w:rsidRPr="002F2E09">
              <w:rPr>
                <w:sz w:val="22"/>
                <w:szCs w:val="22"/>
                <w:lang w:val="ru-RU"/>
              </w:rPr>
              <w:t>Средней степени: симптомы, требующие терапевтического вмешательства, стабильные гемодинамические и вентиляционные показатели, возможны долгосрочные последствия (например</w:t>
            </w:r>
            <w:r>
              <w:rPr>
                <w:sz w:val="22"/>
                <w:szCs w:val="22"/>
                <w:lang w:val="ru-RU"/>
              </w:rPr>
              <w:t>,</w:t>
            </w:r>
            <w:r w:rsidRPr="002F2E09">
              <w:rPr>
                <w:sz w:val="22"/>
                <w:szCs w:val="22"/>
                <w:lang w:val="ru-RU"/>
              </w:rPr>
              <w:t xml:space="preserve"> аллосенсибилизация в качестве причины рефрактерности к трансфузиям)</w:t>
            </w:r>
          </w:p>
        </w:tc>
      </w:tr>
      <w:tr w:rsidR="0000369C" w:rsidRPr="004C7AAC" w14:paraId="73C2A020" w14:textId="77777777" w:rsidTr="001C46FD">
        <w:tc>
          <w:tcPr>
            <w:tcW w:w="1800" w:type="dxa"/>
          </w:tcPr>
          <w:p w14:paraId="51E0F809" w14:textId="77777777" w:rsidR="0000369C" w:rsidRPr="002F2E09" w:rsidRDefault="0000369C" w:rsidP="001C46FD">
            <w:pPr>
              <w:pStyle w:val="table-text-0"/>
              <w:spacing w:before="0" w:line="360" w:lineRule="auto"/>
              <w:ind w:firstLine="0"/>
              <w:rPr>
                <w:sz w:val="22"/>
                <w:szCs w:val="22"/>
                <w:lang w:val="ru-RU"/>
              </w:rPr>
            </w:pPr>
            <w:r w:rsidRPr="002F2E09">
              <w:rPr>
                <w:sz w:val="22"/>
                <w:szCs w:val="22"/>
                <w:lang w:val="ru-RU"/>
              </w:rPr>
              <w:t>3</w:t>
            </w:r>
          </w:p>
        </w:tc>
        <w:tc>
          <w:tcPr>
            <w:tcW w:w="7380" w:type="dxa"/>
          </w:tcPr>
          <w:p w14:paraId="3E984CAF" w14:textId="77777777" w:rsidR="0000369C" w:rsidRPr="002F2E09" w:rsidRDefault="0000369C" w:rsidP="001C46FD">
            <w:pPr>
              <w:pStyle w:val="table-text-0"/>
              <w:spacing w:before="0" w:line="360" w:lineRule="auto"/>
              <w:ind w:firstLine="0"/>
              <w:rPr>
                <w:sz w:val="22"/>
                <w:szCs w:val="22"/>
                <w:lang w:val="ru-RU"/>
              </w:rPr>
            </w:pPr>
            <w:r w:rsidRPr="002F2E09">
              <w:rPr>
                <w:sz w:val="22"/>
                <w:szCs w:val="22"/>
                <w:lang w:val="ru-RU"/>
              </w:rPr>
              <w:t>Тяжелой степени (непосредственная угроза жизни реципиента): нестабильные гемодинамичес</w:t>
            </w:r>
            <w:r>
              <w:rPr>
                <w:sz w:val="22"/>
                <w:szCs w:val="22"/>
                <w:lang w:val="ru-RU"/>
              </w:rPr>
              <w:t>кие и вентиляционные показатели</w:t>
            </w:r>
          </w:p>
        </w:tc>
      </w:tr>
      <w:tr w:rsidR="0000369C" w:rsidRPr="00CA11E8" w14:paraId="1D994F0D" w14:textId="77777777" w:rsidTr="001C46FD">
        <w:tc>
          <w:tcPr>
            <w:tcW w:w="1800" w:type="dxa"/>
          </w:tcPr>
          <w:p w14:paraId="0C85E191"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4</w:t>
            </w:r>
          </w:p>
        </w:tc>
        <w:tc>
          <w:tcPr>
            <w:tcW w:w="7380" w:type="dxa"/>
          </w:tcPr>
          <w:p w14:paraId="072B278F" w14:textId="77777777" w:rsidR="0000369C" w:rsidRPr="00CA11E8" w:rsidRDefault="0000369C" w:rsidP="001C46FD">
            <w:pPr>
              <w:pStyle w:val="table-text-0"/>
              <w:spacing w:before="0" w:line="360" w:lineRule="auto"/>
              <w:ind w:firstLine="0"/>
              <w:rPr>
                <w:sz w:val="22"/>
                <w:szCs w:val="22"/>
                <w:lang w:val="ru-RU"/>
              </w:rPr>
            </w:pPr>
            <w:r w:rsidRPr="00CA11E8">
              <w:rPr>
                <w:sz w:val="22"/>
                <w:szCs w:val="22"/>
                <w:lang w:val="ru-RU"/>
              </w:rPr>
              <w:t>Смерть от осложнения, выявленного в первые 24 часов после трансфузии</w:t>
            </w:r>
          </w:p>
        </w:tc>
      </w:tr>
    </w:tbl>
    <w:p w14:paraId="1D7A5EBF" w14:textId="77777777" w:rsidR="0000369C" w:rsidRDefault="0000369C" w:rsidP="0000369C">
      <w:pPr>
        <w:jc w:val="center"/>
        <w:rPr>
          <w:b/>
          <w:bCs/>
          <w:szCs w:val="24"/>
        </w:rPr>
      </w:pPr>
    </w:p>
    <w:p w14:paraId="7A9181A0" w14:textId="77777777" w:rsidR="0000369C" w:rsidRPr="00360841" w:rsidRDefault="0000369C" w:rsidP="0000369C">
      <w:pPr>
        <w:rPr>
          <w:bCs/>
          <w:i/>
          <w:szCs w:val="24"/>
          <w:u w:val="single"/>
        </w:rPr>
      </w:pPr>
      <w:r w:rsidRPr="00360841">
        <w:rPr>
          <w:bCs/>
          <w:i/>
          <w:szCs w:val="24"/>
          <w:u w:val="single"/>
        </w:rPr>
        <w:t>Премедикация перед проведением трансфузии компонентов донорской крови</w:t>
      </w:r>
    </w:p>
    <w:p w14:paraId="3B26D8D4" w14:textId="77777777" w:rsidR="0000369C" w:rsidRDefault="0000369C" w:rsidP="0000369C">
      <w:pPr>
        <w:ind w:firstLine="709"/>
        <w:rPr>
          <w:bCs/>
          <w:szCs w:val="24"/>
        </w:rPr>
      </w:pPr>
      <w:r>
        <w:rPr>
          <w:bCs/>
          <w:szCs w:val="24"/>
        </w:rPr>
        <w:t xml:space="preserve">Для профилактики нежелательных реакций на трансфузию при неоднократном проведении трансфузий компонентов крови может потребоваться премедикация. </w:t>
      </w:r>
      <w:r w:rsidRPr="00BC3659">
        <w:rPr>
          <w:bCs/>
          <w:szCs w:val="24"/>
        </w:rPr>
        <w:t>Алгоритм выбора премедикации перед проведением трансфузии компонентов донорской крови</w:t>
      </w:r>
      <w:r>
        <w:rPr>
          <w:bCs/>
          <w:szCs w:val="24"/>
        </w:rPr>
        <w:t xml:space="preserve"> приведен в табл.5.</w:t>
      </w:r>
    </w:p>
    <w:p w14:paraId="5C5900AD" w14:textId="77777777" w:rsidR="0000369C" w:rsidRDefault="0000369C" w:rsidP="0000369C">
      <w:pPr>
        <w:rPr>
          <w:bCs/>
          <w:szCs w:val="24"/>
        </w:rPr>
      </w:pPr>
    </w:p>
    <w:p w14:paraId="5D7BC782" w14:textId="77777777" w:rsidR="0000369C" w:rsidRPr="00BC3659" w:rsidRDefault="0000369C" w:rsidP="0000369C">
      <w:pPr>
        <w:rPr>
          <w:bCs/>
          <w:szCs w:val="24"/>
        </w:rPr>
      </w:pPr>
      <w:r>
        <w:rPr>
          <w:bCs/>
          <w:szCs w:val="24"/>
        </w:rPr>
        <w:t>Таблица 5. В</w:t>
      </w:r>
      <w:r w:rsidRPr="00BC3659">
        <w:rPr>
          <w:bCs/>
          <w:szCs w:val="24"/>
        </w:rPr>
        <w:t>ыбор премедикации перед проведением трансфузии компонентов донорской крови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436"/>
        <w:gridCol w:w="4314"/>
      </w:tblGrid>
      <w:tr w:rsidR="0000369C" w:rsidRPr="00915AAD" w14:paraId="363B9572" w14:textId="77777777" w:rsidTr="001C46FD">
        <w:tc>
          <w:tcPr>
            <w:tcW w:w="3208" w:type="dxa"/>
            <w:shd w:val="clear" w:color="auto" w:fill="auto"/>
          </w:tcPr>
          <w:p w14:paraId="70A1BE2F" w14:textId="77777777" w:rsidR="0000369C" w:rsidRPr="007A2B03" w:rsidRDefault="0000369C" w:rsidP="001C46FD">
            <w:pPr>
              <w:jc w:val="center"/>
              <w:rPr>
                <w:bCs/>
              </w:rPr>
            </w:pPr>
            <w:r w:rsidRPr="007A2B03">
              <w:rPr>
                <w:bCs/>
              </w:rPr>
              <w:t>Вид реакции или осложнения, связанный с переливанием донорской крови и/или её компонентов, зафиксированных при предыдущих трансфузиях</w:t>
            </w:r>
          </w:p>
        </w:tc>
        <w:tc>
          <w:tcPr>
            <w:tcW w:w="3082" w:type="dxa"/>
            <w:shd w:val="clear" w:color="auto" w:fill="auto"/>
          </w:tcPr>
          <w:p w14:paraId="080A09DD" w14:textId="77777777" w:rsidR="0000369C" w:rsidRPr="007A2B03" w:rsidRDefault="0000369C" w:rsidP="001C46FD">
            <w:pPr>
              <w:jc w:val="center"/>
              <w:rPr>
                <w:bCs/>
              </w:rPr>
            </w:pPr>
            <w:r w:rsidRPr="007A2B03">
              <w:rPr>
                <w:bCs/>
              </w:rPr>
              <w:t>Наименование компонента донорской крови, показанного для предстоящей трансфузии</w:t>
            </w:r>
          </w:p>
        </w:tc>
        <w:tc>
          <w:tcPr>
            <w:tcW w:w="8270" w:type="dxa"/>
            <w:shd w:val="clear" w:color="auto" w:fill="auto"/>
          </w:tcPr>
          <w:p w14:paraId="04290F46" w14:textId="77777777" w:rsidR="0000369C" w:rsidRPr="007A2B03" w:rsidRDefault="0000369C" w:rsidP="001C46FD">
            <w:pPr>
              <w:jc w:val="center"/>
              <w:rPr>
                <w:bCs/>
              </w:rPr>
            </w:pPr>
            <w:r w:rsidRPr="007A2B03">
              <w:rPr>
                <w:bCs/>
              </w:rPr>
              <w:t>Премедикация перед предстоящей трансфузией</w:t>
            </w:r>
          </w:p>
        </w:tc>
      </w:tr>
      <w:tr w:rsidR="0000369C" w:rsidRPr="00915AAD" w14:paraId="21ACB122" w14:textId="77777777" w:rsidTr="001C46FD">
        <w:tc>
          <w:tcPr>
            <w:tcW w:w="14560" w:type="dxa"/>
            <w:gridSpan w:val="3"/>
            <w:shd w:val="clear" w:color="auto" w:fill="auto"/>
          </w:tcPr>
          <w:p w14:paraId="26E105EA" w14:textId="77777777" w:rsidR="0000369C" w:rsidRPr="007A2B03" w:rsidRDefault="0000369C" w:rsidP="001C46FD">
            <w:pPr>
              <w:jc w:val="center"/>
              <w:rPr>
                <w:b/>
                <w:bCs/>
              </w:rPr>
            </w:pPr>
            <w:r w:rsidRPr="007A2B03">
              <w:rPr>
                <w:b/>
                <w:bCs/>
              </w:rPr>
              <w:lastRenderedPageBreak/>
              <w:t>А. Пациент без трансфузий донорской крови и/или её компонентов в анамнезе</w:t>
            </w:r>
          </w:p>
        </w:tc>
      </w:tr>
      <w:tr w:rsidR="0000369C" w:rsidRPr="00915AAD" w14:paraId="29BB6BD6" w14:textId="77777777" w:rsidTr="001C46FD">
        <w:tc>
          <w:tcPr>
            <w:tcW w:w="3208" w:type="dxa"/>
            <w:shd w:val="clear" w:color="auto" w:fill="auto"/>
          </w:tcPr>
          <w:p w14:paraId="791437FF" w14:textId="77777777" w:rsidR="0000369C" w:rsidRPr="007A2B03" w:rsidRDefault="0000369C" w:rsidP="001C46FD">
            <w:r w:rsidRPr="007A2B03">
              <w:t>-</w:t>
            </w:r>
          </w:p>
        </w:tc>
        <w:tc>
          <w:tcPr>
            <w:tcW w:w="3082" w:type="dxa"/>
            <w:shd w:val="clear" w:color="auto" w:fill="auto"/>
          </w:tcPr>
          <w:p w14:paraId="17B518E4" w14:textId="77777777" w:rsidR="0000369C" w:rsidRPr="007A2B03" w:rsidRDefault="0000369C" w:rsidP="001C46FD">
            <w:r w:rsidRPr="007A2B03">
              <w:t>Любой компонент донорской крови</w:t>
            </w:r>
          </w:p>
        </w:tc>
        <w:tc>
          <w:tcPr>
            <w:tcW w:w="8270" w:type="dxa"/>
            <w:shd w:val="clear" w:color="auto" w:fill="auto"/>
          </w:tcPr>
          <w:p w14:paraId="1988A1FF" w14:textId="77777777" w:rsidR="0000369C" w:rsidRPr="007A2B03" w:rsidRDefault="0000369C" w:rsidP="001C46FD">
            <w:r w:rsidRPr="007A2B03">
              <w:t>10 мл 10% кальция глюконата в 100 мл 0,9% раствора NaC</w:t>
            </w:r>
            <w:r w:rsidRPr="007A2B03">
              <w:rPr>
                <w:lang w:val="en-US"/>
              </w:rPr>
              <w:t>l</w:t>
            </w:r>
            <w:r w:rsidRPr="007A2B03">
              <w:t xml:space="preserve"> в/в капельно</w:t>
            </w:r>
          </w:p>
        </w:tc>
      </w:tr>
      <w:tr w:rsidR="0000369C" w:rsidRPr="00915AAD" w14:paraId="180FFAC2" w14:textId="77777777" w:rsidTr="001C46FD">
        <w:tc>
          <w:tcPr>
            <w:tcW w:w="14560" w:type="dxa"/>
            <w:gridSpan w:val="3"/>
            <w:shd w:val="clear" w:color="auto" w:fill="auto"/>
          </w:tcPr>
          <w:p w14:paraId="1624AD10" w14:textId="77777777" w:rsidR="0000369C" w:rsidRPr="007A2B03" w:rsidRDefault="0000369C" w:rsidP="001C46FD">
            <w:pPr>
              <w:jc w:val="center"/>
              <w:rPr>
                <w:b/>
                <w:bCs/>
              </w:rPr>
            </w:pPr>
            <w:r w:rsidRPr="007A2B03">
              <w:rPr>
                <w:b/>
                <w:bCs/>
              </w:rPr>
              <w:t>Б. Пациент с трансфузией донорской крови и/или её компонентов без реакций или осложнений в анамнезе*</w:t>
            </w:r>
          </w:p>
        </w:tc>
      </w:tr>
      <w:tr w:rsidR="0000369C" w:rsidRPr="00915AAD" w14:paraId="7B13F3CE" w14:textId="77777777" w:rsidTr="001C46FD">
        <w:tc>
          <w:tcPr>
            <w:tcW w:w="3208" w:type="dxa"/>
            <w:shd w:val="clear" w:color="auto" w:fill="auto"/>
          </w:tcPr>
          <w:p w14:paraId="3813A3F1" w14:textId="77777777" w:rsidR="0000369C" w:rsidRPr="007A2B03" w:rsidRDefault="0000369C" w:rsidP="001C46FD">
            <w:r w:rsidRPr="007A2B03">
              <w:t>-</w:t>
            </w:r>
          </w:p>
        </w:tc>
        <w:tc>
          <w:tcPr>
            <w:tcW w:w="3082" w:type="dxa"/>
            <w:shd w:val="clear" w:color="auto" w:fill="auto"/>
          </w:tcPr>
          <w:p w14:paraId="6485289E" w14:textId="77777777" w:rsidR="0000369C" w:rsidRPr="007A2B03" w:rsidRDefault="0000369C" w:rsidP="001C46FD">
            <w:r w:rsidRPr="007A2B03">
              <w:t>Любой компонент донорской крови</w:t>
            </w:r>
          </w:p>
        </w:tc>
        <w:tc>
          <w:tcPr>
            <w:tcW w:w="8270" w:type="dxa"/>
            <w:shd w:val="clear" w:color="auto" w:fill="auto"/>
          </w:tcPr>
          <w:p w14:paraId="63742DF5" w14:textId="77777777" w:rsidR="0000369C" w:rsidRPr="007A2B03" w:rsidRDefault="0000369C" w:rsidP="001C46FD">
            <w:r w:rsidRPr="007A2B03">
              <w:t>10 мл 10% кальция глюконата в 100 мл 0,9% раствора NaC</w:t>
            </w:r>
            <w:r w:rsidRPr="007A2B03">
              <w:rPr>
                <w:lang w:val="en-US"/>
              </w:rPr>
              <w:t>l</w:t>
            </w:r>
            <w:r w:rsidRPr="007A2B03">
              <w:t xml:space="preserve"> в/в капельно</w:t>
            </w:r>
          </w:p>
        </w:tc>
      </w:tr>
      <w:tr w:rsidR="0000369C" w:rsidRPr="00915AAD" w14:paraId="26D8A301" w14:textId="77777777" w:rsidTr="001C46FD">
        <w:tc>
          <w:tcPr>
            <w:tcW w:w="14560" w:type="dxa"/>
            <w:gridSpan w:val="3"/>
            <w:shd w:val="clear" w:color="auto" w:fill="auto"/>
          </w:tcPr>
          <w:p w14:paraId="477D23F1" w14:textId="77777777" w:rsidR="0000369C" w:rsidRPr="007A2B03" w:rsidRDefault="0000369C" w:rsidP="001C46FD">
            <w:pPr>
              <w:jc w:val="center"/>
              <w:rPr>
                <w:b/>
                <w:bCs/>
              </w:rPr>
            </w:pPr>
            <w:r w:rsidRPr="007A2B03">
              <w:rPr>
                <w:b/>
                <w:bCs/>
              </w:rPr>
              <w:t>В. Пациент с трансфузией донорской крови и/или её компонентов с реакциями или осложнениями на в анамнезе</w:t>
            </w:r>
          </w:p>
        </w:tc>
      </w:tr>
      <w:tr w:rsidR="0000369C" w:rsidRPr="00915AAD" w14:paraId="65826E02" w14:textId="77777777" w:rsidTr="001C46FD">
        <w:tc>
          <w:tcPr>
            <w:tcW w:w="14560" w:type="dxa"/>
            <w:gridSpan w:val="3"/>
            <w:shd w:val="clear" w:color="auto" w:fill="auto"/>
          </w:tcPr>
          <w:p w14:paraId="5FF217A8" w14:textId="77777777" w:rsidR="0000369C" w:rsidRPr="007A2B03" w:rsidRDefault="0000369C" w:rsidP="00C5490F">
            <w:pPr>
              <w:pStyle w:val="afe"/>
              <w:numPr>
                <w:ilvl w:val="0"/>
                <w:numId w:val="61"/>
              </w:numPr>
              <w:rPr>
                <w:b/>
                <w:bCs/>
              </w:rPr>
            </w:pPr>
            <w:r w:rsidRPr="007A2B03">
              <w:rPr>
                <w:b/>
                <w:bCs/>
              </w:rPr>
              <w:t>Аллергические реакции (крапивница, бронхоспазм, отек Квинке, анафилактический шок и др.) в зависимости от степени тяжести</w:t>
            </w:r>
          </w:p>
        </w:tc>
      </w:tr>
      <w:tr w:rsidR="0000369C" w:rsidRPr="00915AAD" w14:paraId="0C3E6B0B" w14:textId="77777777" w:rsidTr="001C46FD">
        <w:tc>
          <w:tcPr>
            <w:tcW w:w="3208" w:type="dxa"/>
            <w:shd w:val="clear" w:color="auto" w:fill="auto"/>
          </w:tcPr>
          <w:p w14:paraId="57C324BB" w14:textId="77777777" w:rsidR="0000369C" w:rsidRPr="007A2B03" w:rsidRDefault="0000369C" w:rsidP="00C5490F">
            <w:pPr>
              <w:pStyle w:val="afe"/>
              <w:numPr>
                <w:ilvl w:val="0"/>
                <w:numId w:val="55"/>
              </w:numPr>
              <w:ind w:left="0"/>
            </w:pPr>
            <w:r w:rsidRPr="007A2B03">
              <w:t>Аллергические реакции легкой степени</w:t>
            </w:r>
          </w:p>
          <w:p w14:paraId="74650A40" w14:textId="77777777" w:rsidR="0000369C" w:rsidRPr="007A2B03" w:rsidRDefault="0000369C" w:rsidP="001C46FD"/>
        </w:tc>
        <w:tc>
          <w:tcPr>
            <w:tcW w:w="3082" w:type="dxa"/>
            <w:shd w:val="clear" w:color="auto" w:fill="auto"/>
          </w:tcPr>
          <w:p w14:paraId="63471DCD" w14:textId="77777777" w:rsidR="0000369C" w:rsidRPr="007A2B03" w:rsidRDefault="0000369C" w:rsidP="001C46FD">
            <w:r w:rsidRPr="007A2B03">
              <w:t>Любой компонент донорской крови</w:t>
            </w:r>
          </w:p>
        </w:tc>
        <w:tc>
          <w:tcPr>
            <w:tcW w:w="8270" w:type="dxa"/>
            <w:shd w:val="clear" w:color="auto" w:fill="auto"/>
          </w:tcPr>
          <w:p w14:paraId="3A4F38AF" w14:textId="77777777" w:rsidR="0000369C" w:rsidRPr="007A2B03" w:rsidRDefault="0000369C" w:rsidP="001C46FD">
            <w:r w:rsidRPr="007A2B03">
              <w:t>10 мл 10% кальция глюконата в 100 мл 0,9% раствора NaC</w:t>
            </w:r>
            <w:r w:rsidRPr="007A2B03">
              <w:rPr>
                <w:lang w:val="en-US"/>
              </w:rPr>
              <w:t>l</w:t>
            </w:r>
            <w:r w:rsidRPr="007A2B03">
              <w:t xml:space="preserve"> в/в капельно</w:t>
            </w:r>
          </w:p>
        </w:tc>
      </w:tr>
      <w:tr w:rsidR="0000369C" w:rsidRPr="00915AAD" w14:paraId="2D9D7165" w14:textId="77777777" w:rsidTr="001C46FD">
        <w:tc>
          <w:tcPr>
            <w:tcW w:w="3208" w:type="dxa"/>
            <w:vMerge w:val="restart"/>
            <w:shd w:val="clear" w:color="auto" w:fill="auto"/>
          </w:tcPr>
          <w:p w14:paraId="519D33D3" w14:textId="77777777" w:rsidR="0000369C" w:rsidRPr="007A2B03" w:rsidRDefault="0000369C" w:rsidP="00C5490F">
            <w:pPr>
              <w:pStyle w:val="afe"/>
              <w:numPr>
                <w:ilvl w:val="0"/>
                <w:numId w:val="55"/>
              </w:numPr>
              <w:ind w:left="0"/>
            </w:pPr>
            <w:r w:rsidRPr="007A2B03">
              <w:t>Аллергические реакции средней тяжести (протекающие без нарушений гемодинамических и вентиляционных показателей)</w:t>
            </w:r>
          </w:p>
        </w:tc>
        <w:tc>
          <w:tcPr>
            <w:tcW w:w="3082" w:type="dxa"/>
            <w:shd w:val="clear" w:color="auto" w:fill="auto"/>
          </w:tcPr>
          <w:p w14:paraId="16DA13A6" w14:textId="77777777" w:rsidR="0000369C" w:rsidRPr="007A2B03" w:rsidRDefault="0000369C" w:rsidP="001C46FD">
            <w:r w:rsidRPr="007A2B03">
              <w:t>Компонент донорской крови, вызвавший реакцию ранее</w:t>
            </w:r>
          </w:p>
        </w:tc>
        <w:tc>
          <w:tcPr>
            <w:tcW w:w="8270" w:type="dxa"/>
            <w:shd w:val="clear" w:color="auto" w:fill="auto"/>
          </w:tcPr>
          <w:p w14:paraId="473093A8" w14:textId="77777777" w:rsidR="0000369C" w:rsidRPr="007A2B03" w:rsidRDefault="0000369C" w:rsidP="001C46FD">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в/в капельно</w:t>
            </w:r>
          </w:p>
        </w:tc>
      </w:tr>
      <w:tr w:rsidR="0000369C" w:rsidRPr="00915AAD" w14:paraId="7FF7452C" w14:textId="77777777" w:rsidTr="001C46FD">
        <w:tc>
          <w:tcPr>
            <w:tcW w:w="3208" w:type="dxa"/>
            <w:vMerge/>
            <w:shd w:val="clear" w:color="auto" w:fill="auto"/>
          </w:tcPr>
          <w:p w14:paraId="0C13EF9C" w14:textId="77777777" w:rsidR="0000369C" w:rsidRPr="007A2B03" w:rsidRDefault="0000369C" w:rsidP="00C5490F">
            <w:pPr>
              <w:pStyle w:val="afe"/>
              <w:numPr>
                <w:ilvl w:val="0"/>
                <w:numId w:val="55"/>
              </w:numPr>
              <w:ind w:left="0"/>
            </w:pPr>
          </w:p>
        </w:tc>
        <w:tc>
          <w:tcPr>
            <w:tcW w:w="3082" w:type="dxa"/>
            <w:shd w:val="clear" w:color="auto" w:fill="auto"/>
          </w:tcPr>
          <w:p w14:paraId="73DBE4D2" w14:textId="77777777" w:rsidR="0000369C" w:rsidRPr="007A2B03" w:rsidRDefault="0000369C" w:rsidP="001C46FD">
            <w:r w:rsidRPr="007A2B03">
              <w:t>Другие компоненты донорской крови (не вызывавшие реакции ранее)</w:t>
            </w:r>
          </w:p>
        </w:tc>
        <w:tc>
          <w:tcPr>
            <w:tcW w:w="8270" w:type="dxa"/>
            <w:shd w:val="clear" w:color="auto" w:fill="auto"/>
          </w:tcPr>
          <w:p w14:paraId="55E6527C" w14:textId="77777777" w:rsidR="0000369C" w:rsidRPr="007A2B03" w:rsidRDefault="0000369C" w:rsidP="001C46FD">
            <w:r w:rsidRPr="007A2B03">
              <w:t>10 мл 10% кальция глюконата в 100 мл 0,9% раствора NaC</w:t>
            </w:r>
            <w:r w:rsidRPr="007A2B03">
              <w:rPr>
                <w:lang w:val="en-US"/>
              </w:rPr>
              <w:t>l</w:t>
            </w:r>
            <w:r w:rsidRPr="007A2B03">
              <w:t xml:space="preserve"> в/в капельно</w:t>
            </w:r>
          </w:p>
        </w:tc>
      </w:tr>
      <w:tr w:rsidR="0000369C" w:rsidRPr="00915AAD" w14:paraId="61ABCE7C" w14:textId="77777777" w:rsidTr="001C46FD">
        <w:tc>
          <w:tcPr>
            <w:tcW w:w="3208" w:type="dxa"/>
            <w:shd w:val="clear" w:color="auto" w:fill="auto"/>
          </w:tcPr>
          <w:p w14:paraId="4C2598ED" w14:textId="77777777" w:rsidR="0000369C" w:rsidRPr="007A2B03" w:rsidRDefault="0000369C" w:rsidP="00C5490F">
            <w:pPr>
              <w:pStyle w:val="afe"/>
              <w:numPr>
                <w:ilvl w:val="0"/>
                <w:numId w:val="55"/>
              </w:numPr>
              <w:ind w:left="0"/>
            </w:pPr>
            <w:r w:rsidRPr="007A2B03">
              <w:t>Тяжелые аллергические реакции (протекающие с нарушением гемодинамических и вентиляционных показателей)</w:t>
            </w:r>
          </w:p>
        </w:tc>
        <w:tc>
          <w:tcPr>
            <w:tcW w:w="3082" w:type="dxa"/>
            <w:shd w:val="clear" w:color="auto" w:fill="auto"/>
          </w:tcPr>
          <w:p w14:paraId="5968A452" w14:textId="77777777" w:rsidR="0000369C" w:rsidRPr="007A2B03" w:rsidRDefault="0000369C" w:rsidP="001C46FD">
            <w:r w:rsidRPr="007A2B03">
              <w:t>Любой компонент донорской крови</w:t>
            </w:r>
          </w:p>
        </w:tc>
        <w:tc>
          <w:tcPr>
            <w:tcW w:w="8270" w:type="dxa"/>
            <w:shd w:val="clear" w:color="auto" w:fill="auto"/>
          </w:tcPr>
          <w:p w14:paraId="1E74D108" w14:textId="77777777" w:rsidR="0000369C" w:rsidRPr="007A2B03" w:rsidRDefault="0000369C" w:rsidP="001C46FD">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в/в капельно.</w:t>
            </w:r>
          </w:p>
          <w:p w14:paraId="0283E153" w14:textId="77777777" w:rsidR="0000369C" w:rsidRPr="007A2B03" w:rsidRDefault="0000369C" w:rsidP="001C46FD">
            <w:pPr>
              <w:pStyle w:val="afe"/>
              <w:ind w:left="0"/>
            </w:pPr>
            <w:r w:rsidRPr="007A2B03">
              <w:t>Возможно разовое применение глюкокортикостероидов** (</w:t>
            </w:r>
            <w:r w:rsidRPr="007A2B03">
              <w:rPr>
                <w:shd w:val="clear" w:color="auto" w:fill="FFFFFF"/>
              </w:rPr>
              <w:t>следует </w:t>
            </w:r>
            <w:r w:rsidRPr="007A2B03">
              <w:rPr>
                <w:rStyle w:val="affb"/>
                <w:shd w:val="clear" w:color="auto" w:fill="FFFFFF"/>
              </w:rPr>
              <w:t>соотнести</w:t>
            </w:r>
            <w:r w:rsidRPr="007A2B03">
              <w:rPr>
                <w:shd w:val="clear" w:color="auto" w:fill="FFFFFF"/>
              </w:rPr>
              <w:t> потенциальные </w:t>
            </w:r>
            <w:r w:rsidRPr="007A2B03">
              <w:rPr>
                <w:rStyle w:val="affb"/>
                <w:shd w:val="clear" w:color="auto" w:fill="FFFFFF"/>
              </w:rPr>
              <w:t>риски</w:t>
            </w:r>
            <w:r w:rsidRPr="007A2B03">
              <w:rPr>
                <w:shd w:val="clear" w:color="auto" w:fill="FFFFFF"/>
              </w:rPr>
              <w:t> и ожидаемую </w:t>
            </w:r>
            <w:r w:rsidRPr="007A2B03">
              <w:rPr>
                <w:rStyle w:val="affb"/>
                <w:shd w:val="clear" w:color="auto" w:fill="FFFFFF"/>
              </w:rPr>
              <w:t>пользу</w:t>
            </w:r>
            <w:r w:rsidRPr="007A2B03">
              <w:t>).</w:t>
            </w:r>
          </w:p>
          <w:p w14:paraId="1867D039" w14:textId="77777777" w:rsidR="0000369C" w:rsidRPr="007A2B03" w:rsidRDefault="0000369C" w:rsidP="001C46FD">
            <w:r w:rsidRPr="007A2B03">
              <w:t>Уменьшение скорости трансфузии.</w:t>
            </w:r>
          </w:p>
        </w:tc>
      </w:tr>
      <w:tr w:rsidR="0000369C" w:rsidRPr="00915AAD" w14:paraId="598F42A2" w14:textId="77777777" w:rsidTr="001C46FD">
        <w:tc>
          <w:tcPr>
            <w:tcW w:w="14560" w:type="dxa"/>
            <w:gridSpan w:val="3"/>
            <w:shd w:val="clear" w:color="auto" w:fill="auto"/>
          </w:tcPr>
          <w:p w14:paraId="171D493C" w14:textId="77777777" w:rsidR="0000369C" w:rsidRPr="007A2B03" w:rsidRDefault="0000369C" w:rsidP="00C5490F">
            <w:pPr>
              <w:pStyle w:val="afe"/>
              <w:numPr>
                <w:ilvl w:val="0"/>
                <w:numId w:val="60"/>
              </w:numPr>
              <w:jc w:val="center"/>
              <w:rPr>
                <w:b/>
                <w:bCs/>
              </w:rPr>
            </w:pPr>
            <w:r w:rsidRPr="007A2B03">
              <w:rPr>
                <w:b/>
                <w:bCs/>
              </w:rPr>
              <w:lastRenderedPageBreak/>
              <w:t>Однократная гипертермическая фебрильная негемолитическая реакция (ФНР) в анамнезе</w:t>
            </w:r>
          </w:p>
        </w:tc>
      </w:tr>
      <w:tr w:rsidR="0000369C" w:rsidRPr="00915AAD" w14:paraId="1E8097BC" w14:textId="77777777" w:rsidTr="001C46FD">
        <w:tc>
          <w:tcPr>
            <w:tcW w:w="3208" w:type="dxa"/>
            <w:shd w:val="clear" w:color="auto" w:fill="auto"/>
          </w:tcPr>
          <w:p w14:paraId="67FC37C3" w14:textId="77777777" w:rsidR="0000369C" w:rsidRPr="007A2B03" w:rsidRDefault="0000369C" w:rsidP="00C5490F">
            <w:pPr>
              <w:pStyle w:val="afe"/>
              <w:numPr>
                <w:ilvl w:val="0"/>
                <w:numId w:val="55"/>
              </w:numPr>
              <w:ind w:left="0"/>
            </w:pPr>
            <w:r w:rsidRPr="007A2B03">
              <w:t>Однократная ФНР в анамнезе</w:t>
            </w:r>
          </w:p>
        </w:tc>
        <w:tc>
          <w:tcPr>
            <w:tcW w:w="3082" w:type="dxa"/>
            <w:shd w:val="clear" w:color="auto" w:fill="auto"/>
          </w:tcPr>
          <w:p w14:paraId="51F417CB" w14:textId="77777777" w:rsidR="0000369C" w:rsidRPr="007A2B03" w:rsidRDefault="0000369C" w:rsidP="001C46FD">
            <w:r w:rsidRPr="007A2B03">
              <w:t>Любой компонент донорской крови</w:t>
            </w:r>
          </w:p>
        </w:tc>
        <w:tc>
          <w:tcPr>
            <w:tcW w:w="8270" w:type="dxa"/>
            <w:shd w:val="clear" w:color="auto" w:fill="auto"/>
          </w:tcPr>
          <w:p w14:paraId="1C41AC6D" w14:textId="77777777" w:rsidR="0000369C" w:rsidRPr="007A2B03" w:rsidRDefault="0000369C" w:rsidP="001C46FD">
            <w:r w:rsidRPr="007A2B03">
              <w:t>10 мл 10% кальция глюконата в 100 мл 0,9% раствора NaC</w:t>
            </w:r>
            <w:r w:rsidRPr="007A2B03">
              <w:rPr>
                <w:lang w:val="en-US"/>
              </w:rPr>
              <w:t>l</w:t>
            </w:r>
            <w:r w:rsidRPr="007A2B03">
              <w:t xml:space="preserve"> в/в капельно</w:t>
            </w:r>
          </w:p>
        </w:tc>
      </w:tr>
      <w:tr w:rsidR="0000369C" w:rsidRPr="00915AAD" w14:paraId="15A60E92" w14:textId="77777777" w:rsidTr="001C46FD">
        <w:tc>
          <w:tcPr>
            <w:tcW w:w="14560" w:type="dxa"/>
            <w:gridSpan w:val="3"/>
            <w:shd w:val="clear" w:color="auto" w:fill="auto"/>
          </w:tcPr>
          <w:p w14:paraId="4649BB5F" w14:textId="77777777" w:rsidR="0000369C" w:rsidRPr="007A2B03" w:rsidRDefault="0000369C" w:rsidP="00C5490F">
            <w:pPr>
              <w:pStyle w:val="afe"/>
              <w:numPr>
                <w:ilvl w:val="0"/>
                <w:numId w:val="60"/>
              </w:numPr>
              <w:jc w:val="center"/>
              <w:rPr>
                <w:b/>
                <w:bCs/>
              </w:rPr>
            </w:pPr>
            <w:r w:rsidRPr="007A2B03">
              <w:rPr>
                <w:b/>
                <w:bCs/>
              </w:rPr>
              <w:t>Многократные (≥2) гипертермические фебрильные негемолитические реакции (ФНР) в анамнезе</w:t>
            </w:r>
          </w:p>
        </w:tc>
      </w:tr>
      <w:tr w:rsidR="0000369C" w:rsidRPr="00915AAD" w14:paraId="1A4B26D2" w14:textId="77777777" w:rsidTr="001C46FD">
        <w:tc>
          <w:tcPr>
            <w:tcW w:w="3208" w:type="dxa"/>
            <w:vMerge w:val="restart"/>
            <w:shd w:val="clear" w:color="auto" w:fill="auto"/>
          </w:tcPr>
          <w:p w14:paraId="1E89AF76" w14:textId="77777777" w:rsidR="0000369C" w:rsidRPr="007A2B03" w:rsidRDefault="0000369C" w:rsidP="00C5490F">
            <w:pPr>
              <w:pStyle w:val="afe"/>
              <w:numPr>
                <w:ilvl w:val="0"/>
                <w:numId w:val="57"/>
              </w:numPr>
              <w:ind w:left="0"/>
            </w:pPr>
            <w:r w:rsidRPr="007A2B03">
              <w:t>Протекающие без потрясающего озноба</w:t>
            </w:r>
          </w:p>
        </w:tc>
        <w:tc>
          <w:tcPr>
            <w:tcW w:w="3082" w:type="dxa"/>
            <w:shd w:val="clear" w:color="auto" w:fill="auto"/>
          </w:tcPr>
          <w:p w14:paraId="231D1317" w14:textId="77777777" w:rsidR="0000369C" w:rsidRPr="007A2B03" w:rsidRDefault="0000369C" w:rsidP="001C46FD">
            <w:r w:rsidRPr="007A2B03">
              <w:t>Компонент донорской крови, вызвавший реакцию ранее</w:t>
            </w:r>
          </w:p>
        </w:tc>
        <w:tc>
          <w:tcPr>
            <w:tcW w:w="8270" w:type="dxa"/>
            <w:shd w:val="clear" w:color="auto" w:fill="auto"/>
          </w:tcPr>
          <w:p w14:paraId="2D722F4D" w14:textId="77777777" w:rsidR="0000369C" w:rsidRPr="007A2B03" w:rsidRDefault="0000369C" w:rsidP="001C46FD">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в/в капельно.</w:t>
            </w:r>
          </w:p>
          <w:p w14:paraId="108D5D90" w14:textId="77777777" w:rsidR="0000369C" w:rsidRPr="007A2B03" w:rsidRDefault="0000369C" w:rsidP="001C46FD">
            <w:r w:rsidRPr="007A2B03">
              <w:t>При сохраняющихся ФНР, несмотря на добавление антигистаминных препаратов, дополнительно за 60 минут до трансфузии ввести 250-650 мг парацетамола в 250 мл 0,9% раствора NaC</w:t>
            </w:r>
            <w:r w:rsidRPr="007A2B03">
              <w:rPr>
                <w:lang w:val="en-US"/>
              </w:rPr>
              <w:t>l</w:t>
            </w:r>
            <w:r w:rsidRPr="007A2B03">
              <w:t xml:space="preserve"> в/в капельно (не рекомендовано у пациентов с нейтропенией, глубокой тромбоцитопенией).</w:t>
            </w:r>
          </w:p>
        </w:tc>
      </w:tr>
      <w:tr w:rsidR="0000369C" w:rsidRPr="00915AAD" w14:paraId="5655A018" w14:textId="77777777" w:rsidTr="001C46FD">
        <w:tc>
          <w:tcPr>
            <w:tcW w:w="3208" w:type="dxa"/>
            <w:vMerge/>
            <w:shd w:val="clear" w:color="auto" w:fill="auto"/>
          </w:tcPr>
          <w:p w14:paraId="501D0108" w14:textId="77777777" w:rsidR="0000369C" w:rsidRPr="007A2B03" w:rsidRDefault="0000369C" w:rsidP="00C5490F">
            <w:pPr>
              <w:pStyle w:val="afe"/>
              <w:numPr>
                <w:ilvl w:val="0"/>
                <w:numId w:val="57"/>
              </w:numPr>
              <w:ind w:left="0"/>
            </w:pPr>
          </w:p>
        </w:tc>
        <w:tc>
          <w:tcPr>
            <w:tcW w:w="3082" w:type="dxa"/>
            <w:shd w:val="clear" w:color="auto" w:fill="auto"/>
          </w:tcPr>
          <w:p w14:paraId="03BD7956" w14:textId="77777777" w:rsidR="0000369C" w:rsidRPr="007A2B03" w:rsidRDefault="0000369C" w:rsidP="001C46FD">
            <w:r w:rsidRPr="007A2B03">
              <w:t>Другие компоненты донорской крови (не вызывавшие реакции ранее)</w:t>
            </w:r>
          </w:p>
        </w:tc>
        <w:tc>
          <w:tcPr>
            <w:tcW w:w="8270" w:type="dxa"/>
            <w:shd w:val="clear" w:color="auto" w:fill="auto"/>
          </w:tcPr>
          <w:p w14:paraId="16E47B29" w14:textId="77777777" w:rsidR="0000369C" w:rsidRPr="007A2B03" w:rsidRDefault="0000369C" w:rsidP="001C46FD">
            <w:r w:rsidRPr="007A2B03">
              <w:t>10 мл 10% кальция глюконата в 100 мл 0,9% раствора NaC</w:t>
            </w:r>
            <w:r w:rsidRPr="007A2B03">
              <w:rPr>
                <w:lang w:val="en-US"/>
              </w:rPr>
              <w:t>l</w:t>
            </w:r>
            <w:r w:rsidRPr="007A2B03">
              <w:t xml:space="preserve"> в/в капельно</w:t>
            </w:r>
          </w:p>
        </w:tc>
      </w:tr>
      <w:tr w:rsidR="0000369C" w:rsidRPr="00915AAD" w14:paraId="4945237E" w14:textId="77777777" w:rsidTr="001C46FD">
        <w:tc>
          <w:tcPr>
            <w:tcW w:w="3208" w:type="dxa"/>
            <w:vMerge w:val="restart"/>
            <w:shd w:val="clear" w:color="auto" w:fill="auto"/>
          </w:tcPr>
          <w:p w14:paraId="2DEBAE82" w14:textId="77777777" w:rsidR="0000369C" w:rsidRPr="007A2B03" w:rsidRDefault="0000369C" w:rsidP="00C5490F">
            <w:pPr>
              <w:pStyle w:val="afe"/>
              <w:numPr>
                <w:ilvl w:val="0"/>
                <w:numId w:val="57"/>
              </w:numPr>
              <w:ind w:left="0"/>
            </w:pPr>
            <w:r w:rsidRPr="007A2B03">
              <w:t>Протекающие с потрясающим ознобом</w:t>
            </w:r>
          </w:p>
        </w:tc>
        <w:tc>
          <w:tcPr>
            <w:tcW w:w="3082" w:type="dxa"/>
            <w:shd w:val="clear" w:color="auto" w:fill="auto"/>
          </w:tcPr>
          <w:p w14:paraId="45927962" w14:textId="77777777" w:rsidR="0000369C" w:rsidRPr="007A2B03" w:rsidRDefault="0000369C" w:rsidP="001C46FD">
            <w:r w:rsidRPr="007A2B03">
              <w:t>Компонент донорской крови, вызвавший реакцию ранее</w:t>
            </w:r>
          </w:p>
        </w:tc>
        <w:tc>
          <w:tcPr>
            <w:tcW w:w="8270" w:type="dxa"/>
            <w:shd w:val="clear" w:color="auto" w:fill="auto"/>
          </w:tcPr>
          <w:p w14:paraId="1F477B5F" w14:textId="77777777" w:rsidR="0000369C" w:rsidRPr="007A2B03" w:rsidRDefault="0000369C" w:rsidP="001C46FD">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в/в капельно. В случае сохранения тяжелых реакций возможно дополнительное введение 0,5-1 мл 2% промедола в 100 мл 0,9% раствора NaC</w:t>
            </w:r>
            <w:r w:rsidRPr="007A2B03">
              <w:rPr>
                <w:lang w:val="en-US"/>
              </w:rPr>
              <w:t>l</w:t>
            </w:r>
            <w:r w:rsidRPr="007A2B03">
              <w:t xml:space="preserve"> в/в капельно (до или параллельно с трансфузией).</w:t>
            </w:r>
          </w:p>
          <w:p w14:paraId="1454AC07" w14:textId="77777777" w:rsidR="0000369C" w:rsidRPr="007A2B03" w:rsidRDefault="0000369C" w:rsidP="001C46FD">
            <w:pPr>
              <w:pStyle w:val="afe"/>
              <w:ind w:left="0"/>
            </w:pPr>
            <w:r w:rsidRPr="007A2B03">
              <w:t xml:space="preserve">Возможно разовое применение глюкокортикостероидов** </w:t>
            </w:r>
            <w:r w:rsidRPr="007A2B03">
              <w:lastRenderedPageBreak/>
              <w:t>(</w:t>
            </w:r>
            <w:r w:rsidRPr="007A2B03">
              <w:rPr>
                <w:shd w:val="clear" w:color="auto" w:fill="FFFFFF"/>
              </w:rPr>
              <w:t>следует </w:t>
            </w:r>
            <w:r w:rsidRPr="007A2B03">
              <w:rPr>
                <w:rStyle w:val="affb"/>
                <w:shd w:val="clear" w:color="auto" w:fill="FFFFFF"/>
              </w:rPr>
              <w:t>соотнести</w:t>
            </w:r>
            <w:r w:rsidRPr="007A2B03">
              <w:rPr>
                <w:shd w:val="clear" w:color="auto" w:fill="FFFFFF"/>
              </w:rPr>
              <w:t> потенциальные </w:t>
            </w:r>
            <w:r w:rsidRPr="007A2B03">
              <w:rPr>
                <w:rStyle w:val="affb"/>
                <w:shd w:val="clear" w:color="auto" w:fill="FFFFFF"/>
              </w:rPr>
              <w:t>риски</w:t>
            </w:r>
            <w:r w:rsidRPr="007A2B03">
              <w:rPr>
                <w:shd w:val="clear" w:color="auto" w:fill="FFFFFF"/>
              </w:rPr>
              <w:t> и ожидаемую </w:t>
            </w:r>
            <w:r w:rsidRPr="007A2B03">
              <w:rPr>
                <w:rStyle w:val="affb"/>
                <w:shd w:val="clear" w:color="auto" w:fill="FFFFFF"/>
              </w:rPr>
              <w:t>пользу</w:t>
            </w:r>
            <w:r w:rsidRPr="007A2B03">
              <w:t>).</w:t>
            </w:r>
          </w:p>
          <w:p w14:paraId="0F584B15" w14:textId="77777777" w:rsidR="0000369C" w:rsidRPr="007A2B03" w:rsidRDefault="0000369C" w:rsidP="001C46FD">
            <w:r w:rsidRPr="007A2B03">
              <w:t>Уменьшение скорости трансфузии.</w:t>
            </w:r>
          </w:p>
        </w:tc>
      </w:tr>
      <w:tr w:rsidR="0000369C" w:rsidRPr="00915AAD" w14:paraId="46D299B3" w14:textId="77777777" w:rsidTr="001C46FD">
        <w:tc>
          <w:tcPr>
            <w:tcW w:w="3208" w:type="dxa"/>
            <w:vMerge/>
            <w:shd w:val="clear" w:color="auto" w:fill="auto"/>
          </w:tcPr>
          <w:p w14:paraId="7C6F81D2" w14:textId="77777777" w:rsidR="0000369C" w:rsidRPr="007A2B03" w:rsidRDefault="0000369C" w:rsidP="00C5490F">
            <w:pPr>
              <w:pStyle w:val="afe"/>
              <w:numPr>
                <w:ilvl w:val="0"/>
                <w:numId w:val="57"/>
              </w:numPr>
              <w:ind w:left="0"/>
            </w:pPr>
          </w:p>
        </w:tc>
        <w:tc>
          <w:tcPr>
            <w:tcW w:w="3082" w:type="dxa"/>
            <w:shd w:val="clear" w:color="auto" w:fill="auto"/>
          </w:tcPr>
          <w:p w14:paraId="5CD44874" w14:textId="77777777" w:rsidR="0000369C" w:rsidRPr="007A2B03" w:rsidRDefault="0000369C" w:rsidP="001C46FD">
            <w:r w:rsidRPr="007A2B03">
              <w:t>Другие компоненты донорской крови (не вызывавшие реакции ранее)</w:t>
            </w:r>
          </w:p>
        </w:tc>
        <w:tc>
          <w:tcPr>
            <w:tcW w:w="8270" w:type="dxa"/>
            <w:shd w:val="clear" w:color="auto" w:fill="auto"/>
          </w:tcPr>
          <w:p w14:paraId="56EC6B06" w14:textId="77777777" w:rsidR="0000369C" w:rsidRPr="007A2B03" w:rsidRDefault="0000369C" w:rsidP="001C46FD">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в/в капельно</w:t>
            </w:r>
          </w:p>
        </w:tc>
      </w:tr>
      <w:tr w:rsidR="0000369C" w:rsidRPr="00915AAD" w14:paraId="277B004E" w14:textId="77777777" w:rsidTr="001C46FD">
        <w:tc>
          <w:tcPr>
            <w:tcW w:w="14560" w:type="dxa"/>
            <w:gridSpan w:val="3"/>
            <w:shd w:val="clear" w:color="auto" w:fill="auto"/>
          </w:tcPr>
          <w:p w14:paraId="185F3DAC" w14:textId="77777777" w:rsidR="0000369C" w:rsidRPr="007A2B03" w:rsidRDefault="0000369C" w:rsidP="00C5490F">
            <w:pPr>
              <w:pStyle w:val="afe"/>
              <w:numPr>
                <w:ilvl w:val="0"/>
                <w:numId w:val="60"/>
              </w:numPr>
              <w:jc w:val="center"/>
              <w:rPr>
                <w:b/>
                <w:bCs/>
              </w:rPr>
            </w:pPr>
            <w:r w:rsidRPr="007A2B03">
              <w:rPr>
                <w:b/>
                <w:bCs/>
              </w:rPr>
              <w:t>Отсроченная серологическая трансфузионная реакция:</w:t>
            </w:r>
          </w:p>
          <w:p w14:paraId="18CDBA91" w14:textId="77777777" w:rsidR="0000369C" w:rsidRPr="007A2B03" w:rsidRDefault="0000369C" w:rsidP="001C46FD">
            <w:pPr>
              <w:ind w:left="360"/>
              <w:rPr>
                <w:b/>
                <w:bCs/>
              </w:rPr>
            </w:pPr>
            <w:r w:rsidRPr="007A2B03">
              <w:t>установленное наличие антиэритроцитарных антител: положительная непрямая проба Кумбса при определении индивидуальной совместимости крови донора и реципиента в лаборатории иммуногематологии или если таковая не проводилась, ЛИБО предполагаемое - при эритроцитарном химеризме</w:t>
            </w:r>
          </w:p>
        </w:tc>
      </w:tr>
      <w:tr w:rsidR="0000369C" w:rsidRPr="00915AAD" w14:paraId="2670CE47" w14:textId="77777777" w:rsidTr="001C46FD">
        <w:tc>
          <w:tcPr>
            <w:tcW w:w="3208" w:type="dxa"/>
            <w:shd w:val="clear" w:color="auto" w:fill="auto"/>
          </w:tcPr>
          <w:p w14:paraId="34C76995" w14:textId="77777777" w:rsidR="0000369C" w:rsidRPr="007A2B03" w:rsidRDefault="0000369C" w:rsidP="001C46FD">
            <w:r w:rsidRPr="007A2B03">
              <w:t xml:space="preserve">Отсроченная серологическая трансфузионная реакция </w:t>
            </w:r>
          </w:p>
        </w:tc>
        <w:tc>
          <w:tcPr>
            <w:tcW w:w="3082" w:type="dxa"/>
            <w:shd w:val="clear" w:color="auto" w:fill="auto"/>
          </w:tcPr>
          <w:p w14:paraId="612A4A46" w14:textId="77777777" w:rsidR="0000369C" w:rsidRPr="007A2B03" w:rsidRDefault="0000369C" w:rsidP="001C46FD">
            <w:r w:rsidRPr="007A2B03">
              <w:t>Любой компонент донорской крови</w:t>
            </w:r>
          </w:p>
        </w:tc>
        <w:tc>
          <w:tcPr>
            <w:tcW w:w="8270" w:type="dxa"/>
            <w:shd w:val="clear" w:color="auto" w:fill="auto"/>
          </w:tcPr>
          <w:p w14:paraId="2E7054C5" w14:textId="77777777" w:rsidR="0000369C" w:rsidRPr="007A2B03" w:rsidRDefault="0000369C" w:rsidP="001C46FD">
            <w:r w:rsidRPr="007A2B03">
              <w:t>10 мл 10% кальция глюконата в 100 мл 0,9% раствора NaC</w:t>
            </w:r>
            <w:r w:rsidRPr="007A2B03">
              <w:rPr>
                <w:lang w:val="en-US"/>
              </w:rPr>
              <w:t>l</w:t>
            </w:r>
            <w:r w:rsidRPr="007A2B03">
              <w:t xml:space="preserve"> в/в капельно.</w:t>
            </w:r>
          </w:p>
        </w:tc>
      </w:tr>
      <w:tr w:rsidR="0000369C" w:rsidRPr="00915AAD" w14:paraId="15623C5E" w14:textId="77777777" w:rsidTr="001C46FD">
        <w:tc>
          <w:tcPr>
            <w:tcW w:w="14560" w:type="dxa"/>
            <w:gridSpan w:val="3"/>
            <w:shd w:val="clear" w:color="auto" w:fill="auto"/>
          </w:tcPr>
          <w:p w14:paraId="50A642EC" w14:textId="77777777" w:rsidR="0000369C" w:rsidRPr="007A2B03" w:rsidRDefault="0000369C" w:rsidP="00C5490F">
            <w:pPr>
              <w:pStyle w:val="afe"/>
              <w:numPr>
                <w:ilvl w:val="0"/>
                <w:numId w:val="60"/>
              </w:numPr>
              <w:jc w:val="center"/>
              <w:rPr>
                <w:b/>
                <w:bCs/>
              </w:rPr>
            </w:pPr>
            <w:r w:rsidRPr="007A2B03">
              <w:rPr>
                <w:b/>
                <w:bCs/>
              </w:rPr>
              <w:t>Острый или отсроченный иммунный гемолиз</w:t>
            </w:r>
          </w:p>
        </w:tc>
      </w:tr>
      <w:tr w:rsidR="0000369C" w:rsidRPr="00915AAD" w14:paraId="15CCF1B9" w14:textId="77777777" w:rsidTr="001C46FD">
        <w:tc>
          <w:tcPr>
            <w:tcW w:w="3208" w:type="dxa"/>
            <w:shd w:val="clear" w:color="auto" w:fill="auto"/>
          </w:tcPr>
          <w:p w14:paraId="74B29373" w14:textId="77777777" w:rsidR="0000369C" w:rsidRPr="007A2B03" w:rsidRDefault="0000369C" w:rsidP="00C5490F">
            <w:pPr>
              <w:pStyle w:val="afe"/>
              <w:numPr>
                <w:ilvl w:val="0"/>
                <w:numId w:val="58"/>
              </w:numPr>
              <w:ind w:left="0"/>
            </w:pPr>
            <w:r w:rsidRPr="007A2B03">
              <w:t>Гемолиз в анамнезе (клинических признаков гемолиза в настоящее время нет)</w:t>
            </w:r>
          </w:p>
        </w:tc>
        <w:tc>
          <w:tcPr>
            <w:tcW w:w="3082" w:type="dxa"/>
            <w:shd w:val="clear" w:color="auto" w:fill="auto"/>
          </w:tcPr>
          <w:p w14:paraId="01CF908D" w14:textId="77777777" w:rsidR="0000369C" w:rsidRPr="007A2B03" w:rsidRDefault="0000369C" w:rsidP="001C46FD">
            <w:r w:rsidRPr="007A2B03">
              <w:t>Любой компонент донорской крови</w:t>
            </w:r>
          </w:p>
        </w:tc>
        <w:tc>
          <w:tcPr>
            <w:tcW w:w="8270" w:type="dxa"/>
            <w:shd w:val="clear" w:color="auto" w:fill="auto"/>
          </w:tcPr>
          <w:p w14:paraId="12E928BF" w14:textId="77777777" w:rsidR="0000369C" w:rsidRPr="007A2B03" w:rsidRDefault="0000369C" w:rsidP="001C46FD">
            <w:r w:rsidRPr="007A2B03">
              <w:t>10 мл 10% кальция глюконата в 100 мл 0,9% раствора NaC</w:t>
            </w:r>
            <w:r w:rsidRPr="007A2B03">
              <w:rPr>
                <w:lang w:val="en-US"/>
              </w:rPr>
              <w:t>l</w:t>
            </w:r>
            <w:r w:rsidRPr="007A2B03">
              <w:t xml:space="preserve"> в/в капельно</w:t>
            </w:r>
          </w:p>
        </w:tc>
      </w:tr>
      <w:tr w:rsidR="0000369C" w:rsidRPr="00915AAD" w14:paraId="7EF1463C" w14:textId="77777777" w:rsidTr="001C46FD">
        <w:tc>
          <w:tcPr>
            <w:tcW w:w="3208" w:type="dxa"/>
            <w:vMerge w:val="restart"/>
            <w:shd w:val="clear" w:color="auto" w:fill="auto"/>
          </w:tcPr>
          <w:p w14:paraId="7261F183" w14:textId="77777777" w:rsidR="0000369C" w:rsidRPr="007A2B03" w:rsidRDefault="0000369C" w:rsidP="00C5490F">
            <w:pPr>
              <w:pStyle w:val="afe"/>
              <w:numPr>
                <w:ilvl w:val="0"/>
                <w:numId w:val="58"/>
              </w:numPr>
              <w:ind w:left="0"/>
            </w:pPr>
            <w:r w:rsidRPr="007A2B03">
              <w:t>Активный гемолиз (признаки гемолиза сохраняются)</w:t>
            </w:r>
          </w:p>
        </w:tc>
        <w:tc>
          <w:tcPr>
            <w:tcW w:w="3082" w:type="dxa"/>
            <w:shd w:val="clear" w:color="auto" w:fill="auto"/>
          </w:tcPr>
          <w:p w14:paraId="327B2E58" w14:textId="77777777" w:rsidR="0000369C" w:rsidRPr="007A2B03" w:rsidRDefault="0000369C" w:rsidP="001C46FD">
            <w:r w:rsidRPr="007A2B03">
              <w:t>Эритроцитсодержащие компоненты донорской крови</w:t>
            </w:r>
          </w:p>
        </w:tc>
        <w:tc>
          <w:tcPr>
            <w:tcW w:w="8270" w:type="dxa"/>
            <w:shd w:val="clear" w:color="auto" w:fill="auto"/>
          </w:tcPr>
          <w:p w14:paraId="3AADB445" w14:textId="77777777" w:rsidR="0000369C" w:rsidRPr="007A2B03" w:rsidRDefault="0000369C" w:rsidP="001C46FD">
            <w:r w:rsidRPr="007A2B03">
              <w:t>10 мл 10% кальция глюконата в 250-500 мл 0,9% раствора NaC</w:t>
            </w:r>
            <w:r w:rsidRPr="007A2B03">
              <w:rPr>
                <w:lang w:val="en-US"/>
              </w:rPr>
              <w:t>l</w:t>
            </w:r>
            <w:r w:rsidRPr="007A2B03">
              <w:t xml:space="preserve"> в/в капельно.</w:t>
            </w:r>
          </w:p>
          <w:p w14:paraId="34E98DCA" w14:textId="77777777" w:rsidR="0000369C" w:rsidRPr="007A2B03" w:rsidRDefault="0000369C" w:rsidP="001C46FD">
            <w:r w:rsidRPr="007A2B03">
              <w:t>При высоком риске дальнейшего усиления иммунного гемолиза следует индивидуально рассмотреть возможность введения глюкокортикостероидов**, ритуксимаба.</w:t>
            </w:r>
          </w:p>
        </w:tc>
      </w:tr>
      <w:tr w:rsidR="0000369C" w:rsidRPr="00915AAD" w14:paraId="7F3F2F74" w14:textId="77777777" w:rsidTr="001C46FD">
        <w:tc>
          <w:tcPr>
            <w:tcW w:w="3208" w:type="dxa"/>
            <w:vMerge/>
            <w:shd w:val="clear" w:color="auto" w:fill="auto"/>
          </w:tcPr>
          <w:p w14:paraId="0920736C" w14:textId="77777777" w:rsidR="0000369C" w:rsidRPr="007A2B03" w:rsidRDefault="0000369C" w:rsidP="001C46FD"/>
        </w:tc>
        <w:tc>
          <w:tcPr>
            <w:tcW w:w="3082" w:type="dxa"/>
            <w:shd w:val="clear" w:color="auto" w:fill="auto"/>
          </w:tcPr>
          <w:p w14:paraId="3CF8A105" w14:textId="77777777" w:rsidR="0000369C" w:rsidRPr="007A2B03" w:rsidRDefault="0000369C" w:rsidP="001C46FD">
            <w:r w:rsidRPr="007A2B03">
              <w:t>Концентрат тромбоцитов, свежезамороженная плазма, криопреципитат, криосупернатант</w:t>
            </w:r>
          </w:p>
        </w:tc>
        <w:tc>
          <w:tcPr>
            <w:tcW w:w="8270" w:type="dxa"/>
            <w:shd w:val="clear" w:color="auto" w:fill="auto"/>
          </w:tcPr>
          <w:p w14:paraId="29460BCB" w14:textId="77777777" w:rsidR="0000369C" w:rsidRPr="007A2B03" w:rsidRDefault="0000369C" w:rsidP="001C46FD">
            <w:r w:rsidRPr="007A2B03">
              <w:t>10 мл 10% кальция глюконата в 500 мл 0,9% раствора NaC</w:t>
            </w:r>
            <w:r w:rsidRPr="007A2B03">
              <w:rPr>
                <w:lang w:val="en-US"/>
              </w:rPr>
              <w:t>l</w:t>
            </w:r>
            <w:r w:rsidRPr="007A2B03">
              <w:t xml:space="preserve"> в/в капельно</w:t>
            </w:r>
          </w:p>
        </w:tc>
      </w:tr>
      <w:tr w:rsidR="0000369C" w:rsidRPr="00915AAD" w14:paraId="147D7F7C" w14:textId="77777777" w:rsidTr="001C46FD">
        <w:tc>
          <w:tcPr>
            <w:tcW w:w="14560" w:type="dxa"/>
            <w:gridSpan w:val="3"/>
            <w:shd w:val="clear" w:color="auto" w:fill="auto"/>
          </w:tcPr>
          <w:p w14:paraId="360C64A3" w14:textId="77777777" w:rsidR="0000369C" w:rsidRPr="007A2B03" w:rsidRDefault="0000369C" w:rsidP="00C5490F">
            <w:pPr>
              <w:pStyle w:val="afe"/>
              <w:numPr>
                <w:ilvl w:val="0"/>
                <w:numId w:val="60"/>
              </w:numPr>
              <w:jc w:val="center"/>
              <w:rPr>
                <w:b/>
                <w:bCs/>
              </w:rPr>
            </w:pPr>
            <w:r w:rsidRPr="007A2B03">
              <w:rPr>
                <w:b/>
                <w:bCs/>
              </w:rPr>
              <w:t>Посттрансфузионная болезнь «трансплантат против хозяина»</w:t>
            </w:r>
          </w:p>
        </w:tc>
      </w:tr>
      <w:tr w:rsidR="0000369C" w:rsidRPr="00915AAD" w14:paraId="15CCEF57" w14:textId="77777777" w:rsidTr="001C46FD">
        <w:tc>
          <w:tcPr>
            <w:tcW w:w="3208" w:type="dxa"/>
            <w:shd w:val="clear" w:color="auto" w:fill="auto"/>
          </w:tcPr>
          <w:p w14:paraId="2D90695A" w14:textId="77777777" w:rsidR="0000369C" w:rsidRPr="007A2B03" w:rsidRDefault="0000369C" w:rsidP="001C46FD">
            <w:r w:rsidRPr="007A2B03">
              <w:t>Посттрансфузионная болезнь «трансплантат против хозяина»</w:t>
            </w:r>
          </w:p>
        </w:tc>
        <w:tc>
          <w:tcPr>
            <w:tcW w:w="3082" w:type="dxa"/>
            <w:shd w:val="clear" w:color="auto" w:fill="auto"/>
          </w:tcPr>
          <w:p w14:paraId="1826691B" w14:textId="77777777" w:rsidR="0000369C" w:rsidRPr="007A2B03" w:rsidRDefault="0000369C" w:rsidP="001C46FD">
            <w:r w:rsidRPr="007A2B03">
              <w:t>Любой компонент донорской крови</w:t>
            </w:r>
          </w:p>
        </w:tc>
        <w:tc>
          <w:tcPr>
            <w:tcW w:w="8270" w:type="dxa"/>
            <w:shd w:val="clear" w:color="auto" w:fill="auto"/>
          </w:tcPr>
          <w:p w14:paraId="149AE842" w14:textId="77777777" w:rsidR="0000369C" w:rsidRPr="007A2B03" w:rsidRDefault="0000369C" w:rsidP="001C46FD">
            <w:r w:rsidRPr="007A2B03">
              <w:t>10 мл 10% кальция глюконата в 100 мл 0,9% раствора NaC</w:t>
            </w:r>
            <w:r w:rsidRPr="007A2B03">
              <w:rPr>
                <w:lang w:val="en-US"/>
              </w:rPr>
              <w:t>l</w:t>
            </w:r>
            <w:r w:rsidRPr="007A2B03">
              <w:t xml:space="preserve"> в/в капельно</w:t>
            </w:r>
          </w:p>
        </w:tc>
      </w:tr>
      <w:tr w:rsidR="0000369C" w:rsidRPr="00915AAD" w14:paraId="298EA3EE" w14:textId="77777777" w:rsidTr="001C46FD">
        <w:tc>
          <w:tcPr>
            <w:tcW w:w="14560" w:type="dxa"/>
            <w:gridSpan w:val="3"/>
            <w:shd w:val="clear" w:color="auto" w:fill="auto"/>
          </w:tcPr>
          <w:p w14:paraId="72069B65" w14:textId="77777777" w:rsidR="0000369C" w:rsidRPr="007A2B03" w:rsidRDefault="0000369C" w:rsidP="00C5490F">
            <w:pPr>
              <w:pStyle w:val="afe"/>
              <w:numPr>
                <w:ilvl w:val="0"/>
                <w:numId w:val="60"/>
              </w:numPr>
              <w:jc w:val="center"/>
              <w:rPr>
                <w:b/>
                <w:bCs/>
              </w:rPr>
            </w:pPr>
            <w:r w:rsidRPr="007A2B03">
              <w:rPr>
                <w:b/>
                <w:bCs/>
              </w:rPr>
              <w:t xml:space="preserve">Посттрансфузионная пурпура: </w:t>
            </w:r>
          </w:p>
          <w:p w14:paraId="028453C7" w14:textId="77777777" w:rsidR="0000369C" w:rsidRPr="007A2B03" w:rsidRDefault="0000369C" w:rsidP="001C46FD">
            <w:pPr>
              <w:rPr>
                <w:b/>
                <w:bCs/>
              </w:rPr>
            </w:pPr>
            <w:r w:rsidRPr="007A2B03">
              <w:t>наличие антилейкоцитарных и (или) специфических антитромбоцитарных антител, рефрактерность к трансфузиям тромбоцитсодержащих сред</w:t>
            </w:r>
          </w:p>
        </w:tc>
      </w:tr>
      <w:tr w:rsidR="0000369C" w:rsidRPr="00915AAD" w14:paraId="18C0556D" w14:textId="77777777" w:rsidTr="001C46FD">
        <w:tc>
          <w:tcPr>
            <w:tcW w:w="3208" w:type="dxa"/>
            <w:vMerge w:val="restart"/>
            <w:shd w:val="clear" w:color="auto" w:fill="auto"/>
          </w:tcPr>
          <w:p w14:paraId="6033A280" w14:textId="77777777" w:rsidR="0000369C" w:rsidRPr="007A2B03" w:rsidRDefault="0000369C" w:rsidP="001C46FD">
            <w:r w:rsidRPr="007A2B03">
              <w:t xml:space="preserve">Посттрансфузионная пурпура </w:t>
            </w:r>
          </w:p>
        </w:tc>
        <w:tc>
          <w:tcPr>
            <w:tcW w:w="3082" w:type="dxa"/>
            <w:shd w:val="clear" w:color="auto" w:fill="auto"/>
          </w:tcPr>
          <w:p w14:paraId="37EDEC75" w14:textId="77777777" w:rsidR="0000369C" w:rsidRPr="007A2B03" w:rsidRDefault="0000369C" w:rsidP="001C46FD">
            <w:r w:rsidRPr="007A2B03">
              <w:t>Индивидуально подобранный концентрат тромбоцитов методом адгезии на твердой фазе / в лимфоцитотоксическом тесте</w:t>
            </w:r>
          </w:p>
        </w:tc>
        <w:tc>
          <w:tcPr>
            <w:tcW w:w="8270" w:type="dxa"/>
            <w:shd w:val="clear" w:color="auto" w:fill="auto"/>
          </w:tcPr>
          <w:p w14:paraId="3D9503D2" w14:textId="77777777" w:rsidR="0000369C" w:rsidRPr="007A2B03" w:rsidRDefault="0000369C" w:rsidP="001C46FD">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в/в капельно</w:t>
            </w:r>
          </w:p>
        </w:tc>
      </w:tr>
      <w:tr w:rsidR="0000369C" w:rsidRPr="00915AAD" w14:paraId="0910C82A" w14:textId="77777777" w:rsidTr="001C46FD">
        <w:tc>
          <w:tcPr>
            <w:tcW w:w="3208" w:type="dxa"/>
            <w:vMerge/>
            <w:shd w:val="clear" w:color="auto" w:fill="auto"/>
          </w:tcPr>
          <w:p w14:paraId="2599EAAD" w14:textId="77777777" w:rsidR="0000369C" w:rsidRPr="007A2B03" w:rsidRDefault="0000369C" w:rsidP="001C46FD"/>
        </w:tc>
        <w:tc>
          <w:tcPr>
            <w:tcW w:w="3082" w:type="dxa"/>
            <w:shd w:val="clear" w:color="auto" w:fill="auto"/>
          </w:tcPr>
          <w:p w14:paraId="1CCCAB8B" w14:textId="77777777" w:rsidR="0000369C" w:rsidRPr="007A2B03" w:rsidRDefault="0000369C" w:rsidP="001C46FD">
            <w:r w:rsidRPr="007A2B03">
              <w:t>Концентрат тромбоцитов с невозможностью проведения индивидуального подбора</w:t>
            </w:r>
          </w:p>
        </w:tc>
        <w:tc>
          <w:tcPr>
            <w:tcW w:w="8270" w:type="dxa"/>
            <w:shd w:val="clear" w:color="auto" w:fill="auto"/>
          </w:tcPr>
          <w:p w14:paraId="72DDABEA" w14:textId="77777777" w:rsidR="0000369C" w:rsidRPr="007A2B03" w:rsidRDefault="0000369C" w:rsidP="001C46FD">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в/в капельно.</w:t>
            </w:r>
          </w:p>
          <w:p w14:paraId="3D192798" w14:textId="77777777" w:rsidR="0000369C" w:rsidRPr="007A2B03" w:rsidRDefault="0000369C" w:rsidP="001C46FD">
            <w:r w:rsidRPr="007A2B03">
              <w:t xml:space="preserve">Индивидуально рассмотреть возможность разового введения глюкокортикостероидов** с целью снижения дальнейшей аллоиммунизации и уменьшения выраженности возможной посттрансфузионной реакции или осложнений на данную трансфузию </w:t>
            </w:r>
            <w:r w:rsidRPr="007A2B03">
              <w:lastRenderedPageBreak/>
              <w:t>(</w:t>
            </w:r>
            <w:r w:rsidRPr="007A2B03">
              <w:rPr>
                <w:shd w:val="clear" w:color="auto" w:fill="FFFFFF"/>
              </w:rPr>
              <w:t>следует </w:t>
            </w:r>
            <w:r w:rsidRPr="007A2B03">
              <w:rPr>
                <w:rStyle w:val="affb"/>
                <w:shd w:val="clear" w:color="auto" w:fill="FFFFFF"/>
              </w:rPr>
              <w:t>соотнести</w:t>
            </w:r>
            <w:r w:rsidRPr="007A2B03">
              <w:rPr>
                <w:shd w:val="clear" w:color="auto" w:fill="FFFFFF"/>
              </w:rPr>
              <w:t> потенциальные </w:t>
            </w:r>
            <w:r w:rsidRPr="007A2B03">
              <w:rPr>
                <w:rStyle w:val="affb"/>
                <w:shd w:val="clear" w:color="auto" w:fill="FFFFFF"/>
              </w:rPr>
              <w:t>риски</w:t>
            </w:r>
            <w:r w:rsidRPr="007A2B03">
              <w:rPr>
                <w:shd w:val="clear" w:color="auto" w:fill="FFFFFF"/>
              </w:rPr>
              <w:t> и ожидаемую </w:t>
            </w:r>
            <w:r w:rsidRPr="007A2B03">
              <w:rPr>
                <w:rStyle w:val="affb"/>
                <w:shd w:val="clear" w:color="auto" w:fill="FFFFFF"/>
              </w:rPr>
              <w:t>пользу</w:t>
            </w:r>
            <w:r w:rsidRPr="007A2B03">
              <w:t>).</w:t>
            </w:r>
          </w:p>
        </w:tc>
      </w:tr>
      <w:tr w:rsidR="0000369C" w:rsidRPr="00915AAD" w14:paraId="61D930C1" w14:textId="77777777" w:rsidTr="001C46FD">
        <w:tc>
          <w:tcPr>
            <w:tcW w:w="3208" w:type="dxa"/>
            <w:vMerge/>
            <w:shd w:val="clear" w:color="auto" w:fill="auto"/>
          </w:tcPr>
          <w:p w14:paraId="63DBB3D8" w14:textId="77777777" w:rsidR="0000369C" w:rsidRPr="007A2B03" w:rsidRDefault="0000369C" w:rsidP="001C46FD"/>
        </w:tc>
        <w:tc>
          <w:tcPr>
            <w:tcW w:w="3082" w:type="dxa"/>
            <w:shd w:val="clear" w:color="auto" w:fill="auto"/>
          </w:tcPr>
          <w:p w14:paraId="7E8F5555" w14:textId="77777777" w:rsidR="0000369C" w:rsidRPr="007A2B03" w:rsidRDefault="0000369C" w:rsidP="001C46FD">
            <w:r w:rsidRPr="007A2B03">
              <w:t>Другие компоненты донорской крови</w:t>
            </w:r>
          </w:p>
        </w:tc>
        <w:tc>
          <w:tcPr>
            <w:tcW w:w="8270" w:type="dxa"/>
            <w:shd w:val="clear" w:color="auto" w:fill="auto"/>
          </w:tcPr>
          <w:p w14:paraId="5BC9A559" w14:textId="77777777" w:rsidR="0000369C" w:rsidRPr="007A2B03" w:rsidRDefault="0000369C" w:rsidP="001C46FD">
            <w:r w:rsidRPr="007A2B03">
              <w:t>10 мл 10% кальция глюконата в 100 мл 0,9% раствора NaC</w:t>
            </w:r>
            <w:r w:rsidRPr="007A2B03">
              <w:rPr>
                <w:lang w:val="en-US"/>
              </w:rPr>
              <w:t>l</w:t>
            </w:r>
            <w:r w:rsidRPr="007A2B03">
              <w:t xml:space="preserve"> в/в капельно</w:t>
            </w:r>
          </w:p>
        </w:tc>
      </w:tr>
    </w:tbl>
    <w:p w14:paraId="64304BC1" w14:textId="77777777" w:rsidR="0000369C" w:rsidRPr="00BC3659" w:rsidRDefault="0000369C" w:rsidP="0000369C">
      <w:pPr>
        <w:rPr>
          <w:sz w:val="20"/>
          <w:szCs w:val="20"/>
        </w:rPr>
      </w:pPr>
      <w:r w:rsidRPr="00915AAD">
        <w:rPr>
          <w:szCs w:val="24"/>
        </w:rPr>
        <w:t xml:space="preserve">* </w:t>
      </w:r>
      <w:r w:rsidRPr="00BC3659">
        <w:rPr>
          <w:sz w:val="20"/>
          <w:szCs w:val="20"/>
        </w:rPr>
        <w:t>Предшествующие реакции и осложнения, связанные с трансфузией донорской крови и (или) ее компонентов, не влияющие на объем последующей премедикации при проведении трансфузионной терапии:</w:t>
      </w:r>
    </w:p>
    <w:p w14:paraId="2BD71DAE" w14:textId="77777777" w:rsidR="0000369C" w:rsidRPr="00BC3659" w:rsidRDefault="0000369C" w:rsidP="00C5490F">
      <w:pPr>
        <w:pStyle w:val="afe"/>
        <w:numPr>
          <w:ilvl w:val="0"/>
          <w:numId w:val="59"/>
        </w:numPr>
        <w:rPr>
          <w:sz w:val="20"/>
          <w:szCs w:val="20"/>
        </w:rPr>
      </w:pPr>
      <w:r w:rsidRPr="00BC3659">
        <w:rPr>
          <w:sz w:val="20"/>
          <w:szCs w:val="20"/>
        </w:rPr>
        <w:t>Иммунные:</w:t>
      </w:r>
    </w:p>
    <w:p w14:paraId="769A6BA2" w14:textId="77777777" w:rsidR="0000369C" w:rsidRPr="00BC3659" w:rsidRDefault="0000369C" w:rsidP="00C5490F">
      <w:pPr>
        <w:pStyle w:val="afe"/>
        <w:numPr>
          <w:ilvl w:val="0"/>
          <w:numId w:val="54"/>
        </w:numPr>
        <w:rPr>
          <w:sz w:val="20"/>
          <w:szCs w:val="20"/>
        </w:rPr>
      </w:pPr>
      <w:r w:rsidRPr="00BC3659">
        <w:rPr>
          <w:sz w:val="20"/>
          <w:szCs w:val="20"/>
        </w:rPr>
        <w:t>Обусловленное трансфузией острое повреждение легких</w:t>
      </w:r>
    </w:p>
    <w:p w14:paraId="1D201460" w14:textId="77777777" w:rsidR="0000369C" w:rsidRPr="00BC3659" w:rsidRDefault="0000369C" w:rsidP="00C5490F">
      <w:pPr>
        <w:pStyle w:val="afe"/>
        <w:numPr>
          <w:ilvl w:val="0"/>
          <w:numId w:val="54"/>
        </w:numPr>
        <w:rPr>
          <w:sz w:val="20"/>
          <w:szCs w:val="20"/>
        </w:rPr>
      </w:pPr>
      <w:r w:rsidRPr="00BC3659">
        <w:rPr>
          <w:sz w:val="20"/>
          <w:szCs w:val="20"/>
        </w:rPr>
        <w:t>Обусловленная трансфузией одышка</w:t>
      </w:r>
    </w:p>
    <w:p w14:paraId="72BA575A" w14:textId="77777777" w:rsidR="0000369C" w:rsidRPr="00BC3659" w:rsidRDefault="0000369C" w:rsidP="00C5490F">
      <w:pPr>
        <w:pStyle w:val="afe"/>
        <w:numPr>
          <w:ilvl w:val="0"/>
          <w:numId w:val="59"/>
        </w:numPr>
        <w:rPr>
          <w:sz w:val="20"/>
          <w:szCs w:val="20"/>
        </w:rPr>
      </w:pPr>
      <w:r w:rsidRPr="00BC3659">
        <w:rPr>
          <w:sz w:val="20"/>
          <w:szCs w:val="20"/>
        </w:rPr>
        <w:t>Неиммуные:</w:t>
      </w:r>
    </w:p>
    <w:p w14:paraId="71B6058A" w14:textId="77777777" w:rsidR="0000369C" w:rsidRPr="00BC3659" w:rsidRDefault="0000369C" w:rsidP="00C5490F">
      <w:pPr>
        <w:pStyle w:val="afe"/>
        <w:numPr>
          <w:ilvl w:val="0"/>
          <w:numId w:val="56"/>
        </w:numPr>
        <w:rPr>
          <w:sz w:val="20"/>
          <w:szCs w:val="20"/>
        </w:rPr>
      </w:pPr>
      <w:r w:rsidRPr="00BC3659">
        <w:rPr>
          <w:sz w:val="20"/>
          <w:szCs w:val="20"/>
        </w:rPr>
        <w:t>Обусловленная трансфузией циркуляторная перегрузка</w:t>
      </w:r>
    </w:p>
    <w:p w14:paraId="6EFF640F" w14:textId="77777777" w:rsidR="0000369C" w:rsidRPr="00BC3659" w:rsidRDefault="0000369C" w:rsidP="00C5490F">
      <w:pPr>
        <w:pStyle w:val="afe"/>
        <w:numPr>
          <w:ilvl w:val="0"/>
          <w:numId w:val="56"/>
        </w:numPr>
        <w:rPr>
          <w:sz w:val="20"/>
          <w:szCs w:val="20"/>
        </w:rPr>
      </w:pPr>
      <w:r w:rsidRPr="00BC3659">
        <w:rPr>
          <w:sz w:val="20"/>
          <w:szCs w:val="20"/>
        </w:rPr>
        <w:t>Посттрансфузионная гипертензия</w:t>
      </w:r>
    </w:p>
    <w:p w14:paraId="56AE8710" w14:textId="77777777" w:rsidR="0000369C" w:rsidRPr="00BC3659" w:rsidRDefault="0000369C" w:rsidP="00C5490F">
      <w:pPr>
        <w:pStyle w:val="afe"/>
        <w:numPr>
          <w:ilvl w:val="0"/>
          <w:numId w:val="56"/>
        </w:numPr>
        <w:rPr>
          <w:sz w:val="20"/>
          <w:szCs w:val="20"/>
        </w:rPr>
      </w:pPr>
      <w:r w:rsidRPr="00BC3659">
        <w:rPr>
          <w:sz w:val="20"/>
          <w:szCs w:val="20"/>
        </w:rPr>
        <w:t>Острый неиммунный гемолиз</w:t>
      </w:r>
    </w:p>
    <w:p w14:paraId="00805525" w14:textId="77777777" w:rsidR="0000369C" w:rsidRPr="00BC3659" w:rsidRDefault="0000369C" w:rsidP="00C5490F">
      <w:pPr>
        <w:pStyle w:val="afe"/>
        <w:numPr>
          <w:ilvl w:val="0"/>
          <w:numId w:val="56"/>
        </w:numPr>
        <w:rPr>
          <w:sz w:val="20"/>
          <w:szCs w:val="20"/>
        </w:rPr>
      </w:pPr>
      <w:r w:rsidRPr="00BC3659">
        <w:rPr>
          <w:sz w:val="20"/>
          <w:szCs w:val="20"/>
        </w:rPr>
        <w:t>Септический шок</w:t>
      </w:r>
    </w:p>
    <w:p w14:paraId="564F283C" w14:textId="77777777" w:rsidR="0000369C" w:rsidRPr="00BC3659" w:rsidRDefault="0000369C" w:rsidP="00C5490F">
      <w:pPr>
        <w:pStyle w:val="afe"/>
        <w:numPr>
          <w:ilvl w:val="0"/>
          <w:numId w:val="56"/>
        </w:numPr>
        <w:rPr>
          <w:sz w:val="20"/>
          <w:szCs w:val="20"/>
        </w:rPr>
      </w:pPr>
      <w:r w:rsidRPr="00BC3659">
        <w:rPr>
          <w:sz w:val="20"/>
          <w:szCs w:val="20"/>
        </w:rPr>
        <w:t>Хроническая перегрузка железом</w:t>
      </w:r>
    </w:p>
    <w:p w14:paraId="35C75DB1" w14:textId="77777777" w:rsidR="0000369C" w:rsidRPr="00BC3659" w:rsidRDefault="0000369C" w:rsidP="0000369C">
      <w:pPr>
        <w:rPr>
          <w:sz w:val="20"/>
          <w:szCs w:val="20"/>
        </w:rPr>
      </w:pPr>
      <w:r w:rsidRPr="00BC3659">
        <w:rPr>
          <w:sz w:val="20"/>
          <w:szCs w:val="20"/>
        </w:rPr>
        <w:t xml:space="preserve">** Решение вопроса о введении глюкокортикостероидов и выбор дозы зависит от выраженности посттрансфузионной реакции или осложнения в анамнезе, степени тяжести сопутствующей патологии – инфекционные осложнения (особенно в период глубокой нейтропении), сахарный диабет, артериальная гипертензия и другие. Глюкокортикостероидные препараты в эквивалентных дозировках, применяемые в качестве премедикации перед трансфузией: 10-50 мг преднизолона, либо 2-6 мг дексаметазона, либо 25-100 мг гидрокортизона, либо 62,5-250 мг метилпреднизолона. </w:t>
      </w:r>
    </w:p>
    <w:p w14:paraId="3C6210B7" w14:textId="77777777" w:rsidR="0000369C" w:rsidRDefault="0000369C" w:rsidP="0000369C">
      <w:pPr>
        <w:rPr>
          <w:b/>
          <w:szCs w:val="24"/>
        </w:rPr>
      </w:pPr>
    </w:p>
    <w:p w14:paraId="192805EA" w14:textId="77777777" w:rsidR="0000369C" w:rsidRPr="00360841" w:rsidRDefault="0000369C" w:rsidP="0000369C">
      <w:pPr>
        <w:rPr>
          <w:i/>
          <w:szCs w:val="24"/>
          <w:u w:val="single"/>
        </w:rPr>
      </w:pPr>
      <w:r w:rsidRPr="00360841">
        <w:rPr>
          <w:i/>
          <w:szCs w:val="24"/>
          <w:u w:val="single"/>
        </w:rPr>
        <w:t xml:space="preserve">Лечебный плазмаферез в терапии рефрактерности к трансфузиям тромбоцитов </w:t>
      </w:r>
    </w:p>
    <w:p w14:paraId="2F7795C9" w14:textId="77777777" w:rsidR="0000369C" w:rsidRPr="003A7159" w:rsidRDefault="0000369C" w:rsidP="0000369C">
      <w:pPr>
        <w:pStyle w:val="afe"/>
        <w:ind w:left="0" w:firstLine="709"/>
        <w:rPr>
          <w:szCs w:val="24"/>
        </w:rPr>
      </w:pPr>
      <w:r w:rsidRPr="003A7159">
        <w:rPr>
          <w:szCs w:val="24"/>
        </w:rPr>
        <w:t xml:space="preserve">Если с помощью индивидуального подбора донорских </w:t>
      </w:r>
      <w:r>
        <w:rPr>
          <w:szCs w:val="24"/>
        </w:rPr>
        <w:t>т</w:t>
      </w:r>
      <w:r w:rsidRPr="003A7159">
        <w:rPr>
          <w:szCs w:val="24"/>
        </w:rPr>
        <w:t xml:space="preserve">ромбоцитов не удаётся получить достаточный прирост тромбоцитов и клинический эффект от  трансфузий </w:t>
      </w:r>
      <w:r>
        <w:rPr>
          <w:szCs w:val="24"/>
        </w:rPr>
        <w:t>концентрата тромбоцитов</w:t>
      </w:r>
      <w:r w:rsidRPr="003A7159">
        <w:rPr>
          <w:szCs w:val="24"/>
        </w:rPr>
        <w:t xml:space="preserve">, то для улучшения эффективности индивидуального подбора пары «донор-реципиент» к терапии добавляют процедуры плазмафереза. В основе развивающейся рефрактерности к трансфузиям </w:t>
      </w:r>
      <w:r>
        <w:rPr>
          <w:szCs w:val="24"/>
        </w:rPr>
        <w:t>концентрата тромбоцитов</w:t>
      </w:r>
      <w:r w:rsidRPr="003A7159">
        <w:rPr>
          <w:szCs w:val="24"/>
        </w:rPr>
        <w:t xml:space="preserve"> лежит аллосенсибилизация реципиента лейкоцитарными и тромбоцитарными антигенами донорских клеток крови. </w:t>
      </w:r>
      <w:r>
        <w:rPr>
          <w:szCs w:val="24"/>
        </w:rPr>
        <w:t>В этом случае ц</w:t>
      </w:r>
      <w:r w:rsidRPr="003A7159">
        <w:rPr>
          <w:szCs w:val="24"/>
        </w:rPr>
        <w:t>елью проведения ПА является уменьшение концентрации циркулирующих аллоантител и иммунных комплексов.</w:t>
      </w:r>
    </w:p>
    <w:p w14:paraId="19BA0734" w14:textId="77777777" w:rsidR="0000369C" w:rsidRPr="003A7159" w:rsidRDefault="0000369C" w:rsidP="0000369C">
      <w:pPr>
        <w:pStyle w:val="afe"/>
        <w:ind w:left="0" w:firstLine="709"/>
        <w:rPr>
          <w:szCs w:val="24"/>
        </w:rPr>
      </w:pPr>
      <w:r w:rsidRPr="003A7159">
        <w:rPr>
          <w:szCs w:val="24"/>
        </w:rPr>
        <w:t>Для преод</w:t>
      </w:r>
      <w:r>
        <w:rPr>
          <w:szCs w:val="24"/>
        </w:rPr>
        <w:t>о</w:t>
      </w:r>
      <w:r w:rsidRPr="003A7159">
        <w:rPr>
          <w:szCs w:val="24"/>
        </w:rPr>
        <w:t xml:space="preserve">ления рефрактерности к трансфузиям </w:t>
      </w:r>
      <w:r>
        <w:rPr>
          <w:szCs w:val="24"/>
        </w:rPr>
        <w:t>концентрата тромбоцитов</w:t>
      </w:r>
      <w:r w:rsidRPr="003A7159">
        <w:rPr>
          <w:szCs w:val="24"/>
        </w:rPr>
        <w:t xml:space="preserve"> в большинстве случаев достаточно провести 5-6 процедур (от 2 до 15 процедур) ПА в сочетании с индивидуальным подбором тромбоцитов. </w:t>
      </w:r>
    </w:p>
    <w:p w14:paraId="10B31ECD" w14:textId="77777777" w:rsidR="0000369C" w:rsidRPr="00736DDC" w:rsidRDefault="0000369C" w:rsidP="00C5490F">
      <w:pPr>
        <w:pStyle w:val="afe"/>
        <w:numPr>
          <w:ilvl w:val="0"/>
          <w:numId w:val="64"/>
        </w:numPr>
        <w:rPr>
          <w:szCs w:val="24"/>
        </w:rPr>
      </w:pPr>
      <w:r w:rsidRPr="00736DDC">
        <w:rPr>
          <w:szCs w:val="24"/>
        </w:rPr>
        <w:t xml:space="preserve">ПА проводятся 2-3 раза в неделю с интервалом 2-3 дня. </w:t>
      </w:r>
    </w:p>
    <w:p w14:paraId="42B147D5" w14:textId="77777777" w:rsidR="0000369C" w:rsidRPr="00736DDC" w:rsidRDefault="0000369C" w:rsidP="00C5490F">
      <w:pPr>
        <w:pStyle w:val="afe"/>
        <w:numPr>
          <w:ilvl w:val="0"/>
          <w:numId w:val="64"/>
        </w:numPr>
        <w:rPr>
          <w:szCs w:val="24"/>
        </w:rPr>
      </w:pPr>
      <w:r w:rsidRPr="00736DDC">
        <w:rPr>
          <w:szCs w:val="24"/>
        </w:rPr>
        <w:t>Объём удаляемой плазмы:</w:t>
      </w:r>
      <w:r>
        <w:rPr>
          <w:szCs w:val="24"/>
        </w:rPr>
        <w:t xml:space="preserve"> </w:t>
      </w:r>
      <w:r w:rsidRPr="00736DDC">
        <w:rPr>
          <w:szCs w:val="24"/>
        </w:rPr>
        <w:t xml:space="preserve">за одну процедуру удаляется 0,5 </w:t>
      </w:r>
      <w:r>
        <w:rPr>
          <w:szCs w:val="24"/>
        </w:rPr>
        <w:t>ОЦП</w:t>
      </w:r>
      <w:r w:rsidRPr="00736DDC">
        <w:rPr>
          <w:szCs w:val="24"/>
        </w:rPr>
        <w:t>, в среднем 1500</w:t>
      </w:r>
      <w:r>
        <w:rPr>
          <w:szCs w:val="24"/>
        </w:rPr>
        <w:t xml:space="preserve"> </w:t>
      </w:r>
      <w:r w:rsidRPr="00736DDC">
        <w:rPr>
          <w:szCs w:val="24"/>
        </w:rPr>
        <w:t>мл</w:t>
      </w:r>
      <w:r>
        <w:rPr>
          <w:szCs w:val="24"/>
        </w:rPr>
        <w:t xml:space="preserve"> (1000 – </w:t>
      </w:r>
      <w:r w:rsidRPr="00736DDC">
        <w:rPr>
          <w:szCs w:val="24"/>
        </w:rPr>
        <w:t>2000</w:t>
      </w:r>
      <w:r>
        <w:rPr>
          <w:szCs w:val="24"/>
        </w:rPr>
        <w:t xml:space="preserve"> </w:t>
      </w:r>
      <w:r w:rsidRPr="00736DDC">
        <w:rPr>
          <w:szCs w:val="24"/>
        </w:rPr>
        <w:t>мл)</w:t>
      </w:r>
      <w:r>
        <w:rPr>
          <w:szCs w:val="24"/>
        </w:rPr>
        <w:t>.</w:t>
      </w:r>
    </w:p>
    <w:p w14:paraId="261D9A69" w14:textId="77777777" w:rsidR="0000369C" w:rsidRPr="003A7159" w:rsidRDefault="0000369C" w:rsidP="0000369C">
      <w:pPr>
        <w:ind w:firstLine="709"/>
        <w:rPr>
          <w:szCs w:val="24"/>
        </w:rPr>
      </w:pPr>
      <w:r w:rsidRPr="003A7159">
        <w:rPr>
          <w:szCs w:val="24"/>
        </w:rPr>
        <w:lastRenderedPageBreak/>
        <w:t>С целью предупреждения  дополнительной аллоиммунизации антигенами донорских клеток крови и белками донорской плазмы замещение объёма удалённой плазмы проводится 5%, 10%, 20% раствором альбумина и раствором</w:t>
      </w:r>
      <w:r>
        <w:rPr>
          <w:szCs w:val="24"/>
        </w:rPr>
        <w:t xml:space="preserve"> натрия хлорида 0,9%</w:t>
      </w:r>
      <w:r w:rsidRPr="003A7159">
        <w:rPr>
          <w:szCs w:val="24"/>
        </w:rPr>
        <w:t>.</w:t>
      </w:r>
    </w:p>
    <w:p w14:paraId="58B9746D" w14:textId="77777777" w:rsidR="0000369C" w:rsidRDefault="0000369C" w:rsidP="0000369C">
      <w:pPr>
        <w:ind w:firstLine="709"/>
        <w:rPr>
          <w:szCs w:val="24"/>
        </w:rPr>
      </w:pPr>
      <w:r w:rsidRPr="003A7159">
        <w:rPr>
          <w:szCs w:val="24"/>
        </w:rPr>
        <w:t xml:space="preserve">Соотношение раствора 5% альбумина и </w:t>
      </w:r>
      <w:r>
        <w:rPr>
          <w:szCs w:val="24"/>
        </w:rPr>
        <w:t>р</w:t>
      </w:r>
      <w:r w:rsidRPr="00623297">
        <w:rPr>
          <w:szCs w:val="24"/>
        </w:rPr>
        <w:t>аствор</w:t>
      </w:r>
      <w:r>
        <w:rPr>
          <w:szCs w:val="24"/>
        </w:rPr>
        <w:t>а</w:t>
      </w:r>
      <w:r w:rsidRPr="00623297">
        <w:rPr>
          <w:szCs w:val="24"/>
        </w:rPr>
        <w:t xml:space="preserve"> </w:t>
      </w:r>
      <w:r>
        <w:rPr>
          <w:szCs w:val="24"/>
        </w:rPr>
        <w:t xml:space="preserve">натрия хлорида 0,9% </w:t>
      </w:r>
      <w:r w:rsidRPr="003A7159">
        <w:rPr>
          <w:szCs w:val="24"/>
        </w:rPr>
        <w:t>1:1 при уровне общего белка ≥ 65г/л</w:t>
      </w:r>
      <w:r>
        <w:rPr>
          <w:szCs w:val="24"/>
        </w:rPr>
        <w:t xml:space="preserve">: </w:t>
      </w:r>
    </w:p>
    <w:p w14:paraId="5DB461F9" w14:textId="77777777" w:rsidR="0000369C" w:rsidRPr="009A1835" w:rsidRDefault="0000369C" w:rsidP="00C5490F">
      <w:pPr>
        <w:pStyle w:val="afe"/>
        <w:numPr>
          <w:ilvl w:val="0"/>
          <w:numId w:val="65"/>
        </w:numPr>
        <w:rPr>
          <w:szCs w:val="24"/>
        </w:rPr>
      </w:pPr>
      <w:r w:rsidRPr="009A1835">
        <w:rPr>
          <w:szCs w:val="24"/>
        </w:rPr>
        <w:t xml:space="preserve">Альбумин 5% - (500мл – 1000мл) в среднем 800 мл; </w:t>
      </w:r>
    </w:p>
    <w:p w14:paraId="6C1F6845" w14:textId="77777777" w:rsidR="0000369C" w:rsidRPr="009A1835" w:rsidRDefault="0000369C" w:rsidP="00C5490F">
      <w:pPr>
        <w:pStyle w:val="afe"/>
        <w:numPr>
          <w:ilvl w:val="0"/>
          <w:numId w:val="65"/>
        </w:numPr>
        <w:rPr>
          <w:szCs w:val="24"/>
        </w:rPr>
      </w:pPr>
      <w:r>
        <w:rPr>
          <w:szCs w:val="24"/>
        </w:rPr>
        <w:t>Р</w:t>
      </w:r>
      <w:r w:rsidRPr="00623297">
        <w:rPr>
          <w:szCs w:val="24"/>
        </w:rPr>
        <w:t xml:space="preserve">аствор </w:t>
      </w:r>
      <w:r>
        <w:rPr>
          <w:szCs w:val="24"/>
        </w:rPr>
        <w:t xml:space="preserve">натрия хлорида 0,9% </w:t>
      </w:r>
      <w:r w:rsidRPr="009A1835">
        <w:rPr>
          <w:szCs w:val="24"/>
        </w:rPr>
        <w:t>в среднем 800 мл (500 – 1000 мл).</w:t>
      </w:r>
    </w:p>
    <w:p w14:paraId="0BEFFE9A" w14:textId="77777777" w:rsidR="0000369C" w:rsidRDefault="0000369C" w:rsidP="0000369C">
      <w:pPr>
        <w:rPr>
          <w:szCs w:val="24"/>
          <w:u w:val="single"/>
        </w:rPr>
      </w:pPr>
    </w:p>
    <w:p w14:paraId="11072434" w14:textId="77777777" w:rsidR="0000369C" w:rsidRDefault="0000369C" w:rsidP="0000369C">
      <w:pPr>
        <w:ind w:firstLine="709"/>
        <w:rPr>
          <w:szCs w:val="24"/>
          <w:u w:val="single"/>
        </w:rPr>
      </w:pPr>
      <w:r w:rsidRPr="00623297">
        <w:rPr>
          <w:szCs w:val="24"/>
          <w:u w:val="single"/>
        </w:rPr>
        <w:t>Методические аспекты проведения ПА при тромбоцитопении, рефрактерной к трансфузиям концентрата тромбоцитов:</w:t>
      </w:r>
      <w:r>
        <w:rPr>
          <w:szCs w:val="24"/>
          <w:u w:val="single"/>
        </w:rPr>
        <w:t xml:space="preserve"> </w:t>
      </w:r>
    </w:p>
    <w:p w14:paraId="5A049297" w14:textId="77777777" w:rsidR="0000369C" w:rsidRPr="00623297" w:rsidRDefault="0000369C" w:rsidP="00C5490F">
      <w:pPr>
        <w:pStyle w:val="afe"/>
        <w:numPr>
          <w:ilvl w:val="0"/>
          <w:numId w:val="66"/>
        </w:numPr>
        <w:rPr>
          <w:szCs w:val="24"/>
          <w:u w:val="single"/>
        </w:rPr>
      </w:pPr>
      <w:r w:rsidRPr="00623297">
        <w:rPr>
          <w:szCs w:val="24"/>
        </w:rPr>
        <w:t>При наличии глубокой  тромбоцитопении (≤ 20х10</w:t>
      </w:r>
      <w:r w:rsidRPr="00623297">
        <w:rPr>
          <w:szCs w:val="24"/>
          <w:vertAlign w:val="superscript"/>
        </w:rPr>
        <w:t>9</w:t>
      </w:r>
      <w:r w:rsidRPr="00623297">
        <w:rPr>
          <w:szCs w:val="24"/>
        </w:rPr>
        <w:t>/л) перед началом  проведения процедуры ПА необходимо провести трансфузию 4 – 6 доз тромбоцитов, заказать концентрат тромбоцитов для трансфузии после окончания процедуры ПА.</w:t>
      </w:r>
    </w:p>
    <w:p w14:paraId="7C78916E" w14:textId="77777777" w:rsidR="0000369C" w:rsidRPr="00C62ED8" w:rsidRDefault="0000369C" w:rsidP="00C5490F">
      <w:pPr>
        <w:pStyle w:val="afe"/>
        <w:numPr>
          <w:ilvl w:val="0"/>
          <w:numId w:val="66"/>
        </w:numPr>
        <w:rPr>
          <w:szCs w:val="24"/>
        </w:rPr>
      </w:pPr>
      <w:r w:rsidRPr="00C62ED8">
        <w:rPr>
          <w:szCs w:val="24"/>
        </w:rPr>
        <w:t>После проведённой процедуры ПА уровень общего белка плазмы должен быть ≥ 50г/л; если уровень общего белка плазмы будет меньше, то требуется дополнительное введение альбумина.</w:t>
      </w:r>
    </w:p>
    <w:p w14:paraId="38701C5A" w14:textId="77777777" w:rsidR="0000369C" w:rsidRDefault="0000369C" w:rsidP="00C5490F">
      <w:pPr>
        <w:pStyle w:val="afe"/>
        <w:numPr>
          <w:ilvl w:val="0"/>
          <w:numId w:val="66"/>
        </w:numPr>
        <w:rPr>
          <w:szCs w:val="24"/>
        </w:rPr>
      </w:pPr>
      <w:r w:rsidRPr="00623297">
        <w:rPr>
          <w:szCs w:val="24"/>
        </w:rPr>
        <w:t xml:space="preserve">После каждых 2 – 3 процедур ПА необходим контроль уровня сывороточного белка и коагулограммы для исключения дефицита факторов свёртывания крови и развития геморрагического синдрома. При сохранении дефицита факторов свёртывания крови замещение объёма удалённой плазмы надо проводить СЗП + р-ром 5% альбумина  и </w:t>
      </w:r>
      <w:r>
        <w:rPr>
          <w:szCs w:val="24"/>
        </w:rPr>
        <w:t>р</w:t>
      </w:r>
      <w:r w:rsidRPr="00623297">
        <w:rPr>
          <w:szCs w:val="24"/>
        </w:rPr>
        <w:t>аствор</w:t>
      </w:r>
      <w:r>
        <w:rPr>
          <w:szCs w:val="24"/>
        </w:rPr>
        <w:t>ом</w:t>
      </w:r>
      <w:r w:rsidRPr="00623297">
        <w:rPr>
          <w:szCs w:val="24"/>
        </w:rPr>
        <w:t xml:space="preserve"> </w:t>
      </w:r>
      <w:r>
        <w:rPr>
          <w:szCs w:val="24"/>
        </w:rPr>
        <w:t>натрия хлорида 0,9%</w:t>
      </w:r>
      <w:r w:rsidRPr="00623297">
        <w:rPr>
          <w:szCs w:val="24"/>
        </w:rPr>
        <w:t xml:space="preserve">. </w:t>
      </w:r>
    </w:p>
    <w:p w14:paraId="3FFC780B" w14:textId="77777777" w:rsidR="0000369C" w:rsidRPr="00623297" w:rsidRDefault="0000369C" w:rsidP="00C5490F">
      <w:pPr>
        <w:pStyle w:val="afe"/>
        <w:numPr>
          <w:ilvl w:val="0"/>
          <w:numId w:val="66"/>
        </w:numPr>
        <w:rPr>
          <w:szCs w:val="24"/>
        </w:rPr>
      </w:pPr>
      <w:r w:rsidRPr="00623297">
        <w:rPr>
          <w:szCs w:val="24"/>
        </w:rPr>
        <w:t xml:space="preserve">Соотношение СЗП + раствора 5% альбумина и </w:t>
      </w:r>
      <w:r>
        <w:rPr>
          <w:szCs w:val="24"/>
        </w:rPr>
        <w:t>р</w:t>
      </w:r>
      <w:r w:rsidRPr="00623297">
        <w:rPr>
          <w:szCs w:val="24"/>
        </w:rPr>
        <w:t>аствор</w:t>
      </w:r>
      <w:r>
        <w:rPr>
          <w:szCs w:val="24"/>
        </w:rPr>
        <w:t>а</w:t>
      </w:r>
      <w:r w:rsidRPr="00623297">
        <w:rPr>
          <w:szCs w:val="24"/>
        </w:rPr>
        <w:t xml:space="preserve"> </w:t>
      </w:r>
      <w:r>
        <w:rPr>
          <w:szCs w:val="24"/>
        </w:rPr>
        <w:t xml:space="preserve">натрия хлорида 0,9% </w:t>
      </w:r>
      <w:r w:rsidRPr="00623297">
        <w:rPr>
          <w:szCs w:val="24"/>
        </w:rPr>
        <w:t xml:space="preserve">1:1 при уровне общего белка ≥ 65г/л </w:t>
      </w:r>
    </w:p>
    <w:p w14:paraId="5396258C" w14:textId="77777777" w:rsidR="0000369C" w:rsidRPr="00623297" w:rsidRDefault="0000369C" w:rsidP="00C5490F">
      <w:pPr>
        <w:pStyle w:val="afe"/>
        <w:numPr>
          <w:ilvl w:val="0"/>
          <w:numId w:val="67"/>
        </w:numPr>
        <w:rPr>
          <w:szCs w:val="24"/>
        </w:rPr>
      </w:pPr>
      <w:r w:rsidRPr="00623297">
        <w:rPr>
          <w:szCs w:val="24"/>
        </w:rPr>
        <w:t>СЗП –  в среднем 500</w:t>
      </w:r>
      <w:r>
        <w:rPr>
          <w:szCs w:val="24"/>
        </w:rPr>
        <w:t xml:space="preserve"> </w:t>
      </w:r>
      <w:r w:rsidRPr="00623297">
        <w:rPr>
          <w:szCs w:val="24"/>
        </w:rPr>
        <w:t>мл</w:t>
      </w:r>
      <w:r>
        <w:rPr>
          <w:szCs w:val="24"/>
        </w:rPr>
        <w:t xml:space="preserve"> (500 – </w:t>
      </w:r>
      <w:r w:rsidRPr="00623297">
        <w:rPr>
          <w:szCs w:val="24"/>
        </w:rPr>
        <w:t>1000</w:t>
      </w:r>
      <w:r>
        <w:rPr>
          <w:szCs w:val="24"/>
        </w:rPr>
        <w:t xml:space="preserve"> </w:t>
      </w:r>
      <w:r w:rsidRPr="00623297">
        <w:rPr>
          <w:szCs w:val="24"/>
        </w:rPr>
        <w:t>мл);</w:t>
      </w:r>
    </w:p>
    <w:p w14:paraId="422B46BF" w14:textId="77777777" w:rsidR="0000369C" w:rsidRPr="00623297" w:rsidRDefault="0000369C" w:rsidP="00C5490F">
      <w:pPr>
        <w:pStyle w:val="afe"/>
        <w:numPr>
          <w:ilvl w:val="0"/>
          <w:numId w:val="67"/>
        </w:numPr>
        <w:rPr>
          <w:szCs w:val="24"/>
        </w:rPr>
      </w:pPr>
      <w:r>
        <w:rPr>
          <w:szCs w:val="24"/>
        </w:rPr>
        <w:t xml:space="preserve">Альбумин 5%  200 – </w:t>
      </w:r>
      <w:r w:rsidRPr="00623297">
        <w:rPr>
          <w:szCs w:val="24"/>
        </w:rPr>
        <w:t>300мл (10 - 15г);</w:t>
      </w:r>
    </w:p>
    <w:p w14:paraId="1145F3E4" w14:textId="77777777" w:rsidR="0000369C" w:rsidRPr="00623297" w:rsidRDefault="0000369C" w:rsidP="00C5490F">
      <w:pPr>
        <w:pStyle w:val="afe"/>
        <w:numPr>
          <w:ilvl w:val="0"/>
          <w:numId w:val="67"/>
        </w:numPr>
        <w:rPr>
          <w:szCs w:val="24"/>
        </w:rPr>
      </w:pPr>
      <w:r>
        <w:rPr>
          <w:szCs w:val="24"/>
        </w:rPr>
        <w:t>Р</w:t>
      </w:r>
      <w:r w:rsidRPr="00623297">
        <w:rPr>
          <w:szCs w:val="24"/>
        </w:rPr>
        <w:t xml:space="preserve">аствор </w:t>
      </w:r>
      <w:r>
        <w:rPr>
          <w:szCs w:val="24"/>
        </w:rPr>
        <w:t xml:space="preserve">натрия хлорида 0,9% </w:t>
      </w:r>
      <w:r w:rsidRPr="00623297">
        <w:rPr>
          <w:szCs w:val="24"/>
        </w:rPr>
        <w:t>в среднем 800</w:t>
      </w:r>
      <w:r>
        <w:rPr>
          <w:szCs w:val="24"/>
        </w:rPr>
        <w:t xml:space="preserve"> </w:t>
      </w:r>
      <w:r w:rsidRPr="00623297">
        <w:rPr>
          <w:szCs w:val="24"/>
        </w:rPr>
        <w:t>мл</w:t>
      </w:r>
      <w:r>
        <w:rPr>
          <w:szCs w:val="24"/>
        </w:rPr>
        <w:t xml:space="preserve"> </w:t>
      </w:r>
      <w:r w:rsidRPr="003A7159">
        <w:rPr>
          <w:szCs w:val="24"/>
        </w:rPr>
        <w:t>(500 – 1000</w:t>
      </w:r>
      <w:r>
        <w:rPr>
          <w:szCs w:val="24"/>
        </w:rPr>
        <w:t xml:space="preserve"> </w:t>
      </w:r>
      <w:r w:rsidRPr="003A7159">
        <w:rPr>
          <w:szCs w:val="24"/>
        </w:rPr>
        <w:t>мл)</w:t>
      </w:r>
      <w:r>
        <w:rPr>
          <w:szCs w:val="24"/>
        </w:rPr>
        <w:t>.</w:t>
      </w:r>
      <w:r w:rsidRPr="00623297">
        <w:rPr>
          <w:szCs w:val="24"/>
        </w:rPr>
        <w:t xml:space="preserve"> </w:t>
      </w:r>
    </w:p>
    <w:p w14:paraId="43AA37E3" w14:textId="77777777" w:rsidR="0000369C" w:rsidRPr="003A7159" w:rsidRDefault="0000369C" w:rsidP="0000369C">
      <w:pPr>
        <w:ind w:firstLine="709"/>
        <w:rPr>
          <w:szCs w:val="24"/>
        </w:rPr>
      </w:pPr>
      <w:r w:rsidRPr="003A7159">
        <w:rPr>
          <w:szCs w:val="24"/>
        </w:rPr>
        <w:t>Соотношение СЗП + раствора 5% альбумина и раствора</w:t>
      </w:r>
      <w:r>
        <w:rPr>
          <w:szCs w:val="24"/>
        </w:rPr>
        <w:t xml:space="preserve"> натрия хлорида 0,9% </w:t>
      </w:r>
      <w:r w:rsidRPr="003A7159">
        <w:rPr>
          <w:szCs w:val="24"/>
        </w:rPr>
        <w:t xml:space="preserve"> </w:t>
      </w:r>
      <w:r>
        <w:rPr>
          <w:szCs w:val="24"/>
        </w:rPr>
        <w:t xml:space="preserve">составляет </w:t>
      </w:r>
      <w:r w:rsidRPr="003A7159">
        <w:rPr>
          <w:szCs w:val="24"/>
        </w:rPr>
        <w:t xml:space="preserve">2:1 при уровне общего белка </w:t>
      </w:r>
      <w:r>
        <w:rPr>
          <w:szCs w:val="24"/>
        </w:rPr>
        <w:t xml:space="preserve"> ≤ 55г/л:</w:t>
      </w:r>
    </w:p>
    <w:p w14:paraId="742ED2EF" w14:textId="77777777" w:rsidR="0000369C" w:rsidRPr="00767D08" w:rsidRDefault="0000369C" w:rsidP="00C5490F">
      <w:pPr>
        <w:pStyle w:val="afe"/>
        <w:numPr>
          <w:ilvl w:val="0"/>
          <w:numId w:val="67"/>
        </w:numPr>
        <w:rPr>
          <w:szCs w:val="24"/>
        </w:rPr>
      </w:pPr>
      <w:r w:rsidRPr="00C02A00">
        <w:rPr>
          <w:szCs w:val="24"/>
        </w:rPr>
        <w:t xml:space="preserve">СЗП </w:t>
      </w:r>
      <w:r>
        <w:rPr>
          <w:szCs w:val="24"/>
        </w:rPr>
        <w:t>–</w:t>
      </w:r>
      <w:r w:rsidRPr="00C02A00">
        <w:rPr>
          <w:szCs w:val="24"/>
        </w:rPr>
        <w:t xml:space="preserve"> </w:t>
      </w:r>
      <w:r w:rsidRPr="00767D08">
        <w:rPr>
          <w:szCs w:val="24"/>
        </w:rPr>
        <w:t>в среднем 800</w:t>
      </w:r>
      <w:r>
        <w:rPr>
          <w:szCs w:val="24"/>
        </w:rPr>
        <w:t xml:space="preserve"> </w:t>
      </w:r>
      <w:r w:rsidRPr="00767D08">
        <w:rPr>
          <w:szCs w:val="24"/>
        </w:rPr>
        <w:t>мл</w:t>
      </w:r>
      <w:r>
        <w:rPr>
          <w:szCs w:val="24"/>
        </w:rPr>
        <w:t xml:space="preserve"> </w:t>
      </w:r>
      <w:r w:rsidRPr="00C02A00">
        <w:rPr>
          <w:szCs w:val="24"/>
        </w:rPr>
        <w:t>(500 – 1000мл)</w:t>
      </w:r>
      <w:r w:rsidRPr="00767D08">
        <w:rPr>
          <w:szCs w:val="24"/>
        </w:rPr>
        <w:t xml:space="preserve">; </w:t>
      </w:r>
    </w:p>
    <w:p w14:paraId="435F0200" w14:textId="77777777" w:rsidR="0000369C" w:rsidRPr="00767D08" w:rsidRDefault="0000369C" w:rsidP="00C5490F">
      <w:pPr>
        <w:pStyle w:val="afe"/>
        <w:numPr>
          <w:ilvl w:val="0"/>
          <w:numId w:val="67"/>
        </w:numPr>
        <w:rPr>
          <w:szCs w:val="24"/>
        </w:rPr>
      </w:pPr>
      <w:r>
        <w:rPr>
          <w:szCs w:val="24"/>
        </w:rPr>
        <w:t>Альбумин 5%</w:t>
      </w:r>
      <w:r w:rsidRPr="00C02A00">
        <w:rPr>
          <w:szCs w:val="24"/>
        </w:rPr>
        <w:t xml:space="preserve"> 200</w:t>
      </w:r>
      <w:r>
        <w:rPr>
          <w:szCs w:val="24"/>
        </w:rPr>
        <w:t xml:space="preserve"> – </w:t>
      </w:r>
      <w:r w:rsidRPr="00767D08">
        <w:rPr>
          <w:szCs w:val="24"/>
        </w:rPr>
        <w:t>300мл  (10-15г);</w:t>
      </w:r>
    </w:p>
    <w:p w14:paraId="2EDC987C" w14:textId="77777777" w:rsidR="0000369C" w:rsidRPr="00C02A00" w:rsidRDefault="0000369C" w:rsidP="00C5490F">
      <w:pPr>
        <w:pStyle w:val="afe"/>
        <w:numPr>
          <w:ilvl w:val="0"/>
          <w:numId w:val="67"/>
        </w:numPr>
        <w:rPr>
          <w:szCs w:val="24"/>
        </w:rPr>
      </w:pPr>
      <w:r w:rsidRPr="00C02A00">
        <w:rPr>
          <w:szCs w:val="24"/>
        </w:rPr>
        <w:t>Раствор натрия хлорида 0,9% –</w:t>
      </w:r>
      <w:r>
        <w:rPr>
          <w:szCs w:val="24"/>
        </w:rPr>
        <w:t xml:space="preserve"> </w:t>
      </w:r>
      <w:r w:rsidRPr="00C02A00">
        <w:rPr>
          <w:szCs w:val="24"/>
        </w:rPr>
        <w:t>в среднем 500мл (500 – 1000мл)</w:t>
      </w:r>
      <w:r>
        <w:rPr>
          <w:szCs w:val="24"/>
        </w:rPr>
        <w:t>.</w:t>
      </w:r>
      <w:r w:rsidRPr="00C02A00">
        <w:rPr>
          <w:szCs w:val="24"/>
        </w:rPr>
        <w:t xml:space="preserve">   </w:t>
      </w:r>
    </w:p>
    <w:p w14:paraId="5FD2A8C2" w14:textId="77777777" w:rsidR="0000369C" w:rsidRPr="003A7159" w:rsidRDefault="0000369C" w:rsidP="0000369C">
      <w:pPr>
        <w:pStyle w:val="afe"/>
        <w:ind w:left="0" w:firstLine="709"/>
        <w:rPr>
          <w:szCs w:val="24"/>
        </w:rPr>
      </w:pPr>
      <w:r w:rsidRPr="003A7159">
        <w:rPr>
          <w:szCs w:val="24"/>
        </w:rPr>
        <w:lastRenderedPageBreak/>
        <w:t xml:space="preserve">С целью профилактики цитратной реакции на каждый 1л СЗП вводится </w:t>
      </w:r>
      <w:r>
        <w:rPr>
          <w:szCs w:val="24"/>
        </w:rPr>
        <w:t>внутривенно 5мл раствора к</w:t>
      </w:r>
      <w:r w:rsidRPr="003A7159">
        <w:rPr>
          <w:szCs w:val="24"/>
        </w:rPr>
        <w:t xml:space="preserve">альция глюконата 10% или 5мл раствора </w:t>
      </w:r>
      <w:r>
        <w:rPr>
          <w:szCs w:val="24"/>
        </w:rPr>
        <w:t>к</w:t>
      </w:r>
      <w:r w:rsidRPr="003A7159">
        <w:rPr>
          <w:szCs w:val="24"/>
        </w:rPr>
        <w:t>альция хлорида 10%.</w:t>
      </w:r>
    </w:p>
    <w:p w14:paraId="2FA100E8" w14:textId="77777777" w:rsidR="0000369C" w:rsidRDefault="0000369C" w:rsidP="0000369C">
      <w:pPr>
        <w:pStyle w:val="afe"/>
        <w:ind w:left="0" w:firstLine="709"/>
        <w:rPr>
          <w:szCs w:val="24"/>
        </w:rPr>
      </w:pPr>
      <w:r w:rsidRPr="003A7159">
        <w:rPr>
          <w:szCs w:val="24"/>
        </w:rPr>
        <w:t xml:space="preserve">При наличии негемолитической посттрансфузионной реакции на трансфузии СЗП перед процедурой необходима премедикация (антигистаминные препараты, 10% раствор </w:t>
      </w:r>
      <w:r>
        <w:rPr>
          <w:szCs w:val="24"/>
        </w:rPr>
        <w:t>к</w:t>
      </w:r>
      <w:r w:rsidRPr="003A7159">
        <w:rPr>
          <w:szCs w:val="24"/>
        </w:rPr>
        <w:t>альция глюконата 10</w:t>
      </w:r>
      <w:r>
        <w:rPr>
          <w:szCs w:val="24"/>
        </w:rPr>
        <w:t xml:space="preserve"> </w:t>
      </w:r>
      <w:r w:rsidRPr="003A7159">
        <w:rPr>
          <w:szCs w:val="24"/>
        </w:rPr>
        <w:t>мл).</w:t>
      </w:r>
    </w:p>
    <w:p w14:paraId="4EAC835F" w14:textId="0D2526F8" w:rsidR="0000369C" w:rsidRDefault="0000369C" w:rsidP="0000369C">
      <w:pPr>
        <w:pStyle w:val="afffff0"/>
        <w:spacing w:after="0" w:line="360" w:lineRule="auto"/>
        <w:rPr>
          <w:i w:val="0"/>
          <w:lang w:val="ru-RU"/>
        </w:rPr>
      </w:pPr>
    </w:p>
    <w:p w14:paraId="4952ADE9" w14:textId="406435BE" w:rsidR="001C46FD" w:rsidRPr="001C46FD" w:rsidRDefault="0000369C" w:rsidP="001C46FD">
      <w:pPr>
        <w:pStyle w:val="2"/>
      </w:pPr>
      <w:bookmarkStart w:id="217" w:name="_Toc67522266"/>
      <w:r>
        <w:t xml:space="preserve">Приложение А3.6. </w:t>
      </w:r>
      <w:bookmarkStart w:id="218" w:name="_Toc64477555"/>
      <w:r w:rsidR="001C46FD" w:rsidRPr="002C6FFD">
        <w:rPr>
          <w:rFonts w:eastAsia="Arial Unicode MS"/>
        </w:rPr>
        <w:t>Протоколы выполнения аспирационного и биопсийного исследования костного мозга</w:t>
      </w:r>
      <w:bookmarkEnd w:id="217"/>
      <w:bookmarkEnd w:id="218"/>
    </w:p>
    <w:p w14:paraId="41EC6771" w14:textId="77777777" w:rsidR="001C46FD" w:rsidRPr="002C6FFD" w:rsidRDefault="001C46FD" w:rsidP="001C46FD">
      <w:pPr>
        <w:pStyle w:val="Normal11"/>
        <w:spacing w:before="0" w:line="360" w:lineRule="auto"/>
        <w:ind w:left="0" w:firstLine="699"/>
        <w:rPr>
          <w:spacing w:val="0"/>
        </w:rPr>
      </w:pPr>
      <w:r w:rsidRPr="002C6FFD">
        <w:rPr>
          <w:spacing w:val="0"/>
          <w:shd w:val="clear" w:color="auto" w:fill="FFFFFF"/>
        </w:rPr>
        <w:t>Пункционное (стернальная пункция, аспирация костного мозга) и биопсийное (трепанобиопсия, биопсия костного мозга) исследования костного мозга — это диагностические методы, позволяющие получить образец тканей костного мозга из грудины или костей таза, путем аспирации и чрескожной трепанобиопсии.</w:t>
      </w:r>
    </w:p>
    <w:p w14:paraId="2549383D" w14:textId="77777777" w:rsidR="001C46FD" w:rsidRPr="002C6FFD" w:rsidRDefault="001C46FD" w:rsidP="001C46FD">
      <w:pPr>
        <w:ind w:firstLine="699"/>
        <w:rPr>
          <w:rFonts w:cs="Times New Roman"/>
          <w:szCs w:val="24"/>
        </w:rPr>
      </w:pPr>
      <w:r w:rsidRPr="002C6FFD">
        <w:rPr>
          <w:rFonts w:cs="Times New Roman"/>
          <w:szCs w:val="24"/>
        </w:rPr>
        <w:t xml:space="preserve">С помощью аспирационной биопсии (пункции) получают образцы костного мозга для морфологической оценки клеточного состава и, при необходимости, дополнительных исследований – иммунофенотипический анализ методом проточной цитометрии, цитогенетические, молекулярные и другие исследования. Биопсия костного мозга (трепанобиопсия) дополнительно позволяет получить при гистологическом исследовании более подробную информацию о клеточности костного мозга, его морфологическом составе, особенностях стромы, детально охарактеризовать клеточные популяции, в том числе, с помощью иммуногистохимического исследования. </w:t>
      </w:r>
    </w:p>
    <w:p w14:paraId="04FF3C01" w14:textId="77777777" w:rsidR="001C46FD" w:rsidRPr="002C6FFD" w:rsidRDefault="001C46FD" w:rsidP="001C46FD">
      <w:pPr>
        <w:ind w:firstLine="699"/>
        <w:rPr>
          <w:rFonts w:cs="Times New Roman"/>
          <w:szCs w:val="24"/>
        </w:rPr>
      </w:pPr>
      <w:r w:rsidRPr="002C6FFD">
        <w:rPr>
          <w:rFonts w:cs="Times New Roman"/>
          <w:szCs w:val="24"/>
        </w:rPr>
        <w:t xml:space="preserve">Процедуры аспирационного и биопсийного исследования костного мозга являются рутинными и проводятся в амбулаторных и стационарных условиях. Для выполнения пункции костного мозга применяются одноразовые или многоразовые стерилизуемые иглы. </w:t>
      </w:r>
      <w:r w:rsidRPr="002C6FFD">
        <w:rPr>
          <w:rFonts w:cs="Times New Roman"/>
          <w:color w:val="212121"/>
          <w:szCs w:val="24"/>
        </w:rPr>
        <w:t xml:space="preserve">Трепанобиопсия костного мозга </w:t>
      </w:r>
      <w:r w:rsidRPr="002C6FFD">
        <w:rPr>
          <w:rFonts w:cs="Times New Roman"/>
          <w:szCs w:val="24"/>
        </w:rPr>
        <w:t xml:space="preserve">выполняется одноразовой или многоразовой стерелизуемой иглой Jamshidi или иглой сходной с ней конструкции. </w:t>
      </w:r>
    </w:p>
    <w:p w14:paraId="4EAD9C8C" w14:textId="77777777" w:rsidR="001C46FD" w:rsidRDefault="001C46FD" w:rsidP="001C46FD">
      <w:pPr>
        <w:ind w:firstLine="699"/>
        <w:rPr>
          <w:rFonts w:cs="Times New Roman"/>
          <w:szCs w:val="24"/>
        </w:rPr>
      </w:pPr>
      <w:r w:rsidRPr="002C6FFD">
        <w:rPr>
          <w:rFonts w:cs="Times New Roman"/>
          <w:szCs w:val="24"/>
        </w:rPr>
        <w:t xml:space="preserve">При выполнении процедур взятия костного мозга для исследований редко возможны осложнения. Так, частота возникновения осложнений биопсии костного мозга по данным Британского общества гематологов за период 7 лет (1995—2001 гг.) составила 0,05% (26 / 54890, в том числе, 2 фатальных – сепсис, массивное кровотечение). В спектре осложнений наиболее частыми были: кровотечения (в том числе развитие массивных ретроперитонеальных гематом), поломка инструмента, инфекционные осложнения. Факторами риска развития кровотечения являлись </w:t>
      </w:r>
      <w:r w:rsidRPr="002C6FFD">
        <w:rPr>
          <w:rFonts w:cs="Times New Roman"/>
          <w:szCs w:val="24"/>
        </w:rPr>
        <w:lastRenderedPageBreak/>
        <w:t xml:space="preserve">проводимая больному терапия антикоагулянтами и антиагрегантами, миелопролиферативный или миелодиспластический синдромы, сопровождающиеся дисфункцией тромбоцитов, коагулологические нарушения, тромбоцитопения.  </w:t>
      </w:r>
    </w:p>
    <w:p w14:paraId="755B8AD0" w14:textId="77777777" w:rsidR="001C46FD" w:rsidRPr="002C6FFD" w:rsidRDefault="001C46FD" w:rsidP="001C46FD">
      <w:pPr>
        <w:ind w:firstLine="699"/>
        <w:rPr>
          <w:rFonts w:cs="Times New Roman"/>
          <w:szCs w:val="24"/>
        </w:rPr>
      </w:pPr>
    </w:p>
    <w:p w14:paraId="53E9333D" w14:textId="719B827D" w:rsidR="001C46FD" w:rsidRPr="00F30696" w:rsidRDefault="001C46FD" w:rsidP="001C46FD">
      <w:pPr>
        <w:rPr>
          <w:b/>
          <w:i/>
          <w:iCs/>
          <w:u w:val="single"/>
          <w:shd w:val="clear" w:color="auto" w:fill="FFFFFF"/>
        </w:rPr>
      </w:pPr>
      <w:r w:rsidRPr="00F30696">
        <w:rPr>
          <w:i/>
          <w:iCs/>
          <w:u w:val="single"/>
          <w:shd w:val="clear" w:color="auto" w:fill="FFFFFF"/>
        </w:rPr>
        <w:t xml:space="preserve">Показания к выполнению пункционного (аспирационного) исследования костного мозга </w:t>
      </w:r>
      <w:r w:rsidRPr="00F30696">
        <w:rPr>
          <w:b/>
          <w:i/>
          <w:iCs/>
          <w:u w:val="single"/>
          <w:shd w:val="clear" w:color="auto" w:fill="FFFFFF"/>
        </w:rPr>
        <w:fldChar w:fldCharType="begin" w:fldLock="1"/>
      </w:r>
      <w:r w:rsidR="008139EA">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[131]","plainTextFormattedCitation":"[131]","previouslyFormattedCitation":"[131]"},"properties":{"noteIndex":0},"schema":"https://github.com/citation-style-language/schema/raw/master/csl-citation.json"}</w:instrText>
      </w:r>
      <w:r w:rsidRPr="00F30696">
        <w:rPr>
          <w:b/>
          <w:i/>
          <w:iCs/>
          <w:u w:val="single"/>
          <w:shd w:val="clear" w:color="auto" w:fill="FFFFFF"/>
        </w:rPr>
        <w:fldChar w:fldCharType="separate"/>
      </w:r>
      <w:r w:rsidRPr="001C46FD">
        <w:rPr>
          <w:iCs/>
          <w:noProof/>
          <w:shd w:val="clear" w:color="auto" w:fill="FFFFFF"/>
        </w:rPr>
        <w:t>[131]</w:t>
      </w:r>
      <w:r w:rsidRPr="00F30696">
        <w:rPr>
          <w:b/>
          <w:i/>
          <w:iCs/>
          <w:u w:val="single"/>
          <w:shd w:val="clear" w:color="auto" w:fill="FFFFFF"/>
        </w:rPr>
        <w:fldChar w:fldCharType="end"/>
      </w:r>
      <w:r w:rsidRPr="00F30696">
        <w:rPr>
          <w:i/>
          <w:iCs/>
          <w:u w:val="single"/>
          <w:shd w:val="clear" w:color="auto" w:fill="FFFFFF"/>
        </w:rPr>
        <w:t xml:space="preserve"> </w:t>
      </w:r>
    </w:p>
    <w:p w14:paraId="345F97BB"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Дифференциальная диагностика гематологических заболеваний: острых и хронических лейкозов</w:t>
      </w:r>
      <w:r w:rsidRPr="002C6FFD">
        <w:rPr>
          <w:rFonts w:cs="Times New Roman"/>
          <w:spacing w:val="0"/>
        </w:rPr>
        <w:t xml:space="preserve">, </w:t>
      </w:r>
      <w:r w:rsidRPr="002C6FFD">
        <w:rPr>
          <w:rFonts w:cs="Times New Roman"/>
          <w:spacing w:val="0"/>
          <w:shd w:val="clear" w:color="auto" w:fill="FFFFFF"/>
        </w:rPr>
        <w:t>миелодиспластических синдромов, миелопролиферативных и лимфопролиферативных заболеваний, множественной миеломы и других плазмоклеточных заболеваний, апластической анемии, идиопатической тромбоцитопенической пурпуры.</w:t>
      </w:r>
    </w:p>
    <w:p w14:paraId="524CC257"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Оценка состояния миелопоэза при цитопении (одно-, двухростковой или панцитопении) невыясненной этиологии.</w:t>
      </w:r>
    </w:p>
    <w:p w14:paraId="65C8628A"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Оценка состояния миелопоэза при наличии незрелых клеток в периферической крови, особенно бластов; при лейкоцитозе невыясненной этиологии; при моноклональной гаммапатии.</w:t>
      </w:r>
    </w:p>
    <w:p w14:paraId="5379274A"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Оценка миелопоэза при макроцитарной анемии (вследствие недостаточного поступления или нарушения всасывания таких веществ как медь, цинк, витамин B</w:t>
      </w:r>
      <w:r w:rsidRPr="002C6FFD">
        <w:rPr>
          <w:rFonts w:cs="Times New Roman"/>
          <w:spacing w:val="0"/>
          <w:shd w:val="clear" w:color="auto" w:fill="FFFFFF"/>
          <w:vertAlign w:val="subscript"/>
        </w:rPr>
        <w:t>12</w:t>
      </w:r>
      <w:r w:rsidRPr="002C6FFD">
        <w:rPr>
          <w:rFonts w:cs="Times New Roman"/>
          <w:spacing w:val="0"/>
          <w:shd w:val="clear" w:color="auto" w:fill="FFFFFF"/>
        </w:rPr>
        <w:t xml:space="preserve"> или фолиевая кислота).</w:t>
      </w:r>
    </w:p>
    <w:p w14:paraId="69E535F2"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 xml:space="preserve">Дифференциальная диагностика при лихорадке неясного генеза в сочетании с увеличением </w:t>
      </w:r>
      <w:r w:rsidRPr="002C6FFD">
        <w:rPr>
          <w:rFonts w:cs="Times New Roman"/>
          <w:color w:val="auto"/>
          <w:spacing w:val="0"/>
          <w:shd w:val="clear" w:color="auto" w:fill="FFFFFF"/>
        </w:rPr>
        <w:t>размеров</w:t>
      </w:r>
      <w:r w:rsidRPr="002C6FFD">
        <w:rPr>
          <w:rFonts w:cs="Times New Roman"/>
          <w:spacing w:val="0"/>
          <w:shd w:val="clear" w:color="auto" w:fill="FFFFFF"/>
        </w:rPr>
        <w:t xml:space="preserve"> селезенки и/или лимфоузлов или без их увеличения.</w:t>
      </w:r>
    </w:p>
    <w:p w14:paraId="19536C9E"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Мониторинг эффективности лечения различных заболеваний системы крови.</w:t>
      </w:r>
    </w:p>
    <w:p w14:paraId="307AABDC"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Оценка восстановления гемопоэза после трансплантации гемопоэтический стволовых клеток (ТГСК).</w:t>
      </w:r>
    </w:p>
    <w:p w14:paraId="6D1FF52E"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 xml:space="preserve">В составе комплексного обследования при негематологических заболеваниях, например, у больных с </w:t>
      </w:r>
      <w:r w:rsidRPr="002C6FFD">
        <w:rPr>
          <w:rFonts w:cs="Times New Roman"/>
          <w:spacing w:val="0"/>
        </w:rPr>
        <w:t xml:space="preserve">ВИЧ-инфекцией </w:t>
      </w:r>
      <w:r w:rsidRPr="002C6FFD">
        <w:rPr>
          <w:rFonts w:cs="Times New Roman"/>
          <w:spacing w:val="0"/>
          <w:shd w:val="clear" w:color="auto" w:fill="FFFFFF"/>
        </w:rPr>
        <w:t>и СПИДом.</w:t>
      </w:r>
    </w:p>
    <w:p w14:paraId="7E0DD2E1"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Дифференциальная диагностика болезней накопления и других метаболических заболеваний.</w:t>
      </w:r>
    </w:p>
    <w:p w14:paraId="735FF49A"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rPr>
        <w:t>Определение степени повреждения костного мозга у пациентов, подвергшихся воздействию радиации, наркотиков, химических веществ и других миелотоксических веществ (в том числе лекарственных средств).</w:t>
      </w:r>
    </w:p>
    <w:p w14:paraId="4337A351"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Диагностика (иногда, в составе комплексной диагностики) железодефицитной анемии, полицитемии, тромбоцитозов и инфекционного мононуклеоза.</w:t>
      </w:r>
    </w:p>
    <w:p w14:paraId="48813F81" w14:textId="77777777" w:rsidR="001C46FD" w:rsidRPr="002C6FFD" w:rsidRDefault="001C46FD" w:rsidP="001C46FD">
      <w:pPr>
        <w:ind w:firstLine="709"/>
        <w:rPr>
          <w:rFonts w:cs="Times New Roman"/>
          <w:szCs w:val="24"/>
        </w:rPr>
      </w:pPr>
      <w:r w:rsidRPr="002C6FFD">
        <w:rPr>
          <w:rFonts w:cs="Times New Roman"/>
          <w:szCs w:val="24"/>
        </w:rPr>
        <w:t>При невозможности получить при пункции костного мозга адекватный диагностический материал («сухой» аспират), после повторной попытки показано выполнение трепанобиопсии костного мозга с приготовление отпечатков трепанобиоптата.</w:t>
      </w:r>
    </w:p>
    <w:p w14:paraId="216E12FA" w14:textId="77777777" w:rsidR="001C46FD" w:rsidRDefault="001C46FD" w:rsidP="001C46FD">
      <w:pPr>
        <w:pStyle w:val="2"/>
        <w:spacing w:before="0"/>
        <w:rPr>
          <w:rFonts w:eastAsia="Arial Unicode MS"/>
          <w:shd w:val="clear" w:color="auto" w:fill="FFFFFF"/>
        </w:rPr>
      </w:pPr>
    </w:p>
    <w:p w14:paraId="16DAD5DE" w14:textId="79D48431" w:rsidR="001C46FD" w:rsidRPr="00F30696" w:rsidRDefault="001C46FD" w:rsidP="001C46FD">
      <w:pPr>
        <w:rPr>
          <w:b/>
          <w:i/>
          <w:iCs/>
          <w:u w:val="single"/>
          <w:shd w:val="clear" w:color="auto" w:fill="FFFFFF"/>
        </w:rPr>
      </w:pPr>
      <w:r w:rsidRPr="00F30696">
        <w:rPr>
          <w:i/>
          <w:iCs/>
          <w:u w:val="single"/>
          <w:shd w:val="clear" w:color="auto" w:fill="FFFFFF"/>
        </w:rPr>
        <w:t xml:space="preserve">Показания к выполнению биопсийного исследования костного мозга (трепанобиопсии) </w:t>
      </w:r>
      <w:r w:rsidRPr="00F30696">
        <w:rPr>
          <w:b/>
          <w:i/>
          <w:iCs/>
          <w:u w:val="single"/>
          <w:shd w:val="clear" w:color="auto" w:fill="FFFFFF"/>
        </w:rPr>
        <w:fldChar w:fldCharType="begin" w:fldLock="1"/>
      </w:r>
      <w:r w:rsidR="008139EA">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[131]","plainTextFormattedCitation":"[131]","previouslyFormattedCitation":"[131]"},"properties":{"noteIndex":0},"schema":"https://github.com/citation-style-language/schema/raw/master/csl-citation.json"}</w:instrText>
      </w:r>
      <w:r w:rsidRPr="00F30696">
        <w:rPr>
          <w:b/>
          <w:i/>
          <w:iCs/>
          <w:u w:val="single"/>
          <w:shd w:val="clear" w:color="auto" w:fill="FFFFFF"/>
        </w:rPr>
        <w:fldChar w:fldCharType="separate"/>
      </w:r>
      <w:r w:rsidRPr="001C46FD">
        <w:rPr>
          <w:iCs/>
          <w:noProof/>
          <w:shd w:val="clear" w:color="auto" w:fill="FFFFFF"/>
        </w:rPr>
        <w:t>[131]</w:t>
      </w:r>
      <w:r w:rsidRPr="00F30696">
        <w:rPr>
          <w:b/>
          <w:i/>
          <w:iCs/>
          <w:u w:val="single"/>
          <w:shd w:val="clear" w:color="auto" w:fill="FFFFFF"/>
        </w:rPr>
        <w:fldChar w:fldCharType="end"/>
      </w:r>
    </w:p>
    <w:p w14:paraId="644B5F57"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 xml:space="preserve">Диагностика и </w:t>
      </w:r>
      <w:r w:rsidRPr="002C6FFD">
        <w:rPr>
          <w:rFonts w:cs="Times New Roman"/>
          <w:spacing w:val="0"/>
        </w:rPr>
        <w:t>определение распространенности (стадии) при первичной диагностике и/или при рецидиве заболевания</w:t>
      </w:r>
      <w:r w:rsidRPr="002C6FFD">
        <w:rPr>
          <w:rFonts w:cs="Times New Roman"/>
          <w:spacing w:val="0"/>
          <w:shd w:val="clear" w:color="auto" w:fill="FFFFFF"/>
        </w:rPr>
        <w:t xml:space="preserve">, а также оценка эффективности терапии при  различных онкогематологических заболеваниях (лимфопролиферативные заболевания, в том числе хронический лимфолейкоз, лимфома Ходжкина и неходжкинские лимфомы, волосатоклеточный лейкоз; хронические миелопролиферативные заболевания, в том числе </w:t>
      </w:r>
      <w:r w:rsidRPr="002C6FFD">
        <w:rPr>
          <w:rFonts w:cs="Times New Roman"/>
          <w:spacing w:val="0"/>
        </w:rPr>
        <w:t xml:space="preserve">истинная полицитемия, эссенциальная тромбоцитемия, первичный миелофиброз, системный мастоцитоз;  </w:t>
      </w:r>
      <w:r w:rsidRPr="002C6FFD">
        <w:rPr>
          <w:rFonts w:cs="Times New Roman"/>
          <w:spacing w:val="0"/>
          <w:shd w:val="clear" w:color="auto" w:fill="FFFFFF"/>
        </w:rPr>
        <w:t>множественная миелома и прочие плазмоклеточноые неоплазии).</w:t>
      </w:r>
    </w:p>
    <w:p w14:paraId="3A958790"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Диагностика и оценка эффективности лечения апластической анемии, миелодиспластических синдромов, идиопатической тромбоцитопенической пурпуры, острых лейкозов и при других гематологических заболеваниях/состояниях.</w:t>
      </w:r>
    </w:p>
    <w:p w14:paraId="157E7BED" w14:textId="77777777" w:rsidR="001C46FD" w:rsidRPr="002C6FFD" w:rsidRDefault="001C46FD" w:rsidP="00C5490F">
      <w:pPr>
        <w:pStyle w:val="bullet"/>
        <w:numPr>
          <w:ilvl w:val="0"/>
          <w:numId w:val="53"/>
        </w:numPr>
        <w:spacing w:line="360" w:lineRule="auto"/>
        <w:jc w:val="both"/>
        <w:rPr>
          <w:rFonts w:cs="Times New Roman"/>
          <w:spacing w:val="0"/>
        </w:rPr>
      </w:pPr>
      <w:r w:rsidRPr="002C6FFD">
        <w:rPr>
          <w:rFonts w:cs="Times New Roman"/>
          <w:spacing w:val="0"/>
        </w:rPr>
        <w:t>Диагностика, определение распространенности (стадии),</w:t>
      </w:r>
      <w:r w:rsidRPr="002C6FFD">
        <w:rPr>
          <w:rFonts w:cs="Times New Roman"/>
          <w:spacing w:val="0"/>
          <w:shd w:val="clear" w:color="auto" w:fill="FFFFFF"/>
        </w:rPr>
        <w:t xml:space="preserve"> оценка метастатического поражения</w:t>
      </w:r>
      <w:r w:rsidRPr="002C6FFD">
        <w:rPr>
          <w:rFonts w:cs="Times New Roman"/>
          <w:spacing w:val="0"/>
        </w:rPr>
        <w:t xml:space="preserve"> и эффекта лечения солидных опухолей (нейробластома, рабдомиосаркома, примитивные нейроэктодермальные опухоли, саркома Юинга и другие).</w:t>
      </w:r>
    </w:p>
    <w:p w14:paraId="3064FA0E"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Мониторинг эффективности лечения или оценки прогрессирования заболеваний системы крови.</w:t>
      </w:r>
    </w:p>
    <w:p w14:paraId="2CD9C573"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 xml:space="preserve">Оценка миелопоэза до и после выполнения трансплантации костного мозга / гемопоэтических стволовых клеток (ТКМ / ТГСК). </w:t>
      </w:r>
    </w:p>
    <w:p w14:paraId="3978A8DD"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rPr>
        <w:t>Обследование больных с предполагаемым первичным амилоидозом и заболеваниями костной ткани.</w:t>
      </w:r>
    </w:p>
    <w:p w14:paraId="64F30930"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Оценка состояния миелопоэза при цитопении, тромбоцитозе, лейкоцитозе, анемии, изменениях состава лейкоцитов (лейкоцитарная формула), и для диагностики перегрузки железом.</w:t>
      </w:r>
    </w:p>
    <w:p w14:paraId="5AB46DA6"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Оценка состояния миелопоэза и вовлечения костного мозга при инфекционных заболеваниях (например, при грибковых, микобактериальных инфекциях, в том числе при туберкулезе и других гранулематозных процессах, в также при гистоплазмозе и лейшманиозе).</w:t>
      </w:r>
    </w:p>
    <w:p w14:paraId="56DF52C5"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Оценка состояния миелопоэза и вовлечения костного мозга при болезнях накопления (например, болезнь Нимана—Пика и болезнь Гоше) и гранулематозных заболеваниях (например, саркоидоз).</w:t>
      </w:r>
    </w:p>
    <w:p w14:paraId="507724C2" w14:textId="77777777" w:rsidR="001C46FD" w:rsidRDefault="001C46FD" w:rsidP="001C46FD">
      <w:pPr>
        <w:pStyle w:val="2"/>
        <w:spacing w:before="0"/>
        <w:rPr>
          <w:rFonts w:eastAsia="Arial Unicode MS"/>
        </w:rPr>
      </w:pPr>
    </w:p>
    <w:p w14:paraId="05CA147A" w14:textId="676507DE" w:rsidR="001C46FD" w:rsidRPr="00F30696" w:rsidRDefault="001C46FD" w:rsidP="001C46FD">
      <w:pPr>
        <w:rPr>
          <w:b/>
          <w:i/>
          <w:iCs/>
          <w:u w:val="single"/>
          <w:shd w:val="clear" w:color="auto" w:fill="FFFFFF"/>
        </w:rPr>
      </w:pPr>
      <w:r w:rsidRPr="00F30696">
        <w:rPr>
          <w:i/>
          <w:iCs/>
          <w:u w:val="single"/>
          <w:shd w:val="clear" w:color="auto" w:fill="FFFFFF"/>
        </w:rPr>
        <w:t xml:space="preserve">Противопоказания для выполнения биопсийного исследования костного мозга </w:t>
      </w:r>
      <w:r w:rsidRPr="00F30696">
        <w:rPr>
          <w:b/>
          <w:i/>
          <w:iCs/>
          <w:u w:val="single"/>
          <w:shd w:val="clear" w:color="auto" w:fill="FFFFFF"/>
        </w:rPr>
        <w:fldChar w:fldCharType="begin" w:fldLock="1"/>
      </w:r>
      <w:r w:rsidR="008139EA">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[131]","plainTextFormattedCitation":"[131]","previouslyFormattedCitation":"[131]"},"properties":{"noteIndex":0},"schema":"https://github.com/citation-style-language/schema/raw/master/csl-citation.json"}</w:instrText>
      </w:r>
      <w:r w:rsidRPr="00F30696">
        <w:rPr>
          <w:b/>
          <w:i/>
          <w:iCs/>
          <w:u w:val="single"/>
          <w:shd w:val="clear" w:color="auto" w:fill="FFFFFF"/>
        </w:rPr>
        <w:fldChar w:fldCharType="separate"/>
      </w:r>
      <w:r w:rsidRPr="001C46FD">
        <w:rPr>
          <w:iCs/>
          <w:noProof/>
          <w:shd w:val="clear" w:color="auto" w:fill="FFFFFF"/>
        </w:rPr>
        <w:t>[131]</w:t>
      </w:r>
      <w:r w:rsidRPr="00F30696">
        <w:rPr>
          <w:b/>
          <w:i/>
          <w:iCs/>
          <w:u w:val="single"/>
          <w:shd w:val="clear" w:color="auto" w:fill="FFFFFF"/>
        </w:rPr>
        <w:fldChar w:fldCharType="end"/>
      </w:r>
    </w:p>
    <w:p w14:paraId="3480324F" w14:textId="77777777" w:rsidR="001C46FD" w:rsidRPr="002C6FFD" w:rsidRDefault="001C46FD" w:rsidP="001C46FD">
      <w:pPr>
        <w:pStyle w:val="Normal11"/>
        <w:spacing w:before="0" w:line="360" w:lineRule="auto"/>
        <w:ind w:firstLine="699"/>
        <w:rPr>
          <w:spacing w:val="0"/>
        </w:rPr>
      </w:pPr>
      <w:r w:rsidRPr="002C6FFD">
        <w:rPr>
          <w:spacing w:val="0"/>
        </w:rPr>
        <w:t>Аспирация костного мозга и биопсия не имеют абсолютных противопоказаний, но могут быть относительные противопоказания, связанные с общим состоянием пациента:</w:t>
      </w:r>
    </w:p>
    <w:p w14:paraId="3516DE10" w14:textId="77777777" w:rsidR="001C46FD" w:rsidRPr="002C6FFD" w:rsidRDefault="001C46FD" w:rsidP="00C5490F">
      <w:pPr>
        <w:pStyle w:val="bullet"/>
        <w:numPr>
          <w:ilvl w:val="0"/>
          <w:numId w:val="53"/>
        </w:numPr>
        <w:spacing w:line="360" w:lineRule="auto"/>
        <w:jc w:val="both"/>
        <w:rPr>
          <w:rFonts w:cs="Times New Roman"/>
          <w:spacing w:val="0"/>
        </w:rPr>
      </w:pPr>
      <w:r w:rsidRPr="002C6FFD">
        <w:rPr>
          <w:rFonts w:cs="Times New Roman"/>
          <w:spacing w:val="0"/>
        </w:rPr>
        <w:t>Раневая поверхность кожи и подлежащих тканей с признаками воспаления в месте проведения процедуры.</w:t>
      </w:r>
    </w:p>
    <w:p w14:paraId="4951CBBA" w14:textId="77777777" w:rsidR="001C46FD" w:rsidRPr="002C6FFD" w:rsidRDefault="001C46FD" w:rsidP="00C5490F">
      <w:pPr>
        <w:pStyle w:val="bullet"/>
        <w:numPr>
          <w:ilvl w:val="0"/>
          <w:numId w:val="53"/>
        </w:numPr>
        <w:spacing w:line="360" w:lineRule="auto"/>
        <w:jc w:val="both"/>
        <w:rPr>
          <w:rFonts w:cs="Times New Roman"/>
          <w:spacing w:val="0"/>
        </w:rPr>
      </w:pPr>
      <w:r w:rsidRPr="002C6FFD">
        <w:rPr>
          <w:rFonts w:cs="Times New Roman"/>
          <w:spacing w:val="0"/>
        </w:rPr>
        <w:t>Тромбоцитопения и другие коагулопатии, геморрагический синдром (выполнение процедуры возможно после купирования нарушений гемостаза и коррекции тромбоцитопении).</w:t>
      </w:r>
    </w:p>
    <w:p w14:paraId="62017616"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 xml:space="preserve">При терапии антикоагулянтами и антиагрегантами, перед выполнением процедуры должны учитываться показатели коагулологических тестов. </w:t>
      </w:r>
    </w:p>
    <w:p w14:paraId="6D1C09D3"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 xml:space="preserve">Наличие признаков резорбции кости </w:t>
      </w:r>
      <w:r w:rsidRPr="002C6FFD">
        <w:rPr>
          <w:rFonts w:cs="Times New Roman"/>
          <w:spacing w:val="0"/>
        </w:rPr>
        <w:t>в месте проведения процедуры</w:t>
      </w:r>
      <w:r w:rsidRPr="002C6FFD">
        <w:rPr>
          <w:rFonts w:cs="Times New Roman"/>
          <w:spacing w:val="0"/>
          <w:shd w:val="clear" w:color="auto" w:fill="FFFFFF"/>
        </w:rPr>
        <w:t>.</w:t>
      </w:r>
    </w:p>
    <w:p w14:paraId="67B1C9B4" w14:textId="77777777" w:rsidR="001C46FD" w:rsidRPr="002C6FFD" w:rsidRDefault="001C46FD" w:rsidP="001C46FD">
      <w:pPr>
        <w:pStyle w:val="bullet"/>
        <w:spacing w:line="360" w:lineRule="auto"/>
        <w:ind w:firstLine="709"/>
        <w:jc w:val="both"/>
        <w:rPr>
          <w:rFonts w:cs="Times New Roman"/>
          <w:spacing w:val="0"/>
          <w:shd w:val="clear" w:color="auto" w:fill="FFFFFF"/>
        </w:rPr>
      </w:pPr>
      <w:r w:rsidRPr="002C6FFD">
        <w:rPr>
          <w:rFonts w:cs="Times New Roman"/>
          <w:spacing w:val="0"/>
          <w:shd w:val="clear" w:color="auto" w:fill="FFFFFF"/>
        </w:rPr>
        <w:t>При соматически тяжелом состоянии пациента и повышенном риске развития осложнений при амбулаторном проведении процедуры, трепанобиопсию возможно выполнить в условиях стационара.</w:t>
      </w:r>
    </w:p>
    <w:p w14:paraId="2A93E784" w14:textId="77777777" w:rsidR="001C46FD" w:rsidRDefault="001C46FD" w:rsidP="001C46FD">
      <w:pPr>
        <w:pStyle w:val="2"/>
        <w:spacing w:before="0"/>
        <w:rPr>
          <w:rFonts w:eastAsia="Arial Unicode MS"/>
        </w:rPr>
      </w:pPr>
    </w:p>
    <w:p w14:paraId="072586BA" w14:textId="4A1D4AFF" w:rsidR="001C46FD" w:rsidRPr="00F30696" w:rsidRDefault="001C46FD" w:rsidP="001C46FD">
      <w:pPr>
        <w:rPr>
          <w:b/>
          <w:i/>
          <w:iCs/>
          <w:u w:val="single"/>
          <w:shd w:val="clear" w:color="auto" w:fill="FFFFFF"/>
        </w:rPr>
      </w:pPr>
      <w:r w:rsidRPr="00F30696">
        <w:rPr>
          <w:i/>
          <w:iCs/>
          <w:u w:val="single"/>
          <w:shd w:val="clear" w:color="auto" w:fill="FFFFFF"/>
        </w:rPr>
        <w:t xml:space="preserve">Возможные технические трудности выполнения пункционного и биопсийного исследований костного мозга </w:t>
      </w:r>
      <w:r w:rsidRPr="00F30696">
        <w:rPr>
          <w:b/>
          <w:i/>
          <w:iCs/>
          <w:u w:val="single"/>
          <w:shd w:val="clear" w:color="auto" w:fill="FFFFFF"/>
        </w:rPr>
        <w:fldChar w:fldCharType="begin" w:fldLock="1"/>
      </w:r>
      <w:r w:rsidR="008139EA">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[131]","plainTextFormattedCitation":"[131]","previouslyFormattedCitation":"[131]"},"properties":{"noteIndex":0},"schema":"https://github.com/citation-style-language/schema/raw/master/csl-citation.json"}</w:instrText>
      </w:r>
      <w:r w:rsidRPr="00F30696">
        <w:rPr>
          <w:b/>
          <w:i/>
          <w:iCs/>
          <w:u w:val="single"/>
          <w:shd w:val="clear" w:color="auto" w:fill="FFFFFF"/>
        </w:rPr>
        <w:fldChar w:fldCharType="separate"/>
      </w:r>
      <w:r w:rsidRPr="001C46FD">
        <w:rPr>
          <w:iCs/>
          <w:noProof/>
          <w:shd w:val="clear" w:color="auto" w:fill="FFFFFF"/>
        </w:rPr>
        <w:t>[131]</w:t>
      </w:r>
      <w:r w:rsidRPr="00F30696">
        <w:rPr>
          <w:b/>
          <w:i/>
          <w:iCs/>
          <w:u w:val="single"/>
          <w:shd w:val="clear" w:color="auto" w:fill="FFFFFF"/>
        </w:rPr>
        <w:fldChar w:fldCharType="end"/>
      </w:r>
    </w:p>
    <w:p w14:paraId="45AE43E5"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Плохое качество инструментария.</w:t>
      </w:r>
    </w:p>
    <w:p w14:paraId="496F761E"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Избыточный вес больного или большая толщина подкожно-жировой клетчатки и анатомические особенности строения грудной клетки и костей таза.</w:t>
      </w:r>
    </w:p>
    <w:p w14:paraId="54133324"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Остеопороз.</w:t>
      </w:r>
    </w:p>
    <w:p w14:paraId="7F9DC889"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Фиброз стромы.</w:t>
      </w:r>
    </w:p>
    <w:p w14:paraId="63233584" w14:textId="77777777" w:rsidR="001C46FD" w:rsidRDefault="001C46FD" w:rsidP="001C46FD">
      <w:pPr>
        <w:pStyle w:val="2"/>
        <w:spacing w:before="0"/>
        <w:rPr>
          <w:rFonts w:eastAsia="Arial Unicode MS"/>
        </w:rPr>
      </w:pPr>
    </w:p>
    <w:p w14:paraId="58C8EBA2" w14:textId="5296FD90" w:rsidR="001C46FD" w:rsidRPr="00F30696" w:rsidRDefault="001C46FD" w:rsidP="001C46FD">
      <w:pPr>
        <w:rPr>
          <w:b/>
          <w:i/>
          <w:iCs/>
          <w:u w:val="single"/>
          <w:shd w:val="clear" w:color="auto" w:fill="FFFFFF"/>
        </w:rPr>
      </w:pPr>
      <w:r w:rsidRPr="00F30696">
        <w:rPr>
          <w:i/>
          <w:iCs/>
          <w:u w:val="single"/>
          <w:shd w:val="clear" w:color="auto" w:fill="FFFFFF"/>
        </w:rPr>
        <w:t xml:space="preserve">Возможные осложнения пункционного и биопсийного исследований костного мозга и способы их профилактики </w:t>
      </w:r>
      <w:r w:rsidRPr="00F30696">
        <w:rPr>
          <w:b/>
          <w:i/>
          <w:iCs/>
          <w:u w:val="single"/>
          <w:shd w:val="clear" w:color="auto" w:fill="FFFFFF"/>
        </w:rPr>
        <w:fldChar w:fldCharType="begin" w:fldLock="1"/>
      </w:r>
      <w:r w:rsidR="008139EA">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[131]","plainTextFormattedCitation":"[131]","previouslyFormattedCitation":"[131]"},"properties":{"noteIndex":0},"schema":"https://github.com/citation-style-language/schema/raw/master/csl-citation.json"}</w:instrText>
      </w:r>
      <w:r w:rsidRPr="00F30696">
        <w:rPr>
          <w:b/>
          <w:i/>
          <w:iCs/>
          <w:u w:val="single"/>
          <w:shd w:val="clear" w:color="auto" w:fill="FFFFFF"/>
        </w:rPr>
        <w:fldChar w:fldCharType="separate"/>
      </w:r>
      <w:r w:rsidRPr="001C46FD">
        <w:rPr>
          <w:iCs/>
          <w:noProof/>
          <w:shd w:val="clear" w:color="auto" w:fill="FFFFFF"/>
        </w:rPr>
        <w:t>[131]</w:t>
      </w:r>
      <w:r w:rsidRPr="00F30696">
        <w:rPr>
          <w:b/>
          <w:i/>
          <w:iCs/>
          <w:u w:val="single"/>
          <w:shd w:val="clear" w:color="auto" w:fill="FFFFFF"/>
        </w:rPr>
        <w:fldChar w:fldCharType="end"/>
      </w:r>
    </w:p>
    <w:p w14:paraId="2F048829"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Кровотечение (раннее и/или отсроченное), особенно при тромбоцитопении и/или наличии нарушений свертывания крови.</w:t>
      </w:r>
    </w:p>
    <w:p w14:paraId="5BE84C5B"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Инфекция, особенно в условиях иммунодефицита и нейтропении.</w:t>
      </w:r>
    </w:p>
    <w:p w14:paraId="79C6397D"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Длительный болевой синдром и дискомфорт в месте биопсии.</w:t>
      </w:r>
    </w:p>
    <w:p w14:paraId="449868F8"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Переломы кости.</w:t>
      </w:r>
    </w:p>
    <w:p w14:paraId="25FFD5FA"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Поломка инструмента.</w:t>
      </w:r>
    </w:p>
    <w:p w14:paraId="62C0902A"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Сквозное ранение органов средостения при выполнение стернальной пункции.</w:t>
      </w:r>
    </w:p>
    <w:p w14:paraId="10678BE1" w14:textId="77777777" w:rsidR="001C46FD" w:rsidRPr="002C6FFD" w:rsidRDefault="001C46FD" w:rsidP="00C5490F">
      <w:pPr>
        <w:pStyle w:val="bullet"/>
        <w:numPr>
          <w:ilvl w:val="0"/>
          <w:numId w:val="53"/>
        </w:numPr>
        <w:spacing w:line="360" w:lineRule="auto"/>
        <w:jc w:val="both"/>
        <w:rPr>
          <w:rFonts w:cs="Times New Roman"/>
          <w:spacing w:val="0"/>
          <w:shd w:val="clear" w:color="auto" w:fill="FFFFFF"/>
        </w:rPr>
      </w:pPr>
      <w:r w:rsidRPr="002C6FFD">
        <w:rPr>
          <w:rFonts w:cs="Times New Roman"/>
          <w:spacing w:val="0"/>
          <w:shd w:val="clear" w:color="auto" w:fill="FFFFFF"/>
        </w:rPr>
        <w:t>Анафилактические реакции (на анестетики).</w:t>
      </w:r>
    </w:p>
    <w:p w14:paraId="6F6DEA70" w14:textId="77777777" w:rsidR="001C46FD" w:rsidRPr="002C6FFD" w:rsidRDefault="001C46FD" w:rsidP="001C46FD">
      <w:pPr>
        <w:ind w:firstLine="708"/>
        <w:rPr>
          <w:rFonts w:cs="Times New Roman"/>
          <w:szCs w:val="24"/>
        </w:rPr>
      </w:pPr>
    </w:p>
    <w:p w14:paraId="66C7B143" w14:textId="77777777" w:rsidR="001C46FD" w:rsidRPr="002C6FFD" w:rsidRDefault="001C46FD" w:rsidP="001C46FD">
      <w:pPr>
        <w:ind w:firstLine="708"/>
        <w:rPr>
          <w:rFonts w:cs="Times New Roman"/>
          <w:szCs w:val="24"/>
        </w:rPr>
      </w:pPr>
      <w:r w:rsidRPr="002C6FFD">
        <w:rPr>
          <w:rFonts w:cs="Times New Roman"/>
          <w:szCs w:val="24"/>
        </w:rPr>
        <w:t>При выполнении стернальной пункции, из-за тонкой структуры кости грудины в области пункции (толщина ~ 1 см у взрослых), возможно сквозное проникновение в средостение с возможным повреждением органов средостения и развитием медиастинита, пневмоторакса, травмы и тампонады сердца. Для профилактики данного осложнения необходимо использовать стернальные иглы с ограничителем.</w:t>
      </w:r>
    </w:p>
    <w:p w14:paraId="15E84ACF" w14:textId="77777777" w:rsidR="001C46FD" w:rsidRPr="002C6FFD" w:rsidRDefault="001C46FD" w:rsidP="001C46FD">
      <w:pPr>
        <w:ind w:firstLine="708"/>
        <w:rPr>
          <w:rFonts w:cs="Times New Roman"/>
          <w:color w:val="1A1718"/>
          <w:szCs w:val="24"/>
        </w:rPr>
      </w:pPr>
      <w:r w:rsidRPr="002C6FFD">
        <w:rPr>
          <w:rFonts w:cs="Times New Roman"/>
          <w:color w:val="212121"/>
          <w:szCs w:val="24"/>
        </w:rPr>
        <w:t xml:space="preserve">Ряд осложнений может быть обусловлен некоторыми анатомическими особенностями больного. </w:t>
      </w:r>
      <w:r w:rsidRPr="002C6FFD">
        <w:rPr>
          <w:rFonts w:cs="Times New Roman"/>
          <w:szCs w:val="24"/>
        </w:rPr>
        <w:t>Так у больных с ожирением выше вероятность развития осложнений, т</w:t>
      </w:r>
      <w:r w:rsidRPr="002C6FFD">
        <w:rPr>
          <w:rFonts w:cs="Times New Roman"/>
          <w:color w:val="212121"/>
          <w:szCs w:val="24"/>
        </w:rPr>
        <w:t xml:space="preserve">акже осложнять проведение процедуры могут сопутствующие заболевания, влияющие на плотность костной ткани (например, остеопороз и резорбция </w:t>
      </w:r>
      <w:r w:rsidRPr="002C6FFD">
        <w:rPr>
          <w:rFonts w:cs="Times New Roman"/>
          <w:szCs w:val="24"/>
        </w:rPr>
        <w:t xml:space="preserve">кости). Для минимизации риска развития локальных и генерализованных инфекций, необходимо использовать только стерильный инструмент и строго соблюдать все правила асептики и антисептики. </w:t>
      </w:r>
      <w:r w:rsidRPr="002C6FFD">
        <w:rPr>
          <w:rFonts w:cs="Times New Roman"/>
          <w:color w:val="1A1718"/>
          <w:szCs w:val="24"/>
        </w:rPr>
        <w:t>Основными способами профилактики геморрагических осложнений является коррекция тромбоцитопении и коагулологических нарушений перед выполнением процедуры и контроль параметров гемостаза и состояния больного в раннем периоде после биопсии. При своевременном грамотном вмешательстве осложнения процедур исследования костного мозга (пункция, биопсия) курабельны.</w:t>
      </w:r>
    </w:p>
    <w:p w14:paraId="0B8A9728" w14:textId="77777777" w:rsidR="001C46FD" w:rsidRPr="002C6FFD" w:rsidRDefault="001C46FD" w:rsidP="001C46FD">
      <w:pPr>
        <w:ind w:firstLine="708"/>
        <w:rPr>
          <w:rFonts w:cs="Times New Roman"/>
          <w:color w:val="000000"/>
          <w:szCs w:val="24"/>
        </w:rPr>
      </w:pPr>
      <w:r w:rsidRPr="002C6FFD">
        <w:rPr>
          <w:rFonts w:cs="Times New Roman"/>
          <w:szCs w:val="24"/>
        </w:rPr>
        <w:t xml:space="preserve">При развитии осложнений биопсийного исследования необходимо связаться с врачом, выполнившим процедуру, тактика терапии осложнения должна быть согласована с гематологом. </w:t>
      </w:r>
    </w:p>
    <w:p w14:paraId="5ED59699" w14:textId="77777777" w:rsidR="001C46FD" w:rsidRDefault="001C46FD" w:rsidP="001C46FD">
      <w:pPr>
        <w:pStyle w:val="2"/>
        <w:spacing w:before="0"/>
        <w:rPr>
          <w:rFonts w:eastAsia="Arial Unicode MS"/>
        </w:rPr>
      </w:pPr>
    </w:p>
    <w:p w14:paraId="42FF46D8" w14:textId="77777777" w:rsidR="001C46FD" w:rsidRPr="00F30696" w:rsidRDefault="001C46FD" w:rsidP="001C46FD">
      <w:pPr>
        <w:rPr>
          <w:b/>
          <w:i/>
          <w:iCs/>
          <w:u w:val="single"/>
          <w:shd w:val="clear" w:color="auto" w:fill="FFFFFF"/>
        </w:rPr>
      </w:pPr>
      <w:r w:rsidRPr="00F30696">
        <w:rPr>
          <w:i/>
          <w:iCs/>
          <w:u w:val="single"/>
          <w:shd w:val="clear" w:color="auto" w:fill="FFFFFF"/>
        </w:rPr>
        <w:t>Односторонняя и двусторонняя биопсия подвздошной кости</w:t>
      </w:r>
    </w:p>
    <w:p w14:paraId="564DAF73" w14:textId="77BF55A7" w:rsidR="001C46FD" w:rsidRPr="002C6FFD" w:rsidRDefault="001C46FD" w:rsidP="001C46FD">
      <w:pPr>
        <w:pStyle w:val="Normal11"/>
        <w:spacing w:before="0" w:line="360" w:lineRule="auto"/>
        <w:ind w:left="0" w:firstLine="699"/>
        <w:rPr>
          <w:spacing w:val="0"/>
        </w:rPr>
      </w:pPr>
      <w:r w:rsidRPr="002C6FFD">
        <w:rPr>
          <w:spacing w:val="0"/>
        </w:rPr>
        <w:t>Выполнение двусторонней биопсии подвздошной кости увеличивает вероятность выявления очаговых поражений костного мозга при подозрении на метастатическое поражение при солидных опухолях, лимфопролиферативных заболеваниях, которые при односторонней биопсии могут быть не выявлены. Выполнение билатерального биопсийного исследования костного мозга также показано для более детальной оценки клеточности и наличия фиброза стромы при диагностике апластической анемии и миелодиспластических синдромов</w:t>
      </w:r>
      <w:r>
        <w:rPr>
          <w:spacing w:val="0"/>
        </w:rPr>
        <w:t xml:space="preserve"> </w:t>
      </w:r>
      <w:r>
        <w:rPr>
          <w:spacing w:val="0"/>
        </w:rPr>
        <w:fldChar w:fldCharType="begin" w:fldLock="1"/>
      </w:r>
      <w:r w:rsidR="008139EA">
        <w:rPr>
          <w:spacing w:val="0"/>
        </w:rPr>
        <w:instrText>ADDIN CSL_CITATION {"citationItems":[{"id":"ITEM-1","itemData":{"DOI":"10.1002/cncr.10364","ISSN":"0008543X","PMID":"11920510","abstract":"BACKGROUND. To retrospectively evaluate the significance of morphologic examination and ancillary studies performed on bilateral bone marrow biopsy specimens, 1864 bone marrow samples were studied. METHODS. Bilateral bone marrow biopsy specimens included 883 specimens that were evaluated for involvement by non-Hodgkin lymphoma (NHL); 381 specimens that were evaluated for involvement by carcinoma (CA); 362 specimens that were evaluated for involvement by Hodgkin disease (HD); 94 specimens that were evaluated for involvement by sarcoma (SA); 56 specimens that were evaluated for involvement by multiple myeloma (MM); 53 specimens that were evaluated for involvement by acute and chronic leukemia, myelodysplasia, and/or myeloproliferative disorders (LEUK); and 35 specimens that were evaluated for other reasons. RESULTS. Of all 1864 specimens, 410 samples (22.0%) were positive for disease, including 77% of MM samples, 58% of LEUK samples, 29.6% of NHL samples, 14% of SA samples, 9.9% of HD samples, and 6.8% of CA samples. A discrepancy between the left and right sides was identified in 48 specimens (11.7% of positive samples). The discrepancy rate was 39% for HD samples, 29% for SA samples, 23% for CA samples, and 9.2% for NHL samples. No morphologic discrepancies between bilateral samples were found in MM samples or LEUK samples. Bilateral flow cytometric studies (n = 113 samples) were positive in 11 samples (9.7%; all morphologically positive), with two discrepancies detected between bilateral samples. Bilateral cytogenetic studies (n = 74 samples) were positive in 5 samples (7%), and there were no discrepancies. Bilateral molecular studies (n = 16 samples)were positive in 7 samples (44%), and there were 3 discrepancies. CONCLUSIONS. Bilateral morphologic evaluation is useful in the evaluation of patients with NHL, HD, CA, and SA and is not indicated for patients with acute or chronic leukemia, myelodysplasia, MM, and other diseases. Bilateral flow cytomettic or cytogenetic studies of bone marrow did not provide additional information in this population to justify bilateral samples. The role of bilateral molecular analysis needs to be defined further, but pooled samples for molecular studies may be adequate. © 2002 American Cancer Society.","author":[{"dropping-particle":"","family":"Wang","given":"Jun","non-dropping-particle":"","parse-names":false,"suffix":""},{"dropping-particle":"","family":"Weiss","given":"Lawrence M.","non-dropping-particle":"","parse-names":false,"suffix":""},{"dropping-particle":"","family":"Chang","given":"Karen L.","non-dropping-particle":"","parse-names":false,"suffix":""},{"dropping-particle":"","family":"Slovak","given":"Marilyn L.","non-dropping-particle":"","parse-names":false,"suffix":""},{"dropping-particle":"","family":"Gaal","given":"Karl","non-dropping-particle":"","parse-names":false,"suffix":""},{"dropping-particle":"","family":"Forman","given":"Stephen J.","non-dropping-particle":"","parse-names":false,"suffix":""},{"dropping-particle":"","family":"Arber","given":"Daniel A.","non-dropping-particle":"","parse-names":false,"suffix":""}],"container-title":"Cancer","id":"ITEM-1","issue":"5","issued":{"date-parts":[["2002","3","1"]]},"page":"1522-1531","publisher":"Cancer","title":"Diagnostic utility of bilateral bone marrow examination: Significance of morphologic and ancillary technique study in malignancy","type":"article-journal","volume":"94"},"uris":["http://www.mendeley.com/documents/?uuid=a4dddfa3-ad50-3935-9640-ea89d6a1fc11"]}],"mendeley":{"formattedCitation":"[132]","plainTextFormattedCitation":"[132]","previouslyFormattedCitation":"[132]"},"properties":{"noteIndex":0},"schema":"https://github.com/citation-style-language/schema/raw/master/csl-citation.json"}</w:instrText>
      </w:r>
      <w:r>
        <w:rPr>
          <w:spacing w:val="0"/>
        </w:rPr>
        <w:fldChar w:fldCharType="separate"/>
      </w:r>
      <w:r w:rsidRPr="001C46FD">
        <w:rPr>
          <w:noProof/>
          <w:spacing w:val="0"/>
        </w:rPr>
        <w:t>[132]</w:t>
      </w:r>
      <w:r>
        <w:rPr>
          <w:spacing w:val="0"/>
        </w:rPr>
        <w:fldChar w:fldCharType="end"/>
      </w:r>
      <w:r w:rsidRPr="002C6FFD">
        <w:rPr>
          <w:spacing w:val="0"/>
        </w:rPr>
        <w:t xml:space="preserve">. </w:t>
      </w:r>
    </w:p>
    <w:p w14:paraId="7D50A697" w14:textId="77777777" w:rsidR="001C46FD" w:rsidRPr="002C6FFD" w:rsidRDefault="001C46FD" w:rsidP="001C46FD">
      <w:pPr>
        <w:pStyle w:val="Normal11"/>
        <w:spacing w:before="0" w:line="360" w:lineRule="auto"/>
        <w:ind w:left="0" w:firstLine="699"/>
        <w:rPr>
          <w:spacing w:val="0"/>
        </w:rPr>
      </w:pPr>
      <w:r w:rsidRPr="002C6FFD">
        <w:rPr>
          <w:spacing w:val="0"/>
        </w:rPr>
        <w:t>Выполнение одностороннего биопсийного исследования подвздошной кости считался достаточным в большинстве случаев при множественной миеломе и хронических миелопролиферативных заболеваниях.</w:t>
      </w:r>
    </w:p>
    <w:p w14:paraId="1A13EA91" w14:textId="77777777" w:rsidR="001C46FD" w:rsidRPr="002C6FFD" w:rsidRDefault="001C46FD" w:rsidP="001C46FD">
      <w:pPr>
        <w:ind w:firstLine="699"/>
        <w:rPr>
          <w:rFonts w:cs="Times New Roman"/>
          <w:szCs w:val="24"/>
        </w:rPr>
      </w:pPr>
      <w:r w:rsidRPr="002C6FFD">
        <w:rPr>
          <w:rFonts w:cs="Times New Roman"/>
          <w:szCs w:val="24"/>
        </w:rPr>
        <w:t xml:space="preserve">В настоящее время, с учетом применения в диагностике и стадировании лимфом позитронно-эмиссионной томографии (ПЭТ), с возможностью оценки ПЭТ-позитивного вовлечения костной ткани, указывающего на наличие поражения костного мозга, билатеральная биопсия при лимфомах, возможно, будет выполняться реже. </w:t>
      </w:r>
    </w:p>
    <w:p w14:paraId="091A6BF6" w14:textId="77777777" w:rsidR="001C46FD" w:rsidRDefault="001C46FD" w:rsidP="001C46FD">
      <w:pPr>
        <w:pStyle w:val="2"/>
        <w:spacing w:before="0"/>
        <w:rPr>
          <w:rFonts w:eastAsia="Arial Unicode MS"/>
        </w:rPr>
      </w:pPr>
    </w:p>
    <w:p w14:paraId="55AC6115" w14:textId="77777777" w:rsidR="001C46FD" w:rsidRPr="008E213C" w:rsidRDefault="001C46FD" w:rsidP="001C46FD">
      <w:pPr>
        <w:rPr>
          <w:b/>
          <w:i/>
          <w:iCs/>
          <w:u w:val="single"/>
          <w:shd w:val="clear" w:color="auto" w:fill="FFFFFF"/>
        </w:rPr>
      </w:pPr>
      <w:r w:rsidRPr="008E213C">
        <w:rPr>
          <w:i/>
          <w:iCs/>
          <w:u w:val="single"/>
          <w:shd w:val="clear" w:color="auto" w:fill="FFFFFF"/>
        </w:rPr>
        <w:t>Необходимая документация</w:t>
      </w:r>
    </w:p>
    <w:p w14:paraId="51153C9E" w14:textId="77777777" w:rsidR="001C46FD" w:rsidRPr="002C6FFD" w:rsidRDefault="001C46FD" w:rsidP="001C46FD">
      <w:pPr>
        <w:pStyle w:val="Normal11"/>
        <w:spacing w:before="0" w:line="360" w:lineRule="auto"/>
        <w:ind w:firstLine="699"/>
        <w:rPr>
          <w:color w:val="212121"/>
          <w:spacing w:val="0"/>
        </w:rPr>
      </w:pPr>
      <w:r w:rsidRPr="002C6FFD">
        <w:rPr>
          <w:spacing w:val="0"/>
        </w:rPr>
        <w:t>Перед началом выполнения процедуры пациенту (доверенному лицу или опекуну) врач объясняет показания для ее выполнения, ожидаемые результаты и возможные осложнения</w:t>
      </w:r>
      <w:r w:rsidRPr="002C6FFD">
        <w:rPr>
          <w:color w:val="212121"/>
          <w:spacing w:val="0"/>
        </w:rPr>
        <w:t xml:space="preserve"> и риски (включая риск инфицирования, кровотечения, болевого синдрома, образования рубцов и вероятность получения неинформативного материала)</w:t>
      </w:r>
      <w:r w:rsidRPr="002C6FFD">
        <w:rPr>
          <w:spacing w:val="0"/>
        </w:rPr>
        <w:t xml:space="preserve">, отвечает на возникающие у больного вопросы. После этого пациент (доверенное лицо или опекун) подписывает информированное согласие, которое прилагается к медицинской документации и протоколу выполнения процедуры. </w:t>
      </w:r>
      <w:r w:rsidRPr="002C6FFD">
        <w:rPr>
          <w:color w:val="212121"/>
          <w:spacing w:val="0"/>
        </w:rPr>
        <w:t xml:space="preserve">Факт выполнения процедуры фиксируется в процедурном журнале за подписью врача, выполнявшего процедуру с указанием даты, времени, вида и </w:t>
      </w:r>
      <w:r w:rsidRPr="002C6FFD">
        <w:rPr>
          <w:spacing w:val="0"/>
        </w:rPr>
        <w:t xml:space="preserve">локуса </w:t>
      </w:r>
      <w:r w:rsidRPr="002C6FFD">
        <w:rPr>
          <w:color w:val="212121"/>
          <w:spacing w:val="0"/>
        </w:rPr>
        <w:t>биопсийного исследования и возникших осложнений процедуры.</w:t>
      </w:r>
    </w:p>
    <w:p w14:paraId="36C35902" w14:textId="77777777" w:rsidR="001C46FD" w:rsidRDefault="001C46FD" w:rsidP="001C46FD">
      <w:pPr>
        <w:pStyle w:val="2"/>
        <w:spacing w:before="0"/>
        <w:rPr>
          <w:rFonts w:eastAsia="Arial Unicode MS"/>
        </w:rPr>
      </w:pPr>
    </w:p>
    <w:p w14:paraId="7F3A72DF" w14:textId="789DC307" w:rsidR="001C46FD" w:rsidRPr="008E213C" w:rsidRDefault="001C46FD" w:rsidP="001C46FD">
      <w:pPr>
        <w:rPr>
          <w:b/>
          <w:i/>
          <w:iCs/>
          <w:u w:val="single"/>
          <w:shd w:val="clear" w:color="auto" w:fill="FFFFFF"/>
        </w:rPr>
      </w:pPr>
      <w:r w:rsidRPr="008E213C">
        <w:rPr>
          <w:i/>
          <w:iCs/>
          <w:u w:val="single"/>
          <w:shd w:val="clear" w:color="auto" w:fill="FFFFFF"/>
        </w:rPr>
        <w:t xml:space="preserve">Техника выполнения пункции (аспирации) костного мозга из грудины (стернальной пункции) </w:t>
      </w:r>
      <w:r w:rsidRPr="008E213C">
        <w:rPr>
          <w:b/>
          <w:i/>
          <w:iCs/>
          <w:u w:val="single"/>
          <w:shd w:val="clear" w:color="auto" w:fill="FFFFFF"/>
        </w:rPr>
        <w:fldChar w:fldCharType="begin" w:fldLock="1"/>
      </w:r>
      <w:r w:rsidR="008139EA">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[131]","plainTextFormattedCitation":"[131]","previouslyFormattedCitation":"[131]"},"properties":{"noteIndex":0},"schema":"https://github.com/citation-style-language/schema/raw/master/csl-citation.json"}</w:instrText>
      </w:r>
      <w:r w:rsidRPr="008E213C">
        <w:rPr>
          <w:b/>
          <w:i/>
          <w:iCs/>
          <w:u w:val="single"/>
          <w:shd w:val="clear" w:color="auto" w:fill="FFFFFF"/>
        </w:rPr>
        <w:fldChar w:fldCharType="separate"/>
      </w:r>
      <w:r w:rsidRPr="001C46FD">
        <w:rPr>
          <w:iCs/>
          <w:noProof/>
          <w:shd w:val="clear" w:color="auto" w:fill="FFFFFF"/>
        </w:rPr>
        <w:t>[131]</w:t>
      </w:r>
      <w:r w:rsidRPr="008E213C">
        <w:rPr>
          <w:b/>
          <w:i/>
          <w:iCs/>
          <w:u w:val="single"/>
          <w:shd w:val="clear" w:color="auto" w:fill="FFFFFF"/>
        </w:rPr>
        <w:fldChar w:fldCharType="end"/>
      </w:r>
    </w:p>
    <w:p w14:paraId="0055CA5B" w14:textId="77777777" w:rsidR="001C46FD" w:rsidRPr="002C6FFD" w:rsidRDefault="001C46FD" w:rsidP="00C5490F">
      <w:pPr>
        <w:pStyle w:val="Number1"/>
        <w:numPr>
          <w:ilvl w:val="0"/>
          <w:numId w:val="62"/>
        </w:numPr>
        <w:overflowPunct/>
        <w:autoSpaceDE/>
        <w:autoSpaceDN/>
        <w:adjustRightInd/>
        <w:spacing w:before="0" w:line="360" w:lineRule="auto"/>
        <w:textAlignment w:val="auto"/>
        <w:rPr>
          <w:spacing w:val="0"/>
        </w:rPr>
      </w:pPr>
      <w:r w:rsidRPr="002C6FFD">
        <w:rPr>
          <w:spacing w:val="0"/>
          <w:shd w:val="clear" w:color="auto" w:fill="FFFFFF"/>
        </w:rPr>
        <w:t xml:space="preserve">Врач перед началом выполнения процедуры обязательно выясняет наличие и вид аллергических реакций на лекарственные средства, включая анестетики, перечень принимаемых больным препаратов (антикоагулянты и антиагреганты), наличие сопутствующих заболеваний, остеопороза. При невозможности выполнения местной анестезии, пункция может быть выполнена как без анестезии, так и под общей анестезией. </w:t>
      </w:r>
    </w:p>
    <w:p w14:paraId="7640A38D" w14:textId="77777777" w:rsidR="001C46FD" w:rsidRPr="002C6FFD" w:rsidRDefault="001C46FD" w:rsidP="00C5490F">
      <w:pPr>
        <w:pStyle w:val="Number1"/>
        <w:numPr>
          <w:ilvl w:val="0"/>
          <w:numId w:val="62"/>
        </w:numPr>
        <w:overflowPunct/>
        <w:autoSpaceDE/>
        <w:autoSpaceDN/>
        <w:adjustRightInd/>
        <w:spacing w:before="0" w:line="360" w:lineRule="auto"/>
        <w:textAlignment w:val="auto"/>
        <w:rPr>
          <w:spacing w:val="0"/>
        </w:rPr>
      </w:pPr>
      <w:r w:rsidRPr="002C6FFD">
        <w:rPr>
          <w:spacing w:val="0"/>
          <w:shd w:val="clear" w:color="auto" w:fill="FFFFFF"/>
        </w:rPr>
        <w:t xml:space="preserve">Тромбоцитопения не является противопоказанием для проведения пункции костного мозга, однако при наличии развернутого геморрагического синдрома желательно предварительно выполнить заместительные трансфузии тромбоконцентратов и, при необходимости, свежезамороженной плазмы и/или криопреципитата. </w:t>
      </w:r>
    </w:p>
    <w:p w14:paraId="28CF55A8" w14:textId="77777777" w:rsidR="001C46FD" w:rsidRPr="002C6FFD" w:rsidRDefault="001C46FD" w:rsidP="00C5490F">
      <w:pPr>
        <w:pStyle w:val="Number1"/>
        <w:numPr>
          <w:ilvl w:val="0"/>
          <w:numId w:val="62"/>
        </w:numPr>
        <w:overflowPunct/>
        <w:autoSpaceDE/>
        <w:autoSpaceDN/>
        <w:adjustRightInd/>
        <w:spacing w:before="0" w:line="360" w:lineRule="auto"/>
        <w:textAlignment w:val="auto"/>
        <w:rPr>
          <w:spacing w:val="0"/>
        </w:rPr>
      </w:pPr>
      <w:r w:rsidRPr="002C6FFD">
        <w:rPr>
          <w:spacing w:val="0"/>
        </w:rPr>
        <w:t xml:space="preserve">Аспирация костного мозга может выполняться из </w:t>
      </w:r>
      <w:r w:rsidRPr="002C6FFD">
        <w:rPr>
          <w:spacing w:val="0"/>
          <w:shd w:val="clear" w:color="auto" w:fill="FFFFFF"/>
        </w:rPr>
        <w:t>области рукоятки грудины или тела грудины на уровне III—IV ребра, избегая область сочленения рукоятки и тела грудины (</w:t>
      </w:r>
      <w:r w:rsidRPr="002C6FFD">
        <w:rPr>
          <w:spacing w:val="0"/>
        </w:rPr>
        <w:t>по методу Аринкина</w:t>
      </w:r>
      <w:r w:rsidRPr="002C6FFD">
        <w:rPr>
          <w:spacing w:val="0"/>
          <w:shd w:val="clear" w:color="auto" w:fill="FFFFFF"/>
        </w:rPr>
        <w:t>), или из гребня подвздошной кости</w:t>
      </w:r>
      <w:r w:rsidRPr="002C6FFD">
        <w:rPr>
          <w:spacing w:val="0"/>
        </w:rPr>
        <w:t xml:space="preserve">. </w:t>
      </w:r>
    </w:p>
    <w:p w14:paraId="3515D271" w14:textId="77777777" w:rsidR="001C46FD" w:rsidRPr="002C6FFD" w:rsidRDefault="001C46FD" w:rsidP="00C5490F">
      <w:pPr>
        <w:pStyle w:val="Number1"/>
        <w:numPr>
          <w:ilvl w:val="0"/>
          <w:numId w:val="62"/>
        </w:numPr>
        <w:overflowPunct/>
        <w:autoSpaceDE/>
        <w:autoSpaceDN/>
        <w:adjustRightInd/>
        <w:spacing w:before="0" w:line="360" w:lineRule="auto"/>
        <w:textAlignment w:val="auto"/>
        <w:rPr>
          <w:color w:val="212121"/>
          <w:spacing w:val="0"/>
        </w:rPr>
      </w:pPr>
      <w:r w:rsidRPr="002C6FFD">
        <w:rPr>
          <w:spacing w:val="0"/>
        </w:rPr>
        <w:t>При выполнении стернальной пункции (по методу Аринкина) больного укладывают на манипуляционный стол на спину.</w:t>
      </w:r>
      <w:r w:rsidRPr="002C6FFD">
        <w:rPr>
          <w:spacing w:val="0"/>
          <w:shd w:val="clear" w:color="auto" w:fill="FFFFFF"/>
        </w:rPr>
        <w:t xml:space="preserve"> Для облегчения выполнения процедуры можно приподнять грудную клетку, поместив под лопатки больного валик.</w:t>
      </w:r>
    </w:p>
    <w:p w14:paraId="21370CAC" w14:textId="77777777" w:rsidR="001C46FD" w:rsidRPr="002C6FFD" w:rsidRDefault="001C46FD" w:rsidP="00C5490F">
      <w:pPr>
        <w:pStyle w:val="Number1"/>
        <w:numPr>
          <w:ilvl w:val="0"/>
          <w:numId w:val="62"/>
        </w:numPr>
        <w:overflowPunct/>
        <w:autoSpaceDE/>
        <w:autoSpaceDN/>
        <w:adjustRightInd/>
        <w:spacing w:before="0" w:line="360" w:lineRule="auto"/>
        <w:textAlignment w:val="auto"/>
        <w:rPr>
          <w:spacing w:val="0"/>
        </w:rPr>
      </w:pPr>
      <w:r w:rsidRPr="002C6FFD">
        <w:rPr>
          <w:spacing w:val="0"/>
        </w:rPr>
        <w:t xml:space="preserve">При применении инфильтрационной анестезии выполняется обезболивание кожи («лимонная корочка») с дальнейшей послойной инфильтративной анестезией вплоть до надкостницы и под надкостницу — </w:t>
      </w:r>
      <w:r w:rsidRPr="002C6FFD">
        <w:rPr>
          <w:color w:val="212121"/>
          <w:spacing w:val="0"/>
          <w:shd w:val="clear" w:color="auto" w:fill="FFFFFF"/>
        </w:rPr>
        <w:t>2,0% раствором лидокаина или 0,25—0,5% раствором новокаина</w:t>
      </w:r>
      <w:r w:rsidRPr="002C6FFD">
        <w:rPr>
          <w:spacing w:val="0"/>
        </w:rPr>
        <w:t xml:space="preserve"> (анестетик выбирается с учетом аллергологического анамнеза) 1,0—2,0 мл. Использование 10% лидокаина недопустимо для местной анестезии в виду возможности некротизирования тканей. </w:t>
      </w:r>
    </w:p>
    <w:p w14:paraId="57EDF13C" w14:textId="77777777" w:rsidR="001C46FD" w:rsidRPr="002C6FFD" w:rsidRDefault="001C46FD" w:rsidP="00C5490F">
      <w:pPr>
        <w:pStyle w:val="Number1"/>
        <w:numPr>
          <w:ilvl w:val="0"/>
          <w:numId w:val="62"/>
        </w:numPr>
        <w:overflowPunct/>
        <w:autoSpaceDE/>
        <w:autoSpaceDN/>
        <w:adjustRightInd/>
        <w:spacing w:before="0" w:line="360" w:lineRule="auto"/>
        <w:textAlignment w:val="auto"/>
        <w:rPr>
          <w:color w:val="222222"/>
          <w:spacing w:val="0"/>
        </w:rPr>
      </w:pPr>
      <w:r w:rsidRPr="002C6FFD">
        <w:rPr>
          <w:spacing w:val="0"/>
        </w:rPr>
        <w:t xml:space="preserve">Пункция костного мозга выполняется иглой Кассирского или иглой сходной с ней конструкции. </w:t>
      </w:r>
    </w:p>
    <w:p w14:paraId="5E4C60F6" w14:textId="77777777" w:rsidR="001C46FD" w:rsidRPr="002C6FFD" w:rsidRDefault="001C46FD" w:rsidP="00C5490F">
      <w:pPr>
        <w:pStyle w:val="Number1"/>
        <w:numPr>
          <w:ilvl w:val="0"/>
          <w:numId w:val="62"/>
        </w:numPr>
        <w:overflowPunct/>
        <w:autoSpaceDE/>
        <w:autoSpaceDN/>
        <w:adjustRightInd/>
        <w:spacing w:before="0" w:line="360" w:lineRule="auto"/>
        <w:textAlignment w:val="auto"/>
        <w:rPr>
          <w:color w:val="222222"/>
          <w:spacing w:val="0"/>
        </w:rPr>
      </w:pPr>
      <w:r w:rsidRPr="002C6FFD">
        <w:rPr>
          <w:spacing w:val="0"/>
        </w:rPr>
        <w:t xml:space="preserve">Ограничитель </w:t>
      </w:r>
      <w:r w:rsidRPr="002C6FFD">
        <w:rPr>
          <w:color w:val="222222"/>
          <w:spacing w:val="0"/>
        </w:rPr>
        <w:t xml:space="preserve">устанавливается с учетом </w:t>
      </w:r>
      <w:r w:rsidRPr="002C6FFD">
        <w:rPr>
          <w:spacing w:val="0"/>
        </w:rPr>
        <w:t xml:space="preserve">возраста, выраженности подкожно-жировой клетчатки пациента из расчета, </w:t>
      </w:r>
      <w:r w:rsidRPr="002C6FFD">
        <w:rPr>
          <w:color w:val="222222"/>
          <w:spacing w:val="0"/>
        </w:rPr>
        <w:t>чтобы игла, пройдя мягкие ткани, продвинулась на 5 мм</w:t>
      </w:r>
      <w:r w:rsidRPr="002C6FFD">
        <w:rPr>
          <w:spacing w:val="0"/>
        </w:rPr>
        <w:t xml:space="preserve">. </w:t>
      </w:r>
      <w:r w:rsidRPr="002C6FFD">
        <w:rPr>
          <w:color w:val="222222"/>
          <w:spacing w:val="0"/>
        </w:rPr>
        <w:t xml:space="preserve">При этом конец иглы, проколов наружную пластинку грудины, окажется в полости грудины. </w:t>
      </w:r>
    </w:p>
    <w:p w14:paraId="3330B93A" w14:textId="77777777" w:rsidR="001C46FD" w:rsidRPr="002C6FFD" w:rsidRDefault="001C46FD" w:rsidP="00C5490F">
      <w:pPr>
        <w:pStyle w:val="Number1"/>
        <w:numPr>
          <w:ilvl w:val="0"/>
          <w:numId w:val="62"/>
        </w:numPr>
        <w:overflowPunct/>
        <w:autoSpaceDE/>
        <w:autoSpaceDN/>
        <w:adjustRightInd/>
        <w:spacing w:before="0" w:line="360" w:lineRule="auto"/>
        <w:textAlignment w:val="auto"/>
        <w:rPr>
          <w:color w:val="222222"/>
          <w:spacing w:val="0"/>
        </w:rPr>
      </w:pPr>
      <w:r w:rsidRPr="002C6FFD">
        <w:rPr>
          <w:spacing w:val="0"/>
          <w:shd w:val="clear" w:color="auto" w:fill="FFFFFF"/>
        </w:rPr>
        <w:t xml:space="preserve">Игла направляется перпендикулярно поверхности кости и вкалывается быстрым и четким движением на уровне одного из межреберий (I—III). </w:t>
      </w:r>
      <w:r w:rsidRPr="002C6FFD">
        <w:rPr>
          <w:color w:val="222222"/>
          <w:spacing w:val="0"/>
        </w:rPr>
        <w:t>Это момент ощущается врачом как «провал».</w:t>
      </w:r>
    </w:p>
    <w:p w14:paraId="6F3EA336" w14:textId="77777777" w:rsidR="001C46FD" w:rsidRPr="002C6FFD" w:rsidRDefault="001C46FD" w:rsidP="00C5490F">
      <w:pPr>
        <w:pStyle w:val="Number1"/>
        <w:numPr>
          <w:ilvl w:val="0"/>
          <w:numId w:val="62"/>
        </w:numPr>
        <w:overflowPunct/>
        <w:autoSpaceDE/>
        <w:autoSpaceDN/>
        <w:adjustRightInd/>
        <w:spacing w:before="0" w:line="360" w:lineRule="auto"/>
        <w:textAlignment w:val="auto"/>
        <w:rPr>
          <w:color w:val="222222"/>
          <w:spacing w:val="0"/>
        </w:rPr>
      </w:pPr>
      <w:r w:rsidRPr="002C6FFD">
        <w:rPr>
          <w:spacing w:val="0"/>
          <w:shd w:val="clear" w:color="auto" w:fill="FFFFFF"/>
        </w:rPr>
        <w:t xml:space="preserve">Игла должна быть неподвижно фиксирована в грудине. </w:t>
      </w:r>
    </w:p>
    <w:p w14:paraId="510830D9" w14:textId="77777777" w:rsidR="001C46FD" w:rsidRPr="002C6FFD" w:rsidRDefault="001C46FD" w:rsidP="00C5490F">
      <w:pPr>
        <w:pStyle w:val="Number1"/>
        <w:numPr>
          <w:ilvl w:val="0"/>
          <w:numId w:val="62"/>
        </w:numPr>
        <w:overflowPunct/>
        <w:autoSpaceDE/>
        <w:autoSpaceDN/>
        <w:adjustRightInd/>
        <w:spacing w:before="0" w:line="360" w:lineRule="auto"/>
        <w:textAlignment w:val="auto"/>
        <w:rPr>
          <w:color w:val="222222"/>
          <w:spacing w:val="0"/>
        </w:rPr>
      </w:pPr>
      <w:r w:rsidRPr="002C6FFD">
        <w:rPr>
          <w:color w:val="222222"/>
          <w:spacing w:val="0"/>
        </w:rPr>
        <w:t xml:space="preserve">После извлечения мандрена к игле присоединяют шприц и производят аспирацию костного мозга. </w:t>
      </w:r>
    </w:p>
    <w:p w14:paraId="4246D3C4" w14:textId="77777777" w:rsidR="001C46FD" w:rsidRPr="002C6FFD" w:rsidRDefault="001C46FD" w:rsidP="00C5490F">
      <w:pPr>
        <w:pStyle w:val="Number1"/>
        <w:numPr>
          <w:ilvl w:val="0"/>
          <w:numId w:val="62"/>
        </w:numPr>
        <w:overflowPunct/>
        <w:autoSpaceDE/>
        <w:autoSpaceDN/>
        <w:adjustRightInd/>
        <w:spacing w:before="0" w:line="360" w:lineRule="auto"/>
        <w:textAlignment w:val="auto"/>
        <w:rPr>
          <w:color w:val="222222"/>
          <w:spacing w:val="0"/>
        </w:rPr>
      </w:pPr>
      <w:r w:rsidRPr="002C6FFD">
        <w:rPr>
          <w:color w:val="222222"/>
          <w:spacing w:val="0"/>
        </w:rPr>
        <w:t>Из полученного пунктата готовят мазки и направляют материал на различные исследования.</w:t>
      </w:r>
    </w:p>
    <w:p w14:paraId="3236E55D" w14:textId="77777777" w:rsidR="001C46FD" w:rsidRDefault="001C46FD" w:rsidP="00C5490F">
      <w:pPr>
        <w:pStyle w:val="Number1"/>
        <w:numPr>
          <w:ilvl w:val="0"/>
          <w:numId w:val="62"/>
        </w:numPr>
        <w:overflowPunct/>
        <w:autoSpaceDE/>
        <w:autoSpaceDN/>
        <w:adjustRightInd/>
        <w:spacing w:before="0" w:line="360" w:lineRule="auto"/>
        <w:textAlignment w:val="auto"/>
        <w:rPr>
          <w:color w:val="222222"/>
          <w:spacing w:val="0"/>
        </w:rPr>
      </w:pPr>
      <w:r w:rsidRPr="002C6FFD">
        <w:rPr>
          <w:color w:val="222222"/>
          <w:spacing w:val="0"/>
        </w:rPr>
        <w:t>Первые 0,5 мл костномозговой взвеси используют для приготовления мазков, которые направляются на:</w:t>
      </w:r>
    </w:p>
    <w:p w14:paraId="7F09EE7B" w14:textId="77777777" w:rsidR="001C46FD" w:rsidRPr="002C6FFD" w:rsidRDefault="001C46FD" w:rsidP="00C5490F">
      <w:pPr>
        <w:pStyle w:val="Number1"/>
        <w:numPr>
          <w:ilvl w:val="1"/>
          <w:numId w:val="62"/>
        </w:numPr>
        <w:overflowPunct/>
        <w:autoSpaceDE/>
        <w:autoSpaceDN/>
        <w:adjustRightInd/>
        <w:spacing w:before="0" w:line="360" w:lineRule="auto"/>
        <w:textAlignment w:val="auto"/>
        <w:rPr>
          <w:color w:val="222222"/>
          <w:spacing w:val="0"/>
        </w:rPr>
      </w:pPr>
      <w:r w:rsidRPr="002C6FFD">
        <w:rPr>
          <w:spacing w:val="0"/>
        </w:rPr>
        <w:t>цитологическое исследование;</w:t>
      </w:r>
    </w:p>
    <w:p w14:paraId="3B0EF2C0" w14:textId="77777777" w:rsidR="001C46FD" w:rsidRDefault="001C46FD" w:rsidP="00C5490F">
      <w:pPr>
        <w:pStyle w:val="Number1"/>
        <w:numPr>
          <w:ilvl w:val="1"/>
          <w:numId w:val="62"/>
        </w:numPr>
        <w:overflowPunct/>
        <w:autoSpaceDE/>
        <w:autoSpaceDN/>
        <w:adjustRightInd/>
        <w:spacing w:before="0" w:line="360" w:lineRule="auto"/>
        <w:textAlignment w:val="auto"/>
        <w:rPr>
          <w:color w:val="222222"/>
          <w:spacing w:val="0"/>
        </w:rPr>
      </w:pPr>
      <w:r w:rsidRPr="002C6FFD">
        <w:rPr>
          <w:spacing w:val="0"/>
        </w:rPr>
        <w:t>цитохимическое исследование.</w:t>
      </w:r>
    </w:p>
    <w:p w14:paraId="47837236" w14:textId="77777777" w:rsidR="001C46FD" w:rsidRPr="002C6FFD" w:rsidRDefault="001C46FD" w:rsidP="00C5490F">
      <w:pPr>
        <w:pStyle w:val="Number1"/>
        <w:numPr>
          <w:ilvl w:val="0"/>
          <w:numId w:val="62"/>
        </w:numPr>
        <w:overflowPunct/>
        <w:autoSpaceDE/>
        <w:autoSpaceDN/>
        <w:adjustRightInd/>
        <w:spacing w:before="0" w:line="360" w:lineRule="auto"/>
        <w:textAlignment w:val="auto"/>
        <w:rPr>
          <w:color w:val="222222"/>
          <w:spacing w:val="0"/>
        </w:rPr>
      </w:pPr>
      <w:r w:rsidRPr="002C6FFD">
        <w:rPr>
          <w:spacing w:val="0"/>
        </w:rPr>
        <w:t>При необходимости остальную костномозговую взвесь помещают</w:t>
      </w:r>
      <w:r>
        <w:rPr>
          <w:spacing w:val="0"/>
        </w:rPr>
        <w:t>:</w:t>
      </w:r>
      <w:r w:rsidRPr="002C6FFD">
        <w:rPr>
          <w:spacing w:val="0"/>
        </w:rPr>
        <w:t xml:space="preserve"> </w:t>
      </w:r>
    </w:p>
    <w:p w14:paraId="18C15FE1" w14:textId="77777777" w:rsidR="001C46FD" w:rsidRPr="002C6FFD" w:rsidRDefault="001C46FD" w:rsidP="00C5490F">
      <w:pPr>
        <w:pStyle w:val="Number1"/>
        <w:numPr>
          <w:ilvl w:val="1"/>
          <w:numId w:val="62"/>
        </w:numPr>
        <w:overflowPunct/>
        <w:autoSpaceDE/>
        <w:autoSpaceDN/>
        <w:adjustRightInd/>
        <w:spacing w:before="0" w:line="360" w:lineRule="auto"/>
        <w:textAlignment w:val="auto"/>
        <w:rPr>
          <w:color w:val="222222"/>
          <w:spacing w:val="0"/>
        </w:rPr>
      </w:pPr>
      <w:r w:rsidRPr="002C6FFD">
        <w:rPr>
          <w:spacing w:val="0"/>
        </w:rPr>
        <w:t>в пробирки с консервантом ЭДТА для проведения исследований:</w:t>
      </w:r>
    </w:p>
    <w:p w14:paraId="4D88018C" w14:textId="77777777" w:rsidR="001C46FD" w:rsidRPr="002C6FFD" w:rsidRDefault="001C46FD" w:rsidP="00C5490F">
      <w:pPr>
        <w:pStyle w:val="Number1"/>
        <w:numPr>
          <w:ilvl w:val="2"/>
          <w:numId w:val="62"/>
        </w:numPr>
        <w:overflowPunct/>
        <w:autoSpaceDE/>
        <w:autoSpaceDN/>
        <w:adjustRightInd/>
        <w:spacing w:before="0" w:line="360" w:lineRule="auto"/>
        <w:textAlignment w:val="auto"/>
        <w:rPr>
          <w:color w:val="222222"/>
          <w:spacing w:val="0"/>
        </w:rPr>
      </w:pPr>
      <w:r w:rsidRPr="002C6FFD">
        <w:rPr>
          <w:spacing w:val="0"/>
        </w:rPr>
        <w:t>иммунофенотипическое исследование;</w:t>
      </w:r>
    </w:p>
    <w:p w14:paraId="75B02449" w14:textId="77777777" w:rsidR="001C46FD" w:rsidRDefault="001C46FD" w:rsidP="00C5490F">
      <w:pPr>
        <w:pStyle w:val="Number1"/>
        <w:numPr>
          <w:ilvl w:val="2"/>
          <w:numId w:val="62"/>
        </w:numPr>
        <w:overflowPunct/>
        <w:autoSpaceDE/>
        <w:autoSpaceDN/>
        <w:adjustRightInd/>
        <w:spacing w:before="0" w:line="360" w:lineRule="auto"/>
        <w:textAlignment w:val="auto"/>
        <w:rPr>
          <w:color w:val="222222"/>
          <w:spacing w:val="0"/>
        </w:rPr>
      </w:pPr>
      <w:r w:rsidRPr="002C6FFD">
        <w:rPr>
          <w:spacing w:val="0"/>
        </w:rPr>
        <w:t>молекулярное исследование (методом ПЦР).</w:t>
      </w:r>
    </w:p>
    <w:p w14:paraId="016CE8DA" w14:textId="77777777" w:rsidR="001C46FD" w:rsidRPr="002C6FFD" w:rsidRDefault="001C46FD" w:rsidP="00C5490F">
      <w:pPr>
        <w:pStyle w:val="Number1"/>
        <w:numPr>
          <w:ilvl w:val="1"/>
          <w:numId w:val="62"/>
        </w:numPr>
        <w:overflowPunct/>
        <w:autoSpaceDE/>
        <w:autoSpaceDN/>
        <w:adjustRightInd/>
        <w:spacing w:before="0" w:line="360" w:lineRule="auto"/>
        <w:textAlignment w:val="auto"/>
        <w:rPr>
          <w:color w:val="222222"/>
          <w:spacing w:val="0"/>
        </w:rPr>
      </w:pPr>
      <w:r w:rsidRPr="002C6FFD">
        <w:rPr>
          <w:spacing w:val="0"/>
        </w:rPr>
        <w:t>в пробирки с литиевой солью гепарина для цитогенетического (кариологического) исследования.</w:t>
      </w:r>
    </w:p>
    <w:p w14:paraId="4A2DAF10" w14:textId="77777777" w:rsidR="001C46FD" w:rsidRPr="002C6FFD" w:rsidRDefault="001C46FD" w:rsidP="00C5490F">
      <w:pPr>
        <w:pStyle w:val="Number1"/>
        <w:numPr>
          <w:ilvl w:val="0"/>
          <w:numId w:val="62"/>
        </w:numPr>
        <w:overflowPunct/>
        <w:autoSpaceDE/>
        <w:autoSpaceDN/>
        <w:adjustRightInd/>
        <w:spacing w:before="0" w:line="360" w:lineRule="auto"/>
        <w:textAlignment w:val="auto"/>
        <w:rPr>
          <w:spacing w:val="0"/>
        </w:rPr>
      </w:pPr>
      <w:r w:rsidRPr="002C6FFD">
        <w:rPr>
          <w:spacing w:val="0"/>
        </w:rPr>
        <w:t>После окончания процедуры аспирации иглу извлекают из грудины и на место пункции накладывают асептическую повязку.</w:t>
      </w:r>
    </w:p>
    <w:p w14:paraId="55A1D7AC" w14:textId="77777777" w:rsidR="001C46FD" w:rsidRPr="002C6FFD" w:rsidRDefault="001C46FD" w:rsidP="00C5490F">
      <w:pPr>
        <w:pStyle w:val="Number1"/>
        <w:numPr>
          <w:ilvl w:val="0"/>
          <w:numId w:val="62"/>
        </w:numPr>
        <w:overflowPunct/>
        <w:autoSpaceDE/>
        <w:autoSpaceDN/>
        <w:adjustRightInd/>
        <w:spacing w:before="0" w:line="360" w:lineRule="auto"/>
        <w:textAlignment w:val="auto"/>
        <w:rPr>
          <w:spacing w:val="0"/>
        </w:rPr>
      </w:pPr>
      <w:r w:rsidRPr="002C6FFD">
        <w:rPr>
          <w:spacing w:val="0"/>
        </w:rPr>
        <w:t xml:space="preserve">Возможно приготовление гистологического препарата из аспирата костного мозга («крошка») – это так называемый clot (сверток, сгусток) аспирата, содержащий частицы костного мозга. Сформировавшийся сгусток помещают в 10% раствор формалина и направляют на гистологическое исследование, которое может быть выполнено в более короткие сроки, чем исследование трепанобиоптата, поскольку не требует выполнения декальцинации кости. </w:t>
      </w:r>
    </w:p>
    <w:p w14:paraId="3CDBC524" w14:textId="77777777" w:rsidR="001C46FD" w:rsidRDefault="001C46FD" w:rsidP="001C46FD">
      <w:pPr>
        <w:pStyle w:val="2"/>
        <w:spacing w:before="0"/>
        <w:rPr>
          <w:rFonts w:eastAsia="Arial Unicode MS"/>
        </w:rPr>
      </w:pPr>
    </w:p>
    <w:p w14:paraId="5626BFE2" w14:textId="57949565" w:rsidR="001C46FD" w:rsidRPr="008E213C" w:rsidRDefault="001C46FD" w:rsidP="001C46FD">
      <w:pPr>
        <w:rPr>
          <w:b/>
          <w:i/>
          <w:iCs/>
          <w:u w:val="single"/>
          <w:shd w:val="clear" w:color="auto" w:fill="FFFFFF"/>
        </w:rPr>
      </w:pPr>
      <w:r w:rsidRPr="008E213C">
        <w:rPr>
          <w:i/>
          <w:iCs/>
          <w:u w:val="single"/>
          <w:shd w:val="clear" w:color="auto" w:fill="FFFFFF"/>
        </w:rPr>
        <w:t xml:space="preserve">Техника выполнения процедуры трепанобиопсии костного мозга </w:t>
      </w:r>
      <w:r w:rsidRPr="008E213C">
        <w:rPr>
          <w:b/>
          <w:i/>
          <w:iCs/>
          <w:u w:val="single"/>
          <w:shd w:val="clear" w:color="auto" w:fill="FFFFFF"/>
        </w:rPr>
        <w:fldChar w:fldCharType="begin" w:fldLock="1"/>
      </w:r>
      <w:r w:rsidR="008139EA">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[131]","plainTextFormattedCitation":"[131]","previouslyFormattedCitation":"[131]"},"properties":{"noteIndex":0},"schema":"https://github.com/citation-style-language/schema/raw/master/csl-citation.json"}</w:instrText>
      </w:r>
      <w:r w:rsidRPr="008E213C">
        <w:rPr>
          <w:b/>
          <w:i/>
          <w:iCs/>
          <w:u w:val="single"/>
          <w:shd w:val="clear" w:color="auto" w:fill="FFFFFF"/>
        </w:rPr>
        <w:fldChar w:fldCharType="separate"/>
      </w:r>
      <w:r w:rsidRPr="001C46FD">
        <w:rPr>
          <w:iCs/>
          <w:noProof/>
          <w:shd w:val="clear" w:color="auto" w:fill="FFFFFF"/>
        </w:rPr>
        <w:t>[131]</w:t>
      </w:r>
      <w:r w:rsidRPr="008E213C">
        <w:rPr>
          <w:b/>
          <w:i/>
          <w:iCs/>
          <w:u w:val="single"/>
          <w:shd w:val="clear" w:color="auto" w:fill="FFFFFF"/>
        </w:rPr>
        <w:fldChar w:fldCharType="end"/>
      </w:r>
    </w:p>
    <w:p w14:paraId="279C17B8" w14:textId="77777777" w:rsidR="001C46FD" w:rsidRPr="002C6FFD" w:rsidRDefault="001C46FD" w:rsidP="00C5490F">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Во время проведения процедуры врач должен комментировать все свои действия и предупреждать пациента обо всех ощущениях, которые могут ее сопровождать. </w:t>
      </w:r>
    </w:p>
    <w:p w14:paraId="2A46C6C9" w14:textId="77777777" w:rsidR="001C46FD" w:rsidRPr="002C6FFD" w:rsidRDefault="001C46FD" w:rsidP="00C5490F">
      <w:pPr>
        <w:pStyle w:val="Number1"/>
        <w:numPr>
          <w:ilvl w:val="0"/>
          <w:numId w:val="63"/>
        </w:numPr>
        <w:overflowPunct/>
        <w:autoSpaceDE/>
        <w:autoSpaceDN/>
        <w:adjustRightInd/>
        <w:spacing w:before="0" w:line="360" w:lineRule="auto"/>
        <w:textAlignment w:val="auto"/>
        <w:rPr>
          <w:spacing w:val="0"/>
        </w:rPr>
      </w:pPr>
      <w:r w:rsidRPr="002C6FFD">
        <w:rPr>
          <w:color w:val="252525"/>
          <w:spacing w:val="0"/>
          <w:shd w:val="clear" w:color="auto" w:fill="FFFFFF"/>
        </w:rPr>
        <w:t>Врач перед началом выполнения процедуры обязательно выясняет наличие и вид аллергических реакций на лекарственные средства, включая анестетики, перечень принимаемых препаратов (антикоагулянты и антиагреганты), наличие сопутствующих заболеваний, остеопороза. При невозможности выполнения местной анестезии, трепанобиопсия может быть выполнена под общей анестезией.</w:t>
      </w:r>
    </w:p>
    <w:p w14:paraId="7844D7CB" w14:textId="77777777" w:rsidR="001C46FD" w:rsidRPr="002C6FFD" w:rsidRDefault="001C46FD" w:rsidP="00C5490F">
      <w:pPr>
        <w:pStyle w:val="Number1"/>
        <w:numPr>
          <w:ilvl w:val="0"/>
          <w:numId w:val="63"/>
        </w:numPr>
        <w:overflowPunct/>
        <w:autoSpaceDE/>
        <w:autoSpaceDN/>
        <w:adjustRightInd/>
        <w:spacing w:before="0" w:line="360" w:lineRule="auto"/>
        <w:textAlignment w:val="auto"/>
        <w:rPr>
          <w:spacing w:val="0"/>
        </w:rPr>
      </w:pPr>
      <w:r w:rsidRPr="002C6FFD">
        <w:rPr>
          <w:color w:val="252525"/>
          <w:spacing w:val="0"/>
          <w:shd w:val="clear" w:color="auto" w:fill="FFFFFF"/>
        </w:rPr>
        <w:t xml:space="preserve">При наличии тромбоцитопении, коагулологических нарушений и геморрагического синдрома перед началом процедуры необходимо выполнить трансфузии тромбоконцентратов и скорректировать коагулологические нарушения трансфузиями СЗП и/или криопреципитата. </w:t>
      </w:r>
    </w:p>
    <w:p w14:paraId="04179198" w14:textId="77777777" w:rsidR="001C46FD" w:rsidRPr="002C6FFD" w:rsidRDefault="001C46FD" w:rsidP="00C5490F">
      <w:pPr>
        <w:pStyle w:val="Number1"/>
        <w:numPr>
          <w:ilvl w:val="0"/>
          <w:numId w:val="63"/>
        </w:numPr>
        <w:overflowPunct/>
        <w:autoSpaceDE/>
        <w:autoSpaceDN/>
        <w:adjustRightInd/>
        <w:spacing w:before="0" w:line="360" w:lineRule="auto"/>
        <w:textAlignment w:val="auto"/>
        <w:rPr>
          <w:spacing w:val="0"/>
        </w:rPr>
      </w:pPr>
      <w:r w:rsidRPr="002C6FFD">
        <w:rPr>
          <w:color w:val="212121"/>
          <w:spacing w:val="0"/>
        </w:rPr>
        <w:t xml:space="preserve">Трепанобиопсия костного мозга </w:t>
      </w:r>
      <w:r w:rsidRPr="002C6FFD">
        <w:rPr>
          <w:spacing w:val="0"/>
        </w:rPr>
        <w:t xml:space="preserve">выполняется иглой Jamshidi — цилиндрической иглой длиной не более 15 см, дистальная часть которой имеет коническое сужение наружного контура и внутренней полости. Игла заканчивается остро заточенным срезом. Внутрь иглы помещается стилет-обтуратор, имеющий срез, плоскость которого совпадает со срезом иглы Jamshidi. </w:t>
      </w:r>
    </w:p>
    <w:p w14:paraId="173917AA" w14:textId="77777777" w:rsidR="001C46FD" w:rsidRPr="002C6FFD" w:rsidRDefault="001C46FD" w:rsidP="00C5490F">
      <w:pPr>
        <w:pStyle w:val="Number1"/>
        <w:numPr>
          <w:ilvl w:val="0"/>
          <w:numId w:val="63"/>
        </w:numPr>
        <w:overflowPunct/>
        <w:autoSpaceDE/>
        <w:autoSpaceDN/>
        <w:adjustRightInd/>
        <w:spacing w:before="0" w:line="360" w:lineRule="auto"/>
        <w:textAlignment w:val="auto"/>
        <w:rPr>
          <w:spacing w:val="0"/>
        </w:rPr>
      </w:pPr>
      <w:r w:rsidRPr="002C6FFD">
        <w:rPr>
          <w:spacing w:val="0"/>
        </w:rPr>
        <w:t>Трепанобиопсию проводят в области задней верхней ости правой и/или левой подвздошных костей (spina iliaca posterior superior). В особых случаях (см. ниже) — в области передней верхней ости правой и/или левой подвздошных костей.</w:t>
      </w:r>
    </w:p>
    <w:p w14:paraId="044D8504" w14:textId="77777777" w:rsidR="001C46FD" w:rsidRDefault="001C46FD" w:rsidP="00C5490F">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Пациента располагают в одном из положений: </w:t>
      </w:r>
    </w:p>
    <w:p w14:paraId="2CF49D08" w14:textId="77777777" w:rsidR="001C46FD" w:rsidRDefault="001C46FD" w:rsidP="00C5490F">
      <w:pPr>
        <w:pStyle w:val="Number1"/>
        <w:numPr>
          <w:ilvl w:val="1"/>
          <w:numId w:val="63"/>
        </w:numPr>
        <w:overflowPunct/>
        <w:autoSpaceDE/>
        <w:autoSpaceDN/>
        <w:adjustRightInd/>
        <w:spacing w:before="0" w:line="360" w:lineRule="auto"/>
        <w:textAlignment w:val="auto"/>
        <w:rPr>
          <w:spacing w:val="0"/>
        </w:rPr>
      </w:pPr>
      <w:r w:rsidRPr="002C6FFD">
        <w:rPr>
          <w:spacing w:val="0"/>
        </w:rPr>
        <w:t xml:space="preserve">лежа на животе; </w:t>
      </w:r>
    </w:p>
    <w:p w14:paraId="3F3906AF" w14:textId="77777777" w:rsidR="001C46FD" w:rsidRDefault="001C46FD" w:rsidP="00C5490F">
      <w:pPr>
        <w:pStyle w:val="Number1"/>
        <w:numPr>
          <w:ilvl w:val="1"/>
          <w:numId w:val="63"/>
        </w:numPr>
        <w:overflowPunct/>
        <w:autoSpaceDE/>
        <w:autoSpaceDN/>
        <w:adjustRightInd/>
        <w:spacing w:before="0" w:line="360" w:lineRule="auto"/>
        <w:textAlignment w:val="auto"/>
        <w:rPr>
          <w:spacing w:val="0"/>
        </w:rPr>
      </w:pPr>
      <w:r w:rsidRPr="002C6FFD">
        <w:rPr>
          <w:spacing w:val="0"/>
        </w:rPr>
        <w:t xml:space="preserve">сидя спиной к врачу, туловище несколько приведено к бедрам, для упора на колени можно положить подушку, ноги пациента стоят на скамейке; </w:t>
      </w:r>
    </w:p>
    <w:p w14:paraId="09C24C0F" w14:textId="77777777" w:rsidR="001C46FD" w:rsidRDefault="001C46FD" w:rsidP="00C5490F">
      <w:pPr>
        <w:pStyle w:val="Number1"/>
        <w:numPr>
          <w:ilvl w:val="1"/>
          <w:numId w:val="63"/>
        </w:numPr>
        <w:overflowPunct/>
        <w:autoSpaceDE/>
        <w:autoSpaceDN/>
        <w:adjustRightInd/>
        <w:spacing w:before="0" w:line="360" w:lineRule="auto"/>
        <w:textAlignment w:val="auto"/>
        <w:rPr>
          <w:spacing w:val="0"/>
        </w:rPr>
      </w:pPr>
      <w:r w:rsidRPr="002C6FFD">
        <w:rPr>
          <w:spacing w:val="0"/>
        </w:rPr>
        <w:t>лежа на боку, ноги согнуты в коленях и приведены к груди, спина несколько согнута</w:t>
      </w:r>
      <w:r>
        <w:rPr>
          <w:spacing w:val="0"/>
        </w:rPr>
        <w:t>;</w:t>
      </w:r>
    </w:p>
    <w:p w14:paraId="7DEC7ED0" w14:textId="77777777" w:rsidR="001C46FD" w:rsidRPr="002C6FFD" w:rsidRDefault="001C46FD" w:rsidP="00C5490F">
      <w:pPr>
        <w:pStyle w:val="Number1"/>
        <w:numPr>
          <w:ilvl w:val="1"/>
          <w:numId w:val="63"/>
        </w:numPr>
        <w:overflowPunct/>
        <w:autoSpaceDE/>
        <w:autoSpaceDN/>
        <w:adjustRightInd/>
        <w:spacing w:before="0" w:line="360" w:lineRule="auto"/>
        <w:textAlignment w:val="auto"/>
        <w:rPr>
          <w:spacing w:val="0"/>
        </w:rPr>
      </w:pPr>
      <w:r w:rsidRPr="002C6FFD">
        <w:rPr>
          <w:spacing w:val="0"/>
        </w:rPr>
        <w:t xml:space="preserve">в исключительных случаях (крайне тяжелое состояние пациента, искусственная вентиляция легких, поздние сроки беременности, ожирение и др.), когда ни одно из этих положений невозможно, манипуляцию выполняют в положении лежа на спине и трепанобиопсию проводят в переднюю верхнюю ость подвздошной кости. </w:t>
      </w:r>
    </w:p>
    <w:p w14:paraId="74C9E792" w14:textId="77777777" w:rsidR="001C46FD" w:rsidRPr="002C6FFD" w:rsidRDefault="001C46FD" w:rsidP="00C5490F">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Чаще всего при выполнении трепанобиопсии пациент находится в сознании. </w:t>
      </w:r>
      <w:r w:rsidRPr="002C6FFD">
        <w:rPr>
          <w:spacing w:val="0"/>
          <w:shd w:val="clear" w:color="auto" w:fill="FFFFFF"/>
        </w:rPr>
        <w:t xml:space="preserve">При невозможности выполнения местной анестезии пункция может быть выполнена под общей анестезией. </w:t>
      </w:r>
      <w:r w:rsidRPr="002C6FFD">
        <w:rPr>
          <w:spacing w:val="0"/>
        </w:rPr>
        <w:t xml:space="preserve">В педиатрической практике манипуляцию проводят под наркозом. </w:t>
      </w:r>
    </w:p>
    <w:p w14:paraId="00C5CF8B" w14:textId="77777777" w:rsidR="001C46FD" w:rsidRPr="002C6FFD" w:rsidRDefault="001C46FD" w:rsidP="00C5490F">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Пальпацией гребня задней верхней ости подвздошной кости и крестцово-подвздошного сочленения выполняется выбор места трепанобиопсии. </w:t>
      </w:r>
    </w:p>
    <w:p w14:paraId="3FB7B295" w14:textId="77777777" w:rsidR="001C46FD" w:rsidRPr="002C6FFD" w:rsidRDefault="001C46FD" w:rsidP="00C5490F">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Обработка кожи растворами антисептиков, как для оперативного вмешательства. </w:t>
      </w:r>
    </w:p>
    <w:p w14:paraId="054AC29E" w14:textId="77777777" w:rsidR="001C46FD" w:rsidRPr="002C6FFD" w:rsidRDefault="001C46FD" w:rsidP="00C5490F">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Обезболивание кожи («лимонная корочка») и далее послойная анестезия тканей вплоть до надкостницы и поднадкостнично — </w:t>
      </w:r>
      <w:r w:rsidRPr="002C6FFD">
        <w:rPr>
          <w:spacing w:val="0"/>
          <w:shd w:val="clear" w:color="auto" w:fill="FFFFFF"/>
        </w:rPr>
        <w:t>2% раствор лидокаина или 0,25—0,5% раствор новокаина</w:t>
      </w:r>
      <w:r w:rsidRPr="002C6FFD">
        <w:rPr>
          <w:spacing w:val="0"/>
        </w:rPr>
        <w:t xml:space="preserve"> (выбранным с учетом аллергологического анамнеза) 4,0—6,0 мл. Использование 10% лидокаина недопустимо для местной анестезии в виду возможности некротизирования тканей. </w:t>
      </w:r>
    </w:p>
    <w:p w14:paraId="2018E717" w14:textId="77777777" w:rsidR="001C46FD" w:rsidRPr="002C6FFD" w:rsidRDefault="001C46FD" w:rsidP="00C5490F">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Анестезия наступает не ранее через 1 мин после инфильтрации надкостницы раствором анестетика. </w:t>
      </w:r>
    </w:p>
    <w:p w14:paraId="76661FF7" w14:textId="77777777" w:rsidR="001C46FD" w:rsidRPr="002C6FFD" w:rsidRDefault="001C46FD" w:rsidP="00C5490F">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Выполняют разрез кожи длиной около 3 мм скальпелем с узким лезвием, однако возможно прохождение кожи и тканей до надкостницы иглой для трепанобиопсии с вставленным стилетом-обтуратором без выполнения кожного разреза. </w:t>
      </w:r>
    </w:p>
    <w:p w14:paraId="46E532ED" w14:textId="77777777" w:rsidR="001C46FD" w:rsidRPr="002C6FFD" w:rsidRDefault="001C46FD" w:rsidP="00C5490F">
      <w:pPr>
        <w:pStyle w:val="Number1"/>
        <w:numPr>
          <w:ilvl w:val="0"/>
          <w:numId w:val="63"/>
        </w:numPr>
        <w:overflowPunct/>
        <w:autoSpaceDE/>
        <w:autoSpaceDN/>
        <w:adjustRightInd/>
        <w:spacing w:before="0" w:line="360" w:lineRule="auto"/>
        <w:textAlignment w:val="auto"/>
        <w:rPr>
          <w:spacing w:val="0"/>
        </w:rPr>
      </w:pPr>
      <w:r w:rsidRPr="002C6FFD">
        <w:rPr>
          <w:spacing w:val="0"/>
        </w:rPr>
        <w:t>Через кожный разрез / прокол вводят иглу Jamshidi со стилетом-обтуратором, зафиксированным внутри иглы, и продвигают сквозь мягкие ткани до надкостницы. Игла вращательно-поступательными движениями с некоторым усилием должна быть направлена с небольшим отклонением латерально и кзади. Одноразовые иглы исключительно острые и не требуют прикладывания усилий. Вращательные движения вокруг оси иглы должны совершаться попеременно по и против часовой стрелки не более чем на 120</w:t>
      </w:r>
      <w:r w:rsidRPr="002C6FFD">
        <w:rPr>
          <w:color w:val="auto"/>
          <w:spacing w:val="0"/>
        </w:rPr>
        <w:sym w:font="Symbol" w:char="F0B0"/>
      </w:r>
      <w:r w:rsidRPr="002C6FFD">
        <w:rPr>
          <w:spacing w:val="0"/>
        </w:rPr>
        <w:t xml:space="preserve"> в ту и другую сторону. Проникновение через кортикальную пластинку воспринимается врачом как ощущение «провала» в ткань меньшей плотности. </w:t>
      </w:r>
    </w:p>
    <w:p w14:paraId="61DF9306" w14:textId="77777777" w:rsidR="001C46FD" w:rsidRPr="002C6FFD" w:rsidRDefault="001C46FD" w:rsidP="00C5490F">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После того как кортикальная пластинка пройдена, вынимается из иглы Jamshidi стилет-обтуратор и вращательно-поступательным движением углубляется в кость на 3—4 см. Продвижение иглы Jamshidi в толще губчатой кости может сопровождаться для больного неприятными ощущениями с иррадиацией в бедро, о чем необходимо предупредить пациента. </w:t>
      </w:r>
    </w:p>
    <w:p w14:paraId="591840B8" w14:textId="77777777" w:rsidR="001C46FD" w:rsidRPr="002C6FFD" w:rsidRDefault="001C46FD" w:rsidP="00C5490F">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Для отделения от костного массива столбика, вырезанного иглой и находящегося в ее просвете, его основание необходимо «подрезать». Чтобы это сделать, нужно несколько раз повернуть иглу в одном и другом направлении вокруг оси. Далее иглу медленно извлекают вращательно-поступательными движениями. </w:t>
      </w:r>
    </w:p>
    <w:p w14:paraId="1277B022" w14:textId="77777777" w:rsidR="001C46FD" w:rsidRPr="002C6FFD" w:rsidRDefault="001C46FD" w:rsidP="00C5490F">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После извлечения иглы стержнем-толкателем трепанобиоптат длиной 3—4 см (из передней верхней ости подвздошной кости) и более, иногда до 5–6 см (из задней верхней ости подвздошной кости)  выталкивается в обратном направлении от острия к рукоятке, то есть через отверстие рукоятки инструмента. </w:t>
      </w:r>
    </w:p>
    <w:p w14:paraId="14ACC14D" w14:textId="77777777" w:rsidR="001C46FD" w:rsidRPr="002C6FFD" w:rsidRDefault="001C46FD" w:rsidP="00C5490F">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После выполнения трепанобиопсии через этот же кожный разрез можно получить аспират костного мозга, пропунктировав заднюю верхнюю ость подвздошной кости в стороне от трепанационного отверстия. Практически все иглы для трепанобиопсии костного мозга имеют со стороны рукоятки коническую втулку, которая позволяет присоединить шприц для создания разрежения в просвете иглы и аспирации костного мозга. Пользоваться иглой Jamshidi для аспирации не очень удобно, лучше применять специальные, более тонкие и короткие иглы. Для этого необходимо через уже существующий разрез кожи пройти аспирационной иглой до кости и, сместив иглу вместе с мягкими тканями, снова выполнить пункцию кортикальной пластинки на некотором удалении (1,5 см) от первого сделанного отверстия, после чего аспирировать костный мозг для исследований, как указано выше. </w:t>
      </w:r>
    </w:p>
    <w:p w14:paraId="42805C3F" w14:textId="77777777" w:rsidR="001C46FD" w:rsidRPr="002C6FFD" w:rsidRDefault="001C46FD" w:rsidP="00C5490F">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В случае невозможности получения аспирата костного мозга выполняют отпечатки трепанобиоптата методом «прокатывания» столбика между двумя предметными стеклами. </w:t>
      </w:r>
    </w:p>
    <w:p w14:paraId="515FBC58" w14:textId="77777777" w:rsidR="001C46FD" w:rsidRPr="002C6FFD" w:rsidRDefault="001C46FD" w:rsidP="00C5490F">
      <w:pPr>
        <w:pStyle w:val="Number1"/>
        <w:numPr>
          <w:ilvl w:val="0"/>
          <w:numId w:val="63"/>
        </w:numPr>
        <w:overflowPunct/>
        <w:autoSpaceDE/>
        <w:autoSpaceDN/>
        <w:adjustRightInd/>
        <w:spacing w:before="0" w:line="360" w:lineRule="auto"/>
        <w:textAlignment w:val="auto"/>
        <w:rPr>
          <w:spacing w:val="0"/>
        </w:rPr>
      </w:pPr>
      <w:r w:rsidRPr="002C6FFD">
        <w:rPr>
          <w:spacing w:val="0"/>
        </w:rPr>
        <w:t>Столбик трепанобиоптата помещают в емкость с физиологическим раствором или 10% раствором формалина и направляют в лабораторию на гистологическое и, при необходимости, иммуногистохимическое исследования.</w:t>
      </w:r>
    </w:p>
    <w:p w14:paraId="60C9658B" w14:textId="77777777" w:rsidR="001C46FD" w:rsidRPr="002C6FFD" w:rsidRDefault="001C46FD" w:rsidP="00C5490F">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По окончании манипуляции на кожу накладывают асептическую повязку (наклейку), рекомендуется приложить хладоэлемент на 10-15мин во избежание образования гематомы. </w:t>
      </w:r>
    </w:p>
    <w:p w14:paraId="29495CB7" w14:textId="77777777" w:rsidR="001C46FD" w:rsidRPr="002C6FFD" w:rsidRDefault="001C46FD" w:rsidP="00C5490F">
      <w:pPr>
        <w:pStyle w:val="Number1"/>
        <w:numPr>
          <w:ilvl w:val="0"/>
          <w:numId w:val="63"/>
        </w:numPr>
        <w:overflowPunct/>
        <w:autoSpaceDE/>
        <w:autoSpaceDN/>
        <w:adjustRightInd/>
        <w:spacing w:before="0" w:line="360" w:lineRule="auto"/>
        <w:textAlignment w:val="auto"/>
        <w:rPr>
          <w:spacing w:val="0"/>
        </w:rPr>
      </w:pPr>
      <w:r w:rsidRPr="002C6FFD">
        <w:rPr>
          <w:spacing w:val="0"/>
        </w:rPr>
        <w:t xml:space="preserve">Пациент должен провести под наблюдением медицинского персонала 2—3 часа после процедуры. </w:t>
      </w:r>
    </w:p>
    <w:p w14:paraId="7E769C70" w14:textId="77777777" w:rsidR="001C46FD" w:rsidRPr="002C6FFD" w:rsidRDefault="001C46FD" w:rsidP="00C5490F">
      <w:pPr>
        <w:pStyle w:val="Number1"/>
        <w:numPr>
          <w:ilvl w:val="0"/>
          <w:numId w:val="63"/>
        </w:numPr>
        <w:overflowPunct/>
        <w:autoSpaceDE/>
        <w:autoSpaceDN/>
        <w:adjustRightInd/>
        <w:spacing w:before="0" w:line="360" w:lineRule="auto"/>
        <w:textAlignment w:val="auto"/>
        <w:rPr>
          <w:spacing w:val="0"/>
        </w:rPr>
      </w:pPr>
      <w:r w:rsidRPr="002C6FFD">
        <w:rPr>
          <w:spacing w:val="0"/>
        </w:rPr>
        <w:t>В первые сутки после выполнения трепанобиопсии больному необходимо избегать физических нагрузок и выполнения работ, связанных с повышенным вниманием (в том числе управление автотранспортным средством). Повязку необходимо сохранять в течение 1-2 суток, при необходимости осуществляется замена повязки с обработкой кожи вокруг места биопсии антисептиками. При гигиенических процедурах пациент должен избегать намокания повязки.</w:t>
      </w:r>
    </w:p>
    <w:p w14:paraId="275C6B3A" w14:textId="77777777" w:rsidR="001C46FD" w:rsidRPr="002C6FFD" w:rsidRDefault="001C46FD" w:rsidP="00C5490F">
      <w:pPr>
        <w:pStyle w:val="Number1"/>
        <w:numPr>
          <w:ilvl w:val="0"/>
          <w:numId w:val="63"/>
        </w:numPr>
        <w:overflowPunct/>
        <w:autoSpaceDE/>
        <w:autoSpaceDN/>
        <w:adjustRightInd/>
        <w:spacing w:before="0" w:line="360" w:lineRule="auto"/>
        <w:textAlignment w:val="auto"/>
        <w:rPr>
          <w:color w:val="auto"/>
          <w:spacing w:val="0"/>
        </w:rPr>
      </w:pPr>
      <w:r w:rsidRPr="002C6FFD">
        <w:rPr>
          <w:spacing w:val="0"/>
        </w:rPr>
        <w:t>На следующий день после выполнения манипуляции медицинскому персоналу необходимо проконтролировать состояние пациента (</w:t>
      </w:r>
      <w:r w:rsidRPr="002C6FFD">
        <w:rPr>
          <w:color w:val="auto"/>
          <w:spacing w:val="0"/>
        </w:rPr>
        <w:t xml:space="preserve">при выполнении манипуляции в амбулаторных условиях - возможно по телефону). </w:t>
      </w:r>
    </w:p>
    <w:p w14:paraId="1F8A5156" w14:textId="64724B66" w:rsidR="001C46FD" w:rsidRDefault="001C46FD" w:rsidP="001C46FD">
      <w:pPr>
        <w:rPr>
          <w:rFonts w:cs="Times New Roman"/>
          <w:szCs w:val="24"/>
        </w:rPr>
      </w:pPr>
    </w:p>
    <w:p w14:paraId="3CEC5126" w14:textId="579652A3" w:rsidR="008139EA" w:rsidRPr="008139EA" w:rsidRDefault="008139EA" w:rsidP="008139EA">
      <w:pPr>
        <w:pStyle w:val="2"/>
      </w:pPr>
      <w:bookmarkStart w:id="219" w:name="_Toc67522267"/>
      <w:r>
        <w:t xml:space="preserve">Приложение А3.7. </w:t>
      </w:r>
      <w:bookmarkStart w:id="220" w:name="OLE_LINK5"/>
      <w:bookmarkStart w:id="221" w:name="OLE_LINK6"/>
      <w:r w:rsidRPr="00952000">
        <w:rPr>
          <w:bCs/>
        </w:rPr>
        <w:t>Обеспечение сосудистого доступа</w:t>
      </w:r>
      <w:bookmarkEnd w:id="219"/>
    </w:p>
    <w:p w14:paraId="6E63BD88" w14:textId="6C073401" w:rsidR="008139EA" w:rsidRPr="00952000" w:rsidRDefault="008139EA" w:rsidP="008139EA">
      <w:pPr>
        <w:ind w:firstLine="709"/>
        <w:rPr>
          <w:rFonts w:cs="Times New Roman"/>
          <w:szCs w:val="24"/>
          <w:shd w:val="clear" w:color="auto" w:fill="FFFFFF"/>
        </w:rPr>
      </w:pPr>
      <w:r w:rsidRPr="00952000">
        <w:rPr>
          <w:rFonts w:cs="Times New Roman"/>
          <w:szCs w:val="24"/>
          <w:shd w:val="clear" w:color="auto" w:fill="FFFFFF"/>
        </w:rPr>
        <w:t>Обеспечение сосудистого доступа является неотъемлемой составляющей частью современной химиотерапии онкогематологических больных</w:t>
      </w:r>
      <w:r w:rsidRPr="00952000">
        <w:rPr>
          <w:rFonts w:cs="Times New Roman"/>
          <w:szCs w:val="24"/>
        </w:rPr>
        <w:t xml:space="preserve">. </w:t>
      </w:r>
      <w:r w:rsidRPr="00952000">
        <w:rPr>
          <w:rFonts w:cs="Times New Roman"/>
          <w:szCs w:val="24"/>
          <w:shd w:val="clear" w:color="auto" w:fill="FFFFFF"/>
        </w:rPr>
        <w:t>Через центральный венозный катетер (ЦВК) вводятся химиотерапевтические препараты, корригируются электролитные нарушения, проводится парентеральное питание, осуществляется взятие образцов крови для исследования и т.</w:t>
      </w:r>
      <w:r>
        <w:rPr>
          <w:rFonts w:cs="Times New Roman"/>
          <w:szCs w:val="24"/>
          <w:shd w:val="clear" w:color="auto" w:fill="FFFFFF"/>
        </w:rPr>
        <w:t> </w:t>
      </w:r>
      <w:r w:rsidRPr="00952000">
        <w:rPr>
          <w:rFonts w:cs="Times New Roman"/>
          <w:szCs w:val="24"/>
          <w:shd w:val="clear" w:color="auto" w:fill="FFFFFF"/>
        </w:rPr>
        <w:t xml:space="preserve">д. </w:t>
      </w:r>
    </w:p>
    <w:p w14:paraId="036B084A" w14:textId="046196D6" w:rsidR="008139EA" w:rsidRPr="00952000" w:rsidRDefault="008139EA" w:rsidP="008139EA">
      <w:pPr>
        <w:ind w:firstLine="709"/>
        <w:rPr>
          <w:rFonts w:cs="Times New Roman"/>
          <w:szCs w:val="24"/>
        </w:rPr>
      </w:pPr>
      <w:r w:rsidRPr="00952000">
        <w:rPr>
          <w:rFonts w:cs="Times New Roman"/>
          <w:szCs w:val="24"/>
        </w:rPr>
        <w:t xml:space="preserve">Выделяют следующие особенности сосудистого доступа в гематологии: необходимость только внутривенного введения многих лекарственных препаратов, массивность инфузионных программ сдавление крупных венозных сосудов увеличенными лимфатическими узлами и/или опухолевой массой, </w:t>
      </w:r>
      <w:r w:rsidRPr="00952000">
        <w:rPr>
          <w:rFonts w:eastAsia="Times New Roman" w:cs="Times New Roman"/>
          <w:szCs w:val="24"/>
        </w:rPr>
        <w:t>как с внутригрудным, так и с внутрибрюшным поражением,</w:t>
      </w:r>
      <w:r w:rsidRPr="00952000">
        <w:rPr>
          <w:rFonts w:cs="Times New Roman"/>
          <w:szCs w:val="24"/>
        </w:rPr>
        <w:t xml:space="preserve"> что значительно затрудняет задачу обеспечения сосудистого доступа </w:t>
      </w:r>
      <w:r w:rsidRPr="00952000">
        <w:rPr>
          <w:rFonts w:cs="Times New Roman"/>
          <w:szCs w:val="24"/>
        </w:rPr>
        <w:fldChar w:fldCharType="begin" w:fldLock="1"/>
      </w:r>
      <w:r>
        <w:rPr>
          <w:rFonts w:cs="Times New Roman"/>
          <w:szCs w:val="24"/>
        </w:rPr>
        <w:instrText>ADDIN CSL_CITATION {"citationItems":[{"id":"ITEM-1","itemData":{"abstract":"NTRODUCTION. SVCS results from compression of the superior vena cava. Lymphoma - one of the most frequent causes of the malignant SVCS.\r\nThe aim of the study was to identify the incidence of SVCS in lymphoma pts and features of the central venous access in lymphoma pts\r\nwith SVCS. METHODS. Materials and methods. 686 lymphoma pts (311 male,\r\n375 female) were included in the prospective study. The pts suffered\r\nfrom Hodgkin's lymphoma (HL) (69 pts) and non-Hodgkin's lymphoma (NHL) (617 pts). In all pts SVCS was diagnosed clinically and was\r\nconfirmed by CT scan or MRI. In pts with confirmed SVCS the central\r\nvenous access was provided by non-tunneled central venous catheters (non-tCVCs) (Certofix DUO 7Fr, BBraun) and totally implantable\r\ncentral venous port system (PowerPort, Bard Access System). The indwelling time, the number of the replaced CVCs and the incidence of complications were analyzed. Statistic: SPSS ver.23 (IBM, Chicago, II., USA). Pearson's chi-squared test and Fisher's exact test were used.\r\nRESULTS. . SVCS was revealed in 70 (10.2%) of 686 lymphoma pts (9 pts with HL and 61 pts with NHL). Among lymphoma pts the frequency of SVCS was highest in pts with primary mediastinal large Bcell lymphoma (PMBCL). SVCS was revealed in 49 (51.6%) of 95 PMBCL pts. In SVCS pts venous access was provided by non-tCVC\r\ninserted in femoral vein (50 pts) and TIVAPS (20 pts) implanted into v. cava inferior through the femoral vein. TIVAPS reservoirs were implanted on the thigh. During lymphoma treatment most pts with non-tCVCs needed repeated catheterizations: median 3 (1-14) CVCs. Among pts with TIVAPS only in 3 pts TIVAPS needed repeated catheterizations; their TIVAPS were removed due to complications. The median indwelling times were 6 (1-129) catheter days for CVCs and\r\n164 (1-280) catheter days for TIVAPS (p&lt;0.05). Incidences of CVC related bloodstream infections (CRBSI) were 2.1/1000 catheter days for\r\nCVCs and 0.1/1000 catheter days for TIVAPS. Incidence of CVC associated thrombosis (CAT) were 4.1/1000 catheter days for CVCs and 0.5/\r\n1000 catheter days for TIVAPS. One patient had infection of the subcutaneous pocket (0.3/1000 catheter days). The reasons for nontCVCs removal were the treatment completion (82.8%) and complications: CRBSI (7.1%), CAT (8.5%), malfunction (1.6%). The reasons for the TIVAPS removal were the treatment completion (85%), CRBSI (5%), infection of the subcutaneous pocket (5%) and CAT (5%). CONCLUSION. SVCS was revealed in 10.2% l…","author":[{"dropping-particle":"","family":"SPIRIN","given":"M.","non-dropping-particle":"","parse-names":false,"suffix":""},{"dropping-particle":"","family":"GALSTYAN","given":"G.","non-dropping-particle":"","parse-names":false,"suffix":""},{"dropping-particle":"","family":"DROKOV","given":"M.","non-dropping-particle":"","parse-names":false,"suffix":""}],"container-title":"INTENSIVE CARE MEDICINE EXPERIMENTAL","id":"ITEM-1","issue":"Suppl. 3:001341","issued":{"date-parts":[["2019"]]},"page":"388-389","title":"Central venous access in lymphoma patients (pts) with superior vena cava syndrome (SVCS)","type":"article-journal","volume":"7"},"uris":["http://www.mendeley.com/documents/?uuid=d4b66f57-5a46-3b0e-bb39-8451d9534a0c","http://www.mendeley.com/documents/?uuid=c29428ae-471c-4ca0-bb6e-1085dbeae434","http://www.mendeley.com/documents/?uuid=34ed67cd-3386-4746-82ca-e1d8edc0179d"]}],"mendeley":{"formattedCitation":"[133]","plainTextFormattedCitation":"[133]","previouslyFormattedCitation":"[133]"},"properties":{"noteIndex":0},"schema":"https://github.com/citation-style-language/schema/raw/master/csl-citation.json"}</w:instrText>
      </w:r>
      <w:r w:rsidRPr="00952000">
        <w:rPr>
          <w:rFonts w:cs="Times New Roman"/>
          <w:szCs w:val="24"/>
        </w:rPr>
        <w:fldChar w:fldCharType="separate"/>
      </w:r>
      <w:r w:rsidRPr="008139EA">
        <w:rPr>
          <w:rFonts w:cs="Times New Roman"/>
          <w:noProof/>
          <w:szCs w:val="24"/>
        </w:rPr>
        <w:t>[133]</w:t>
      </w:r>
      <w:r w:rsidRPr="00952000">
        <w:rPr>
          <w:rFonts w:cs="Times New Roman"/>
          <w:szCs w:val="24"/>
        </w:rPr>
        <w:fldChar w:fldCharType="end"/>
      </w:r>
      <w:r w:rsidRPr="00952000">
        <w:rPr>
          <w:rFonts w:cs="Times New Roman"/>
          <w:szCs w:val="24"/>
        </w:rPr>
        <w:t xml:space="preserve">, высокий риск геморрагического синдрома (врожденные и приобретенные коагулопатии, тромбоцитопения), тромбоза, большая продолжительность лечения. В общей сложности, в надежном сосудистом доступе онкогематологические пациенты нуждаются от нескольких месяцев до года, как в стационарных, так и амбулаторных условиях. Использование с этой целью периферического венозного доступа неприемлемо, поскольку большинство вводимых растворов обладает раздражающим действием (везиканты, ирританты, эксфолианты) и экстравазация таких препаратов в подкожную клетчатку может привести к ее некрозу </w:t>
      </w:r>
      <w:r w:rsidRPr="00952000">
        <w:rPr>
          <w:rFonts w:cs="Times New Roman"/>
          <w:szCs w:val="24"/>
        </w:rPr>
        <w:fldChar w:fldCharType="begin" w:fldLock="1"/>
      </w:r>
      <w:r>
        <w:rPr>
          <w:rFonts w:cs="Times New Roman"/>
          <w:szCs w:val="24"/>
        </w:rPr>
        <w:instrText>ADDIN CSL_CITATION {"citationItems":[{"id":"ITEM-1","itemData":{"DOI":"10.1007/s12254-016-0304-2","ISSN":"1865-5041","PMID":"28058065","abstract":"In cancer treatment, extravasation is defined as an inadvertent instillation or leakage of cytotoxic drugs into the perivascular space during infusion. As a dreaded complication of chemotherapy, extravasation has gained increasing attention in recent years. Classified according to their subcutaneous toxicity, three types of cytotoxins have been established: vesicants, irritants and nonvesicant drugs. Vesicant cytotoxic drugs may induce tissue damage, ulceration and tissue necrosis. Although we have established measures to manage extravasation emergencies, prevention is of paramount importance. This may be achieved within hospitals through regular training and education, which is best provided by a specialised and experienced task force including all disciplines involved in cancer therapy. Moreover, clinical and translational studies contribute to a better management of chemotherapy-induced extravasation as shown by our group in recent years. We were able to demonstrate that the evaluation of blood flow by indocyanine green angiography in the extravasation area predicts the extent of damage and the need of future surgical intervention. When a Port-a-Cath® extravasation is detected early, a subcutaneous wash-out procedure was found to be beneficial, corroborated by the analytical evaluation of the removed cytotoxic compound epirubicin. In another study, the tissue distribution of platinum was quantified at the anatomic level in cryosections of various tissues. This novel knowledge complements and supports our current efforts to handle extravasations better. On the other hand, a number of new drugs (chemotherapy, monoclonal antibodies, checkpoint inhibitors etc.) with many open issues to reliably classify their tissue toxicity still require our attention.","author":[{"dropping-particle":"","family":"Pluschnig","given":"Ursula","non-dropping-particle":"","parse-names":false,"suffix":""},{"dropping-particle":"","family":"Haslik","given":"Werner","non-dropping-particle":"","parse-names":false,"suffix":""},{"dropping-particle":"","family":"Bartsch","given":"Rupert","non-dropping-particle":"","parse-names":false,"suffix":""},{"dropping-particle":"","family":"Mader","given":"Robert M","non-dropping-particle":"","parse-names":false,"suffix":""}],"container-title":"Memo","id":"ITEM-1","issue":"4","issued":{"date-parts":[["2016"]]},"page":"226-230","publisher":"Springer","title":"Extravasation emergencies: state-of-the-art management and progress in clinical research.","type":"article-journal","volume":"9"},"uris":["http://www.mendeley.com/documents/?uuid=587be6ac-ed25-3be6-bca1-30c719328058","http://www.mendeley.com/documents/?uuid=aed12f5b-d478-4cce-aae2-def10fec8352"]}],"mendeley":{"formattedCitation":"[134]","plainTextFormattedCitation":"[134]","previouslyFormattedCitation":"[134]"},"properties":{"noteIndex":0},"schema":"https://github.com/citation-style-language/schema/raw/master/csl-citation.json"}</w:instrText>
      </w:r>
      <w:r w:rsidRPr="00952000">
        <w:rPr>
          <w:rFonts w:cs="Times New Roman"/>
          <w:szCs w:val="24"/>
        </w:rPr>
        <w:fldChar w:fldCharType="separate"/>
      </w:r>
      <w:r w:rsidRPr="008139EA">
        <w:rPr>
          <w:rFonts w:cs="Times New Roman"/>
          <w:noProof/>
          <w:szCs w:val="24"/>
        </w:rPr>
        <w:t>[134]</w:t>
      </w:r>
      <w:r w:rsidRPr="00952000">
        <w:rPr>
          <w:rFonts w:cs="Times New Roman"/>
          <w:szCs w:val="24"/>
        </w:rPr>
        <w:fldChar w:fldCharType="end"/>
      </w:r>
      <w:r w:rsidRPr="00952000">
        <w:rPr>
          <w:rFonts w:cs="Times New Roman"/>
          <w:szCs w:val="24"/>
        </w:rPr>
        <w:t>. Помимо этого, у многих больных вследствие проводимой ранее химиотерапии нередко отсутствуют доступные периферические вены.</w:t>
      </w:r>
    </w:p>
    <w:p w14:paraId="3C29B85A" w14:textId="77777777" w:rsidR="008139EA" w:rsidRDefault="008139EA" w:rsidP="008139EA">
      <w:pPr>
        <w:ind w:firstLine="709"/>
        <w:rPr>
          <w:rFonts w:cs="Times New Roman"/>
          <w:b/>
          <w:bCs/>
          <w:szCs w:val="24"/>
        </w:rPr>
      </w:pPr>
    </w:p>
    <w:p w14:paraId="27923AC0" w14:textId="77777777" w:rsidR="008139EA" w:rsidRPr="004A739C" w:rsidRDefault="008139EA" w:rsidP="008139EA">
      <w:pPr>
        <w:ind w:firstLine="709"/>
        <w:rPr>
          <w:rFonts w:cs="Times New Roman"/>
          <w:i/>
          <w:iCs/>
          <w:szCs w:val="24"/>
          <w:u w:val="single"/>
        </w:rPr>
      </w:pPr>
      <w:r w:rsidRPr="004A739C">
        <w:rPr>
          <w:rFonts w:cs="Times New Roman"/>
          <w:i/>
          <w:iCs/>
          <w:szCs w:val="24"/>
          <w:u w:val="single"/>
        </w:rPr>
        <w:t>Показания к катетеризации центральных вен.</w:t>
      </w:r>
    </w:p>
    <w:p w14:paraId="2FE49A5D" w14:textId="77777777" w:rsidR="008139EA" w:rsidRPr="00952000" w:rsidRDefault="008139EA" w:rsidP="00C5490F">
      <w:pPr>
        <w:pStyle w:val="afe"/>
        <w:numPr>
          <w:ilvl w:val="0"/>
          <w:numId w:val="49"/>
        </w:numPr>
        <w:ind w:left="993" w:hanging="284"/>
        <w:rPr>
          <w:rFonts w:eastAsia="Times New Roman" w:cs="Times New Roman"/>
          <w:szCs w:val="24"/>
          <w:lang w:eastAsia="ru-RU"/>
        </w:rPr>
      </w:pPr>
      <w:r w:rsidRPr="00952000">
        <w:rPr>
          <w:rFonts w:eastAsia="Times New Roman" w:cs="Times New Roman"/>
          <w:szCs w:val="24"/>
          <w:lang w:eastAsia="ru-RU"/>
        </w:rPr>
        <w:t>ограниченный доступ к периферическим венам,</w:t>
      </w:r>
    </w:p>
    <w:p w14:paraId="7002A79E" w14:textId="77777777" w:rsidR="008139EA" w:rsidRPr="00952000" w:rsidRDefault="008139EA" w:rsidP="00C5490F">
      <w:pPr>
        <w:pStyle w:val="afe"/>
        <w:numPr>
          <w:ilvl w:val="0"/>
          <w:numId w:val="49"/>
        </w:numPr>
        <w:ind w:left="993" w:hanging="284"/>
        <w:rPr>
          <w:rFonts w:eastAsia="Times New Roman" w:cs="Times New Roman"/>
          <w:szCs w:val="24"/>
          <w:lang w:eastAsia="ru-RU"/>
        </w:rPr>
      </w:pPr>
      <w:r w:rsidRPr="00952000">
        <w:rPr>
          <w:rFonts w:eastAsia="Times New Roman" w:cs="Times New Roman"/>
          <w:szCs w:val="24"/>
          <w:lang w:eastAsia="ru-RU"/>
        </w:rPr>
        <w:t>необходимость проведения химиотерапии или парентерального питания, массивная инфузионная терапия,</w:t>
      </w:r>
    </w:p>
    <w:p w14:paraId="30E53D54" w14:textId="77777777" w:rsidR="008139EA" w:rsidRPr="00952000" w:rsidRDefault="008139EA" w:rsidP="00C5490F">
      <w:pPr>
        <w:pStyle w:val="afe"/>
        <w:numPr>
          <w:ilvl w:val="0"/>
          <w:numId w:val="49"/>
        </w:numPr>
        <w:ind w:left="993" w:hanging="284"/>
        <w:rPr>
          <w:rFonts w:eastAsia="Times New Roman" w:cs="Times New Roman"/>
          <w:szCs w:val="24"/>
          <w:lang w:eastAsia="ru-RU"/>
        </w:rPr>
      </w:pPr>
      <w:r w:rsidRPr="00952000">
        <w:rPr>
          <w:rFonts w:eastAsia="Times New Roman" w:cs="Times New Roman"/>
          <w:szCs w:val="24"/>
          <w:lang w:eastAsia="ru-RU"/>
        </w:rPr>
        <w:t>необходимость мониторинга гемодинамики (центральное венозное давление),</w:t>
      </w:r>
    </w:p>
    <w:p w14:paraId="656E8CC4" w14:textId="77777777" w:rsidR="008139EA" w:rsidRPr="00952000" w:rsidRDefault="008139EA" w:rsidP="00C5490F">
      <w:pPr>
        <w:pStyle w:val="afe"/>
        <w:numPr>
          <w:ilvl w:val="0"/>
          <w:numId w:val="49"/>
        </w:numPr>
        <w:ind w:left="993" w:hanging="284"/>
        <w:rPr>
          <w:rFonts w:eastAsia="Times New Roman" w:cs="Times New Roman"/>
          <w:szCs w:val="24"/>
          <w:lang w:eastAsia="ru-RU"/>
        </w:rPr>
      </w:pPr>
      <w:r w:rsidRPr="00952000">
        <w:rPr>
          <w:rFonts w:eastAsia="Times New Roman" w:cs="Times New Roman"/>
          <w:szCs w:val="24"/>
          <w:lang w:eastAsia="ru-RU"/>
        </w:rPr>
        <w:t>необходимость мониторинга давления в легочной артерии,</w:t>
      </w:r>
    </w:p>
    <w:p w14:paraId="5D1B1F75" w14:textId="77777777" w:rsidR="008139EA" w:rsidRPr="00952000" w:rsidRDefault="008139EA" w:rsidP="00C5490F">
      <w:pPr>
        <w:pStyle w:val="afe"/>
        <w:numPr>
          <w:ilvl w:val="0"/>
          <w:numId w:val="49"/>
        </w:numPr>
        <w:ind w:left="993" w:hanging="284"/>
        <w:rPr>
          <w:rFonts w:eastAsia="Times New Roman" w:cs="Times New Roman"/>
          <w:szCs w:val="24"/>
          <w:lang w:eastAsia="ru-RU"/>
        </w:rPr>
      </w:pPr>
      <w:r w:rsidRPr="00952000">
        <w:rPr>
          <w:rFonts w:eastAsia="Times New Roman" w:cs="Times New Roman"/>
          <w:szCs w:val="24"/>
          <w:lang w:eastAsia="ru-RU"/>
        </w:rPr>
        <w:t>установка кардиостимулятора,</w:t>
      </w:r>
    </w:p>
    <w:p w14:paraId="7492A6B0" w14:textId="77777777" w:rsidR="008139EA" w:rsidRPr="00952000" w:rsidRDefault="008139EA" w:rsidP="00C5490F">
      <w:pPr>
        <w:pStyle w:val="afe"/>
        <w:numPr>
          <w:ilvl w:val="0"/>
          <w:numId w:val="49"/>
        </w:numPr>
        <w:ind w:left="993" w:hanging="284"/>
        <w:rPr>
          <w:rFonts w:eastAsia="Times New Roman" w:cs="Times New Roman"/>
          <w:szCs w:val="24"/>
          <w:lang w:eastAsia="ru-RU"/>
        </w:rPr>
      </w:pPr>
      <w:r w:rsidRPr="00952000">
        <w:rPr>
          <w:rFonts w:eastAsia="Times New Roman" w:cs="Times New Roman"/>
          <w:szCs w:val="24"/>
          <w:lang w:eastAsia="ru-RU"/>
        </w:rPr>
        <w:t>необходимость проведения заместительной почечной терапии.</w:t>
      </w:r>
    </w:p>
    <w:p w14:paraId="3911B050" w14:textId="77777777" w:rsidR="008139EA" w:rsidRDefault="008139EA" w:rsidP="008139EA">
      <w:pPr>
        <w:ind w:firstLine="709"/>
        <w:rPr>
          <w:rFonts w:cs="Times New Roman"/>
          <w:b/>
          <w:bCs/>
          <w:szCs w:val="24"/>
        </w:rPr>
      </w:pPr>
    </w:p>
    <w:p w14:paraId="76A5C8FF" w14:textId="77777777" w:rsidR="008139EA" w:rsidRPr="004A739C" w:rsidRDefault="008139EA" w:rsidP="008139EA">
      <w:pPr>
        <w:ind w:firstLine="709"/>
        <w:rPr>
          <w:rFonts w:cs="Times New Roman"/>
          <w:i/>
          <w:iCs/>
          <w:szCs w:val="24"/>
          <w:u w:val="single"/>
        </w:rPr>
      </w:pPr>
      <w:r w:rsidRPr="004A739C">
        <w:rPr>
          <w:rFonts w:cs="Times New Roman"/>
          <w:i/>
          <w:iCs/>
          <w:szCs w:val="24"/>
          <w:u w:val="single"/>
        </w:rPr>
        <w:t>Противопоказания к катетеризации центральных вен</w:t>
      </w:r>
    </w:p>
    <w:p w14:paraId="511CD9F8" w14:textId="77777777" w:rsidR="008139EA" w:rsidRPr="004A739C" w:rsidRDefault="008139EA" w:rsidP="00C5490F">
      <w:pPr>
        <w:pStyle w:val="afe"/>
        <w:numPr>
          <w:ilvl w:val="0"/>
          <w:numId w:val="49"/>
        </w:numPr>
        <w:ind w:left="993" w:hanging="284"/>
        <w:rPr>
          <w:rFonts w:eastAsia="Times New Roman" w:cs="Times New Roman"/>
          <w:szCs w:val="24"/>
          <w:lang w:eastAsia="ru-RU"/>
        </w:rPr>
      </w:pPr>
      <w:r w:rsidRPr="004A739C">
        <w:rPr>
          <w:rFonts w:eastAsia="Times New Roman" w:cs="Times New Roman"/>
          <w:szCs w:val="24"/>
          <w:lang w:eastAsia="ru-RU"/>
        </w:rPr>
        <w:t>Абсолютные:</w:t>
      </w:r>
    </w:p>
    <w:p w14:paraId="5AE2D855" w14:textId="77777777" w:rsidR="008139EA" w:rsidRPr="004A739C" w:rsidRDefault="008139EA" w:rsidP="00C5490F">
      <w:pPr>
        <w:pStyle w:val="afe"/>
        <w:numPr>
          <w:ilvl w:val="1"/>
          <w:numId w:val="49"/>
        </w:numPr>
        <w:rPr>
          <w:rFonts w:eastAsia="Times New Roman" w:cs="Times New Roman"/>
          <w:szCs w:val="24"/>
          <w:lang w:eastAsia="ru-RU"/>
        </w:rPr>
      </w:pPr>
      <w:r w:rsidRPr="004A739C">
        <w:rPr>
          <w:rFonts w:eastAsia="Times New Roman" w:cs="Times New Roman"/>
          <w:szCs w:val="24"/>
          <w:lang w:eastAsia="ru-RU"/>
        </w:rPr>
        <w:t>воспаление в планируемом месте доступа</w:t>
      </w:r>
    </w:p>
    <w:p w14:paraId="4B921B88" w14:textId="77777777" w:rsidR="008139EA" w:rsidRPr="004A739C" w:rsidRDefault="008139EA" w:rsidP="00C5490F">
      <w:pPr>
        <w:pStyle w:val="afe"/>
        <w:numPr>
          <w:ilvl w:val="1"/>
          <w:numId w:val="49"/>
        </w:numPr>
        <w:rPr>
          <w:rFonts w:eastAsia="Times New Roman" w:cs="Times New Roman"/>
          <w:szCs w:val="24"/>
          <w:lang w:eastAsia="ru-RU"/>
        </w:rPr>
      </w:pPr>
      <w:r w:rsidRPr="004A739C">
        <w:rPr>
          <w:rFonts w:eastAsia="Times New Roman" w:cs="Times New Roman"/>
          <w:szCs w:val="24"/>
          <w:lang w:eastAsia="ru-RU"/>
        </w:rPr>
        <w:t>недавно проведенное оперативное вмешательство в месте доступа</w:t>
      </w:r>
    </w:p>
    <w:p w14:paraId="3F370467" w14:textId="77777777" w:rsidR="008139EA" w:rsidRPr="004A739C" w:rsidRDefault="008139EA" w:rsidP="00C5490F">
      <w:pPr>
        <w:pStyle w:val="afe"/>
        <w:numPr>
          <w:ilvl w:val="0"/>
          <w:numId w:val="49"/>
        </w:numPr>
        <w:ind w:left="993" w:hanging="284"/>
        <w:rPr>
          <w:rFonts w:eastAsia="Times New Roman" w:cs="Times New Roman"/>
          <w:szCs w:val="24"/>
          <w:lang w:eastAsia="ru-RU"/>
        </w:rPr>
      </w:pPr>
      <w:r w:rsidRPr="004A739C">
        <w:rPr>
          <w:rFonts w:eastAsia="Times New Roman" w:cs="Times New Roman"/>
          <w:szCs w:val="24"/>
          <w:lang w:eastAsia="ru-RU"/>
        </w:rPr>
        <w:t>Относительные</w:t>
      </w:r>
    </w:p>
    <w:p w14:paraId="3CB0AEA6" w14:textId="77777777" w:rsidR="008139EA" w:rsidRPr="004A739C" w:rsidRDefault="008139EA" w:rsidP="00C5490F">
      <w:pPr>
        <w:pStyle w:val="afe"/>
        <w:numPr>
          <w:ilvl w:val="1"/>
          <w:numId w:val="49"/>
        </w:numPr>
        <w:rPr>
          <w:rFonts w:eastAsia="Times New Roman" w:cs="Times New Roman"/>
          <w:szCs w:val="24"/>
          <w:lang w:eastAsia="ru-RU"/>
        </w:rPr>
      </w:pPr>
      <w:r w:rsidRPr="004A739C">
        <w:rPr>
          <w:rFonts w:eastAsia="Times New Roman" w:cs="Times New Roman"/>
          <w:szCs w:val="24"/>
          <w:lang w:eastAsia="ru-RU"/>
        </w:rPr>
        <w:t>выраженный геморрагический синдром (вследствие тромбоцитопении, гипофибриногенемии, наследственных или приобретенных коагулопатий).</w:t>
      </w:r>
    </w:p>
    <w:p w14:paraId="6128D7DE" w14:textId="77777777" w:rsidR="008139EA" w:rsidRDefault="008139EA" w:rsidP="008139EA">
      <w:pPr>
        <w:pStyle w:val="Default"/>
        <w:spacing w:line="360" w:lineRule="auto"/>
        <w:ind w:firstLine="709"/>
        <w:jc w:val="both"/>
        <w:rPr>
          <w:i/>
          <w:color w:val="auto"/>
        </w:rPr>
      </w:pPr>
    </w:p>
    <w:p w14:paraId="76EE3703" w14:textId="77777777" w:rsidR="008139EA" w:rsidRPr="00952000" w:rsidRDefault="008139EA" w:rsidP="008139EA">
      <w:pPr>
        <w:pStyle w:val="Default"/>
        <w:spacing w:line="360" w:lineRule="auto"/>
        <w:ind w:firstLine="709"/>
        <w:jc w:val="both"/>
        <w:rPr>
          <w:color w:val="auto"/>
        </w:rPr>
      </w:pPr>
      <w:r w:rsidRPr="00952000">
        <w:rPr>
          <w:i/>
          <w:color w:val="auto"/>
        </w:rPr>
        <w:t>Тромбоцитопения</w:t>
      </w:r>
      <w:r w:rsidRPr="00952000">
        <w:rPr>
          <w:color w:val="auto"/>
        </w:rPr>
        <w:t xml:space="preserve"> – одна из самых частых причин геморрагического синдрома. Хотя безопасным уровнем для катетеризации мы считаем количество тромбоцитов крови более 20 х 10</w:t>
      </w:r>
      <w:r w:rsidRPr="00952000">
        <w:rPr>
          <w:color w:val="auto"/>
          <w:vertAlign w:val="superscript"/>
        </w:rPr>
        <w:t>9</w:t>
      </w:r>
      <w:r w:rsidRPr="00952000">
        <w:rPr>
          <w:color w:val="auto"/>
        </w:rPr>
        <w:t>/л, у ряда пациентов достичь этого порогового уровня не удается вследствие различных причин, например, рефрактерность к трансфузиям. В этих случаях катетеризация центральной вены под контролем ультразвука без использования дилататора, может быть безопасной даже при количестве тромбоцитов менее 20 х 10</w:t>
      </w:r>
      <w:r w:rsidRPr="00952000">
        <w:rPr>
          <w:color w:val="auto"/>
          <w:vertAlign w:val="superscript"/>
        </w:rPr>
        <w:t>9</w:t>
      </w:r>
      <w:r w:rsidRPr="00952000">
        <w:rPr>
          <w:color w:val="auto"/>
        </w:rPr>
        <w:t>/л.</w:t>
      </w:r>
    </w:p>
    <w:p w14:paraId="2BC1665A" w14:textId="06006131" w:rsidR="008139EA" w:rsidRPr="00952000" w:rsidRDefault="008139EA" w:rsidP="008139EA">
      <w:pPr>
        <w:ind w:firstLine="709"/>
        <w:rPr>
          <w:rFonts w:cs="Times New Roman"/>
          <w:szCs w:val="24"/>
        </w:rPr>
      </w:pPr>
      <w:r w:rsidRPr="00952000">
        <w:rPr>
          <w:rFonts w:cs="Times New Roman"/>
          <w:i/>
          <w:szCs w:val="24"/>
        </w:rPr>
        <w:t>Плазменная концентрация фибриногена</w:t>
      </w:r>
      <w:r w:rsidRPr="00952000">
        <w:rPr>
          <w:rFonts w:cs="Times New Roman"/>
          <w:szCs w:val="24"/>
        </w:rPr>
        <w:t xml:space="preserve"> ассоциируется с геморрагическими осложнениями при установке ЦВК: она значимо ниже у больных с геморрагическими осложнениями, чем без осложнений </w:t>
      </w:r>
      <w:r w:rsidRPr="00952000">
        <w:rPr>
          <w:rFonts w:cs="Times New Roman"/>
          <w:szCs w:val="24"/>
        </w:rPr>
        <w:fldChar w:fldCharType="begin" w:fldLock="1"/>
      </w:r>
      <w:r>
        <w:rPr>
          <w:rFonts w:cs="Times New Roman"/>
          <w:szCs w:val="24"/>
        </w:rPr>
        <w:instrText>ADDIN CSL_CITATION {"citationItems":[{"id":"ITEM-1","itemData":{"DOI":"10.1111/j.1537-2995.2011.03147.x","ISSN":"1537-2995","PMID":"21517892","abstract":"BACKGROUND Patients with severe thrombocytopenia are at risk for bleeding during insertion of central venous catheters (CVCs). Although most guidelines recommend preprocedural platelet (PLT) transfusions at a threshold of less than 50 × 10(9) /L, there is only weak evidence supporting such recommendations. STUDY DESIGN AND METHODS The current study aimed to establish a safe PLT transfusion trigger in patients with CVC placements. We performed a retrospective single-center analysis of 604 CVC insertions in 193 patients with acute leukemia receiving intensive chemotherapy or stem cell transplantation. RESULTS A total of 48% of the patients had a bleeding risk during CVC insertions, mostly due to thrombocytopenia. The bleeding incidence was 32% with 96% Grade 1 and 4% Grade 2 bleedings requiring prolonged local compression. There were no Grade 3 to 4 bleedings. Hemoglobin levels were similar before and 24 and 48 hours after the CVC insertion in the bleeding and nonbleeding group and there was no difference in the red blood cell (p = 0.72) and PLT transfusion requirements (p = 0.057) after CVC insertion. In multivariate analysis, only patients with PLT counts of less than 20 × 10(9) /L were at higher risk for bleeding before (p = 0.015) and after preprocedural PLT transfusions (p =0.006) compared to patients with PLT counts of 100 × 10(9) /L or more. CONCLUSION CVC placements can safely be performed in patients with PLT counts of 20 × 10(9) /L or more without preprocedural PLT transfusions.","author":[{"dropping-particle":"","family":"Zeidler","given":"Kristin","non-dropping-particle":"","parse-names":false,"suffix":""},{"dropping-particle":"","family":"Arn","given":"Kornelius","non-dropping-particle":"","parse-names":false,"suffix":""},{"dropping-particle":"","family":"Senn","given":"Oliver","non-dropping-particle":"","parse-names":false,"suffix":""},{"dropping-particle":"","family":"Schanz","given":"Urs","non-dropping-particle":"","parse-names":false,"suffix":""},{"dropping-particle":"","family":"Stussi","given":"Georg","non-dropping-particle":"","parse-names":false,"suffix":""}],"container-title":"Transfusion","id":"ITEM-1","issue":"11","issued":{"date-parts":[["2011","11"]]},"page":"2269-76","title":"Optimal preprocedural platelet transfusion threshold for central venous catheter insertions in patients with thrombocytopenia.","type":"article-journal","volume":"51"},"uris":["http://www.mendeley.com/documents/?uuid=11f6a6da-e80c-4c12-b31e-ce8ac19b442b"]}],"mendeley":{"formattedCitation":"[135]","plainTextFormattedCitation":"[135]","previouslyFormattedCitation":"[135]"},"properties":{"noteIndex":0},"schema":"https://github.com/citation-style-language/schema/raw/master/csl-citation.json"}</w:instrText>
      </w:r>
      <w:r w:rsidRPr="00952000">
        <w:rPr>
          <w:rFonts w:cs="Times New Roman"/>
          <w:szCs w:val="24"/>
        </w:rPr>
        <w:fldChar w:fldCharType="separate"/>
      </w:r>
      <w:r w:rsidRPr="008139EA">
        <w:rPr>
          <w:rFonts w:cs="Times New Roman"/>
          <w:noProof/>
          <w:szCs w:val="24"/>
        </w:rPr>
        <w:t>[135]</w:t>
      </w:r>
      <w:r w:rsidRPr="00952000">
        <w:rPr>
          <w:rFonts w:cs="Times New Roman"/>
          <w:szCs w:val="24"/>
        </w:rPr>
        <w:fldChar w:fldCharType="end"/>
      </w:r>
      <w:r w:rsidRPr="00952000">
        <w:rPr>
          <w:rFonts w:cs="Times New Roman"/>
          <w:szCs w:val="24"/>
        </w:rPr>
        <w:t>.</w:t>
      </w:r>
    </w:p>
    <w:p w14:paraId="358052B4" w14:textId="77777777" w:rsidR="008139EA" w:rsidRDefault="008139EA" w:rsidP="008139EA">
      <w:pPr>
        <w:ind w:firstLine="709"/>
        <w:rPr>
          <w:rFonts w:cs="Times New Roman"/>
          <w:b/>
          <w:bCs/>
          <w:szCs w:val="24"/>
        </w:rPr>
      </w:pPr>
    </w:p>
    <w:p w14:paraId="16F18C39" w14:textId="77777777" w:rsidR="008139EA" w:rsidRPr="008879EC" w:rsidRDefault="008139EA" w:rsidP="008139EA">
      <w:pPr>
        <w:ind w:firstLine="709"/>
        <w:rPr>
          <w:rFonts w:cs="Times New Roman"/>
          <w:i/>
          <w:iCs/>
          <w:szCs w:val="24"/>
          <w:u w:val="single"/>
        </w:rPr>
      </w:pPr>
      <w:r w:rsidRPr="008879EC">
        <w:rPr>
          <w:rFonts w:cs="Times New Roman"/>
          <w:i/>
          <w:iCs/>
          <w:szCs w:val="24"/>
          <w:u w:val="single"/>
        </w:rPr>
        <w:t>Типы катетеров</w:t>
      </w:r>
    </w:p>
    <w:p w14:paraId="4B9D2F76" w14:textId="77777777" w:rsidR="008139EA" w:rsidRPr="00952000" w:rsidRDefault="008139EA" w:rsidP="008139EA">
      <w:pPr>
        <w:ind w:firstLine="708"/>
        <w:contextualSpacing/>
        <w:rPr>
          <w:rFonts w:cs="Times New Roman"/>
          <w:szCs w:val="24"/>
        </w:rPr>
      </w:pPr>
      <w:r w:rsidRPr="00952000">
        <w:rPr>
          <w:rFonts w:cs="Times New Roman"/>
          <w:i/>
          <w:szCs w:val="24"/>
        </w:rPr>
        <w:t>ЦВК</w:t>
      </w:r>
      <w:r w:rsidRPr="00952000">
        <w:rPr>
          <w:rFonts w:cs="Times New Roman"/>
          <w:szCs w:val="24"/>
        </w:rPr>
        <w:t xml:space="preserve"> – это полая трубка, устанавливаемая в одну из центральных вен. ЦВК изготавливаются из различных материалов, имеют разный диаметр. ЦВК могут быть оснащены клапанами на разных концах, или камерой на проксимальном конце, а также иметь один или несколько просветов, для возможности проведения одновременных инфузий несовместимых между собой растворов. </w:t>
      </w:r>
    </w:p>
    <w:p w14:paraId="6832AA04" w14:textId="77777777" w:rsidR="008139EA" w:rsidRPr="00952000" w:rsidRDefault="008139EA" w:rsidP="008139EA">
      <w:pPr>
        <w:ind w:firstLine="700"/>
        <w:rPr>
          <w:rFonts w:eastAsia="Times New Roman" w:cs="Times New Roman"/>
          <w:i/>
          <w:szCs w:val="24"/>
          <w:lang w:eastAsia="ru-RU"/>
        </w:rPr>
      </w:pPr>
      <w:r w:rsidRPr="00952000">
        <w:rPr>
          <w:rFonts w:eastAsia="Times New Roman" w:cs="Times New Roman"/>
          <w:i/>
          <w:szCs w:val="24"/>
          <w:lang w:eastAsia="ru-RU"/>
        </w:rPr>
        <w:t>Нетуннелируемые катетеры</w:t>
      </w:r>
    </w:p>
    <w:p w14:paraId="7AB147B9" w14:textId="37DA93F1" w:rsidR="008139EA" w:rsidRPr="00DE117D" w:rsidRDefault="008139EA" w:rsidP="008139EA">
      <w:pPr>
        <w:ind w:firstLine="700"/>
        <w:rPr>
          <w:rFonts w:eastAsia="Times New Roman" w:cs="Times New Roman"/>
          <w:strike/>
          <w:szCs w:val="24"/>
        </w:rPr>
      </w:pPr>
      <w:r w:rsidRPr="00952000">
        <w:rPr>
          <w:rFonts w:eastAsia="Times New Roman" w:cs="Times New Roman"/>
          <w:szCs w:val="24"/>
          <w:lang w:eastAsia="ru-RU"/>
        </w:rPr>
        <w:t xml:space="preserve">Это полиуретановые устройства длиной от 20 до 30 см и с внешним диаметром до 8 Fr, а в случае с катетером для проведения гемодиализа 12 </w:t>
      </w:r>
      <w:r w:rsidRPr="00952000">
        <w:rPr>
          <w:rFonts w:eastAsia="Times New Roman" w:cs="Times New Roman"/>
          <w:szCs w:val="24"/>
          <w:lang w:val="en-US" w:eastAsia="ru-RU"/>
        </w:rPr>
        <w:t>Fr</w:t>
      </w:r>
      <w:r w:rsidRPr="00952000">
        <w:rPr>
          <w:rFonts w:eastAsia="Times New Roman" w:cs="Times New Roman"/>
          <w:szCs w:val="24"/>
          <w:lang w:eastAsia="ru-RU"/>
        </w:rPr>
        <w:t>, которые имплантируются путем чрескожной пункции вены (внутренней ярёмной, подключичной, подмышечной или бедренной вены), с позиционированием дистального конца катетера у кава-атриального соединения. Использование в амбулаторных условиях не рекомендуется, так как риск инфицирования или случайного повреждения/удаления у них выше</w:t>
      </w:r>
      <w:r>
        <w:rPr>
          <w:rFonts w:eastAsia="Times New Roman" w:cs="Times New Roman"/>
          <w:szCs w:val="24"/>
          <w:lang w:eastAsia="ru-RU"/>
        </w:rPr>
        <w:t>,</w:t>
      </w:r>
      <w:r w:rsidRPr="00952000">
        <w:rPr>
          <w:rFonts w:eastAsia="Times New Roman" w:cs="Times New Roman"/>
          <w:szCs w:val="24"/>
          <w:lang w:eastAsia="ru-RU"/>
        </w:rPr>
        <w:t xml:space="preserve"> по сравнению с другими типами катетеров, вследствие того, что они не туннелированы и удерживаются на месте фиксирующим швом или при помощи устройства бесшовной фиксации на коже у места пункции </w:t>
      </w:r>
      <w:r w:rsidRPr="00952000">
        <w:rPr>
          <w:rFonts w:eastAsia="Times New Roman" w:cs="Times New Roman"/>
          <w:szCs w:val="24"/>
          <w:lang w:eastAsia="ru-RU"/>
        </w:rPr>
        <w:fldChar w:fldCharType="begin" w:fldLock="1"/>
      </w:r>
      <w:r>
        <w:rPr>
          <w:rFonts w:eastAsia="Times New Roman" w:cs="Times New Roman"/>
          <w:szCs w:val="24"/>
          <w:lang w:eastAsia="ru-RU"/>
        </w:rPr>
        <w:instrText>ADDIN CSL_CITATION {"citationItems":[{"id":"ITEM-1","itemData":{"DOI":"10.1590/1677-5449.008216","author":[{"dropping-particle":"","family":"Zerati","given":"A.E.","non-dropping-particle":"","parse-names":false,"suffix":""},{"dropping-particle":"","family":"Wolosker","given":"N","non-dropping-particle":"","parse-names":false,"suffix":""},{"dropping-particle":"","family":"Luccia","given":"N","non-dropping-particle":"de","parse-names":false,"suffix":""},{"dropping-particle":"","family":"Puech-Leão","given":"P.","non-dropping-particle":"","parse-names":false,"suffix":""}],"container-title":"J Vasc Bras.","id":"ITEM-1","issue":"2","issued":{"date-parts":[["2017"]]},"page":"128-139","title":"Totally implantable venous catheters : history , implantation technique and complications.","type":"article-journal","volume":"16"},"uris":["http://www.mendeley.com/documents/?uuid=d029e3cf-7ed7-47d9-8f50-87f7004ddbed","http://www.mendeley.com/documents/?uuid=5353e640-d658-416d-8033-f443a1c37557"]}],"mendeley":{"formattedCitation":"[136]","plainTextFormattedCitation":"[136]","previouslyFormattedCitation":"[136]"},"properties":{"noteIndex":0},"schema":"https://github.com/citation-style-language/schema/raw/master/csl-citation.json"}</w:instrText>
      </w:r>
      <w:r w:rsidRPr="00952000">
        <w:rPr>
          <w:rFonts w:eastAsia="Times New Roman" w:cs="Times New Roman"/>
          <w:szCs w:val="24"/>
          <w:lang w:eastAsia="ru-RU"/>
        </w:rPr>
        <w:fldChar w:fldCharType="separate"/>
      </w:r>
      <w:r w:rsidRPr="008139EA">
        <w:rPr>
          <w:rFonts w:eastAsia="Times New Roman" w:cs="Times New Roman"/>
          <w:noProof/>
          <w:szCs w:val="24"/>
          <w:lang w:eastAsia="ru-RU"/>
        </w:rPr>
        <w:t>[136]</w:t>
      </w:r>
      <w:r w:rsidRPr="00952000">
        <w:rPr>
          <w:rFonts w:eastAsia="Times New Roman" w:cs="Times New Roman"/>
          <w:szCs w:val="24"/>
          <w:lang w:eastAsia="ru-RU"/>
        </w:rPr>
        <w:fldChar w:fldCharType="end"/>
      </w:r>
      <w:r>
        <w:rPr>
          <w:rFonts w:eastAsia="Times New Roman" w:cs="Times New Roman"/>
          <w:szCs w:val="24"/>
          <w:lang w:eastAsia="ru-RU"/>
        </w:rPr>
        <w:t>. Существую</w:t>
      </w:r>
      <w:r w:rsidRPr="00952000">
        <w:rPr>
          <w:rFonts w:eastAsia="Times New Roman" w:cs="Times New Roman"/>
          <w:szCs w:val="24"/>
          <w:lang w:eastAsia="ru-RU"/>
        </w:rPr>
        <w:t>т версии катетеров с антимикробными или антисептическими покрытиями. Применение катетеров с покрытием требует дальнейшего изучения, так как не раскрыты вопросы антибиотикорезистентности</w:t>
      </w:r>
      <w:r>
        <w:rPr>
          <w:rFonts w:eastAsia="Times New Roman" w:cs="Times New Roman"/>
          <w:szCs w:val="24"/>
          <w:lang w:eastAsia="ru-RU"/>
        </w:rPr>
        <w:t xml:space="preserve">. </w:t>
      </w:r>
    </w:p>
    <w:p w14:paraId="7E19701A" w14:textId="77777777" w:rsidR="008139EA" w:rsidRPr="00952000" w:rsidRDefault="008139EA" w:rsidP="008139EA">
      <w:pPr>
        <w:ind w:firstLine="708"/>
        <w:rPr>
          <w:rFonts w:eastAsia="Times New Roman" w:cs="Times New Roman"/>
          <w:i/>
          <w:szCs w:val="24"/>
          <w:lang w:eastAsia="ru-RU"/>
        </w:rPr>
      </w:pPr>
      <w:r w:rsidRPr="00952000">
        <w:rPr>
          <w:rFonts w:eastAsia="Times New Roman" w:cs="Times New Roman"/>
          <w:i/>
          <w:szCs w:val="24"/>
          <w:lang w:eastAsia="ru-RU"/>
        </w:rPr>
        <w:t xml:space="preserve">Туннелируемые катетеры </w:t>
      </w:r>
    </w:p>
    <w:p w14:paraId="30EE84DD" w14:textId="62CD245B" w:rsidR="008139EA" w:rsidRPr="00952000" w:rsidRDefault="008139EA" w:rsidP="008139EA">
      <w:pPr>
        <w:ind w:firstLine="708"/>
        <w:rPr>
          <w:rFonts w:eastAsia="Times New Roman" w:cs="Times New Roman"/>
          <w:strike/>
          <w:szCs w:val="24"/>
          <w:lang w:eastAsia="ru-RU"/>
        </w:rPr>
      </w:pPr>
      <w:r w:rsidRPr="00952000">
        <w:rPr>
          <w:rFonts w:eastAsia="Times New Roman" w:cs="Times New Roman"/>
          <w:szCs w:val="24"/>
          <w:lang w:eastAsia="ru-RU"/>
        </w:rPr>
        <w:t xml:space="preserve">Туннелируемые катетеры – это имплантируемые катетеры, у которых при помощи подкожного туннеля разнесены места пункции вены и выхода на кожу. Внутри туннеля катетер имеет манжету, которая, врастая в окружающие ткани, фиксирует катетер в туннеле и препятствует распространению инфекции </w:t>
      </w:r>
      <w:r w:rsidRPr="00952000">
        <w:rPr>
          <w:rFonts w:eastAsia="Times New Roman" w:cs="Times New Roman"/>
          <w:szCs w:val="24"/>
          <w:lang w:eastAsia="ru-RU"/>
        </w:rPr>
        <w:fldChar w:fldCharType="begin" w:fldLock="1"/>
      </w:r>
      <w:r>
        <w:rPr>
          <w:rFonts w:eastAsia="Times New Roman" w:cs="Times New Roman"/>
          <w:szCs w:val="24"/>
          <w:lang w:eastAsia="ru-RU"/>
        </w:rPr>
        <w:instrText>ADDIN CSL_CITATION {"citationItems":[{"id":"ITEM-1","itemData":{"DOI":"10.1016/j.amjsurg.2017.03.021","ISSN":"18791883","PMID":"28364951","abstract":"Background Tunneled central venous catheters (CVC) were developed five decades ago. Since then, several clinician-inventors have created a variety of catheters with different functions. Indeed, many catheters have been named after their inventor. Many have wondered who the inventors were of each catheter, and what specifically inspired their inventions. Many of these compelling stories have yet to be told. Data source A literature review of common catheters and personal communication with inventors. Only first person accounts from inventors or those close to the invention were used. Conclusions CVCs are now essential devices that have saved countless lives. Though the inventors have earned the honor of naming their catheters, it may be reasonable to consider more consistent terminology to describe these catheters to avoid confusion.","author":[{"dropping-particle":"","family":"Gow","given":"Kenneth W.","non-dropping-particle":"","parse-names":false,"suffix":""},{"dropping-particle":"","family":"Tapper","given":"David","non-dropping-particle":"","parse-names":false,"suffix":""},{"dropping-particle":"","family":"Hickman","given":"Robert O.","non-dropping-particle":"","parse-names":false,"suffix":""}],"container-title":"American Journal of Surgery","id":"ITEM-1","issue":"5","issued":{"date-parts":[["2017"]]},"page":"837-848","publisher":"Elsevier Ltd","title":"Between the lines: The 50th anniversary of long-term central venous catheters","type":"article-journal","volume":"213"},"uris":["http://www.mendeley.com/documents/?uuid=161c3217-d679-4fd1-9554-18030d03e6fc","http://www.mendeley.com/documents/?uuid=fd0b87b9-b50a-4553-a221-0efbeb55e54e"]}],"mendeley":{"formattedCitation":"[137]","plainTextFormattedCitation":"[137]","previouslyFormattedCitation":"[137]"},"properties":{"noteIndex":0},"schema":"https://github.com/citation-style-language/schema/raw/master/csl-citation.json"}</w:instrText>
      </w:r>
      <w:r w:rsidRPr="00952000">
        <w:rPr>
          <w:rFonts w:eastAsia="Times New Roman" w:cs="Times New Roman"/>
          <w:szCs w:val="24"/>
          <w:lang w:eastAsia="ru-RU"/>
        </w:rPr>
        <w:fldChar w:fldCharType="separate"/>
      </w:r>
      <w:r w:rsidRPr="008139EA">
        <w:rPr>
          <w:rFonts w:eastAsia="Times New Roman" w:cs="Times New Roman"/>
          <w:noProof/>
          <w:szCs w:val="24"/>
          <w:lang w:eastAsia="ru-RU"/>
        </w:rPr>
        <w:t>[137]</w:t>
      </w:r>
      <w:r w:rsidRPr="00952000">
        <w:rPr>
          <w:rFonts w:eastAsia="Times New Roman" w:cs="Times New Roman"/>
          <w:szCs w:val="24"/>
          <w:lang w:eastAsia="ru-RU"/>
        </w:rPr>
        <w:fldChar w:fldCharType="end"/>
      </w:r>
      <w:r w:rsidRPr="00952000">
        <w:rPr>
          <w:rFonts w:eastAsia="Times New Roman" w:cs="Times New Roman"/>
          <w:szCs w:val="24"/>
          <w:lang w:eastAsia="ru-RU"/>
        </w:rPr>
        <w:t xml:space="preserve">. </w:t>
      </w:r>
    </w:p>
    <w:p w14:paraId="496BF005" w14:textId="65220C12" w:rsidR="008139EA" w:rsidRPr="00952000" w:rsidRDefault="008139EA" w:rsidP="008139EA">
      <w:pPr>
        <w:ind w:firstLine="708"/>
        <w:rPr>
          <w:rFonts w:eastAsia="Times New Roman" w:cs="Times New Roman"/>
          <w:szCs w:val="24"/>
          <w:lang w:eastAsia="ru-RU"/>
        </w:rPr>
      </w:pPr>
      <w:r w:rsidRPr="00952000">
        <w:rPr>
          <w:rFonts w:eastAsia="Times New Roman" w:cs="Times New Roman"/>
          <w:szCs w:val="24"/>
          <w:lang w:eastAsia="ru-RU"/>
        </w:rPr>
        <w:t>Туннелируемый тип катетера предпочтительнее нетуннелируемого</w:t>
      </w:r>
      <w:r>
        <w:rPr>
          <w:rFonts w:eastAsia="Times New Roman" w:cs="Times New Roman"/>
          <w:szCs w:val="24"/>
          <w:lang w:eastAsia="ru-RU"/>
        </w:rPr>
        <w:t>, особенно</w:t>
      </w:r>
      <w:r w:rsidRPr="00952000">
        <w:rPr>
          <w:rFonts w:eastAsia="Times New Roman" w:cs="Times New Roman"/>
          <w:szCs w:val="24"/>
          <w:lang w:eastAsia="ru-RU"/>
        </w:rPr>
        <w:t xml:space="preserve"> при необходимости проведения массивной инфузионной терапии </w:t>
      </w:r>
      <w:r>
        <w:rPr>
          <w:rFonts w:eastAsia="Times New Roman" w:cs="Times New Roman"/>
          <w:szCs w:val="24"/>
          <w:lang w:eastAsia="ru-RU"/>
        </w:rPr>
        <w:t>в течение более 3 недель</w:t>
      </w:r>
      <w:r w:rsidRPr="00952000">
        <w:rPr>
          <w:rFonts w:eastAsia="Times New Roman" w:cs="Times New Roman"/>
          <w:szCs w:val="24"/>
          <w:lang w:eastAsia="ru-RU"/>
        </w:rPr>
        <w:t xml:space="preserve">, особенно у онкогематологических пациентов </w:t>
      </w:r>
      <w:r w:rsidRPr="00952000">
        <w:rPr>
          <w:rFonts w:eastAsia="Times New Roman" w:cs="Times New Roman"/>
          <w:szCs w:val="24"/>
          <w:lang w:eastAsia="ru-RU"/>
        </w:rPr>
        <w:fldChar w:fldCharType="begin" w:fldLock="1"/>
      </w:r>
      <w:r>
        <w:rPr>
          <w:rFonts w:eastAsia="Times New Roman" w:cs="Times New Roman"/>
          <w:szCs w:val="24"/>
          <w:lang w:eastAsia="ru-RU"/>
        </w:rPr>
        <w:instrText>ADDIN CSL_CITATION {"citationItems":[{"id":"ITEM-1","itemData":{"DOI":"10.4274/tjh.2013.0278","ISSN":"1300-7777","PMID":"25805675","abstract":"OBJECTIVE Haematopoietic stem cell recipients need central venous catheters (CVCs) for easy administration of intravenous fluid, medications, apheresis, or dialysis procedures. However, CVCs may lead to infectious or non-infectious complications such as thrombosis. The effect of these complications on transplantation outcome is not clear. This manuscript presents the complication rates of double-lumen tunnelled CVCs and their effect on transplantation outcome. MATERIALS AND METHODS Data from 111 consecutive patients, of whom 75 received autologous and 36 received allogeneic peripheral blood stem cell transplantations, were collected retrospectively. The data were validated by the Record Inspection Group of the related JACIE-accredited transplantation centre. RESULTS Thrombosis developed in 2.7% of recipients (0.9 per 1000 catheter days). Catheter-related infection was identified in 14 (12.6%) patients (3.6 per 1000 catheter days). Coagulase-negative Staphylococcus was the most common causative agent. Engraftment time, rate of 100-day mortality, and development of grade II-IV graft-versus-host disease were not found to be associated with catheter-related complications. CONCLUSION These results indicate that adverse events related with tunnelled CVCs are manageable and have no negative effects on transplant outcome. Amaç: Hematopoetik kök hücre nakli alıcıları damar içi mayi, ilaç, aferez ve diyaliz işlemleri için santral venöz kateterlere (SVK) ihtiyaç duyarlar. Ancak SVK’ların enfeksiyöz ve tromboz gibi enfeksiyöz olmayan komplikasyonları vardır. Bu komplikasyonların nakil sürecine etkisi net değildir. Bu çalışma ile çift lümen tünelli santral kateter komplikasyonlarının sıklığı ve nakil sürecine etkisi araştırılmıştır. Gereç ve Yöntemler: Geriye dönük olarak 75 otolog ve 39 allojeneik periferik kök hücre nakli uygulanan toplam 111 hastanın verileri toparlandı. Verilerin doğruluğu JACIE akredite merkezimizin kayıt denetleme grubu tarafından kontrol edildi. Bulgular: Olguların %2,7’sinde tromboz gelişti (1000 kateter gününde 0,9). Hastaların 14’ünde (%12,6) kateter ilişkili enfeksiyon tesbit edildi (1000 kateter gününde 3,6). Koagulaz negatif Stafilokoklar en sık etken idi. Kateter ilişkili komplikasyonlar ile engrafman zamanı, evre II-IV graft versus host hastalığı ve 100 günlük mortalite arasında bir ilişki saptanmadı. Sonuç: Sonuçlarımız nakil hastalarında tünelli SVK komplikasyonlarının yönetilebilir olduğunu ve bu komplikasyonların nakil üzerine olu…","author":[{"dropping-particle":"","family":"Yeral","given":"Mahmut","non-dropping-particle":"","parse-names":false,"suffix":""},{"dropping-particle":"","family":"Boğa","given":"Can","non-dropping-particle":"","parse-names":false,"suffix":""},{"dropping-particle":"","family":"Oğuzkurt","given":"Levent","non-dropping-particle":"","parse-names":false,"suffix":""},{"dropping-particle":"","family":"Alışkan","given":"Hikmet Eda","non-dropping-particle":"","parse-names":false,"suffix":""},{"dropping-particle":"","family":"Özdoğu","given":"Hakan","non-dropping-particle":"","parse-names":false,"suffix":""},{"dropping-particle":"","family":"Demiroğlu","given":"Yusuf Ziya","non-dropping-particle":"","parse-names":false,"suffix":""}],"container-title":"Turkish journal of haematology : official journal of Turkish Society of Haematology","id":"ITEM-1","issue":"1","issued":{"date-parts":[["2015","3"]]},"page":"51-7","publisher":"Galenos Yayinevi","title":"Tunnelled central venous catheter-related problems in the early phase of haematopoietic stem cell transplantation and effects on transplant outcome.","type":"article-journal","volume":"32"},"uris":["http://www.mendeley.com/documents/?uuid=2bc92935-3e96-3617-9553-d5dd4c0694cf","http://www.mendeley.com/documents/?uuid=af150765-c543-48ae-8459-7ae0c47be16e"]}],"mendeley":{"formattedCitation":"[138]","plainTextFormattedCitation":"[138]","previouslyFormattedCitation":"[138]"},"properties":{"noteIndex":0},"schema":"https://github.com/citation-style-language/schema/raw/master/csl-citation.json"}</w:instrText>
      </w:r>
      <w:r w:rsidRPr="00952000">
        <w:rPr>
          <w:rFonts w:eastAsia="Times New Roman" w:cs="Times New Roman"/>
          <w:szCs w:val="24"/>
          <w:lang w:eastAsia="ru-RU"/>
        </w:rPr>
        <w:fldChar w:fldCharType="separate"/>
      </w:r>
      <w:r w:rsidRPr="008139EA">
        <w:rPr>
          <w:rFonts w:eastAsia="Times New Roman" w:cs="Times New Roman"/>
          <w:noProof/>
          <w:szCs w:val="24"/>
          <w:lang w:eastAsia="ru-RU"/>
        </w:rPr>
        <w:t>[138]</w:t>
      </w:r>
      <w:r w:rsidRPr="00952000">
        <w:rPr>
          <w:rFonts w:eastAsia="Times New Roman" w:cs="Times New Roman"/>
          <w:szCs w:val="24"/>
          <w:lang w:eastAsia="ru-RU"/>
        </w:rPr>
        <w:fldChar w:fldCharType="end"/>
      </w:r>
      <w:r w:rsidRPr="00952000">
        <w:rPr>
          <w:rFonts w:eastAsia="Times New Roman" w:cs="Times New Roman"/>
          <w:szCs w:val="24"/>
          <w:lang w:eastAsia="ru-RU"/>
        </w:rPr>
        <w:t xml:space="preserve">. </w:t>
      </w:r>
    </w:p>
    <w:p w14:paraId="4CE3D292" w14:textId="77777777" w:rsidR="008139EA" w:rsidRPr="00952000" w:rsidRDefault="008139EA" w:rsidP="008139EA">
      <w:pPr>
        <w:ind w:firstLine="708"/>
        <w:rPr>
          <w:rFonts w:eastAsia="Times New Roman" w:cs="Times New Roman"/>
          <w:i/>
          <w:szCs w:val="24"/>
          <w:lang w:eastAsia="ru-RU"/>
        </w:rPr>
      </w:pPr>
      <w:r w:rsidRPr="00952000">
        <w:rPr>
          <w:rFonts w:eastAsia="Times New Roman" w:cs="Times New Roman"/>
          <w:i/>
          <w:szCs w:val="24"/>
          <w:lang w:eastAsia="ru-RU"/>
        </w:rPr>
        <w:t xml:space="preserve">Порт-системы </w:t>
      </w:r>
    </w:p>
    <w:p w14:paraId="5B121450" w14:textId="453D21F7" w:rsidR="008139EA" w:rsidRPr="00952000" w:rsidRDefault="008139EA" w:rsidP="008139EA">
      <w:pPr>
        <w:ind w:firstLine="708"/>
        <w:rPr>
          <w:rFonts w:eastAsia="Times New Roman" w:cs="Times New Roman"/>
          <w:szCs w:val="24"/>
          <w:lang w:eastAsia="ru-RU"/>
        </w:rPr>
      </w:pPr>
      <w:r w:rsidRPr="00952000">
        <w:rPr>
          <w:rFonts w:eastAsia="Times New Roman" w:cs="Times New Roman"/>
          <w:szCs w:val="24"/>
          <w:lang w:eastAsia="ru-RU"/>
        </w:rPr>
        <w:t>Полностью имплантируемые венозные устройства доступа используются для обеспечения долгосрочного центрального венозного доступа при проведении химиотерапии, парентерального питания, обеспечения возможности профилактического введения фактора свёртывания при наследственных коагулопатиях, например, гемофилии. Порт-системы</w:t>
      </w:r>
      <w:r w:rsidRPr="00952000">
        <w:rPr>
          <w:rFonts w:eastAsia="Times New Roman" w:cs="Times New Roman"/>
          <w:strike/>
          <w:szCs w:val="24"/>
          <w:lang w:eastAsia="ru-RU"/>
        </w:rPr>
        <w:t xml:space="preserve"> </w:t>
      </w:r>
      <w:r w:rsidRPr="00952000">
        <w:rPr>
          <w:rFonts w:eastAsia="Times New Roman" w:cs="Times New Roman"/>
          <w:szCs w:val="24"/>
          <w:lang w:eastAsia="ru-RU"/>
        </w:rPr>
        <w:t xml:space="preserve">полностью скрыты от внешней среды под кожей, их наличие никак не влияет на физическую активность пациентов и считается, что порт-система – это наименее подверженный инфицированию тип ЦВК </w:t>
      </w:r>
      <w:r w:rsidRPr="00952000">
        <w:rPr>
          <w:rFonts w:eastAsia="Times New Roman" w:cs="Times New Roman"/>
          <w:szCs w:val="24"/>
          <w:lang w:eastAsia="ru-RU"/>
        </w:rPr>
        <w:fldChar w:fldCharType="begin" w:fldLock="1"/>
      </w:r>
      <w:r>
        <w:rPr>
          <w:rFonts w:eastAsia="Times New Roman" w:cs="Times New Roman"/>
          <w:szCs w:val="24"/>
          <w:lang w:eastAsia="ru-RU"/>
        </w:rPr>
        <w:instrText>ADDIN CSL_CITATION {"citationItems":[{"id":"ITEM-1","itemData":{"DOI":"10.4065/81.9.1159","ISSN":"00256196","abstract":"&lt;h3&gt;OBJECTIVE&lt;/h3&gt;&lt;p&gt;To better understand the absolute and relative risks of bloodstream infection (BSI) associated with the various types of intravascular devices (IVDs), we analyzed 200 published studies of adults in which every device in the study population was prospectively evaluated for evidence of associated infection and microbiologically based criteria were used to define IVD-related BSI.&lt;/p&gt;&lt;h3&gt;METHODS&lt;/h3&gt;&lt;p&gt;English-language reports of prospective studies of adults published between January 1, 1966, and July 1, 2005, were identified by MEDLINE search using the following general search strategy: bacteremia [Medical Subject Heading, MeSH] OR septicemia [MeSH] OR bloodstream infection AND the specific type of intravascular device (eg, central venous port). Mean rates of IVD-related BSI were calculated from pooled data for each type of device and expressed as BSIs per 100 IVDs (%) and per 1000 IVD days.&lt;/p&gt;&lt;h3&gt;RESULTS&lt;/h3&gt;&lt;p&gt;Point incidence rates of IVD-related BSI were lowest with peripheral intravenous catheters (0.1%, 0.5 per 1000 IVD-days) and midline catheters (0.4%, 0.2 per 1000 catheter-days). Far higher rates were seen with short-term noncuffed and nonmedicated central venous catheters (CVCs) (4.4%, 2.7 per 1000 catheter-days). Arterial catheters used for hemodynamic monitoring (0.8%, 1.7 per 1000 catheter-days) and peripherally inserted central catheters used in hospitalized patients (2.4%, 2.1 per 1000 catheter-days) posed risks approaching those seen with short-term conventional CVCs used in the intensive care unit. Surgically implanted long-term central venous devices—cuffed and tunneled catheters (22.5%, 1.6 per 1000 IVD-days) and central venous ports (3.6%, 0.1 per 1000 IVD-days)—appear to have high rates of infection when risk is expressed as BSIs per 100 IVDs but actually pose much lower risk when rates are expressed per 1000 IVD-days. The use of cuffed and tunneled dual lumen CVCs rather than noncuffed, nontunneled catheters for temporary hemodialysis and novel preventive technologies, such as CVCs with anti-infective surfaces, was associated with considerably lower rates of catheter-related BSI.&lt;/p&gt;&lt;h3&gt;CONCLUSIONS&lt;/h3&gt;&lt;p&gt;Expressing risk of IVD-related BSI per 1000 IVD-days rather than BSIs per 100 IVDs allows for more meaningful estimates of risk. These data, based on prospective studies in which every IVD in the study cohort was analyzed for evidence of infection by microbiologically based criteria, show that &lt;i&gt;all&lt;/i&gt; types o…","author":[{"dropping-particle":"","family":"Maki","given":"Dennis G.","non-dropping-particle":"","parse-names":false,"suffix":""},{"dropping-particle":"","family":"Kluger","given":"Daniel M.","non-dropping-particle":"","parse-names":false,"suffix":""},{"dropping-particle":"","family":"Crnich","given":"Christopher J.","non-dropping-particle":"","parse-names":false,"suffix":""}],"container-title":"Mayo Clinic Proceedings","id":"ITEM-1","issue":"9","issued":{"date-parts":[["2006","9"]]},"page":"1159-1171","publisher":"Elsevier","title":"The Risk of Bloodstream Infection in Adults With Different Intravascular Devices: A Systematic Review of 200 Published Prospective Studies","type":"article-journal","volume":"81"},"uris":["http://www.mendeley.com/documents/?uuid=f5c4baf8-7e14-301a-815e-3dfe468d40e4","http://www.mendeley.com/documents/?uuid=3cd9be52-e3e0-46b8-abdf-c9f0acf4135d"]}],"mendeley":{"formattedCitation":"[139]","plainTextFormattedCitation":"[139]","previouslyFormattedCitation":"[139]"},"properties":{"noteIndex":0},"schema":"https://github.com/citation-style-language/schema/raw/master/csl-citation.json"}</w:instrText>
      </w:r>
      <w:r w:rsidRPr="00952000">
        <w:rPr>
          <w:rFonts w:eastAsia="Times New Roman" w:cs="Times New Roman"/>
          <w:szCs w:val="24"/>
          <w:lang w:eastAsia="ru-RU"/>
        </w:rPr>
        <w:fldChar w:fldCharType="separate"/>
      </w:r>
      <w:r w:rsidRPr="008139EA">
        <w:rPr>
          <w:rFonts w:eastAsia="Times New Roman" w:cs="Times New Roman"/>
          <w:noProof/>
          <w:szCs w:val="24"/>
          <w:lang w:eastAsia="ru-RU"/>
        </w:rPr>
        <w:t>[139]</w:t>
      </w:r>
      <w:r w:rsidRPr="00952000">
        <w:rPr>
          <w:rFonts w:eastAsia="Times New Roman" w:cs="Times New Roman"/>
          <w:szCs w:val="24"/>
          <w:lang w:eastAsia="ru-RU"/>
        </w:rPr>
        <w:fldChar w:fldCharType="end"/>
      </w:r>
      <w:r w:rsidRPr="00952000">
        <w:rPr>
          <w:rFonts w:eastAsia="Times New Roman" w:cs="Times New Roman"/>
          <w:szCs w:val="24"/>
          <w:lang w:eastAsia="ru-RU"/>
        </w:rPr>
        <w:t xml:space="preserve">. </w:t>
      </w:r>
    </w:p>
    <w:p w14:paraId="5FA222C4" w14:textId="77777777" w:rsidR="008139EA" w:rsidRPr="00952000" w:rsidRDefault="008139EA" w:rsidP="008139EA">
      <w:pPr>
        <w:ind w:firstLine="708"/>
        <w:rPr>
          <w:rFonts w:eastAsia="Times New Roman" w:cs="Times New Roman"/>
          <w:szCs w:val="24"/>
          <w:lang w:eastAsia="ru-RU"/>
        </w:rPr>
      </w:pPr>
      <w:r w:rsidRPr="00952000">
        <w:rPr>
          <w:rFonts w:eastAsia="Times New Roman" w:cs="Times New Roman"/>
          <w:szCs w:val="24"/>
          <w:lang w:eastAsia="ru-RU"/>
        </w:rPr>
        <w:t xml:space="preserve">В настоящее время существует множество модификаций порт-систем, в т.ч. МРТ совместимые модификации и изделия, обладающие высокой пропускной способностью, позволяющие проводить введение контрастных веществ с использованием автоматических устройств. </w:t>
      </w:r>
    </w:p>
    <w:p w14:paraId="6A1CB402" w14:textId="77777777" w:rsidR="008139EA" w:rsidRPr="00952000" w:rsidRDefault="008139EA" w:rsidP="008139EA">
      <w:pPr>
        <w:ind w:firstLine="708"/>
        <w:rPr>
          <w:rFonts w:eastAsia="Times New Roman" w:cs="Times New Roman"/>
          <w:i/>
          <w:szCs w:val="24"/>
          <w:lang w:eastAsia="ru-RU"/>
        </w:rPr>
      </w:pPr>
      <w:r w:rsidRPr="00952000">
        <w:rPr>
          <w:rFonts w:eastAsia="Times New Roman" w:cs="Times New Roman"/>
          <w:i/>
          <w:szCs w:val="24"/>
          <w:lang w:eastAsia="ru-RU"/>
        </w:rPr>
        <w:t>Периферически имплантируемые центральные венозные катетеры.</w:t>
      </w:r>
    </w:p>
    <w:p w14:paraId="6A32A5C3" w14:textId="77B2842C" w:rsidR="008139EA" w:rsidRPr="00952000" w:rsidRDefault="008139EA" w:rsidP="008139EA">
      <w:pPr>
        <w:ind w:firstLine="708"/>
        <w:rPr>
          <w:rFonts w:eastAsia="Times New Roman" w:cs="Times New Roman"/>
          <w:szCs w:val="24"/>
          <w:lang w:eastAsia="ru-RU"/>
        </w:rPr>
      </w:pPr>
      <w:r w:rsidRPr="00952000">
        <w:rPr>
          <w:rFonts w:eastAsia="Times New Roman" w:cs="Times New Roman"/>
          <w:szCs w:val="24"/>
          <w:lang w:eastAsia="ru-RU"/>
        </w:rPr>
        <w:t>Периферически имплантируемые центральные венозные катетеры (ПИЦВК) – это катетеры для долговременного центрального венозного доступа, которые устанавливают через одну из периферических вен руки в центральную вену. ПИЦВК изготавливаются из силикона или полиуретана, они могут быть одно-, двух- и трехпросветными, их диаметр различный, от 3 Fr до 7 Fr. ПИЦВК используют для проведения терапии</w:t>
      </w:r>
      <w:r>
        <w:rPr>
          <w:rFonts w:eastAsia="Times New Roman" w:cs="Times New Roman"/>
          <w:szCs w:val="24"/>
          <w:lang w:eastAsia="ru-RU"/>
        </w:rPr>
        <w:t xml:space="preserve"> </w:t>
      </w:r>
      <w:r w:rsidRPr="00952000">
        <w:rPr>
          <w:rFonts w:eastAsia="Times New Roman" w:cs="Times New Roman"/>
          <w:szCs w:val="24"/>
          <w:lang w:eastAsia="ru-RU"/>
        </w:rPr>
        <w:t xml:space="preserve">(химиотерапия, гемостатическая терапия и т.д.), в среднем, от 6 мес. до 1 года и рассматривают как вариант центрального венозного доступа, который может использоваться как в стационарных, так и в амбулаторных условиях, как ежедневно, так и периодически, обеспечивая пациенту безопасность и комфорт </w:t>
      </w:r>
      <w:r w:rsidRPr="00952000">
        <w:rPr>
          <w:rFonts w:eastAsia="Times New Roman" w:cs="Times New Roman"/>
          <w:szCs w:val="24"/>
          <w:lang w:eastAsia="ru-RU"/>
        </w:rPr>
        <w:fldChar w:fldCharType="begin" w:fldLock="1"/>
      </w:r>
      <w:r>
        <w:rPr>
          <w:rFonts w:eastAsia="Times New Roman" w:cs="Times New Roman"/>
          <w:szCs w:val="24"/>
          <w:lang w:eastAsia="ru-RU"/>
        </w:rPr>
        <w:instrText>ADDIN CSL_CITATION {"citationItems":[{"id":"ITEM-1","itemData":{"DOI":"10.1002/9780470750186","ISBN":"9780470750186","author":[{"dropping-particle":"","family":"Hamilton","given":"Helen","non-dropping-particle":"","parse-names":false,"suffix":""}],"editor":[{"dropping-particle":"","family":"Bodenham","given":"Andrew R.","non-dropping-particle":"","parse-names":false,"suffix":""}],"id":"ITEM-1","issued":{"date-parts":[["2009","2"]]},"publisher":"Wiley-Blackwell","publisher-place":"Oxford, UK","title":"Central Venous Catheters","type":"book"},"uris":["http://www.mendeley.com/documents/?uuid=e2be4192-4b13-32c7-ac3a-c1ee92dec830","http://www.mendeley.com/documents/?uuid=e9419574-fa82-44c8-8d1a-190e223d334b"]}],"mendeley":{"formattedCitation":"[140]","plainTextFormattedCitation":"[140]","previouslyFormattedCitation":"[140]"},"properties":{"noteIndex":0},"schema":"https://github.com/citation-style-language/schema/raw/master/csl-citation.json"}</w:instrText>
      </w:r>
      <w:r w:rsidRPr="00952000">
        <w:rPr>
          <w:rFonts w:eastAsia="Times New Roman" w:cs="Times New Roman"/>
          <w:szCs w:val="24"/>
          <w:lang w:eastAsia="ru-RU"/>
        </w:rPr>
        <w:fldChar w:fldCharType="separate"/>
      </w:r>
      <w:r w:rsidRPr="008139EA">
        <w:rPr>
          <w:rFonts w:eastAsia="Times New Roman" w:cs="Times New Roman"/>
          <w:noProof/>
          <w:szCs w:val="24"/>
          <w:lang w:eastAsia="ru-RU"/>
        </w:rPr>
        <w:t>[140]</w:t>
      </w:r>
      <w:r w:rsidRPr="00952000">
        <w:rPr>
          <w:rFonts w:eastAsia="Times New Roman" w:cs="Times New Roman"/>
          <w:szCs w:val="24"/>
          <w:lang w:eastAsia="ru-RU"/>
        </w:rPr>
        <w:fldChar w:fldCharType="end"/>
      </w:r>
      <w:r w:rsidRPr="00952000">
        <w:rPr>
          <w:rFonts w:eastAsia="Times New Roman" w:cs="Times New Roman"/>
          <w:szCs w:val="24"/>
          <w:lang w:eastAsia="ru-RU"/>
        </w:rPr>
        <w:fldChar w:fldCharType="begin" w:fldLock="1"/>
      </w:r>
      <w:r>
        <w:rPr>
          <w:rFonts w:eastAsia="Times New Roman" w:cs="Times New Roman"/>
          <w:szCs w:val="24"/>
          <w:lang w:val="en-US" w:eastAsia="ru-RU"/>
        </w:rPr>
        <w:instrText>ADDIN CSL_CITATION {"citationItems":[{"id":"ITEM-1","itemData":{"DOI":"10.1007/978-88-470-5665-7_1","author":[{"dropping-particle":"","family":"Biffi","given":"Roberto","non-dropping-particle":"","parse-names":false,"suffix":""}],"container-title":"Peripherally Inserted Central Venous Catheters","id":"ITEM-1","issued":{"date-parts":[["2014"]]},"page":"1-6","publisher":"Springer Milan","publisher-place":"Milano","title":"Introduction and Overview of PICC History","type":"chapter"},"uris":["http://www.mendeley.com/documents/?uuid=7dba9d59-13c1-354f-9c32-ced4c0b75a01","http://www.mendeley.com/documents/?uuid=575e509f-3cbc-47da-b3dc-996cea404095"]}],"mendeley":{"formattedCitation":"[141]","plainTextFormattedCitation":"[141]","previouslyFormattedCitation":"[141]"},"properties":{"noteIndex":0},"schema":"https://github.com/citation-style-language/schema/raw/master/csl-citation.json"}</w:instrText>
      </w:r>
      <w:r w:rsidRPr="00952000">
        <w:rPr>
          <w:rFonts w:eastAsia="Times New Roman" w:cs="Times New Roman"/>
          <w:szCs w:val="24"/>
          <w:lang w:eastAsia="ru-RU"/>
        </w:rPr>
        <w:fldChar w:fldCharType="separate"/>
      </w:r>
      <w:r w:rsidRPr="008139EA">
        <w:rPr>
          <w:rFonts w:eastAsia="Times New Roman" w:cs="Times New Roman"/>
          <w:noProof/>
          <w:szCs w:val="24"/>
          <w:lang w:eastAsia="ru-RU"/>
        </w:rPr>
        <w:t>[141]</w:t>
      </w:r>
      <w:r w:rsidRPr="00952000">
        <w:rPr>
          <w:rFonts w:eastAsia="Times New Roman" w:cs="Times New Roman"/>
          <w:szCs w:val="24"/>
          <w:lang w:eastAsia="ru-RU"/>
        </w:rPr>
        <w:fldChar w:fldCharType="end"/>
      </w:r>
      <w:r w:rsidRPr="00952000">
        <w:rPr>
          <w:rFonts w:eastAsia="Times New Roman" w:cs="Times New Roman"/>
          <w:szCs w:val="24"/>
          <w:lang w:eastAsia="ru-RU"/>
        </w:rPr>
        <w:t>. ПИЦВК имеют ряд преимуществ перед обычными ЦВК. При их установке исключен риск пневмоторакса и гемоторакса, пациенты отмечают больший комфорт, иногда предпочитают по косметическим причинам. Важным преимуществом ПИЦВК является и меньшее количество инфекционных осложнений. ПИЦВК практически незаменимы при наличии выраженного геморрагического синдрома.</w:t>
      </w:r>
    </w:p>
    <w:p w14:paraId="340E1F67" w14:textId="77777777" w:rsidR="008139EA" w:rsidRPr="00952000" w:rsidRDefault="008139EA" w:rsidP="008139EA">
      <w:pPr>
        <w:ind w:firstLine="708"/>
        <w:rPr>
          <w:rFonts w:eastAsia="Times New Roman" w:cs="Times New Roman"/>
          <w:i/>
          <w:szCs w:val="24"/>
          <w:lang w:eastAsia="ru-RU"/>
        </w:rPr>
      </w:pPr>
      <w:r w:rsidRPr="00952000">
        <w:rPr>
          <w:rFonts w:eastAsia="Times New Roman" w:cs="Times New Roman"/>
          <w:i/>
          <w:szCs w:val="24"/>
          <w:lang w:eastAsia="ru-RU"/>
        </w:rPr>
        <w:t>Диализные катетеры.</w:t>
      </w:r>
    </w:p>
    <w:p w14:paraId="1CD78C09" w14:textId="77777777" w:rsidR="008139EA" w:rsidRPr="00952000" w:rsidRDefault="008139EA" w:rsidP="008139EA">
      <w:pPr>
        <w:ind w:firstLine="700"/>
        <w:rPr>
          <w:rFonts w:cs="Times New Roman"/>
          <w:szCs w:val="24"/>
        </w:rPr>
      </w:pPr>
      <w:r w:rsidRPr="00952000">
        <w:rPr>
          <w:rFonts w:eastAsia="Times New Roman" w:cs="Times New Roman"/>
          <w:szCs w:val="24"/>
          <w:lang w:eastAsia="ru-RU"/>
        </w:rPr>
        <w:t xml:space="preserve">Отдельное место занимают так называемые диализные катетеры, то есть катетеры, которые используются для проведения заместительной почечной терапии, а также процедур плазмафереза и лейкоцитафереза, сбора гемопоэтических стволовых клеток. Связано это с большим диаметром катетера, а также особенностями строения дистального конца катетера. </w:t>
      </w:r>
      <w:r w:rsidRPr="00952000">
        <w:rPr>
          <w:rFonts w:cs="Times New Roman"/>
          <w:szCs w:val="24"/>
        </w:rPr>
        <w:t>Они устанавливаются на время формирования (“созревания”) фистулы или протеза у больных с хронической почечной недостаточностью, нуждающихся в программном гемодиализе или в качестве единственного сосудистого доступа при наличии тяжелой сердечной недостаточности.</w:t>
      </w:r>
    </w:p>
    <w:p w14:paraId="1423F20A" w14:textId="77777777" w:rsidR="008139EA" w:rsidRPr="00781F82" w:rsidRDefault="008139EA" w:rsidP="008139EA">
      <w:pPr>
        <w:ind w:firstLine="709"/>
        <w:rPr>
          <w:rFonts w:cs="Times New Roman"/>
          <w:i/>
          <w:iCs/>
          <w:szCs w:val="24"/>
          <w:u w:val="single"/>
        </w:rPr>
      </w:pPr>
      <w:r w:rsidRPr="00781F82">
        <w:rPr>
          <w:rFonts w:cs="Times New Roman"/>
          <w:i/>
          <w:iCs/>
          <w:szCs w:val="24"/>
          <w:u w:val="single"/>
        </w:rPr>
        <w:t>Осложнения</w:t>
      </w:r>
      <w:r w:rsidRPr="00781F82">
        <w:rPr>
          <w:rFonts w:eastAsia="Times New Roman" w:cs="Times New Roman"/>
          <w:i/>
          <w:iCs/>
          <w:szCs w:val="24"/>
          <w:u w:val="single"/>
          <w:lang w:eastAsia="ru-RU"/>
        </w:rPr>
        <w:t xml:space="preserve"> катетеризации центральных вен</w:t>
      </w:r>
    </w:p>
    <w:p w14:paraId="42092906" w14:textId="77777777" w:rsidR="008139EA" w:rsidRPr="00952000" w:rsidRDefault="008139EA" w:rsidP="008139EA">
      <w:pPr>
        <w:ind w:firstLine="709"/>
        <w:rPr>
          <w:rFonts w:eastAsia="Times New Roman" w:cs="Times New Roman"/>
          <w:szCs w:val="24"/>
          <w:lang w:eastAsia="ru-RU"/>
        </w:rPr>
      </w:pPr>
      <w:r w:rsidRPr="00952000">
        <w:rPr>
          <w:rFonts w:eastAsia="Times New Roman" w:cs="Times New Roman"/>
          <w:i/>
          <w:szCs w:val="24"/>
          <w:lang w:eastAsia="ru-RU"/>
        </w:rPr>
        <w:t>К ранним осложнениям</w:t>
      </w:r>
      <w:r w:rsidRPr="00952000">
        <w:rPr>
          <w:rFonts w:eastAsia="Times New Roman" w:cs="Times New Roman"/>
          <w:szCs w:val="24"/>
          <w:lang w:eastAsia="ru-RU"/>
        </w:rPr>
        <w:t xml:space="preserve"> относят возникшие во время проведения манипуляции:</w:t>
      </w:r>
    </w:p>
    <w:p w14:paraId="74779847" w14:textId="77777777" w:rsidR="008139EA" w:rsidRPr="00952000" w:rsidRDefault="008139EA" w:rsidP="00C5490F">
      <w:pPr>
        <w:pStyle w:val="afe"/>
        <w:numPr>
          <w:ilvl w:val="0"/>
          <w:numId w:val="50"/>
        </w:numPr>
        <w:ind w:left="993" w:hanging="284"/>
        <w:rPr>
          <w:rFonts w:eastAsia="Times New Roman" w:cs="Times New Roman"/>
          <w:szCs w:val="24"/>
          <w:lang w:eastAsia="ru-RU"/>
        </w:rPr>
      </w:pPr>
      <w:r w:rsidRPr="00952000">
        <w:rPr>
          <w:rFonts w:eastAsia="Times New Roman" w:cs="Times New Roman"/>
          <w:szCs w:val="24"/>
          <w:lang w:eastAsia="ru-RU"/>
        </w:rPr>
        <w:t xml:space="preserve">ранение магистральных артерий, </w:t>
      </w:r>
    </w:p>
    <w:p w14:paraId="2B19D87A" w14:textId="77777777" w:rsidR="008139EA" w:rsidRPr="00952000" w:rsidRDefault="008139EA" w:rsidP="00C5490F">
      <w:pPr>
        <w:pStyle w:val="afe"/>
        <w:numPr>
          <w:ilvl w:val="0"/>
          <w:numId w:val="50"/>
        </w:numPr>
        <w:ind w:left="993" w:hanging="284"/>
        <w:rPr>
          <w:rFonts w:eastAsia="Times New Roman" w:cs="Times New Roman"/>
          <w:szCs w:val="24"/>
          <w:lang w:eastAsia="ru-RU"/>
        </w:rPr>
      </w:pPr>
      <w:r w:rsidRPr="00952000">
        <w:rPr>
          <w:rFonts w:eastAsia="Times New Roman" w:cs="Times New Roman"/>
          <w:szCs w:val="24"/>
          <w:lang w:eastAsia="ru-RU"/>
        </w:rPr>
        <w:t>развитие гематомы в месте пункции сосуда</w:t>
      </w:r>
    </w:p>
    <w:p w14:paraId="19927D64" w14:textId="77777777" w:rsidR="008139EA" w:rsidRPr="00952000" w:rsidRDefault="008139EA" w:rsidP="00C5490F">
      <w:pPr>
        <w:pStyle w:val="afe"/>
        <w:numPr>
          <w:ilvl w:val="0"/>
          <w:numId w:val="50"/>
        </w:numPr>
        <w:ind w:left="993" w:hanging="284"/>
        <w:rPr>
          <w:rFonts w:eastAsia="Times New Roman" w:cs="Times New Roman"/>
          <w:szCs w:val="24"/>
          <w:lang w:eastAsia="ru-RU"/>
        </w:rPr>
      </w:pPr>
      <w:r w:rsidRPr="00952000">
        <w:rPr>
          <w:rFonts w:eastAsia="Times New Roman" w:cs="Times New Roman"/>
          <w:szCs w:val="24"/>
          <w:lang w:eastAsia="ru-RU"/>
        </w:rPr>
        <w:t xml:space="preserve">развитие пневмоторакса, гемоторакса, </w:t>
      </w:r>
    </w:p>
    <w:p w14:paraId="23E11A3B" w14:textId="77777777" w:rsidR="008139EA" w:rsidRPr="00952000" w:rsidRDefault="008139EA" w:rsidP="00C5490F">
      <w:pPr>
        <w:pStyle w:val="afe"/>
        <w:numPr>
          <w:ilvl w:val="0"/>
          <w:numId w:val="50"/>
        </w:numPr>
        <w:ind w:left="993" w:hanging="284"/>
        <w:rPr>
          <w:rFonts w:eastAsia="Times New Roman" w:cs="Times New Roman"/>
          <w:szCs w:val="24"/>
          <w:lang w:eastAsia="ru-RU"/>
        </w:rPr>
      </w:pPr>
      <w:r w:rsidRPr="00952000">
        <w:rPr>
          <w:rFonts w:eastAsia="Times New Roman" w:cs="Times New Roman"/>
          <w:szCs w:val="24"/>
          <w:lang w:eastAsia="ru-RU"/>
        </w:rPr>
        <w:t xml:space="preserve">ранение грудного лимфатического протока, </w:t>
      </w:r>
    </w:p>
    <w:p w14:paraId="0DB8060E" w14:textId="77777777" w:rsidR="008139EA" w:rsidRPr="00952000" w:rsidRDefault="008139EA" w:rsidP="00C5490F">
      <w:pPr>
        <w:pStyle w:val="afe"/>
        <w:numPr>
          <w:ilvl w:val="0"/>
          <w:numId w:val="50"/>
        </w:numPr>
        <w:ind w:left="993" w:hanging="284"/>
        <w:rPr>
          <w:rFonts w:eastAsia="Times New Roman" w:cs="Times New Roman"/>
          <w:szCs w:val="24"/>
          <w:lang w:eastAsia="ru-RU"/>
        </w:rPr>
      </w:pPr>
      <w:r w:rsidRPr="00952000">
        <w:rPr>
          <w:rFonts w:eastAsia="Times New Roman" w:cs="Times New Roman"/>
          <w:szCs w:val="24"/>
          <w:lang w:eastAsia="ru-RU"/>
        </w:rPr>
        <w:t xml:space="preserve">повреждение нервных сплетений, </w:t>
      </w:r>
    </w:p>
    <w:p w14:paraId="67CCF889" w14:textId="77777777" w:rsidR="008139EA" w:rsidRPr="00952000" w:rsidRDefault="008139EA" w:rsidP="00C5490F">
      <w:pPr>
        <w:pStyle w:val="afe"/>
        <w:numPr>
          <w:ilvl w:val="0"/>
          <w:numId w:val="50"/>
        </w:numPr>
        <w:ind w:left="993" w:hanging="284"/>
        <w:rPr>
          <w:rFonts w:eastAsia="Times New Roman" w:cs="Times New Roman"/>
          <w:szCs w:val="24"/>
          <w:lang w:eastAsia="ru-RU"/>
        </w:rPr>
      </w:pPr>
      <w:r w:rsidRPr="00952000">
        <w:rPr>
          <w:rFonts w:eastAsia="Times New Roman" w:cs="Times New Roman"/>
          <w:szCs w:val="24"/>
          <w:lang w:eastAsia="ru-RU"/>
        </w:rPr>
        <w:t>неправильная установка катетера</w:t>
      </w:r>
    </w:p>
    <w:p w14:paraId="3D679B7A" w14:textId="77777777" w:rsidR="008139EA" w:rsidRPr="00952000" w:rsidRDefault="008139EA" w:rsidP="008139EA">
      <w:pPr>
        <w:ind w:firstLine="709"/>
        <w:rPr>
          <w:rFonts w:cs="Times New Roman"/>
          <w:szCs w:val="24"/>
        </w:rPr>
      </w:pPr>
      <w:r w:rsidRPr="00952000">
        <w:rPr>
          <w:rFonts w:cs="Times New Roman"/>
          <w:i/>
          <w:iCs/>
          <w:szCs w:val="24"/>
        </w:rPr>
        <w:t>Поздние осложнения</w:t>
      </w:r>
      <w:r>
        <w:rPr>
          <w:rFonts w:cs="Times New Roman"/>
          <w:i/>
          <w:iCs/>
          <w:szCs w:val="24"/>
        </w:rPr>
        <w:t>,</w:t>
      </w:r>
      <w:r w:rsidRPr="00952000">
        <w:rPr>
          <w:rFonts w:cs="Times New Roman"/>
          <w:szCs w:val="24"/>
        </w:rPr>
        <w:t xml:space="preserve"> возникающие во время или после эксплуатации катетера</w:t>
      </w:r>
      <w:r>
        <w:rPr>
          <w:rFonts w:cs="Times New Roman"/>
          <w:szCs w:val="24"/>
        </w:rPr>
        <w:t>,</w:t>
      </w:r>
      <w:r w:rsidRPr="00952000">
        <w:rPr>
          <w:rFonts w:cs="Times New Roman"/>
          <w:szCs w:val="24"/>
        </w:rPr>
        <w:t xml:space="preserve"> бывают тромботическими, стенотическими и инфекционными.</w:t>
      </w:r>
    </w:p>
    <w:p w14:paraId="4AC46CE3" w14:textId="77777777" w:rsidR="008139EA" w:rsidRPr="00952000" w:rsidRDefault="008139EA" w:rsidP="008139EA">
      <w:pPr>
        <w:ind w:firstLine="708"/>
        <w:rPr>
          <w:rFonts w:cs="Times New Roman"/>
          <w:szCs w:val="24"/>
        </w:rPr>
      </w:pPr>
      <w:r w:rsidRPr="00952000">
        <w:rPr>
          <w:rFonts w:cs="Times New Roman"/>
          <w:szCs w:val="24"/>
        </w:rPr>
        <w:t>Под катетер-ассоциированным тромбозом (</w:t>
      </w:r>
      <w:r w:rsidRPr="00952000">
        <w:rPr>
          <w:rFonts w:cs="Times New Roman"/>
          <w:i/>
          <w:szCs w:val="24"/>
        </w:rPr>
        <w:t xml:space="preserve">КАТ) </w:t>
      </w:r>
      <w:r w:rsidRPr="00952000">
        <w:rPr>
          <w:rFonts w:cs="Times New Roman"/>
          <w:szCs w:val="24"/>
        </w:rPr>
        <w:t xml:space="preserve">понимают сочетание клинических и инструментальных признаков тромбоза. </w:t>
      </w:r>
    </w:p>
    <w:p w14:paraId="6C922AF0" w14:textId="77777777" w:rsidR="008139EA" w:rsidRPr="00952000" w:rsidRDefault="008139EA" w:rsidP="00C5490F">
      <w:pPr>
        <w:pStyle w:val="afe"/>
        <w:numPr>
          <w:ilvl w:val="0"/>
          <w:numId w:val="52"/>
        </w:numPr>
        <w:ind w:left="0" w:firstLine="349"/>
        <w:rPr>
          <w:rFonts w:cs="Times New Roman"/>
          <w:szCs w:val="24"/>
        </w:rPr>
      </w:pPr>
      <w:r w:rsidRPr="00952000">
        <w:rPr>
          <w:rFonts w:cs="Times New Roman"/>
          <w:szCs w:val="24"/>
        </w:rPr>
        <w:t xml:space="preserve">Клинические признаки: гиперемия кожи, отек подкожной клетчатки и боль, усиление подкожного сосудистого рисунка на стороне установки катетера, нарушение проходимости катетера, истечение жидкости по каналу катетера при проведении инфузии. </w:t>
      </w:r>
    </w:p>
    <w:p w14:paraId="3E86174C" w14:textId="77777777" w:rsidR="008139EA" w:rsidRPr="00952000" w:rsidRDefault="008139EA" w:rsidP="00C5490F">
      <w:pPr>
        <w:pStyle w:val="afe"/>
        <w:numPr>
          <w:ilvl w:val="0"/>
          <w:numId w:val="52"/>
        </w:numPr>
        <w:ind w:left="0" w:firstLine="349"/>
        <w:rPr>
          <w:rFonts w:cs="Times New Roman"/>
          <w:szCs w:val="24"/>
        </w:rPr>
      </w:pPr>
      <w:r w:rsidRPr="00952000">
        <w:rPr>
          <w:rFonts w:cs="Times New Roman"/>
          <w:szCs w:val="24"/>
        </w:rPr>
        <w:t xml:space="preserve">Инструментальные признаки: выявление при </w:t>
      </w:r>
      <w:r w:rsidRPr="00952000">
        <w:rPr>
          <w:rFonts w:cs="Times New Roman"/>
          <w:i/>
          <w:szCs w:val="24"/>
        </w:rPr>
        <w:t>УЗИ</w:t>
      </w:r>
      <w:r w:rsidRPr="00952000">
        <w:rPr>
          <w:rFonts w:cs="Times New Roman"/>
          <w:szCs w:val="24"/>
        </w:rPr>
        <w:t xml:space="preserve"> гиперэхогенного образования в месте установки катетера, полностью или частично перекрывающего просвет сосуда, препятствующее смыканию стенок вен при компрессии датчиком, полное или частичное отсутствие кровотока при УЗИ в допплеровском режиме, появление турбулентного тока крови; дефекты контрастирования сосудов при </w:t>
      </w:r>
      <w:r w:rsidRPr="00952000">
        <w:rPr>
          <w:rFonts w:cs="Times New Roman"/>
          <w:i/>
          <w:szCs w:val="24"/>
        </w:rPr>
        <w:t>КТ-ангиографии или прямой ангиографии</w:t>
      </w:r>
      <w:r w:rsidRPr="00952000">
        <w:rPr>
          <w:rFonts w:cs="Times New Roman"/>
          <w:szCs w:val="24"/>
        </w:rPr>
        <w:t>.</w:t>
      </w:r>
    </w:p>
    <w:p w14:paraId="39389DD8" w14:textId="77777777" w:rsidR="008139EA" w:rsidRPr="00952000" w:rsidRDefault="008139EA" w:rsidP="008139EA">
      <w:pPr>
        <w:pStyle w:val="afd"/>
      </w:pPr>
      <w:r w:rsidRPr="00952000">
        <w:t xml:space="preserve">Тромботические осложнения, ассоциированные с ЦВК, можно разделить на три вида: </w:t>
      </w:r>
    </w:p>
    <w:p w14:paraId="4C0C3C23" w14:textId="77777777" w:rsidR="008139EA" w:rsidRPr="00952000" w:rsidRDefault="008139EA" w:rsidP="00C5490F">
      <w:pPr>
        <w:pStyle w:val="afd"/>
        <w:numPr>
          <w:ilvl w:val="0"/>
          <w:numId w:val="51"/>
        </w:numPr>
        <w:spacing w:beforeAutospacing="0" w:afterAutospacing="0" w:line="360" w:lineRule="auto"/>
      </w:pPr>
      <w:r w:rsidRPr="00952000">
        <w:t xml:space="preserve">«фибриновый чехол», </w:t>
      </w:r>
    </w:p>
    <w:p w14:paraId="0C6BEE4C" w14:textId="77777777" w:rsidR="008139EA" w:rsidRPr="00952000" w:rsidRDefault="008139EA" w:rsidP="00C5490F">
      <w:pPr>
        <w:pStyle w:val="afd"/>
        <w:numPr>
          <w:ilvl w:val="0"/>
          <w:numId w:val="51"/>
        </w:numPr>
        <w:spacing w:beforeAutospacing="0" w:afterAutospacing="0" w:line="360" w:lineRule="auto"/>
      </w:pPr>
      <w:r w:rsidRPr="00952000">
        <w:t>обструкция катетера</w:t>
      </w:r>
    </w:p>
    <w:p w14:paraId="23A19C73" w14:textId="77777777" w:rsidR="008139EA" w:rsidRPr="00952000" w:rsidRDefault="008139EA" w:rsidP="00C5490F">
      <w:pPr>
        <w:pStyle w:val="afd"/>
        <w:numPr>
          <w:ilvl w:val="0"/>
          <w:numId w:val="51"/>
        </w:numPr>
        <w:spacing w:beforeAutospacing="0" w:afterAutospacing="0" w:line="360" w:lineRule="auto"/>
      </w:pPr>
      <w:r w:rsidRPr="00952000">
        <w:t>пристеночный или обтурирующий внутрисосудистый тромбоз.</w:t>
      </w:r>
    </w:p>
    <w:p w14:paraId="09FB9C28" w14:textId="29CDD926" w:rsidR="008139EA" w:rsidRPr="00952000" w:rsidRDefault="008139EA" w:rsidP="008139EA">
      <w:pPr>
        <w:pStyle w:val="afd"/>
      </w:pPr>
      <w:r w:rsidRPr="00952000">
        <w:t xml:space="preserve">Бессимптомные КАТ более распространены, но их клиническое значение не ясно. Частота выявления КАТ колеблется, по разным данным, от 5% до 12-14% </w:t>
      </w:r>
      <w:r w:rsidRPr="00952000">
        <w:fldChar w:fldCharType="begin" w:fldLock="1"/>
      </w:r>
      <w:r>
        <w:instrText>ADDIN CSL_CITATION {"citationItems":[{"id":"ITEM-1","itemData":{"ISSN":"1540-1405","PMID":"17020667","abstract":"Symptomatic thromboembolic complications of central venous catheters (CVCs) occur in 5% or less of general oncology patients. Asymptomatic CVC-related thrombi are more common, but their clinical significance is unclear. Thrombotic risk may be increased by primary thrombophilic disorders, especially the factor V G1691A (Leiden) mutation, thrombogenic catheter material, larger catheter diameter and greater number of lumens, catheter tip malposition, left-sided placement, percutaneous or multiple insertion attempts, a previous CVC or preexisting venous obstruction, prothrombotic therapeutic agents, catheter-associated infections, and fibrinous catheter lumen occlusion. Three recent randomized, prospective, placebo-controlled trials observed no benefit of routine low-dose warfarin or low-molecular-weight heparin in preventing catheter-associated thrombosis. Nevertheless, thromboprophylaxis may be appropriate and safe for selected high-risk patients. Duplex ultrasound can accurately detect CVC-related thrombi involving the jugular, axillary, distal subclavian, and arm veins. Contrast venographic imaging is required for indeterminate duplex findings and to evaluate the deep central veins and pulmonary arteries. Therapeutic anticoagulation, with or without catheter removal, is indicated for patients with acute deep vein thrombosis (DVT) or pulmonary embolism who have no contraindications. Catheter removal alone, with close follow-up, may be sufficient when bleeding risk precludes safe anticoagulation. Approaches to managing catheter-associated thrombosis, including the use of thrombolytic agents, are guided by limited published experience and extrapolation from practices used for lower-extremity DVT. Prospective, randomized, controlled trials are needed to identify the safest and most effective anticoagulant agents, treatment durations, and alternative venous access strategies for cancer patients who develop catheter-associated thrombosis.","author":[{"dropping-particle":"","family":"Linenberger","given":"Michael L","non-dropping-particle":"","parse-names":false,"suffix":""}],"container-title":"Journal of the National Comprehensive Cancer Network : JNCCN","id":"ITEM-1","issue":"9","issued":{"date-parts":[["2006","10"]]},"page":"889-901","title":"Catheter-related thrombosis: risks, diagnosis, and management.","type":"article-journal","volume":"4"},"uris":["http://www.mendeley.com/documents/?uuid=fd996227-febf-46f9-8b4a-37c976acd280"]},{"id":"ITEM-2","itemData":{"DOI":"10.1111/j.1538-7836.2012.04817.x","abstract":"Central venous catheters are extensively used in patients with cancer to secure delivery of chemotherapy and facilitate phlebotomy. Unfortunately, considerable morbidity can result from early complications or late sequelae, ranging from arterial puncture, pneumothorax and bloodstream infections to catheter-related thrombosis (CRT). Contempo-rary studies have shown that the incidence of symptomatic CRT is 5%, whereas the incidence of asymptomatic CRT is higher, at 14–18%. The significance and mechanisms of catheter design, material, insertion location and technique, position of the catheter tip and other risk factors in contributing to the development of CRT are not well understood. Efforts to reduce thrombotic complications, involving flushing the catheter with heparinized solutions, the use of heparin-bonded catheters, and systemic anticoag-ulant prophylaxis, have been largely ineffective. More studies are needed to understand the pathophysiology of thrombotic complications, to help identify effective interventions to reduce this adverse outcome.","author":[{"dropping-particle":"","family":"Lee","given":"A.Y.Y.","non-dropping-particle":"","parse-names":false,"suffix":""},{"dropping-particle":"","family":"Kamphuisen","given":"P.W.","non-dropping-particle":"","parse-names":false,"suffix":""}],"container-title":"Journal of Thrombosis and Haemostasis","id":"ITEM-2","issue":"10","issued":{"date-parts":[["2012"]]},"page":"1491-1499","title":"Epidemiology and prevention of catheter-related thrombosis in patients with cancer","type":"article-journal"},"uris":["http://www.mendeley.com/documents/?uuid=2f9bf3d1-5851-4e76-89ac-5c3d038d67a9"]}],"mendeley":{"formattedCitation":"[142,143]","plainTextFormattedCitation":"[142,143]","previouslyFormattedCitation":"[142,143]"},"properties":{"noteIndex":0},"schema":"https://github.com/citation-style-language/schema/raw/master/csl-citation.json"}</w:instrText>
      </w:r>
      <w:r w:rsidRPr="00952000">
        <w:fldChar w:fldCharType="separate"/>
      </w:r>
      <w:r w:rsidRPr="008139EA">
        <w:rPr>
          <w:noProof/>
        </w:rPr>
        <w:t>[142,143]</w:t>
      </w:r>
      <w:r w:rsidRPr="00952000">
        <w:fldChar w:fldCharType="end"/>
      </w:r>
      <w:r w:rsidRPr="00952000">
        <w:t xml:space="preserve">. Факторы, предрасполагающие к развитию КАТ, разделяют на три группы: </w:t>
      </w:r>
    </w:p>
    <w:p w14:paraId="14A25CBC" w14:textId="77777777" w:rsidR="008139EA" w:rsidRPr="00952000" w:rsidRDefault="008139EA" w:rsidP="00C5490F">
      <w:pPr>
        <w:pStyle w:val="afd"/>
        <w:numPr>
          <w:ilvl w:val="0"/>
          <w:numId w:val="81"/>
        </w:numPr>
        <w:spacing w:beforeAutospacing="0" w:afterAutospacing="0" w:line="360" w:lineRule="auto"/>
      </w:pPr>
      <w:r w:rsidRPr="00952000">
        <w:t xml:space="preserve">связанные с пациентом (пол, возраст, наличие опухолевого заболевания, тромбофилии); </w:t>
      </w:r>
    </w:p>
    <w:p w14:paraId="33CC6699" w14:textId="77777777" w:rsidR="008139EA" w:rsidRPr="00952000" w:rsidRDefault="008139EA" w:rsidP="00C5490F">
      <w:pPr>
        <w:pStyle w:val="afd"/>
        <w:numPr>
          <w:ilvl w:val="0"/>
          <w:numId w:val="81"/>
        </w:numPr>
        <w:spacing w:beforeAutospacing="0" w:afterAutospacing="0" w:line="360" w:lineRule="auto"/>
      </w:pPr>
      <w:r w:rsidRPr="00952000">
        <w:t xml:space="preserve">связанные с катетером (большой диаметр, материал катетера, т.е. «жесткий» катетер); </w:t>
      </w:r>
    </w:p>
    <w:p w14:paraId="4388CE4E" w14:textId="77777777" w:rsidR="008139EA" w:rsidRPr="00952000" w:rsidRDefault="008139EA" w:rsidP="00C5490F">
      <w:pPr>
        <w:pStyle w:val="afd"/>
        <w:numPr>
          <w:ilvl w:val="0"/>
          <w:numId w:val="81"/>
        </w:numPr>
        <w:spacing w:beforeAutospacing="0" w:afterAutospacing="0" w:line="360" w:lineRule="auto"/>
      </w:pPr>
      <w:r w:rsidRPr="00952000">
        <w:t xml:space="preserve">связанные с лечением (химиотерапия, парентеральное питание и введение других раздражающих веществ). </w:t>
      </w:r>
    </w:p>
    <w:p w14:paraId="725F4E30" w14:textId="77777777" w:rsidR="008139EA" w:rsidRPr="00952000" w:rsidRDefault="008139EA" w:rsidP="008139EA">
      <w:pPr>
        <w:ind w:firstLine="708"/>
        <w:rPr>
          <w:rFonts w:cs="Times New Roman"/>
          <w:strike/>
          <w:szCs w:val="24"/>
        </w:rPr>
      </w:pPr>
      <w:r w:rsidRPr="00952000">
        <w:rPr>
          <w:rFonts w:cs="Times New Roman"/>
          <w:szCs w:val="24"/>
        </w:rPr>
        <w:t>Наличие опухолевого заболевания увеличивает риск тромбоза.</w:t>
      </w:r>
    </w:p>
    <w:p w14:paraId="4D478F0F" w14:textId="38E927F4" w:rsidR="008139EA" w:rsidRPr="00952000" w:rsidRDefault="008139EA" w:rsidP="008139EA">
      <w:pPr>
        <w:ind w:firstLine="708"/>
        <w:rPr>
          <w:rFonts w:cs="Times New Roman"/>
          <w:szCs w:val="24"/>
        </w:rPr>
      </w:pPr>
      <w:r w:rsidRPr="00952000">
        <w:rPr>
          <w:rFonts w:cs="Times New Roman"/>
          <w:szCs w:val="24"/>
        </w:rPr>
        <w:t xml:space="preserve">Важную роль в формировании КАТ имеет соотношение диаметра катетера к диаметру вены, которое не должно превышать 1/3, иначе происходит дополнительная травма эндотелия </w:t>
      </w:r>
      <w:r w:rsidRPr="00952000">
        <w:rPr>
          <w:rFonts w:cs="Times New Roman"/>
          <w:szCs w:val="24"/>
        </w:rPr>
        <w:fldChar w:fldCharType="begin" w:fldLock="1"/>
      </w:r>
      <w:r>
        <w:rPr>
          <w:rFonts w:cs="Times New Roman"/>
          <w:szCs w:val="24"/>
        </w:rPr>
        <w:instrText>ADDIN CSL_CITATION {"citationItems":[{"id":"ITEM-1","itemData":{"author":[{"dropping-particle":"","family":"Цепенщинков","given":"Л.В","non-dropping-particle":"","parse-names":false,"suffix":""},{"dropping-particle":"","family":"Лядов","given":"В.К.","non-dropping-particle":"","parse-names":false,"suffix":""}],"container-title":"Клиническая онкогематология","id":"ITEM-1","issue":"2","issued":{"date-parts":[["2014"]]},"page":"220-228","title":"Периферически имплантируемый центральный венозный катетер: обзор литераутры.","type":"article-journal","volume":"7"},"uris":["http://www.mendeley.com/documents/?uuid=88221962-7bef-43f1-95ef-c82831c18b7b","http://www.mendeley.com/documents/?uuid=6bf891a9-cc26-48dd-8e38-76815056737b"]}],"mendeley":{"formattedCitation":"[144]","plainTextFormattedCitation":"[144]","previouslyFormattedCitation":"[144]"},"properties":{"noteIndex":0},"schema":"https://github.com/citation-style-language/schema/raw/master/csl-citation.json"}</w:instrText>
      </w:r>
      <w:r w:rsidRPr="00952000">
        <w:rPr>
          <w:rFonts w:cs="Times New Roman"/>
          <w:szCs w:val="24"/>
        </w:rPr>
        <w:fldChar w:fldCharType="separate"/>
      </w:r>
      <w:r w:rsidRPr="008139EA">
        <w:rPr>
          <w:rFonts w:cs="Times New Roman"/>
          <w:noProof/>
          <w:szCs w:val="24"/>
        </w:rPr>
        <w:t>[144]</w:t>
      </w:r>
      <w:r w:rsidRPr="00952000">
        <w:rPr>
          <w:rFonts w:cs="Times New Roman"/>
          <w:szCs w:val="24"/>
        </w:rPr>
        <w:fldChar w:fldCharType="end"/>
      </w:r>
      <w:r w:rsidRPr="00952000">
        <w:rPr>
          <w:rFonts w:cs="Times New Roman"/>
          <w:szCs w:val="24"/>
        </w:rPr>
        <w:t xml:space="preserve">. При сравнении силиконовых и полиуретановых катетеров, установленных в вены плеча, значимой разницы </w:t>
      </w:r>
      <w:r w:rsidRPr="00DB2B4A">
        <w:rPr>
          <w:rFonts w:cs="Times New Roman"/>
          <w:szCs w:val="24"/>
        </w:rPr>
        <w:t xml:space="preserve">в частоте развития КАТ </w:t>
      </w:r>
      <w:r w:rsidRPr="00952000">
        <w:rPr>
          <w:rFonts w:cs="Times New Roman"/>
          <w:szCs w:val="24"/>
        </w:rPr>
        <w:t xml:space="preserve">не выявили, но отмечен факт повреждения эндотелия, способствующего развитию тромбоза </w:t>
      </w:r>
      <w:r w:rsidRPr="00952000">
        <w:rPr>
          <w:rFonts w:cs="Times New Roman"/>
          <w:szCs w:val="24"/>
        </w:rPr>
        <w:fldChar w:fldCharType="begin" w:fldLock="1"/>
      </w:r>
      <w:r>
        <w:rPr>
          <w:rFonts w:cs="Times New Roman"/>
          <w:szCs w:val="24"/>
        </w:rPr>
        <w:instrText>ADDIN CSL_CITATION {"citationItems":[{"id":"ITEM-1","itemData":{"DOI":"10.1177/0148607184008004399","ISSN":"0148-6071","PMID":"6431130","abstract":"In order to compare two types of long, soft central venous catheters with the same stiffness, 39 silicone elastomer (SE) and 36 polyurethane (PU) catheters were inserted in 75 patients via basilic or cephalic veins punctured at the cubital fossa. Mean duration of catheterization was 10.5 days. Scanning electron microscopy revealed that the SE catheters to have a more uniform, but somewhat rougher surface topography than the PU catheters. The platelet adhesion in vitro to the SE catheters was four times higher than to the PU catheters. The incidence of clinical thrombophlebitis in the arm veins was 36% with the SE catheters, and 5.5% with the PU catheters (p less than 0.01). No significant differences were found between the SE and PU catheters regarding the number and size of radiologic thrombi in the peripheral and central veins, catheter occlusion rate, and platelet adhesion to the inner side of the catheter tip at withdrawal. Platelet adhesion in vivo correlated with the duration of catheterization in both groups of catheters. Mechanical trauma to the vein endothelium seems to be of vital importance in thrombus formation, but not in the induction of clinical thrombophlebitis.","author":[{"dropping-particle":"","family":"Linder","given":"L E","non-dropping-particle":"","parse-names":false,"suffix":""},{"dropping-particle":"","family":"Curelaru","given":"I","non-dropping-particle":"","parse-names":false,"suffix":""},{"dropping-particle":"","family":"Gustavsson","given":"B","non-dropping-particle":"","parse-names":false,"suffix":""},{"dropping-particle":"","family":"Hansson","given":"H A","non-dropping-particle":"","parse-names":false,"suffix":""},{"dropping-particle":"","family":"Stenqvist","given":"O","non-dropping-particle":"","parse-names":false,"suffix":""},{"dropping-particle":"","family":"Wojciechowski","given":"J","non-dropping-particle":"","parse-names":false,"suffix":""}],"container-title":"JPEN. Journal of parenteral and enteral nutrition","id":"ITEM-1","issue":"4","issued":{"date-parts":[["1984"]]},"page":"399-406","title":"Material thrombogenicity in central venous catheterization: a comparison between soft, antebrachial catheters of silicone elastomer and polyurethane.","type":"article-journal","volume":"8"},"uris":["http://www.mendeley.com/documents/?uuid=50c99be9-4388-35af-aba0-01eefc84f6b5","http://www.mendeley.com/documents/?uuid=52fd94cb-1dbb-4a1b-a63a-91cf9a99438a"]}],"mendeley":{"formattedCitation":"[145]","plainTextFormattedCitation":"[145]","previouslyFormattedCitation":"[145]"},"properties":{"noteIndex":0},"schema":"https://github.com/citation-style-language/schema/raw/master/csl-citation.json"}</w:instrText>
      </w:r>
      <w:r w:rsidRPr="00952000">
        <w:rPr>
          <w:rFonts w:cs="Times New Roman"/>
          <w:szCs w:val="24"/>
        </w:rPr>
        <w:fldChar w:fldCharType="separate"/>
      </w:r>
      <w:r w:rsidRPr="008139EA">
        <w:rPr>
          <w:rFonts w:cs="Times New Roman"/>
          <w:noProof/>
          <w:szCs w:val="24"/>
        </w:rPr>
        <w:t>[145]</w:t>
      </w:r>
      <w:r w:rsidRPr="00952000">
        <w:rPr>
          <w:rFonts w:cs="Times New Roman"/>
          <w:szCs w:val="24"/>
        </w:rPr>
        <w:fldChar w:fldCharType="end"/>
      </w:r>
      <w:r w:rsidRPr="00952000">
        <w:rPr>
          <w:rFonts w:cs="Times New Roman"/>
          <w:szCs w:val="24"/>
        </w:rPr>
        <w:t xml:space="preserve">. Также в патогенезе развития КАТ значимы такие факторы, как травматичность установки </w:t>
      </w:r>
      <w:r w:rsidRPr="00DE117D">
        <w:rPr>
          <w:rFonts w:cs="Times New Roman"/>
          <w:strike/>
          <w:szCs w:val="24"/>
        </w:rPr>
        <w:t>катетера</w:t>
      </w:r>
      <w:r w:rsidRPr="00952000">
        <w:rPr>
          <w:rFonts w:cs="Times New Roman"/>
          <w:szCs w:val="24"/>
        </w:rPr>
        <w:t xml:space="preserve">, неправильное расположение дистального конца катетера, левостороннее размещение катетера, множественные попытки пункции вены, наличие предшествующих катетеризаций и их количество, а также эпизоды КАИК в анамнезе. Установка ЦВК сопровождается локальным повреждением стенки вены и эндотелия и образованием тромба, с дальнейшим формированием «фибринового» чехла. </w:t>
      </w:r>
      <w:r w:rsidRPr="00952000">
        <w:rPr>
          <w:rFonts w:eastAsia="Times New Roman" w:cs="Times New Roman"/>
          <w:szCs w:val="24"/>
          <w:lang w:eastAsia="ru-RU"/>
        </w:rPr>
        <w:t xml:space="preserve">Одним из факторов развития венозных тромбозов является наличие венозных клапанов, создающих турбулентный поток. </w:t>
      </w:r>
      <w:r w:rsidRPr="00952000">
        <w:rPr>
          <w:rFonts w:eastAsia="Arial Unicode MS" w:cs="Times New Roman"/>
          <w:szCs w:val="24"/>
        </w:rPr>
        <w:t xml:space="preserve">Фактором, способствующим возникновению КАТ, является позиционирование ЦВК, поскольку миграция катетера, окклюзия дистального конца катетера венозной стенкой, травма венозной стенки дистальным концом катетера, присасывание к стенке конца катетера во время аспирации образцов крови, а введение раздражающих растворов способствуют травме венозной стенке </w:t>
      </w:r>
      <w:r w:rsidRPr="00952000">
        <w:rPr>
          <w:rFonts w:eastAsia="Arial Unicode MS" w:cs="Times New Roman"/>
          <w:szCs w:val="24"/>
        </w:rPr>
        <w:fldChar w:fldCharType="begin" w:fldLock="1"/>
      </w:r>
      <w:r>
        <w:rPr>
          <w:rFonts w:eastAsia="Arial Unicode MS" w:cs="Times New Roman"/>
          <w:szCs w:val="24"/>
        </w:rPr>
        <w:instrText>ADDIN CSL_CITATION {"citationItems":[{"id":"ITEM-1","itemData":{"abstract":"Objective This study evaluated the accuracy of placing right atrial catheters using an electrocardiographic (ECG) technique. Summary Background Data Placement of right atrial catheters for vascular access is a common operative procedure. Accurate placement is essential for proper function. Previous placement techniques have used fluoroscopy, which is both time consuming and hazardous. Methods The accuracy of placement of 1236 right atrial catheters using an ECG technique was compared to placement of 586 catheters using fluoroscopy between March 1991 and November 1995. In the ECG technique, the catheter was flushed with sodium bicarbonate. A sterile left-leg ECG lead was attached to the catheter with the other ECG leads applied normally. On advancing the catheter through the superior vena cava, the P-wave amplitude (lead 11) increased in negative deflection until greater than the QRS complex. Passing the sinoatrial node, the P-wave developed an initial positive then negative deflection. The catheter was positioned so the P-wave was biphasic, representing a position midway between the sinoatrial and atrioventricular nodes. For the fluoroscopic technique, catheters were positioned under direct observation just within the atrium estimated from cardiac contour. Use of contrast was optional if atrial anatomy was unclear. Results Postoperative portable chest x-rays showed the ECG method to position the catheter tip within the right atrium just as accurately (average, 1.9 ± 1.3 cm) as with the use of fluoroscopy (average, 1.1 ± 1.6 cm). The ECG method eliminated an average of 20 seconds of radiation exposure, an average of 3.0 minutes operating room time (p &lt; 0.04), avoided all risks of contrast dye, and saved $279.10 per case.","author":[{"dropping-particle":"","family":"Watters","given":"Virginia A","non-dropping-particle":"","parse-names":false,"suffix":""},{"dropping-particle":"","family":"Grant","given":"John P","non-dropping-particle":"","parse-names":false,"suffix":""}],"container-title":"ANNALS OF SURGERY","id":"ITEM-1","issue":"2","issued":{"date-parts":[["0"]]},"page":"165-171","title":"Use of Electrocardiogram to Position Right Atrial Catheters During Surgery","type":"article-journal","volume":"225"},"uris":["http://www.mendeley.com/documents/?uuid=634418a9-1b6a-3971-a74a-26cac4fcbb73","http://www.mendeley.com/documents/?uuid=216df258-45c1-414a-b26e-b5eb61d53634"]}],"mendeley":{"formattedCitation":"[146]","plainTextFormattedCitation":"[146]","previouslyFormattedCitation":"[146]"},"properties":{"noteIndex":0},"schema":"https://github.com/citation-style-language/schema/raw/master/csl-citation.json"}</w:instrText>
      </w:r>
      <w:r w:rsidRPr="00952000">
        <w:rPr>
          <w:rFonts w:eastAsia="Arial Unicode MS" w:cs="Times New Roman"/>
          <w:szCs w:val="24"/>
        </w:rPr>
        <w:fldChar w:fldCharType="separate"/>
      </w:r>
      <w:r w:rsidRPr="008139EA">
        <w:rPr>
          <w:rFonts w:eastAsia="Arial Unicode MS" w:cs="Times New Roman"/>
          <w:noProof/>
          <w:szCs w:val="24"/>
        </w:rPr>
        <w:t>[146]</w:t>
      </w:r>
      <w:r w:rsidRPr="00952000">
        <w:rPr>
          <w:rFonts w:eastAsia="Arial Unicode MS" w:cs="Times New Roman"/>
          <w:szCs w:val="24"/>
        </w:rPr>
        <w:fldChar w:fldCharType="end"/>
      </w:r>
      <w:r w:rsidRPr="00952000">
        <w:rPr>
          <w:rFonts w:eastAsia="Arial Unicode MS" w:cs="Times New Roman"/>
          <w:szCs w:val="24"/>
        </w:rPr>
        <w:t xml:space="preserve">. </w:t>
      </w:r>
      <w:r w:rsidRPr="00952000">
        <w:rPr>
          <w:rFonts w:cs="Times New Roman"/>
          <w:szCs w:val="24"/>
        </w:rPr>
        <w:t xml:space="preserve">ЦВК находятся в непосредственном контакте с внутренней стенкой вен, в результате постоянного движения катетеров, связанного с дыханием, сокращениями сердца, поворотами головы, происходит еще большее повреждение эндотелия. Травма эндотелия усугубляется, если траектория катетера в вене характеризуется одним или несколькими изгибами </w:t>
      </w:r>
      <w:r w:rsidRPr="00952000">
        <w:rPr>
          <w:rFonts w:cs="Times New Roman"/>
          <w:szCs w:val="24"/>
        </w:rPr>
        <w:fldChar w:fldCharType="begin" w:fldLock="1"/>
      </w:r>
      <w:r>
        <w:rPr>
          <w:rFonts w:cs="Times New Roman"/>
          <w:szCs w:val="24"/>
        </w:rPr>
        <w:instrText>ADDIN CSL_CITATION {"citationItems":[{"id":"ITEM-1","itemData":{"DOI":"10.1093/ndt/gfh216","ISSN":"0931-0509","author":[{"dropping-particle":"","family":"Taal","given":"M. W.","non-dropping-particle":"","parse-names":false,"suffix":""},{"dropping-particle":"","family":"Chesterton","given":"L. J.","non-dropping-particle":"","parse-names":false,"suffix":""},{"dropping-particle":"","family":"McIntyre","given":"C. W.","non-dropping-particle":"","parse-names":false,"suffix":""}],"container-title":"Nephrology Dialysis Transplantation","id":"ITEM-1","issue":"6","issued":{"date-parts":[["2004","6"]]},"page":"1542-1545","publisher":"Oxford University Press","title":"Venography at insertion of tunnelled internal jugular vein dialysis catheters reveals significant occult stenosis","type":"article-journal","volume":"19"},"uris":["http://www.mendeley.com/documents/?uuid=27bd8603-4b5c-3170-8bd9-40145339d105","http://www.mendeley.com/documents/?uuid=f32593e8-087e-487f-af57-700299c86f69"]}],"mendeley":{"formattedCitation":"[147]","plainTextFormattedCitation":"[147]","previouslyFormattedCitation":"[147]"},"properties":{"noteIndex":0},"schema":"https://github.com/citation-style-language/schema/raw/master/csl-citation.json"}</w:instrText>
      </w:r>
      <w:r w:rsidRPr="00952000">
        <w:rPr>
          <w:rFonts w:cs="Times New Roman"/>
          <w:szCs w:val="24"/>
        </w:rPr>
        <w:fldChar w:fldCharType="separate"/>
      </w:r>
      <w:r w:rsidRPr="008139EA">
        <w:rPr>
          <w:rFonts w:cs="Times New Roman"/>
          <w:noProof/>
          <w:szCs w:val="24"/>
        </w:rPr>
        <w:t>[147]</w:t>
      </w:r>
      <w:r w:rsidRPr="00952000">
        <w:rPr>
          <w:rFonts w:cs="Times New Roman"/>
          <w:szCs w:val="24"/>
        </w:rPr>
        <w:fldChar w:fldCharType="end"/>
      </w:r>
      <w:r w:rsidRPr="00952000">
        <w:rPr>
          <w:rFonts w:cs="Times New Roman"/>
          <w:szCs w:val="24"/>
        </w:rPr>
        <w:t xml:space="preserve">. В дополнение к травме происходит воспаление интимы как ответ на повреждение, которое приводит к гиперплазии интимы или развитию тромбоза. Пункция левой внутренней яремной вены по сравнению с пункцией правой яремной вены более сложная, так как у 34% пациентов внутренняя яремной вены слева меньше чем правая </w:t>
      </w:r>
      <w:r w:rsidRPr="00952000">
        <w:rPr>
          <w:rFonts w:cs="Times New Roman"/>
          <w:szCs w:val="24"/>
        </w:rPr>
        <w:fldChar w:fldCharType="begin" w:fldLock="1"/>
      </w:r>
      <w:r>
        <w:rPr>
          <w:rFonts w:cs="Times New Roman"/>
          <w:szCs w:val="24"/>
        </w:rPr>
        <w:instrText>ADDIN CSL_CITATION {"citationItems":[{"id":"ITEM-1","itemData":{"ISSN":"1053-0770","PMID":"10230944","abstract":"OBJECTIVE To compare the cross-sectional area (CSA) of the right internal jugular vein (RIJV) with the left internal jugular vein (LIJV) using two-dimensional ultrasound and to measure the response to the Valsalva maneuver in both the supine and Trendelenburg positions. DESIGN Prospective and randomized. SETTING University-affiliated hospital. PARTICIPANTS Fifty healthy adult volunteers. INTERVENTIONS The CSA of both the RIJV and LIJV was measured with a 5-MHz, two-dimensional surface transducer before and during a 10-second Valsalva maneuver with the subjects in the supine position, and then with the subjects in a 10 degree Trendelenburg tilt. MEASUREMENTS AND MAIN RESULTS After the baseline measurements were performed, the subjects were divided into two groups based on the CSA of the RIJV and LIJV. Group 1 had an LIJV CSA equal to or greater than that of the RIJV (n = 10) and group 2 had an LIJV CSA less than that of the RIJV (n = 40). Of the latter 40 patients, 17 (34%) had an LIJV CSA less than 50% of that of the RIJV. In both groups, the CSA of both veins increased significantly with the Valsalva maneuver, Trendelenburg tilt, and both maneuvers combined. CONCLUSION The findings suggest that in one third of adults (34%), the LIJV is significantly smaller compared with the RIJV and, combined with operator inexperience, may influence the success rate and risk for complications. Thus, the use of ultrasound and maneuvers that increase CSA is suggested during LIJV cannulation.","author":[{"dropping-particle":"","family":"Lobato","given":"E B","non-dropping-particle":"","parse-names":false,"suffix":""},{"dropping-particle":"","family":"Sulek","given":"C A","non-dropping-particle":"","parse-names":false,"suffix":""},{"dropping-particle":"","family":"Moody","given":"R L","non-dropping-particle":"","parse-names":false,"suffix":""},{"dropping-particle":"","family":"Morey","given":"T E","non-dropping-particle":"","parse-names":false,"suffix":""}],"container-title":"Journal of cardiothoracic and vascular anesthesia","id":"ITEM-1","issue":"2","issued":{"date-parts":[["1999","4"]]},"page":"136-8","title":"Cross-sectional area of the right and left internal jugular veins.","type":"article-journal","volume":"13"},"uris":["http://www.mendeley.com/documents/?uuid=946e04e1-436d-33e9-8d74-b2b7aa6566b2","http://www.mendeley.com/documents/?uuid=3c8cfbcb-4e79-4dbf-88c6-7197a21370b9"]}],"mendeley":{"formattedCitation":"[148]","plainTextFormattedCitation":"[148]","previouslyFormattedCitation":"[148]"},"properties":{"noteIndex":0},"schema":"https://github.com/citation-style-language/schema/raw/master/csl-citation.json"}</w:instrText>
      </w:r>
      <w:r w:rsidRPr="00952000">
        <w:rPr>
          <w:rFonts w:cs="Times New Roman"/>
          <w:szCs w:val="24"/>
        </w:rPr>
        <w:fldChar w:fldCharType="separate"/>
      </w:r>
      <w:r w:rsidRPr="008139EA">
        <w:rPr>
          <w:rFonts w:cs="Times New Roman"/>
          <w:noProof/>
          <w:szCs w:val="24"/>
        </w:rPr>
        <w:t>[148]</w:t>
      </w:r>
      <w:r w:rsidRPr="00952000">
        <w:rPr>
          <w:rFonts w:cs="Times New Roman"/>
          <w:szCs w:val="24"/>
        </w:rPr>
        <w:fldChar w:fldCharType="end"/>
      </w:r>
      <w:r w:rsidRPr="00952000">
        <w:rPr>
          <w:rFonts w:cs="Times New Roman"/>
          <w:szCs w:val="24"/>
        </w:rPr>
        <w:t>, что особенно важно при диагностике катетерассоциированного стеноза (КА</w:t>
      </w:r>
      <w:r w:rsidRPr="00952000">
        <w:rPr>
          <w:rFonts w:cs="Times New Roman"/>
          <w:szCs w:val="24"/>
          <w:lang w:val="en-US"/>
        </w:rPr>
        <w:t>C</w:t>
      </w:r>
      <w:r w:rsidRPr="00952000">
        <w:rPr>
          <w:rFonts w:cs="Times New Roman"/>
          <w:szCs w:val="24"/>
        </w:rPr>
        <w:t xml:space="preserve">). </w:t>
      </w:r>
    </w:p>
    <w:p w14:paraId="4D480399" w14:textId="6EC539D4" w:rsidR="008139EA" w:rsidRPr="00952000" w:rsidRDefault="008139EA" w:rsidP="008139EA">
      <w:pPr>
        <w:ind w:firstLine="708"/>
        <w:rPr>
          <w:rFonts w:cs="Times New Roman"/>
          <w:b/>
          <w:szCs w:val="24"/>
        </w:rPr>
      </w:pPr>
      <w:r w:rsidRPr="00952000">
        <w:rPr>
          <w:rFonts w:cs="Times New Roman"/>
          <w:szCs w:val="24"/>
        </w:rPr>
        <w:t>Катетер-ассоциированый стеноз (</w:t>
      </w:r>
      <w:r w:rsidRPr="00952000">
        <w:rPr>
          <w:rFonts w:cs="Times New Roman"/>
          <w:i/>
          <w:szCs w:val="24"/>
        </w:rPr>
        <w:t>КАС)</w:t>
      </w:r>
      <w:r w:rsidRPr="00952000">
        <w:rPr>
          <w:rFonts w:cs="Times New Roman"/>
          <w:szCs w:val="24"/>
        </w:rPr>
        <w:t xml:space="preserve"> – стойкое сужение просвета сосуда, вплоть до полной облитерации, выявляемое при УЗИ в покое и при выполнении функциональных проб, возникшее после катетеризации, связанное или не связанное с КАТ. У онкогематологических пациентов, наряду с вышеуказанными причинами, значительное место в формировании КАТ и КАС занимает проведение химиотерапии </w:t>
      </w:r>
      <w:r w:rsidRPr="00952000">
        <w:rPr>
          <w:rFonts w:cs="Times New Roman"/>
          <w:szCs w:val="24"/>
        </w:rPr>
        <w:fldChar w:fldCharType="begin" w:fldLock="1"/>
      </w:r>
      <w:r>
        <w:rPr>
          <w:rFonts w:cs="Times New Roman"/>
          <w:szCs w:val="24"/>
        </w:rPr>
        <w:instrText>ADDIN CSL_CITATION {"citationItems":[{"id":"ITEM-1","itemData":{"author":[{"dropping-particle":"","family":"Червонцева","given":"Алевтина Михайловна","non-dropping-particle":"","parse-names":false,"suffix":""}],"id":"ITEM-1","issued":{"date-parts":[["2008"]]},"title":"Повреждение сосудистого эндотелия в процессе лечения острых миелоидных лейкозов","type":"article"},"uris":["http://www.mendeley.com/documents/?uuid=9afd28b5-41fc-3e5e-bfac-710d3bccc2cd","http://www.mendeley.com/documents/?uuid=b0c847b8-b368-40a1-9c35-cebd6d9d96b6"]}],"mendeley":{"formattedCitation":"[149]","plainTextFormattedCitation":"[149]","previouslyFormattedCitation":"[149]"},"properties":{"noteIndex":0},"schema":"https://github.com/citation-style-language/schema/raw/master/csl-citation.json"}</w:instrText>
      </w:r>
      <w:r w:rsidRPr="00952000">
        <w:rPr>
          <w:rFonts w:cs="Times New Roman"/>
          <w:szCs w:val="24"/>
        </w:rPr>
        <w:fldChar w:fldCharType="separate"/>
      </w:r>
      <w:r w:rsidRPr="008139EA">
        <w:rPr>
          <w:rFonts w:cs="Times New Roman"/>
          <w:noProof/>
          <w:szCs w:val="24"/>
        </w:rPr>
        <w:t>[149]</w:t>
      </w:r>
      <w:r w:rsidRPr="00952000">
        <w:rPr>
          <w:rFonts w:cs="Times New Roman"/>
          <w:szCs w:val="24"/>
        </w:rPr>
        <w:fldChar w:fldCharType="end"/>
      </w:r>
      <w:r w:rsidRPr="00952000">
        <w:rPr>
          <w:rFonts w:cs="Times New Roman"/>
          <w:szCs w:val="24"/>
        </w:rPr>
        <w:t>.</w:t>
      </w:r>
    </w:p>
    <w:p w14:paraId="5EBED38E" w14:textId="357C8BFF" w:rsidR="008139EA" w:rsidRPr="00952000" w:rsidRDefault="008139EA" w:rsidP="008139EA">
      <w:pPr>
        <w:ind w:firstLine="708"/>
        <w:rPr>
          <w:rFonts w:cs="Times New Roman"/>
          <w:szCs w:val="24"/>
        </w:rPr>
      </w:pPr>
      <w:r w:rsidRPr="00952000">
        <w:rPr>
          <w:rFonts w:cs="Times New Roman"/>
          <w:szCs w:val="24"/>
        </w:rPr>
        <w:t>Катетер-ассоциированная инфекция кровотока (</w:t>
      </w:r>
      <w:r w:rsidRPr="00952000">
        <w:rPr>
          <w:rFonts w:cs="Times New Roman"/>
          <w:i/>
          <w:szCs w:val="24"/>
        </w:rPr>
        <w:t>КАИК)</w:t>
      </w:r>
      <w:r w:rsidRPr="00952000">
        <w:rPr>
          <w:rFonts w:cs="Times New Roman"/>
          <w:szCs w:val="24"/>
        </w:rPr>
        <w:t xml:space="preserve"> – выявление положительной гемокультуры в образце крови взятой из катетера на 2 и более часа ранее, чем в образце крови, взятом из периферической вены, рост микроорганизмов при микробиологическом исследовании дистального конца катетера </w:t>
      </w:r>
      <w:r w:rsidRPr="00952000">
        <w:rPr>
          <w:rFonts w:cs="Times New Roman"/>
          <w:szCs w:val="24"/>
        </w:rPr>
        <w:fldChar w:fldCharType="begin" w:fldLock="1"/>
      </w:r>
      <w:r>
        <w:rPr>
          <w:rFonts w:cs="Times New Roman"/>
          <w:szCs w:val="24"/>
        </w:rPr>
        <w:instrText>ADDIN CSL_CITATION {"citationItems":[{"id":"ITEM-1","itemData":{"author":[{"dropping-particle":"","family":"Багирова","given":"Н.С.","non-dropping-particle":"","parse-names":false,"suffix":""}],"container-title":"Злокачественные опухоли","id":"ITEM-1","issue":"3","issued":{"date-parts":[["2014"]]},"page":"164-171","title":"Инфекции, связанные с внутрисосудистыми устройствами: терминология, диагностика, профилактика и терапия","type":"article-journal"},"uris":["http://www.mendeley.com/documents/?uuid=fee4a9db-618b-4f34-9352-2ad7841cc05f","http://www.mendeley.com/documents/?uuid=973153ce-d078-4e08-a598-f09e2ab23f94"]}],"mendeley":{"formattedCitation":"[150]","plainTextFormattedCitation":"[150]","previouslyFormattedCitation":"[150]"},"properties":{"noteIndex":0},"schema":"https://github.com/citation-style-language/schema/raw/master/csl-citation.json"}</w:instrText>
      </w:r>
      <w:r w:rsidRPr="00952000">
        <w:rPr>
          <w:rFonts w:cs="Times New Roman"/>
          <w:szCs w:val="24"/>
        </w:rPr>
        <w:fldChar w:fldCharType="separate"/>
      </w:r>
      <w:r w:rsidRPr="008139EA">
        <w:rPr>
          <w:rFonts w:cs="Times New Roman"/>
          <w:noProof/>
          <w:szCs w:val="24"/>
        </w:rPr>
        <w:t>[150]</w:t>
      </w:r>
      <w:r w:rsidRPr="00952000">
        <w:rPr>
          <w:rFonts w:cs="Times New Roman"/>
          <w:szCs w:val="24"/>
        </w:rPr>
        <w:fldChar w:fldCharType="end"/>
      </w:r>
      <w:r w:rsidRPr="00952000">
        <w:rPr>
          <w:rFonts w:cs="Times New Roman"/>
          <w:szCs w:val="24"/>
        </w:rPr>
        <w:t>.</w:t>
      </w:r>
    </w:p>
    <w:p w14:paraId="59C6D9A8" w14:textId="77777777" w:rsidR="008139EA" w:rsidRPr="00952000" w:rsidRDefault="008139EA" w:rsidP="008139EA">
      <w:pPr>
        <w:ind w:left="360"/>
        <w:rPr>
          <w:rFonts w:cs="Times New Roman"/>
          <w:szCs w:val="24"/>
        </w:rPr>
      </w:pPr>
      <w:r w:rsidRPr="00952000">
        <w:rPr>
          <w:rFonts w:cs="Times New Roman"/>
          <w:szCs w:val="24"/>
        </w:rPr>
        <w:t>При применении туннелируемых катетеров могут возникать следующие виды инфицирования:</w:t>
      </w:r>
    </w:p>
    <w:p w14:paraId="3C98F186" w14:textId="77777777" w:rsidR="008139EA" w:rsidRPr="00952000" w:rsidRDefault="008139EA" w:rsidP="00C5490F">
      <w:pPr>
        <w:pStyle w:val="afe"/>
        <w:numPr>
          <w:ilvl w:val="0"/>
          <w:numId w:val="76"/>
        </w:numPr>
        <w:rPr>
          <w:rFonts w:cs="Times New Roman"/>
          <w:i/>
          <w:szCs w:val="24"/>
        </w:rPr>
      </w:pPr>
      <w:r w:rsidRPr="00952000">
        <w:rPr>
          <w:rFonts w:cs="Times New Roman"/>
          <w:i/>
          <w:szCs w:val="24"/>
        </w:rPr>
        <w:t xml:space="preserve">Туннельная инфекция – </w:t>
      </w:r>
      <w:r w:rsidRPr="00952000">
        <w:rPr>
          <w:rFonts w:cs="Times New Roman"/>
          <w:szCs w:val="24"/>
        </w:rPr>
        <w:t xml:space="preserve">местное воспаление по ходу сформированного туннеля от места выходного отверстия катетера до манжеты или с локализацией только в </w:t>
      </w:r>
      <w:r w:rsidRPr="00952000">
        <w:rPr>
          <w:rFonts w:cs="Times New Roman"/>
          <w:iCs/>
          <w:szCs w:val="24"/>
        </w:rPr>
        <w:t>области фиксации манжеты</w:t>
      </w:r>
      <w:r w:rsidRPr="00952000">
        <w:rPr>
          <w:rFonts w:cs="Times New Roman"/>
          <w:i/>
          <w:szCs w:val="24"/>
        </w:rPr>
        <w:t>.</w:t>
      </w:r>
    </w:p>
    <w:p w14:paraId="5276864F" w14:textId="77777777" w:rsidR="008139EA" w:rsidRPr="00952000" w:rsidRDefault="008139EA" w:rsidP="00C5490F">
      <w:pPr>
        <w:pStyle w:val="afe"/>
        <w:numPr>
          <w:ilvl w:val="0"/>
          <w:numId w:val="76"/>
        </w:numPr>
        <w:rPr>
          <w:rFonts w:cs="Times New Roman"/>
          <w:szCs w:val="24"/>
        </w:rPr>
      </w:pPr>
      <w:r w:rsidRPr="00952000">
        <w:rPr>
          <w:rFonts w:cs="Times New Roman"/>
          <w:i/>
          <w:szCs w:val="24"/>
        </w:rPr>
        <w:t xml:space="preserve">Инфекция выходного отверстия – </w:t>
      </w:r>
      <w:r w:rsidRPr="00952000">
        <w:rPr>
          <w:rFonts w:cs="Times New Roman"/>
          <w:szCs w:val="24"/>
        </w:rPr>
        <w:t>местное воспаление, с локализацией только в месте выхода катетера на поверхность кожи.</w:t>
      </w:r>
    </w:p>
    <w:p w14:paraId="280B5C5E" w14:textId="77777777" w:rsidR="008139EA" w:rsidRPr="00952000" w:rsidRDefault="008139EA" w:rsidP="00C5490F">
      <w:pPr>
        <w:pStyle w:val="afe"/>
        <w:numPr>
          <w:ilvl w:val="0"/>
          <w:numId w:val="76"/>
        </w:numPr>
        <w:rPr>
          <w:rFonts w:cs="Times New Roman"/>
          <w:szCs w:val="24"/>
        </w:rPr>
      </w:pPr>
      <w:r w:rsidRPr="00952000">
        <w:rPr>
          <w:rFonts w:cs="Times New Roman"/>
          <w:i/>
          <w:szCs w:val="24"/>
        </w:rPr>
        <w:t xml:space="preserve">Инфекция подкожного кармана – </w:t>
      </w:r>
      <w:r w:rsidRPr="00952000">
        <w:rPr>
          <w:rFonts w:cs="Times New Roman"/>
          <w:szCs w:val="24"/>
        </w:rPr>
        <w:t xml:space="preserve">местное воспаление, локализующееся в месте установки камеры порт-системы. </w:t>
      </w:r>
    </w:p>
    <w:p w14:paraId="56E3498E" w14:textId="77777777" w:rsidR="008139EA" w:rsidRDefault="008139EA" w:rsidP="008139EA">
      <w:pPr>
        <w:ind w:firstLine="709"/>
        <w:rPr>
          <w:rFonts w:eastAsia="Arial Unicode MS" w:cs="Times New Roman"/>
          <w:b/>
          <w:bCs/>
          <w:szCs w:val="24"/>
          <w:lang w:eastAsia="ru-RU"/>
        </w:rPr>
      </w:pPr>
    </w:p>
    <w:p w14:paraId="6889AA65" w14:textId="77777777" w:rsidR="008139EA" w:rsidRPr="009F4EC0" w:rsidRDefault="008139EA" w:rsidP="008139EA">
      <w:pPr>
        <w:ind w:firstLine="709"/>
        <w:rPr>
          <w:rFonts w:eastAsia="Arial Unicode MS" w:cs="Times New Roman"/>
          <w:i/>
          <w:iCs/>
          <w:szCs w:val="24"/>
          <w:u w:val="single"/>
          <w:lang w:eastAsia="ru-RU"/>
        </w:rPr>
      </w:pPr>
      <w:r w:rsidRPr="009F4EC0">
        <w:rPr>
          <w:rFonts w:eastAsia="Arial Unicode MS" w:cs="Times New Roman"/>
          <w:i/>
          <w:iCs/>
          <w:szCs w:val="24"/>
          <w:u w:val="single"/>
          <w:lang w:eastAsia="ru-RU"/>
        </w:rPr>
        <w:t>Способы контроля дистального конца ЦВК</w:t>
      </w:r>
    </w:p>
    <w:p w14:paraId="045ACE6B" w14:textId="77777777" w:rsidR="008139EA" w:rsidRPr="009F4EC0" w:rsidRDefault="008139EA" w:rsidP="008139EA">
      <w:pPr>
        <w:ind w:firstLine="709"/>
        <w:rPr>
          <w:rFonts w:eastAsia="Arial Unicode MS" w:cs="Times New Roman"/>
          <w:i/>
          <w:iCs/>
          <w:szCs w:val="24"/>
          <w:lang w:eastAsia="ru-RU"/>
        </w:rPr>
      </w:pPr>
      <w:r w:rsidRPr="009F4EC0">
        <w:rPr>
          <w:rFonts w:eastAsia="Arial Unicode MS" w:cs="Times New Roman"/>
          <w:i/>
          <w:iCs/>
          <w:szCs w:val="24"/>
          <w:lang w:eastAsia="ru-RU"/>
        </w:rPr>
        <w:t>Электрокардиографический метод</w:t>
      </w:r>
    </w:p>
    <w:p w14:paraId="2AAD9DAA" w14:textId="77777777" w:rsidR="008139EA" w:rsidRPr="00952000" w:rsidRDefault="008139EA" w:rsidP="008139EA">
      <w:pPr>
        <w:ind w:firstLine="709"/>
        <w:rPr>
          <w:rFonts w:eastAsia="Arial Unicode MS" w:cs="Times New Roman"/>
          <w:strike/>
          <w:szCs w:val="24"/>
          <w:lang w:eastAsia="ru-RU"/>
        </w:rPr>
      </w:pPr>
      <w:r w:rsidRPr="00952000">
        <w:rPr>
          <w:rFonts w:eastAsia="Arial Unicode MS" w:cs="Times New Roman"/>
          <w:szCs w:val="24"/>
          <w:lang w:eastAsia="ru-RU"/>
        </w:rPr>
        <w:t xml:space="preserve">Для контроля положения ЦВК, снабженных штатным электродом, используют эндовенозную </w:t>
      </w:r>
      <w:r w:rsidRPr="00952000">
        <w:rPr>
          <w:rFonts w:cs="Times New Roman"/>
          <w:szCs w:val="24"/>
        </w:rPr>
        <w:t>электрокардиографию (</w:t>
      </w:r>
      <w:r w:rsidRPr="00952000">
        <w:rPr>
          <w:rFonts w:eastAsia="Arial Unicode MS" w:cs="Times New Roman"/>
          <w:szCs w:val="24"/>
          <w:lang w:eastAsia="ru-RU"/>
        </w:rPr>
        <w:t xml:space="preserve">ЭКГ). Она позволяет позиционировать дистальный конец ЦВК, не увеличивая время установки, по изменениям Р-зубца ЭКГ. </w:t>
      </w:r>
    </w:p>
    <w:p w14:paraId="61863E79" w14:textId="77777777" w:rsidR="008139EA" w:rsidRDefault="008139EA" w:rsidP="008139EA">
      <w:pPr>
        <w:ind w:firstLine="709"/>
        <w:rPr>
          <w:rFonts w:eastAsia="ＭＳ 明朝 (Основной текст темы (ази" w:cs="Times New Roman"/>
          <w:b/>
          <w:bCs/>
          <w:szCs w:val="24"/>
          <w:lang w:eastAsia="ru-RU"/>
        </w:rPr>
      </w:pPr>
    </w:p>
    <w:p w14:paraId="76179F3D" w14:textId="77777777" w:rsidR="008139EA" w:rsidRPr="009F4EC0" w:rsidRDefault="008139EA" w:rsidP="008139EA">
      <w:pPr>
        <w:ind w:firstLine="709"/>
        <w:rPr>
          <w:rFonts w:eastAsia="ＭＳ 明朝 (Основной текст темы (ази" w:cs="Times New Roman"/>
          <w:i/>
          <w:iCs/>
          <w:szCs w:val="24"/>
          <w:lang w:eastAsia="ru-RU"/>
        </w:rPr>
      </w:pPr>
      <w:r w:rsidRPr="009F4EC0">
        <w:rPr>
          <w:rFonts w:eastAsia="ＭＳ 明朝 (Основной текст темы (ази" w:cs="Times New Roman"/>
          <w:i/>
          <w:iCs/>
          <w:szCs w:val="24"/>
          <w:lang w:eastAsia="ru-RU"/>
        </w:rPr>
        <w:t xml:space="preserve">Рентгенологический метод </w:t>
      </w:r>
    </w:p>
    <w:p w14:paraId="0344EDF6" w14:textId="77777777" w:rsidR="008139EA" w:rsidRPr="00952000" w:rsidRDefault="008139EA" w:rsidP="008139EA">
      <w:pPr>
        <w:ind w:firstLine="709"/>
        <w:rPr>
          <w:rFonts w:cs="Times New Roman"/>
          <w:strike/>
          <w:szCs w:val="24"/>
        </w:rPr>
      </w:pPr>
      <w:r w:rsidRPr="00952000">
        <w:rPr>
          <w:rFonts w:eastAsia="ＭＳ 明朝 (Основной текст темы (ази" w:cs="Times New Roman"/>
          <w:szCs w:val="24"/>
          <w:lang w:eastAsia="ru-RU"/>
        </w:rPr>
        <w:t xml:space="preserve">При установке туннелируемых ЦВК, ПИЦВК, порт-систем, а также в </w:t>
      </w:r>
      <w:r w:rsidRPr="00952000">
        <w:rPr>
          <w:rFonts w:cs="Times New Roman"/>
          <w:szCs w:val="24"/>
        </w:rPr>
        <w:t>случаях мерцательной аритмии или ритма, навязанного кардиостимулятором, положение дистального конца ЦВК подтверждают рентгенологически:</w:t>
      </w:r>
      <w:r w:rsidRPr="00952000">
        <w:rPr>
          <w:rFonts w:cs="Times New Roman"/>
          <w:strike/>
          <w:szCs w:val="24"/>
        </w:rPr>
        <w:t xml:space="preserve"> </w:t>
      </w:r>
    </w:p>
    <w:p w14:paraId="0669A128" w14:textId="77777777" w:rsidR="008139EA" w:rsidRPr="00952000" w:rsidRDefault="008139EA" w:rsidP="008139EA">
      <w:pPr>
        <w:ind w:firstLine="709"/>
        <w:rPr>
          <w:rFonts w:cs="Times New Roman"/>
          <w:szCs w:val="24"/>
        </w:rPr>
      </w:pPr>
      <w:r w:rsidRPr="00952000">
        <w:rPr>
          <w:rFonts w:cs="Times New Roman"/>
          <w:szCs w:val="24"/>
        </w:rPr>
        <w:t xml:space="preserve">- на </w:t>
      </w:r>
      <w:r w:rsidRPr="00952000">
        <w:rPr>
          <w:rFonts w:cs="Times New Roman"/>
          <w:bCs/>
          <w:szCs w:val="24"/>
        </w:rPr>
        <w:t xml:space="preserve">рентгенограмме грудной клетки дистальный конец ЦВК должен был находиться между </w:t>
      </w:r>
      <w:r w:rsidRPr="00952000">
        <w:rPr>
          <w:rFonts w:cs="Times New Roman"/>
          <w:bCs/>
          <w:szCs w:val="24"/>
          <w:lang w:val="en-US"/>
        </w:rPr>
        <w:t>V</w:t>
      </w:r>
      <w:r w:rsidRPr="00952000">
        <w:rPr>
          <w:rFonts w:cs="Times New Roman"/>
          <w:bCs/>
          <w:szCs w:val="24"/>
        </w:rPr>
        <w:t xml:space="preserve"> и </w:t>
      </w:r>
      <w:r w:rsidRPr="00952000">
        <w:rPr>
          <w:rFonts w:cs="Times New Roman"/>
          <w:bCs/>
          <w:szCs w:val="24"/>
          <w:lang w:val="en-US"/>
        </w:rPr>
        <w:t>VI</w:t>
      </w:r>
      <w:r w:rsidRPr="00952000">
        <w:rPr>
          <w:rFonts w:cs="Times New Roman"/>
          <w:bCs/>
          <w:szCs w:val="24"/>
        </w:rPr>
        <w:t xml:space="preserve"> грудными позвонками. </w:t>
      </w:r>
    </w:p>
    <w:p w14:paraId="1D582426" w14:textId="77777777" w:rsidR="008139EA" w:rsidRPr="00952000" w:rsidRDefault="008139EA" w:rsidP="008139EA">
      <w:pPr>
        <w:widowControl w:val="0"/>
        <w:ind w:firstLine="708"/>
        <w:rPr>
          <w:rFonts w:cs="Times New Roman"/>
          <w:szCs w:val="24"/>
        </w:rPr>
      </w:pPr>
      <w:r w:rsidRPr="00952000">
        <w:rPr>
          <w:rFonts w:cs="Times New Roman"/>
          <w:szCs w:val="24"/>
        </w:rPr>
        <w:t>- также ориентиром для позиционирования дистального конца ЦВК является правый трахебронхиальный угол, который соответствует верхней границе верхней полой вены. Каваатриальное соединение находится на 3 см ниже этого угла.</w:t>
      </w:r>
    </w:p>
    <w:p w14:paraId="596F7B25" w14:textId="77777777" w:rsidR="008139EA" w:rsidRPr="00952000" w:rsidRDefault="008139EA" w:rsidP="008139EA">
      <w:pPr>
        <w:widowControl w:val="0"/>
        <w:ind w:firstLine="708"/>
        <w:rPr>
          <w:rFonts w:cs="Times New Roman"/>
          <w:szCs w:val="24"/>
        </w:rPr>
      </w:pPr>
      <w:r w:rsidRPr="00952000">
        <w:rPr>
          <w:rFonts w:cs="Times New Roman"/>
          <w:szCs w:val="24"/>
        </w:rPr>
        <w:t>- рентгенологическим ориентиром впадения ВПВ в правое предсердие также является пересечение дуги правой границы сердца и линии, идущей вдоль правой границы средостения.</w:t>
      </w:r>
    </w:p>
    <w:p w14:paraId="24D4119F" w14:textId="77777777" w:rsidR="008139EA" w:rsidRDefault="008139EA" w:rsidP="008139EA">
      <w:pPr>
        <w:rPr>
          <w:rFonts w:cs="Times New Roman"/>
          <w:b/>
          <w:bCs/>
          <w:szCs w:val="24"/>
        </w:rPr>
      </w:pPr>
    </w:p>
    <w:p w14:paraId="76B4D461" w14:textId="77777777" w:rsidR="008139EA" w:rsidRPr="009F4EC0" w:rsidRDefault="008139EA" w:rsidP="008139EA">
      <w:pPr>
        <w:ind w:firstLine="708"/>
        <w:rPr>
          <w:rFonts w:cs="Times New Roman"/>
          <w:i/>
          <w:iCs/>
          <w:szCs w:val="24"/>
          <w:u w:val="single"/>
        </w:rPr>
      </w:pPr>
      <w:r w:rsidRPr="009F4EC0">
        <w:rPr>
          <w:rFonts w:cs="Times New Roman"/>
          <w:i/>
          <w:iCs/>
          <w:szCs w:val="24"/>
          <w:u w:val="single"/>
        </w:rPr>
        <w:t>Обследование пациента, подготовка к манипуляции</w:t>
      </w:r>
    </w:p>
    <w:p w14:paraId="1244825B" w14:textId="77777777" w:rsidR="008139EA" w:rsidRPr="00952000" w:rsidRDefault="008139EA" w:rsidP="008139EA">
      <w:pPr>
        <w:ind w:firstLine="708"/>
        <w:rPr>
          <w:rFonts w:cs="Times New Roman"/>
          <w:szCs w:val="24"/>
        </w:rPr>
      </w:pPr>
      <w:r w:rsidRPr="00952000">
        <w:rPr>
          <w:rFonts w:cs="Times New Roman"/>
          <w:szCs w:val="24"/>
        </w:rPr>
        <w:t xml:space="preserve">Для обеспечения сосудистого доступа необходима консультация врачом-анестезиологом-реаниматологом. </w:t>
      </w:r>
    </w:p>
    <w:p w14:paraId="69498CF0" w14:textId="77777777" w:rsidR="008139EA" w:rsidRPr="00952000" w:rsidRDefault="008139EA" w:rsidP="008139EA">
      <w:pPr>
        <w:ind w:firstLine="708"/>
        <w:rPr>
          <w:rFonts w:cs="Times New Roman"/>
          <w:szCs w:val="24"/>
        </w:rPr>
      </w:pPr>
      <w:r w:rsidRPr="00952000">
        <w:rPr>
          <w:rFonts w:cs="Times New Roman"/>
          <w:szCs w:val="24"/>
        </w:rPr>
        <w:t>Физикальный осмотр проводится перед катетеризацией на наличие воспалительных и послеоперационных изменений кожи в местах возможной пункции вен, наличие увеличенных и изменённых лимфоузлов, препятствующих катетеризации, наличие усиленного подкожного рисунка вен, наличие клинических проявлений синдрома сдавления верхней полой вены (осиплость голоса, одышка, кашель, невозможность принятия горизонтального положения и т. д.) Уточняются анамнестические данные – количество предшествующих катетеризаций, имели ли место осложнения катетеризации; интенсивность и сроки планируемого лечения, возможные осложнения (неблагоприятные реакции) терапии, возможность применения других методов лечения, например, лучевой терапии.</w:t>
      </w:r>
    </w:p>
    <w:p w14:paraId="45B0AFA6" w14:textId="77777777" w:rsidR="008139EA" w:rsidRDefault="008139EA" w:rsidP="008139EA">
      <w:pPr>
        <w:ind w:firstLine="708"/>
        <w:rPr>
          <w:rFonts w:cs="Times New Roman"/>
          <w:b/>
          <w:bCs/>
          <w:szCs w:val="24"/>
          <w:shd w:val="clear" w:color="auto" w:fill="FFFFFF"/>
        </w:rPr>
      </w:pPr>
    </w:p>
    <w:p w14:paraId="264F52B1" w14:textId="77777777" w:rsidR="008139EA" w:rsidRPr="009F4EC0" w:rsidRDefault="008139EA" w:rsidP="008139EA">
      <w:pPr>
        <w:ind w:firstLine="708"/>
        <w:rPr>
          <w:rFonts w:cs="Times New Roman"/>
          <w:i/>
          <w:iCs/>
          <w:szCs w:val="24"/>
          <w:shd w:val="clear" w:color="auto" w:fill="FFFFFF"/>
        </w:rPr>
      </w:pPr>
      <w:r w:rsidRPr="009F4EC0">
        <w:rPr>
          <w:rFonts w:cs="Times New Roman"/>
          <w:i/>
          <w:iCs/>
          <w:szCs w:val="24"/>
          <w:shd w:val="clear" w:color="auto" w:fill="FFFFFF"/>
        </w:rPr>
        <w:t>Лабораторная диагностика.</w:t>
      </w:r>
    </w:p>
    <w:p w14:paraId="4C240C8B" w14:textId="77777777" w:rsidR="008139EA" w:rsidRPr="00952000" w:rsidRDefault="008139EA" w:rsidP="008139EA">
      <w:pPr>
        <w:rPr>
          <w:rFonts w:cs="Times New Roman"/>
          <w:szCs w:val="24"/>
          <w:shd w:val="clear" w:color="auto" w:fill="FFFFFF"/>
        </w:rPr>
      </w:pPr>
      <w:r w:rsidRPr="00952000">
        <w:rPr>
          <w:rFonts w:cs="Times New Roman"/>
          <w:szCs w:val="24"/>
          <w:shd w:val="clear" w:color="auto" w:fill="FFFFFF"/>
        </w:rPr>
        <w:t>Перед установкой ЦВК необходимо выполнить:</w:t>
      </w:r>
    </w:p>
    <w:p w14:paraId="1E020BD6" w14:textId="77777777" w:rsidR="008139EA" w:rsidRPr="00952000" w:rsidRDefault="008139EA" w:rsidP="00C5490F">
      <w:pPr>
        <w:pStyle w:val="afe"/>
        <w:numPr>
          <w:ilvl w:val="0"/>
          <w:numId w:val="78"/>
        </w:numPr>
        <w:rPr>
          <w:rFonts w:cs="Times New Roman"/>
          <w:i/>
          <w:szCs w:val="24"/>
          <w:shd w:val="clear" w:color="auto" w:fill="FFFFFF"/>
        </w:rPr>
      </w:pPr>
      <w:r w:rsidRPr="00952000">
        <w:rPr>
          <w:rFonts w:cs="Times New Roman"/>
          <w:szCs w:val="24"/>
        </w:rPr>
        <w:t>общий (клинический) анализ крови развернутый (при необходимости – с исследованием уровня тромбоцитов в крови по мазку)</w:t>
      </w:r>
    </w:p>
    <w:p w14:paraId="4F8CD454" w14:textId="77777777" w:rsidR="008139EA" w:rsidRPr="00952000" w:rsidRDefault="008139EA" w:rsidP="00C5490F">
      <w:pPr>
        <w:pStyle w:val="afe"/>
        <w:numPr>
          <w:ilvl w:val="0"/>
          <w:numId w:val="77"/>
        </w:numPr>
        <w:rPr>
          <w:rFonts w:cs="Times New Roman"/>
          <w:szCs w:val="24"/>
        </w:rPr>
      </w:pPr>
      <w:r w:rsidRPr="00952000">
        <w:rPr>
          <w:rFonts w:cs="Times New Roman"/>
          <w:szCs w:val="24"/>
          <w:shd w:val="clear" w:color="auto" w:fill="FFFFFF"/>
        </w:rPr>
        <w:t>коагулограмма с определением АЧТВ, протромбинового индекса, фибриногена, при необходимости – с и</w:t>
      </w:r>
      <w:r w:rsidRPr="00952000">
        <w:rPr>
          <w:rFonts w:cs="Times New Roman"/>
          <w:szCs w:val="24"/>
        </w:rPr>
        <w:t>сследованием агрегации тромбоцитов</w:t>
      </w:r>
    </w:p>
    <w:p w14:paraId="68BA6E35" w14:textId="77777777" w:rsidR="008139EA" w:rsidRPr="00952000" w:rsidRDefault="008139EA" w:rsidP="00C5490F">
      <w:pPr>
        <w:pStyle w:val="afe"/>
        <w:numPr>
          <w:ilvl w:val="0"/>
          <w:numId w:val="77"/>
        </w:numPr>
        <w:rPr>
          <w:rFonts w:cs="Times New Roman"/>
          <w:szCs w:val="24"/>
        </w:rPr>
      </w:pPr>
      <w:r w:rsidRPr="00952000">
        <w:rPr>
          <w:rFonts w:cs="Times New Roman"/>
          <w:szCs w:val="24"/>
        </w:rPr>
        <w:t xml:space="preserve">определение активности факторов </w:t>
      </w:r>
      <w:r w:rsidRPr="00952000">
        <w:rPr>
          <w:rFonts w:cs="Times New Roman"/>
          <w:szCs w:val="24"/>
          <w:lang w:val="en-US"/>
        </w:rPr>
        <w:t>VIII</w:t>
      </w:r>
      <w:r w:rsidRPr="00952000">
        <w:rPr>
          <w:rFonts w:cs="Times New Roman"/>
          <w:szCs w:val="24"/>
        </w:rPr>
        <w:t xml:space="preserve">, </w:t>
      </w:r>
      <w:r w:rsidRPr="00952000">
        <w:rPr>
          <w:rFonts w:cs="Times New Roman"/>
          <w:szCs w:val="24"/>
          <w:lang w:val="en-US"/>
        </w:rPr>
        <w:t>IX</w:t>
      </w:r>
      <w:r w:rsidRPr="00952000">
        <w:rPr>
          <w:rFonts w:cs="Times New Roman"/>
          <w:szCs w:val="24"/>
        </w:rPr>
        <w:t xml:space="preserve"> и иных в сыворотке крови – по показаниям</w:t>
      </w:r>
    </w:p>
    <w:p w14:paraId="5322E356" w14:textId="77777777" w:rsidR="008139EA" w:rsidRPr="00952000" w:rsidRDefault="008139EA" w:rsidP="00C5490F">
      <w:pPr>
        <w:pStyle w:val="afe"/>
        <w:numPr>
          <w:ilvl w:val="0"/>
          <w:numId w:val="77"/>
        </w:numPr>
        <w:rPr>
          <w:rFonts w:cs="Times New Roman"/>
          <w:szCs w:val="24"/>
        </w:rPr>
      </w:pPr>
      <w:r w:rsidRPr="00952000">
        <w:rPr>
          <w:rFonts w:cs="Times New Roman"/>
          <w:szCs w:val="24"/>
        </w:rPr>
        <w:t>определение основных групп крови, определение подгруппы м других групп крови меньшего значения, определение резус-фактора</w:t>
      </w:r>
    </w:p>
    <w:p w14:paraId="7C782C49" w14:textId="77777777" w:rsidR="008139EA" w:rsidRDefault="008139EA" w:rsidP="008139EA">
      <w:pPr>
        <w:ind w:firstLine="708"/>
        <w:rPr>
          <w:rFonts w:cs="Times New Roman"/>
          <w:b/>
          <w:bCs/>
          <w:szCs w:val="24"/>
        </w:rPr>
      </w:pPr>
    </w:p>
    <w:p w14:paraId="2947E8C1" w14:textId="77777777" w:rsidR="008139EA" w:rsidRPr="009F4EC0" w:rsidRDefault="008139EA" w:rsidP="008139EA">
      <w:pPr>
        <w:ind w:firstLine="708"/>
        <w:rPr>
          <w:rFonts w:cs="Times New Roman"/>
          <w:i/>
          <w:iCs/>
          <w:szCs w:val="24"/>
        </w:rPr>
      </w:pPr>
      <w:r w:rsidRPr="009F4EC0">
        <w:rPr>
          <w:rFonts w:cs="Times New Roman"/>
          <w:i/>
          <w:iCs/>
          <w:szCs w:val="24"/>
        </w:rPr>
        <w:t>Инструментальная диагностика</w:t>
      </w:r>
    </w:p>
    <w:p w14:paraId="46B8EDE2" w14:textId="77777777" w:rsidR="008139EA" w:rsidRPr="00952000" w:rsidRDefault="008139EA" w:rsidP="008139EA">
      <w:pPr>
        <w:rPr>
          <w:rFonts w:cs="Times New Roman"/>
          <w:szCs w:val="24"/>
        </w:rPr>
      </w:pPr>
      <w:r w:rsidRPr="00952000">
        <w:rPr>
          <w:rFonts w:cs="Times New Roman"/>
          <w:szCs w:val="24"/>
        </w:rPr>
        <w:t>Перед выполнением катетеризации необходимо выполнить:</w:t>
      </w:r>
    </w:p>
    <w:p w14:paraId="3F8AD2AA" w14:textId="77777777" w:rsidR="008139EA" w:rsidRPr="00DB2B4A" w:rsidRDefault="008139EA" w:rsidP="00C5490F">
      <w:pPr>
        <w:pStyle w:val="afe"/>
        <w:numPr>
          <w:ilvl w:val="0"/>
          <w:numId w:val="77"/>
        </w:numPr>
        <w:rPr>
          <w:rFonts w:cs="Times New Roman"/>
          <w:szCs w:val="24"/>
        </w:rPr>
      </w:pPr>
      <w:r w:rsidRPr="00DB2B4A">
        <w:rPr>
          <w:rFonts w:cs="Times New Roman"/>
          <w:szCs w:val="24"/>
        </w:rPr>
        <w:t xml:space="preserve">рентгенография органов грудной клетки или </w:t>
      </w:r>
      <w:r w:rsidRPr="00DB2B4A">
        <w:rPr>
          <w:rFonts w:cs="Times New Roman"/>
          <w:szCs w:val="24"/>
          <w:shd w:val="clear" w:color="auto" w:fill="FFFFFF" w:themeFill="background1"/>
        </w:rPr>
        <w:t>– предпочтительно</w:t>
      </w:r>
      <w:r w:rsidRPr="00DB2B4A">
        <w:rPr>
          <w:rFonts w:cs="Times New Roman"/>
          <w:szCs w:val="24"/>
        </w:rPr>
        <w:t xml:space="preserve"> </w:t>
      </w:r>
      <w:r>
        <w:rPr>
          <w:rFonts w:cs="Times New Roman"/>
          <w:szCs w:val="24"/>
        </w:rPr>
        <w:t xml:space="preserve">– </w:t>
      </w:r>
      <w:r w:rsidRPr="00DB2B4A">
        <w:rPr>
          <w:rFonts w:cs="Times New Roman"/>
          <w:szCs w:val="24"/>
        </w:rPr>
        <w:t>компьютерная томография органов грудной клетки (КТ)</w:t>
      </w:r>
      <w:r w:rsidRPr="00DB2B4A">
        <w:rPr>
          <w:rFonts w:cs="Times New Roman"/>
          <w:szCs w:val="24"/>
          <w:shd w:val="clear" w:color="auto" w:fill="FFFFFF" w:themeFill="background1"/>
        </w:rPr>
        <w:t>, с болюсным контрастным усилением (по показаниям)</w:t>
      </w:r>
    </w:p>
    <w:p w14:paraId="4BC09C3F" w14:textId="77777777" w:rsidR="008139EA" w:rsidRPr="00952000" w:rsidRDefault="008139EA" w:rsidP="00C5490F">
      <w:pPr>
        <w:pStyle w:val="afe"/>
        <w:numPr>
          <w:ilvl w:val="0"/>
          <w:numId w:val="77"/>
        </w:numPr>
        <w:rPr>
          <w:rFonts w:cs="Times New Roman"/>
          <w:szCs w:val="24"/>
        </w:rPr>
      </w:pPr>
      <w:r w:rsidRPr="00952000">
        <w:rPr>
          <w:rFonts w:cs="Times New Roman"/>
          <w:szCs w:val="24"/>
        </w:rPr>
        <w:t xml:space="preserve">ультразвуковое агиосканирование </w:t>
      </w:r>
    </w:p>
    <w:p w14:paraId="37370A95" w14:textId="77777777" w:rsidR="008139EA" w:rsidRPr="00952000" w:rsidRDefault="008139EA" w:rsidP="00C5490F">
      <w:pPr>
        <w:pStyle w:val="afe"/>
        <w:numPr>
          <w:ilvl w:val="0"/>
          <w:numId w:val="77"/>
        </w:numPr>
        <w:rPr>
          <w:rFonts w:cs="Times New Roman"/>
          <w:szCs w:val="24"/>
        </w:rPr>
      </w:pPr>
      <w:r w:rsidRPr="00952000">
        <w:rPr>
          <w:rFonts w:cs="Times New Roman"/>
          <w:szCs w:val="24"/>
        </w:rPr>
        <w:t>ЭКГ</w:t>
      </w:r>
    </w:p>
    <w:p w14:paraId="559DCCF8" w14:textId="3F6A1A4E" w:rsidR="008139EA" w:rsidRPr="00952000" w:rsidRDefault="008139EA" w:rsidP="008139EA">
      <w:pPr>
        <w:pStyle w:val="afd"/>
        <w:spacing w:beforeAutospacing="0" w:afterAutospacing="0" w:line="360" w:lineRule="auto"/>
        <w:ind w:firstLine="709"/>
      </w:pPr>
      <w:r w:rsidRPr="00952000">
        <w:t xml:space="preserve">Ультразвуковое сопровождение в реальном времени обеспечивает возможность выбора направления иглы при пункции внутренней яремной, аксиллярной, подмышечной или бедренной вены, позволяя тем самым избежать случайного ранение артерии </w:t>
      </w:r>
      <w:r w:rsidRPr="00952000">
        <w:fldChar w:fldCharType="begin" w:fldLock="1"/>
      </w:r>
      <w:r>
        <w:instrText>ADDIN CSL_CITATION {"citationItems":[{"id":"ITEM-1","itemData":{"DOI":"10.2147/RMHP.S10383","ISSN":"1179-1594","PMID":"22312225","abstract":"Central venous cannulation is a commonly performed procedure which facilitates resuscitation, nutritional support, and long-term vascular access. Mechanical complications most often occur during insertion and are intimately related to the anatomic relationship of the central veins. Working knowledge of surface and deep anatomy minimizes complications. Use of surface anatomic landmarks to orient the deep course of cannulating needle tracts appropriately comprises the crux of complication avoidance. The authors describe use of surface landmarks to facilitate safe placement of internal jugular, subclavian, and femoral venous catheters. The role of real-time sonography as a safety-enhancing adjunct is reviewed.","author":[{"dropping-particle":"","family":"Bannon","given":"Michael P","non-dropping-particle":"","parse-names":false,"suffix":""},{"dropping-particle":"","family":"Heller","given":"Stephanie F","non-dropping-particle":"","parse-names":false,"suffix":""},{"dropping-particle":"","family":"Rivera","given":"Mariela","non-dropping-particle":"","parse-names":false,"suffix":""}],"container-title":"Risk management and healthcare policy","id":"ITEM-1","issued":{"date-parts":[["2011"]]},"page":"27-39","publisher":"Dove Press","title":"Anatomic considerations for central venous cannulation.","type":"article-journal","volume":"4"},"uris":["http://www.mendeley.com/documents/?uuid=f27d2d96-8c0e-37ae-a769-16d58b15a227","http://www.mendeley.com/documents/?uuid=f0df5ed8-bde5-4ae2-bb07-d53d990cfba6"]}],"mendeley":{"formattedCitation":"[151]","plainTextFormattedCitation":"[151]","previouslyFormattedCitation":"[151]"},"properties":{"noteIndex":0},"schema":"https://github.com/citation-style-language/schema/raw/master/csl-citation.json"}</w:instrText>
      </w:r>
      <w:r w:rsidRPr="00952000">
        <w:fldChar w:fldCharType="separate"/>
      </w:r>
      <w:r w:rsidRPr="008139EA">
        <w:rPr>
          <w:noProof/>
        </w:rPr>
        <w:t>[151]</w:t>
      </w:r>
      <w:r w:rsidRPr="00952000">
        <w:fldChar w:fldCharType="end"/>
      </w:r>
      <w:r w:rsidRPr="00952000">
        <w:t>.</w:t>
      </w:r>
    </w:p>
    <w:p w14:paraId="21CD33F1" w14:textId="77777777" w:rsidR="008139EA" w:rsidRPr="00952000" w:rsidRDefault="008139EA" w:rsidP="008139EA">
      <w:pPr>
        <w:pStyle w:val="afd"/>
        <w:spacing w:beforeAutospacing="0" w:afterAutospacing="0" w:line="360" w:lineRule="auto"/>
        <w:ind w:firstLine="709"/>
        <w:rPr>
          <w:strike/>
        </w:rPr>
      </w:pPr>
      <w:r w:rsidRPr="00952000">
        <w:t>Использование ультразвукового сопровождения даже при установке ЦВК при тромбоцитопении менее 20х10</w:t>
      </w:r>
      <w:r w:rsidRPr="00952000">
        <w:rPr>
          <w:vertAlign w:val="superscript"/>
        </w:rPr>
        <w:t>9</w:t>
      </w:r>
      <w:r w:rsidRPr="00952000">
        <w:t>/л позволяет избежать серьезных геморрагических осложнений.</w:t>
      </w:r>
    </w:p>
    <w:p w14:paraId="584E62F7" w14:textId="22E09BEF" w:rsidR="008139EA" w:rsidRPr="00952000" w:rsidRDefault="008139EA" w:rsidP="008139EA">
      <w:pPr>
        <w:pStyle w:val="afd"/>
        <w:spacing w:beforeAutospacing="0" w:afterAutospacing="0" w:line="360" w:lineRule="auto"/>
        <w:ind w:firstLine="709"/>
      </w:pPr>
      <w:r w:rsidRPr="00952000">
        <w:t xml:space="preserve">В настоящее время УЗИ считается «золотым стандартом» при установке центрального венозного катетера с использованием яремного доступа, так как ВЯВ близко прилежит к поверхности кожи, нет мышц, которые бы могли затруднить визуализацию </w:t>
      </w:r>
      <w:r w:rsidRPr="00952000">
        <w:fldChar w:fldCharType="begin" w:fldLock="1"/>
      </w:r>
      <w:r>
        <w:instrText>ADDIN CSL_CITATION {"citationItems":[{"id":"ITEM-1","itemData":{"DOI":"10.1097/01.CCM.0000171533.92856.E5","ISSN":"0090-3493","author":[{"dropping-particle":"","family":"Milling","given":"Truman J.","non-dropping-particle":"","parse-names":false,"suffix":""},{"dropping-particle":"","family":"Rose","given":"John","non-dropping-particle":"","parse-names":false,"suffix":""},{"dropping-particle":"","family":"Briggs","given":"William M.","non-dropping-particle":"","parse-names":false,"suffix":""},{"dropping-particle":"","family":"Birkhahn","given":"Robert","non-dropping-particle":"","parse-names":false,"suffix":""},{"dropping-particle":"","family":"Gaeta","given":"Theodore J.","non-dropping-particle":"","parse-names":false,"suffix":""},{"dropping-particle":"","family":"Bove","given":"Joseph J.","non-dropping-particle":"","parse-names":false,"suffix":""},{"dropping-particle":"","family":"Melniker","given":"Lawrence A.","non-dropping-particle":"","parse-names":false,"suffix":""}],"container-title":"Critical Care Medicine","id":"ITEM-1","issue":"8","issued":{"date-parts":[["2005","8"]]},"page":"1764-1769","title":"Randomized, controlled clinical trial of point-of-care limited ultrasonography assistance of central venous cannulation: The Third Sonography Outcomes Assessment Program (SOAP-3) Trial*","type":"article-journal","volume":"33"},"uris":["http://www.mendeley.com/documents/?uuid=054ddacc-452c-3e56-9229-17632ae9ca05","http://www.mendeley.com/documents/?uuid=d52028d6-19cc-49b2-bfeb-b898ed00d7fe"]}],"mendeley":{"formattedCitation":"[152]","plainTextFormattedCitation":"[152]","previouslyFormattedCitation":"[152]"},"properties":{"noteIndex":0},"schema":"https://github.com/citation-style-language/schema/raw/master/csl-citation.json"}</w:instrText>
      </w:r>
      <w:r w:rsidRPr="00952000">
        <w:fldChar w:fldCharType="separate"/>
      </w:r>
      <w:r w:rsidRPr="008139EA">
        <w:rPr>
          <w:noProof/>
        </w:rPr>
        <w:t>[152]</w:t>
      </w:r>
      <w:r w:rsidRPr="00952000">
        <w:fldChar w:fldCharType="end"/>
      </w:r>
      <w:r w:rsidRPr="00952000">
        <w:t>. Помимо этого, правая ВЯВ образует практически прямую линию, что уменьшает травму сосуда и риск возникновения КАТ при использовании катетера.</w:t>
      </w:r>
    </w:p>
    <w:p w14:paraId="52378355" w14:textId="77777777" w:rsidR="008139EA" w:rsidRPr="00952000" w:rsidRDefault="008139EA" w:rsidP="008139EA">
      <w:pPr>
        <w:ind w:firstLine="700"/>
        <w:rPr>
          <w:rFonts w:eastAsia="Times New Roman" w:cs="Times New Roman"/>
          <w:szCs w:val="24"/>
          <w:lang w:eastAsia="ru-RU"/>
        </w:rPr>
      </w:pPr>
      <w:r w:rsidRPr="00952000">
        <w:rPr>
          <w:rFonts w:eastAsia="Times New Roman" w:cs="Times New Roman"/>
          <w:szCs w:val="24"/>
          <w:lang w:eastAsia="ru-RU"/>
        </w:rPr>
        <w:t xml:space="preserve">Ультразвуковое сопровождение катетеризации центральных вен не исключает знания анатомии и поверхностных анатомических ориентиров, которые остаются необходимыми для ориентации как иглы, так и самого ультразвукового датчика. Ультразвуковое сопровождение катетеризации позволяет визуализировать не только вену, но и располагающиеся вблизи анатомические структуры. </w:t>
      </w:r>
    </w:p>
    <w:p w14:paraId="36B63968" w14:textId="77777777" w:rsidR="008139EA" w:rsidRPr="00952000" w:rsidRDefault="008139EA" w:rsidP="008139EA">
      <w:pPr>
        <w:ind w:firstLine="708"/>
        <w:rPr>
          <w:rFonts w:cs="Times New Roman"/>
          <w:szCs w:val="24"/>
        </w:rPr>
      </w:pPr>
      <w:r w:rsidRPr="00952000">
        <w:rPr>
          <w:rFonts w:cs="Times New Roman"/>
          <w:szCs w:val="24"/>
        </w:rPr>
        <w:t>В случае выявления поражения средостения по данным рентгенологического исследования, а также при клинической картине синдрома сдавления верхней полой вены, перед катетеризацией необходимо выполнение КТ органов грудной клетки с болюсным контрастным усилением для оценки проходимости крупных венозных сосудов, диагностики тромботических осложнений.</w:t>
      </w:r>
    </w:p>
    <w:p w14:paraId="07C52958" w14:textId="77777777" w:rsidR="008139EA" w:rsidRDefault="008139EA" w:rsidP="008139EA">
      <w:pPr>
        <w:ind w:firstLine="709"/>
        <w:rPr>
          <w:rFonts w:cs="Times New Roman"/>
          <w:b/>
          <w:bCs/>
          <w:szCs w:val="24"/>
        </w:rPr>
      </w:pPr>
    </w:p>
    <w:p w14:paraId="31CFD14A" w14:textId="77777777" w:rsidR="008139EA" w:rsidRPr="009F4EC0" w:rsidRDefault="008139EA" w:rsidP="008139EA">
      <w:pPr>
        <w:ind w:firstLine="709"/>
        <w:rPr>
          <w:rFonts w:cs="Times New Roman"/>
          <w:i/>
          <w:iCs/>
          <w:szCs w:val="24"/>
        </w:rPr>
      </w:pPr>
      <w:r w:rsidRPr="009F4EC0">
        <w:rPr>
          <w:rFonts w:cs="Times New Roman"/>
          <w:i/>
          <w:iCs/>
          <w:szCs w:val="24"/>
        </w:rPr>
        <w:t xml:space="preserve">Выбор типа ЦВК </w:t>
      </w:r>
    </w:p>
    <w:p w14:paraId="0C9CBFD4" w14:textId="77777777" w:rsidR="008139EA" w:rsidRPr="00952000" w:rsidRDefault="008139EA" w:rsidP="008139EA">
      <w:pPr>
        <w:ind w:firstLine="709"/>
        <w:rPr>
          <w:rFonts w:cs="Times New Roman"/>
          <w:szCs w:val="24"/>
        </w:rPr>
      </w:pPr>
      <w:r w:rsidRPr="00952000">
        <w:rPr>
          <w:rFonts w:cs="Times New Roman"/>
          <w:szCs w:val="24"/>
        </w:rPr>
        <w:t xml:space="preserve">Больным </w:t>
      </w:r>
      <w:r w:rsidRPr="00952000">
        <w:rPr>
          <w:rFonts w:cs="Times New Roman"/>
          <w:b/>
          <w:szCs w:val="24"/>
        </w:rPr>
        <w:t>острым миелоидным лейкозом</w:t>
      </w:r>
      <w:r w:rsidRPr="00952000">
        <w:rPr>
          <w:rFonts w:cs="Times New Roman"/>
          <w:szCs w:val="24"/>
        </w:rPr>
        <w:t xml:space="preserve"> при проведении индукционных курсов химиотерапии, а также при проведении курсов консолидации и поддерживающей терапии устанавливается нетуннелируемый центральный венозный катетер в одну из вен бассейна верхней полой вены (внутреннюю яремную вену, подключичную вену, аксиллярную вену). Следует отдавать предпочтение двухпросветным или трехпросветным нетуннелируемым катетерам, поскольку нередко больным одновременно вводят несовместимые между собой растворы.</w:t>
      </w:r>
    </w:p>
    <w:p w14:paraId="7477E77A" w14:textId="77777777" w:rsidR="008139EA" w:rsidRPr="00952000" w:rsidRDefault="008139EA" w:rsidP="008139EA">
      <w:pPr>
        <w:ind w:firstLine="708"/>
        <w:rPr>
          <w:rFonts w:cs="Times New Roman"/>
          <w:szCs w:val="24"/>
        </w:rPr>
      </w:pPr>
      <w:r w:rsidRPr="00952000">
        <w:rPr>
          <w:rFonts w:cs="Times New Roman"/>
          <w:szCs w:val="24"/>
        </w:rPr>
        <w:t>Установка долговременных венозных катетеров не оправдана из-за высокого риска инфицирования системы.</w:t>
      </w:r>
    </w:p>
    <w:p w14:paraId="36F82DC1" w14:textId="77777777" w:rsidR="008139EA" w:rsidRPr="00952000" w:rsidRDefault="008139EA" w:rsidP="008139EA">
      <w:pPr>
        <w:ind w:firstLine="708"/>
        <w:rPr>
          <w:rFonts w:cs="Times New Roman"/>
          <w:szCs w:val="24"/>
        </w:rPr>
      </w:pPr>
      <w:r w:rsidRPr="00952000">
        <w:rPr>
          <w:rFonts w:cs="Times New Roman"/>
          <w:szCs w:val="24"/>
        </w:rPr>
        <w:t xml:space="preserve">У больных </w:t>
      </w:r>
      <w:r w:rsidRPr="00952000">
        <w:rPr>
          <w:rFonts w:cs="Times New Roman"/>
          <w:b/>
          <w:szCs w:val="24"/>
        </w:rPr>
        <w:t>острым промиелоцитарным лейкозом</w:t>
      </w:r>
      <w:r w:rsidRPr="00952000">
        <w:rPr>
          <w:rFonts w:cs="Times New Roman"/>
          <w:szCs w:val="24"/>
        </w:rPr>
        <w:t xml:space="preserve"> при наличии выраженного геморрагического синдрома, как правило, вызванного тромбоцитопенией, гипофибриногенемией, гиперфибринолизом при проведении индукционного курса химиотерапии рекомендуется воздержаться от катетеризации яремных или подключичных вен из-за риска развития угрожающих жизни геморрагических осложнений (возможно развитие гемоторакса, обширных гематом на грудной клетке, развитие гематомы на шее со сдавлением и обструкцией верхних дыхательных путей). В условиях выраженного геморрагического синдрома у этой категории больных методом выбора может явиться катетеризация бедренной вены, либо установка периферически имплантируемого центрального венозного катетера (ПИЦВК) в кубитальную или плечевую вену. Поскольку этим больным требуются большие объемы инфузий, предпочтение следует отдать высокопоточным ПИЦВК, желательно имеющим два-три просвета. После купирования геморрагического синдрома в результате применения дифференцировочных препаратов (полностью транс-ретиноевой кислоты, мышьяка) и/или циторедуктивной химиотерапии больному может быть безопасно установлен нетуннелируемый катетер в одну из вен бассейна верхней полой вены (внутреннюю яремную вену, подключичную вену, аксиллярную вену). В то же время у больных острым промиелоцитарным лейкозом ПИ-ЦВК могут использоваться длительно, при отсутствии осложнений вся программа лечения лейкоза может быть выполнена через него. </w:t>
      </w:r>
    </w:p>
    <w:p w14:paraId="6A001775" w14:textId="77777777" w:rsidR="008139EA" w:rsidRPr="00952000" w:rsidRDefault="008139EA" w:rsidP="008139EA">
      <w:pPr>
        <w:ind w:firstLine="708"/>
        <w:rPr>
          <w:rFonts w:cs="Times New Roman"/>
          <w:szCs w:val="24"/>
        </w:rPr>
      </w:pPr>
      <w:r w:rsidRPr="00952000">
        <w:rPr>
          <w:rFonts w:cs="Times New Roman"/>
          <w:szCs w:val="24"/>
        </w:rPr>
        <w:t>Нет четких показаний для удаления ПИЦВК в межкурсовом периоде. Учитывая срок службы катетера, а также с целью предотвращения дополнительной травмы венозной стенки или для продолжения терапии может быть установлена полностью имплантируемая порт-система (порт-система).</w:t>
      </w:r>
    </w:p>
    <w:p w14:paraId="2090D53F" w14:textId="77777777" w:rsidR="008139EA" w:rsidRPr="00952000" w:rsidRDefault="008139EA" w:rsidP="008139EA">
      <w:pPr>
        <w:ind w:firstLine="708"/>
        <w:rPr>
          <w:rFonts w:cs="Times New Roman"/>
          <w:szCs w:val="24"/>
        </w:rPr>
      </w:pPr>
      <w:r w:rsidRPr="00952000">
        <w:rPr>
          <w:rFonts w:cs="Times New Roman"/>
          <w:szCs w:val="24"/>
        </w:rPr>
        <w:t xml:space="preserve">Важной задачей является обеспечение сосудистого доступа </w:t>
      </w:r>
      <w:r w:rsidRPr="00952000">
        <w:rPr>
          <w:rFonts w:cs="Times New Roman"/>
          <w:b/>
          <w:szCs w:val="24"/>
        </w:rPr>
        <w:t>при проведении трансплантации гемопоэтических стволовых клеток</w:t>
      </w:r>
      <w:r w:rsidRPr="00952000">
        <w:rPr>
          <w:rFonts w:cs="Times New Roman"/>
          <w:szCs w:val="24"/>
        </w:rPr>
        <w:t xml:space="preserve"> (ТГСК). При трансплантации аутологичных ГСК достаточно установки нетуннелируемого катетера. При трансплантации аллогенных ГСК и прежде всего неродственных ГСК показана установка либо двухпросветного или трехпросветного ЦВК либо туннелируемых катетеров (катетер Хикмана, Леонарда). При проведении трансплантации с использованием туннелируемых ЦВК значительно реже развиваются ЦВК-ассоциированные инфекционные осложнения. Туннелируемые ЦВК не имеют преимуществ перед нетуннелируемыми ЦВК с антибактериальным покрытием при использовании в течение одного месяца. Однако при длительном использовании туннелируемых катетеров осложнений значительно меньше, чем при использовании нетуннелируемых (как с антибактериальным покрытием, так и без него). Поскольку при трансплантации аллогенных ГСК (прежде всего, неродственных) многие осложнения (реакция трансплантат против хозяина с поражением кожи, кишечника, инфекционные осложнения, геморрагический цистит и т. д.) возникают в первые 100 дней после трансплантации, и больные длительно нуждаются в сосудистом доступе, предпочтение следует отдать туннелируемым ЦВК (катетер Хикмана, Леонарда). Эти катетеры следует оставлять на несколько месяцев даже после выписки больного из стационара. Для уменьшения риска воздушной эмболии может быть установлен катетер Хикмана с клапаном Грошонга на дистальном конце, либо на проксимальный конец туннелируемого катетера устанавливаются специальные клапаны. Опыт длительного (в течение 4—6 мес) использования туннелируемых катетеров после ТГСК показал их безопасность и эффективность.</w:t>
      </w:r>
    </w:p>
    <w:p w14:paraId="6F51A162" w14:textId="77777777" w:rsidR="008139EA" w:rsidRDefault="008139EA" w:rsidP="008139EA">
      <w:pPr>
        <w:ind w:firstLine="708"/>
        <w:rPr>
          <w:rFonts w:cs="Times New Roman"/>
          <w:b/>
          <w:bCs/>
          <w:szCs w:val="24"/>
        </w:rPr>
      </w:pPr>
    </w:p>
    <w:p w14:paraId="29A92217" w14:textId="77777777" w:rsidR="008139EA" w:rsidRPr="009F4EC0" w:rsidRDefault="008139EA" w:rsidP="008139EA">
      <w:pPr>
        <w:ind w:firstLine="708"/>
        <w:rPr>
          <w:rFonts w:cs="Times New Roman"/>
          <w:i/>
          <w:iCs/>
          <w:szCs w:val="24"/>
          <w:u w:val="single"/>
        </w:rPr>
      </w:pPr>
      <w:r w:rsidRPr="009F4EC0">
        <w:rPr>
          <w:rFonts w:cs="Times New Roman"/>
          <w:i/>
          <w:iCs/>
          <w:szCs w:val="24"/>
          <w:u w:val="single"/>
        </w:rPr>
        <w:t>Профилактика осложнений</w:t>
      </w:r>
    </w:p>
    <w:p w14:paraId="588D9F00" w14:textId="77777777" w:rsidR="008139EA" w:rsidRPr="009F4EC0" w:rsidRDefault="008139EA" w:rsidP="008139EA">
      <w:pPr>
        <w:ind w:firstLine="708"/>
        <w:rPr>
          <w:rFonts w:cs="Times New Roman"/>
          <w:i/>
          <w:iCs/>
          <w:szCs w:val="24"/>
        </w:rPr>
      </w:pPr>
      <w:r w:rsidRPr="009F4EC0">
        <w:rPr>
          <w:rFonts w:cs="Times New Roman"/>
          <w:i/>
          <w:iCs/>
          <w:szCs w:val="24"/>
        </w:rPr>
        <w:t>Методы профилактики ранних осложнений</w:t>
      </w:r>
    </w:p>
    <w:p w14:paraId="4C19AA40" w14:textId="77777777" w:rsidR="008139EA" w:rsidRPr="00952000" w:rsidRDefault="008139EA" w:rsidP="00C5490F">
      <w:pPr>
        <w:pStyle w:val="afe"/>
        <w:numPr>
          <w:ilvl w:val="0"/>
          <w:numId w:val="79"/>
        </w:numPr>
        <w:tabs>
          <w:tab w:val="left" w:pos="709"/>
        </w:tabs>
        <w:ind w:left="709"/>
        <w:rPr>
          <w:rFonts w:cs="Times New Roman"/>
          <w:szCs w:val="24"/>
        </w:rPr>
      </w:pPr>
      <w:r w:rsidRPr="00952000">
        <w:rPr>
          <w:rFonts w:cs="Times New Roman"/>
          <w:szCs w:val="24"/>
        </w:rPr>
        <w:t>Ультразвуковое сопровождение катетеризации центральных вен</w:t>
      </w:r>
    </w:p>
    <w:p w14:paraId="0FA53EA2" w14:textId="77777777" w:rsidR="008139EA" w:rsidRPr="00952000" w:rsidRDefault="008139EA" w:rsidP="008139EA">
      <w:pPr>
        <w:ind w:firstLine="708"/>
        <w:rPr>
          <w:rFonts w:cs="Times New Roman"/>
          <w:strike/>
          <w:szCs w:val="24"/>
        </w:rPr>
      </w:pPr>
      <w:r w:rsidRPr="00952000">
        <w:rPr>
          <w:rFonts w:cs="Times New Roman"/>
          <w:szCs w:val="24"/>
        </w:rPr>
        <w:t>С использованием линейного датчика 10 МГц, который обеспечивает поверхность сканирования 20-50 мм и глубину до 80 мм или в допплеровском режиме.</w:t>
      </w:r>
    </w:p>
    <w:p w14:paraId="5160771C" w14:textId="77777777" w:rsidR="008139EA" w:rsidRPr="00952000" w:rsidRDefault="008139EA" w:rsidP="008139EA">
      <w:pPr>
        <w:ind w:firstLine="708"/>
        <w:rPr>
          <w:rFonts w:cs="Times New Roman"/>
          <w:szCs w:val="24"/>
        </w:rPr>
      </w:pPr>
      <w:r w:rsidRPr="00952000">
        <w:rPr>
          <w:rFonts w:cs="Times New Roman"/>
          <w:szCs w:val="24"/>
        </w:rPr>
        <w:t>Пункцию вены осуществляют в режиме постоянной визуализации острия иглы.</w:t>
      </w:r>
    </w:p>
    <w:p w14:paraId="7CC65817" w14:textId="77777777" w:rsidR="008139EA" w:rsidRPr="00952000" w:rsidRDefault="008139EA" w:rsidP="008139EA">
      <w:pPr>
        <w:ind w:firstLine="708"/>
        <w:rPr>
          <w:rFonts w:cs="Times New Roman"/>
          <w:szCs w:val="24"/>
        </w:rPr>
      </w:pPr>
      <w:r w:rsidRPr="00952000">
        <w:rPr>
          <w:rFonts w:cs="Times New Roman"/>
          <w:szCs w:val="24"/>
        </w:rPr>
        <w:t xml:space="preserve">Нарушения гемостаза компенсируются с помощью заместительной терапии компонентами крови. </w:t>
      </w:r>
    </w:p>
    <w:p w14:paraId="602E7246" w14:textId="77777777" w:rsidR="008139EA" w:rsidRPr="00952000" w:rsidRDefault="008139EA" w:rsidP="008139EA">
      <w:pPr>
        <w:ind w:firstLine="708"/>
        <w:rPr>
          <w:rFonts w:eastAsia="ＭＳ 明朝 (Основной текст темы (ази" w:cs="Times New Roman"/>
          <w:szCs w:val="24"/>
          <w:lang w:eastAsia="ru-RU"/>
        </w:rPr>
      </w:pPr>
      <w:r w:rsidRPr="00952000">
        <w:rPr>
          <w:rFonts w:cs="Times New Roman"/>
          <w:szCs w:val="24"/>
        </w:rPr>
        <w:t>Трансфузию концентратов тромбоцитов выполняют при снижении их концентрации в периферической крови ниже 20х10</w:t>
      </w:r>
      <w:r w:rsidRPr="00952000">
        <w:rPr>
          <w:rFonts w:cs="Times New Roman"/>
          <w:szCs w:val="24"/>
          <w:vertAlign w:val="superscript"/>
        </w:rPr>
        <w:t>9</w:t>
      </w:r>
      <w:r w:rsidRPr="00952000">
        <w:rPr>
          <w:rFonts w:cs="Times New Roman"/>
          <w:szCs w:val="24"/>
        </w:rPr>
        <w:t xml:space="preserve">/л </w:t>
      </w:r>
      <w:r w:rsidRPr="00952000">
        <w:rPr>
          <w:rFonts w:eastAsia="ＭＳ 明朝 (Основной текст темы (ази" w:cs="Times New Roman"/>
          <w:szCs w:val="24"/>
          <w:lang w:eastAsia="ru-RU"/>
        </w:rPr>
        <w:t>из расчета 1 ед. или 0,6х10</w:t>
      </w:r>
      <w:r w:rsidRPr="00952000">
        <w:rPr>
          <w:rFonts w:eastAsia="ＭＳ 明朝 (Основной текст темы (ази" w:cs="Times New Roman"/>
          <w:szCs w:val="24"/>
          <w:vertAlign w:val="superscript"/>
          <w:lang w:eastAsia="ru-RU"/>
        </w:rPr>
        <w:t>11</w:t>
      </w:r>
      <w:r w:rsidRPr="00952000">
        <w:rPr>
          <w:rFonts w:eastAsia="ＭＳ 明朝 (Основной текст темы (ази" w:cs="Times New Roman"/>
          <w:szCs w:val="24"/>
          <w:lang w:eastAsia="ru-RU"/>
        </w:rPr>
        <w:t xml:space="preserve"> клеток на 10 кг массы тела либо 1 терапевтическая доза (2х10</w:t>
      </w:r>
      <w:r w:rsidRPr="00952000">
        <w:rPr>
          <w:rFonts w:eastAsia="ＭＳ 明朝 (Основной текст темы (ази" w:cs="Times New Roman"/>
          <w:szCs w:val="24"/>
          <w:vertAlign w:val="superscript"/>
          <w:lang w:eastAsia="ru-RU"/>
        </w:rPr>
        <w:t>11</w:t>
      </w:r>
      <w:r w:rsidRPr="00952000">
        <w:rPr>
          <w:rFonts w:eastAsia="ＭＳ 明朝 (Основной текст темы (ази" w:cs="Times New Roman"/>
          <w:szCs w:val="24"/>
          <w:lang w:eastAsia="ru-RU"/>
        </w:rPr>
        <w:t xml:space="preserve"> клеток) на 1 м</w:t>
      </w:r>
      <w:r w:rsidRPr="00952000">
        <w:rPr>
          <w:rFonts w:eastAsia="ＭＳ 明朝 (Основной текст темы (ази" w:cs="Times New Roman"/>
          <w:szCs w:val="24"/>
          <w:vertAlign w:val="superscript"/>
          <w:lang w:eastAsia="ru-RU"/>
        </w:rPr>
        <w:t>2</w:t>
      </w:r>
      <w:r w:rsidRPr="00952000">
        <w:rPr>
          <w:rFonts w:eastAsia="ＭＳ 明朝 (Основной текст темы (ази" w:cs="Times New Roman"/>
          <w:szCs w:val="24"/>
          <w:lang w:eastAsia="ru-RU"/>
        </w:rPr>
        <w:t xml:space="preserve"> поверхности тела.</w:t>
      </w:r>
    </w:p>
    <w:p w14:paraId="70E2D473" w14:textId="77777777" w:rsidR="008139EA" w:rsidRPr="00952000" w:rsidRDefault="008139EA" w:rsidP="008139EA">
      <w:pPr>
        <w:ind w:firstLine="708"/>
        <w:rPr>
          <w:rFonts w:cs="Times New Roman"/>
          <w:szCs w:val="24"/>
        </w:rPr>
      </w:pPr>
      <w:r w:rsidRPr="00952000">
        <w:rPr>
          <w:rFonts w:eastAsia="ＭＳ 明朝 (Основной текст темы (ази" w:cs="Times New Roman"/>
          <w:szCs w:val="24"/>
          <w:lang w:eastAsia="ru-RU"/>
        </w:rPr>
        <w:t>Трансфузии</w:t>
      </w:r>
      <w:r w:rsidRPr="00952000">
        <w:rPr>
          <w:rFonts w:cs="Times New Roman"/>
          <w:szCs w:val="24"/>
        </w:rPr>
        <w:t xml:space="preserve"> криопреципитата выполняют при снижении концентрации фибриногена плазмы &lt;1,5 г/л из расчета 1 доза на 5 кг массы тела больного.</w:t>
      </w:r>
    </w:p>
    <w:p w14:paraId="48FD24A1" w14:textId="77777777" w:rsidR="008139EA" w:rsidRPr="00952000" w:rsidRDefault="008139EA" w:rsidP="008139EA">
      <w:pPr>
        <w:ind w:firstLine="708"/>
        <w:rPr>
          <w:rFonts w:eastAsia="ＭＳ 明朝 (Основной текст темы (ази" w:cs="Times New Roman"/>
          <w:szCs w:val="24"/>
          <w:lang w:eastAsia="ru-RU"/>
        </w:rPr>
      </w:pPr>
      <w:r w:rsidRPr="00952000">
        <w:rPr>
          <w:rFonts w:cs="Times New Roman"/>
          <w:szCs w:val="24"/>
        </w:rPr>
        <w:t>Трансфузии свежезамороженной плазмы проводят для коррекции дефицита факторов свертывания в дозе 10-15 мл/кг для обеспечения концентрации факторов свёртывания на уровне 30%.</w:t>
      </w:r>
    </w:p>
    <w:p w14:paraId="32732136" w14:textId="74CEC3F6" w:rsidR="008139EA" w:rsidRPr="00952000" w:rsidRDefault="008139EA" w:rsidP="008139EA">
      <w:pPr>
        <w:ind w:firstLine="709"/>
        <w:rPr>
          <w:rFonts w:cs="Times New Roman"/>
          <w:szCs w:val="24"/>
        </w:rPr>
      </w:pPr>
      <w:r w:rsidRPr="00952000">
        <w:rPr>
          <w:rFonts w:cs="Times New Roman"/>
          <w:szCs w:val="24"/>
        </w:rPr>
        <w:t xml:space="preserve">У больных гемофилией расчет дозы концентрата дефицитного фактора свертывания проводят по формулам </w:t>
      </w:r>
      <w:r w:rsidRPr="00952000">
        <w:rPr>
          <w:rFonts w:cs="Times New Roman"/>
          <w:szCs w:val="24"/>
        </w:rPr>
        <w:fldChar w:fldCharType="begin" w:fldLock="1"/>
      </w:r>
      <w:r>
        <w:rPr>
          <w:rFonts w:cs="Times New Roman"/>
          <w:szCs w:val="24"/>
        </w:rPr>
        <w:instrText>ADDIN CSL_CITATION {"citationItems":[{"id":"ITEM-1","itemData":{"author":[{"dropping-particle":"","family":"Зозуля","given":"Н.И.","non-dropping-particle":"","parse-names":false,"suffix":""},{"dropping-particle":"","family":"Кумскова","given":"М.А.","non-dropping-particle":"","parse-names":false,"suffix":""}],"container-title":"Алгоритмы диагностики и протоколы лечения заболеваний системы крови. Том 1.","edition":"Практика","editor":[{"dropping-particle":"","family":"Савченко","given":"В.Г.","non-dropping-particle":"","parse-names":false,"suffix":""}],"id":"ITEM-1","issued":{"date-parts":[["2018"]]},"page":"333-358","publisher-place":"Москва","title":"Протокол диагностики и лечения гемофилии.","type":"chapter"},"uris":["http://www.mendeley.com/documents/?uuid=0f5fa306-495f-47fd-a308-cb7187da6dc9","http://www.mendeley.com/documents/?uuid=401a8177-eb94-4a41-8d27-6243609619c9"]}],"mendeley":{"formattedCitation":"[153]","plainTextFormattedCitation":"[153]","previouslyFormattedCitation":"[153]"},"properties":{"noteIndex":0},"schema":"https://github.com/citation-style-language/schema/raw/master/csl-citation.json"}</w:instrText>
      </w:r>
      <w:r w:rsidRPr="00952000">
        <w:rPr>
          <w:rFonts w:cs="Times New Roman"/>
          <w:szCs w:val="24"/>
        </w:rPr>
        <w:fldChar w:fldCharType="separate"/>
      </w:r>
      <w:r w:rsidRPr="008139EA">
        <w:rPr>
          <w:rFonts w:cs="Times New Roman"/>
          <w:noProof/>
          <w:szCs w:val="24"/>
        </w:rPr>
        <w:t>[153]</w:t>
      </w:r>
      <w:r w:rsidRPr="00952000">
        <w:rPr>
          <w:rFonts w:cs="Times New Roman"/>
          <w:szCs w:val="24"/>
        </w:rPr>
        <w:fldChar w:fldCharType="end"/>
      </w:r>
      <w:r w:rsidRPr="00952000">
        <w:rPr>
          <w:rFonts w:cs="Times New Roman"/>
          <w:szCs w:val="24"/>
        </w:rPr>
        <w:t>:</w:t>
      </w:r>
    </w:p>
    <w:p w14:paraId="05CDDD9A" w14:textId="77777777" w:rsidR="008139EA" w:rsidRPr="00952000" w:rsidRDefault="008139EA" w:rsidP="00C5490F">
      <w:pPr>
        <w:pStyle w:val="afe"/>
        <w:numPr>
          <w:ilvl w:val="0"/>
          <w:numId w:val="75"/>
        </w:numPr>
        <w:rPr>
          <w:rFonts w:cs="Times New Roman"/>
          <w:szCs w:val="24"/>
        </w:rPr>
      </w:pPr>
      <w:r w:rsidRPr="00952000">
        <w:rPr>
          <w:rFonts w:cs="Times New Roman"/>
          <w:szCs w:val="24"/>
        </w:rPr>
        <w:t>FVIII: доза (МЕ) = масса тела (кг) х (требуемая активность (не менее 70%) – базальная активность) х 0,5,</w:t>
      </w:r>
    </w:p>
    <w:p w14:paraId="45BB0D46" w14:textId="77777777" w:rsidR="008139EA" w:rsidRPr="00952000" w:rsidRDefault="008139EA" w:rsidP="00C5490F">
      <w:pPr>
        <w:pStyle w:val="afe"/>
        <w:numPr>
          <w:ilvl w:val="0"/>
          <w:numId w:val="75"/>
        </w:numPr>
        <w:rPr>
          <w:rFonts w:cs="Times New Roman"/>
          <w:szCs w:val="24"/>
        </w:rPr>
      </w:pPr>
      <w:r w:rsidRPr="00952000">
        <w:rPr>
          <w:rFonts w:cs="Times New Roman"/>
          <w:szCs w:val="24"/>
        </w:rPr>
        <w:t>FIX: доза (МЕ) = масса тела (кг) х (требуемая активность (не менее 70%) – базальная активность).</w:t>
      </w:r>
    </w:p>
    <w:p w14:paraId="33F91657" w14:textId="257E0DA4" w:rsidR="008139EA" w:rsidRPr="00952000" w:rsidRDefault="008139EA" w:rsidP="008139EA">
      <w:pPr>
        <w:ind w:firstLine="360"/>
        <w:rPr>
          <w:rFonts w:cs="Times New Roman"/>
          <w:szCs w:val="24"/>
        </w:rPr>
      </w:pPr>
      <w:r w:rsidRPr="00952000">
        <w:rPr>
          <w:rFonts w:cs="Times New Roman"/>
          <w:szCs w:val="24"/>
        </w:rPr>
        <w:t xml:space="preserve">При применении противоингибиторного коагулянтного комплекса дозу препарата рассчитывают исходя из потребности в 50-100 МЕ/кг </w:t>
      </w:r>
      <w:r w:rsidRPr="00952000">
        <w:rPr>
          <w:rFonts w:cs="Times New Roman"/>
          <w:szCs w:val="24"/>
        </w:rPr>
        <w:fldChar w:fldCharType="begin" w:fldLock="1"/>
      </w:r>
      <w:r>
        <w:rPr>
          <w:rFonts w:cs="Times New Roman"/>
          <w:szCs w:val="24"/>
        </w:rPr>
        <w:instrText>ADDIN CSL_CITATION {"citationItems":[{"id":"ITEM-1","itemData":{"author":[{"dropping-particle":"","family":"Галстян","given":"Г.М.","non-dropping-particle":"","parse-names":false,"suffix":""}],"container-title":"Гематология и трансфузиология.","id":"ITEM-1","issue":"2","issued":{"date-parts":[["2012"]]},"page":"7 - 21","title":"НАРУШЕНИЯ ГЕМОСТАЗА, ОБУСЛОВЛЕННЫЕ ДЕФИЦИТОМ ВИТАМИН К-ЗАВИСИМЫХ ФАКТОРОВ СВЕРТЫВАНИЯ КРОВИ — ПАТОГЕНЕЗ, СПОСОБЫ КОРРЕКЦИИ И РЕКОМЕНДАЦИИ ПО ЛЕЧЕНИЮ.","type":"article-journal","volume":"27"},"uris":["http://www.mendeley.com/documents/?uuid=52f305ab-0108-47a6-9673-c9e5246a7900","http://www.mendeley.com/documents/?uuid=e948cfe1-2831-4737-b489-e36df40a40f3"]}],"mendeley":{"formattedCitation":"[154]","plainTextFormattedCitation":"[154]","previouslyFormattedCitation":"[154]"},"properties":{"noteIndex":0},"schema":"https://github.com/citation-style-language/schema/raw/master/csl-citation.json"}</w:instrText>
      </w:r>
      <w:r w:rsidRPr="00952000">
        <w:rPr>
          <w:rFonts w:cs="Times New Roman"/>
          <w:szCs w:val="24"/>
        </w:rPr>
        <w:fldChar w:fldCharType="separate"/>
      </w:r>
      <w:r w:rsidRPr="008139EA">
        <w:rPr>
          <w:rFonts w:cs="Times New Roman"/>
          <w:noProof/>
          <w:szCs w:val="24"/>
        </w:rPr>
        <w:t>[154]</w:t>
      </w:r>
      <w:r w:rsidRPr="00952000">
        <w:rPr>
          <w:rFonts w:cs="Times New Roman"/>
          <w:szCs w:val="24"/>
        </w:rPr>
        <w:fldChar w:fldCharType="end"/>
      </w:r>
      <w:r w:rsidRPr="00952000">
        <w:rPr>
          <w:rFonts w:cs="Times New Roman"/>
          <w:szCs w:val="24"/>
        </w:rPr>
        <w:t xml:space="preserve"> для однократного применения.</w:t>
      </w:r>
    </w:p>
    <w:p w14:paraId="75DACE43" w14:textId="77777777" w:rsidR="008139EA" w:rsidRPr="00952000" w:rsidRDefault="008139EA" w:rsidP="008139EA">
      <w:pPr>
        <w:ind w:firstLine="360"/>
        <w:rPr>
          <w:rFonts w:cs="Times New Roman"/>
          <w:szCs w:val="24"/>
        </w:rPr>
      </w:pPr>
      <w:r w:rsidRPr="00952000">
        <w:rPr>
          <w:rFonts w:cs="Times New Roman"/>
          <w:szCs w:val="24"/>
        </w:rPr>
        <w:t>Препараты рекомбинантного активированного фактора свертывания VII (rFVIIa) вводят в дозе 120 мг/кг однократно, после процедуры, в случаях неэффективности предшествующих мероприятий.</w:t>
      </w:r>
    </w:p>
    <w:p w14:paraId="6627C531" w14:textId="77777777" w:rsidR="008139EA" w:rsidRPr="00952000" w:rsidRDefault="008139EA" w:rsidP="008139EA">
      <w:pPr>
        <w:pStyle w:val="Default"/>
        <w:spacing w:line="360" w:lineRule="auto"/>
        <w:ind w:firstLine="709"/>
        <w:jc w:val="both"/>
        <w:rPr>
          <w:color w:val="auto"/>
        </w:rPr>
      </w:pPr>
      <w:r w:rsidRPr="00952000">
        <w:rPr>
          <w:color w:val="auto"/>
        </w:rPr>
        <w:t>Хотя безопасным уровнем для катетеризации мы считаем количество тромбоцитов крови более 20 х 10</w:t>
      </w:r>
      <w:r w:rsidRPr="00952000">
        <w:rPr>
          <w:color w:val="auto"/>
          <w:vertAlign w:val="superscript"/>
        </w:rPr>
        <w:t>9</w:t>
      </w:r>
      <w:r w:rsidRPr="00952000">
        <w:rPr>
          <w:color w:val="auto"/>
        </w:rPr>
        <w:t>/л, у ряда пациентов достичь этого порогового уровня не удается вследствие различных причин, например, рефрактерность к трансфузиям. В этих случаях катетеризация центральной вены проводится только  под контролем ультразвука.</w:t>
      </w:r>
    </w:p>
    <w:p w14:paraId="1EC4D586" w14:textId="77777777" w:rsidR="008139EA" w:rsidRDefault="008139EA" w:rsidP="008139EA">
      <w:pPr>
        <w:ind w:firstLine="708"/>
        <w:rPr>
          <w:rFonts w:cs="Times New Roman"/>
          <w:b/>
          <w:bCs/>
          <w:szCs w:val="24"/>
        </w:rPr>
      </w:pPr>
    </w:p>
    <w:p w14:paraId="00403EAA" w14:textId="77777777" w:rsidR="008139EA" w:rsidRPr="009F4EC0" w:rsidRDefault="008139EA" w:rsidP="008139EA">
      <w:pPr>
        <w:ind w:firstLine="708"/>
        <w:rPr>
          <w:rFonts w:cs="Times New Roman"/>
          <w:i/>
          <w:iCs/>
          <w:szCs w:val="24"/>
        </w:rPr>
      </w:pPr>
      <w:r w:rsidRPr="009F4EC0">
        <w:rPr>
          <w:rFonts w:cs="Times New Roman"/>
          <w:i/>
          <w:iCs/>
          <w:szCs w:val="24"/>
        </w:rPr>
        <w:t>Методы профилактики поздних осложнений</w:t>
      </w:r>
    </w:p>
    <w:p w14:paraId="3BB0B016" w14:textId="77777777" w:rsidR="008139EA" w:rsidRPr="00952000" w:rsidRDefault="008139EA" w:rsidP="008139EA">
      <w:pPr>
        <w:ind w:firstLine="708"/>
        <w:rPr>
          <w:rFonts w:cs="Times New Roman"/>
          <w:szCs w:val="24"/>
        </w:rPr>
      </w:pPr>
      <w:r w:rsidRPr="00952000">
        <w:rPr>
          <w:rFonts w:cs="Times New Roman"/>
          <w:szCs w:val="24"/>
        </w:rPr>
        <w:t xml:space="preserve">После окончания использования все катетеры должны быть промыты соответствующим объемом физиологического раствора (табл. 1), а затем закрыты с помощью раствора, создающего «катетерный замок» также в соответствии с объемом катетера. На короткий срок (1-2 сут.) может быть использован «гепариновый замок» (гепарин в физиологическом растворе в концентрации 100 Ед/мл), при закрытии катетера на длительный срок, а также при высоком риске инфицирования катетера предпочтительным является использование раствора Тауролока. </w:t>
      </w:r>
    </w:p>
    <w:p w14:paraId="04601BE8" w14:textId="77777777" w:rsidR="008139EA" w:rsidRPr="00952000" w:rsidRDefault="008139EA" w:rsidP="008139EA">
      <w:pPr>
        <w:ind w:firstLine="708"/>
        <w:rPr>
          <w:rFonts w:eastAsia="ＭＳ 明朝 (Основной текст темы (ази" w:cs="Times New Roman"/>
          <w:szCs w:val="24"/>
        </w:rPr>
      </w:pPr>
      <w:r w:rsidRPr="00952000">
        <w:rPr>
          <w:rFonts w:eastAsia="ＭＳ 明朝 (Основной текст темы (ази" w:cs="Times New Roman"/>
          <w:szCs w:val="24"/>
        </w:rPr>
        <w:t>В случае перерывов в лечении катетер необходимо промывать 1 раз в 24 часа для нетуннелируемых ЦВК, 1 раз в 7 (10) дней для ПИЦВК и туннелируемых катетеров, 1 раз в 30 дней для порт-систем.</w:t>
      </w:r>
    </w:p>
    <w:p w14:paraId="761B41F5" w14:textId="77777777" w:rsidR="008139EA" w:rsidRPr="009F4EC0" w:rsidRDefault="008139EA" w:rsidP="008139EA">
      <w:pPr>
        <w:ind w:firstLine="708"/>
        <w:rPr>
          <w:rFonts w:cs="Times New Roman"/>
          <w:szCs w:val="24"/>
        </w:rPr>
      </w:pPr>
      <w:r w:rsidRPr="00952000">
        <w:rPr>
          <w:rFonts w:eastAsia="ＭＳ 明朝 (Основной текст темы (ази" w:cs="Times New Roman"/>
          <w:szCs w:val="24"/>
        </w:rPr>
        <w:t xml:space="preserve">Асептическая повязка накладывается на место выхода катетера на кожу. Частота замены повязки с обязательной обработкой места выхода катетера, в соответствии с общими </w:t>
      </w:r>
      <w:r w:rsidRPr="009F4EC0">
        <w:rPr>
          <w:rFonts w:eastAsia="ＭＳ 明朝 (Основной текст темы (ази" w:cs="Times New Roman"/>
          <w:szCs w:val="24"/>
        </w:rPr>
        <w:t>принципами хирургической обработки, 2 раза в неделю при использовании нетуннелируемых катетеров, 1 раз в неделю для туннелируемых катетеров и ПИЦВК, и при необходимости (таб.1). Предпочтительно использовать прозрачные повязки для возможности ежедневной оценки кожи в месте установки катетера на наличие воспалительных изменений.</w:t>
      </w:r>
    </w:p>
    <w:p w14:paraId="0EBE5A6E" w14:textId="77777777" w:rsidR="008139EA" w:rsidRPr="00952000" w:rsidRDefault="008139EA" w:rsidP="008139EA">
      <w:pPr>
        <w:ind w:firstLine="708"/>
        <w:rPr>
          <w:rFonts w:cs="Times New Roman"/>
          <w:szCs w:val="24"/>
        </w:rPr>
      </w:pPr>
      <w:r w:rsidRPr="009F4EC0">
        <w:rPr>
          <w:rFonts w:cs="Times New Roman"/>
          <w:szCs w:val="24"/>
        </w:rPr>
        <w:t>Таблица 1. Режимы промы</w:t>
      </w:r>
      <w:r w:rsidRPr="00952000">
        <w:rPr>
          <w:rFonts w:cs="Times New Roman"/>
          <w:szCs w:val="24"/>
        </w:rPr>
        <w:t>вания и закрытия катетеров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991"/>
        <w:gridCol w:w="6294"/>
      </w:tblGrid>
      <w:tr w:rsidR="008139EA" w:rsidRPr="00952000" w14:paraId="0376D501" w14:textId="77777777" w:rsidTr="00DE462A">
        <w:trPr>
          <w:cantSplit/>
          <w:trHeight w:val="2220"/>
        </w:trPr>
        <w:tc>
          <w:tcPr>
            <w:tcW w:w="534" w:type="dxa"/>
            <w:vMerge w:val="restart"/>
            <w:textDirection w:val="btLr"/>
          </w:tcPr>
          <w:p w14:paraId="379FDC58" w14:textId="77777777" w:rsidR="008139EA" w:rsidRPr="00952000" w:rsidRDefault="008139EA" w:rsidP="00DE462A">
            <w:pPr>
              <w:ind w:left="113" w:right="113"/>
              <w:rPr>
                <w:rFonts w:eastAsia="ＭＳ 明朝 (Основной текст темы (ази" w:cs="Times New Roman"/>
                <w:szCs w:val="24"/>
              </w:rPr>
            </w:pPr>
            <w:r w:rsidRPr="00952000">
              <w:rPr>
                <w:rFonts w:eastAsia="ＭＳ 明朝 (Основной текст темы (ази" w:cs="Times New Roman"/>
                <w:szCs w:val="24"/>
              </w:rPr>
              <w:t>Промывание катетера</w:t>
            </w:r>
          </w:p>
        </w:tc>
        <w:tc>
          <w:tcPr>
            <w:tcW w:w="2011" w:type="dxa"/>
            <w:shd w:val="clear" w:color="auto" w:fill="auto"/>
          </w:tcPr>
          <w:p w14:paraId="0AD4E028" w14:textId="77777777" w:rsidR="008139EA" w:rsidRPr="00952000" w:rsidRDefault="008139EA" w:rsidP="00DE462A">
            <w:pPr>
              <w:rPr>
                <w:rFonts w:eastAsia="ＭＳ 明朝 (Основной текст темы (ази" w:cs="Times New Roman"/>
                <w:szCs w:val="24"/>
              </w:rPr>
            </w:pPr>
            <w:r w:rsidRPr="00952000">
              <w:rPr>
                <w:rFonts w:eastAsia="ＭＳ 明朝 (Основной текст темы (ази" w:cs="Times New Roman"/>
                <w:szCs w:val="24"/>
              </w:rPr>
              <w:t>Введение препаратов</w:t>
            </w:r>
          </w:p>
        </w:tc>
        <w:tc>
          <w:tcPr>
            <w:tcW w:w="7026" w:type="dxa"/>
            <w:shd w:val="clear" w:color="auto" w:fill="auto"/>
          </w:tcPr>
          <w:p w14:paraId="23A81D40" w14:textId="77777777" w:rsidR="008139EA" w:rsidRPr="00952000" w:rsidRDefault="008139EA" w:rsidP="00DE462A">
            <w:pPr>
              <w:rPr>
                <w:rFonts w:eastAsia="ＭＳ 明朝 (Основной текст темы (ази" w:cs="Times New Roman"/>
                <w:szCs w:val="24"/>
              </w:rPr>
            </w:pPr>
            <w:r w:rsidRPr="00952000">
              <w:rPr>
                <w:rFonts w:eastAsia="ＭＳ 明朝 (Основной текст темы (ази" w:cs="Times New Roman"/>
                <w:szCs w:val="24"/>
              </w:rPr>
              <w:t xml:space="preserve">Промывать катетеры необходимо до и после введения лекарственных препаратов и компонентов крови. Использовать болюсное (импульсный режим) промывание 10 мл физиологического раствора для всех внутривенных катетеров (за исключением периферических катетеров, где достаточно 5 мл). </w:t>
            </w:r>
          </w:p>
        </w:tc>
      </w:tr>
      <w:tr w:rsidR="008139EA" w:rsidRPr="00952000" w14:paraId="78755852" w14:textId="77777777" w:rsidTr="00DE462A">
        <w:trPr>
          <w:cantSplit/>
          <w:trHeight w:val="1920"/>
        </w:trPr>
        <w:tc>
          <w:tcPr>
            <w:tcW w:w="534" w:type="dxa"/>
            <w:vMerge/>
            <w:textDirection w:val="btLr"/>
          </w:tcPr>
          <w:p w14:paraId="00D6360C" w14:textId="77777777" w:rsidR="008139EA" w:rsidRPr="00952000" w:rsidRDefault="008139EA" w:rsidP="00DE462A">
            <w:pPr>
              <w:ind w:left="113" w:right="113"/>
              <w:rPr>
                <w:rFonts w:eastAsia="ＭＳ 明朝 (Основной текст темы (ази" w:cs="Times New Roman"/>
                <w:szCs w:val="24"/>
              </w:rPr>
            </w:pPr>
          </w:p>
        </w:tc>
        <w:tc>
          <w:tcPr>
            <w:tcW w:w="2011" w:type="dxa"/>
            <w:shd w:val="clear" w:color="auto" w:fill="auto"/>
          </w:tcPr>
          <w:p w14:paraId="34E4240E" w14:textId="77777777" w:rsidR="008139EA" w:rsidRPr="00952000" w:rsidRDefault="008139EA" w:rsidP="00DE462A">
            <w:pPr>
              <w:rPr>
                <w:rFonts w:eastAsia="ＭＳ 明朝 (Основной текст темы (ази" w:cs="Times New Roman"/>
                <w:szCs w:val="24"/>
              </w:rPr>
            </w:pPr>
            <w:r w:rsidRPr="00952000">
              <w:rPr>
                <w:rFonts w:eastAsia="ＭＳ 明朝 (Основной текст темы (ази" w:cs="Times New Roman"/>
                <w:szCs w:val="24"/>
              </w:rPr>
              <w:t>Парентеральное питание, компоненты крови</w:t>
            </w:r>
          </w:p>
        </w:tc>
        <w:tc>
          <w:tcPr>
            <w:tcW w:w="7026" w:type="dxa"/>
            <w:shd w:val="clear" w:color="auto" w:fill="auto"/>
          </w:tcPr>
          <w:p w14:paraId="2F4801AF" w14:textId="77777777" w:rsidR="008139EA" w:rsidRPr="00952000" w:rsidRDefault="008139EA" w:rsidP="00DE462A">
            <w:pPr>
              <w:rPr>
                <w:rFonts w:eastAsia="ＭＳ 明朝 (Основной текст темы (ази" w:cs="Times New Roman"/>
                <w:szCs w:val="24"/>
              </w:rPr>
            </w:pPr>
            <w:r w:rsidRPr="00952000">
              <w:rPr>
                <w:rFonts w:eastAsia="ＭＳ 明朝 (Основной текст темы (ази" w:cs="Times New Roman"/>
                <w:szCs w:val="24"/>
              </w:rPr>
              <w:t>После введения в катетер компонентов крови или парентерально питания использовать 20 мл (10 мл х 2) для промывания катетера. Промывать необходимо чередуя импульсный режим и струйное болюсное введение.</w:t>
            </w:r>
          </w:p>
        </w:tc>
      </w:tr>
      <w:tr w:rsidR="008139EA" w:rsidRPr="00952000" w14:paraId="311513FE" w14:textId="77777777" w:rsidTr="00DE462A">
        <w:trPr>
          <w:cantSplit/>
          <w:trHeight w:val="1134"/>
        </w:trPr>
        <w:tc>
          <w:tcPr>
            <w:tcW w:w="534" w:type="dxa"/>
            <w:vMerge w:val="restart"/>
            <w:textDirection w:val="btLr"/>
          </w:tcPr>
          <w:p w14:paraId="48CA3DC2" w14:textId="77777777" w:rsidR="008139EA" w:rsidRPr="00952000" w:rsidRDefault="008139EA" w:rsidP="00DE462A">
            <w:pPr>
              <w:ind w:left="113" w:right="113"/>
              <w:rPr>
                <w:rFonts w:eastAsia="ＭＳ 明朝 (Основной текст темы (ази" w:cs="Times New Roman"/>
                <w:szCs w:val="24"/>
              </w:rPr>
            </w:pPr>
            <w:r w:rsidRPr="00952000">
              <w:rPr>
                <w:rFonts w:eastAsia="ＭＳ 明朝 (Основной текст темы (ази" w:cs="Times New Roman"/>
                <w:szCs w:val="24"/>
              </w:rPr>
              <w:t>Закрытие катетера</w:t>
            </w:r>
          </w:p>
        </w:tc>
        <w:tc>
          <w:tcPr>
            <w:tcW w:w="2011" w:type="dxa"/>
            <w:shd w:val="clear" w:color="auto" w:fill="auto"/>
          </w:tcPr>
          <w:p w14:paraId="11B0165E" w14:textId="77777777" w:rsidR="008139EA" w:rsidRPr="00952000" w:rsidRDefault="008139EA" w:rsidP="00DE462A">
            <w:pPr>
              <w:rPr>
                <w:rFonts w:eastAsia="ＭＳ 明朝 (Основной текст темы (ази" w:cs="Times New Roman"/>
                <w:szCs w:val="24"/>
              </w:rPr>
            </w:pPr>
            <w:r w:rsidRPr="00952000">
              <w:rPr>
                <w:rFonts w:eastAsia="ＭＳ 明朝 (Основной текст темы (ази" w:cs="Times New Roman"/>
                <w:szCs w:val="24"/>
              </w:rPr>
              <w:t xml:space="preserve">Объем </w:t>
            </w:r>
          </w:p>
        </w:tc>
        <w:tc>
          <w:tcPr>
            <w:tcW w:w="7026" w:type="dxa"/>
            <w:shd w:val="clear" w:color="auto" w:fill="auto"/>
          </w:tcPr>
          <w:p w14:paraId="2B56D44A" w14:textId="77777777" w:rsidR="008139EA" w:rsidRPr="00952000" w:rsidRDefault="008139EA" w:rsidP="00DE462A">
            <w:pPr>
              <w:rPr>
                <w:rFonts w:eastAsia="ＭＳ 明朝 (Основной текст темы (ази" w:cs="Times New Roman"/>
                <w:szCs w:val="24"/>
              </w:rPr>
            </w:pPr>
            <w:r w:rsidRPr="00952000">
              <w:rPr>
                <w:rFonts w:eastAsia="ＭＳ 明朝 (Основной текст темы (ази" w:cs="Times New Roman"/>
                <w:szCs w:val="24"/>
              </w:rPr>
              <w:t>1 мл для периферических катетеров</w:t>
            </w:r>
          </w:p>
          <w:p w14:paraId="3D1AE0F1" w14:textId="77777777" w:rsidR="008139EA" w:rsidRPr="00952000" w:rsidRDefault="008139EA" w:rsidP="00DE462A">
            <w:pPr>
              <w:rPr>
                <w:rFonts w:eastAsia="ＭＳ 明朝 (Основной текст темы (ази" w:cs="Times New Roman"/>
                <w:szCs w:val="24"/>
              </w:rPr>
            </w:pPr>
            <w:r w:rsidRPr="00952000">
              <w:rPr>
                <w:rFonts w:eastAsia="ＭＳ 明朝 (Основной текст темы (ази" w:cs="Times New Roman"/>
                <w:szCs w:val="24"/>
              </w:rPr>
              <w:t xml:space="preserve">1,5 мл для катетеров типа </w:t>
            </w:r>
            <w:r w:rsidRPr="00952000">
              <w:rPr>
                <w:rFonts w:eastAsia="ＭＳ 明朝 (Основной текст темы (ази" w:cs="Times New Roman"/>
                <w:szCs w:val="24"/>
                <w:lang w:val="en-US"/>
              </w:rPr>
              <w:t>MidLine</w:t>
            </w:r>
            <w:r w:rsidRPr="00952000">
              <w:rPr>
                <w:rFonts w:eastAsia="ＭＳ 明朝 (Основной текст темы (ази" w:cs="Times New Roman"/>
                <w:szCs w:val="24"/>
              </w:rPr>
              <w:t>, ПИЦВК, нетуннелируемых ЦВК и туннелируемых ЦВК с небольшим (</w:t>
            </w:r>
            <w:r w:rsidRPr="00952000">
              <w:rPr>
                <w:rFonts w:eastAsia="MS Gothic" w:cs="Times New Roman"/>
                <w:szCs w:val="24"/>
              </w:rPr>
              <w:t>≤1 мм)</w:t>
            </w:r>
            <w:r w:rsidRPr="00952000">
              <w:rPr>
                <w:rFonts w:eastAsia="ＭＳ 明朝 (Основной текст темы (ази" w:cs="Times New Roman"/>
                <w:szCs w:val="24"/>
              </w:rPr>
              <w:t xml:space="preserve"> внутренним диаметром </w:t>
            </w:r>
          </w:p>
          <w:p w14:paraId="4B345105" w14:textId="77777777" w:rsidR="008139EA" w:rsidRPr="00952000" w:rsidRDefault="008139EA" w:rsidP="00DE462A">
            <w:pPr>
              <w:rPr>
                <w:rFonts w:eastAsia="ＭＳ 明朝 (Основной текст темы (ази" w:cs="Times New Roman"/>
                <w:szCs w:val="24"/>
              </w:rPr>
            </w:pPr>
            <w:r w:rsidRPr="00952000">
              <w:rPr>
                <w:rFonts w:eastAsia="ＭＳ 明朝 (Основной текст темы (ази" w:cs="Times New Roman"/>
                <w:szCs w:val="24"/>
              </w:rPr>
              <w:t>2,0-2,5 мл для туннелируемых ЦВК с большим (≥</w:t>
            </w:r>
            <w:r w:rsidRPr="00952000">
              <w:rPr>
                <w:rFonts w:eastAsia="MS Gothic" w:cs="Times New Roman"/>
                <w:szCs w:val="24"/>
              </w:rPr>
              <w:t>1 мм)</w:t>
            </w:r>
            <w:r w:rsidRPr="00952000">
              <w:rPr>
                <w:rFonts w:eastAsia="ＭＳ 明朝 (Основной текст темы (ази" w:cs="Times New Roman"/>
                <w:szCs w:val="24"/>
              </w:rPr>
              <w:t xml:space="preserve"> внутренним диаметром (в каждый ход), порт систем</w:t>
            </w:r>
          </w:p>
        </w:tc>
      </w:tr>
      <w:tr w:rsidR="008139EA" w:rsidRPr="00952000" w14:paraId="75FECA24" w14:textId="77777777" w:rsidTr="00DE462A">
        <w:trPr>
          <w:cantSplit/>
          <w:trHeight w:val="1134"/>
        </w:trPr>
        <w:tc>
          <w:tcPr>
            <w:tcW w:w="534" w:type="dxa"/>
            <w:vMerge/>
            <w:textDirection w:val="btLr"/>
          </w:tcPr>
          <w:p w14:paraId="10ACD5B0" w14:textId="77777777" w:rsidR="008139EA" w:rsidRPr="00952000" w:rsidRDefault="008139EA" w:rsidP="00DE462A">
            <w:pPr>
              <w:ind w:left="113" w:right="113"/>
              <w:rPr>
                <w:rFonts w:eastAsia="ＭＳ 明朝 (Основной текст темы (ази" w:cs="Times New Roman"/>
                <w:szCs w:val="24"/>
              </w:rPr>
            </w:pPr>
          </w:p>
        </w:tc>
        <w:tc>
          <w:tcPr>
            <w:tcW w:w="2011" w:type="dxa"/>
            <w:shd w:val="clear" w:color="auto" w:fill="auto"/>
          </w:tcPr>
          <w:p w14:paraId="518E6F51" w14:textId="77777777" w:rsidR="008139EA" w:rsidRPr="00952000" w:rsidRDefault="008139EA" w:rsidP="00DE462A">
            <w:pPr>
              <w:rPr>
                <w:rFonts w:eastAsia="ＭＳ 明朝 (Основной текст темы (ази" w:cs="Times New Roman"/>
                <w:szCs w:val="24"/>
              </w:rPr>
            </w:pPr>
            <w:r w:rsidRPr="00952000">
              <w:rPr>
                <w:rFonts w:eastAsia="ＭＳ 明朝 (Основной текст темы (ази" w:cs="Times New Roman"/>
                <w:szCs w:val="24"/>
              </w:rPr>
              <w:t>Режимы</w:t>
            </w:r>
          </w:p>
        </w:tc>
        <w:tc>
          <w:tcPr>
            <w:tcW w:w="7026" w:type="dxa"/>
            <w:shd w:val="clear" w:color="auto" w:fill="auto"/>
          </w:tcPr>
          <w:p w14:paraId="605160F9" w14:textId="77777777" w:rsidR="008139EA" w:rsidRPr="00952000" w:rsidRDefault="008139EA" w:rsidP="00DE462A">
            <w:pPr>
              <w:rPr>
                <w:rFonts w:eastAsia="ＭＳ 明朝 (Основной текст темы (ази" w:cs="Times New Roman"/>
                <w:szCs w:val="24"/>
              </w:rPr>
            </w:pPr>
            <w:r w:rsidRPr="00952000">
              <w:rPr>
                <w:rFonts w:eastAsia="ＭＳ 明朝 (Основной текст темы (ази" w:cs="Times New Roman"/>
                <w:szCs w:val="24"/>
              </w:rPr>
              <w:t>Каждые 8-24 ч для кратковременных ЦВК</w:t>
            </w:r>
          </w:p>
          <w:p w14:paraId="2D021589" w14:textId="77777777" w:rsidR="008139EA" w:rsidRPr="00952000" w:rsidRDefault="008139EA" w:rsidP="00DE462A">
            <w:pPr>
              <w:rPr>
                <w:rFonts w:eastAsia="ＭＳ 明朝 (Основной текст темы (ази" w:cs="Times New Roman"/>
                <w:szCs w:val="24"/>
              </w:rPr>
            </w:pPr>
            <w:r w:rsidRPr="00952000">
              <w:rPr>
                <w:rFonts w:eastAsia="ＭＳ 明朝 (Основной текст темы (ази" w:cs="Times New Roman"/>
                <w:szCs w:val="24"/>
              </w:rPr>
              <w:t>Еженедельно – для туннелируемых ЦВК и ПИЦВК</w:t>
            </w:r>
          </w:p>
          <w:p w14:paraId="440103E2" w14:textId="77777777" w:rsidR="008139EA" w:rsidRPr="00952000" w:rsidRDefault="008139EA" w:rsidP="00DE462A">
            <w:pPr>
              <w:rPr>
                <w:rFonts w:eastAsia="ＭＳ 明朝 (Основной текст темы (ази" w:cs="Times New Roman"/>
                <w:szCs w:val="24"/>
              </w:rPr>
            </w:pPr>
            <w:r w:rsidRPr="00952000">
              <w:rPr>
                <w:rFonts w:eastAsia="ＭＳ 明朝 (Основной текст темы (ази" w:cs="Times New Roman"/>
                <w:szCs w:val="24"/>
              </w:rPr>
              <w:t>Каждые 6-8 недель для порт-систем</w:t>
            </w:r>
          </w:p>
        </w:tc>
      </w:tr>
    </w:tbl>
    <w:p w14:paraId="4A9DCD80" w14:textId="77777777" w:rsidR="008139EA" w:rsidRPr="00952000" w:rsidRDefault="008139EA" w:rsidP="008139EA">
      <w:pPr>
        <w:rPr>
          <w:rFonts w:cs="Times New Roman"/>
          <w:b/>
          <w:bCs/>
          <w:szCs w:val="24"/>
        </w:rPr>
      </w:pPr>
    </w:p>
    <w:p w14:paraId="1D95349F" w14:textId="77777777" w:rsidR="008139EA" w:rsidRPr="009F4EC0" w:rsidRDefault="008139EA" w:rsidP="008139EA">
      <w:pPr>
        <w:rPr>
          <w:rFonts w:cs="Times New Roman"/>
          <w:i/>
          <w:iCs/>
          <w:szCs w:val="24"/>
          <w:u w:val="single"/>
        </w:rPr>
      </w:pPr>
      <w:r w:rsidRPr="009F4EC0">
        <w:rPr>
          <w:rFonts w:cs="Times New Roman"/>
          <w:i/>
          <w:iCs/>
          <w:szCs w:val="24"/>
          <w:u w:val="single"/>
        </w:rPr>
        <w:t>Алгоритм действий врача</w:t>
      </w:r>
    </w:p>
    <w:p w14:paraId="00106C84" w14:textId="77777777" w:rsidR="008139EA" w:rsidRPr="00952000" w:rsidRDefault="008139EA" w:rsidP="008139EA">
      <w:pPr>
        <w:rPr>
          <w:rFonts w:cs="Times New Roman"/>
          <w:szCs w:val="24"/>
        </w:rPr>
      </w:pPr>
      <w:r w:rsidRPr="00952000">
        <w:rPr>
          <w:rFonts w:cs="Times New Roman"/>
          <w:szCs w:val="24"/>
        </w:rPr>
        <w:tab/>
        <w:t>Манипуляция проводится только при наличии информированного согласия на проведение катетеризации.</w:t>
      </w:r>
    </w:p>
    <w:p w14:paraId="111FB2A3" w14:textId="77777777" w:rsidR="008139EA" w:rsidRPr="009F4EC0" w:rsidRDefault="008139EA" w:rsidP="00C5490F">
      <w:pPr>
        <w:pStyle w:val="afe"/>
        <w:numPr>
          <w:ilvl w:val="0"/>
          <w:numId w:val="82"/>
        </w:numPr>
        <w:rPr>
          <w:rFonts w:cs="Times New Roman"/>
          <w:szCs w:val="24"/>
        </w:rPr>
      </w:pPr>
      <w:r w:rsidRPr="009F4EC0">
        <w:rPr>
          <w:rFonts w:cs="Times New Roman"/>
          <w:szCs w:val="24"/>
        </w:rPr>
        <w:t>Физикальный осмотр</w:t>
      </w:r>
    </w:p>
    <w:p w14:paraId="0814D0EA" w14:textId="77777777" w:rsidR="008139EA" w:rsidRPr="009F4EC0" w:rsidRDefault="008139EA" w:rsidP="00C5490F">
      <w:pPr>
        <w:pStyle w:val="afe"/>
        <w:numPr>
          <w:ilvl w:val="0"/>
          <w:numId w:val="82"/>
        </w:numPr>
        <w:rPr>
          <w:rFonts w:cs="Times New Roman"/>
          <w:szCs w:val="24"/>
        </w:rPr>
      </w:pPr>
      <w:r w:rsidRPr="009F4EC0">
        <w:rPr>
          <w:rFonts w:cs="Times New Roman"/>
          <w:szCs w:val="24"/>
        </w:rPr>
        <w:t xml:space="preserve">Выбор типа ЦВК после физикального осмотра, сбора анамнеза, ознакомления с результатами лабораторных и инструментальных методов исследования. </w:t>
      </w:r>
    </w:p>
    <w:p w14:paraId="219F5CE5" w14:textId="77777777" w:rsidR="008139EA" w:rsidRPr="009F4EC0" w:rsidRDefault="008139EA" w:rsidP="00C5490F">
      <w:pPr>
        <w:pStyle w:val="afe"/>
        <w:numPr>
          <w:ilvl w:val="0"/>
          <w:numId w:val="82"/>
        </w:numPr>
        <w:rPr>
          <w:rFonts w:cs="Times New Roman"/>
          <w:szCs w:val="24"/>
        </w:rPr>
      </w:pPr>
      <w:r w:rsidRPr="009F4EC0">
        <w:rPr>
          <w:rFonts w:cs="Times New Roman"/>
          <w:szCs w:val="24"/>
        </w:rPr>
        <w:t>Дуплексное сканирование вен в месте планируемой установки ЦВК (определяется диаметр вены, наличие сдавления вен в месте пункции и по ходу установленного ЦВК, тромба в просвете вен, наличие клапанного аппарата и его состоятельность. Устанавливать ЦВК в вену, диаметр которой не превышает 50% диаметра катетера и/или выявлен тромбоз недопустимо).</w:t>
      </w:r>
    </w:p>
    <w:p w14:paraId="79BB9433" w14:textId="77777777" w:rsidR="008139EA" w:rsidRPr="009F4EC0" w:rsidRDefault="008139EA" w:rsidP="00C5490F">
      <w:pPr>
        <w:pStyle w:val="afe"/>
        <w:numPr>
          <w:ilvl w:val="0"/>
          <w:numId w:val="82"/>
        </w:numPr>
        <w:rPr>
          <w:rFonts w:cs="Times New Roman"/>
          <w:szCs w:val="24"/>
        </w:rPr>
      </w:pPr>
      <w:r w:rsidRPr="009F4EC0">
        <w:rPr>
          <w:rFonts w:cs="Times New Roman"/>
          <w:szCs w:val="24"/>
        </w:rPr>
        <w:t>Имплантация ЦВК с обязательным позиционированием дистального конца у кава-атриального соединения в случае катетеризации ВПВ и кава-атриального соединения или ниже устья почечных вен при катетеризации НПВ.</w:t>
      </w:r>
    </w:p>
    <w:p w14:paraId="2C315C71" w14:textId="77777777" w:rsidR="008139EA" w:rsidRPr="009F4EC0" w:rsidRDefault="008139EA" w:rsidP="00C5490F">
      <w:pPr>
        <w:pStyle w:val="afe"/>
        <w:numPr>
          <w:ilvl w:val="0"/>
          <w:numId w:val="82"/>
        </w:numPr>
        <w:rPr>
          <w:rFonts w:cs="Times New Roman"/>
          <w:szCs w:val="24"/>
        </w:rPr>
      </w:pPr>
      <w:r w:rsidRPr="009F4EC0">
        <w:rPr>
          <w:rFonts w:cs="Times New Roman"/>
          <w:szCs w:val="24"/>
        </w:rPr>
        <w:t>Закрепление катетера на коже больного у места выхода с использованием шовных материалов или устройств бесшовной фиксации.</w:t>
      </w:r>
    </w:p>
    <w:p w14:paraId="7CB434E3" w14:textId="77777777" w:rsidR="008139EA" w:rsidRPr="009F4EC0" w:rsidRDefault="008139EA" w:rsidP="00C5490F">
      <w:pPr>
        <w:pStyle w:val="afe"/>
        <w:numPr>
          <w:ilvl w:val="0"/>
          <w:numId w:val="82"/>
        </w:numPr>
        <w:rPr>
          <w:rFonts w:cs="Times New Roman"/>
          <w:szCs w:val="24"/>
        </w:rPr>
      </w:pPr>
      <w:r w:rsidRPr="009F4EC0">
        <w:rPr>
          <w:rFonts w:cs="Times New Roman"/>
          <w:szCs w:val="24"/>
        </w:rPr>
        <w:t>Наложение асептической повязки.</w:t>
      </w:r>
    </w:p>
    <w:p w14:paraId="285DE080" w14:textId="77777777" w:rsidR="008139EA" w:rsidRPr="009F4EC0" w:rsidRDefault="008139EA" w:rsidP="00C5490F">
      <w:pPr>
        <w:pStyle w:val="afe"/>
        <w:numPr>
          <w:ilvl w:val="0"/>
          <w:numId w:val="82"/>
        </w:numPr>
        <w:rPr>
          <w:rFonts w:cs="Times New Roman"/>
          <w:szCs w:val="24"/>
        </w:rPr>
      </w:pPr>
      <w:r w:rsidRPr="009F4EC0">
        <w:rPr>
          <w:rFonts w:cs="Times New Roman"/>
          <w:szCs w:val="24"/>
        </w:rPr>
        <w:t>Заполнение протокола катетеризации с обязательным указанием ранних осложнений, количества попыток катетеризации, типа установленного ЦВК.</w:t>
      </w:r>
    </w:p>
    <w:p w14:paraId="347A680A" w14:textId="77777777" w:rsidR="008139EA" w:rsidRPr="00952000" w:rsidRDefault="008139EA" w:rsidP="008139EA">
      <w:pPr>
        <w:rPr>
          <w:rFonts w:cs="Times New Roman"/>
          <w:szCs w:val="24"/>
        </w:rPr>
      </w:pPr>
    </w:p>
    <w:p w14:paraId="56F623CB" w14:textId="77777777" w:rsidR="008139EA" w:rsidRPr="008635A0" w:rsidRDefault="008139EA" w:rsidP="008139EA">
      <w:pPr>
        <w:ind w:firstLine="708"/>
        <w:rPr>
          <w:rFonts w:cs="Times New Roman"/>
          <w:bCs/>
          <w:i/>
          <w:iCs/>
          <w:szCs w:val="24"/>
        </w:rPr>
      </w:pPr>
      <w:r w:rsidRPr="008635A0">
        <w:rPr>
          <w:rFonts w:cs="Times New Roman"/>
          <w:bCs/>
          <w:i/>
          <w:iCs/>
          <w:spacing w:val="2"/>
          <w:szCs w:val="24"/>
          <w:shd w:val="clear" w:color="auto" w:fill="FFFFFF"/>
        </w:rPr>
        <w:t>Дополнительные сведения об особенностях выполнения обработки катетера (смена повязки):</w:t>
      </w:r>
    </w:p>
    <w:p w14:paraId="3BC80C9F" w14:textId="77777777" w:rsidR="008139EA" w:rsidRPr="001352F1" w:rsidRDefault="008139EA" w:rsidP="00C5490F">
      <w:pPr>
        <w:pStyle w:val="afe"/>
        <w:numPr>
          <w:ilvl w:val="0"/>
          <w:numId w:val="80"/>
        </w:numPr>
        <w:rPr>
          <w:rFonts w:cs="Times New Roman"/>
          <w:b/>
          <w:szCs w:val="24"/>
        </w:rPr>
      </w:pPr>
      <w:r w:rsidRPr="008635A0">
        <w:rPr>
          <w:rFonts w:cs="Times New Roman"/>
          <w:spacing w:val="2"/>
          <w:szCs w:val="24"/>
          <w:shd w:val="clear" w:color="auto" w:fill="FFFFFF"/>
        </w:rPr>
        <w:t>При проведении процедуры обработки (перевязки) с ЦВК пациент может</w:t>
      </w:r>
      <w:r w:rsidRPr="001352F1">
        <w:rPr>
          <w:rFonts w:cs="Times New Roman"/>
          <w:spacing w:val="2"/>
          <w:szCs w:val="24"/>
          <w:shd w:val="clear" w:color="auto" w:fill="FFFFFF"/>
        </w:rPr>
        <w:t xml:space="preserve"> сидеть или лежать на спине, рука, на стороне которой в вене находится катетер, расположена вдоль туловища. При применении дополнительных зажимов не катетере снятие заглушки не связано с фазой дыхания. При проведении процедуры с катетером, находящимся в бедренной вене, ножной конец кровати опущен на 25°. Снятие заглушки не связано с фазой дыхания.</w:t>
      </w:r>
    </w:p>
    <w:p w14:paraId="0498FC7E" w14:textId="77777777" w:rsidR="008139EA" w:rsidRPr="00952000" w:rsidRDefault="008139EA" w:rsidP="00C5490F">
      <w:pPr>
        <w:pStyle w:val="afe"/>
        <w:numPr>
          <w:ilvl w:val="0"/>
          <w:numId w:val="80"/>
        </w:numPr>
        <w:rPr>
          <w:rFonts w:cs="Times New Roman"/>
          <w:szCs w:val="24"/>
        </w:rPr>
      </w:pPr>
      <w:r w:rsidRPr="00952000">
        <w:rPr>
          <w:rFonts w:cs="Times New Roman"/>
          <w:spacing w:val="2"/>
          <w:szCs w:val="24"/>
          <w:shd w:val="clear" w:color="auto" w:fill="FFFFFF"/>
        </w:rPr>
        <w:t>При смене повязки у пациентов с чувствительной кожей рекомендуется нанести стерильное барьерное средство для защиты кожи вокруг места установки сосудистого катетера и дождаться полного его высыхания.</w:t>
      </w:r>
    </w:p>
    <w:p w14:paraId="7C1B213F" w14:textId="77777777" w:rsidR="008139EA" w:rsidRPr="00952000" w:rsidRDefault="008139EA" w:rsidP="00C5490F">
      <w:pPr>
        <w:pStyle w:val="afe"/>
        <w:numPr>
          <w:ilvl w:val="0"/>
          <w:numId w:val="80"/>
        </w:numPr>
        <w:rPr>
          <w:rFonts w:cs="Times New Roman"/>
          <w:szCs w:val="24"/>
        </w:rPr>
      </w:pPr>
      <w:r w:rsidRPr="00952000">
        <w:rPr>
          <w:rFonts w:cs="Times New Roman"/>
          <w:spacing w:val="2"/>
          <w:szCs w:val="24"/>
          <w:shd w:val="clear" w:color="auto" w:fill="FFFFFF"/>
        </w:rPr>
        <w:t>Выбор повязки необходимо осуществлять с учетом индивидуальных особенностей пациента. Если существуют предрасполагающие к развитию инфекции факторы (длительность стояния ЦВК свыше трех суток; сниженный иммунный статус (онкологические пациенты и т.д.); повышенный риск колонизации катетера), то рекомендуется выбирать прозрачную полиуретановую повязку, содержащую гелевую подушечку с хлоргексидином. Для прочих случаев оптимальным выбором является стерильная прозрачная повязка.</w:t>
      </w:r>
    </w:p>
    <w:p w14:paraId="37D765EC" w14:textId="77777777" w:rsidR="008139EA" w:rsidRPr="00952000" w:rsidRDefault="008139EA" w:rsidP="00C5490F">
      <w:pPr>
        <w:pStyle w:val="afe"/>
        <w:numPr>
          <w:ilvl w:val="0"/>
          <w:numId w:val="80"/>
        </w:numPr>
        <w:rPr>
          <w:rFonts w:cs="Times New Roman"/>
          <w:szCs w:val="24"/>
        </w:rPr>
      </w:pPr>
      <w:r w:rsidRPr="00952000">
        <w:rPr>
          <w:rFonts w:cs="Times New Roman"/>
          <w:spacing w:val="2"/>
          <w:szCs w:val="24"/>
          <w:shd w:val="clear" w:color="auto" w:fill="FFFFFF"/>
        </w:rPr>
        <w:t>Если наблюдается кровоточивость вокруг места входа катетера в первые сутки после его введения, допустимо использование нетканой повязки с впитывающей подушечкой, которая подлежи</w:t>
      </w:r>
      <w:r>
        <w:rPr>
          <w:rFonts w:cs="Times New Roman"/>
          <w:spacing w:val="2"/>
          <w:szCs w:val="24"/>
          <w:shd w:val="clear" w:color="auto" w:fill="FFFFFF"/>
        </w:rPr>
        <w:t>т замене на прозрачную через 24</w:t>
      </w:r>
      <w:r w:rsidRPr="00952000">
        <w:rPr>
          <w:rFonts w:cs="Times New Roman"/>
          <w:spacing w:val="2"/>
          <w:szCs w:val="24"/>
          <w:shd w:val="clear" w:color="auto" w:fill="FFFFFF"/>
        </w:rPr>
        <w:t>ч.</w:t>
      </w:r>
    </w:p>
    <w:p w14:paraId="5D6DE846" w14:textId="77777777" w:rsidR="008139EA" w:rsidRPr="00952000" w:rsidRDefault="008139EA" w:rsidP="00C5490F">
      <w:pPr>
        <w:pStyle w:val="afe"/>
        <w:numPr>
          <w:ilvl w:val="0"/>
          <w:numId w:val="80"/>
        </w:numPr>
        <w:rPr>
          <w:rFonts w:cs="Times New Roman"/>
          <w:szCs w:val="24"/>
        </w:rPr>
      </w:pPr>
      <w:r w:rsidRPr="00952000">
        <w:rPr>
          <w:rFonts w:cs="Times New Roman"/>
          <w:spacing w:val="2"/>
          <w:szCs w:val="24"/>
          <w:shd w:val="clear" w:color="auto" w:fill="FFFFFF"/>
        </w:rPr>
        <w:t>Замена прозрачных полиуретановых повязок на ЦВК производится каждые 5-7 сут (при условии, что фиксация не нарушена, нет выделений, сохранен обзор).</w:t>
      </w:r>
    </w:p>
    <w:p w14:paraId="5C74A197" w14:textId="77777777" w:rsidR="008139EA" w:rsidRDefault="008139EA" w:rsidP="00C5490F">
      <w:pPr>
        <w:pStyle w:val="afe"/>
        <w:numPr>
          <w:ilvl w:val="0"/>
          <w:numId w:val="80"/>
        </w:numPr>
        <w:rPr>
          <w:rFonts w:cs="Times New Roman"/>
          <w:spacing w:val="2"/>
          <w:szCs w:val="24"/>
          <w:shd w:val="clear" w:color="auto" w:fill="FFFFFF"/>
        </w:rPr>
      </w:pPr>
      <w:r w:rsidRPr="00952000">
        <w:rPr>
          <w:rFonts w:cs="Times New Roman"/>
          <w:spacing w:val="2"/>
          <w:szCs w:val="24"/>
          <w:shd w:val="clear" w:color="auto" w:fill="FFFFFF"/>
        </w:rPr>
        <w:t>Визуальный осмотр места установки сосудистого катетера проводить не реже 1 раза в сутки</w:t>
      </w:r>
    </w:p>
    <w:bookmarkEnd w:id="220"/>
    <w:bookmarkEnd w:id="221"/>
    <w:p w14:paraId="016807BC" w14:textId="77777777" w:rsidR="008139EA" w:rsidRPr="00952000" w:rsidRDefault="008139EA" w:rsidP="008139EA">
      <w:pPr>
        <w:widowControl w:val="0"/>
        <w:autoSpaceDE w:val="0"/>
        <w:autoSpaceDN w:val="0"/>
        <w:adjustRightInd w:val="0"/>
        <w:spacing w:line="240" w:lineRule="auto"/>
        <w:ind w:left="640" w:hanging="640"/>
        <w:rPr>
          <w:rFonts w:cs="Times New Roman"/>
          <w:szCs w:val="24"/>
        </w:rPr>
      </w:pPr>
    </w:p>
    <w:p w14:paraId="27AB9A06" w14:textId="7811A1D8" w:rsidR="008139EA" w:rsidRPr="008139EA" w:rsidRDefault="008139EA" w:rsidP="008139EA">
      <w:pPr>
        <w:pStyle w:val="2"/>
      </w:pPr>
      <w:bookmarkStart w:id="222" w:name="_Toc67522268"/>
      <w:r>
        <w:t xml:space="preserve">Приложение А3.8. </w:t>
      </w:r>
      <w:r w:rsidRPr="00365626">
        <w:t>Спленэктомия у пациентов с гематологическими заболеваниями</w:t>
      </w:r>
      <w:bookmarkEnd w:id="222"/>
    </w:p>
    <w:p w14:paraId="7D408D3A" w14:textId="0C07385A" w:rsidR="008139EA" w:rsidRPr="00365626" w:rsidRDefault="008139EA" w:rsidP="008139EA">
      <w:pPr>
        <w:ind w:firstLine="709"/>
        <w:rPr>
          <w:rFonts w:cs="Times New Roman"/>
          <w:i/>
          <w:szCs w:val="24"/>
        </w:rPr>
      </w:pPr>
      <w:r w:rsidRPr="00365626">
        <w:rPr>
          <w:rFonts w:cs="Times New Roman"/>
          <w:szCs w:val="24"/>
        </w:rPr>
        <w:t>Спленэктомия – наиболее частое оперативное вмешательство в гематологической хирургии</w:t>
      </w:r>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[155]","plainTextFormattedCitation":"[155]","previouslyFormattedCitation":"[1]"},"properties":{"noteIndex":0},"schema":"https://github.com/citation-style-language/schema/raw/master/csl-citation.json"}</w:instrText>
      </w:r>
      <w:r>
        <w:rPr>
          <w:rFonts w:cs="Times New Roman"/>
          <w:szCs w:val="24"/>
        </w:rPr>
        <w:fldChar w:fldCharType="separate"/>
      </w:r>
      <w:r w:rsidRPr="008139EA">
        <w:rPr>
          <w:rFonts w:cs="Times New Roman"/>
          <w:noProof/>
          <w:szCs w:val="24"/>
        </w:rPr>
        <w:t>[155]</w:t>
      </w:r>
      <w:r>
        <w:rPr>
          <w:rFonts w:cs="Times New Roman"/>
          <w:szCs w:val="24"/>
        </w:rPr>
        <w:fldChar w:fldCharType="end"/>
      </w:r>
      <w:r w:rsidRPr="00365626">
        <w:rPr>
          <w:rFonts w:cs="Times New Roman"/>
          <w:szCs w:val="24"/>
        </w:rPr>
        <w:t>.</w:t>
      </w:r>
      <w:r w:rsidRPr="00365626">
        <w:rPr>
          <w:rFonts w:cs="Times New Roman"/>
          <w:i/>
          <w:szCs w:val="24"/>
        </w:rPr>
        <w:t xml:space="preserve"> </w:t>
      </w:r>
    </w:p>
    <w:p w14:paraId="3076DAFD" w14:textId="77777777" w:rsidR="008139EA" w:rsidRDefault="008139EA" w:rsidP="008139EA">
      <w:pPr>
        <w:rPr>
          <w:rFonts w:cs="Times New Roman"/>
          <w:i/>
          <w:szCs w:val="24"/>
        </w:rPr>
      </w:pPr>
    </w:p>
    <w:p w14:paraId="5ABBEB8F" w14:textId="61E776DB" w:rsidR="008139EA" w:rsidRPr="00365626" w:rsidRDefault="008139EA" w:rsidP="008139EA">
      <w:pPr>
        <w:rPr>
          <w:rFonts w:cs="Times New Roman"/>
          <w:i/>
          <w:szCs w:val="24"/>
        </w:rPr>
      </w:pPr>
      <w:r w:rsidRPr="00365626">
        <w:rPr>
          <w:rFonts w:cs="Times New Roman"/>
          <w:i/>
          <w:szCs w:val="24"/>
        </w:rPr>
        <w:t>Основные показания к спленэктомии</w:t>
      </w:r>
      <w:r>
        <w:rPr>
          <w:rFonts w:cs="Times New Roman"/>
          <w:i/>
          <w:szCs w:val="24"/>
        </w:rPr>
        <w:t xml:space="preserve"> </w:t>
      </w:r>
      <w:r>
        <w:rPr>
          <w:rFonts w:cs="Times New Roman"/>
          <w:szCs w:val="24"/>
        </w:rPr>
        <w:fldChar w:fldCharType="begin" w:fldLock="1"/>
      </w:r>
      <w:r>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[155]","plainTextFormattedCitation":"[155]","previouslyFormattedCitation":"[1]"},"properties":{"noteIndex":0},"schema":"https://github.com/citation-style-language/schema/raw/master/csl-citation.json"}</w:instrText>
      </w:r>
      <w:r>
        <w:rPr>
          <w:rFonts w:cs="Times New Roman"/>
          <w:szCs w:val="24"/>
        </w:rPr>
        <w:fldChar w:fldCharType="separate"/>
      </w:r>
      <w:r w:rsidRPr="008139EA">
        <w:rPr>
          <w:rFonts w:cs="Times New Roman"/>
          <w:noProof/>
          <w:szCs w:val="24"/>
        </w:rPr>
        <w:t>[155]</w:t>
      </w:r>
      <w:r>
        <w:rPr>
          <w:rFonts w:cs="Times New Roman"/>
          <w:szCs w:val="24"/>
        </w:rPr>
        <w:fldChar w:fldCharType="end"/>
      </w:r>
      <w:r w:rsidRPr="00365626">
        <w:rPr>
          <w:rFonts w:cs="Times New Roman"/>
          <w:i/>
          <w:szCs w:val="24"/>
        </w:rPr>
        <w:t xml:space="preserve">: </w:t>
      </w:r>
    </w:p>
    <w:p w14:paraId="7648AA02" w14:textId="77777777" w:rsidR="008139EA" w:rsidRPr="00365626" w:rsidRDefault="008139EA" w:rsidP="00C5490F">
      <w:pPr>
        <w:pStyle w:val="afe"/>
        <w:numPr>
          <w:ilvl w:val="0"/>
          <w:numId w:val="135"/>
        </w:numPr>
        <w:rPr>
          <w:rFonts w:cs="Times New Roman"/>
          <w:szCs w:val="24"/>
        </w:rPr>
      </w:pPr>
      <w:r w:rsidRPr="00365626">
        <w:rPr>
          <w:rFonts w:cs="Times New Roman"/>
          <w:szCs w:val="24"/>
        </w:rPr>
        <w:t>идиопатическая тромбоцитопеническая пурпура (иммунная тромбоцитопения);</w:t>
      </w:r>
    </w:p>
    <w:p w14:paraId="5CAEFF7E" w14:textId="77777777" w:rsidR="008139EA" w:rsidRPr="00365626" w:rsidRDefault="008139EA" w:rsidP="00C5490F">
      <w:pPr>
        <w:pStyle w:val="afe"/>
        <w:numPr>
          <w:ilvl w:val="0"/>
          <w:numId w:val="135"/>
        </w:numPr>
        <w:rPr>
          <w:rFonts w:cs="Times New Roman"/>
          <w:szCs w:val="24"/>
        </w:rPr>
      </w:pPr>
      <w:r w:rsidRPr="00365626">
        <w:rPr>
          <w:rFonts w:cs="Times New Roman"/>
          <w:szCs w:val="24"/>
        </w:rPr>
        <w:t>гемолитическая анемия (врожденная и приобретенная формы);</w:t>
      </w:r>
    </w:p>
    <w:p w14:paraId="408C6CD9" w14:textId="77777777" w:rsidR="008139EA" w:rsidRPr="00365626" w:rsidRDefault="008139EA" w:rsidP="00C5490F">
      <w:pPr>
        <w:pStyle w:val="afe"/>
        <w:numPr>
          <w:ilvl w:val="0"/>
          <w:numId w:val="135"/>
        </w:numPr>
        <w:rPr>
          <w:rFonts w:cs="Times New Roman"/>
          <w:szCs w:val="24"/>
        </w:rPr>
      </w:pPr>
      <w:r w:rsidRPr="00365626">
        <w:rPr>
          <w:rFonts w:cs="Times New Roman"/>
          <w:szCs w:val="24"/>
        </w:rPr>
        <w:t>лимфопролиферативные заболевания (лейкозы и лимфомы) с преимущественным поражением селезенки;</w:t>
      </w:r>
    </w:p>
    <w:p w14:paraId="6638A622" w14:textId="77777777" w:rsidR="008139EA" w:rsidRPr="00365626" w:rsidRDefault="008139EA" w:rsidP="00C5490F">
      <w:pPr>
        <w:pStyle w:val="afe"/>
        <w:numPr>
          <w:ilvl w:val="0"/>
          <w:numId w:val="135"/>
        </w:numPr>
        <w:rPr>
          <w:rFonts w:cs="Times New Roman"/>
          <w:szCs w:val="24"/>
        </w:rPr>
      </w:pPr>
      <w:r w:rsidRPr="00365626">
        <w:rPr>
          <w:rFonts w:cs="Times New Roman"/>
          <w:szCs w:val="24"/>
        </w:rPr>
        <w:t>резидуальная спленомегалия (остаточная спленомегалия или остаточное очаговое поражение селезенки при достижении ремиссии лимфом);</w:t>
      </w:r>
    </w:p>
    <w:p w14:paraId="264A565F" w14:textId="77777777" w:rsidR="008139EA" w:rsidRPr="00365626" w:rsidRDefault="008139EA" w:rsidP="00C5490F">
      <w:pPr>
        <w:pStyle w:val="afe"/>
        <w:numPr>
          <w:ilvl w:val="0"/>
          <w:numId w:val="135"/>
        </w:numPr>
        <w:rPr>
          <w:rFonts w:cs="Times New Roman"/>
          <w:szCs w:val="24"/>
        </w:rPr>
      </w:pPr>
      <w:r w:rsidRPr="00365626">
        <w:rPr>
          <w:rFonts w:cs="Times New Roman"/>
          <w:szCs w:val="24"/>
        </w:rPr>
        <w:t>обширный инфаркт селезенки, угроза разрыва селезенки;</w:t>
      </w:r>
    </w:p>
    <w:p w14:paraId="0CE04332" w14:textId="77777777" w:rsidR="008139EA" w:rsidRPr="00365626" w:rsidRDefault="008139EA" w:rsidP="00C5490F">
      <w:pPr>
        <w:pStyle w:val="afe"/>
        <w:numPr>
          <w:ilvl w:val="0"/>
          <w:numId w:val="135"/>
        </w:numPr>
        <w:rPr>
          <w:rFonts w:cs="Times New Roman"/>
          <w:szCs w:val="24"/>
        </w:rPr>
      </w:pPr>
      <w:r w:rsidRPr="00365626">
        <w:rPr>
          <w:rFonts w:cs="Times New Roman"/>
          <w:szCs w:val="24"/>
        </w:rPr>
        <w:t>абсцессы селезенки;</w:t>
      </w:r>
    </w:p>
    <w:p w14:paraId="127E8FFC" w14:textId="77777777" w:rsidR="008139EA" w:rsidRPr="00365626" w:rsidRDefault="008139EA" w:rsidP="00C5490F">
      <w:pPr>
        <w:pStyle w:val="afe"/>
        <w:numPr>
          <w:ilvl w:val="0"/>
          <w:numId w:val="135"/>
        </w:numPr>
        <w:rPr>
          <w:rFonts w:cs="Times New Roman"/>
          <w:szCs w:val="24"/>
        </w:rPr>
      </w:pPr>
      <w:r w:rsidRPr="00365626">
        <w:rPr>
          <w:rFonts w:cs="Times New Roman"/>
          <w:szCs w:val="24"/>
        </w:rPr>
        <w:t>вторичные цитопении (нейтропения, тромбоцитопения);</w:t>
      </w:r>
    </w:p>
    <w:p w14:paraId="1C668094" w14:textId="77777777" w:rsidR="008139EA" w:rsidRPr="00365626" w:rsidRDefault="008139EA" w:rsidP="00C5490F">
      <w:pPr>
        <w:pStyle w:val="afe"/>
        <w:numPr>
          <w:ilvl w:val="0"/>
          <w:numId w:val="135"/>
        </w:numPr>
        <w:rPr>
          <w:rFonts w:cs="Times New Roman"/>
          <w:szCs w:val="24"/>
        </w:rPr>
      </w:pPr>
      <w:r w:rsidRPr="00365626">
        <w:rPr>
          <w:rFonts w:cs="Times New Roman"/>
          <w:szCs w:val="24"/>
        </w:rPr>
        <w:t>диагностическая спленэктомия при спленомегалии и/или очаговом поражении селезенки неуточненного генеза;</w:t>
      </w:r>
    </w:p>
    <w:p w14:paraId="235F72ED" w14:textId="77777777" w:rsidR="008139EA" w:rsidRPr="00365626" w:rsidRDefault="008139EA" w:rsidP="00C5490F">
      <w:pPr>
        <w:pStyle w:val="afe"/>
        <w:numPr>
          <w:ilvl w:val="0"/>
          <w:numId w:val="135"/>
        </w:numPr>
        <w:rPr>
          <w:rFonts w:cs="Times New Roman"/>
          <w:szCs w:val="24"/>
        </w:rPr>
      </w:pPr>
      <w:r w:rsidRPr="00365626">
        <w:rPr>
          <w:rFonts w:cs="Times New Roman"/>
          <w:szCs w:val="24"/>
        </w:rPr>
        <w:t>этап иммуносупрессивной терапии при апластической анемии, миелодиспластическом синдроме (МДС) и апластических синдромах.</w:t>
      </w:r>
    </w:p>
    <w:p w14:paraId="1FC8BAAD" w14:textId="77777777" w:rsidR="008139EA" w:rsidRPr="00365626" w:rsidRDefault="008139EA" w:rsidP="008139EA">
      <w:pPr>
        <w:ind w:firstLine="709"/>
        <w:rPr>
          <w:rFonts w:cs="Times New Roman"/>
          <w:szCs w:val="24"/>
        </w:rPr>
      </w:pPr>
      <w:r w:rsidRPr="00365626">
        <w:rPr>
          <w:rFonts w:cs="Times New Roman"/>
          <w:szCs w:val="24"/>
        </w:rPr>
        <w:t>Выбор доступа (лапароскопический или лапаротомный) определяется размерами селезенки, топографо-анатомическими соотношениями с другими органами, наличием выраженных сращений с окружающими органами и тканями (прорастание опухоли селезенки).</w:t>
      </w:r>
    </w:p>
    <w:p w14:paraId="72AE4ABF" w14:textId="45CA7B8D" w:rsidR="008139EA" w:rsidRPr="00365626" w:rsidRDefault="008139EA" w:rsidP="008139EA">
      <w:pPr>
        <w:ind w:firstLine="709"/>
        <w:rPr>
          <w:rFonts w:cs="Times New Roman"/>
          <w:szCs w:val="24"/>
        </w:rPr>
      </w:pPr>
      <w:r w:rsidRPr="00365626">
        <w:rPr>
          <w:rFonts w:cs="Times New Roman"/>
          <w:szCs w:val="24"/>
        </w:rPr>
        <w:t>Лапароскопический доступ к селезенке позволяет снизить количество интра- и послеоперационных осложнений, уменьшить выраженность послеоперационной боли, сократить сроки госпитализации, улучшить косметический результат  и повысить качество жизни пациентов</w:t>
      </w:r>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[155]","plainTextFormattedCitation":"[155]","previouslyFormattedCitation":"[1]"},"properties":{"noteIndex":0},"schema":"https://github.com/citation-style-language/schema/raw/master/csl-citation.json"}</w:instrText>
      </w:r>
      <w:r>
        <w:rPr>
          <w:rFonts w:cs="Times New Roman"/>
          <w:szCs w:val="24"/>
        </w:rPr>
        <w:fldChar w:fldCharType="separate"/>
      </w:r>
      <w:r w:rsidRPr="008139EA">
        <w:rPr>
          <w:rFonts w:cs="Times New Roman"/>
          <w:noProof/>
          <w:szCs w:val="24"/>
        </w:rPr>
        <w:t>[155]</w:t>
      </w:r>
      <w:r>
        <w:rPr>
          <w:rFonts w:cs="Times New Roman"/>
          <w:szCs w:val="24"/>
        </w:rPr>
        <w:fldChar w:fldCharType="end"/>
      </w:r>
      <w:r w:rsidRPr="00365626">
        <w:rPr>
          <w:rFonts w:cs="Times New Roman"/>
          <w:szCs w:val="24"/>
        </w:rPr>
        <w:t>.</w:t>
      </w:r>
    </w:p>
    <w:p w14:paraId="237681AB" w14:textId="584DDF7D" w:rsidR="008139EA" w:rsidRPr="00365626" w:rsidRDefault="008139EA" w:rsidP="008139EA">
      <w:pPr>
        <w:ind w:firstLine="709"/>
        <w:rPr>
          <w:rFonts w:cs="Times New Roman"/>
          <w:szCs w:val="24"/>
        </w:rPr>
      </w:pPr>
      <w:r w:rsidRPr="00365626">
        <w:rPr>
          <w:rFonts w:cs="Times New Roman"/>
          <w:szCs w:val="24"/>
        </w:rPr>
        <w:t>Факторы, осложняющие выполнение спленэктомии лапароскопическим доступом: портальная гипертензия, периспленит, большие размеры селезенки, наличие предшествующих операций</w:t>
      </w:r>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[155]","plainTextFormattedCitation":"[155]","previouslyFormattedCitation":"[1]"},"properties":{"noteIndex":0},"schema":"https://github.com/citation-style-language/schema/raw/master/csl-citation.json"}</w:instrText>
      </w:r>
      <w:r>
        <w:rPr>
          <w:rFonts w:cs="Times New Roman"/>
          <w:szCs w:val="24"/>
        </w:rPr>
        <w:fldChar w:fldCharType="separate"/>
      </w:r>
      <w:r w:rsidRPr="008139EA">
        <w:rPr>
          <w:rFonts w:cs="Times New Roman"/>
          <w:noProof/>
          <w:szCs w:val="24"/>
        </w:rPr>
        <w:t>[155]</w:t>
      </w:r>
      <w:r>
        <w:rPr>
          <w:rFonts w:cs="Times New Roman"/>
          <w:szCs w:val="24"/>
        </w:rPr>
        <w:fldChar w:fldCharType="end"/>
      </w:r>
      <w:r w:rsidRPr="00365626">
        <w:rPr>
          <w:rFonts w:cs="Times New Roman"/>
          <w:szCs w:val="24"/>
        </w:rPr>
        <w:t>.</w:t>
      </w:r>
    </w:p>
    <w:p w14:paraId="14592F67" w14:textId="77777777" w:rsidR="008139EA" w:rsidRDefault="008139EA" w:rsidP="008139EA">
      <w:pPr>
        <w:rPr>
          <w:rFonts w:cs="Times New Roman"/>
          <w:bCs/>
          <w:i/>
          <w:iCs/>
          <w:szCs w:val="24"/>
          <w:u w:val="single"/>
        </w:rPr>
      </w:pPr>
    </w:p>
    <w:p w14:paraId="3C7C3153" w14:textId="77777777" w:rsidR="008139EA" w:rsidRPr="00E74B7B" w:rsidRDefault="008139EA" w:rsidP="008139EA">
      <w:pPr>
        <w:rPr>
          <w:rFonts w:cs="Times New Roman"/>
          <w:bCs/>
          <w:i/>
          <w:iCs/>
          <w:szCs w:val="24"/>
          <w:u w:val="single"/>
        </w:rPr>
      </w:pPr>
      <w:r w:rsidRPr="00E74B7B">
        <w:rPr>
          <w:rFonts w:cs="Times New Roman"/>
          <w:bCs/>
          <w:i/>
          <w:iCs/>
          <w:szCs w:val="24"/>
          <w:u w:val="single"/>
        </w:rPr>
        <w:t>Предоперационное обследование:</w:t>
      </w:r>
    </w:p>
    <w:p w14:paraId="037D0BC2" w14:textId="3C4465BB" w:rsidR="008139EA" w:rsidRPr="00365626" w:rsidRDefault="008139EA" w:rsidP="008139EA">
      <w:pPr>
        <w:rPr>
          <w:rFonts w:cs="Times New Roman"/>
          <w:i/>
          <w:szCs w:val="24"/>
        </w:rPr>
      </w:pPr>
      <w:r w:rsidRPr="00365626">
        <w:rPr>
          <w:rFonts w:cs="Times New Roman"/>
          <w:i/>
          <w:szCs w:val="24"/>
        </w:rPr>
        <w:t>Лабораторные исследования</w:t>
      </w:r>
      <w:r>
        <w:rPr>
          <w:rFonts w:cs="Times New Roman"/>
          <w:i/>
          <w:szCs w:val="24"/>
        </w:rPr>
        <w:t xml:space="preserve"> </w:t>
      </w:r>
      <w:r>
        <w:rPr>
          <w:rFonts w:cs="Times New Roman"/>
          <w:szCs w:val="24"/>
        </w:rPr>
        <w:fldChar w:fldCharType="begin" w:fldLock="1"/>
      </w:r>
      <w:r>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[155]","plainTextFormattedCitation":"[155]","previouslyFormattedCitation":"[1]"},"properties":{"noteIndex":0},"schema":"https://github.com/citation-style-language/schema/raw/master/csl-citation.json"}</w:instrText>
      </w:r>
      <w:r>
        <w:rPr>
          <w:rFonts w:cs="Times New Roman"/>
          <w:szCs w:val="24"/>
        </w:rPr>
        <w:fldChar w:fldCharType="separate"/>
      </w:r>
      <w:r w:rsidRPr="008139EA">
        <w:rPr>
          <w:rFonts w:cs="Times New Roman"/>
          <w:noProof/>
          <w:szCs w:val="24"/>
        </w:rPr>
        <w:t>[155]</w:t>
      </w:r>
      <w:r>
        <w:rPr>
          <w:rFonts w:cs="Times New Roman"/>
          <w:szCs w:val="24"/>
        </w:rPr>
        <w:fldChar w:fldCharType="end"/>
      </w:r>
      <w:r w:rsidRPr="00365626">
        <w:rPr>
          <w:rFonts w:cs="Times New Roman"/>
          <w:i/>
          <w:szCs w:val="24"/>
        </w:rPr>
        <w:t xml:space="preserve">: </w:t>
      </w:r>
    </w:p>
    <w:p w14:paraId="6F38B357" w14:textId="77777777" w:rsidR="008139EA" w:rsidRPr="00365626" w:rsidRDefault="008139EA" w:rsidP="00C5490F">
      <w:pPr>
        <w:pStyle w:val="afe"/>
        <w:numPr>
          <w:ilvl w:val="0"/>
          <w:numId w:val="136"/>
        </w:numPr>
        <w:rPr>
          <w:rFonts w:cs="Times New Roman"/>
          <w:szCs w:val="24"/>
        </w:rPr>
      </w:pPr>
      <w:r w:rsidRPr="00365626">
        <w:rPr>
          <w:rFonts w:cs="Times New Roman"/>
          <w:szCs w:val="24"/>
        </w:rPr>
        <w:t xml:space="preserve">клинический анализ крови с определением количества тромбоцитов, в том числе и в окрашенном мазке крови по Фонио; </w:t>
      </w:r>
    </w:p>
    <w:p w14:paraId="6D4514B4" w14:textId="77777777" w:rsidR="008139EA" w:rsidRPr="00365626" w:rsidRDefault="008139EA" w:rsidP="00C5490F">
      <w:pPr>
        <w:pStyle w:val="afe"/>
        <w:numPr>
          <w:ilvl w:val="0"/>
          <w:numId w:val="136"/>
        </w:numPr>
        <w:rPr>
          <w:rFonts w:cs="Times New Roman"/>
          <w:szCs w:val="24"/>
        </w:rPr>
      </w:pPr>
      <w:r w:rsidRPr="00365626">
        <w:rPr>
          <w:rFonts w:cs="Times New Roman"/>
          <w:szCs w:val="24"/>
        </w:rPr>
        <w:t>общий анализ мочи;</w:t>
      </w:r>
    </w:p>
    <w:p w14:paraId="0E382039" w14:textId="77777777" w:rsidR="008139EA" w:rsidRPr="00365626" w:rsidRDefault="008139EA" w:rsidP="00C5490F">
      <w:pPr>
        <w:pStyle w:val="afe"/>
        <w:numPr>
          <w:ilvl w:val="0"/>
          <w:numId w:val="136"/>
        </w:numPr>
        <w:rPr>
          <w:rFonts w:cs="Times New Roman"/>
          <w:szCs w:val="24"/>
        </w:rPr>
      </w:pPr>
      <w:r w:rsidRPr="00365626">
        <w:rPr>
          <w:rFonts w:cs="Times New Roman"/>
          <w:szCs w:val="24"/>
        </w:rPr>
        <w:t>биохимический анализ крови: общий белок, альбумин, глобулин, мочевая кислота, мочевина, креатинин, билирубин непрямой, билирубин прямой, калий, натрий, кальций, хлор, щелочная фосфатаза, АСТ, АЛТ, ЛДГ, ГГТ, железо, глюкоза;</w:t>
      </w:r>
    </w:p>
    <w:p w14:paraId="1A38F4AA" w14:textId="77777777" w:rsidR="008139EA" w:rsidRPr="00365626" w:rsidRDefault="008139EA" w:rsidP="00C5490F">
      <w:pPr>
        <w:pStyle w:val="afe"/>
        <w:numPr>
          <w:ilvl w:val="0"/>
          <w:numId w:val="136"/>
        </w:numPr>
        <w:rPr>
          <w:rFonts w:cs="Times New Roman"/>
          <w:szCs w:val="24"/>
        </w:rPr>
      </w:pPr>
      <w:r w:rsidRPr="00365626">
        <w:rPr>
          <w:rFonts w:cs="Times New Roman"/>
          <w:szCs w:val="24"/>
        </w:rPr>
        <w:t xml:space="preserve">коагулограмма: АЧТВ, ПВ, ТВ, фибриноген, антитромбин </w:t>
      </w:r>
      <w:r w:rsidRPr="00365626">
        <w:rPr>
          <w:rFonts w:cs="Times New Roman"/>
          <w:szCs w:val="24"/>
          <w:lang w:val="en-US"/>
        </w:rPr>
        <w:t>III</w:t>
      </w:r>
      <w:r w:rsidRPr="00365626">
        <w:rPr>
          <w:rFonts w:cs="Times New Roman"/>
          <w:szCs w:val="24"/>
        </w:rPr>
        <w:t xml:space="preserve">, протеин С (по показаниям), протеин </w:t>
      </w:r>
      <w:r w:rsidRPr="00365626">
        <w:rPr>
          <w:rFonts w:cs="Times New Roman"/>
          <w:szCs w:val="24"/>
          <w:lang w:val="en-US"/>
        </w:rPr>
        <w:t>S</w:t>
      </w:r>
      <w:r w:rsidRPr="00365626">
        <w:rPr>
          <w:rFonts w:cs="Times New Roman"/>
          <w:szCs w:val="24"/>
        </w:rPr>
        <w:t xml:space="preserve"> (по показаниям), агрегация тромбоцитов (</w:t>
      </w:r>
      <w:r w:rsidRPr="00365626">
        <w:rPr>
          <w:rFonts w:cs="Times New Roman"/>
          <w:color w:val="000000" w:themeColor="text1"/>
          <w:szCs w:val="24"/>
        </w:rPr>
        <w:t xml:space="preserve">по показаниям и </w:t>
      </w:r>
      <w:r w:rsidRPr="00365626">
        <w:rPr>
          <w:rFonts w:cs="Times New Roman"/>
          <w:szCs w:val="24"/>
        </w:rPr>
        <w:t>при приеме антиагрегантных препаратов), волчаночный антикоагулянт (по показаниям);</w:t>
      </w:r>
    </w:p>
    <w:p w14:paraId="160EDBF4" w14:textId="77777777" w:rsidR="008139EA" w:rsidRPr="00365626" w:rsidRDefault="008139EA" w:rsidP="00C5490F">
      <w:pPr>
        <w:pStyle w:val="afe"/>
        <w:numPr>
          <w:ilvl w:val="0"/>
          <w:numId w:val="136"/>
        </w:numPr>
        <w:rPr>
          <w:rFonts w:cs="Times New Roman"/>
          <w:szCs w:val="24"/>
        </w:rPr>
      </w:pPr>
      <w:r w:rsidRPr="00365626">
        <w:rPr>
          <w:rFonts w:cs="Times New Roman"/>
          <w:szCs w:val="24"/>
        </w:rPr>
        <w:t xml:space="preserve">определение группы крови, резус-фактора с  фенотипом; </w:t>
      </w:r>
    </w:p>
    <w:p w14:paraId="5318C9F9" w14:textId="77777777" w:rsidR="008139EA" w:rsidRPr="00365626" w:rsidRDefault="008139EA" w:rsidP="00C5490F">
      <w:pPr>
        <w:pStyle w:val="afe"/>
        <w:numPr>
          <w:ilvl w:val="0"/>
          <w:numId w:val="136"/>
        </w:numPr>
        <w:rPr>
          <w:rFonts w:cs="Times New Roman"/>
          <w:szCs w:val="24"/>
        </w:rPr>
      </w:pPr>
      <w:r w:rsidRPr="00365626">
        <w:rPr>
          <w:rFonts w:cs="Times New Roman"/>
          <w:szCs w:val="24"/>
        </w:rPr>
        <w:t>подбор трансфузионных сред (индивидуальный подбор трансфузионных сред при наличии показаний);</w:t>
      </w:r>
    </w:p>
    <w:p w14:paraId="79094758" w14:textId="77777777" w:rsidR="008139EA" w:rsidRPr="00365626" w:rsidRDefault="008139EA" w:rsidP="00C5490F">
      <w:pPr>
        <w:pStyle w:val="afe"/>
        <w:numPr>
          <w:ilvl w:val="0"/>
          <w:numId w:val="136"/>
        </w:numPr>
        <w:rPr>
          <w:rFonts w:cs="Times New Roman"/>
          <w:szCs w:val="24"/>
        </w:rPr>
      </w:pPr>
      <w:r w:rsidRPr="00365626">
        <w:rPr>
          <w:rFonts w:cs="Times New Roman"/>
          <w:szCs w:val="24"/>
        </w:rPr>
        <w:t>исследования крови на наличие гепатитов, сифилиса, ВИЧ (</w:t>
      </w:r>
      <w:r w:rsidRPr="00365626">
        <w:rPr>
          <w:rFonts w:cs="Times New Roman"/>
          <w:bCs/>
          <w:szCs w:val="24"/>
        </w:rPr>
        <w:t>HBsAg</w:t>
      </w:r>
      <w:r w:rsidRPr="00365626">
        <w:rPr>
          <w:rFonts w:cs="Times New Roman"/>
          <w:szCs w:val="24"/>
        </w:rPr>
        <w:t>, анти-</w:t>
      </w:r>
      <w:r w:rsidRPr="00365626">
        <w:rPr>
          <w:rFonts w:cs="Times New Roman"/>
          <w:szCs w:val="24"/>
          <w:lang w:val="en-US"/>
        </w:rPr>
        <w:t>HCV</w:t>
      </w:r>
      <w:r w:rsidRPr="00365626">
        <w:rPr>
          <w:rFonts w:cs="Times New Roman"/>
          <w:szCs w:val="24"/>
        </w:rPr>
        <w:t xml:space="preserve">, ВИЧ, определение антигена/антител комбинированным тестом, сифилис (метод РМП, ИФА), ПЦР ДНК ВГВ (при положительном </w:t>
      </w:r>
      <w:r w:rsidRPr="00365626">
        <w:rPr>
          <w:rFonts w:cs="Times New Roman"/>
          <w:bCs/>
          <w:szCs w:val="24"/>
        </w:rPr>
        <w:t>HBsAg)</w:t>
      </w:r>
      <w:r w:rsidRPr="00365626">
        <w:rPr>
          <w:rFonts w:cs="Times New Roman"/>
          <w:szCs w:val="24"/>
        </w:rPr>
        <w:t>, ПЦР РНК ВГС (при положительном анти-</w:t>
      </w:r>
      <w:r w:rsidRPr="00365626">
        <w:rPr>
          <w:rFonts w:cs="Times New Roman"/>
          <w:szCs w:val="24"/>
          <w:lang w:val="en-US"/>
        </w:rPr>
        <w:t>HCV</w:t>
      </w:r>
      <w:r w:rsidRPr="00365626">
        <w:rPr>
          <w:rFonts w:cs="Times New Roman"/>
          <w:szCs w:val="24"/>
        </w:rPr>
        <w:t>).</w:t>
      </w:r>
    </w:p>
    <w:p w14:paraId="7402FEC4" w14:textId="77777777" w:rsidR="008139EA" w:rsidRDefault="008139EA" w:rsidP="008139EA">
      <w:pPr>
        <w:rPr>
          <w:rFonts w:cs="Times New Roman"/>
          <w:i/>
          <w:szCs w:val="24"/>
        </w:rPr>
      </w:pPr>
    </w:p>
    <w:p w14:paraId="31F49286" w14:textId="5BA9851B" w:rsidR="008139EA" w:rsidRPr="00365626" w:rsidRDefault="008139EA" w:rsidP="008139EA">
      <w:pPr>
        <w:rPr>
          <w:rFonts w:cs="Times New Roman"/>
          <w:i/>
          <w:szCs w:val="24"/>
        </w:rPr>
      </w:pPr>
      <w:r w:rsidRPr="00365626">
        <w:rPr>
          <w:rFonts w:cs="Times New Roman"/>
          <w:i/>
          <w:szCs w:val="24"/>
        </w:rPr>
        <w:t>Инструментальные исследования</w:t>
      </w:r>
      <w:r>
        <w:rPr>
          <w:rFonts w:cs="Times New Roman"/>
          <w:szCs w:val="24"/>
        </w:rPr>
        <w:fldChar w:fldCharType="begin" w:fldLock="1"/>
      </w:r>
      <w:r>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[155]","plainTextFormattedCitation":"[155]","previouslyFormattedCitation":"[1]"},"properties":{"noteIndex":0},"schema":"https://github.com/citation-style-language/schema/raw/master/csl-citation.json"}</w:instrText>
      </w:r>
      <w:r>
        <w:rPr>
          <w:rFonts w:cs="Times New Roman"/>
          <w:szCs w:val="24"/>
        </w:rPr>
        <w:fldChar w:fldCharType="separate"/>
      </w:r>
      <w:r w:rsidRPr="008139EA">
        <w:rPr>
          <w:rFonts w:cs="Times New Roman"/>
          <w:noProof/>
          <w:szCs w:val="24"/>
        </w:rPr>
        <w:t>[155]</w:t>
      </w:r>
      <w:r>
        <w:rPr>
          <w:rFonts w:cs="Times New Roman"/>
          <w:szCs w:val="24"/>
        </w:rPr>
        <w:fldChar w:fldCharType="end"/>
      </w:r>
      <w:r w:rsidRPr="00365626">
        <w:rPr>
          <w:rFonts w:cs="Times New Roman"/>
          <w:i/>
          <w:szCs w:val="24"/>
        </w:rPr>
        <w:t xml:space="preserve">: </w:t>
      </w:r>
    </w:p>
    <w:p w14:paraId="0EA5F91F" w14:textId="77777777" w:rsidR="008139EA" w:rsidRPr="00365626" w:rsidRDefault="008139EA" w:rsidP="00C5490F">
      <w:pPr>
        <w:pStyle w:val="afe"/>
        <w:numPr>
          <w:ilvl w:val="0"/>
          <w:numId w:val="137"/>
        </w:numPr>
        <w:rPr>
          <w:rFonts w:cs="Times New Roman"/>
          <w:szCs w:val="24"/>
        </w:rPr>
      </w:pPr>
      <w:r w:rsidRPr="00365626">
        <w:rPr>
          <w:rFonts w:cs="Times New Roman"/>
          <w:szCs w:val="24"/>
        </w:rPr>
        <w:t>ультразвуковое исследование (УЗИ) брюшной полости и малого таза: при выявлении сопутствующей патологии, требующей хирургического лечения (желчно-каменная болезнь, гинекологическая патология, грыжи передней брюшной стенки) целесообразно проведение сочетанного оперативного вмешательства;</w:t>
      </w:r>
    </w:p>
    <w:p w14:paraId="1052D6F5" w14:textId="77777777" w:rsidR="008139EA" w:rsidRPr="00365626" w:rsidRDefault="008139EA" w:rsidP="00C5490F">
      <w:pPr>
        <w:pStyle w:val="afe"/>
        <w:numPr>
          <w:ilvl w:val="0"/>
          <w:numId w:val="137"/>
        </w:numPr>
        <w:rPr>
          <w:rFonts w:cs="Times New Roman"/>
          <w:color w:val="000000" w:themeColor="text1"/>
          <w:szCs w:val="24"/>
        </w:rPr>
      </w:pPr>
      <w:r w:rsidRPr="00365626">
        <w:rPr>
          <w:rFonts w:cs="Times New Roman"/>
          <w:szCs w:val="24"/>
        </w:rPr>
        <w:t xml:space="preserve">эзофагодуоденоскопия (ЭГДС) </w:t>
      </w:r>
      <w:r w:rsidRPr="00365626">
        <w:rPr>
          <w:rFonts w:cs="Times New Roman"/>
          <w:color w:val="000000" w:themeColor="text1"/>
          <w:szCs w:val="24"/>
        </w:rPr>
        <w:t xml:space="preserve">(при наличии показаний - выполнение биопсии </w:t>
      </w:r>
      <w:r w:rsidRPr="00365626">
        <w:rPr>
          <w:rFonts w:cs="Times New Roman"/>
          <w:szCs w:val="24"/>
        </w:rPr>
        <w:t xml:space="preserve">и комплексного исследования биоптата (цитологическое,  гистологическое, иммуногистохимическое, молекулярное, бактериологическое, цитогенетическое и т.д.), а так же </w:t>
      </w:r>
      <w:r w:rsidRPr="00365626">
        <w:rPr>
          <w:rFonts w:cs="Times New Roman"/>
          <w:color w:val="000000" w:themeColor="text1"/>
          <w:szCs w:val="24"/>
        </w:rPr>
        <w:t xml:space="preserve">уреазного теста на </w:t>
      </w:r>
      <w:r w:rsidRPr="00365626">
        <w:rPr>
          <w:rFonts w:cs="Times New Roman"/>
          <w:szCs w:val="24"/>
          <w:lang w:val="en-US"/>
        </w:rPr>
        <w:t>Helicobacter</w:t>
      </w:r>
      <w:r w:rsidRPr="00365626">
        <w:rPr>
          <w:rFonts w:cs="Times New Roman"/>
          <w:szCs w:val="24"/>
        </w:rPr>
        <w:t xml:space="preserve"> </w:t>
      </w:r>
      <w:r w:rsidRPr="00365626">
        <w:rPr>
          <w:rFonts w:cs="Times New Roman"/>
          <w:szCs w:val="24"/>
          <w:lang w:val="en-US"/>
        </w:rPr>
        <w:t>Pylori</w:t>
      </w:r>
      <w:r w:rsidRPr="00365626">
        <w:rPr>
          <w:rFonts w:cs="Times New Roman"/>
          <w:color w:val="000000" w:themeColor="text1"/>
          <w:szCs w:val="24"/>
        </w:rPr>
        <w:t>);</w:t>
      </w:r>
    </w:p>
    <w:p w14:paraId="550D2D6D" w14:textId="77777777" w:rsidR="008139EA" w:rsidRPr="00365626" w:rsidRDefault="008139EA" w:rsidP="00C5490F">
      <w:pPr>
        <w:pStyle w:val="afe"/>
        <w:numPr>
          <w:ilvl w:val="0"/>
          <w:numId w:val="137"/>
        </w:numPr>
        <w:rPr>
          <w:rFonts w:cs="Times New Roman"/>
          <w:color w:val="000000" w:themeColor="text1"/>
          <w:szCs w:val="24"/>
        </w:rPr>
      </w:pPr>
      <w:r w:rsidRPr="00365626">
        <w:rPr>
          <w:rFonts w:cs="Times New Roman"/>
          <w:color w:val="000000" w:themeColor="text1"/>
          <w:szCs w:val="24"/>
        </w:rPr>
        <w:t>колоноскопия (при наличии показаний - выполнение биопсии</w:t>
      </w:r>
      <w:r w:rsidRPr="00365626">
        <w:rPr>
          <w:rFonts w:cs="Times New Roman"/>
          <w:szCs w:val="24"/>
        </w:rPr>
        <w:t xml:space="preserve"> и комплексного исследования боптата</w:t>
      </w:r>
      <w:r w:rsidRPr="00365626">
        <w:rPr>
          <w:rFonts w:cs="Times New Roman"/>
          <w:strike/>
          <w:szCs w:val="24"/>
        </w:rPr>
        <w:t>та</w:t>
      </w:r>
      <w:r w:rsidRPr="00365626">
        <w:rPr>
          <w:rFonts w:cs="Times New Roman"/>
          <w:szCs w:val="24"/>
        </w:rPr>
        <w:t xml:space="preserve"> (цитологическое,  гистологическое, иммуногистохимическое, молекулярное, бактериологическое, цитогенетическое и т.д.</w:t>
      </w:r>
      <w:r w:rsidRPr="00365626">
        <w:rPr>
          <w:rFonts w:cs="Times New Roman"/>
          <w:color w:val="000000" w:themeColor="text1"/>
          <w:szCs w:val="24"/>
        </w:rPr>
        <w:t>);</w:t>
      </w:r>
    </w:p>
    <w:p w14:paraId="75947FD1" w14:textId="77777777" w:rsidR="008139EA" w:rsidRPr="00365626" w:rsidRDefault="008139EA" w:rsidP="00C5490F">
      <w:pPr>
        <w:pStyle w:val="afe"/>
        <w:numPr>
          <w:ilvl w:val="0"/>
          <w:numId w:val="137"/>
        </w:numPr>
        <w:rPr>
          <w:rFonts w:cs="Times New Roman"/>
          <w:szCs w:val="24"/>
        </w:rPr>
      </w:pPr>
      <w:r w:rsidRPr="00365626">
        <w:rPr>
          <w:rFonts w:cs="Times New Roman"/>
          <w:szCs w:val="24"/>
        </w:rPr>
        <w:t>компьютерная томография (КТ) грудной клетки;</w:t>
      </w:r>
    </w:p>
    <w:p w14:paraId="5CF8713B" w14:textId="77777777" w:rsidR="008139EA" w:rsidRPr="00365626" w:rsidRDefault="008139EA" w:rsidP="00C5490F">
      <w:pPr>
        <w:pStyle w:val="afe"/>
        <w:numPr>
          <w:ilvl w:val="0"/>
          <w:numId w:val="137"/>
        </w:numPr>
        <w:rPr>
          <w:rFonts w:cs="Times New Roman"/>
          <w:szCs w:val="24"/>
        </w:rPr>
      </w:pPr>
      <w:r w:rsidRPr="00365626">
        <w:rPr>
          <w:rFonts w:cs="Times New Roman"/>
          <w:szCs w:val="24"/>
        </w:rPr>
        <w:t>КТ брюшной полости с пероральным и болюсным контрастным усилением и/или магнитно-резонансная томография (МРТ) брюшной полости для исключения сопутствующей, в том числе онкологической патологии и выявления добавочных селезенок.</w:t>
      </w:r>
    </w:p>
    <w:p w14:paraId="421CCB76" w14:textId="77777777" w:rsidR="008139EA" w:rsidRDefault="008139EA" w:rsidP="008139EA">
      <w:pPr>
        <w:rPr>
          <w:rFonts w:cs="Times New Roman"/>
          <w:i/>
          <w:szCs w:val="24"/>
        </w:rPr>
      </w:pPr>
    </w:p>
    <w:p w14:paraId="65B63E57" w14:textId="77777777" w:rsidR="008139EA" w:rsidRPr="00365626" w:rsidRDefault="008139EA" w:rsidP="008139EA">
      <w:pPr>
        <w:rPr>
          <w:rFonts w:cs="Times New Roman"/>
          <w:i/>
          <w:szCs w:val="24"/>
        </w:rPr>
      </w:pPr>
      <w:r w:rsidRPr="00365626">
        <w:rPr>
          <w:rFonts w:cs="Times New Roman"/>
          <w:i/>
          <w:szCs w:val="24"/>
        </w:rPr>
        <w:t xml:space="preserve">Консультации специалистов: </w:t>
      </w:r>
    </w:p>
    <w:p w14:paraId="1B826C98" w14:textId="77777777" w:rsidR="008139EA" w:rsidRPr="00365626" w:rsidRDefault="008139EA" w:rsidP="00C5490F">
      <w:pPr>
        <w:pStyle w:val="afe"/>
        <w:numPr>
          <w:ilvl w:val="0"/>
          <w:numId w:val="141"/>
        </w:numPr>
        <w:rPr>
          <w:rFonts w:cs="Times New Roman"/>
          <w:szCs w:val="24"/>
        </w:rPr>
      </w:pPr>
      <w:r w:rsidRPr="00365626">
        <w:rPr>
          <w:rFonts w:cs="Times New Roman"/>
          <w:szCs w:val="24"/>
        </w:rPr>
        <w:t>гинеколог (у женщин);</w:t>
      </w:r>
    </w:p>
    <w:p w14:paraId="758CC6A7" w14:textId="77777777" w:rsidR="008139EA" w:rsidRPr="00365626" w:rsidRDefault="008139EA" w:rsidP="00C5490F">
      <w:pPr>
        <w:pStyle w:val="afe"/>
        <w:numPr>
          <w:ilvl w:val="0"/>
          <w:numId w:val="141"/>
        </w:numPr>
        <w:rPr>
          <w:rFonts w:cs="Times New Roman"/>
          <w:szCs w:val="24"/>
        </w:rPr>
      </w:pPr>
      <w:r w:rsidRPr="00365626">
        <w:rPr>
          <w:rFonts w:cs="Times New Roman"/>
          <w:szCs w:val="24"/>
        </w:rPr>
        <w:t>анестезиолог-реаниматолог;</w:t>
      </w:r>
    </w:p>
    <w:p w14:paraId="34ADE0CA" w14:textId="77777777" w:rsidR="008139EA" w:rsidRPr="00365626" w:rsidRDefault="008139EA" w:rsidP="00C5490F">
      <w:pPr>
        <w:pStyle w:val="afe"/>
        <w:numPr>
          <w:ilvl w:val="0"/>
          <w:numId w:val="141"/>
        </w:numPr>
        <w:rPr>
          <w:rFonts w:cs="Times New Roman"/>
          <w:szCs w:val="24"/>
        </w:rPr>
      </w:pPr>
      <w:r w:rsidRPr="00365626">
        <w:rPr>
          <w:rFonts w:cs="Times New Roman"/>
          <w:szCs w:val="24"/>
        </w:rPr>
        <w:t>эндокринолог (при наличии сопутствующей патологии);</w:t>
      </w:r>
    </w:p>
    <w:p w14:paraId="0D95836C" w14:textId="77777777" w:rsidR="008139EA" w:rsidRPr="00365626" w:rsidRDefault="008139EA" w:rsidP="00C5490F">
      <w:pPr>
        <w:pStyle w:val="afe"/>
        <w:numPr>
          <w:ilvl w:val="0"/>
          <w:numId w:val="141"/>
        </w:numPr>
        <w:rPr>
          <w:rFonts w:cs="Times New Roman"/>
          <w:szCs w:val="24"/>
        </w:rPr>
      </w:pPr>
      <w:r w:rsidRPr="00365626">
        <w:rPr>
          <w:rFonts w:cs="Times New Roman"/>
          <w:szCs w:val="24"/>
        </w:rPr>
        <w:t>кардиолог (при наличии сопутствующей патологии);</w:t>
      </w:r>
    </w:p>
    <w:p w14:paraId="3BDF7823" w14:textId="77777777" w:rsidR="008139EA" w:rsidRPr="00365626" w:rsidRDefault="008139EA" w:rsidP="00C5490F">
      <w:pPr>
        <w:pStyle w:val="afe"/>
        <w:numPr>
          <w:ilvl w:val="0"/>
          <w:numId w:val="141"/>
        </w:numPr>
        <w:rPr>
          <w:rFonts w:cs="Times New Roman"/>
          <w:szCs w:val="24"/>
        </w:rPr>
      </w:pPr>
      <w:r w:rsidRPr="00365626">
        <w:rPr>
          <w:rFonts w:cs="Times New Roman"/>
          <w:szCs w:val="24"/>
        </w:rPr>
        <w:t>невролог (при наличии сопутствующей патологии);</w:t>
      </w:r>
    </w:p>
    <w:p w14:paraId="0710AF82" w14:textId="77777777" w:rsidR="008139EA" w:rsidRPr="00365626" w:rsidRDefault="008139EA" w:rsidP="00C5490F">
      <w:pPr>
        <w:pStyle w:val="afe"/>
        <w:numPr>
          <w:ilvl w:val="0"/>
          <w:numId w:val="141"/>
        </w:numPr>
        <w:rPr>
          <w:rFonts w:cs="Times New Roman"/>
          <w:szCs w:val="24"/>
        </w:rPr>
      </w:pPr>
      <w:r w:rsidRPr="00365626">
        <w:rPr>
          <w:rFonts w:cs="Times New Roman"/>
          <w:szCs w:val="24"/>
        </w:rPr>
        <w:t>проктолог (при наличии сопутствующей патологии);</w:t>
      </w:r>
    </w:p>
    <w:p w14:paraId="2629CB12" w14:textId="77777777" w:rsidR="008139EA" w:rsidRPr="00365626" w:rsidRDefault="008139EA" w:rsidP="00C5490F">
      <w:pPr>
        <w:pStyle w:val="afe"/>
        <w:numPr>
          <w:ilvl w:val="0"/>
          <w:numId w:val="141"/>
        </w:numPr>
        <w:rPr>
          <w:rFonts w:cs="Times New Roman"/>
          <w:szCs w:val="24"/>
        </w:rPr>
      </w:pPr>
      <w:r w:rsidRPr="00365626">
        <w:rPr>
          <w:rFonts w:cs="Times New Roman"/>
          <w:szCs w:val="24"/>
        </w:rPr>
        <w:t>уролог (при наличии сопутствующей патологии).</w:t>
      </w:r>
    </w:p>
    <w:p w14:paraId="2C6037E6" w14:textId="77777777" w:rsidR="008139EA" w:rsidRPr="00365626" w:rsidRDefault="008139EA" w:rsidP="008139EA">
      <w:pPr>
        <w:pStyle w:val="afe"/>
        <w:rPr>
          <w:rFonts w:cs="Times New Roman"/>
          <w:b/>
          <w:szCs w:val="24"/>
        </w:rPr>
      </w:pPr>
    </w:p>
    <w:p w14:paraId="024D3B8A" w14:textId="77777777" w:rsidR="008139EA" w:rsidRPr="00740D71" w:rsidRDefault="008139EA" w:rsidP="008139EA">
      <w:pPr>
        <w:rPr>
          <w:rFonts w:cs="Times New Roman"/>
          <w:bCs/>
          <w:i/>
          <w:iCs/>
          <w:szCs w:val="24"/>
          <w:u w:val="single"/>
        </w:rPr>
      </w:pPr>
      <w:r w:rsidRPr="00740D71">
        <w:rPr>
          <w:rFonts w:cs="Times New Roman"/>
          <w:bCs/>
          <w:i/>
          <w:iCs/>
          <w:szCs w:val="24"/>
          <w:u w:val="single"/>
        </w:rPr>
        <w:t>Спленэктомия</w:t>
      </w:r>
    </w:p>
    <w:p w14:paraId="67F1CD76" w14:textId="609AC6C2" w:rsidR="008139EA" w:rsidRPr="00CC2C88" w:rsidRDefault="008139EA" w:rsidP="008139EA">
      <w:pPr>
        <w:ind w:firstLine="709"/>
        <w:rPr>
          <w:rFonts w:cs="Times New Roman"/>
          <w:i/>
          <w:szCs w:val="24"/>
        </w:rPr>
      </w:pPr>
      <w:r w:rsidRPr="00365626">
        <w:rPr>
          <w:rFonts w:cs="Times New Roman"/>
          <w:i/>
          <w:szCs w:val="24"/>
        </w:rPr>
        <w:t>Планирование спленэктоми</w:t>
      </w:r>
      <w:r>
        <w:rPr>
          <w:rFonts w:cs="Times New Roman"/>
          <w:i/>
          <w:szCs w:val="24"/>
        </w:rPr>
        <w:t>и</w:t>
      </w:r>
      <w:r w:rsidRPr="00CC2C88">
        <w:rPr>
          <w:rFonts w:cs="Times New Roman"/>
          <w:i/>
          <w:szCs w:val="24"/>
        </w:rPr>
        <w:t xml:space="preserve"> </w:t>
      </w:r>
      <w:r>
        <w:rPr>
          <w:rFonts w:cs="Times New Roman"/>
          <w:szCs w:val="24"/>
        </w:rPr>
        <w:fldChar w:fldCharType="begin" w:fldLock="1"/>
      </w:r>
      <w:r>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[155]","plainTextFormattedCitation":"[155]","previouslyFormattedCitation":"[1]"},"properties":{"noteIndex":0},"schema":"https://github.com/citation-style-language/schema/raw/master/csl-citation.json"}</w:instrText>
      </w:r>
      <w:r>
        <w:rPr>
          <w:rFonts w:cs="Times New Roman"/>
          <w:szCs w:val="24"/>
        </w:rPr>
        <w:fldChar w:fldCharType="separate"/>
      </w:r>
      <w:r w:rsidRPr="008139EA">
        <w:rPr>
          <w:rFonts w:cs="Times New Roman"/>
          <w:noProof/>
          <w:szCs w:val="24"/>
        </w:rPr>
        <w:t>[155]</w:t>
      </w:r>
      <w:r>
        <w:rPr>
          <w:rFonts w:cs="Times New Roman"/>
          <w:szCs w:val="24"/>
        </w:rPr>
        <w:fldChar w:fldCharType="end"/>
      </w:r>
    </w:p>
    <w:p w14:paraId="426407C7" w14:textId="77777777" w:rsidR="008139EA" w:rsidRPr="00365626" w:rsidRDefault="008139EA" w:rsidP="008139EA">
      <w:pPr>
        <w:ind w:firstLine="709"/>
        <w:rPr>
          <w:rFonts w:cs="Times New Roman"/>
          <w:szCs w:val="24"/>
        </w:rPr>
      </w:pPr>
      <w:r w:rsidRPr="00365626">
        <w:rPr>
          <w:rFonts w:cs="Times New Roman"/>
          <w:szCs w:val="24"/>
        </w:rPr>
        <w:t>Гематолог определяет показания к спленэктомии.</w:t>
      </w:r>
    </w:p>
    <w:p w14:paraId="128B3AF5" w14:textId="77777777" w:rsidR="008139EA" w:rsidRPr="00365626" w:rsidRDefault="008139EA" w:rsidP="008139EA">
      <w:pPr>
        <w:ind w:firstLine="709"/>
        <w:rPr>
          <w:rFonts w:cs="Times New Roman"/>
          <w:szCs w:val="24"/>
        </w:rPr>
      </w:pPr>
      <w:r w:rsidRPr="00365626">
        <w:rPr>
          <w:rFonts w:cs="Times New Roman"/>
          <w:szCs w:val="24"/>
        </w:rPr>
        <w:t>Возможность и сроки выполнения оперативного вмешательства, необходимые мероприятия по подготовке к операции, а также тактика ведения больного до и после оперативного вмешательства должны определяться совместно гематологом, хирургом, анестезиологом-реаниматологом и  трансфузиологом.</w:t>
      </w:r>
    </w:p>
    <w:p w14:paraId="02617E6F" w14:textId="77777777" w:rsidR="008139EA" w:rsidRPr="00365626" w:rsidRDefault="008139EA" w:rsidP="008139EA">
      <w:pPr>
        <w:ind w:firstLine="709"/>
        <w:rPr>
          <w:rFonts w:cs="Times New Roman"/>
          <w:szCs w:val="24"/>
        </w:rPr>
      </w:pPr>
      <w:r w:rsidRPr="00365626">
        <w:rPr>
          <w:rFonts w:cs="Times New Roman"/>
          <w:szCs w:val="24"/>
        </w:rPr>
        <w:t xml:space="preserve">Целесообразна вакцинация против </w:t>
      </w:r>
      <w:r w:rsidRPr="00365626">
        <w:rPr>
          <w:rFonts w:eastAsia="Arial Unicode MS" w:cs="Times New Roman"/>
          <w:i/>
          <w:szCs w:val="24"/>
          <w:lang w:val="en-US"/>
        </w:rPr>
        <w:t>Streptococcus</w:t>
      </w:r>
      <w:r w:rsidRPr="00365626">
        <w:rPr>
          <w:rFonts w:eastAsia="Arial Unicode MS" w:cs="Times New Roman"/>
          <w:i/>
          <w:szCs w:val="24"/>
        </w:rPr>
        <w:t xml:space="preserve"> </w:t>
      </w:r>
      <w:r w:rsidRPr="00365626">
        <w:rPr>
          <w:rFonts w:eastAsia="Arial Unicode MS" w:cs="Times New Roman"/>
          <w:i/>
          <w:szCs w:val="24"/>
          <w:lang w:val="en-US"/>
        </w:rPr>
        <w:t>pneumoniae</w:t>
      </w:r>
      <w:r w:rsidRPr="00365626">
        <w:rPr>
          <w:rFonts w:eastAsia="Arial Unicode MS" w:cs="Times New Roman"/>
          <w:i/>
          <w:szCs w:val="24"/>
        </w:rPr>
        <w:t xml:space="preserve">, </w:t>
      </w:r>
      <w:r w:rsidRPr="00365626">
        <w:rPr>
          <w:rFonts w:eastAsia="Arial Unicode MS" w:cs="Times New Roman"/>
          <w:i/>
          <w:szCs w:val="24"/>
          <w:lang w:val="en-US"/>
        </w:rPr>
        <w:t>Neisseria</w:t>
      </w:r>
      <w:r w:rsidRPr="00365626">
        <w:rPr>
          <w:rFonts w:eastAsia="Arial Unicode MS" w:cs="Times New Roman"/>
          <w:i/>
          <w:szCs w:val="24"/>
        </w:rPr>
        <w:t xml:space="preserve"> </w:t>
      </w:r>
      <w:r w:rsidRPr="00365626">
        <w:rPr>
          <w:rFonts w:eastAsia="Arial Unicode MS" w:cs="Times New Roman"/>
          <w:i/>
          <w:szCs w:val="24"/>
          <w:lang w:val="en-US"/>
        </w:rPr>
        <w:t>meningitidis</w:t>
      </w:r>
      <w:r w:rsidRPr="00365626">
        <w:rPr>
          <w:rFonts w:eastAsia="Arial Unicode MS" w:cs="Times New Roman"/>
          <w:i/>
          <w:szCs w:val="24"/>
        </w:rPr>
        <w:t xml:space="preserve"> и </w:t>
      </w:r>
      <w:r w:rsidRPr="00365626">
        <w:rPr>
          <w:rFonts w:eastAsia="Arial Unicode MS" w:cs="Times New Roman"/>
          <w:i/>
          <w:szCs w:val="24"/>
          <w:lang w:val="en-US"/>
        </w:rPr>
        <w:t>Haemophilus</w:t>
      </w:r>
      <w:r w:rsidRPr="00365626">
        <w:rPr>
          <w:rFonts w:eastAsia="Arial Unicode MS" w:cs="Times New Roman"/>
          <w:i/>
          <w:szCs w:val="24"/>
        </w:rPr>
        <w:t xml:space="preserve"> </w:t>
      </w:r>
      <w:r w:rsidRPr="00365626">
        <w:rPr>
          <w:rFonts w:eastAsia="Arial Unicode MS" w:cs="Times New Roman"/>
          <w:i/>
          <w:szCs w:val="24"/>
          <w:lang w:val="en-US"/>
        </w:rPr>
        <w:t>influenzae</w:t>
      </w:r>
      <w:r w:rsidRPr="00365626">
        <w:rPr>
          <w:rFonts w:eastAsia="Arial Unicode MS" w:cs="Times New Roman"/>
          <w:szCs w:val="24"/>
        </w:rPr>
        <w:t xml:space="preserve"> </w:t>
      </w:r>
      <w:r w:rsidRPr="00365626">
        <w:rPr>
          <w:rFonts w:cs="Times New Roman"/>
          <w:szCs w:val="24"/>
        </w:rPr>
        <w:t>при отсутствии противопоказаний как минимум за 2 недели до оперативного вмешательства.</w:t>
      </w:r>
    </w:p>
    <w:p w14:paraId="713C08FE" w14:textId="77777777" w:rsidR="008139EA" w:rsidRDefault="008139EA" w:rsidP="008139EA">
      <w:pPr>
        <w:rPr>
          <w:rFonts w:cs="Times New Roman"/>
          <w:i/>
          <w:szCs w:val="24"/>
        </w:rPr>
      </w:pPr>
    </w:p>
    <w:p w14:paraId="2731D99C" w14:textId="5BE1664B" w:rsidR="008139EA" w:rsidRPr="00740D71" w:rsidRDefault="008139EA" w:rsidP="008139EA">
      <w:pPr>
        <w:rPr>
          <w:rFonts w:cs="Times New Roman"/>
          <w:i/>
          <w:szCs w:val="24"/>
        </w:rPr>
      </w:pPr>
      <w:r w:rsidRPr="00740D71">
        <w:rPr>
          <w:rFonts w:cs="Times New Roman"/>
          <w:i/>
          <w:szCs w:val="24"/>
        </w:rPr>
        <w:t xml:space="preserve"> Подготовка к спленэктомии</w:t>
      </w:r>
      <w:r>
        <w:rPr>
          <w:rFonts w:cs="Times New Roman"/>
          <w:i/>
          <w:szCs w:val="24"/>
        </w:rPr>
        <w:t xml:space="preserve"> </w:t>
      </w:r>
      <w:r>
        <w:rPr>
          <w:rFonts w:cs="Times New Roman"/>
          <w:szCs w:val="24"/>
        </w:rPr>
        <w:fldChar w:fldCharType="begin" w:fldLock="1"/>
      </w:r>
      <w:r>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[155]","plainTextFormattedCitation":"[155]","previouslyFormattedCitation":"[1]"},"properties":{"noteIndex":0},"schema":"https://github.com/citation-style-language/schema/raw/master/csl-citation.json"}</w:instrText>
      </w:r>
      <w:r>
        <w:rPr>
          <w:rFonts w:cs="Times New Roman"/>
          <w:szCs w:val="24"/>
        </w:rPr>
        <w:fldChar w:fldCharType="separate"/>
      </w:r>
      <w:r w:rsidRPr="008139EA">
        <w:rPr>
          <w:rFonts w:cs="Times New Roman"/>
          <w:noProof/>
          <w:szCs w:val="24"/>
        </w:rPr>
        <w:t>[155]</w:t>
      </w:r>
      <w:r>
        <w:rPr>
          <w:rFonts w:cs="Times New Roman"/>
          <w:szCs w:val="24"/>
        </w:rPr>
        <w:fldChar w:fldCharType="end"/>
      </w:r>
    </w:p>
    <w:p w14:paraId="3E75FE47" w14:textId="77777777" w:rsidR="008139EA" w:rsidRPr="00740D71" w:rsidRDefault="008139EA" w:rsidP="008139EA">
      <w:pPr>
        <w:ind w:firstLine="709"/>
        <w:rPr>
          <w:rFonts w:cs="Times New Roman"/>
          <w:iCs/>
          <w:szCs w:val="24"/>
          <w:u w:val="single"/>
        </w:rPr>
      </w:pPr>
      <w:r w:rsidRPr="00740D71">
        <w:rPr>
          <w:rFonts w:cs="Times New Roman"/>
          <w:iCs/>
          <w:szCs w:val="24"/>
          <w:u w:val="single"/>
        </w:rPr>
        <w:t>Трансфузионная тактика:</w:t>
      </w:r>
    </w:p>
    <w:p w14:paraId="4FA8C402" w14:textId="77777777" w:rsidR="008139EA" w:rsidRPr="00365626" w:rsidRDefault="008139EA" w:rsidP="008139EA">
      <w:pPr>
        <w:ind w:firstLine="709"/>
        <w:rPr>
          <w:rFonts w:cs="Times New Roman"/>
          <w:szCs w:val="24"/>
        </w:rPr>
      </w:pPr>
      <w:r w:rsidRPr="00365626">
        <w:rPr>
          <w:rFonts w:cs="Times New Roman"/>
          <w:szCs w:val="24"/>
        </w:rPr>
        <w:t xml:space="preserve">При глубокой анемии показана трансфузия эритроцитсодержащих компонентов крови (ЭСК) с целевым уровнем </w:t>
      </w:r>
      <w:r w:rsidRPr="00365626">
        <w:rPr>
          <w:rFonts w:cs="Times New Roman"/>
          <w:szCs w:val="24"/>
          <w:lang w:val="en-US"/>
        </w:rPr>
        <w:t>Hb</w:t>
      </w:r>
      <w:r w:rsidRPr="00365626">
        <w:rPr>
          <w:rFonts w:cs="Times New Roman"/>
          <w:szCs w:val="24"/>
        </w:rPr>
        <w:t xml:space="preserve"> более 80 г/л. При невозможности компенсации анемии (острый гемолиз, трудности подбора ЭСК) выполнение спленэктомии возможно при более низких показателях гемоглобина.</w:t>
      </w:r>
    </w:p>
    <w:p w14:paraId="18744EE1" w14:textId="77777777" w:rsidR="008139EA" w:rsidRPr="00365626" w:rsidRDefault="008139EA" w:rsidP="008139EA">
      <w:pPr>
        <w:ind w:firstLine="709"/>
        <w:rPr>
          <w:rFonts w:cs="Times New Roman"/>
          <w:szCs w:val="24"/>
        </w:rPr>
      </w:pPr>
      <w:r w:rsidRPr="00365626">
        <w:rPr>
          <w:rFonts w:cs="Times New Roman"/>
          <w:szCs w:val="24"/>
        </w:rPr>
        <w:t>Глубокая тромбоцитопения менее 20х10</w:t>
      </w:r>
      <w:r w:rsidRPr="00365626">
        <w:rPr>
          <w:rFonts w:cs="Times New Roman"/>
          <w:szCs w:val="24"/>
          <w:vertAlign w:val="superscript"/>
        </w:rPr>
        <w:t>9</w:t>
      </w:r>
      <w:r w:rsidRPr="00365626">
        <w:rPr>
          <w:rFonts w:cs="Times New Roman"/>
          <w:szCs w:val="24"/>
        </w:rPr>
        <w:t xml:space="preserve">/л не является противопоказанием для выполнения спленэктомии. </w:t>
      </w:r>
    </w:p>
    <w:p w14:paraId="4102D286" w14:textId="77777777" w:rsidR="008139EA" w:rsidRPr="00365626" w:rsidRDefault="008139EA" w:rsidP="008139EA">
      <w:pPr>
        <w:ind w:firstLine="709"/>
        <w:rPr>
          <w:rFonts w:cs="Times New Roman"/>
          <w:szCs w:val="24"/>
        </w:rPr>
      </w:pPr>
      <w:r w:rsidRPr="00365626">
        <w:rPr>
          <w:rFonts w:cs="Times New Roman"/>
          <w:szCs w:val="24"/>
        </w:rPr>
        <w:t>При первичной иммунной тромбоциопении до спленэктомии с целью повышения количества тромбоцитов  возможно проведение пульс-терапии глюкокортикостероидами (ГКС), внутривенным иммуноглобулином (ВВИГ), агонистами тромбопоэтина (ромиплостим).</w:t>
      </w:r>
    </w:p>
    <w:p w14:paraId="24532EC8" w14:textId="77777777" w:rsidR="008139EA" w:rsidRPr="00365626" w:rsidRDefault="008139EA" w:rsidP="008139EA">
      <w:pPr>
        <w:ind w:firstLine="709"/>
        <w:rPr>
          <w:rFonts w:cs="Times New Roman"/>
          <w:szCs w:val="24"/>
        </w:rPr>
      </w:pPr>
      <w:r w:rsidRPr="00365626">
        <w:rPr>
          <w:rFonts w:cs="Times New Roman"/>
          <w:szCs w:val="24"/>
        </w:rPr>
        <w:t>При тромбоцитопении вследствие костно-мозговой недостаточности (апластическая анемия, МДС, первичный миелофиброз и т.д.) – трансфузии концентрата тромбоцитов целесообразно проводить в день оперативного вмешательства до интубации, интраоперациионно и при необходимости – в послеоперационном периоде. Количество переливаемых доз тромбоцитов зависит от показателей гемограммы, наличия геморрагического синдрома и инфекционного процесса, а так же от основного гематологического заболевания.</w:t>
      </w:r>
    </w:p>
    <w:p w14:paraId="263668CD" w14:textId="77777777" w:rsidR="008139EA" w:rsidRPr="00365626" w:rsidRDefault="008139EA" w:rsidP="008139EA">
      <w:pPr>
        <w:ind w:firstLine="709"/>
        <w:rPr>
          <w:rFonts w:cs="Times New Roman"/>
          <w:szCs w:val="24"/>
        </w:rPr>
      </w:pPr>
      <w:r w:rsidRPr="00365626">
        <w:rPr>
          <w:rFonts w:cs="Times New Roman"/>
          <w:szCs w:val="24"/>
        </w:rPr>
        <w:t>Для обеспечения гемостаза достаточным является количество тромбоцитов более 50х10</w:t>
      </w:r>
      <w:r w:rsidRPr="00365626">
        <w:rPr>
          <w:rFonts w:cs="Times New Roman"/>
          <w:szCs w:val="24"/>
          <w:vertAlign w:val="superscript"/>
        </w:rPr>
        <w:t>9</w:t>
      </w:r>
      <w:r w:rsidRPr="00365626">
        <w:rPr>
          <w:rFonts w:cs="Times New Roman"/>
          <w:szCs w:val="24"/>
        </w:rPr>
        <w:t xml:space="preserve">/л.  При таких показателях гемограммы трансфузии концентрата тромбоцитов обычно не проводятся, за исключением массивного интраоперационного кровотечения. </w:t>
      </w:r>
    </w:p>
    <w:p w14:paraId="105F5884" w14:textId="77777777" w:rsidR="008139EA" w:rsidRPr="00365626" w:rsidRDefault="008139EA" w:rsidP="008139EA">
      <w:pPr>
        <w:ind w:firstLine="709"/>
        <w:rPr>
          <w:rFonts w:cs="Times New Roman"/>
          <w:color w:val="000000" w:themeColor="text1"/>
          <w:szCs w:val="24"/>
        </w:rPr>
      </w:pPr>
      <w:r w:rsidRPr="00365626">
        <w:rPr>
          <w:rFonts w:cs="Times New Roman"/>
          <w:color w:val="000000" w:themeColor="text1"/>
          <w:szCs w:val="24"/>
        </w:rPr>
        <w:t xml:space="preserve">При дефиците плазменных факторов (протромбин, фибриноген, антитромбин </w:t>
      </w:r>
      <w:r w:rsidRPr="00365626">
        <w:rPr>
          <w:rFonts w:cs="Times New Roman"/>
          <w:color w:val="000000" w:themeColor="text1"/>
          <w:szCs w:val="24"/>
          <w:lang w:val="en-US"/>
        </w:rPr>
        <w:t>III</w:t>
      </w:r>
      <w:r w:rsidRPr="00365626">
        <w:rPr>
          <w:rFonts w:cs="Times New Roman"/>
          <w:color w:val="000000" w:themeColor="text1"/>
          <w:szCs w:val="24"/>
        </w:rPr>
        <w:t xml:space="preserve">) </w:t>
      </w:r>
      <w:r w:rsidRPr="00365626">
        <w:rPr>
          <w:rFonts w:cs="Times New Roman"/>
          <w:szCs w:val="24"/>
        </w:rPr>
        <w:t xml:space="preserve">рекомендуется проведение </w:t>
      </w:r>
      <w:r w:rsidRPr="00365626">
        <w:rPr>
          <w:rFonts w:cs="Times New Roman"/>
          <w:color w:val="000000" w:themeColor="text1"/>
          <w:szCs w:val="24"/>
        </w:rPr>
        <w:t xml:space="preserve">трансфузии </w:t>
      </w:r>
      <w:r w:rsidRPr="00365626">
        <w:rPr>
          <w:rFonts w:cs="Times New Roman"/>
          <w:szCs w:val="24"/>
        </w:rPr>
        <w:t>свежезамороженной плазмы</w:t>
      </w:r>
      <w:r w:rsidRPr="00365626">
        <w:rPr>
          <w:rFonts w:cs="Times New Roman"/>
          <w:color w:val="000000" w:themeColor="text1"/>
          <w:szCs w:val="24"/>
        </w:rPr>
        <w:t xml:space="preserve"> (СЗП), криопреципитата.</w:t>
      </w:r>
    </w:p>
    <w:p w14:paraId="34D383D7" w14:textId="77777777" w:rsidR="008139EA" w:rsidRPr="00365626" w:rsidRDefault="008139EA" w:rsidP="008139EA">
      <w:pPr>
        <w:ind w:firstLine="709"/>
        <w:rPr>
          <w:rFonts w:cs="Times New Roman"/>
          <w:color w:val="000000" w:themeColor="text1"/>
          <w:szCs w:val="24"/>
        </w:rPr>
      </w:pPr>
      <w:r w:rsidRPr="00365626">
        <w:rPr>
          <w:rFonts w:cs="Times New Roman"/>
          <w:color w:val="000000" w:themeColor="text1"/>
          <w:szCs w:val="24"/>
        </w:rPr>
        <w:t>При дефиците витамин К-зависимых факторов (протромбин, факторы VII, IX, X, протеины С и S) рекомендуется предоперационная терапия препаратом витамина К с выполнением повторного коагулогического исследования.</w:t>
      </w:r>
    </w:p>
    <w:p w14:paraId="31759850" w14:textId="77777777" w:rsidR="008139EA" w:rsidRPr="006D3C55" w:rsidRDefault="008139EA" w:rsidP="008139EA">
      <w:pPr>
        <w:ind w:firstLine="708"/>
        <w:rPr>
          <w:rFonts w:cs="Times New Roman"/>
          <w:iCs/>
          <w:szCs w:val="24"/>
          <w:u w:val="single"/>
        </w:rPr>
      </w:pPr>
      <w:r w:rsidRPr="006D3C55">
        <w:rPr>
          <w:rFonts w:cs="Times New Roman"/>
          <w:iCs/>
          <w:szCs w:val="24"/>
          <w:u w:val="single"/>
        </w:rPr>
        <w:t>Профилактика тромботических осложнений:</w:t>
      </w:r>
    </w:p>
    <w:p w14:paraId="0760FA4D" w14:textId="77777777" w:rsidR="008139EA" w:rsidRPr="00365626" w:rsidRDefault="008139EA" w:rsidP="008139EA">
      <w:pPr>
        <w:ind w:firstLine="709"/>
        <w:rPr>
          <w:rFonts w:cs="Times New Roman"/>
          <w:szCs w:val="24"/>
        </w:rPr>
      </w:pPr>
      <w:r w:rsidRPr="00365626">
        <w:rPr>
          <w:rFonts w:cs="Times New Roman"/>
          <w:szCs w:val="24"/>
        </w:rPr>
        <w:t xml:space="preserve">Эластическая компрессия нижних конечностей (эластичные бинты или чулки) проводится утром в день выполнения оперативного  вмешательства. </w:t>
      </w:r>
    </w:p>
    <w:p w14:paraId="2E6F0928" w14:textId="77777777" w:rsidR="008139EA" w:rsidRPr="00365626" w:rsidRDefault="008139EA" w:rsidP="008139EA">
      <w:pPr>
        <w:ind w:firstLine="709"/>
        <w:rPr>
          <w:rFonts w:cs="Times New Roman"/>
          <w:szCs w:val="24"/>
        </w:rPr>
      </w:pPr>
      <w:r w:rsidRPr="00365626">
        <w:rPr>
          <w:rFonts w:cs="Times New Roman"/>
          <w:szCs w:val="24"/>
        </w:rPr>
        <w:t>Рекомендуется назначение НМГ в профилактических дозах  у пациентов с повышенным риском развития периоперационных тромботических осложнений.</w:t>
      </w:r>
    </w:p>
    <w:p w14:paraId="74BF0B4F" w14:textId="77777777" w:rsidR="008139EA" w:rsidRPr="008271E2" w:rsidRDefault="008139EA" w:rsidP="008139EA">
      <w:pPr>
        <w:ind w:firstLine="708"/>
        <w:rPr>
          <w:rFonts w:cs="Times New Roman"/>
          <w:iCs/>
          <w:szCs w:val="24"/>
          <w:u w:val="single"/>
        </w:rPr>
      </w:pPr>
      <w:r w:rsidRPr="008271E2">
        <w:rPr>
          <w:rFonts w:cs="Times New Roman"/>
          <w:iCs/>
          <w:szCs w:val="24"/>
          <w:u w:val="single"/>
        </w:rPr>
        <w:t xml:space="preserve">Накануне в вечернее время проводится очистительная клизма. </w:t>
      </w:r>
    </w:p>
    <w:p w14:paraId="6021D659" w14:textId="77777777" w:rsidR="008139EA" w:rsidRPr="008271E2" w:rsidRDefault="008139EA" w:rsidP="008139EA">
      <w:pPr>
        <w:ind w:firstLine="708"/>
        <w:rPr>
          <w:rFonts w:cs="Times New Roman"/>
          <w:iCs/>
          <w:szCs w:val="24"/>
          <w:u w:val="single"/>
        </w:rPr>
      </w:pPr>
      <w:r w:rsidRPr="008271E2">
        <w:rPr>
          <w:rFonts w:cs="Times New Roman"/>
          <w:iCs/>
          <w:szCs w:val="24"/>
          <w:u w:val="single"/>
        </w:rPr>
        <w:t>Премедикация накануне вечером по назначению анестезиолога.</w:t>
      </w:r>
    </w:p>
    <w:p w14:paraId="0D290FE4" w14:textId="1563A32E" w:rsidR="008139EA" w:rsidRPr="00365626" w:rsidRDefault="008139EA" w:rsidP="008139EA">
      <w:pPr>
        <w:rPr>
          <w:rFonts w:cs="Times New Roman"/>
          <w:i/>
          <w:szCs w:val="24"/>
        </w:rPr>
      </w:pPr>
      <w:r w:rsidRPr="00365626">
        <w:rPr>
          <w:rFonts w:cs="Times New Roman"/>
          <w:i/>
          <w:szCs w:val="24"/>
        </w:rPr>
        <w:t>Интраоперационное ведение</w:t>
      </w:r>
      <w:r>
        <w:rPr>
          <w:rFonts w:cs="Times New Roman"/>
          <w:i/>
          <w:szCs w:val="24"/>
        </w:rPr>
        <w:t xml:space="preserve"> </w:t>
      </w:r>
      <w:r>
        <w:rPr>
          <w:rFonts w:cs="Times New Roman"/>
          <w:szCs w:val="24"/>
        </w:rPr>
        <w:fldChar w:fldCharType="begin" w:fldLock="1"/>
      </w:r>
      <w:r>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[155]","plainTextFormattedCitation":"[155]","previouslyFormattedCitation":"[1]"},"properties":{"noteIndex":0},"schema":"https://github.com/citation-style-language/schema/raw/master/csl-citation.json"}</w:instrText>
      </w:r>
      <w:r>
        <w:rPr>
          <w:rFonts w:cs="Times New Roman"/>
          <w:szCs w:val="24"/>
        </w:rPr>
        <w:fldChar w:fldCharType="separate"/>
      </w:r>
      <w:r w:rsidRPr="008139EA">
        <w:rPr>
          <w:rFonts w:cs="Times New Roman"/>
          <w:noProof/>
          <w:szCs w:val="24"/>
        </w:rPr>
        <w:t>[155]</w:t>
      </w:r>
      <w:r>
        <w:rPr>
          <w:rFonts w:cs="Times New Roman"/>
          <w:szCs w:val="24"/>
        </w:rPr>
        <w:fldChar w:fldCharType="end"/>
      </w:r>
      <w:r w:rsidRPr="00365626">
        <w:rPr>
          <w:rFonts w:cs="Times New Roman"/>
          <w:i/>
          <w:szCs w:val="24"/>
        </w:rPr>
        <w:t>:</w:t>
      </w:r>
    </w:p>
    <w:p w14:paraId="7B536575" w14:textId="77777777" w:rsidR="008139EA" w:rsidRPr="00365626" w:rsidRDefault="008139EA" w:rsidP="008139EA">
      <w:pPr>
        <w:ind w:firstLine="708"/>
        <w:rPr>
          <w:rFonts w:cs="Times New Roman"/>
          <w:szCs w:val="24"/>
        </w:rPr>
      </w:pPr>
      <w:r w:rsidRPr="00365626">
        <w:rPr>
          <w:rFonts w:cs="Times New Roman"/>
          <w:szCs w:val="24"/>
        </w:rPr>
        <w:t xml:space="preserve">Оперативное вмешательство выполняется в условиях комбинированной эндотрахеальной анестезии. На протяжении всей операции требуется глубокий уровень нейромышечного блока, что предусматривает проведение мониторинга нейромышечного проведения врачом-анестезиологом. </w:t>
      </w:r>
    </w:p>
    <w:p w14:paraId="49682C38" w14:textId="77777777" w:rsidR="008139EA" w:rsidRPr="00365626" w:rsidRDefault="008139EA" w:rsidP="008139EA">
      <w:pPr>
        <w:ind w:firstLine="708"/>
        <w:rPr>
          <w:rFonts w:cs="Times New Roman"/>
          <w:szCs w:val="24"/>
        </w:rPr>
      </w:pPr>
      <w:r w:rsidRPr="00365626">
        <w:rPr>
          <w:rFonts w:cs="Times New Roman"/>
          <w:szCs w:val="24"/>
        </w:rPr>
        <w:t>Более 80% оперируемых пациентов имеют исходные нарушения в системе гемостаза. Наиболее тяжелые отклонения требуют предоперационной подготовки компонентами крови, у остальных коррекция гемостаза выполняется непосредственно во время оперативного вмешательства.</w:t>
      </w:r>
    </w:p>
    <w:p w14:paraId="3C753DC8" w14:textId="77777777" w:rsidR="008139EA" w:rsidRPr="00365626" w:rsidRDefault="008139EA" w:rsidP="008139EA">
      <w:pPr>
        <w:ind w:firstLine="708"/>
        <w:rPr>
          <w:rFonts w:cs="Times New Roman"/>
          <w:color w:val="C00000"/>
          <w:szCs w:val="24"/>
        </w:rPr>
      </w:pPr>
      <w:r w:rsidRPr="00365626">
        <w:rPr>
          <w:rFonts w:cs="Times New Roman"/>
          <w:szCs w:val="24"/>
        </w:rPr>
        <w:t xml:space="preserve">Часто во время выполнения спленэктомии проводятся трансфузии компонентов крови (ЭСК, концентрат тромбоцитов, СЗП, криопреципитат). Объем трансфузионной терапии зависит от особенностей заболевания и течения интраоперационного периода. </w:t>
      </w:r>
      <w:r w:rsidRPr="00365626">
        <w:rPr>
          <w:rFonts w:cs="Times New Roman"/>
          <w:color w:val="000000" w:themeColor="text1"/>
          <w:szCs w:val="24"/>
        </w:rPr>
        <w:t>При глубокой тромбоцитопении (количество тромбоцитов &lt; 20х10</w:t>
      </w:r>
      <w:r w:rsidRPr="00365626">
        <w:rPr>
          <w:rFonts w:cs="Times New Roman"/>
          <w:color w:val="000000" w:themeColor="text1"/>
          <w:szCs w:val="24"/>
          <w:vertAlign w:val="superscript"/>
        </w:rPr>
        <w:t>9</w:t>
      </w:r>
      <w:r w:rsidRPr="00365626">
        <w:rPr>
          <w:rFonts w:cs="Times New Roman"/>
          <w:color w:val="000000" w:themeColor="text1"/>
          <w:szCs w:val="24"/>
        </w:rPr>
        <w:t>/л) целесообразна трансфузия концентрата тромбоцитов до начала операции и интраоперационно в зависимости от выраженности геморрагического синдрома. При иммунной тромбоцитопении трансфузия концентрата тромбоцитов рутинно не применяется, ее проведение возможно только при выраженном интраоперационном геморрагическом синдроме (целесообразно сочетание с эптакогом альфа активированным).</w:t>
      </w:r>
      <w:r w:rsidRPr="00365626">
        <w:rPr>
          <w:rFonts w:cs="Times New Roman"/>
          <w:color w:val="000000" w:themeColor="text1"/>
          <w:szCs w:val="24"/>
        </w:rPr>
        <w:tab/>
      </w:r>
    </w:p>
    <w:p w14:paraId="78CFE889" w14:textId="77777777" w:rsidR="008139EA" w:rsidRPr="00365626" w:rsidRDefault="008139EA" w:rsidP="008139EA">
      <w:pPr>
        <w:ind w:firstLine="708"/>
        <w:rPr>
          <w:rFonts w:cs="Times New Roman"/>
          <w:szCs w:val="24"/>
        </w:rPr>
      </w:pPr>
      <w:r w:rsidRPr="00365626">
        <w:rPr>
          <w:rFonts w:cs="Times New Roman"/>
          <w:szCs w:val="24"/>
        </w:rPr>
        <w:t>Для пациентов без глубокой цитопении  (гемоглобин более 80 г/л, количество тромбоцитов более 50х10</w:t>
      </w:r>
      <w:r w:rsidRPr="00365626">
        <w:rPr>
          <w:rFonts w:cs="Times New Roman"/>
          <w:szCs w:val="24"/>
          <w:vertAlign w:val="superscript"/>
        </w:rPr>
        <w:t>9</w:t>
      </w:r>
      <w:r w:rsidRPr="00365626">
        <w:rPr>
          <w:rFonts w:cs="Times New Roman"/>
          <w:szCs w:val="24"/>
        </w:rPr>
        <w:t xml:space="preserve">/л) и тяжелых коагуляционных нарушений  все вышеперечисленные компоненты крови  необходимо иметь в резерве. </w:t>
      </w:r>
    </w:p>
    <w:p w14:paraId="5B18C987" w14:textId="77777777" w:rsidR="008139EA" w:rsidRPr="00365626" w:rsidRDefault="008139EA" w:rsidP="008139EA">
      <w:pPr>
        <w:ind w:firstLine="708"/>
        <w:rPr>
          <w:rFonts w:cs="Times New Roman"/>
          <w:szCs w:val="24"/>
        </w:rPr>
      </w:pPr>
      <w:r w:rsidRPr="00365626">
        <w:rPr>
          <w:rFonts w:cs="Times New Roman"/>
          <w:szCs w:val="24"/>
        </w:rPr>
        <w:t>При выполнении спленэктомии при любом гематологическом заболевании, вне зависимости от исходных показателей гемограммы и коагулограммы, целесообразно так же иметь в арсенале концентраты факторов свертывания крови:  эптаког альфа активированный (</w:t>
      </w:r>
      <w:r w:rsidRPr="00365626">
        <w:rPr>
          <w:rFonts w:cs="Times New Roman"/>
          <w:szCs w:val="24"/>
          <w:lang w:val="en-US"/>
        </w:rPr>
        <w:t>rFVIIa</w:t>
      </w:r>
      <w:r w:rsidRPr="00365626">
        <w:rPr>
          <w:rFonts w:cs="Times New Roman"/>
          <w:szCs w:val="24"/>
        </w:rPr>
        <w:t xml:space="preserve">) и концентрат протромбинового комплекса (факторы II, VII, IX, X или  </w:t>
      </w:r>
      <w:r w:rsidRPr="00365626">
        <w:rPr>
          <w:rFonts w:cs="Times New Roman"/>
          <w:szCs w:val="24"/>
          <w:lang w:val="en-US"/>
        </w:rPr>
        <w:t>II</w:t>
      </w:r>
      <w:r w:rsidRPr="00365626">
        <w:rPr>
          <w:rFonts w:cs="Times New Roman"/>
          <w:szCs w:val="24"/>
        </w:rPr>
        <w:t xml:space="preserve">, </w:t>
      </w:r>
      <w:r w:rsidRPr="00365626">
        <w:rPr>
          <w:rFonts w:cs="Times New Roman"/>
          <w:szCs w:val="24"/>
          <w:lang w:val="en-US"/>
        </w:rPr>
        <w:t>IX</w:t>
      </w:r>
      <w:r w:rsidRPr="00365626">
        <w:rPr>
          <w:rFonts w:cs="Times New Roman"/>
          <w:szCs w:val="24"/>
        </w:rPr>
        <w:t>,</w:t>
      </w:r>
      <w:r w:rsidRPr="00365626">
        <w:rPr>
          <w:rFonts w:cs="Times New Roman"/>
          <w:szCs w:val="24"/>
          <w:lang w:val="en-US"/>
        </w:rPr>
        <w:t>X</w:t>
      </w:r>
      <w:r w:rsidRPr="00365626">
        <w:rPr>
          <w:rFonts w:cs="Times New Roman"/>
          <w:szCs w:val="24"/>
        </w:rPr>
        <w:t xml:space="preserve">). </w:t>
      </w:r>
    </w:p>
    <w:p w14:paraId="60F82053" w14:textId="77777777" w:rsidR="008139EA" w:rsidRPr="00365626" w:rsidRDefault="008139EA" w:rsidP="008139EA">
      <w:pPr>
        <w:ind w:firstLine="708"/>
        <w:rPr>
          <w:rFonts w:cs="Times New Roman"/>
          <w:szCs w:val="24"/>
        </w:rPr>
      </w:pPr>
      <w:r w:rsidRPr="00365626">
        <w:rPr>
          <w:rFonts w:cs="Times New Roman"/>
          <w:szCs w:val="24"/>
        </w:rPr>
        <w:t>Для обеспечения интраоперационного гемостаза необходим мониторинг основных параметров коагулограммы, по возможности с одновременным использованием интегральных методов исследования системы гемостаза (тромбоэластография, ротационная тромбоэластометрия).</w:t>
      </w:r>
    </w:p>
    <w:p w14:paraId="29FCF9A7" w14:textId="77777777" w:rsidR="008139EA" w:rsidRPr="00365626" w:rsidRDefault="008139EA" w:rsidP="008139EA">
      <w:pPr>
        <w:ind w:firstLine="708"/>
        <w:rPr>
          <w:rFonts w:cs="Times New Roman"/>
          <w:szCs w:val="24"/>
        </w:rPr>
      </w:pPr>
      <w:r w:rsidRPr="00365626">
        <w:rPr>
          <w:rFonts w:cs="Times New Roman"/>
          <w:szCs w:val="24"/>
        </w:rPr>
        <w:t>За час до начала оперативного вмешательства вводится антибактериальный препарат широкого спектра действия. Возможные варианты: цефазолин 2 г ± метронидазол 0,5 г, цефуроксим 1,5 г ± метронидазол 0,5 г амоксициллин/клавуланат 1,2 г, амоксициллин/сульбактам 3 г, эртапенем 1 г при коллонизации резистентными микроорганизмами. При аллергии к бета-лактамам: клиндамицин 0,9 г.</w:t>
      </w:r>
    </w:p>
    <w:p w14:paraId="69024BEA" w14:textId="77777777" w:rsidR="008139EA" w:rsidRPr="00365626" w:rsidRDefault="008139EA" w:rsidP="008139EA">
      <w:pPr>
        <w:ind w:firstLine="708"/>
        <w:rPr>
          <w:rFonts w:cs="Times New Roman"/>
          <w:szCs w:val="24"/>
          <w:vertAlign w:val="superscript"/>
        </w:rPr>
      </w:pPr>
      <w:r w:rsidRPr="00365626">
        <w:rPr>
          <w:rFonts w:cs="Times New Roman"/>
          <w:szCs w:val="24"/>
        </w:rPr>
        <w:t>При кровопотере более 1500 мл рекомендовано повторное введение антибактериального препарата. Далее антибактериальная терапия проводится только при выявлении инфекционных осложнений.</w:t>
      </w:r>
    </w:p>
    <w:p w14:paraId="18273E74" w14:textId="77777777" w:rsidR="008139EA" w:rsidRDefault="008139EA" w:rsidP="008139EA">
      <w:pPr>
        <w:rPr>
          <w:rFonts w:cs="Times New Roman"/>
          <w:b/>
          <w:szCs w:val="24"/>
        </w:rPr>
      </w:pPr>
    </w:p>
    <w:p w14:paraId="3493B7F1" w14:textId="77777777" w:rsidR="008139EA" w:rsidRPr="008271E2" w:rsidRDefault="008139EA" w:rsidP="008139EA">
      <w:pPr>
        <w:rPr>
          <w:rFonts w:cs="Times New Roman"/>
          <w:i/>
          <w:szCs w:val="24"/>
        </w:rPr>
      </w:pPr>
      <w:r w:rsidRPr="008271E2">
        <w:rPr>
          <w:rFonts w:cs="Times New Roman"/>
          <w:i/>
          <w:szCs w:val="24"/>
        </w:rPr>
        <w:t>Лапароскопическая спленэктомия</w:t>
      </w:r>
    </w:p>
    <w:p w14:paraId="22045D30" w14:textId="16529DD8" w:rsidR="008139EA" w:rsidRPr="00B26961" w:rsidRDefault="008139EA" w:rsidP="008139EA">
      <w:pPr>
        <w:rPr>
          <w:rFonts w:cs="Times New Roman"/>
          <w:iCs/>
          <w:szCs w:val="24"/>
          <w:u w:val="single"/>
          <w:vertAlign w:val="superscript"/>
          <w:lang w:val="en-US"/>
        </w:rPr>
      </w:pPr>
      <w:r w:rsidRPr="008271E2">
        <w:rPr>
          <w:rFonts w:cs="Times New Roman"/>
          <w:iCs/>
          <w:szCs w:val="24"/>
          <w:u w:val="single"/>
        </w:rPr>
        <w:t>Техника выполнения вмешательства</w:t>
      </w:r>
      <w:r>
        <w:rPr>
          <w:rFonts w:cs="Times New Roman"/>
          <w:iCs/>
          <w:szCs w:val="24"/>
          <w:u w:val="single"/>
        </w:rPr>
        <w:t xml:space="preserve"> </w:t>
      </w:r>
      <w:r>
        <w:rPr>
          <w:rFonts w:cs="Times New Roman"/>
          <w:iCs/>
          <w:szCs w:val="24"/>
          <w:u w:val="single"/>
        </w:rPr>
        <w:fldChar w:fldCharType="begin" w:fldLock="1"/>
      </w:r>
      <w:r>
        <w:rPr>
          <w:rFonts w:cs="Times New Roman"/>
          <w:iCs/>
          <w:szCs w:val="24"/>
          <w:u w:val="single"/>
        </w:rPr>
        <w:instrText>ADDIN CSL_CITATION {"citationItems":[{"id":"ITEM-1","itemData":{"DOI":"10.1007/s00464-007-9735-5","ISSN":"09302794","PMID":"18293036","abstract":"Background: Although laparoscopic splenectomy (LS) has become the standard approach for most splenectomy cases, some areas still remain controversial. To date, the indications that preclude laparoscopic splenectomy are not clearly defined. In view of this, the European Association for Endoscopic Surgery (EAES) has developed clinical practice guidelines for LS. Methods: An international expert panel was invited to appraise the current literature and to develop evidence-based recommendations. A consensus development conference using a nominal group process convened in May 2007. Its recommendations were presented at the annual EAES congress in Athens, Greece, on 5 July 2007 for discussion and further input. After a further Delphi process between the experts, the final recommendations were agreed upon. Results: Laparoscopic splenectomy is indicated for most benign and malignant hematologic diseases independently of the patient's age and body weight. Preoperative investigation is recommended for obtaining information on spleen size and volume as well as the presence of accessory splenic tissue. Preoperative vaccination against meningococcal, pneumococcal, and Haemophilus influenzae type B infections is recommended in elective cases. Perioperative anticoagulant prophylaxis with subcutaneous heparin should be administered to all patients and prolonged anticoagulant prophylaxis to high-risk patients. The choice of approach (supine [anterior], semilateral or lateral) is left to the surgeon's preference and concomitant conditions. In cases of massive splenomegaly, the hand-assisted technique should be considered to avoid conversion to open surgery and to reduce complication rates. The expert panel still considered portal hypertension and major medical comorbidities as contraindications to LS. Conclusion: Despite a lack of level 1 evidence, LS is a safe and advantageous procedure in experienced hands that has displaced open surgery for almost all indications. To support the clinical evidence, further randomized controlled trials on different issues are mandatory. © 2008 Springer Science+Business Media, LLC.","author":[{"dropping-particle":"","family":"Habermalz","given":"B.","non-dropping-particle":"","parse-names":false,"suffix":""},{"dropping-particle":"","family":"Sauerland","given":"S.","non-dropping-particle":"","parse-names":false,"suffix":""},{"dropping-particle":"","family":"Decker","given":"G.","non-dropping-particle":"","parse-names":false,"suffix":""},{"dropping-particle":"","family":"Delaitre","given":"B.","non-dropping-particle":"","parse-names":false,"suffix":""},{"dropping-particle":"","family":"Gigot","given":"J. F.","non-dropping-particle":"","parse-names":false,"suffix":""},{"dropping-particle":"","family":"Leandros","given":"E.","non-dropping-particle":"","parse-names":false,"suffix":""},{"dropping-particle":"","family":"Lechner","given":"K.","non-dropping-particle":"","parse-names":false,"suffix":""},{"dropping-particle":"","family":"Rhodes","given":"M.","non-dropping-particle":"","parse-names":false,"suffix":""},{"dropping-particle":"","family":"Silecchia","given":"G.","non-dropping-particle":"","parse-names":false,"suffix":""},{"dropping-particle":"","family":"Szold","given":"A.","non-dropping-particle":"","parse-names":false,"suffix":""},{"dropping-particle":"","family":"Targarona","given":"E.","non-dropping-particle":"","parse-names":false,"suffix":""},{"dropping-particle":"","family":"Torelli","given":"P.","non-dropping-particle":"","parse-names":false,"suffix":""},{"dropping-particle":"","family":"Neugebauer","given":"E.","non-dropping-particle":"","parse-names":false,"suffix":""}],"container-title":"Surgical Endoscopy and Other Interventional Techniques","id":"ITEM-1","issue":"4","issued":{"date-parts":[["2008","4"]]},"page":"821-848","publisher":"Surg Endosc","title":"Laparoscopic splenectomy: The clinical practice guidelines of the European Association for Endoscopic Surgery (EAES)","type":"paper-conference","volume":"22"},"uris":["http://www.mendeley.com/documents/?uuid=983b81b2-be55-354d-9ece-4e702d6423e1"]}],"mendeley":{"formattedCitation":"[156]","plainTextFormattedCitation":"[156]","previouslyFormattedCitation":"[2]"},"properties":{"noteIndex":0},"schema":"https://github.com/citation-style-language/schema/raw/master/csl-citation.json"}</w:instrText>
      </w:r>
      <w:r>
        <w:rPr>
          <w:rFonts w:cs="Times New Roman"/>
          <w:iCs/>
          <w:szCs w:val="24"/>
          <w:u w:val="single"/>
        </w:rPr>
        <w:fldChar w:fldCharType="separate"/>
      </w:r>
      <w:r w:rsidRPr="008139EA">
        <w:rPr>
          <w:rFonts w:cs="Times New Roman"/>
          <w:iCs/>
          <w:noProof/>
          <w:szCs w:val="24"/>
        </w:rPr>
        <w:t>[156]</w:t>
      </w:r>
      <w:r>
        <w:rPr>
          <w:rFonts w:cs="Times New Roman"/>
          <w:iCs/>
          <w:szCs w:val="24"/>
          <w:u w:val="single"/>
        </w:rPr>
        <w:fldChar w:fldCharType="end"/>
      </w:r>
    </w:p>
    <w:p w14:paraId="1C77BC9A" w14:textId="77777777" w:rsidR="008139EA" w:rsidRPr="00365626" w:rsidRDefault="008139EA" w:rsidP="00C5490F">
      <w:pPr>
        <w:pStyle w:val="afe"/>
        <w:numPr>
          <w:ilvl w:val="0"/>
          <w:numId w:val="138"/>
        </w:numPr>
        <w:rPr>
          <w:rFonts w:cs="Times New Roman"/>
          <w:szCs w:val="24"/>
        </w:rPr>
      </w:pPr>
      <w:r w:rsidRPr="00365626">
        <w:rPr>
          <w:rFonts w:cs="Times New Roman"/>
          <w:szCs w:val="24"/>
        </w:rPr>
        <w:t>Создание карбоксиперитонеума, установка первого троакара, осмотр брюшной полости.</w:t>
      </w:r>
    </w:p>
    <w:p w14:paraId="388B2255" w14:textId="77777777" w:rsidR="008139EA" w:rsidRPr="00365626" w:rsidRDefault="008139EA" w:rsidP="00C5490F">
      <w:pPr>
        <w:pStyle w:val="afe"/>
        <w:numPr>
          <w:ilvl w:val="0"/>
          <w:numId w:val="138"/>
        </w:numPr>
        <w:rPr>
          <w:rFonts w:cs="Times New Roman"/>
          <w:szCs w:val="24"/>
        </w:rPr>
      </w:pPr>
      <w:r w:rsidRPr="00365626">
        <w:rPr>
          <w:rFonts w:cs="Times New Roman"/>
          <w:szCs w:val="24"/>
        </w:rPr>
        <w:t>Позиционирование стола (положение пациента лежа на спине, позиция операционного стола: головной конец поднят на 30°, поворот направо на 20°).</w:t>
      </w:r>
    </w:p>
    <w:p w14:paraId="4CB0EE2B" w14:textId="77777777" w:rsidR="008139EA" w:rsidRPr="00365626" w:rsidRDefault="008139EA" w:rsidP="00C5490F">
      <w:pPr>
        <w:pStyle w:val="afe"/>
        <w:numPr>
          <w:ilvl w:val="0"/>
          <w:numId w:val="138"/>
        </w:numPr>
        <w:rPr>
          <w:rFonts w:cs="Times New Roman"/>
          <w:szCs w:val="24"/>
        </w:rPr>
      </w:pPr>
      <w:r w:rsidRPr="00365626">
        <w:rPr>
          <w:rFonts w:cs="Times New Roman"/>
          <w:szCs w:val="24"/>
        </w:rPr>
        <w:t>Установка троакаров в зависимости от размера селезенки (расположение: 1 – выше пупка, 2 – под мечевидным отростком грудины, 3, 4 – по окружности с центром ориентировочно в области ножки селезенки. «Угол атаки» по отношению к сосудам селезенки должен быть близок к 90°, что оптимально для их выделения).</w:t>
      </w:r>
    </w:p>
    <w:p w14:paraId="3AADD8EA" w14:textId="77777777" w:rsidR="008139EA" w:rsidRPr="00365626" w:rsidRDefault="008139EA" w:rsidP="00C5490F">
      <w:pPr>
        <w:pStyle w:val="afe"/>
        <w:numPr>
          <w:ilvl w:val="0"/>
          <w:numId w:val="138"/>
        </w:numPr>
        <w:rPr>
          <w:rFonts w:cs="Times New Roman"/>
          <w:szCs w:val="24"/>
        </w:rPr>
      </w:pPr>
      <w:r w:rsidRPr="00365626">
        <w:rPr>
          <w:rFonts w:cs="Times New Roman"/>
          <w:szCs w:val="24"/>
        </w:rPr>
        <w:t>Мобилизация нижнего полюса селезенки</w:t>
      </w:r>
    </w:p>
    <w:p w14:paraId="3A675510" w14:textId="77777777" w:rsidR="008139EA" w:rsidRPr="00365626" w:rsidRDefault="008139EA" w:rsidP="00C5490F">
      <w:pPr>
        <w:pStyle w:val="afe"/>
        <w:numPr>
          <w:ilvl w:val="0"/>
          <w:numId w:val="138"/>
        </w:numPr>
        <w:rPr>
          <w:rFonts w:cs="Times New Roman"/>
          <w:szCs w:val="24"/>
        </w:rPr>
      </w:pPr>
      <w:r w:rsidRPr="00365626">
        <w:rPr>
          <w:rFonts w:cs="Times New Roman"/>
          <w:szCs w:val="24"/>
        </w:rPr>
        <w:t>Пересечение желудочно-селезеночной связки</w:t>
      </w:r>
    </w:p>
    <w:p w14:paraId="2937084D" w14:textId="77777777" w:rsidR="008139EA" w:rsidRPr="00365626" w:rsidRDefault="008139EA" w:rsidP="00C5490F">
      <w:pPr>
        <w:pStyle w:val="afe"/>
        <w:numPr>
          <w:ilvl w:val="0"/>
          <w:numId w:val="138"/>
        </w:numPr>
        <w:rPr>
          <w:rFonts w:cs="Times New Roman"/>
          <w:szCs w:val="24"/>
        </w:rPr>
      </w:pPr>
      <w:r w:rsidRPr="00365626">
        <w:rPr>
          <w:rFonts w:cs="Times New Roman"/>
          <w:szCs w:val="24"/>
        </w:rPr>
        <w:t>Пересечение сосудистой ножки селезенки</w:t>
      </w:r>
    </w:p>
    <w:p w14:paraId="3F46425F" w14:textId="77777777" w:rsidR="008139EA" w:rsidRPr="00365626" w:rsidRDefault="008139EA" w:rsidP="00C5490F">
      <w:pPr>
        <w:pStyle w:val="afe"/>
        <w:numPr>
          <w:ilvl w:val="0"/>
          <w:numId w:val="138"/>
        </w:numPr>
        <w:rPr>
          <w:rFonts w:cs="Times New Roman"/>
          <w:szCs w:val="24"/>
        </w:rPr>
      </w:pPr>
      <w:r w:rsidRPr="00365626">
        <w:rPr>
          <w:rFonts w:cs="Times New Roman"/>
          <w:szCs w:val="24"/>
        </w:rPr>
        <w:t>Мобилизация верхнего полюса селезенки</w:t>
      </w:r>
    </w:p>
    <w:p w14:paraId="056D0C89" w14:textId="77777777" w:rsidR="008139EA" w:rsidRPr="00365626" w:rsidRDefault="008139EA" w:rsidP="00C5490F">
      <w:pPr>
        <w:pStyle w:val="afe"/>
        <w:numPr>
          <w:ilvl w:val="0"/>
          <w:numId w:val="138"/>
        </w:numPr>
        <w:rPr>
          <w:rFonts w:cs="Times New Roman"/>
          <w:szCs w:val="24"/>
        </w:rPr>
      </w:pPr>
      <w:r w:rsidRPr="00365626">
        <w:rPr>
          <w:rFonts w:cs="Times New Roman"/>
          <w:szCs w:val="24"/>
        </w:rPr>
        <w:t>Извлечение селезенки из брюшной полости</w:t>
      </w:r>
    </w:p>
    <w:p w14:paraId="438684F6" w14:textId="77777777" w:rsidR="008139EA" w:rsidRPr="00365626" w:rsidRDefault="008139EA" w:rsidP="00C5490F">
      <w:pPr>
        <w:pStyle w:val="afe"/>
        <w:numPr>
          <w:ilvl w:val="0"/>
          <w:numId w:val="138"/>
        </w:numPr>
        <w:rPr>
          <w:rFonts w:cs="Times New Roman"/>
          <w:szCs w:val="24"/>
        </w:rPr>
      </w:pPr>
      <w:r w:rsidRPr="00365626">
        <w:rPr>
          <w:rFonts w:cs="Times New Roman"/>
          <w:szCs w:val="24"/>
        </w:rPr>
        <w:t>Гемостаз и дренирование</w:t>
      </w:r>
      <w:r w:rsidRPr="00365626">
        <w:rPr>
          <w:rFonts w:cs="Times New Roman"/>
          <w:i/>
          <w:szCs w:val="24"/>
        </w:rPr>
        <w:t xml:space="preserve">. </w:t>
      </w:r>
    </w:p>
    <w:p w14:paraId="1AA7BD1E" w14:textId="77777777" w:rsidR="008139EA" w:rsidRPr="00365626" w:rsidRDefault="008139EA" w:rsidP="008139EA">
      <w:pPr>
        <w:ind w:firstLine="709"/>
        <w:rPr>
          <w:rFonts w:cs="Times New Roman"/>
          <w:szCs w:val="24"/>
        </w:rPr>
      </w:pPr>
      <w:r w:rsidRPr="00365626">
        <w:rPr>
          <w:rFonts w:cs="Times New Roman"/>
          <w:szCs w:val="24"/>
        </w:rPr>
        <w:t xml:space="preserve">Для безопасного выполнения лапароскопической спленэктомии целесообразно применение электролигирующего устройства </w:t>
      </w:r>
      <w:r w:rsidRPr="00365626">
        <w:rPr>
          <w:rFonts w:cs="Times New Roman"/>
          <w:szCs w:val="24"/>
          <w:lang w:val="en-US"/>
        </w:rPr>
        <w:t>LigaSure</w:t>
      </w:r>
      <w:r w:rsidRPr="00365626">
        <w:rPr>
          <w:rFonts w:cs="Times New Roman"/>
          <w:szCs w:val="24"/>
        </w:rPr>
        <w:t>, позволяющего пересекать сосуды без применения клипатора.</w:t>
      </w:r>
    </w:p>
    <w:p w14:paraId="300EE305" w14:textId="77777777" w:rsidR="008139EA" w:rsidRPr="00365626" w:rsidRDefault="008139EA" w:rsidP="008139EA">
      <w:pPr>
        <w:ind w:firstLine="709"/>
        <w:rPr>
          <w:rFonts w:cs="Times New Roman"/>
          <w:szCs w:val="24"/>
        </w:rPr>
      </w:pPr>
      <w:r w:rsidRPr="00365626">
        <w:rPr>
          <w:rFonts w:cs="Times New Roman"/>
          <w:szCs w:val="24"/>
        </w:rPr>
        <w:t>Извлечение удаленной селезенки производят в контейнере. Возможно измельчение органа и извлечение из пупочного доступа. При необходимости извлечения целого органа для гистологического исследования применяют доступ по Пфанненштилю.</w:t>
      </w:r>
    </w:p>
    <w:p w14:paraId="4627F65B" w14:textId="77777777" w:rsidR="008139EA" w:rsidRDefault="008139EA" w:rsidP="008139EA">
      <w:pPr>
        <w:rPr>
          <w:rFonts w:cs="Times New Roman"/>
          <w:b/>
          <w:szCs w:val="24"/>
        </w:rPr>
      </w:pPr>
    </w:p>
    <w:p w14:paraId="0622DC1A" w14:textId="77777777" w:rsidR="008139EA" w:rsidRPr="008271E2" w:rsidRDefault="008139EA" w:rsidP="008139EA">
      <w:pPr>
        <w:rPr>
          <w:rFonts w:cs="Times New Roman"/>
          <w:bCs/>
          <w:i/>
          <w:iCs/>
          <w:szCs w:val="24"/>
        </w:rPr>
      </w:pPr>
      <w:r w:rsidRPr="008271E2">
        <w:rPr>
          <w:rFonts w:cs="Times New Roman"/>
          <w:bCs/>
          <w:i/>
          <w:iCs/>
          <w:szCs w:val="24"/>
        </w:rPr>
        <w:t>Спленэктомия лапаротомным доступом</w:t>
      </w:r>
    </w:p>
    <w:p w14:paraId="02627929" w14:textId="0A6E0212" w:rsidR="008139EA" w:rsidRPr="008271E2" w:rsidRDefault="008139EA" w:rsidP="008139EA">
      <w:pPr>
        <w:rPr>
          <w:rFonts w:cs="Times New Roman"/>
          <w:iCs/>
          <w:szCs w:val="24"/>
          <w:u w:val="single"/>
        </w:rPr>
      </w:pPr>
      <w:r w:rsidRPr="008271E2">
        <w:rPr>
          <w:rFonts w:cs="Times New Roman"/>
          <w:iCs/>
          <w:szCs w:val="24"/>
          <w:u w:val="single"/>
        </w:rPr>
        <w:t>Техника выполнения вмешательства</w:t>
      </w:r>
      <w:r>
        <w:rPr>
          <w:rFonts w:cs="Times New Roman"/>
          <w:iCs/>
          <w:szCs w:val="24"/>
          <w:u w:val="single"/>
        </w:rPr>
        <w:t xml:space="preserve"> </w:t>
      </w:r>
      <w:r>
        <w:rPr>
          <w:rFonts w:cs="Times New Roman"/>
          <w:szCs w:val="24"/>
        </w:rPr>
        <w:fldChar w:fldCharType="begin" w:fldLock="1"/>
      </w:r>
      <w:r>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[155]","plainTextFormattedCitation":"[155]","previouslyFormattedCitation":"[1]"},"properties":{"noteIndex":0},"schema":"https://github.com/citation-style-language/schema/raw/master/csl-citation.json"}</w:instrText>
      </w:r>
      <w:r>
        <w:rPr>
          <w:rFonts w:cs="Times New Roman"/>
          <w:szCs w:val="24"/>
        </w:rPr>
        <w:fldChar w:fldCharType="separate"/>
      </w:r>
      <w:r w:rsidRPr="008139EA">
        <w:rPr>
          <w:rFonts w:cs="Times New Roman"/>
          <w:noProof/>
          <w:szCs w:val="24"/>
        </w:rPr>
        <w:t>[155]</w:t>
      </w:r>
      <w:r>
        <w:rPr>
          <w:rFonts w:cs="Times New Roman"/>
          <w:szCs w:val="24"/>
        </w:rPr>
        <w:fldChar w:fldCharType="end"/>
      </w:r>
    </w:p>
    <w:p w14:paraId="16CED7B7" w14:textId="77777777" w:rsidR="008139EA" w:rsidRPr="00365626" w:rsidRDefault="008139EA" w:rsidP="00C5490F">
      <w:pPr>
        <w:pStyle w:val="afe"/>
        <w:numPr>
          <w:ilvl w:val="0"/>
          <w:numId w:val="140"/>
        </w:numPr>
        <w:rPr>
          <w:rFonts w:cs="Times New Roman"/>
          <w:szCs w:val="24"/>
        </w:rPr>
      </w:pPr>
      <w:r w:rsidRPr="00365626">
        <w:rPr>
          <w:rFonts w:cs="Times New Roman"/>
          <w:szCs w:val="24"/>
        </w:rPr>
        <w:t>Срединный разрез от мечевидного отростка до пупка либо косой – в левом подреберье.</w:t>
      </w:r>
    </w:p>
    <w:p w14:paraId="18363557" w14:textId="77777777" w:rsidR="008139EA" w:rsidRPr="00365626" w:rsidRDefault="008139EA" w:rsidP="00C5490F">
      <w:pPr>
        <w:pStyle w:val="afe"/>
        <w:numPr>
          <w:ilvl w:val="0"/>
          <w:numId w:val="140"/>
        </w:numPr>
        <w:rPr>
          <w:rFonts w:cs="Times New Roman"/>
          <w:szCs w:val="24"/>
        </w:rPr>
      </w:pPr>
      <w:r w:rsidRPr="00365626">
        <w:rPr>
          <w:rFonts w:cs="Times New Roman"/>
          <w:szCs w:val="24"/>
        </w:rPr>
        <w:t>Пересечение желудочно-селезеночной связки с лигированием сосудов.</w:t>
      </w:r>
    </w:p>
    <w:p w14:paraId="72A91B60" w14:textId="77777777" w:rsidR="008139EA" w:rsidRPr="00365626" w:rsidRDefault="008139EA" w:rsidP="00C5490F">
      <w:pPr>
        <w:pStyle w:val="afe"/>
        <w:numPr>
          <w:ilvl w:val="0"/>
          <w:numId w:val="140"/>
        </w:numPr>
        <w:rPr>
          <w:rFonts w:cs="Times New Roman"/>
          <w:szCs w:val="24"/>
        </w:rPr>
      </w:pPr>
      <w:r w:rsidRPr="00365626">
        <w:rPr>
          <w:rFonts w:cs="Times New Roman"/>
          <w:szCs w:val="24"/>
        </w:rPr>
        <w:t>Рассечение селезеночно-диафрагмальной связки и мобилизация верхнего полюса селезенки</w:t>
      </w:r>
    </w:p>
    <w:p w14:paraId="5C8C2ABC" w14:textId="77777777" w:rsidR="008139EA" w:rsidRPr="00365626" w:rsidRDefault="008139EA" w:rsidP="00C5490F">
      <w:pPr>
        <w:pStyle w:val="afe"/>
        <w:numPr>
          <w:ilvl w:val="0"/>
          <w:numId w:val="139"/>
        </w:numPr>
        <w:rPr>
          <w:rFonts w:cs="Times New Roman"/>
          <w:szCs w:val="24"/>
        </w:rPr>
      </w:pPr>
      <w:r w:rsidRPr="00365626">
        <w:rPr>
          <w:rFonts w:cs="Times New Roman"/>
          <w:szCs w:val="24"/>
        </w:rPr>
        <w:t>Пересечение селезеночно</w:t>
      </w:r>
      <w:r w:rsidRPr="00365626">
        <w:rPr>
          <w:rFonts w:cs="Times New Roman"/>
          <w:szCs w:val="24"/>
        </w:rPr>
        <w:noBreakHyphen/>
        <w:t xml:space="preserve">толстокишечной связки у нижнего полюса. </w:t>
      </w:r>
    </w:p>
    <w:p w14:paraId="085047B1" w14:textId="77777777" w:rsidR="008139EA" w:rsidRPr="00365626" w:rsidRDefault="008139EA" w:rsidP="00C5490F">
      <w:pPr>
        <w:pStyle w:val="afe"/>
        <w:numPr>
          <w:ilvl w:val="0"/>
          <w:numId w:val="139"/>
        </w:numPr>
        <w:rPr>
          <w:rFonts w:cs="Times New Roman"/>
          <w:szCs w:val="24"/>
        </w:rPr>
      </w:pPr>
      <w:r w:rsidRPr="00365626">
        <w:rPr>
          <w:rFonts w:cs="Times New Roman"/>
          <w:szCs w:val="24"/>
        </w:rPr>
        <w:t>Рассечение брюшины над сосудистой ножкой и перевязка сосудов селезенки in situ. Диссектором выделяют, раздельно лигируют и пересекают либо основной ствол артерии и вены, либо 2–3 ветви сосудов. Следует избегать контакта с хвостом поджелудочной железы.</w:t>
      </w:r>
    </w:p>
    <w:p w14:paraId="0ADAF92B" w14:textId="77777777" w:rsidR="008139EA" w:rsidRPr="00365626" w:rsidRDefault="008139EA" w:rsidP="00C5490F">
      <w:pPr>
        <w:pStyle w:val="afe"/>
        <w:numPr>
          <w:ilvl w:val="0"/>
          <w:numId w:val="139"/>
        </w:numPr>
        <w:rPr>
          <w:rFonts w:cs="Times New Roman"/>
          <w:szCs w:val="24"/>
        </w:rPr>
      </w:pPr>
      <w:r w:rsidRPr="00365626">
        <w:rPr>
          <w:rFonts w:cs="Times New Roman"/>
          <w:szCs w:val="24"/>
        </w:rPr>
        <w:t>Разделение сращения наружной и задней поверхностей селезенки с париетальной брюшиной диафрагмы и боковой стенкой живота и удаление органа.</w:t>
      </w:r>
    </w:p>
    <w:p w14:paraId="0D958C04" w14:textId="77777777" w:rsidR="008139EA" w:rsidRPr="00365626" w:rsidRDefault="008139EA" w:rsidP="00C5490F">
      <w:pPr>
        <w:pStyle w:val="afe"/>
        <w:numPr>
          <w:ilvl w:val="0"/>
          <w:numId w:val="139"/>
        </w:numPr>
        <w:rPr>
          <w:rFonts w:cs="Times New Roman"/>
          <w:szCs w:val="24"/>
        </w:rPr>
      </w:pPr>
      <w:r w:rsidRPr="00365626">
        <w:rPr>
          <w:rFonts w:cs="Times New Roman"/>
          <w:szCs w:val="24"/>
        </w:rPr>
        <w:t>Гемостаз, дренирование брюшной полости.</w:t>
      </w:r>
    </w:p>
    <w:p w14:paraId="3D291B11" w14:textId="77777777" w:rsidR="008139EA" w:rsidRPr="00365626" w:rsidRDefault="008139EA" w:rsidP="008139EA">
      <w:pPr>
        <w:ind w:firstLine="709"/>
        <w:rPr>
          <w:rFonts w:cs="Times New Roman"/>
          <w:color w:val="C00000"/>
          <w:szCs w:val="24"/>
        </w:rPr>
      </w:pPr>
      <w:r w:rsidRPr="00365626">
        <w:rPr>
          <w:rFonts w:cs="Times New Roman"/>
          <w:szCs w:val="24"/>
        </w:rPr>
        <w:t>При больших размерах селезенки, перисплените и портальной гипертензии оперативное вмешательство может быть травматичным, возможна одномоментная массивная кровопотеря. Это необходимо предусмотреть при планировании и проведении анестезиологического пособия, используя трансфузиологические среды, аутогемотрансфузию с помощью аппарата Cell Saver. Чрезмерная тракция при выведении селезенки в лапаротомную рану может привести к надрыву хвоста поджелудочной железы, развитию кровотечения, послеоперационного панкреатита.  При интраоперационной травме поджелудочной железы возможно применение аналогов соматостатина.</w:t>
      </w:r>
    </w:p>
    <w:p w14:paraId="6D003C0E" w14:textId="77777777" w:rsidR="008139EA" w:rsidRPr="00365626" w:rsidRDefault="008139EA" w:rsidP="008139EA">
      <w:pPr>
        <w:ind w:firstLine="709"/>
        <w:rPr>
          <w:rFonts w:cs="Times New Roman"/>
          <w:szCs w:val="24"/>
        </w:rPr>
      </w:pPr>
      <w:r w:rsidRPr="00365626">
        <w:rPr>
          <w:rFonts w:cs="Times New Roman"/>
          <w:szCs w:val="24"/>
        </w:rPr>
        <w:t>Дренаж в левое поддиафрагмальное пространство устанавливают при травме хвоста поджелудочной железы, так как возможно формирование панкреатической фистулы.</w:t>
      </w:r>
    </w:p>
    <w:p w14:paraId="3D0CDFF8" w14:textId="77777777" w:rsidR="008139EA" w:rsidRDefault="008139EA" w:rsidP="008139EA">
      <w:pPr>
        <w:ind w:firstLine="709"/>
        <w:rPr>
          <w:rFonts w:cs="Times New Roman"/>
          <w:szCs w:val="24"/>
        </w:rPr>
      </w:pPr>
      <w:r w:rsidRPr="00365626">
        <w:rPr>
          <w:rFonts w:cs="Times New Roman"/>
          <w:szCs w:val="24"/>
        </w:rPr>
        <w:t xml:space="preserve">Необходим контроль активности амилазы в отделяемом по дренажу. При повышении активности амилазы дренирование продолжают до ее нормализации или прекращения  поступления отделяемого. </w:t>
      </w:r>
    </w:p>
    <w:p w14:paraId="31F902BD" w14:textId="77777777" w:rsidR="008139EA" w:rsidRPr="00365626" w:rsidRDefault="008139EA" w:rsidP="008139EA">
      <w:pPr>
        <w:ind w:firstLine="709"/>
        <w:rPr>
          <w:rFonts w:cs="Times New Roman"/>
          <w:szCs w:val="24"/>
        </w:rPr>
      </w:pPr>
    </w:p>
    <w:p w14:paraId="38EAD7BD" w14:textId="77777777" w:rsidR="008139EA" w:rsidRPr="008271E2" w:rsidRDefault="008139EA" w:rsidP="008139EA">
      <w:pPr>
        <w:rPr>
          <w:rFonts w:cs="Times New Roman"/>
          <w:bCs/>
          <w:i/>
          <w:iCs/>
          <w:szCs w:val="24"/>
        </w:rPr>
      </w:pPr>
      <w:r w:rsidRPr="008271E2">
        <w:rPr>
          <w:rFonts w:cs="Times New Roman"/>
          <w:bCs/>
          <w:i/>
          <w:iCs/>
          <w:szCs w:val="24"/>
        </w:rPr>
        <w:t>Исследование удаленной селезенки, печени и лимфатического узла</w:t>
      </w:r>
    </w:p>
    <w:p w14:paraId="246347A7" w14:textId="77777777" w:rsidR="008139EA" w:rsidRPr="00365626" w:rsidRDefault="008139EA" w:rsidP="008139EA">
      <w:pPr>
        <w:ind w:firstLine="708"/>
        <w:rPr>
          <w:rFonts w:cs="Times New Roman"/>
          <w:szCs w:val="24"/>
        </w:rPr>
      </w:pPr>
      <w:r w:rsidRPr="00365626">
        <w:rPr>
          <w:rFonts w:cs="Times New Roman"/>
          <w:szCs w:val="24"/>
        </w:rPr>
        <w:t>При выполнении спленэктомии для всех гематологических больных необходимо выполнять краевую биопсию печени для гистологической верификации патологического процесса, а так же при выявлении увеличенных лимфатических узлов и биопсию лимфатического узла.</w:t>
      </w:r>
    </w:p>
    <w:p w14:paraId="0FC08AEB" w14:textId="77777777" w:rsidR="008139EA" w:rsidRPr="00365626" w:rsidRDefault="008139EA" w:rsidP="008139EA">
      <w:pPr>
        <w:ind w:firstLine="708"/>
        <w:rPr>
          <w:rFonts w:cs="Times New Roman"/>
          <w:szCs w:val="24"/>
        </w:rPr>
      </w:pPr>
      <w:r w:rsidRPr="00365626">
        <w:rPr>
          <w:rFonts w:cs="Times New Roman"/>
          <w:szCs w:val="24"/>
        </w:rPr>
        <w:t>Во всех случаях проводят исследования селезенки, биоптата печени и лимфатического узла:</w:t>
      </w:r>
    </w:p>
    <w:p w14:paraId="689E0427" w14:textId="77777777" w:rsidR="008139EA" w:rsidRPr="00365626" w:rsidRDefault="008139EA" w:rsidP="00C5490F">
      <w:pPr>
        <w:pStyle w:val="afe"/>
        <w:numPr>
          <w:ilvl w:val="0"/>
          <w:numId w:val="144"/>
        </w:numPr>
        <w:rPr>
          <w:rFonts w:cs="Times New Roman"/>
          <w:szCs w:val="24"/>
        </w:rPr>
      </w:pPr>
      <w:r w:rsidRPr="00365626">
        <w:rPr>
          <w:rFonts w:cs="Times New Roman"/>
          <w:szCs w:val="24"/>
        </w:rPr>
        <w:t xml:space="preserve">гистологическое исследование; </w:t>
      </w:r>
    </w:p>
    <w:p w14:paraId="11124182" w14:textId="77777777" w:rsidR="008139EA" w:rsidRPr="00365626" w:rsidRDefault="008139EA" w:rsidP="00C5490F">
      <w:pPr>
        <w:pStyle w:val="afe"/>
        <w:numPr>
          <w:ilvl w:val="0"/>
          <w:numId w:val="144"/>
        </w:numPr>
        <w:rPr>
          <w:rFonts w:cs="Times New Roman"/>
          <w:szCs w:val="24"/>
        </w:rPr>
      </w:pPr>
      <w:r w:rsidRPr="00365626">
        <w:rPr>
          <w:rFonts w:cs="Times New Roman"/>
          <w:szCs w:val="24"/>
        </w:rPr>
        <w:t>цитологическое исследование (отпечатки)</w:t>
      </w:r>
    </w:p>
    <w:p w14:paraId="0467DCF1" w14:textId="77777777" w:rsidR="008139EA" w:rsidRPr="00365626" w:rsidRDefault="008139EA" w:rsidP="008139EA">
      <w:pPr>
        <w:ind w:left="360"/>
        <w:rPr>
          <w:rFonts w:cs="Times New Roman"/>
          <w:szCs w:val="24"/>
        </w:rPr>
      </w:pPr>
      <w:r w:rsidRPr="00365626">
        <w:rPr>
          <w:rFonts w:cs="Times New Roman"/>
          <w:szCs w:val="24"/>
        </w:rPr>
        <w:t>при показаниях в зависимости от гематологического диагноза исследования биоптатов селезенки, печени, лимфоузла дополнительно выполняются:</w:t>
      </w:r>
    </w:p>
    <w:p w14:paraId="1F93AC52" w14:textId="77777777" w:rsidR="008139EA" w:rsidRPr="00365626" w:rsidRDefault="008139EA" w:rsidP="00C5490F">
      <w:pPr>
        <w:pStyle w:val="afe"/>
        <w:numPr>
          <w:ilvl w:val="0"/>
          <w:numId w:val="144"/>
        </w:numPr>
        <w:rPr>
          <w:rFonts w:cs="Times New Roman"/>
          <w:szCs w:val="24"/>
        </w:rPr>
      </w:pPr>
      <w:r w:rsidRPr="00365626">
        <w:rPr>
          <w:rFonts w:cs="Times New Roman"/>
          <w:szCs w:val="24"/>
        </w:rPr>
        <w:t>иммуногистохимическое исследование;</w:t>
      </w:r>
    </w:p>
    <w:p w14:paraId="7F46840D" w14:textId="77777777" w:rsidR="008139EA" w:rsidRPr="00365626" w:rsidRDefault="008139EA" w:rsidP="00C5490F">
      <w:pPr>
        <w:pStyle w:val="afe"/>
        <w:numPr>
          <w:ilvl w:val="0"/>
          <w:numId w:val="144"/>
        </w:numPr>
        <w:rPr>
          <w:rFonts w:cs="Times New Roman"/>
          <w:szCs w:val="24"/>
        </w:rPr>
      </w:pPr>
      <w:r w:rsidRPr="00365626">
        <w:rPr>
          <w:rFonts w:cs="Times New Roman"/>
          <w:szCs w:val="24"/>
        </w:rPr>
        <w:t>иммунофенотипическое исследование;</w:t>
      </w:r>
    </w:p>
    <w:p w14:paraId="4F44E4C0" w14:textId="77777777" w:rsidR="008139EA" w:rsidRPr="00365626" w:rsidRDefault="008139EA" w:rsidP="00C5490F">
      <w:pPr>
        <w:pStyle w:val="afe"/>
        <w:numPr>
          <w:ilvl w:val="0"/>
          <w:numId w:val="144"/>
        </w:numPr>
        <w:rPr>
          <w:rFonts w:cs="Times New Roman"/>
          <w:szCs w:val="24"/>
        </w:rPr>
      </w:pPr>
      <w:r w:rsidRPr="00365626">
        <w:rPr>
          <w:rFonts w:cs="Times New Roman"/>
          <w:szCs w:val="24"/>
        </w:rPr>
        <w:t>цитогенетическое исследование;</w:t>
      </w:r>
    </w:p>
    <w:p w14:paraId="210887AC" w14:textId="77777777" w:rsidR="008139EA" w:rsidRPr="00365626" w:rsidRDefault="008139EA" w:rsidP="00C5490F">
      <w:pPr>
        <w:pStyle w:val="afe"/>
        <w:numPr>
          <w:ilvl w:val="0"/>
          <w:numId w:val="144"/>
        </w:numPr>
        <w:rPr>
          <w:rFonts w:cs="Times New Roman"/>
          <w:szCs w:val="24"/>
        </w:rPr>
      </w:pPr>
      <w:r w:rsidRPr="00365626">
        <w:rPr>
          <w:rFonts w:cs="Times New Roman"/>
          <w:szCs w:val="24"/>
        </w:rPr>
        <w:t>молекулярно-генетические / молекулярно-биологические исследования исследования: Т и В–клеточная клональность и другие (по показаниям);</w:t>
      </w:r>
    </w:p>
    <w:p w14:paraId="5F4996DE" w14:textId="77777777" w:rsidR="008139EA" w:rsidRPr="00365626" w:rsidRDefault="008139EA" w:rsidP="00C5490F">
      <w:pPr>
        <w:pStyle w:val="afe"/>
        <w:numPr>
          <w:ilvl w:val="0"/>
          <w:numId w:val="144"/>
        </w:numPr>
        <w:rPr>
          <w:rFonts w:cs="Times New Roman"/>
          <w:szCs w:val="24"/>
        </w:rPr>
      </w:pPr>
      <w:r w:rsidRPr="00365626">
        <w:rPr>
          <w:rFonts w:cs="Times New Roman"/>
          <w:szCs w:val="24"/>
        </w:rPr>
        <w:t>вирусологические исследования – ПЦР ДНК вируса гепатита В, ПЦР РНК вируса гепатита С, ПЦР ДНК вирусов группы герпеса (ВПГ, ВЭБ, ЦМВ и т.д.) (по показаниям).</w:t>
      </w:r>
    </w:p>
    <w:p w14:paraId="252DA422" w14:textId="77777777" w:rsidR="008139EA" w:rsidRDefault="008139EA" w:rsidP="008139EA">
      <w:pPr>
        <w:rPr>
          <w:rFonts w:cs="Times New Roman"/>
          <w:b/>
          <w:szCs w:val="24"/>
        </w:rPr>
      </w:pPr>
    </w:p>
    <w:p w14:paraId="62FE6BE4" w14:textId="6D913A2D" w:rsidR="008139EA" w:rsidRPr="008271E2" w:rsidRDefault="008139EA" w:rsidP="008139EA">
      <w:pPr>
        <w:rPr>
          <w:rFonts w:cs="Times New Roman"/>
          <w:bCs/>
          <w:i/>
          <w:iCs/>
          <w:szCs w:val="24"/>
        </w:rPr>
      </w:pPr>
      <w:r w:rsidRPr="008271E2">
        <w:rPr>
          <w:rFonts w:cs="Times New Roman"/>
          <w:bCs/>
          <w:i/>
          <w:iCs/>
          <w:szCs w:val="24"/>
        </w:rPr>
        <w:t>Послеоперационный период</w:t>
      </w:r>
      <w:r>
        <w:rPr>
          <w:rFonts w:cs="Times New Roman"/>
          <w:bCs/>
          <w:i/>
          <w:iCs/>
          <w:szCs w:val="24"/>
        </w:rPr>
        <w:t xml:space="preserve"> </w:t>
      </w:r>
      <w:r>
        <w:rPr>
          <w:rFonts w:cs="Times New Roman"/>
          <w:szCs w:val="24"/>
        </w:rPr>
        <w:fldChar w:fldCharType="begin" w:fldLock="1"/>
      </w:r>
      <w:r>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[155]","plainTextFormattedCitation":"[155]","previouslyFormattedCitation":"[1]"},"properties":{"noteIndex":0},"schema":"https://github.com/citation-style-language/schema/raw/master/csl-citation.json"}</w:instrText>
      </w:r>
      <w:r>
        <w:rPr>
          <w:rFonts w:cs="Times New Roman"/>
          <w:szCs w:val="24"/>
        </w:rPr>
        <w:fldChar w:fldCharType="separate"/>
      </w:r>
      <w:r w:rsidRPr="008139EA">
        <w:rPr>
          <w:rFonts w:cs="Times New Roman"/>
          <w:noProof/>
          <w:szCs w:val="24"/>
        </w:rPr>
        <w:t>[155]</w:t>
      </w:r>
      <w:r>
        <w:rPr>
          <w:rFonts w:cs="Times New Roman"/>
          <w:szCs w:val="24"/>
        </w:rPr>
        <w:fldChar w:fldCharType="end"/>
      </w:r>
    </w:p>
    <w:p w14:paraId="557DE4DD" w14:textId="77777777" w:rsidR="008139EA" w:rsidRPr="00365626" w:rsidRDefault="008139EA" w:rsidP="008139EA">
      <w:pPr>
        <w:ind w:firstLine="709"/>
        <w:rPr>
          <w:rFonts w:cs="Times New Roman"/>
          <w:szCs w:val="24"/>
        </w:rPr>
      </w:pPr>
      <w:r w:rsidRPr="00365626">
        <w:rPr>
          <w:rFonts w:cs="Times New Roman"/>
          <w:szCs w:val="24"/>
        </w:rPr>
        <w:t>Ежедневное наблюдение должно осуществляться совместно хирургом и гематологом. Обязательно наблюдение в условиях реанимационного отделения (палаты интенсивной терапии) в течение 2 часов после операции. Дальнейшее пребывание в реанимационном отделении зависит от возраста и соматического статуса пациента, объема кровопотери и наличия инфекционных осложнений.</w:t>
      </w:r>
    </w:p>
    <w:p w14:paraId="59C1E6B9" w14:textId="77777777" w:rsidR="008139EA" w:rsidRPr="00365626" w:rsidRDefault="008139EA" w:rsidP="008139EA">
      <w:pPr>
        <w:ind w:firstLine="709"/>
        <w:rPr>
          <w:rFonts w:cs="Times New Roman"/>
          <w:szCs w:val="24"/>
        </w:rPr>
      </w:pPr>
      <w:r w:rsidRPr="00365626">
        <w:rPr>
          <w:rFonts w:cs="Times New Roman"/>
          <w:szCs w:val="24"/>
        </w:rPr>
        <w:t xml:space="preserve">Проводятся мероприятия, направленные на раннюю активизацию пациента. Через 2-4 часа разрешается сидеть и стоять у постели, при отсутствии диспептических явлений разрешен прием жидкостей </w:t>
      </w:r>
      <w:r w:rsidRPr="00365626">
        <w:rPr>
          <w:rFonts w:cs="Times New Roman"/>
          <w:szCs w:val="24"/>
          <w:lang w:val="en-US"/>
        </w:rPr>
        <w:t>per</w:t>
      </w:r>
      <w:r w:rsidRPr="00365626">
        <w:rPr>
          <w:rFonts w:cs="Times New Roman"/>
          <w:szCs w:val="24"/>
        </w:rPr>
        <w:t xml:space="preserve"> </w:t>
      </w:r>
      <w:r w:rsidRPr="00365626">
        <w:rPr>
          <w:rFonts w:cs="Times New Roman"/>
          <w:szCs w:val="24"/>
          <w:lang w:val="en-US"/>
        </w:rPr>
        <w:t>os</w:t>
      </w:r>
      <w:r w:rsidRPr="00365626">
        <w:rPr>
          <w:rFonts w:cs="Times New Roman"/>
          <w:szCs w:val="24"/>
        </w:rPr>
        <w:t>, возобновление питания через 12-24 часа после операции.</w:t>
      </w:r>
    </w:p>
    <w:p w14:paraId="7EBD2B62" w14:textId="77777777" w:rsidR="008139EA" w:rsidRPr="00365626" w:rsidRDefault="008139EA" w:rsidP="008139EA">
      <w:pPr>
        <w:ind w:firstLine="709"/>
        <w:rPr>
          <w:rFonts w:cs="Times New Roman"/>
          <w:szCs w:val="24"/>
        </w:rPr>
      </w:pPr>
      <w:r w:rsidRPr="00365626">
        <w:rPr>
          <w:rFonts w:cs="Times New Roman"/>
          <w:szCs w:val="24"/>
        </w:rPr>
        <w:t>В раннем послеоперационном периоде необходим контроль клинического анализа крови, коагулограммы и при необходимости проведение профилактической антикоагулянтной /антиагрегантной терапии.</w:t>
      </w:r>
    </w:p>
    <w:p w14:paraId="3A36492F" w14:textId="77777777" w:rsidR="008139EA" w:rsidRDefault="008139EA" w:rsidP="008139EA">
      <w:pPr>
        <w:ind w:firstLine="709"/>
        <w:rPr>
          <w:rFonts w:cs="Times New Roman"/>
          <w:szCs w:val="24"/>
        </w:rPr>
      </w:pPr>
      <w:r w:rsidRPr="00365626">
        <w:rPr>
          <w:rFonts w:cs="Times New Roman"/>
          <w:szCs w:val="24"/>
        </w:rPr>
        <w:t>При наличии рисков тромботических осложнений (ожирение, гемобластозы, аутоиммунный гемолиз) – возможно назначение антикоагулянтной терапии в первые сутки после операции. Решение о назначении антикоагулянтной терапии принимается индивидуально в каждом конкретном случае. При назначении антикоагулянтной терапии следует учитывать количество тромбоцитов, темп прироста тромбоцитов, показатели гемограммы, выраженность геморрагического синдрома. Доза НМГ рассчитывается в зависимости от массы тела.</w:t>
      </w:r>
    </w:p>
    <w:p w14:paraId="4FA27035" w14:textId="77777777" w:rsidR="008139EA" w:rsidRPr="00365626" w:rsidRDefault="008139EA" w:rsidP="008139EA">
      <w:pPr>
        <w:ind w:firstLine="709"/>
        <w:rPr>
          <w:rFonts w:cs="Times New Roman"/>
          <w:szCs w:val="24"/>
        </w:rPr>
      </w:pPr>
    </w:p>
    <w:p w14:paraId="25B77CD1" w14:textId="0CD35E4F" w:rsidR="008139EA" w:rsidRPr="00573539" w:rsidRDefault="008139EA" w:rsidP="008139EA">
      <w:pPr>
        <w:rPr>
          <w:rFonts w:cs="Times New Roman"/>
          <w:bCs/>
          <w:i/>
          <w:iCs/>
          <w:szCs w:val="24"/>
          <w:u w:val="single"/>
        </w:rPr>
      </w:pPr>
      <w:r w:rsidRPr="00573539">
        <w:rPr>
          <w:rFonts w:cs="Times New Roman"/>
          <w:bCs/>
          <w:i/>
          <w:iCs/>
          <w:szCs w:val="24"/>
          <w:u w:val="single"/>
        </w:rPr>
        <w:t>Алгоритм действий при повышении температуры тела в раннем послеоперационном периоде после спленэктомии</w:t>
      </w:r>
      <w:r>
        <w:rPr>
          <w:rFonts w:cs="Times New Roman"/>
          <w:bCs/>
          <w:i/>
          <w:iCs/>
          <w:szCs w:val="24"/>
          <w:u w:val="single"/>
        </w:rPr>
        <w:t xml:space="preserve"> </w:t>
      </w:r>
      <w:r>
        <w:rPr>
          <w:rFonts w:cs="Times New Roman"/>
          <w:szCs w:val="24"/>
        </w:rPr>
        <w:fldChar w:fldCharType="begin" w:fldLock="1"/>
      </w:r>
      <w:r>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[155]","plainTextFormattedCitation":"[155]","previouslyFormattedCitation":"[1]"},"properties":{"noteIndex":0},"schema":"https://github.com/citation-style-language/schema/raw/master/csl-citation.json"}</w:instrText>
      </w:r>
      <w:r>
        <w:rPr>
          <w:rFonts w:cs="Times New Roman"/>
          <w:szCs w:val="24"/>
        </w:rPr>
        <w:fldChar w:fldCharType="separate"/>
      </w:r>
      <w:r w:rsidRPr="008139EA">
        <w:rPr>
          <w:rFonts w:cs="Times New Roman"/>
          <w:noProof/>
          <w:szCs w:val="24"/>
        </w:rPr>
        <w:t>[155]</w:t>
      </w:r>
      <w:r>
        <w:rPr>
          <w:rFonts w:cs="Times New Roman"/>
          <w:szCs w:val="24"/>
        </w:rPr>
        <w:fldChar w:fldCharType="end"/>
      </w:r>
    </w:p>
    <w:p w14:paraId="0B3C366B" w14:textId="77777777" w:rsidR="008139EA" w:rsidRDefault="008139EA" w:rsidP="008139EA">
      <w:pPr>
        <w:ind w:firstLine="709"/>
        <w:rPr>
          <w:rFonts w:cs="Times New Roman"/>
          <w:szCs w:val="24"/>
        </w:rPr>
      </w:pPr>
      <w:r w:rsidRPr="00365626">
        <w:rPr>
          <w:rFonts w:cs="Times New Roman"/>
          <w:i/>
          <w:szCs w:val="24"/>
        </w:rPr>
        <w:t xml:space="preserve">Наиболее вероятные причины гипертермии в послеоперационном периоде: </w:t>
      </w:r>
      <w:r w:rsidRPr="00365626">
        <w:rPr>
          <w:rFonts w:cs="Times New Roman"/>
          <w:szCs w:val="24"/>
        </w:rPr>
        <w:t xml:space="preserve">послеоперационная пневмония, тромбоз вен портальной системы, поддиафрагмальный абсцесс. </w:t>
      </w:r>
    </w:p>
    <w:p w14:paraId="20006E35" w14:textId="77777777" w:rsidR="008139EA" w:rsidRPr="00365626" w:rsidRDefault="008139EA" w:rsidP="008139EA">
      <w:pPr>
        <w:ind w:firstLine="709"/>
        <w:rPr>
          <w:rFonts w:cs="Times New Roman"/>
          <w:color w:val="C00000"/>
          <w:szCs w:val="24"/>
        </w:rPr>
      </w:pPr>
    </w:p>
    <w:p w14:paraId="4B9097BB" w14:textId="0204C760" w:rsidR="008139EA" w:rsidRPr="00365626" w:rsidRDefault="008139EA" w:rsidP="008139EA">
      <w:pPr>
        <w:ind w:firstLine="709"/>
        <w:rPr>
          <w:rFonts w:cs="Times New Roman"/>
          <w:szCs w:val="24"/>
        </w:rPr>
      </w:pPr>
      <w:r w:rsidRPr="00365626">
        <w:rPr>
          <w:rFonts w:cs="Times New Roman"/>
          <w:i/>
          <w:szCs w:val="24"/>
        </w:rPr>
        <w:t>Лабораторные исследования</w:t>
      </w:r>
      <w:r>
        <w:rPr>
          <w:rFonts w:cs="Times New Roman"/>
          <w:i/>
          <w:szCs w:val="24"/>
        </w:rPr>
        <w:t xml:space="preserve"> </w:t>
      </w:r>
      <w:r>
        <w:rPr>
          <w:rFonts w:cs="Times New Roman"/>
          <w:szCs w:val="24"/>
        </w:rPr>
        <w:fldChar w:fldCharType="begin" w:fldLock="1"/>
      </w:r>
      <w:r>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[155]","plainTextFormattedCitation":"[155]","previouslyFormattedCitation":"[1]"},"properties":{"noteIndex":0},"schema":"https://github.com/citation-style-language/schema/raw/master/csl-citation.json"}</w:instrText>
      </w:r>
      <w:r>
        <w:rPr>
          <w:rFonts w:cs="Times New Roman"/>
          <w:szCs w:val="24"/>
        </w:rPr>
        <w:fldChar w:fldCharType="separate"/>
      </w:r>
      <w:r w:rsidRPr="008139EA">
        <w:rPr>
          <w:rFonts w:cs="Times New Roman"/>
          <w:noProof/>
          <w:szCs w:val="24"/>
        </w:rPr>
        <w:t>[155]</w:t>
      </w:r>
      <w:r>
        <w:rPr>
          <w:rFonts w:cs="Times New Roman"/>
          <w:szCs w:val="24"/>
        </w:rPr>
        <w:fldChar w:fldCharType="end"/>
      </w:r>
      <w:r w:rsidRPr="00365626">
        <w:rPr>
          <w:rFonts w:cs="Times New Roman"/>
          <w:i/>
          <w:szCs w:val="24"/>
        </w:rPr>
        <w:t>:</w:t>
      </w:r>
      <w:r w:rsidRPr="00365626">
        <w:rPr>
          <w:rFonts w:cs="Times New Roman"/>
          <w:szCs w:val="24"/>
        </w:rPr>
        <w:t xml:space="preserve"> </w:t>
      </w:r>
    </w:p>
    <w:p w14:paraId="0519CEC8" w14:textId="77777777" w:rsidR="008139EA" w:rsidRPr="00365626" w:rsidRDefault="008139EA" w:rsidP="00C5490F">
      <w:pPr>
        <w:pStyle w:val="afe"/>
        <w:numPr>
          <w:ilvl w:val="0"/>
          <w:numId w:val="142"/>
        </w:numPr>
        <w:rPr>
          <w:rFonts w:cs="Times New Roman"/>
          <w:szCs w:val="24"/>
        </w:rPr>
      </w:pPr>
      <w:r w:rsidRPr="00365626">
        <w:rPr>
          <w:rFonts w:cs="Times New Roman"/>
          <w:szCs w:val="24"/>
        </w:rPr>
        <w:t xml:space="preserve">клинический анализ крови, </w:t>
      </w:r>
    </w:p>
    <w:p w14:paraId="4A1E8D12" w14:textId="77777777" w:rsidR="008139EA" w:rsidRPr="00365626" w:rsidRDefault="008139EA" w:rsidP="00C5490F">
      <w:pPr>
        <w:pStyle w:val="afe"/>
        <w:numPr>
          <w:ilvl w:val="0"/>
          <w:numId w:val="142"/>
        </w:numPr>
        <w:rPr>
          <w:rFonts w:cs="Times New Roman"/>
          <w:szCs w:val="24"/>
        </w:rPr>
      </w:pPr>
      <w:r w:rsidRPr="00365626">
        <w:rPr>
          <w:rFonts w:cs="Times New Roman"/>
          <w:szCs w:val="24"/>
        </w:rPr>
        <w:t xml:space="preserve">коагулограмма (АЧТВ, ПВ, фибриноген), </w:t>
      </w:r>
    </w:p>
    <w:p w14:paraId="1116D125" w14:textId="77777777" w:rsidR="008139EA" w:rsidRPr="00365626" w:rsidRDefault="008139EA" w:rsidP="00C5490F">
      <w:pPr>
        <w:pStyle w:val="afe"/>
        <w:numPr>
          <w:ilvl w:val="0"/>
          <w:numId w:val="142"/>
        </w:numPr>
        <w:rPr>
          <w:rFonts w:cs="Times New Roman"/>
          <w:szCs w:val="24"/>
        </w:rPr>
      </w:pPr>
      <w:r w:rsidRPr="00365626">
        <w:rPr>
          <w:rFonts w:cs="Times New Roman"/>
          <w:szCs w:val="24"/>
        </w:rPr>
        <w:t>биохимический анализ крови: калий, натрий, кальций, хлор, СРБ, прокальцитонин (по показаниям);</w:t>
      </w:r>
    </w:p>
    <w:p w14:paraId="3362379B" w14:textId="77777777" w:rsidR="008139EA" w:rsidRPr="00365626" w:rsidRDefault="008139EA" w:rsidP="00C5490F">
      <w:pPr>
        <w:pStyle w:val="afe"/>
        <w:numPr>
          <w:ilvl w:val="0"/>
          <w:numId w:val="142"/>
        </w:numPr>
        <w:rPr>
          <w:rFonts w:cs="Times New Roman"/>
          <w:szCs w:val="24"/>
        </w:rPr>
      </w:pPr>
      <w:r w:rsidRPr="00365626">
        <w:rPr>
          <w:rFonts w:cs="Times New Roman"/>
          <w:szCs w:val="24"/>
        </w:rPr>
        <w:t>бактериологические исследования: посев крови на стерильность, посевы из нестерильных локусов (зев, прямая кишка);</w:t>
      </w:r>
    </w:p>
    <w:p w14:paraId="59FC13DE" w14:textId="77777777" w:rsidR="008139EA" w:rsidRPr="00573539" w:rsidRDefault="008139EA" w:rsidP="00C5490F">
      <w:pPr>
        <w:pStyle w:val="afe"/>
        <w:numPr>
          <w:ilvl w:val="0"/>
          <w:numId w:val="142"/>
        </w:numPr>
        <w:rPr>
          <w:rFonts w:cs="Times New Roman"/>
          <w:i/>
          <w:szCs w:val="24"/>
        </w:rPr>
      </w:pPr>
      <w:r w:rsidRPr="00365626">
        <w:rPr>
          <w:rFonts w:cs="Times New Roman"/>
          <w:szCs w:val="24"/>
        </w:rPr>
        <w:t>при подозрении на вирусную инфекцию – определение наличия антител к вирусам группы герпеса и репликации методом ПЦР ДНК/РНК вирусов в крови, бронхоальвеолярном лаваже, слюне, мочи, других средах.</w:t>
      </w:r>
    </w:p>
    <w:p w14:paraId="36930E54" w14:textId="77777777" w:rsidR="008139EA" w:rsidRPr="00365626" w:rsidRDefault="008139EA" w:rsidP="008139EA">
      <w:pPr>
        <w:pStyle w:val="afe"/>
        <w:rPr>
          <w:rFonts w:cs="Times New Roman"/>
          <w:i/>
          <w:szCs w:val="24"/>
        </w:rPr>
      </w:pPr>
    </w:p>
    <w:p w14:paraId="42998ED2" w14:textId="3343B88B" w:rsidR="008139EA" w:rsidRPr="00365626" w:rsidRDefault="008139EA" w:rsidP="008139EA">
      <w:pPr>
        <w:ind w:firstLine="709"/>
        <w:rPr>
          <w:rFonts w:cs="Times New Roman"/>
          <w:i/>
          <w:szCs w:val="24"/>
        </w:rPr>
      </w:pPr>
      <w:r w:rsidRPr="00365626">
        <w:rPr>
          <w:rFonts w:cs="Times New Roman"/>
          <w:i/>
          <w:szCs w:val="24"/>
        </w:rPr>
        <w:t>Инструментальные исследования</w:t>
      </w:r>
      <w:r>
        <w:rPr>
          <w:rFonts w:cs="Times New Roman"/>
          <w:i/>
          <w:szCs w:val="24"/>
        </w:rPr>
        <w:t xml:space="preserve"> </w:t>
      </w:r>
      <w:r>
        <w:rPr>
          <w:rFonts w:cs="Times New Roman"/>
          <w:szCs w:val="24"/>
        </w:rPr>
        <w:fldChar w:fldCharType="begin" w:fldLock="1"/>
      </w:r>
      <w:r>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[155]","plainTextFormattedCitation":"[155]","previouslyFormattedCitation":"[1]"},"properties":{"noteIndex":0},"schema":"https://github.com/citation-style-language/schema/raw/master/csl-citation.json"}</w:instrText>
      </w:r>
      <w:r>
        <w:rPr>
          <w:rFonts w:cs="Times New Roman"/>
          <w:szCs w:val="24"/>
        </w:rPr>
        <w:fldChar w:fldCharType="separate"/>
      </w:r>
      <w:r w:rsidRPr="008139EA">
        <w:rPr>
          <w:rFonts w:cs="Times New Roman"/>
          <w:noProof/>
          <w:szCs w:val="24"/>
        </w:rPr>
        <w:t>[155]</w:t>
      </w:r>
      <w:r>
        <w:rPr>
          <w:rFonts w:cs="Times New Roman"/>
          <w:szCs w:val="24"/>
        </w:rPr>
        <w:fldChar w:fldCharType="end"/>
      </w:r>
      <w:r w:rsidRPr="00365626">
        <w:rPr>
          <w:rFonts w:cs="Times New Roman"/>
          <w:i/>
          <w:szCs w:val="24"/>
        </w:rPr>
        <w:t>:</w:t>
      </w:r>
    </w:p>
    <w:p w14:paraId="1808F41F" w14:textId="77777777" w:rsidR="008139EA" w:rsidRPr="00365626" w:rsidRDefault="008139EA" w:rsidP="00C5490F">
      <w:pPr>
        <w:pStyle w:val="afe"/>
        <w:numPr>
          <w:ilvl w:val="0"/>
          <w:numId w:val="143"/>
        </w:numPr>
        <w:rPr>
          <w:rFonts w:cs="Times New Roman"/>
          <w:szCs w:val="24"/>
        </w:rPr>
      </w:pPr>
      <w:r w:rsidRPr="00365626">
        <w:rPr>
          <w:rFonts w:cs="Times New Roman"/>
          <w:szCs w:val="24"/>
        </w:rPr>
        <w:t xml:space="preserve">КТ грудной клетки, </w:t>
      </w:r>
    </w:p>
    <w:p w14:paraId="2A89F6F8" w14:textId="77777777" w:rsidR="008139EA" w:rsidRPr="00365626" w:rsidRDefault="008139EA" w:rsidP="00C5490F">
      <w:pPr>
        <w:pStyle w:val="afe"/>
        <w:numPr>
          <w:ilvl w:val="0"/>
          <w:numId w:val="143"/>
        </w:numPr>
        <w:rPr>
          <w:rFonts w:cs="Times New Roman"/>
          <w:szCs w:val="24"/>
        </w:rPr>
      </w:pPr>
      <w:r w:rsidRPr="00365626">
        <w:rPr>
          <w:rFonts w:cs="Times New Roman"/>
          <w:szCs w:val="24"/>
        </w:rPr>
        <w:t>КТ брюшной полости</w:t>
      </w:r>
    </w:p>
    <w:p w14:paraId="09D45A4B" w14:textId="77777777" w:rsidR="008139EA" w:rsidRPr="00365626" w:rsidRDefault="008139EA" w:rsidP="00C5490F">
      <w:pPr>
        <w:pStyle w:val="afe"/>
        <w:numPr>
          <w:ilvl w:val="0"/>
          <w:numId w:val="143"/>
        </w:numPr>
        <w:rPr>
          <w:rFonts w:cs="Times New Roman"/>
          <w:szCs w:val="24"/>
        </w:rPr>
      </w:pPr>
      <w:r w:rsidRPr="00365626">
        <w:rPr>
          <w:rFonts w:cs="Times New Roman"/>
          <w:szCs w:val="24"/>
        </w:rPr>
        <w:t>УЗИ брюшной полости с допплерографией портальной системы</w:t>
      </w:r>
    </w:p>
    <w:p w14:paraId="3298ACB0" w14:textId="77777777" w:rsidR="008139EA" w:rsidRDefault="008139EA" w:rsidP="008139EA">
      <w:pPr>
        <w:ind w:firstLine="360"/>
        <w:rPr>
          <w:rFonts w:cs="Times New Roman"/>
          <w:szCs w:val="24"/>
        </w:rPr>
      </w:pPr>
    </w:p>
    <w:p w14:paraId="2625B3AE" w14:textId="77777777" w:rsidR="008139EA" w:rsidRPr="00365626" w:rsidRDefault="008139EA" w:rsidP="008139EA">
      <w:pPr>
        <w:ind w:firstLine="709"/>
        <w:rPr>
          <w:rFonts w:cs="Times New Roman"/>
          <w:szCs w:val="24"/>
        </w:rPr>
      </w:pPr>
      <w:r w:rsidRPr="00365626">
        <w:rPr>
          <w:rFonts w:cs="Times New Roman"/>
          <w:szCs w:val="24"/>
        </w:rPr>
        <w:t>Вне зависимости от причины повышения температуры целесообразно проведение эмпирической противомикробной терапии, при выявлении инфекционного агента и неэффективности антибактериальной терапии проводится коррекция антибактериальной терапии с учетом чувствительности к антибактериальным препаратам. При отсутствии эффекта от эмпирической антибактериальной терапии,  через 3 дня рекомендуется провести дополнительные бактериологические исследования: бактериологическое исследование мазка из зева, из прямой кишки, посев крови,  посев мочи, бронхоальвеолярный лаваж (по показаниям),  назначение антибактериальной терапии с учетом чувствительности выделенной микрофлоры (см. Приложения по диагностике и лечению инфекционных осложнений, вызванных бакте</w:t>
      </w:r>
      <w:r>
        <w:rPr>
          <w:rFonts w:cs="Times New Roman"/>
          <w:szCs w:val="24"/>
        </w:rPr>
        <w:t>р</w:t>
      </w:r>
      <w:r w:rsidRPr="00365626">
        <w:rPr>
          <w:rFonts w:cs="Times New Roman"/>
          <w:szCs w:val="24"/>
        </w:rPr>
        <w:t>иями, грибами. вирусами у пациентов с гематологическими заболеваниями).</w:t>
      </w:r>
    </w:p>
    <w:p w14:paraId="0F6AE897" w14:textId="77777777" w:rsidR="008139EA" w:rsidRPr="00365626" w:rsidRDefault="008139EA" w:rsidP="008139EA">
      <w:pPr>
        <w:ind w:firstLine="709"/>
        <w:rPr>
          <w:rFonts w:cs="Times New Roman"/>
          <w:color w:val="C00000"/>
          <w:szCs w:val="24"/>
        </w:rPr>
      </w:pPr>
      <w:r w:rsidRPr="00365626">
        <w:rPr>
          <w:rFonts w:cs="Times New Roman"/>
          <w:szCs w:val="24"/>
        </w:rPr>
        <w:t>Для всех пациентов после спленэктомии при проведении антибактериальной терапии необходимо выбирать препараты, обладающие активностью против пневмококковой инфекции</w:t>
      </w:r>
      <w:r>
        <w:rPr>
          <w:rFonts w:cs="Times New Roman"/>
          <w:szCs w:val="24"/>
        </w:rPr>
        <w:t>,</w:t>
      </w:r>
      <w:r w:rsidRPr="00365626">
        <w:rPr>
          <w:rFonts w:cs="Times New Roman"/>
          <w:szCs w:val="24"/>
        </w:rPr>
        <w:t xml:space="preserve"> вне зависимости от сроков развития инфекции. </w:t>
      </w:r>
    </w:p>
    <w:p w14:paraId="13699C2F" w14:textId="77777777" w:rsidR="008139EA" w:rsidRPr="00365626" w:rsidRDefault="008139EA" w:rsidP="008139EA">
      <w:pPr>
        <w:ind w:firstLine="709"/>
        <w:rPr>
          <w:rFonts w:cs="Times New Roman"/>
          <w:szCs w:val="24"/>
        </w:rPr>
      </w:pPr>
      <w:r w:rsidRPr="00365626">
        <w:rPr>
          <w:rFonts w:cs="Times New Roman"/>
          <w:szCs w:val="24"/>
        </w:rPr>
        <w:t>При выявлении тромбоза воротной вены - проведение эффективной антикоагулянтной терапии, направленной на достижение реканализации тромба.  Наиболее часто применяют: нефракционированный гепарин: непрерывная инфузия, начальная скорость 1000 ЕД/ч, дальнейшее титрование дозы с мониторингом АЧТВ (1,5-2 нормы) или терапия НМГ в лечебных дозах с контролем анти-Ха активности или тромбоэластографии для оценки эффекта по достижению требуемой гипокоагуляции. Необходимы контрольные исследования коагулограммы и УЗ-допплерография портальной системы в динамике.</w:t>
      </w:r>
    </w:p>
    <w:p w14:paraId="55997ACF" w14:textId="77777777" w:rsidR="008139EA" w:rsidRPr="00365626" w:rsidRDefault="008139EA" w:rsidP="008139EA">
      <w:pPr>
        <w:ind w:firstLine="709"/>
        <w:rPr>
          <w:rFonts w:cs="Times New Roman"/>
          <w:szCs w:val="24"/>
        </w:rPr>
      </w:pPr>
      <w:r w:rsidRPr="00365626">
        <w:rPr>
          <w:rFonts w:cs="Times New Roman"/>
          <w:szCs w:val="24"/>
        </w:rPr>
        <w:t xml:space="preserve">При формировании жидкостных скоплений панкреатического характера целесообразно наружное дренирование под УЗ-наведением. </w:t>
      </w:r>
    </w:p>
    <w:p w14:paraId="7C0938D4" w14:textId="77777777" w:rsidR="008139EA" w:rsidRDefault="008139EA" w:rsidP="008139EA">
      <w:pPr>
        <w:rPr>
          <w:rFonts w:cs="Times New Roman"/>
          <w:b/>
          <w:szCs w:val="24"/>
        </w:rPr>
      </w:pPr>
    </w:p>
    <w:p w14:paraId="08D610DC" w14:textId="1B2E9278" w:rsidR="008139EA" w:rsidRPr="00615B07" w:rsidRDefault="008139EA" w:rsidP="008139EA">
      <w:pPr>
        <w:rPr>
          <w:rFonts w:cs="Times New Roman"/>
          <w:bCs/>
          <w:i/>
          <w:iCs/>
          <w:szCs w:val="24"/>
          <w:u w:val="single"/>
        </w:rPr>
      </w:pPr>
      <w:r w:rsidRPr="00615B07">
        <w:rPr>
          <w:rFonts w:cs="Times New Roman"/>
          <w:bCs/>
          <w:i/>
          <w:iCs/>
          <w:szCs w:val="24"/>
          <w:u w:val="single"/>
        </w:rPr>
        <w:t>Критерии выписки из стационара</w:t>
      </w:r>
      <w:r>
        <w:rPr>
          <w:rFonts w:cs="Times New Roman"/>
          <w:bCs/>
          <w:i/>
          <w:iCs/>
          <w:szCs w:val="24"/>
          <w:u w:val="single"/>
        </w:rPr>
        <w:t xml:space="preserve"> </w:t>
      </w:r>
      <w:r>
        <w:rPr>
          <w:rFonts w:cs="Times New Roman"/>
          <w:szCs w:val="24"/>
        </w:rPr>
        <w:fldChar w:fldCharType="begin" w:fldLock="1"/>
      </w:r>
      <w:r>
        <w:rPr>
          <w:rFonts w:cs="Times New Roman"/>
          <w:szCs w:val="24"/>
        </w:rPr>
        <w:instrText>ADDIN CSL_CITATION {"citationItems":[{"id":"ITEM-1","itemData":{"author":[{"dropping-particle":"","family":"Карагюлян","given":"С.Р.","non-dropping-particle":"","parse-names":false,"suffix":""},{"dropping-particle":"","family":"Данишян","given":"К.И.","non-dropping-particle":"","parse-names":false,"suffix":""},{"dropping-particle":"","family":"Шутов","given":"С.А.","non-dropping-particle":"","parse-names":false,"suffix":""},{"dropping-particle":"","family":"Силаев","given":"М.А.","non-dropping-particle":"","parse-names":false,"suffix":""}],"container-title":"Клиническая онкогематология","id":"ITEM-1","issue":"1","issued":{"date-parts":[["2017"]]},"page":"101-107","title":"Технические сложности выполнения спленэктомии при заболеваниях системы крови","type":"article-journal","volume":"10"},"uris":["http://www.mendeley.com/documents/?uuid=1758182b-493b-4a43-bda6-135a50dad214"]}],"mendeley":{"formattedCitation":"[155]","plainTextFormattedCitation":"[155]","previouslyFormattedCitation":"[1]"},"properties":{"noteIndex":0},"schema":"https://github.com/citation-style-language/schema/raw/master/csl-citation.json"}</w:instrText>
      </w:r>
      <w:r>
        <w:rPr>
          <w:rFonts w:cs="Times New Roman"/>
          <w:szCs w:val="24"/>
        </w:rPr>
        <w:fldChar w:fldCharType="separate"/>
      </w:r>
      <w:r w:rsidRPr="008139EA">
        <w:rPr>
          <w:rFonts w:cs="Times New Roman"/>
          <w:noProof/>
          <w:szCs w:val="24"/>
        </w:rPr>
        <w:t>[155]</w:t>
      </w:r>
      <w:r>
        <w:rPr>
          <w:rFonts w:cs="Times New Roman"/>
          <w:szCs w:val="24"/>
        </w:rPr>
        <w:fldChar w:fldCharType="end"/>
      </w:r>
    </w:p>
    <w:p w14:paraId="17517482" w14:textId="77777777" w:rsidR="008139EA" w:rsidRPr="00365626" w:rsidRDefault="008139EA" w:rsidP="008139EA">
      <w:pPr>
        <w:ind w:firstLine="709"/>
        <w:rPr>
          <w:rFonts w:cs="Times New Roman"/>
          <w:szCs w:val="24"/>
        </w:rPr>
      </w:pPr>
      <w:r w:rsidRPr="00365626">
        <w:rPr>
          <w:rFonts w:cs="Times New Roman"/>
          <w:szCs w:val="24"/>
        </w:rPr>
        <w:t>Выписка из стационара производится при стабилизации состояния, отсутствия необходимости в круглосуточном хирургическом наблюдении и пособии, что определяется характером патологии, наличием или отсутствием осложнений и эффектом операции.</w:t>
      </w:r>
    </w:p>
    <w:p w14:paraId="2AEF55A0" w14:textId="77777777" w:rsidR="008139EA" w:rsidRPr="00365626" w:rsidRDefault="008139EA" w:rsidP="008139EA">
      <w:pPr>
        <w:ind w:firstLine="709"/>
        <w:rPr>
          <w:rFonts w:cs="Times New Roman"/>
          <w:szCs w:val="24"/>
        </w:rPr>
      </w:pPr>
      <w:r w:rsidRPr="00365626">
        <w:rPr>
          <w:rFonts w:cs="Times New Roman"/>
          <w:szCs w:val="24"/>
        </w:rPr>
        <w:t>Необходим амбулаторный контроль гемограммы и продолжение профилактики тромботических осложнений при наличии показаний.</w:t>
      </w:r>
    </w:p>
    <w:p w14:paraId="3AB4B005" w14:textId="77777777" w:rsidR="008139EA" w:rsidRPr="00365626" w:rsidRDefault="008139EA" w:rsidP="008139EA">
      <w:pPr>
        <w:ind w:firstLine="709"/>
        <w:rPr>
          <w:rFonts w:cs="Times New Roman"/>
          <w:szCs w:val="24"/>
        </w:rPr>
      </w:pPr>
      <w:r w:rsidRPr="00365626">
        <w:rPr>
          <w:rFonts w:cs="Times New Roman"/>
          <w:szCs w:val="24"/>
        </w:rPr>
        <w:t>Показания к началу специфическая терапия гематологического заболевания определяется гематологом и начинается в сроки, установленные в соответствии с клиническими рекомендациями в зависимости от клинических показаний.</w:t>
      </w:r>
    </w:p>
    <w:p w14:paraId="40D181F0" w14:textId="77777777" w:rsidR="008139EA" w:rsidRPr="00365626" w:rsidRDefault="008139EA" w:rsidP="008139EA">
      <w:pPr>
        <w:ind w:firstLine="709"/>
        <w:rPr>
          <w:rFonts w:cs="Times New Roman"/>
          <w:szCs w:val="24"/>
        </w:rPr>
      </w:pPr>
      <w:r w:rsidRPr="00365626">
        <w:rPr>
          <w:rFonts w:cs="Times New Roman"/>
          <w:szCs w:val="24"/>
        </w:rPr>
        <w:t xml:space="preserve">Ревакцинацию против </w:t>
      </w:r>
      <w:r w:rsidRPr="00365626">
        <w:rPr>
          <w:rFonts w:eastAsia="Arial Unicode MS" w:cs="Times New Roman"/>
          <w:i/>
          <w:szCs w:val="24"/>
          <w:lang w:val="en-US"/>
        </w:rPr>
        <w:t>Streptococcus</w:t>
      </w:r>
      <w:r w:rsidRPr="00365626">
        <w:rPr>
          <w:rFonts w:eastAsia="Arial Unicode MS" w:cs="Times New Roman"/>
          <w:i/>
          <w:szCs w:val="24"/>
        </w:rPr>
        <w:t xml:space="preserve"> </w:t>
      </w:r>
      <w:r w:rsidRPr="00365626">
        <w:rPr>
          <w:rFonts w:eastAsia="Arial Unicode MS" w:cs="Times New Roman"/>
          <w:i/>
          <w:szCs w:val="24"/>
          <w:lang w:val="en-US"/>
        </w:rPr>
        <w:t>pneumoniae</w:t>
      </w:r>
      <w:r w:rsidRPr="00365626">
        <w:rPr>
          <w:rFonts w:cs="Times New Roman"/>
          <w:szCs w:val="24"/>
        </w:rPr>
        <w:t xml:space="preserve"> рекомендуется проводить каждые 5 лет. </w:t>
      </w:r>
    </w:p>
    <w:p w14:paraId="4072B106" w14:textId="0DAD217D" w:rsidR="008139EA" w:rsidRDefault="008139EA" w:rsidP="008139EA">
      <w:pPr>
        <w:widowControl w:val="0"/>
        <w:autoSpaceDE w:val="0"/>
        <w:autoSpaceDN w:val="0"/>
        <w:adjustRightInd w:val="0"/>
        <w:rPr>
          <w:rFonts w:cs="Times New Roman"/>
          <w:szCs w:val="24"/>
        </w:rPr>
      </w:pPr>
    </w:p>
    <w:p w14:paraId="45EA6F7B" w14:textId="4DC3AEEE" w:rsidR="008139EA" w:rsidRDefault="008139EA" w:rsidP="008139EA">
      <w:pPr>
        <w:widowControl w:val="0"/>
        <w:autoSpaceDE w:val="0"/>
        <w:autoSpaceDN w:val="0"/>
        <w:adjustRightInd w:val="0"/>
        <w:rPr>
          <w:rFonts w:cs="Times New Roman"/>
          <w:szCs w:val="24"/>
        </w:rPr>
      </w:pPr>
    </w:p>
    <w:p w14:paraId="7A2719BB" w14:textId="77777777" w:rsidR="008139EA" w:rsidRDefault="008139EA" w:rsidP="008139EA">
      <w:pPr>
        <w:widowControl w:val="0"/>
        <w:autoSpaceDE w:val="0"/>
        <w:autoSpaceDN w:val="0"/>
        <w:adjustRightInd w:val="0"/>
        <w:rPr>
          <w:rFonts w:cs="Times New Roman"/>
          <w:szCs w:val="24"/>
        </w:rPr>
        <w:sectPr w:rsidR="008139EA" w:rsidSect="00CD509A">
          <w:headerReference w:type="default" r:id="rId19"/>
          <w:footerReference w:type="default" r:id="rId20"/>
          <w:type w:val="continuous"/>
          <w:pgSz w:w="11906" w:h="16838"/>
          <w:pgMar w:top="1134" w:right="1274" w:bottom="1134" w:left="1701" w:header="708" w:footer="708" w:gutter="0"/>
          <w:cols w:space="720"/>
          <w:formProt w:val="0"/>
          <w:titlePg/>
          <w:docGrid w:linePitch="360" w:charSpace="-6145"/>
        </w:sectPr>
      </w:pPr>
    </w:p>
    <w:p w14:paraId="00DA4860" w14:textId="54CF4278" w:rsidR="002C3C32" w:rsidRPr="002C60E1" w:rsidRDefault="00031607" w:rsidP="002C60E1">
      <w:pPr>
        <w:pStyle w:val="11"/>
        <w:rPr>
          <w:u w:val="none"/>
        </w:rPr>
      </w:pPr>
      <w:bookmarkStart w:id="223" w:name="_Toc67522269"/>
      <w:bookmarkEnd w:id="82"/>
      <w:r w:rsidRPr="002C60E1">
        <w:rPr>
          <w:szCs w:val="28"/>
          <w:u w:val="none"/>
        </w:rPr>
        <w:t>Приложение Б. Алгоритмы ведения пациента</w:t>
      </w:r>
      <w:bookmarkEnd w:id="223"/>
    </w:p>
    <w:p w14:paraId="51172C4B" w14:textId="77777777" w:rsidR="00D23199" w:rsidRDefault="00B57077" w:rsidP="00F42A9A">
      <w:pPr>
        <w:rPr>
          <w:rFonts w:eastAsia="Times New Roman"/>
        </w:rPr>
      </w:pPr>
      <w:r w:rsidRPr="003E3EAF">
        <w:rPr>
          <w:rFonts w:eastAsia="Times New Roman"/>
          <w:noProof/>
          <w:lang w:eastAsia="ru-RU"/>
        </w:rPr>
        <mc:AlternateContent>
          <mc:Choice Requires="wpg">
            <w:drawing>
              <wp:anchor distT="0" distB="0" distL="114300" distR="114300" simplePos="0" relativeHeight="251638784" behindDoc="0" locked="0" layoutInCell="1" allowOverlap="1" wp14:anchorId="732E90D5" wp14:editId="38B4D804">
                <wp:simplePos x="0" y="0"/>
                <wp:positionH relativeFrom="margin">
                  <wp:posOffset>-784860</wp:posOffset>
                </wp:positionH>
                <wp:positionV relativeFrom="paragraph">
                  <wp:posOffset>205739</wp:posOffset>
                </wp:positionV>
                <wp:extent cx="7054850" cy="6086475"/>
                <wp:effectExtent l="0" t="0" r="146050" b="28575"/>
                <wp:wrapNone/>
                <wp:docPr id="92" name="Группа 44"/>
                <wp:cNvGraphicFramePr/>
                <a:graphic xmlns:a="http://schemas.openxmlformats.org/drawingml/2006/main">
                  <a:graphicData uri="http://schemas.microsoft.com/office/word/2010/wordprocessingGroup">
                    <wpg:wgp>
                      <wpg:cNvGrpSpPr/>
                      <wpg:grpSpPr>
                        <a:xfrm>
                          <a:off x="0" y="0"/>
                          <a:ext cx="7054850" cy="6086475"/>
                          <a:chOff x="0" y="-1312819"/>
                          <a:chExt cx="8908434" cy="7240699"/>
                        </a:xfrm>
                      </wpg:grpSpPr>
                      <wps:wsp>
                        <wps:cNvPr id="93" name="Прямоугольник 93"/>
                        <wps:cNvSpPr/>
                        <wps:spPr>
                          <a:xfrm>
                            <a:off x="633071" y="1492836"/>
                            <a:ext cx="1800408" cy="282610"/>
                          </a:xfrm>
                          <a:prstGeom prst="rect">
                            <a:avLst/>
                          </a:prstGeom>
                          <a:ln/>
                        </wps:spPr>
                        <wps:style>
                          <a:lnRef idx="2">
                            <a:schemeClr val="dk1"/>
                          </a:lnRef>
                          <a:fillRef idx="1">
                            <a:schemeClr val="lt1"/>
                          </a:fillRef>
                          <a:effectRef idx="0">
                            <a:schemeClr val="dk1"/>
                          </a:effectRef>
                          <a:fontRef idx="minor">
                            <a:schemeClr val="dk1"/>
                          </a:fontRef>
                        </wps:style>
                        <wps:txbx>
                          <w:txbxContent>
                            <w:p w14:paraId="3C562029" w14:textId="60F0AC2B" w:rsidR="001C46FD" w:rsidRPr="00C32A21" w:rsidRDefault="001C46FD" w:rsidP="003E3EAF">
                              <w:pPr>
                                <w:pStyle w:val="afd"/>
                                <w:spacing w:beforeAutospacing="0" w:afterAutospacing="0"/>
                                <w:jc w:val="center"/>
                                <w:rPr>
                                  <w:sz w:val="16"/>
                                  <w:szCs w:val="16"/>
                                </w:rPr>
                              </w:pPr>
                              <w:r w:rsidRPr="00C32A21">
                                <w:rPr>
                                  <w:bCs/>
                                  <w:color w:val="000000"/>
                                  <w:kern w:val="24"/>
                                  <w:sz w:val="16"/>
                                  <w:szCs w:val="16"/>
                                </w:rPr>
                                <w:t>Родственная алло-Т</w:t>
                              </w:r>
                              <w:r>
                                <w:rPr>
                                  <w:bCs/>
                                  <w:color w:val="000000"/>
                                  <w:kern w:val="24"/>
                                  <w:sz w:val="16"/>
                                  <w:szCs w:val="16"/>
                                </w:rPr>
                                <w:t>ГСК</w:t>
                              </w:r>
                            </w:p>
                          </w:txbxContent>
                        </wps:txbx>
                        <wps:bodyPr wrap="square">
                          <a:noAutofit/>
                        </wps:bodyPr>
                      </wps:wsp>
                      <wps:wsp>
                        <wps:cNvPr id="94" name="Прямоугольник 94"/>
                        <wps:cNvSpPr/>
                        <wps:spPr>
                          <a:xfrm>
                            <a:off x="6780672" y="1053664"/>
                            <a:ext cx="1973123" cy="830813"/>
                          </a:xfrm>
                          <a:prstGeom prst="rect">
                            <a:avLst/>
                          </a:prstGeom>
                          <a:ln/>
                        </wps:spPr>
                        <wps:style>
                          <a:lnRef idx="2">
                            <a:schemeClr val="dk1"/>
                          </a:lnRef>
                          <a:fillRef idx="1">
                            <a:schemeClr val="lt1"/>
                          </a:fillRef>
                          <a:effectRef idx="0">
                            <a:schemeClr val="dk1"/>
                          </a:effectRef>
                          <a:fontRef idx="minor">
                            <a:schemeClr val="dk1"/>
                          </a:fontRef>
                        </wps:style>
                        <wps:txbx>
                          <w:txbxContent>
                            <w:p w14:paraId="15C09DF7" w14:textId="77777777" w:rsidR="001C46FD" w:rsidRPr="00C32A21" w:rsidRDefault="001C46FD" w:rsidP="003E3EAF">
                              <w:pPr>
                                <w:pStyle w:val="afd"/>
                                <w:spacing w:beforeAutospacing="0" w:afterAutospacing="0"/>
                                <w:rPr>
                                  <w:sz w:val="16"/>
                                  <w:szCs w:val="16"/>
                                </w:rPr>
                              </w:pPr>
                              <w:r w:rsidRPr="00C32A21">
                                <w:rPr>
                                  <w:bCs/>
                                  <w:color w:val="000000"/>
                                  <w:kern w:val="24"/>
                                  <w:sz w:val="16"/>
                                  <w:szCs w:val="16"/>
                                </w:rPr>
                                <w:t xml:space="preserve">Комбинированная ИСТ </w:t>
                              </w:r>
                            </w:p>
                            <w:p w14:paraId="1978D676" w14:textId="77777777" w:rsidR="001C46FD" w:rsidRPr="00C32A21" w:rsidRDefault="001C46FD" w:rsidP="003E3EAF">
                              <w:pPr>
                                <w:pStyle w:val="afd"/>
                                <w:spacing w:beforeAutospacing="0" w:afterAutospacing="0"/>
                                <w:rPr>
                                  <w:sz w:val="16"/>
                                  <w:szCs w:val="16"/>
                                </w:rPr>
                              </w:pPr>
                              <w:r w:rsidRPr="00C32A21">
                                <w:rPr>
                                  <w:bCs/>
                                  <w:color w:val="000000"/>
                                  <w:kern w:val="24"/>
                                  <w:sz w:val="16"/>
                                  <w:szCs w:val="16"/>
                                </w:rPr>
                                <w:t>1 курс</w:t>
                              </w:r>
                            </w:p>
                            <w:p w14:paraId="4BC83C84" w14:textId="540BBC58" w:rsidR="001C46FD" w:rsidRPr="00C32A21" w:rsidRDefault="001C46FD" w:rsidP="003E3EAF">
                              <w:pPr>
                                <w:pStyle w:val="afd"/>
                                <w:spacing w:beforeAutospacing="0" w:afterAutospacing="0"/>
                                <w:rPr>
                                  <w:sz w:val="16"/>
                                  <w:szCs w:val="16"/>
                                </w:rPr>
                              </w:pPr>
                              <w:r w:rsidRPr="00C32A21">
                                <w:rPr>
                                  <w:bCs/>
                                  <w:color w:val="000000"/>
                                  <w:kern w:val="24"/>
                                  <w:sz w:val="16"/>
                                  <w:szCs w:val="16"/>
                                </w:rPr>
                                <w:t>(лАТГ* + Циклоспорин)</w:t>
                              </w:r>
                              <w:r>
                                <w:rPr>
                                  <w:bCs/>
                                  <w:color w:val="000000"/>
                                  <w:kern w:val="24"/>
                                  <w:sz w:val="16"/>
                                  <w:szCs w:val="16"/>
                                </w:rPr>
                                <w:t xml:space="preserve"> +/- элтромбопаг</w:t>
                              </w:r>
                            </w:p>
                          </w:txbxContent>
                        </wps:txbx>
                        <wps:bodyPr wrap="square">
                          <a:noAutofit/>
                        </wps:bodyPr>
                      </wps:wsp>
                      <wps:wsp>
                        <wps:cNvPr id="95" name="Прямоугольник 95"/>
                        <wps:cNvSpPr/>
                        <wps:spPr>
                          <a:xfrm>
                            <a:off x="3457462" y="5300033"/>
                            <a:ext cx="2418689" cy="623526"/>
                          </a:xfrm>
                          <a:prstGeom prst="rect">
                            <a:avLst/>
                          </a:prstGeom>
                          <a:ln/>
                        </wps:spPr>
                        <wps:style>
                          <a:lnRef idx="2">
                            <a:schemeClr val="dk1"/>
                          </a:lnRef>
                          <a:fillRef idx="1">
                            <a:schemeClr val="lt1"/>
                          </a:fillRef>
                          <a:effectRef idx="0">
                            <a:schemeClr val="dk1"/>
                          </a:effectRef>
                          <a:fontRef idx="minor">
                            <a:schemeClr val="dk1"/>
                          </a:fontRef>
                        </wps:style>
                        <wps:txbx>
                          <w:txbxContent>
                            <w:p w14:paraId="66EA70DB" w14:textId="77777777" w:rsidR="001C46FD" w:rsidRPr="00C32A21" w:rsidRDefault="001C46FD" w:rsidP="003E3EAF">
                              <w:pPr>
                                <w:pStyle w:val="afd"/>
                                <w:spacing w:beforeAutospacing="0" w:afterAutospacing="0"/>
                                <w:rPr>
                                  <w:sz w:val="16"/>
                                  <w:szCs w:val="16"/>
                                </w:rPr>
                              </w:pPr>
                              <w:r w:rsidRPr="00C32A21">
                                <w:rPr>
                                  <w:bCs/>
                                  <w:color w:val="000000"/>
                                  <w:kern w:val="24"/>
                                  <w:sz w:val="16"/>
                                  <w:szCs w:val="16"/>
                                </w:rPr>
                                <w:t>Экспериментальные протоколы</w:t>
                              </w:r>
                            </w:p>
                            <w:p w14:paraId="4AF8698F" w14:textId="40ADD3B6" w:rsidR="001C46FD" w:rsidRPr="00C32A21" w:rsidRDefault="001C46FD" w:rsidP="003E3EAF">
                              <w:pPr>
                                <w:pStyle w:val="afd"/>
                                <w:spacing w:beforeAutospacing="0" w:afterAutospacing="0"/>
                                <w:rPr>
                                  <w:sz w:val="16"/>
                                  <w:szCs w:val="16"/>
                                </w:rPr>
                              </w:pPr>
                              <w:r w:rsidRPr="00C32A21">
                                <w:rPr>
                                  <w:bCs/>
                                  <w:color w:val="000000"/>
                                  <w:kern w:val="24"/>
                                  <w:sz w:val="16"/>
                                  <w:szCs w:val="16"/>
                                </w:rPr>
                                <w:t xml:space="preserve"> Хелаторная терапия</w:t>
                              </w:r>
                            </w:p>
                            <w:p w14:paraId="36F67149" w14:textId="0CCFF32A" w:rsidR="001C46FD" w:rsidRDefault="001C46FD" w:rsidP="003E3EAF">
                              <w:pPr>
                                <w:pStyle w:val="afd"/>
                                <w:spacing w:beforeAutospacing="0" w:afterAutospacing="0"/>
                                <w:rPr>
                                  <w:bCs/>
                                  <w:color w:val="000000"/>
                                  <w:kern w:val="24"/>
                                  <w:sz w:val="16"/>
                                  <w:szCs w:val="16"/>
                                </w:rPr>
                              </w:pPr>
                              <w:r w:rsidRPr="00C32A21">
                                <w:rPr>
                                  <w:bCs/>
                                  <w:color w:val="000000"/>
                                  <w:kern w:val="24"/>
                                  <w:sz w:val="16"/>
                                  <w:szCs w:val="16"/>
                                </w:rPr>
                                <w:t>Лапароскопическая спленэктомия</w:t>
                              </w:r>
                            </w:p>
                            <w:p w14:paraId="20B04057" w14:textId="77777777" w:rsidR="001C46FD" w:rsidRPr="00C32A21" w:rsidRDefault="001C46FD" w:rsidP="003E3EAF">
                              <w:pPr>
                                <w:pStyle w:val="afd"/>
                                <w:spacing w:beforeAutospacing="0" w:afterAutospacing="0"/>
                                <w:rPr>
                                  <w:sz w:val="16"/>
                                  <w:szCs w:val="16"/>
                                </w:rPr>
                              </w:pPr>
                            </w:p>
                          </w:txbxContent>
                        </wps:txbx>
                        <wps:bodyPr wrap="square">
                          <a:noAutofit/>
                        </wps:bodyPr>
                      </wps:wsp>
                      <wps:wsp>
                        <wps:cNvPr id="96" name="Прямая со стрелкой 96"/>
                        <wps:cNvCnPr>
                          <a:stCxn id="116" idx="1"/>
                        </wps:cNvCnPr>
                        <wps:spPr>
                          <a:xfrm>
                            <a:off x="576358" y="4276329"/>
                            <a:ext cx="5" cy="1386987"/>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97" name="Прямая со стрелкой 97"/>
                        <wps:cNvCnPr>
                          <a:stCxn id="105" idx="3"/>
                        </wps:cNvCnPr>
                        <wps:spPr>
                          <a:xfrm>
                            <a:off x="8722190" y="3361546"/>
                            <a:ext cx="1" cy="72393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98" name="Прямая со стрелкой 98"/>
                        <wps:cNvCnPr>
                          <a:stCxn id="94" idx="2"/>
                          <a:endCxn id="105" idx="0"/>
                        </wps:cNvCnPr>
                        <wps:spPr>
                          <a:xfrm>
                            <a:off x="7767234" y="1884477"/>
                            <a:ext cx="25711" cy="108060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99" name="Прямая со стрелкой 99"/>
                        <wps:cNvCnPr>
                          <a:stCxn id="110" idx="2"/>
                          <a:endCxn id="95" idx="0"/>
                        </wps:cNvCnPr>
                        <wps:spPr>
                          <a:xfrm>
                            <a:off x="4649922" y="4653156"/>
                            <a:ext cx="17022" cy="64704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100" name="Прямая со стрелкой 100"/>
                        <wps:cNvCnPr>
                          <a:stCxn id="107" idx="2"/>
                          <a:endCxn id="110" idx="0"/>
                        </wps:cNvCnPr>
                        <wps:spPr>
                          <a:xfrm flipH="1">
                            <a:off x="4650277" y="3763805"/>
                            <a:ext cx="17070" cy="96559"/>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101" name="Прямая со стрелкой 101"/>
                        <wps:cNvCnPr>
                          <a:stCxn id="104" idx="2"/>
                          <a:endCxn id="109" idx="0"/>
                        </wps:cNvCnPr>
                        <wps:spPr>
                          <a:xfrm flipH="1">
                            <a:off x="4568228" y="1730913"/>
                            <a:ext cx="7089" cy="431347"/>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102" name="Прямая со стрелкой 102"/>
                        <wps:cNvCnPr/>
                        <wps:spPr>
                          <a:xfrm>
                            <a:off x="1284092" y="1739102"/>
                            <a:ext cx="0" cy="626533"/>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103" name="TextBox 56"/>
                        <wps:cNvSpPr txBox="1"/>
                        <wps:spPr>
                          <a:xfrm>
                            <a:off x="4260123" y="1787427"/>
                            <a:ext cx="627073" cy="268452"/>
                          </a:xfrm>
                          <a:prstGeom prst="rect">
                            <a:avLst/>
                          </a:prstGeom>
                        </wps:spPr>
                        <wps:style>
                          <a:lnRef idx="2">
                            <a:schemeClr val="dk1"/>
                          </a:lnRef>
                          <a:fillRef idx="1">
                            <a:schemeClr val="lt1"/>
                          </a:fillRef>
                          <a:effectRef idx="0">
                            <a:schemeClr val="dk1"/>
                          </a:effectRef>
                          <a:fontRef idx="minor">
                            <a:schemeClr val="dk1"/>
                          </a:fontRef>
                        </wps:style>
                        <wps:txbx>
                          <w:txbxContent>
                            <w:p w14:paraId="60D7EAEA" w14:textId="77777777" w:rsidR="001C46FD" w:rsidRPr="00C32A21" w:rsidRDefault="001C46FD" w:rsidP="00C32A21">
                              <w:pPr>
                                <w:pStyle w:val="afd"/>
                                <w:spacing w:beforeAutospacing="0" w:afterAutospacing="0"/>
                                <w:jc w:val="center"/>
                                <w:rPr>
                                  <w:sz w:val="16"/>
                                  <w:szCs w:val="16"/>
                                </w:rPr>
                              </w:pPr>
                              <w:r w:rsidRPr="00C32A21">
                                <w:rPr>
                                  <w:color w:val="000000" w:themeColor="dark1"/>
                                  <w:kern w:val="24"/>
                                  <w:sz w:val="16"/>
                                  <w:szCs w:val="16"/>
                                </w:rPr>
                                <w:t>да</w:t>
                              </w:r>
                            </w:p>
                          </w:txbxContent>
                        </wps:txbx>
                        <wps:bodyPr wrap="square" rtlCol="0">
                          <a:noAutofit/>
                        </wps:bodyPr>
                      </wps:wsp>
                      <wps:wsp>
                        <wps:cNvPr id="104" name="Ромб 104"/>
                        <wps:cNvSpPr/>
                        <wps:spPr>
                          <a:xfrm>
                            <a:off x="3328002" y="824153"/>
                            <a:ext cx="2494630" cy="906760"/>
                          </a:xfrm>
                          <a:prstGeom prst="diamond">
                            <a:avLst/>
                          </a:prstGeom>
                          <a:ln/>
                        </wps:spPr>
                        <wps:style>
                          <a:lnRef idx="2">
                            <a:schemeClr val="dk1"/>
                          </a:lnRef>
                          <a:fillRef idx="1">
                            <a:schemeClr val="lt1"/>
                          </a:fillRef>
                          <a:effectRef idx="0">
                            <a:schemeClr val="dk1"/>
                          </a:effectRef>
                          <a:fontRef idx="minor">
                            <a:schemeClr val="dk1"/>
                          </a:fontRef>
                        </wps:style>
                        <wps:txbx>
                          <w:txbxContent>
                            <w:p w14:paraId="213ADFC1" w14:textId="77777777" w:rsidR="001C46FD" w:rsidRPr="00C32A21" w:rsidRDefault="001C46FD" w:rsidP="003E3EAF">
                              <w:pPr>
                                <w:pStyle w:val="afd"/>
                                <w:spacing w:beforeAutospacing="0" w:afterAutospacing="0"/>
                                <w:jc w:val="center"/>
                                <w:rPr>
                                  <w:sz w:val="16"/>
                                  <w:szCs w:val="16"/>
                                </w:rPr>
                              </w:pPr>
                              <w:r w:rsidRPr="00C32A21">
                                <w:rPr>
                                  <w:bCs/>
                                  <w:color w:val="000000"/>
                                  <w:kern w:val="24"/>
                                  <w:sz w:val="16"/>
                                  <w:szCs w:val="16"/>
                                  <w:lang w:val="en-US"/>
                                </w:rPr>
                                <w:t>HLA</w:t>
                              </w:r>
                              <w:r w:rsidRPr="00C32A21">
                                <w:rPr>
                                  <w:bCs/>
                                  <w:color w:val="000000"/>
                                  <w:kern w:val="24"/>
                                  <w:sz w:val="16"/>
                                  <w:szCs w:val="16"/>
                                </w:rPr>
                                <w:t xml:space="preserve">-идентичный сиблинг? </w:t>
                              </w:r>
                            </w:p>
                          </w:txbxContent>
                        </wps:txbx>
                        <wps:bodyPr wrap="square" rtlCol="0">
                          <a:noAutofit/>
                        </wps:bodyPr>
                      </wps:wsp>
                      <wps:wsp>
                        <wps:cNvPr id="105" name="Ромб 105"/>
                        <wps:cNvSpPr/>
                        <wps:spPr>
                          <a:xfrm>
                            <a:off x="6863507" y="2965077"/>
                            <a:ext cx="1858875" cy="906822"/>
                          </a:xfrm>
                          <a:prstGeom prst="diamond">
                            <a:avLst/>
                          </a:prstGeom>
                          <a:ln/>
                        </wps:spPr>
                        <wps:style>
                          <a:lnRef idx="2">
                            <a:schemeClr val="dk1"/>
                          </a:lnRef>
                          <a:fillRef idx="1">
                            <a:schemeClr val="lt1"/>
                          </a:fillRef>
                          <a:effectRef idx="0">
                            <a:schemeClr val="dk1"/>
                          </a:effectRef>
                          <a:fontRef idx="minor">
                            <a:schemeClr val="dk1"/>
                          </a:fontRef>
                        </wps:style>
                        <wps:txbx>
                          <w:txbxContent>
                            <w:p w14:paraId="1816D13E" w14:textId="77777777" w:rsidR="001C46FD" w:rsidRPr="00C32A21" w:rsidRDefault="001C46FD" w:rsidP="003E3EAF">
                              <w:pPr>
                                <w:pStyle w:val="afd"/>
                                <w:spacing w:beforeAutospacing="0" w:afterAutospacing="0"/>
                                <w:jc w:val="center"/>
                                <w:rPr>
                                  <w:sz w:val="16"/>
                                  <w:szCs w:val="16"/>
                                </w:rPr>
                              </w:pPr>
                              <w:r w:rsidRPr="00C32A21">
                                <w:rPr>
                                  <w:bCs/>
                                  <w:color w:val="000000"/>
                                  <w:kern w:val="24"/>
                                  <w:sz w:val="16"/>
                                  <w:szCs w:val="16"/>
                                </w:rPr>
                                <w:t>ремиссия к 3-6 месяцам?</w:t>
                              </w:r>
                            </w:p>
                          </w:txbxContent>
                        </wps:txbx>
                        <wps:bodyPr wrap="square" rtlCol="0">
                          <a:noAutofit/>
                        </wps:bodyPr>
                      </wps:wsp>
                      <wps:wsp>
                        <wps:cNvPr id="106" name="Соединительная линия уступом 106"/>
                        <wps:cNvCnPr>
                          <a:stCxn id="104" idx="3"/>
                          <a:endCxn id="94" idx="1"/>
                        </wps:cNvCnPr>
                        <wps:spPr>
                          <a:xfrm>
                            <a:off x="5822632" y="1277533"/>
                            <a:ext cx="958040" cy="191538"/>
                          </a:xfrm>
                          <a:prstGeom prst="bentConnector3">
                            <a:avLst>
                              <a:gd name="adj1" fmla="val 50000"/>
                            </a:avLst>
                          </a:prstGeom>
                          <a:ln>
                            <a:tailEnd type="arrow"/>
                          </a:ln>
                        </wps:spPr>
                        <wps:style>
                          <a:lnRef idx="2">
                            <a:schemeClr val="dk1"/>
                          </a:lnRef>
                          <a:fillRef idx="1">
                            <a:schemeClr val="lt1"/>
                          </a:fillRef>
                          <a:effectRef idx="0">
                            <a:schemeClr val="dk1"/>
                          </a:effectRef>
                          <a:fontRef idx="minor">
                            <a:schemeClr val="dk1"/>
                          </a:fontRef>
                        </wps:style>
                        <wps:bodyPr/>
                      </wps:wsp>
                      <wps:wsp>
                        <wps:cNvPr id="107" name="Прямоугольник 107"/>
                        <wps:cNvSpPr/>
                        <wps:spPr>
                          <a:xfrm>
                            <a:off x="3721780" y="3069081"/>
                            <a:ext cx="1891133" cy="694724"/>
                          </a:xfrm>
                          <a:prstGeom prst="rect">
                            <a:avLst/>
                          </a:prstGeom>
                          <a:ln/>
                        </wps:spPr>
                        <wps:style>
                          <a:lnRef idx="2">
                            <a:schemeClr val="dk1"/>
                          </a:lnRef>
                          <a:fillRef idx="1">
                            <a:schemeClr val="lt1"/>
                          </a:fillRef>
                          <a:effectRef idx="0">
                            <a:schemeClr val="dk1"/>
                          </a:effectRef>
                          <a:fontRef idx="minor">
                            <a:schemeClr val="dk1"/>
                          </a:fontRef>
                        </wps:style>
                        <wps:txbx>
                          <w:txbxContent>
                            <w:p w14:paraId="68CF7B55" w14:textId="20B7B996" w:rsidR="001C46FD" w:rsidRPr="00C32A21" w:rsidRDefault="001C46FD" w:rsidP="003E3EAF">
                              <w:pPr>
                                <w:pStyle w:val="afd"/>
                                <w:spacing w:beforeAutospacing="0" w:afterAutospacing="0"/>
                                <w:rPr>
                                  <w:sz w:val="16"/>
                                  <w:szCs w:val="16"/>
                                </w:rPr>
                              </w:pPr>
                              <w:r w:rsidRPr="00C32A21">
                                <w:rPr>
                                  <w:bCs/>
                                  <w:color w:val="000000"/>
                                  <w:kern w:val="24"/>
                                  <w:sz w:val="16"/>
                                  <w:szCs w:val="16"/>
                                </w:rPr>
                                <w:t>Комбинированная ИСТ 2 курс</w:t>
                              </w:r>
                              <w:r>
                                <w:rPr>
                                  <w:bCs/>
                                  <w:color w:val="000000"/>
                                  <w:kern w:val="24"/>
                                  <w:sz w:val="16"/>
                                  <w:szCs w:val="16"/>
                                </w:rPr>
                                <w:t xml:space="preserve"> </w:t>
                              </w:r>
                              <w:r w:rsidRPr="00C32A21">
                                <w:rPr>
                                  <w:bCs/>
                                  <w:color w:val="000000"/>
                                  <w:kern w:val="24"/>
                                  <w:sz w:val="16"/>
                                  <w:szCs w:val="16"/>
                                </w:rPr>
                                <w:t>(лАТГ + Циклоспорин)</w:t>
                              </w:r>
                              <w:r>
                                <w:rPr>
                                  <w:bCs/>
                                  <w:color w:val="000000"/>
                                  <w:kern w:val="24"/>
                                  <w:sz w:val="16"/>
                                  <w:szCs w:val="16"/>
                                </w:rPr>
                                <w:t xml:space="preserve"> +/- элтромбопаг</w:t>
                              </w:r>
                            </w:p>
                          </w:txbxContent>
                        </wps:txbx>
                        <wps:bodyPr wrap="square">
                          <a:noAutofit/>
                        </wps:bodyPr>
                      </wps:wsp>
                      <wps:wsp>
                        <wps:cNvPr id="108" name="Прямоугольник 108"/>
                        <wps:cNvSpPr/>
                        <wps:spPr>
                          <a:xfrm>
                            <a:off x="587605" y="2365471"/>
                            <a:ext cx="1396947" cy="531891"/>
                          </a:xfrm>
                          <a:prstGeom prst="rect">
                            <a:avLst/>
                          </a:prstGeom>
                          <a:ln/>
                        </wps:spPr>
                        <wps:style>
                          <a:lnRef idx="2">
                            <a:schemeClr val="dk1"/>
                          </a:lnRef>
                          <a:fillRef idx="1">
                            <a:schemeClr val="lt1"/>
                          </a:fillRef>
                          <a:effectRef idx="0">
                            <a:schemeClr val="dk1"/>
                          </a:effectRef>
                          <a:fontRef idx="minor">
                            <a:schemeClr val="dk1"/>
                          </a:fontRef>
                        </wps:style>
                        <wps:txbx>
                          <w:txbxContent>
                            <w:p w14:paraId="7EF2840E" w14:textId="15D8AC6F" w:rsidR="001C46FD" w:rsidRPr="00C32A21" w:rsidRDefault="001C46FD" w:rsidP="003E3EAF">
                              <w:pPr>
                                <w:pStyle w:val="afd"/>
                                <w:spacing w:beforeAutospacing="0" w:afterAutospacing="0"/>
                                <w:rPr>
                                  <w:sz w:val="16"/>
                                  <w:szCs w:val="16"/>
                                </w:rPr>
                              </w:pPr>
                              <w:r w:rsidRPr="00C32A21">
                                <w:rPr>
                                  <w:bCs/>
                                  <w:color w:val="000000"/>
                                  <w:kern w:val="24"/>
                                  <w:sz w:val="16"/>
                                  <w:szCs w:val="16"/>
                                </w:rPr>
                                <w:t xml:space="preserve">Длительное </w:t>
                              </w:r>
                              <w:r>
                                <w:rPr>
                                  <w:bCs/>
                                  <w:color w:val="000000"/>
                                  <w:kern w:val="24"/>
                                  <w:sz w:val="16"/>
                                  <w:szCs w:val="16"/>
                                </w:rPr>
                                <w:t xml:space="preserve"> н</w:t>
                              </w:r>
                              <w:r w:rsidRPr="00C32A21">
                                <w:rPr>
                                  <w:bCs/>
                                  <w:color w:val="000000"/>
                                  <w:kern w:val="24"/>
                                  <w:sz w:val="16"/>
                                  <w:szCs w:val="16"/>
                                </w:rPr>
                                <w:t>наблюдение</w:t>
                              </w:r>
                            </w:p>
                          </w:txbxContent>
                        </wps:txbx>
                        <wps:bodyPr wrap="square">
                          <a:noAutofit/>
                        </wps:bodyPr>
                      </wps:wsp>
                      <wps:wsp>
                        <wps:cNvPr id="109" name="Ромб 109"/>
                        <wps:cNvSpPr/>
                        <wps:spPr>
                          <a:xfrm>
                            <a:off x="3566881" y="2162259"/>
                            <a:ext cx="2002693" cy="906822"/>
                          </a:xfrm>
                          <a:prstGeom prst="diamond">
                            <a:avLst/>
                          </a:prstGeom>
                          <a:ln/>
                        </wps:spPr>
                        <wps:style>
                          <a:lnRef idx="2">
                            <a:schemeClr val="dk1"/>
                          </a:lnRef>
                          <a:fillRef idx="1">
                            <a:schemeClr val="lt1"/>
                          </a:fillRef>
                          <a:effectRef idx="0">
                            <a:schemeClr val="dk1"/>
                          </a:effectRef>
                          <a:fontRef idx="minor">
                            <a:schemeClr val="dk1"/>
                          </a:fontRef>
                        </wps:style>
                        <wps:txbx>
                          <w:txbxContent>
                            <w:p w14:paraId="5E368383" w14:textId="77777777" w:rsidR="001C46FD" w:rsidRPr="00C32A21" w:rsidRDefault="001C46FD" w:rsidP="003E3EAF">
                              <w:pPr>
                                <w:pStyle w:val="afd"/>
                                <w:spacing w:beforeAutospacing="0" w:afterAutospacing="0"/>
                                <w:jc w:val="center"/>
                                <w:rPr>
                                  <w:sz w:val="16"/>
                                  <w:szCs w:val="16"/>
                                </w:rPr>
                              </w:pPr>
                              <w:r w:rsidRPr="00C32A21">
                                <w:rPr>
                                  <w:bCs/>
                                  <w:color w:val="000000"/>
                                  <w:kern w:val="24"/>
                                  <w:sz w:val="16"/>
                                  <w:szCs w:val="16"/>
                                </w:rPr>
                                <w:t>Возраст</w:t>
                              </w:r>
                              <w:r w:rsidRPr="00C32A21">
                                <w:rPr>
                                  <w:bCs/>
                                  <w:color w:val="000000"/>
                                  <w:kern w:val="24"/>
                                  <w:sz w:val="16"/>
                                  <w:szCs w:val="16"/>
                                  <w:lang w:val="en-US"/>
                                </w:rPr>
                                <w:t xml:space="preserve"> &gt;45 </w:t>
                              </w:r>
                              <w:r w:rsidRPr="00C32A21">
                                <w:rPr>
                                  <w:bCs/>
                                  <w:color w:val="000000"/>
                                  <w:kern w:val="24"/>
                                  <w:sz w:val="16"/>
                                  <w:szCs w:val="16"/>
                                </w:rPr>
                                <w:t xml:space="preserve">лет ? </w:t>
                              </w:r>
                            </w:p>
                          </w:txbxContent>
                        </wps:txbx>
                        <wps:bodyPr wrap="square" rtlCol="0">
                          <a:noAutofit/>
                        </wps:bodyPr>
                      </wps:wsp>
                      <wps:wsp>
                        <wps:cNvPr id="110" name="Ромб 110"/>
                        <wps:cNvSpPr/>
                        <wps:spPr>
                          <a:xfrm>
                            <a:off x="3599200" y="3860363"/>
                            <a:ext cx="2102155" cy="906822"/>
                          </a:xfrm>
                          <a:prstGeom prst="diamond">
                            <a:avLst/>
                          </a:prstGeom>
                          <a:ln/>
                        </wps:spPr>
                        <wps:style>
                          <a:lnRef idx="2">
                            <a:schemeClr val="dk1"/>
                          </a:lnRef>
                          <a:fillRef idx="1">
                            <a:schemeClr val="lt1"/>
                          </a:fillRef>
                          <a:effectRef idx="0">
                            <a:schemeClr val="dk1"/>
                          </a:effectRef>
                          <a:fontRef idx="minor">
                            <a:schemeClr val="dk1"/>
                          </a:fontRef>
                        </wps:style>
                        <wps:txbx>
                          <w:txbxContent>
                            <w:p w14:paraId="3E7EA2D0" w14:textId="77777777" w:rsidR="001C46FD" w:rsidRPr="00C32A21" w:rsidRDefault="001C46FD" w:rsidP="003E3EAF">
                              <w:pPr>
                                <w:pStyle w:val="afd"/>
                                <w:spacing w:beforeAutospacing="0" w:afterAutospacing="0"/>
                                <w:jc w:val="center"/>
                                <w:rPr>
                                  <w:sz w:val="16"/>
                                  <w:szCs w:val="16"/>
                                </w:rPr>
                              </w:pPr>
                              <w:r w:rsidRPr="00C32A21">
                                <w:rPr>
                                  <w:bCs/>
                                  <w:color w:val="000000"/>
                                  <w:kern w:val="24"/>
                                  <w:sz w:val="16"/>
                                  <w:szCs w:val="16"/>
                                </w:rPr>
                                <w:t>ремиссия через 3-6 месяца?</w:t>
                              </w:r>
                            </w:p>
                          </w:txbxContent>
                        </wps:txbx>
                        <wps:bodyPr wrap="square" rtlCol="0">
                          <a:noAutofit/>
                        </wps:bodyPr>
                      </wps:wsp>
                      <wps:wsp>
                        <wps:cNvPr id="111" name="Соединительная линия уступом 111"/>
                        <wps:cNvCnPr/>
                        <wps:spPr>
                          <a:xfrm flipV="1">
                            <a:off x="5551663" y="1615995"/>
                            <a:ext cx="1216164" cy="943816"/>
                          </a:xfrm>
                          <a:prstGeom prst="bentConnector3">
                            <a:avLst>
                              <a:gd name="adj1" fmla="val 50000"/>
                            </a:avLst>
                          </a:prstGeom>
                          <a:ln>
                            <a:tailEnd type="arrow"/>
                          </a:ln>
                        </wps:spPr>
                        <wps:style>
                          <a:lnRef idx="2">
                            <a:schemeClr val="dk1"/>
                          </a:lnRef>
                          <a:fillRef idx="1">
                            <a:schemeClr val="lt1"/>
                          </a:fillRef>
                          <a:effectRef idx="0">
                            <a:schemeClr val="dk1"/>
                          </a:effectRef>
                          <a:fontRef idx="minor">
                            <a:schemeClr val="dk1"/>
                          </a:fontRef>
                        </wps:style>
                        <wps:bodyPr/>
                      </wps:wsp>
                      <wps:wsp>
                        <wps:cNvPr id="112" name="Соединительная линия уступом 112"/>
                        <wps:cNvCnPr>
                          <a:stCxn id="110" idx="3"/>
                        </wps:cNvCnPr>
                        <wps:spPr>
                          <a:xfrm flipV="1">
                            <a:off x="5700612" y="4227465"/>
                            <a:ext cx="1936133" cy="29429"/>
                          </a:xfrm>
                          <a:prstGeom prst="bentConnector3">
                            <a:avLst>
                              <a:gd name="adj1" fmla="val 99299"/>
                            </a:avLst>
                          </a:prstGeom>
                          <a:ln>
                            <a:tailEnd type="arrow"/>
                          </a:ln>
                        </wps:spPr>
                        <wps:style>
                          <a:lnRef idx="2">
                            <a:schemeClr val="dk1"/>
                          </a:lnRef>
                          <a:fillRef idx="1">
                            <a:schemeClr val="lt1"/>
                          </a:fillRef>
                          <a:effectRef idx="0">
                            <a:schemeClr val="dk1"/>
                          </a:effectRef>
                          <a:fontRef idx="minor">
                            <a:schemeClr val="dk1"/>
                          </a:fontRef>
                        </wps:style>
                        <wps:bodyPr/>
                      </wps:wsp>
                      <wps:wsp>
                        <wps:cNvPr id="113" name="TextBox 69"/>
                        <wps:cNvSpPr txBox="1"/>
                        <wps:spPr>
                          <a:xfrm>
                            <a:off x="6057188" y="1235928"/>
                            <a:ext cx="447478" cy="282639"/>
                          </a:xfrm>
                          <a:prstGeom prst="rect">
                            <a:avLst/>
                          </a:prstGeom>
                        </wps:spPr>
                        <wps:style>
                          <a:lnRef idx="2">
                            <a:schemeClr val="dk1"/>
                          </a:lnRef>
                          <a:fillRef idx="1">
                            <a:schemeClr val="lt1"/>
                          </a:fillRef>
                          <a:effectRef idx="0">
                            <a:schemeClr val="dk1"/>
                          </a:effectRef>
                          <a:fontRef idx="minor">
                            <a:schemeClr val="dk1"/>
                          </a:fontRef>
                        </wps:style>
                        <wps:txbx>
                          <w:txbxContent>
                            <w:p w14:paraId="6E1ED843" w14:textId="77777777" w:rsidR="001C46FD" w:rsidRPr="00C32A21" w:rsidRDefault="001C46FD" w:rsidP="003E3EAF">
                              <w:pPr>
                                <w:pStyle w:val="afd"/>
                                <w:spacing w:beforeAutospacing="0" w:afterAutospacing="0"/>
                                <w:rPr>
                                  <w:sz w:val="16"/>
                                  <w:szCs w:val="16"/>
                                </w:rPr>
                              </w:pPr>
                              <w:r w:rsidRPr="00C32A21">
                                <w:rPr>
                                  <w:color w:val="000000" w:themeColor="dark1"/>
                                  <w:kern w:val="24"/>
                                  <w:sz w:val="16"/>
                                  <w:szCs w:val="16"/>
                                </w:rPr>
                                <w:t>нет</w:t>
                              </w:r>
                            </w:p>
                          </w:txbxContent>
                        </wps:txbx>
                        <wps:bodyPr wrap="square" rtlCol="0">
                          <a:noAutofit/>
                        </wps:bodyPr>
                      </wps:wsp>
                      <wps:wsp>
                        <wps:cNvPr id="114" name="TextBox 70"/>
                        <wps:cNvSpPr txBox="1"/>
                        <wps:spPr>
                          <a:xfrm>
                            <a:off x="6173530" y="4131250"/>
                            <a:ext cx="374329" cy="282610"/>
                          </a:xfrm>
                          <a:prstGeom prst="rect">
                            <a:avLst/>
                          </a:prstGeom>
                        </wps:spPr>
                        <wps:style>
                          <a:lnRef idx="2">
                            <a:schemeClr val="dk1"/>
                          </a:lnRef>
                          <a:fillRef idx="1">
                            <a:schemeClr val="lt1"/>
                          </a:fillRef>
                          <a:effectRef idx="0">
                            <a:schemeClr val="dk1"/>
                          </a:effectRef>
                          <a:fontRef idx="minor">
                            <a:schemeClr val="dk1"/>
                          </a:fontRef>
                        </wps:style>
                        <wps:txbx>
                          <w:txbxContent>
                            <w:p w14:paraId="4036310E" w14:textId="77777777" w:rsidR="001C46FD" w:rsidRPr="00C32A21" w:rsidRDefault="001C46FD" w:rsidP="003E3EAF">
                              <w:pPr>
                                <w:pStyle w:val="afd"/>
                                <w:spacing w:beforeAutospacing="0" w:afterAutospacing="0"/>
                                <w:rPr>
                                  <w:sz w:val="16"/>
                                  <w:szCs w:val="16"/>
                                </w:rPr>
                              </w:pPr>
                              <w:r w:rsidRPr="00C32A21">
                                <w:rPr>
                                  <w:color w:val="000000"/>
                                  <w:kern w:val="24"/>
                                  <w:sz w:val="16"/>
                                  <w:szCs w:val="16"/>
                                </w:rPr>
                                <w:t>да</w:t>
                              </w:r>
                            </w:p>
                          </w:txbxContent>
                        </wps:txbx>
                        <wps:bodyPr wrap="square" rtlCol="0">
                          <a:noAutofit/>
                        </wps:bodyPr>
                      </wps:wsp>
                      <wps:wsp>
                        <wps:cNvPr id="115" name="Прямоугольник 115"/>
                        <wps:cNvSpPr/>
                        <wps:spPr>
                          <a:xfrm>
                            <a:off x="7660546" y="4085192"/>
                            <a:ext cx="1163981" cy="623526"/>
                          </a:xfrm>
                          <a:prstGeom prst="rect">
                            <a:avLst/>
                          </a:prstGeom>
                          <a:ln/>
                        </wps:spPr>
                        <wps:style>
                          <a:lnRef idx="2">
                            <a:schemeClr val="dk1"/>
                          </a:lnRef>
                          <a:fillRef idx="1">
                            <a:schemeClr val="lt1"/>
                          </a:fillRef>
                          <a:effectRef idx="0">
                            <a:schemeClr val="dk1"/>
                          </a:effectRef>
                          <a:fontRef idx="minor">
                            <a:schemeClr val="dk1"/>
                          </a:fontRef>
                        </wps:style>
                        <wps:txbx>
                          <w:txbxContent>
                            <w:p w14:paraId="240A0FD9" w14:textId="77777777" w:rsidR="001C46FD" w:rsidRPr="00C32A21" w:rsidRDefault="001C46FD" w:rsidP="003E3EAF">
                              <w:pPr>
                                <w:pStyle w:val="afd"/>
                                <w:spacing w:beforeAutospacing="0" w:afterAutospacing="0"/>
                                <w:jc w:val="center"/>
                                <w:rPr>
                                  <w:sz w:val="16"/>
                                  <w:szCs w:val="16"/>
                                </w:rPr>
                              </w:pPr>
                              <w:r w:rsidRPr="00C32A21">
                                <w:rPr>
                                  <w:bCs/>
                                  <w:color w:val="000000"/>
                                  <w:kern w:val="24"/>
                                  <w:sz w:val="16"/>
                                  <w:szCs w:val="16"/>
                                </w:rPr>
                                <w:t>Терапия Циклоспорином до 2 лет</w:t>
                              </w:r>
                            </w:p>
                          </w:txbxContent>
                        </wps:txbx>
                        <wps:bodyPr wrap="square">
                          <a:noAutofit/>
                        </wps:bodyPr>
                      </wps:wsp>
                      <wps:wsp>
                        <wps:cNvPr id="116" name="Ромб 116"/>
                        <wps:cNvSpPr/>
                        <wps:spPr>
                          <a:xfrm>
                            <a:off x="576358" y="3652804"/>
                            <a:ext cx="1970434" cy="1247050"/>
                          </a:xfrm>
                          <a:prstGeom prst="diamond">
                            <a:avLst/>
                          </a:prstGeom>
                          <a:ln/>
                        </wps:spPr>
                        <wps:style>
                          <a:lnRef idx="2">
                            <a:schemeClr val="dk1"/>
                          </a:lnRef>
                          <a:fillRef idx="1">
                            <a:schemeClr val="lt1"/>
                          </a:fillRef>
                          <a:effectRef idx="0">
                            <a:schemeClr val="dk1"/>
                          </a:effectRef>
                          <a:fontRef idx="minor">
                            <a:schemeClr val="dk1"/>
                          </a:fontRef>
                        </wps:style>
                        <wps:txbx>
                          <w:txbxContent>
                            <w:p w14:paraId="1E21A118" w14:textId="77777777" w:rsidR="001C46FD" w:rsidRPr="00C32A21" w:rsidRDefault="001C46FD" w:rsidP="003E3EAF">
                              <w:pPr>
                                <w:pStyle w:val="afd"/>
                                <w:spacing w:beforeAutospacing="0" w:afterAutospacing="0"/>
                                <w:jc w:val="center"/>
                                <w:rPr>
                                  <w:sz w:val="16"/>
                                  <w:szCs w:val="16"/>
                                </w:rPr>
                              </w:pPr>
                              <w:r w:rsidRPr="00C32A21">
                                <w:rPr>
                                  <w:bCs/>
                                  <w:color w:val="000000"/>
                                  <w:kern w:val="24"/>
                                  <w:sz w:val="16"/>
                                  <w:szCs w:val="16"/>
                                  <w:lang w:val="en-US"/>
                                </w:rPr>
                                <w:t>HLA</w:t>
                              </w:r>
                              <w:r w:rsidRPr="00C32A21">
                                <w:rPr>
                                  <w:bCs/>
                                  <w:color w:val="000000"/>
                                  <w:kern w:val="24"/>
                                  <w:sz w:val="16"/>
                                  <w:szCs w:val="16"/>
                                </w:rPr>
                                <w:t xml:space="preserve">-идентичный донор? </w:t>
                              </w:r>
                            </w:p>
                          </w:txbxContent>
                        </wps:txbx>
                        <wps:bodyPr wrap="square" rtlCol="0">
                          <a:noAutofit/>
                        </wps:bodyPr>
                      </wps:wsp>
                      <wps:wsp>
                        <wps:cNvPr id="117" name="Соединительная линия уступом 117"/>
                        <wps:cNvCnPr>
                          <a:stCxn id="109" idx="1"/>
                        </wps:cNvCnPr>
                        <wps:spPr>
                          <a:xfrm rot="10800000">
                            <a:off x="2400960" y="1633398"/>
                            <a:ext cx="1165952" cy="925275"/>
                          </a:xfrm>
                          <a:prstGeom prst="bentConnector3">
                            <a:avLst>
                              <a:gd name="adj1" fmla="val 50000"/>
                            </a:avLst>
                          </a:prstGeom>
                          <a:ln>
                            <a:tailEnd type="arrow"/>
                          </a:ln>
                        </wps:spPr>
                        <wps:style>
                          <a:lnRef idx="2">
                            <a:schemeClr val="dk1"/>
                          </a:lnRef>
                          <a:fillRef idx="1">
                            <a:schemeClr val="lt1"/>
                          </a:fillRef>
                          <a:effectRef idx="0">
                            <a:schemeClr val="dk1"/>
                          </a:effectRef>
                          <a:fontRef idx="minor">
                            <a:schemeClr val="dk1"/>
                          </a:fontRef>
                        </wps:style>
                        <wps:bodyPr/>
                      </wps:wsp>
                      <wps:wsp>
                        <wps:cNvPr id="118" name="TextBox 75"/>
                        <wps:cNvSpPr txBox="1"/>
                        <wps:spPr>
                          <a:xfrm>
                            <a:off x="367529" y="4747721"/>
                            <a:ext cx="440189" cy="282610"/>
                          </a:xfrm>
                          <a:prstGeom prst="rect">
                            <a:avLst/>
                          </a:prstGeom>
                        </wps:spPr>
                        <wps:style>
                          <a:lnRef idx="2">
                            <a:schemeClr val="dk1"/>
                          </a:lnRef>
                          <a:fillRef idx="1">
                            <a:schemeClr val="lt1"/>
                          </a:fillRef>
                          <a:effectRef idx="0">
                            <a:schemeClr val="dk1"/>
                          </a:effectRef>
                          <a:fontRef idx="minor">
                            <a:schemeClr val="dk1"/>
                          </a:fontRef>
                        </wps:style>
                        <wps:txbx>
                          <w:txbxContent>
                            <w:p w14:paraId="77A60829" w14:textId="77777777" w:rsidR="001C46FD" w:rsidRPr="00C32A21" w:rsidRDefault="001C46FD" w:rsidP="003E3EAF">
                              <w:pPr>
                                <w:pStyle w:val="afd"/>
                                <w:spacing w:beforeAutospacing="0" w:afterAutospacing="0"/>
                                <w:rPr>
                                  <w:sz w:val="16"/>
                                  <w:szCs w:val="16"/>
                                </w:rPr>
                              </w:pPr>
                              <w:r w:rsidRPr="00C32A21">
                                <w:rPr>
                                  <w:color w:val="000000" w:themeColor="dark1"/>
                                  <w:kern w:val="24"/>
                                  <w:sz w:val="16"/>
                                  <w:szCs w:val="16"/>
                                </w:rPr>
                                <w:t>да</w:t>
                              </w:r>
                            </w:p>
                          </w:txbxContent>
                        </wps:txbx>
                        <wps:bodyPr wrap="square" rtlCol="0">
                          <a:noAutofit/>
                        </wps:bodyPr>
                      </wps:wsp>
                      <wps:wsp>
                        <wps:cNvPr id="119" name="Прямоугольник 119"/>
                        <wps:cNvSpPr/>
                        <wps:spPr>
                          <a:xfrm>
                            <a:off x="0" y="5645270"/>
                            <a:ext cx="2465060" cy="282610"/>
                          </a:xfrm>
                          <a:prstGeom prst="rect">
                            <a:avLst/>
                          </a:prstGeom>
                          <a:ln/>
                        </wps:spPr>
                        <wps:style>
                          <a:lnRef idx="2">
                            <a:schemeClr val="dk1"/>
                          </a:lnRef>
                          <a:fillRef idx="1">
                            <a:schemeClr val="lt1"/>
                          </a:fillRef>
                          <a:effectRef idx="0">
                            <a:schemeClr val="dk1"/>
                          </a:effectRef>
                          <a:fontRef idx="minor">
                            <a:schemeClr val="dk1"/>
                          </a:fontRef>
                        </wps:style>
                        <wps:txbx>
                          <w:txbxContent>
                            <w:p w14:paraId="42ADED86" w14:textId="77777777" w:rsidR="001C46FD" w:rsidRPr="00C32A21" w:rsidRDefault="001C46FD" w:rsidP="003E3EAF">
                              <w:pPr>
                                <w:pStyle w:val="afd"/>
                                <w:spacing w:beforeAutospacing="0" w:afterAutospacing="0"/>
                                <w:jc w:val="center"/>
                                <w:rPr>
                                  <w:sz w:val="16"/>
                                  <w:szCs w:val="16"/>
                                </w:rPr>
                              </w:pPr>
                              <w:r w:rsidRPr="00C32A21">
                                <w:rPr>
                                  <w:bCs/>
                                  <w:color w:val="000000"/>
                                  <w:kern w:val="24"/>
                                  <w:sz w:val="16"/>
                                  <w:szCs w:val="16"/>
                                </w:rPr>
                                <w:t>алло-ТГСК от неродственного донора</w:t>
                              </w:r>
                            </w:p>
                          </w:txbxContent>
                        </wps:txbx>
                        <wps:bodyPr wrap="square">
                          <a:noAutofit/>
                        </wps:bodyPr>
                      </wps:wsp>
                      <wps:wsp>
                        <wps:cNvPr id="120" name="Прямая со стрелкой 120"/>
                        <wps:cNvCnPr>
                          <a:stCxn id="105" idx="1"/>
                          <a:endCxn id="107" idx="3"/>
                        </wps:cNvCnPr>
                        <wps:spPr>
                          <a:xfrm flipH="1" flipV="1">
                            <a:off x="5612914" y="3416443"/>
                            <a:ext cx="1250593" cy="2045"/>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121" name="TextBox 78"/>
                        <wps:cNvSpPr txBox="1"/>
                        <wps:spPr>
                          <a:xfrm>
                            <a:off x="1957897" y="-1312819"/>
                            <a:ext cx="1952432" cy="363560"/>
                          </a:xfrm>
                          <a:prstGeom prst="rect">
                            <a:avLst/>
                          </a:prstGeom>
                          <a:ln/>
                        </wps:spPr>
                        <wps:style>
                          <a:lnRef idx="2">
                            <a:schemeClr val="dk1"/>
                          </a:lnRef>
                          <a:fillRef idx="1">
                            <a:schemeClr val="lt1"/>
                          </a:fillRef>
                          <a:effectRef idx="0">
                            <a:schemeClr val="dk1"/>
                          </a:effectRef>
                          <a:fontRef idx="minor">
                            <a:schemeClr val="dk1"/>
                          </a:fontRef>
                        </wps:style>
                        <wps:txbx>
                          <w:txbxContent>
                            <w:p w14:paraId="6DE7F703" w14:textId="77777777" w:rsidR="001C46FD" w:rsidRPr="00C32A21" w:rsidRDefault="001C46FD" w:rsidP="003E3EAF">
                              <w:pPr>
                                <w:pStyle w:val="afd"/>
                                <w:spacing w:beforeAutospacing="0" w:afterAutospacing="0"/>
                                <w:jc w:val="center"/>
                                <w:rPr>
                                  <w:sz w:val="16"/>
                                  <w:szCs w:val="16"/>
                                </w:rPr>
                              </w:pPr>
                              <w:r>
                                <w:rPr>
                                  <w:bCs/>
                                  <w:color w:val="000000"/>
                                  <w:kern w:val="24"/>
                                  <w:sz w:val="16"/>
                                  <w:szCs w:val="16"/>
                                </w:rPr>
                                <w:t>Пациент с подозрением на</w:t>
                              </w:r>
                              <w:r w:rsidRPr="00C32A21">
                                <w:rPr>
                                  <w:bCs/>
                                  <w:color w:val="000000"/>
                                  <w:kern w:val="24"/>
                                  <w:sz w:val="16"/>
                                  <w:szCs w:val="16"/>
                                </w:rPr>
                                <w:t xml:space="preserve"> АА </w:t>
                              </w:r>
                            </w:p>
                          </w:txbxContent>
                        </wps:txbx>
                        <wps:bodyPr wrap="square" rtlCol="0">
                          <a:noAutofit/>
                        </wps:bodyPr>
                      </wps:wsp>
                      <wps:wsp>
                        <wps:cNvPr id="122" name="Прямая со стрелкой 122"/>
                        <wps:cNvCnPr>
                          <a:stCxn id="121" idx="2"/>
                        </wps:cNvCnPr>
                        <wps:spPr>
                          <a:xfrm>
                            <a:off x="2934113" y="-949259"/>
                            <a:ext cx="0" cy="252504"/>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123" name="Соединительная линия уступом 123"/>
                        <wps:cNvCnPr>
                          <a:stCxn id="116" idx="2"/>
                        </wps:cNvCnPr>
                        <wps:spPr>
                          <a:xfrm rot="16200000" flipH="1">
                            <a:off x="2219843" y="4241587"/>
                            <a:ext cx="579383" cy="1895917"/>
                          </a:xfrm>
                          <a:prstGeom prst="bentConnector2">
                            <a:avLst/>
                          </a:prstGeom>
                          <a:ln>
                            <a:tailEnd type="arrow"/>
                          </a:ln>
                        </wps:spPr>
                        <wps:style>
                          <a:lnRef idx="2">
                            <a:schemeClr val="dk1"/>
                          </a:lnRef>
                          <a:fillRef idx="1">
                            <a:schemeClr val="lt1"/>
                          </a:fillRef>
                          <a:effectRef idx="0">
                            <a:schemeClr val="dk1"/>
                          </a:effectRef>
                          <a:fontRef idx="minor">
                            <a:schemeClr val="dk1"/>
                          </a:fontRef>
                        </wps:style>
                        <wps:bodyPr/>
                      </wps:wsp>
                      <wps:wsp>
                        <wps:cNvPr id="124" name="TextBox 82"/>
                        <wps:cNvSpPr txBox="1"/>
                        <wps:spPr>
                          <a:xfrm>
                            <a:off x="5938103" y="1965531"/>
                            <a:ext cx="432371" cy="282610"/>
                          </a:xfrm>
                          <a:prstGeom prst="rect">
                            <a:avLst/>
                          </a:prstGeom>
                        </wps:spPr>
                        <wps:style>
                          <a:lnRef idx="2">
                            <a:schemeClr val="dk1"/>
                          </a:lnRef>
                          <a:fillRef idx="1">
                            <a:schemeClr val="lt1"/>
                          </a:fillRef>
                          <a:effectRef idx="0">
                            <a:schemeClr val="dk1"/>
                          </a:effectRef>
                          <a:fontRef idx="minor">
                            <a:schemeClr val="dk1"/>
                          </a:fontRef>
                        </wps:style>
                        <wps:txbx>
                          <w:txbxContent>
                            <w:p w14:paraId="43692657" w14:textId="77777777" w:rsidR="001C46FD" w:rsidRPr="00C32A21" w:rsidRDefault="001C46FD" w:rsidP="003E3EAF">
                              <w:pPr>
                                <w:pStyle w:val="afd"/>
                                <w:spacing w:beforeAutospacing="0" w:afterAutospacing="0"/>
                                <w:rPr>
                                  <w:sz w:val="16"/>
                                  <w:szCs w:val="16"/>
                                </w:rPr>
                              </w:pPr>
                              <w:r w:rsidRPr="00C32A21">
                                <w:rPr>
                                  <w:color w:val="000000" w:themeColor="dark1"/>
                                  <w:kern w:val="24"/>
                                  <w:sz w:val="16"/>
                                  <w:szCs w:val="16"/>
                                </w:rPr>
                                <w:t>да</w:t>
                              </w:r>
                            </w:p>
                          </w:txbxContent>
                        </wps:txbx>
                        <wps:bodyPr wrap="square" rtlCol="0">
                          <a:noAutofit/>
                        </wps:bodyPr>
                      </wps:wsp>
                      <wps:wsp>
                        <wps:cNvPr id="125" name="TextBox 85"/>
                        <wps:cNvSpPr txBox="1"/>
                        <wps:spPr>
                          <a:xfrm>
                            <a:off x="2777043" y="1965857"/>
                            <a:ext cx="496010" cy="282611"/>
                          </a:xfrm>
                          <a:prstGeom prst="rect">
                            <a:avLst/>
                          </a:prstGeom>
                        </wps:spPr>
                        <wps:style>
                          <a:lnRef idx="2">
                            <a:schemeClr val="dk1"/>
                          </a:lnRef>
                          <a:fillRef idx="1">
                            <a:schemeClr val="lt1"/>
                          </a:fillRef>
                          <a:effectRef idx="0">
                            <a:schemeClr val="dk1"/>
                          </a:effectRef>
                          <a:fontRef idx="minor">
                            <a:schemeClr val="dk1"/>
                          </a:fontRef>
                        </wps:style>
                        <wps:txbx>
                          <w:txbxContent>
                            <w:p w14:paraId="34D128B5" w14:textId="77777777" w:rsidR="001C46FD" w:rsidRPr="00C32A21" w:rsidRDefault="001C46FD" w:rsidP="003E3EAF">
                              <w:pPr>
                                <w:pStyle w:val="afd"/>
                                <w:spacing w:beforeAutospacing="0" w:afterAutospacing="0"/>
                                <w:jc w:val="center"/>
                                <w:rPr>
                                  <w:sz w:val="16"/>
                                  <w:szCs w:val="16"/>
                                </w:rPr>
                              </w:pPr>
                              <w:r w:rsidRPr="00C32A21">
                                <w:rPr>
                                  <w:bCs/>
                                  <w:color w:val="000000"/>
                                  <w:kern w:val="24"/>
                                  <w:sz w:val="16"/>
                                  <w:szCs w:val="16"/>
                                </w:rPr>
                                <w:t>нет</w:t>
                              </w:r>
                            </w:p>
                          </w:txbxContent>
                        </wps:txbx>
                        <wps:bodyPr wrap="square" rtlCol="0">
                          <a:noAutofit/>
                        </wps:bodyPr>
                      </wps:wsp>
                      <wps:wsp>
                        <wps:cNvPr id="126" name="TextBox 86"/>
                        <wps:cNvSpPr txBox="1"/>
                        <wps:spPr>
                          <a:xfrm>
                            <a:off x="6126387" y="3260108"/>
                            <a:ext cx="457662" cy="282610"/>
                          </a:xfrm>
                          <a:prstGeom prst="rect">
                            <a:avLst/>
                          </a:prstGeom>
                        </wps:spPr>
                        <wps:style>
                          <a:lnRef idx="2">
                            <a:schemeClr val="dk1"/>
                          </a:lnRef>
                          <a:fillRef idx="1">
                            <a:schemeClr val="lt1"/>
                          </a:fillRef>
                          <a:effectRef idx="0">
                            <a:schemeClr val="dk1"/>
                          </a:effectRef>
                          <a:fontRef idx="minor">
                            <a:schemeClr val="dk1"/>
                          </a:fontRef>
                        </wps:style>
                        <wps:txbx>
                          <w:txbxContent>
                            <w:p w14:paraId="1FB354AC" w14:textId="77777777" w:rsidR="001C46FD" w:rsidRPr="00C32A21" w:rsidRDefault="001C46FD" w:rsidP="003E3EAF">
                              <w:pPr>
                                <w:pStyle w:val="afd"/>
                                <w:spacing w:beforeAutospacing="0" w:afterAutospacing="0"/>
                                <w:rPr>
                                  <w:sz w:val="16"/>
                                  <w:szCs w:val="16"/>
                                </w:rPr>
                              </w:pPr>
                              <w:r w:rsidRPr="00C32A21">
                                <w:rPr>
                                  <w:color w:val="000000" w:themeColor="dark1"/>
                                  <w:kern w:val="24"/>
                                  <w:sz w:val="16"/>
                                  <w:szCs w:val="16"/>
                                </w:rPr>
                                <w:t>нет</w:t>
                              </w:r>
                            </w:p>
                          </w:txbxContent>
                        </wps:txbx>
                        <wps:bodyPr wrap="square" rtlCol="0">
                          <a:noAutofit/>
                        </wps:bodyPr>
                      </wps:wsp>
                      <wps:wsp>
                        <wps:cNvPr id="127" name="TextBox 87"/>
                        <wps:cNvSpPr txBox="1"/>
                        <wps:spPr>
                          <a:xfrm>
                            <a:off x="8491621" y="3576428"/>
                            <a:ext cx="416813" cy="295471"/>
                          </a:xfrm>
                          <a:prstGeom prst="rect">
                            <a:avLst/>
                          </a:prstGeom>
                        </wps:spPr>
                        <wps:style>
                          <a:lnRef idx="2">
                            <a:schemeClr val="dk1"/>
                          </a:lnRef>
                          <a:fillRef idx="1">
                            <a:schemeClr val="lt1"/>
                          </a:fillRef>
                          <a:effectRef idx="0">
                            <a:schemeClr val="dk1"/>
                          </a:effectRef>
                          <a:fontRef idx="minor">
                            <a:schemeClr val="dk1"/>
                          </a:fontRef>
                        </wps:style>
                        <wps:txbx>
                          <w:txbxContent>
                            <w:p w14:paraId="2622F350" w14:textId="77777777" w:rsidR="001C46FD" w:rsidRPr="00C32A21" w:rsidRDefault="001C46FD" w:rsidP="003E3EAF">
                              <w:pPr>
                                <w:pStyle w:val="afd"/>
                                <w:spacing w:beforeAutospacing="0" w:afterAutospacing="0"/>
                                <w:rPr>
                                  <w:sz w:val="16"/>
                                  <w:szCs w:val="16"/>
                                </w:rPr>
                              </w:pPr>
                              <w:r w:rsidRPr="00C32A21">
                                <w:rPr>
                                  <w:color w:val="000000" w:themeColor="dark1"/>
                                  <w:kern w:val="24"/>
                                  <w:sz w:val="16"/>
                                  <w:szCs w:val="16"/>
                                </w:rPr>
                                <w:t>да</w:t>
                              </w:r>
                            </w:p>
                          </w:txbxContent>
                        </wps:txbx>
                        <wps:bodyPr wrap="square" rtlCol="0">
                          <a:noAutofit/>
                        </wps:bodyPr>
                      </wps:wsp>
                      <wps:wsp>
                        <wps:cNvPr id="128" name="TextBox 88"/>
                        <wps:cNvSpPr txBox="1"/>
                        <wps:spPr>
                          <a:xfrm>
                            <a:off x="4388198" y="4777971"/>
                            <a:ext cx="537636" cy="282610"/>
                          </a:xfrm>
                          <a:prstGeom prst="rect">
                            <a:avLst/>
                          </a:prstGeom>
                        </wps:spPr>
                        <wps:style>
                          <a:lnRef idx="2">
                            <a:schemeClr val="dk1"/>
                          </a:lnRef>
                          <a:fillRef idx="1">
                            <a:schemeClr val="lt1"/>
                          </a:fillRef>
                          <a:effectRef idx="0">
                            <a:schemeClr val="dk1"/>
                          </a:effectRef>
                          <a:fontRef idx="minor">
                            <a:schemeClr val="dk1"/>
                          </a:fontRef>
                        </wps:style>
                        <wps:txbx>
                          <w:txbxContent>
                            <w:p w14:paraId="2BD45AFE" w14:textId="77777777" w:rsidR="001C46FD" w:rsidRPr="00C32A21" w:rsidRDefault="001C46FD" w:rsidP="003E3EAF">
                              <w:pPr>
                                <w:pStyle w:val="afd"/>
                                <w:spacing w:beforeAutospacing="0" w:afterAutospacing="0"/>
                                <w:rPr>
                                  <w:sz w:val="16"/>
                                  <w:szCs w:val="16"/>
                                </w:rPr>
                              </w:pPr>
                              <w:r w:rsidRPr="00C32A21">
                                <w:rPr>
                                  <w:color w:val="000000" w:themeColor="dark1"/>
                                  <w:kern w:val="24"/>
                                  <w:sz w:val="16"/>
                                  <w:szCs w:val="16"/>
                                </w:rPr>
                                <w:t>нет</w:t>
                              </w:r>
                            </w:p>
                          </w:txbxContent>
                        </wps:txbx>
                        <wps:bodyPr wrap="square" rtlCol="0">
                          <a:noAutofit/>
                        </wps:bodyPr>
                      </wps:wsp>
                      <wps:wsp>
                        <wps:cNvPr id="129" name="Прямоугольник 129"/>
                        <wps:cNvSpPr/>
                        <wps:spPr>
                          <a:xfrm>
                            <a:off x="6767330" y="276968"/>
                            <a:ext cx="1986564" cy="282610"/>
                          </a:xfrm>
                          <a:prstGeom prst="rect">
                            <a:avLst/>
                          </a:prstGeom>
                          <a:ln/>
                        </wps:spPr>
                        <wps:style>
                          <a:lnRef idx="2">
                            <a:schemeClr val="dk1"/>
                          </a:lnRef>
                          <a:fillRef idx="1">
                            <a:schemeClr val="lt1"/>
                          </a:fillRef>
                          <a:effectRef idx="0">
                            <a:schemeClr val="dk1"/>
                          </a:effectRef>
                          <a:fontRef idx="minor">
                            <a:schemeClr val="dk1"/>
                          </a:fontRef>
                        </wps:style>
                        <wps:txbx>
                          <w:txbxContent>
                            <w:p w14:paraId="5EF4F32D" w14:textId="77777777" w:rsidR="001C46FD" w:rsidRPr="00C32A21" w:rsidRDefault="001C46FD" w:rsidP="003E3EAF">
                              <w:pPr>
                                <w:pStyle w:val="afd"/>
                                <w:spacing w:beforeAutospacing="0" w:afterAutospacing="0"/>
                                <w:jc w:val="center"/>
                                <w:rPr>
                                  <w:sz w:val="16"/>
                                  <w:szCs w:val="16"/>
                                </w:rPr>
                              </w:pPr>
                              <w:r w:rsidRPr="00C32A21">
                                <w:rPr>
                                  <w:bCs/>
                                  <w:color w:val="000000"/>
                                  <w:kern w:val="24"/>
                                  <w:sz w:val="16"/>
                                  <w:szCs w:val="16"/>
                                </w:rPr>
                                <w:t>Рецидив АА</w:t>
                              </w:r>
                            </w:p>
                          </w:txbxContent>
                        </wps:txbx>
                        <wps:bodyPr wrap="square">
                          <a:noAutofit/>
                        </wps:bodyPr>
                      </wps:wsp>
                      <wps:wsp>
                        <wps:cNvPr id="130" name="Соединительная линия уступом 130"/>
                        <wps:cNvCnPr>
                          <a:stCxn id="115" idx="3"/>
                          <a:endCxn id="129" idx="3"/>
                        </wps:cNvCnPr>
                        <wps:spPr>
                          <a:xfrm flipH="1" flipV="1">
                            <a:off x="8754455" y="401673"/>
                            <a:ext cx="69928" cy="3958089"/>
                          </a:xfrm>
                          <a:prstGeom prst="bentConnector3">
                            <a:avLst>
                              <a:gd name="adj1" fmla="val -345981"/>
                            </a:avLst>
                          </a:prstGeom>
                          <a:ln>
                            <a:tailEnd type="arrow"/>
                          </a:ln>
                        </wps:spPr>
                        <wps:style>
                          <a:lnRef idx="2">
                            <a:schemeClr val="dk1"/>
                          </a:lnRef>
                          <a:fillRef idx="1">
                            <a:schemeClr val="lt1"/>
                          </a:fillRef>
                          <a:effectRef idx="0">
                            <a:schemeClr val="dk1"/>
                          </a:effectRef>
                          <a:fontRef idx="minor">
                            <a:schemeClr val="dk1"/>
                          </a:fontRef>
                        </wps:style>
                        <wps:bodyPr/>
                      </wps:wsp>
                      <wps:wsp>
                        <wps:cNvPr id="131" name="Прямая со стрелкой 131"/>
                        <wps:cNvCnPr>
                          <a:stCxn id="129" idx="2"/>
                          <a:endCxn id="94" idx="0"/>
                        </wps:cNvCnPr>
                        <wps:spPr>
                          <a:xfrm>
                            <a:off x="7760612" y="559577"/>
                            <a:ext cx="6622" cy="494087"/>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132" name="Соединительная линия уступом 132"/>
                        <wps:cNvCnPr>
                          <a:stCxn id="110" idx="1"/>
                          <a:endCxn id="116" idx="3"/>
                        </wps:cNvCnPr>
                        <wps:spPr>
                          <a:xfrm rot="10800000">
                            <a:off x="2546143" y="4197920"/>
                            <a:ext cx="1053089" cy="58974"/>
                          </a:xfrm>
                          <a:prstGeom prst="bentConnector3">
                            <a:avLst>
                              <a:gd name="adj1" fmla="val 50000"/>
                            </a:avLst>
                          </a:prstGeom>
                          <a:ln>
                            <a:tailEnd type="arrow"/>
                          </a:ln>
                        </wps:spPr>
                        <wps:style>
                          <a:lnRef idx="2">
                            <a:schemeClr val="dk1"/>
                          </a:lnRef>
                          <a:fillRef idx="1">
                            <a:schemeClr val="lt1"/>
                          </a:fillRef>
                          <a:effectRef idx="0">
                            <a:schemeClr val="dk1"/>
                          </a:effectRef>
                          <a:fontRef idx="minor">
                            <a:schemeClr val="dk1"/>
                          </a:fontRef>
                        </wps:style>
                        <wps:bodyPr/>
                      </wps:wsp>
                      <wps:wsp>
                        <wps:cNvPr id="133" name="TextBox 93"/>
                        <wps:cNvSpPr txBox="1"/>
                        <wps:spPr>
                          <a:xfrm>
                            <a:off x="2850112" y="4137114"/>
                            <a:ext cx="494284" cy="282611"/>
                          </a:xfrm>
                          <a:prstGeom prst="rect">
                            <a:avLst/>
                          </a:prstGeom>
                        </wps:spPr>
                        <wps:style>
                          <a:lnRef idx="2">
                            <a:schemeClr val="dk1"/>
                          </a:lnRef>
                          <a:fillRef idx="1">
                            <a:schemeClr val="lt1"/>
                          </a:fillRef>
                          <a:effectRef idx="0">
                            <a:schemeClr val="dk1"/>
                          </a:effectRef>
                          <a:fontRef idx="minor">
                            <a:schemeClr val="dk1"/>
                          </a:fontRef>
                        </wps:style>
                        <wps:txbx>
                          <w:txbxContent>
                            <w:p w14:paraId="0CC6C2C0" w14:textId="77777777" w:rsidR="001C46FD" w:rsidRPr="00C32A21" w:rsidRDefault="001C46FD" w:rsidP="003E3EAF">
                              <w:pPr>
                                <w:pStyle w:val="afd"/>
                                <w:spacing w:beforeAutospacing="0" w:afterAutospacing="0"/>
                                <w:rPr>
                                  <w:sz w:val="16"/>
                                  <w:szCs w:val="16"/>
                                </w:rPr>
                              </w:pPr>
                              <w:r w:rsidRPr="00C32A21">
                                <w:rPr>
                                  <w:color w:val="000000" w:themeColor="dark1"/>
                                  <w:kern w:val="24"/>
                                  <w:sz w:val="16"/>
                                  <w:szCs w:val="16"/>
                                </w:rPr>
                                <w:t>нет</w:t>
                              </w:r>
                            </w:p>
                          </w:txbxContent>
                        </wps:txbx>
                        <wps:bodyPr wrap="square" rtlCol="0">
                          <a:noAutofit/>
                        </wps:bodyPr>
                      </wps:wsp>
                      <wps:wsp>
                        <wps:cNvPr id="134" name="TextBox 94"/>
                        <wps:cNvSpPr txBox="1"/>
                        <wps:spPr>
                          <a:xfrm>
                            <a:off x="1361117" y="5146817"/>
                            <a:ext cx="500198" cy="282611"/>
                          </a:xfrm>
                          <a:prstGeom prst="rect">
                            <a:avLst/>
                          </a:prstGeom>
                        </wps:spPr>
                        <wps:style>
                          <a:lnRef idx="2">
                            <a:schemeClr val="dk1"/>
                          </a:lnRef>
                          <a:fillRef idx="1">
                            <a:schemeClr val="lt1"/>
                          </a:fillRef>
                          <a:effectRef idx="0">
                            <a:schemeClr val="dk1"/>
                          </a:effectRef>
                          <a:fontRef idx="minor">
                            <a:schemeClr val="dk1"/>
                          </a:fontRef>
                        </wps:style>
                        <wps:txbx>
                          <w:txbxContent>
                            <w:p w14:paraId="25843CD0" w14:textId="77777777" w:rsidR="001C46FD" w:rsidRPr="00C32A21" w:rsidRDefault="001C46FD" w:rsidP="003E3EAF">
                              <w:pPr>
                                <w:pStyle w:val="afd"/>
                                <w:spacing w:beforeAutospacing="0" w:afterAutospacing="0"/>
                                <w:rPr>
                                  <w:sz w:val="16"/>
                                  <w:szCs w:val="16"/>
                                </w:rPr>
                              </w:pPr>
                              <w:r w:rsidRPr="00C32A21">
                                <w:rPr>
                                  <w:color w:val="000000" w:themeColor="dark1"/>
                                  <w:kern w:val="24"/>
                                  <w:sz w:val="16"/>
                                  <w:szCs w:val="16"/>
                                </w:rPr>
                                <w:t>нет</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2E90D5" id="Группа 44" o:spid="_x0000_s1028" style="position:absolute;left:0;text-align:left;margin-left:-61.8pt;margin-top:16.2pt;width:555.5pt;height:479.25pt;z-index:251638784;mso-position-horizontal-relative:margin;mso-width-relative:margin;mso-height-relative:margin" coordorigin=",-13128" coordsize="89084,7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">
                <v:rect id="Прямоугольник 93" o:spid="_x0000_s1029" style="position:absolute;left:6330;top:14928;width:1800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" fillcolor="white [3201]" strokecolor="black [3200]" strokeweight="1pt">
                  <v:textbox>
                    <w:txbxContent>
                      <w:p w14:paraId="3C562029" w14:textId="60F0AC2B" w:rsidR="001C46FD" w:rsidRPr="00C32A21" w:rsidRDefault="001C46FD" w:rsidP="003E3EAF">
                        <w:pPr>
                          <w:pStyle w:val="afd"/>
                          <w:spacing w:beforeAutospacing="0" w:afterAutospacing="0"/>
                          <w:jc w:val="center"/>
                          <w:rPr>
                            <w:sz w:val="16"/>
                            <w:szCs w:val="16"/>
                          </w:rPr>
                        </w:pPr>
                        <w:r w:rsidRPr="00C32A21">
                          <w:rPr>
                            <w:bCs/>
                            <w:color w:val="000000"/>
                            <w:kern w:val="24"/>
                            <w:sz w:val="16"/>
                            <w:szCs w:val="16"/>
                          </w:rPr>
                          <w:t>Родственная алло-Т</w:t>
                        </w:r>
                        <w:r>
                          <w:rPr>
                            <w:bCs/>
                            <w:color w:val="000000"/>
                            <w:kern w:val="24"/>
                            <w:sz w:val="16"/>
                            <w:szCs w:val="16"/>
                          </w:rPr>
                          <w:t>ГСК</w:t>
                        </w:r>
                      </w:p>
                    </w:txbxContent>
                  </v:textbox>
                </v:rect>
                <v:rect id="Прямоугольник 94" o:spid="_x0000_s1030" style="position:absolute;left:67806;top:10536;width:19731;height:8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" fillcolor="white [3201]" strokecolor="black [3200]" strokeweight="1pt">
                  <v:textbox>
                    <w:txbxContent>
                      <w:p w14:paraId="15C09DF7" w14:textId="77777777" w:rsidR="001C46FD" w:rsidRPr="00C32A21" w:rsidRDefault="001C46FD" w:rsidP="003E3EAF">
                        <w:pPr>
                          <w:pStyle w:val="afd"/>
                          <w:spacing w:beforeAutospacing="0" w:afterAutospacing="0"/>
                          <w:rPr>
                            <w:sz w:val="16"/>
                            <w:szCs w:val="16"/>
                          </w:rPr>
                        </w:pPr>
                        <w:r w:rsidRPr="00C32A21">
                          <w:rPr>
                            <w:bCs/>
                            <w:color w:val="000000"/>
                            <w:kern w:val="24"/>
                            <w:sz w:val="16"/>
                            <w:szCs w:val="16"/>
                          </w:rPr>
                          <w:t xml:space="preserve">Комбинированная ИСТ </w:t>
                        </w:r>
                      </w:p>
                      <w:p w14:paraId="1978D676" w14:textId="77777777" w:rsidR="001C46FD" w:rsidRPr="00C32A21" w:rsidRDefault="001C46FD" w:rsidP="003E3EAF">
                        <w:pPr>
                          <w:pStyle w:val="afd"/>
                          <w:spacing w:beforeAutospacing="0" w:afterAutospacing="0"/>
                          <w:rPr>
                            <w:sz w:val="16"/>
                            <w:szCs w:val="16"/>
                          </w:rPr>
                        </w:pPr>
                        <w:r w:rsidRPr="00C32A21">
                          <w:rPr>
                            <w:bCs/>
                            <w:color w:val="000000"/>
                            <w:kern w:val="24"/>
                            <w:sz w:val="16"/>
                            <w:szCs w:val="16"/>
                          </w:rPr>
                          <w:t>1 курс</w:t>
                        </w:r>
                      </w:p>
                      <w:p w14:paraId="4BC83C84" w14:textId="540BBC58" w:rsidR="001C46FD" w:rsidRPr="00C32A21" w:rsidRDefault="001C46FD" w:rsidP="003E3EAF">
                        <w:pPr>
                          <w:pStyle w:val="afd"/>
                          <w:spacing w:beforeAutospacing="0" w:afterAutospacing="0"/>
                          <w:rPr>
                            <w:sz w:val="16"/>
                            <w:szCs w:val="16"/>
                          </w:rPr>
                        </w:pPr>
                        <w:r w:rsidRPr="00C32A21">
                          <w:rPr>
                            <w:bCs/>
                            <w:color w:val="000000"/>
                            <w:kern w:val="24"/>
                            <w:sz w:val="16"/>
                            <w:szCs w:val="16"/>
                          </w:rPr>
                          <w:t>(лАТГ* + Циклоспорин)</w:t>
                        </w:r>
                        <w:r>
                          <w:rPr>
                            <w:bCs/>
                            <w:color w:val="000000"/>
                            <w:kern w:val="24"/>
                            <w:sz w:val="16"/>
                            <w:szCs w:val="16"/>
                          </w:rPr>
                          <w:t xml:space="preserve"> +/- элтромбопаг</w:t>
                        </w:r>
                      </w:p>
                    </w:txbxContent>
                  </v:textbox>
                </v:rect>
                <v:rect id="Прямоугольник 95" o:spid="_x0000_s1031" style="position:absolute;left:34574;top:53000;width:24187;height:6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" fillcolor="white [3201]" strokecolor="black [3200]" strokeweight="1pt">
                  <v:textbox>
                    <w:txbxContent>
                      <w:p w14:paraId="66EA70DB" w14:textId="77777777" w:rsidR="001C46FD" w:rsidRPr="00C32A21" w:rsidRDefault="001C46FD" w:rsidP="003E3EAF">
                        <w:pPr>
                          <w:pStyle w:val="afd"/>
                          <w:spacing w:beforeAutospacing="0" w:afterAutospacing="0"/>
                          <w:rPr>
                            <w:sz w:val="16"/>
                            <w:szCs w:val="16"/>
                          </w:rPr>
                        </w:pPr>
                        <w:r w:rsidRPr="00C32A21">
                          <w:rPr>
                            <w:bCs/>
                            <w:color w:val="000000"/>
                            <w:kern w:val="24"/>
                            <w:sz w:val="16"/>
                            <w:szCs w:val="16"/>
                          </w:rPr>
                          <w:t>Экспериментальные протоколы</w:t>
                        </w:r>
                      </w:p>
                      <w:p w14:paraId="4AF8698F" w14:textId="40ADD3B6" w:rsidR="001C46FD" w:rsidRPr="00C32A21" w:rsidRDefault="001C46FD" w:rsidP="003E3EAF">
                        <w:pPr>
                          <w:pStyle w:val="afd"/>
                          <w:spacing w:beforeAutospacing="0" w:afterAutospacing="0"/>
                          <w:rPr>
                            <w:sz w:val="16"/>
                            <w:szCs w:val="16"/>
                          </w:rPr>
                        </w:pPr>
                        <w:r w:rsidRPr="00C32A21">
                          <w:rPr>
                            <w:bCs/>
                            <w:color w:val="000000"/>
                            <w:kern w:val="24"/>
                            <w:sz w:val="16"/>
                            <w:szCs w:val="16"/>
                          </w:rPr>
                          <w:t xml:space="preserve"> Хелаторная терапия</w:t>
                        </w:r>
                      </w:p>
                      <w:p w14:paraId="36F67149" w14:textId="0CCFF32A" w:rsidR="001C46FD" w:rsidRDefault="001C46FD" w:rsidP="003E3EAF">
                        <w:pPr>
                          <w:pStyle w:val="afd"/>
                          <w:spacing w:beforeAutospacing="0" w:afterAutospacing="0"/>
                          <w:rPr>
                            <w:bCs/>
                            <w:color w:val="000000"/>
                            <w:kern w:val="24"/>
                            <w:sz w:val="16"/>
                            <w:szCs w:val="16"/>
                          </w:rPr>
                        </w:pPr>
                        <w:r w:rsidRPr="00C32A21">
                          <w:rPr>
                            <w:bCs/>
                            <w:color w:val="000000"/>
                            <w:kern w:val="24"/>
                            <w:sz w:val="16"/>
                            <w:szCs w:val="16"/>
                          </w:rPr>
                          <w:t>Лапароскопическая спленэктомия</w:t>
                        </w:r>
                      </w:p>
                      <w:p w14:paraId="20B04057" w14:textId="77777777" w:rsidR="001C46FD" w:rsidRPr="00C32A21" w:rsidRDefault="001C46FD" w:rsidP="003E3EAF">
                        <w:pPr>
                          <w:pStyle w:val="afd"/>
                          <w:spacing w:beforeAutospacing="0" w:afterAutospacing="0"/>
                          <w:rPr>
                            <w:sz w:val="16"/>
                            <w:szCs w:val="16"/>
                          </w:rPr>
                        </w:pPr>
                      </w:p>
                    </w:txbxContent>
                  </v:textbox>
                </v:rect>
                <v:shapetype id="_x0000_t32" coordsize="21600,21600" o:spt="32" o:oned="t" path="m,l21600,21600e" filled="f">
                  <v:path arrowok="t" fillok="f" o:connecttype="none"/>
                  <o:lock v:ext="edit" shapetype="t"/>
                </v:shapetype>
                <v:shape id="Прямая со стрелкой 96" o:spid="_x0000_s1032" type="#_x0000_t32" style="position:absolute;left:5763;top:42763;width:0;height:13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" filled="t" fillcolor="white [3201]" strokecolor="black [3200]" strokeweight="1pt">
                  <v:stroke endarrow="open" joinstyle="miter"/>
                </v:shape>
                <v:shape id="Прямая со стрелкой 97" o:spid="_x0000_s1033" type="#_x0000_t32" style="position:absolute;left:87221;top:33615;width:0;height:7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" filled="t" fillcolor="white [3201]" strokecolor="black [3200]" strokeweight="1pt">
                  <v:stroke endarrow="open" joinstyle="miter"/>
                </v:shape>
                <v:shape id="Прямая со стрелкой 98" o:spid="_x0000_s1034" type="#_x0000_t32" style="position:absolute;left:77672;top:18844;width:257;height:108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" filled="t" fillcolor="white [3201]" strokecolor="black [3200]" strokeweight="1pt">
                  <v:stroke endarrow="open" joinstyle="miter"/>
                </v:shape>
                <v:shape id="Прямая со стрелкой 99" o:spid="_x0000_s1035" type="#_x0000_t32" style="position:absolute;left:46499;top:46531;width:170;height:6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" filled="t" fillcolor="white [3201]" strokecolor="black [3200]" strokeweight="1pt">
                  <v:stroke endarrow="open" joinstyle="miter"/>
                </v:shape>
                <v:shape id="Прямая со стрелкой 100" o:spid="_x0000_s1036" type="#_x0000_t32" style="position:absolute;left:46502;top:37638;width:171;height:9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" filled="t" fillcolor="white [3201]" strokecolor="black [3200]" strokeweight="1pt">
                  <v:stroke endarrow="open" joinstyle="miter"/>
                </v:shape>
                <v:shape id="Прямая со стрелкой 101" o:spid="_x0000_s1037" type="#_x0000_t32" style="position:absolute;left:45682;top:17309;width:71;height:43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" filled="t" fillcolor="white [3201]" strokecolor="black [3200]" strokeweight="1pt">
                  <v:stroke endarrow="open" joinstyle="miter"/>
                </v:shape>
                <v:shape id="Прямая со стрелкой 102" o:spid="_x0000_s1038" type="#_x0000_t32" style="position:absolute;left:12840;top:17391;width:0;height:6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" filled="t" fillcolor="white [3201]" strokecolor="black [3200]" strokeweight="1pt">
                  <v:stroke endarrow="open" joinstyle="miter"/>
                </v:shape>
                <v:shape id="_x0000_s1039" type="#_x0000_t202" style="position:absolute;left:42601;top:17874;width:6270;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" fillcolor="white [3201]" strokecolor="black [3200]" strokeweight="1pt">
                  <v:textbox>
                    <w:txbxContent>
                      <w:p w14:paraId="60D7EAEA" w14:textId="77777777" w:rsidR="001C46FD" w:rsidRPr="00C32A21" w:rsidRDefault="001C46FD" w:rsidP="00C32A21">
                        <w:pPr>
                          <w:pStyle w:val="afd"/>
                          <w:spacing w:beforeAutospacing="0" w:afterAutospacing="0"/>
                          <w:jc w:val="center"/>
                          <w:rPr>
                            <w:sz w:val="16"/>
                            <w:szCs w:val="16"/>
                          </w:rPr>
                        </w:pPr>
                        <w:r w:rsidRPr="00C32A21">
                          <w:rPr>
                            <w:color w:val="000000" w:themeColor="dark1"/>
                            <w:kern w:val="24"/>
                            <w:sz w:val="16"/>
                            <w:szCs w:val="16"/>
                          </w:rPr>
                          <w:t>да</w:t>
                        </w:r>
                      </w:p>
                    </w:txbxContent>
                  </v:textbox>
                </v:shape>
                <v:shapetype id="_x0000_t4" coordsize="21600,21600" o:spt="4" path="m10800,l,10800,10800,21600,21600,10800xe">
                  <v:stroke joinstyle="miter"/>
                  <v:path gradientshapeok="t" o:connecttype="rect" textboxrect="5400,5400,16200,16200"/>
                </v:shapetype>
                <v:shape id="Ромб 104" o:spid="_x0000_s1040" type="#_x0000_t4" style="position:absolute;left:33280;top:8241;width:24946;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" fillcolor="white [3201]" strokecolor="black [3200]" strokeweight="1pt">
                  <v:textbox>
                    <w:txbxContent>
                      <w:p w14:paraId="213ADFC1" w14:textId="77777777" w:rsidR="001C46FD" w:rsidRPr="00C32A21" w:rsidRDefault="001C46FD" w:rsidP="003E3EAF">
                        <w:pPr>
                          <w:pStyle w:val="afd"/>
                          <w:spacing w:beforeAutospacing="0" w:afterAutospacing="0"/>
                          <w:jc w:val="center"/>
                          <w:rPr>
                            <w:sz w:val="16"/>
                            <w:szCs w:val="16"/>
                          </w:rPr>
                        </w:pPr>
                        <w:r w:rsidRPr="00C32A21">
                          <w:rPr>
                            <w:bCs/>
                            <w:color w:val="000000"/>
                            <w:kern w:val="24"/>
                            <w:sz w:val="16"/>
                            <w:szCs w:val="16"/>
                            <w:lang w:val="en-US"/>
                          </w:rPr>
                          <w:t>HLA</w:t>
                        </w:r>
                        <w:r w:rsidRPr="00C32A21">
                          <w:rPr>
                            <w:bCs/>
                            <w:color w:val="000000"/>
                            <w:kern w:val="24"/>
                            <w:sz w:val="16"/>
                            <w:szCs w:val="16"/>
                          </w:rPr>
                          <w:t xml:space="preserve">-идентичный сиблинг? </w:t>
                        </w:r>
                      </w:p>
                    </w:txbxContent>
                  </v:textbox>
                </v:shape>
                <v:shape id="Ромб 105" o:spid="_x0000_s1041" type="#_x0000_t4" style="position:absolute;left:68635;top:29650;width:18588;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" fillcolor="white [3201]" strokecolor="black [3200]" strokeweight="1pt">
                  <v:textbox>
                    <w:txbxContent>
                      <w:p w14:paraId="1816D13E" w14:textId="77777777" w:rsidR="001C46FD" w:rsidRPr="00C32A21" w:rsidRDefault="001C46FD" w:rsidP="003E3EAF">
                        <w:pPr>
                          <w:pStyle w:val="afd"/>
                          <w:spacing w:beforeAutospacing="0" w:afterAutospacing="0"/>
                          <w:jc w:val="center"/>
                          <w:rPr>
                            <w:sz w:val="16"/>
                            <w:szCs w:val="16"/>
                          </w:rPr>
                        </w:pPr>
                        <w:r w:rsidRPr="00C32A21">
                          <w:rPr>
                            <w:bCs/>
                            <w:color w:val="000000"/>
                            <w:kern w:val="24"/>
                            <w:sz w:val="16"/>
                            <w:szCs w:val="16"/>
                          </w:rPr>
                          <w:t>ремиссия к 3-6 месяцам?</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6" o:spid="_x0000_s1042" type="#_x0000_t34" style="position:absolute;left:58226;top:12775;width:9580;height:191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" filled="t" fillcolor="white [3201]" strokecolor="black [3200]" strokeweight="1pt">
                  <v:stroke endarrow="open"/>
                </v:shape>
                <v:rect id="Прямоугольник 107" o:spid="_x0000_s1043" style="position:absolute;left:37217;top:30690;width:18912;height:6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" fillcolor="white [3201]" strokecolor="black [3200]" strokeweight="1pt">
                  <v:textbox>
                    <w:txbxContent>
                      <w:p w14:paraId="68CF7B55" w14:textId="20B7B996" w:rsidR="001C46FD" w:rsidRPr="00C32A21" w:rsidRDefault="001C46FD" w:rsidP="003E3EAF">
                        <w:pPr>
                          <w:pStyle w:val="afd"/>
                          <w:spacing w:beforeAutospacing="0" w:afterAutospacing="0"/>
                          <w:rPr>
                            <w:sz w:val="16"/>
                            <w:szCs w:val="16"/>
                          </w:rPr>
                        </w:pPr>
                        <w:r w:rsidRPr="00C32A21">
                          <w:rPr>
                            <w:bCs/>
                            <w:color w:val="000000"/>
                            <w:kern w:val="24"/>
                            <w:sz w:val="16"/>
                            <w:szCs w:val="16"/>
                          </w:rPr>
                          <w:t>Комбинированная ИСТ 2 курс</w:t>
                        </w:r>
                        <w:r>
                          <w:rPr>
                            <w:bCs/>
                            <w:color w:val="000000"/>
                            <w:kern w:val="24"/>
                            <w:sz w:val="16"/>
                            <w:szCs w:val="16"/>
                          </w:rPr>
                          <w:t xml:space="preserve"> </w:t>
                        </w:r>
                        <w:r w:rsidRPr="00C32A21">
                          <w:rPr>
                            <w:bCs/>
                            <w:color w:val="000000"/>
                            <w:kern w:val="24"/>
                            <w:sz w:val="16"/>
                            <w:szCs w:val="16"/>
                          </w:rPr>
                          <w:t>(лАТГ + Циклоспорин)</w:t>
                        </w:r>
                        <w:r>
                          <w:rPr>
                            <w:bCs/>
                            <w:color w:val="000000"/>
                            <w:kern w:val="24"/>
                            <w:sz w:val="16"/>
                            <w:szCs w:val="16"/>
                          </w:rPr>
                          <w:t xml:space="preserve"> +/- элтромбопаг</w:t>
                        </w:r>
                      </w:p>
                    </w:txbxContent>
                  </v:textbox>
                </v:rect>
                <v:rect id="Прямоугольник 108" o:spid="_x0000_s1044" style="position:absolute;left:5876;top:23654;width:13969;height:5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" fillcolor="white [3201]" strokecolor="black [3200]" strokeweight="1pt">
                  <v:textbox>
                    <w:txbxContent>
                      <w:p w14:paraId="7EF2840E" w14:textId="15D8AC6F" w:rsidR="001C46FD" w:rsidRPr="00C32A21" w:rsidRDefault="001C46FD" w:rsidP="003E3EAF">
                        <w:pPr>
                          <w:pStyle w:val="afd"/>
                          <w:spacing w:beforeAutospacing="0" w:afterAutospacing="0"/>
                          <w:rPr>
                            <w:sz w:val="16"/>
                            <w:szCs w:val="16"/>
                          </w:rPr>
                        </w:pPr>
                        <w:r w:rsidRPr="00C32A21">
                          <w:rPr>
                            <w:bCs/>
                            <w:color w:val="000000"/>
                            <w:kern w:val="24"/>
                            <w:sz w:val="16"/>
                            <w:szCs w:val="16"/>
                          </w:rPr>
                          <w:t xml:space="preserve">Длительное </w:t>
                        </w:r>
                        <w:r>
                          <w:rPr>
                            <w:bCs/>
                            <w:color w:val="000000"/>
                            <w:kern w:val="24"/>
                            <w:sz w:val="16"/>
                            <w:szCs w:val="16"/>
                          </w:rPr>
                          <w:t xml:space="preserve"> н</w:t>
                        </w:r>
                        <w:r w:rsidRPr="00C32A21">
                          <w:rPr>
                            <w:bCs/>
                            <w:color w:val="000000"/>
                            <w:kern w:val="24"/>
                            <w:sz w:val="16"/>
                            <w:szCs w:val="16"/>
                          </w:rPr>
                          <w:t>наблюдение</w:t>
                        </w:r>
                      </w:p>
                    </w:txbxContent>
                  </v:textbox>
                </v:rect>
                <v:shape id="Ромб 109" o:spid="_x0000_s1045" type="#_x0000_t4" style="position:absolute;left:35668;top:21622;width:20027;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" fillcolor="white [3201]" strokecolor="black [3200]" strokeweight="1pt">
                  <v:textbox>
                    <w:txbxContent>
                      <w:p w14:paraId="5E368383" w14:textId="77777777" w:rsidR="001C46FD" w:rsidRPr="00C32A21" w:rsidRDefault="001C46FD" w:rsidP="003E3EAF">
                        <w:pPr>
                          <w:pStyle w:val="afd"/>
                          <w:spacing w:beforeAutospacing="0" w:afterAutospacing="0"/>
                          <w:jc w:val="center"/>
                          <w:rPr>
                            <w:sz w:val="16"/>
                            <w:szCs w:val="16"/>
                          </w:rPr>
                        </w:pPr>
                        <w:r w:rsidRPr="00C32A21">
                          <w:rPr>
                            <w:bCs/>
                            <w:color w:val="000000"/>
                            <w:kern w:val="24"/>
                            <w:sz w:val="16"/>
                            <w:szCs w:val="16"/>
                          </w:rPr>
                          <w:t>Возраст</w:t>
                        </w:r>
                        <w:r w:rsidRPr="00C32A21">
                          <w:rPr>
                            <w:bCs/>
                            <w:color w:val="000000"/>
                            <w:kern w:val="24"/>
                            <w:sz w:val="16"/>
                            <w:szCs w:val="16"/>
                            <w:lang w:val="en-US"/>
                          </w:rPr>
                          <w:t xml:space="preserve"> &gt;45 </w:t>
                        </w:r>
                        <w:r w:rsidRPr="00C32A21">
                          <w:rPr>
                            <w:bCs/>
                            <w:color w:val="000000"/>
                            <w:kern w:val="24"/>
                            <w:sz w:val="16"/>
                            <w:szCs w:val="16"/>
                          </w:rPr>
                          <w:t xml:space="preserve">лет ? </w:t>
                        </w:r>
                      </w:p>
                    </w:txbxContent>
                  </v:textbox>
                </v:shape>
                <v:shape id="Ромб 110" o:spid="_x0000_s1046" type="#_x0000_t4" style="position:absolute;left:35992;top:38603;width:21021;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" fillcolor="white [3201]" strokecolor="black [3200]" strokeweight="1pt">
                  <v:textbox>
                    <w:txbxContent>
                      <w:p w14:paraId="3E7EA2D0" w14:textId="77777777" w:rsidR="001C46FD" w:rsidRPr="00C32A21" w:rsidRDefault="001C46FD" w:rsidP="003E3EAF">
                        <w:pPr>
                          <w:pStyle w:val="afd"/>
                          <w:spacing w:beforeAutospacing="0" w:afterAutospacing="0"/>
                          <w:jc w:val="center"/>
                          <w:rPr>
                            <w:sz w:val="16"/>
                            <w:szCs w:val="16"/>
                          </w:rPr>
                        </w:pPr>
                        <w:r w:rsidRPr="00C32A21">
                          <w:rPr>
                            <w:bCs/>
                            <w:color w:val="000000"/>
                            <w:kern w:val="24"/>
                            <w:sz w:val="16"/>
                            <w:szCs w:val="16"/>
                          </w:rPr>
                          <w:t>ремиссия через 3-6 месяца?</w:t>
                        </w:r>
                      </w:p>
                    </w:txbxContent>
                  </v:textbox>
                </v:shape>
                <v:shape id="Соединительная линия уступом 111" o:spid="_x0000_s1047" type="#_x0000_t34" style="position:absolute;left:55516;top:16159;width:12162;height:943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" filled="t" fillcolor="white [3201]" strokecolor="black [3200]" strokeweight="1pt">
                  <v:stroke endarrow="open"/>
                </v:shape>
                <v:shape id="Соединительная линия уступом 112" o:spid="_x0000_s1048" type="#_x0000_t34" style="position:absolute;left:57006;top:42274;width:19361;height:29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" adj="21449" filled="t" fillcolor="white [3201]" strokecolor="black [3200]" strokeweight="1pt">
                  <v:stroke endarrow="open"/>
                </v:shape>
                <v:shape id="_x0000_s1049" type="#_x0000_t202" style="position:absolute;left:60571;top:12359;width:4475;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" fillcolor="white [3201]" strokecolor="black [3200]" strokeweight="1pt">
                  <v:textbox>
                    <w:txbxContent>
                      <w:p w14:paraId="6E1ED843" w14:textId="77777777" w:rsidR="001C46FD" w:rsidRPr="00C32A21" w:rsidRDefault="001C46FD" w:rsidP="003E3EAF">
                        <w:pPr>
                          <w:pStyle w:val="afd"/>
                          <w:spacing w:beforeAutospacing="0" w:afterAutospacing="0"/>
                          <w:rPr>
                            <w:sz w:val="16"/>
                            <w:szCs w:val="16"/>
                          </w:rPr>
                        </w:pPr>
                        <w:r w:rsidRPr="00C32A21">
                          <w:rPr>
                            <w:color w:val="000000" w:themeColor="dark1"/>
                            <w:kern w:val="24"/>
                            <w:sz w:val="16"/>
                            <w:szCs w:val="16"/>
                          </w:rPr>
                          <w:t>нет</w:t>
                        </w:r>
                      </w:p>
                    </w:txbxContent>
                  </v:textbox>
                </v:shape>
                <v:shape id="TextBox 70" o:spid="_x0000_s1050" type="#_x0000_t202" style="position:absolute;left:61735;top:41312;width:3743;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" fillcolor="white [3201]" strokecolor="black [3200]" strokeweight="1pt">
                  <v:textbox>
                    <w:txbxContent>
                      <w:p w14:paraId="4036310E" w14:textId="77777777" w:rsidR="001C46FD" w:rsidRPr="00C32A21" w:rsidRDefault="001C46FD" w:rsidP="003E3EAF">
                        <w:pPr>
                          <w:pStyle w:val="afd"/>
                          <w:spacing w:beforeAutospacing="0" w:afterAutospacing="0"/>
                          <w:rPr>
                            <w:sz w:val="16"/>
                            <w:szCs w:val="16"/>
                          </w:rPr>
                        </w:pPr>
                        <w:r w:rsidRPr="00C32A21">
                          <w:rPr>
                            <w:color w:val="000000"/>
                            <w:kern w:val="24"/>
                            <w:sz w:val="16"/>
                            <w:szCs w:val="16"/>
                          </w:rPr>
                          <w:t>да</w:t>
                        </w:r>
                      </w:p>
                    </w:txbxContent>
                  </v:textbox>
                </v:shape>
                <v:rect id="Прямоугольник 115" o:spid="_x0000_s1051" style="position:absolute;left:76605;top:40851;width:11640;height: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" fillcolor="white [3201]" strokecolor="black [3200]" strokeweight="1pt">
                  <v:textbox>
                    <w:txbxContent>
                      <w:p w14:paraId="240A0FD9" w14:textId="77777777" w:rsidR="001C46FD" w:rsidRPr="00C32A21" w:rsidRDefault="001C46FD" w:rsidP="003E3EAF">
                        <w:pPr>
                          <w:pStyle w:val="afd"/>
                          <w:spacing w:beforeAutospacing="0" w:afterAutospacing="0"/>
                          <w:jc w:val="center"/>
                          <w:rPr>
                            <w:sz w:val="16"/>
                            <w:szCs w:val="16"/>
                          </w:rPr>
                        </w:pPr>
                        <w:r w:rsidRPr="00C32A21">
                          <w:rPr>
                            <w:bCs/>
                            <w:color w:val="000000"/>
                            <w:kern w:val="24"/>
                            <w:sz w:val="16"/>
                            <w:szCs w:val="16"/>
                          </w:rPr>
                          <w:t>Терапия Циклоспорином до 2 лет</w:t>
                        </w:r>
                      </w:p>
                    </w:txbxContent>
                  </v:textbox>
                </v:rect>
                <v:shape id="Ромб 116" o:spid="_x0000_s1052" type="#_x0000_t4" style="position:absolute;left:5763;top:36528;width:19704;height:1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" fillcolor="white [3201]" strokecolor="black [3200]" strokeweight="1pt">
                  <v:textbox>
                    <w:txbxContent>
                      <w:p w14:paraId="1E21A118" w14:textId="77777777" w:rsidR="001C46FD" w:rsidRPr="00C32A21" w:rsidRDefault="001C46FD" w:rsidP="003E3EAF">
                        <w:pPr>
                          <w:pStyle w:val="afd"/>
                          <w:spacing w:beforeAutospacing="0" w:afterAutospacing="0"/>
                          <w:jc w:val="center"/>
                          <w:rPr>
                            <w:sz w:val="16"/>
                            <w:szCs w:val="16"/>
                          </w:rPr>
                        </w:pPr>
                        <w:r w:rsidRPr="00C32A21">
                          <w:rPr>
                            <w:bCs/>
                            <w:color w:val="000000"/>
                            <w:kern w:val="24"/>
                            <w:sz w:val="16"/>
                            <w:szCs w:val="16"/>
                            <w:lang w:val="en-US"/>
                          </w:rPr>
                          <w:t>HLA</w:t>
                        </w:r>
                        <w:r w:rsidRPr="00C32A21">
                          <w:rPr>
                            <w:bCs/>
                            <w:color w:val="000000"/>
                            <w:kern w:val="24"/>
                            <w:sz w:val="16"/>
                            <w:szCs w:val="16"/>
                          </w:rPr>
                          <w:t xml:space="preserve">-идентичный донор? </w:t>
                        </w:r>
                      </w:p>
                    </w:txbxContent>
                  </v:textbox>
                </v:shape>
                <v:shape id="Соединительная линия уступом 117" o:spid="_x0000_s1053" type="#_x0000_t34" style="position:absolute;left:24009;top:16333;width:11660;height:925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" filled="t" fillcolor="white [3201]" strokecolor="black [3200]" strokeweight="1pt">
                  <v:stroke endarrow="open"/>
                </v:shape>
                <v:shape id="TextBox 75" o:spid="_x0000_s1054" type="#_x0000_t202" style="position:absolute;left:3675;top:47477;width:4402;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" fillcolor="white [3201]" strokecolor="black [3200]" strokeweight="1pt">
                  <v:textbox>
                    <w:txbxContent>
                      <w:p w14:paraId="77A60829" w14:textId="77777777" w:rsidR="001C46FD" w:rsidRPr="00C32A21" w:rsidRDefault="001C46FD" w:rsidP="003E3EAF">
                        <w:pPr>
                          <w:pStyle w:val="afd"/>
                          <w:spacing w:beforeAutospacing="0" w:afterAutospacing="0"/>
                          <w:rPr>
                            <w:sz w:val="16"/>
                            <w:szCs w:val="16"/>
                          </w:rPr>
                        </w:pPr>
                        <w:r w:rsidRPr="00C32A21">
                          <w:rPr>
                            <w:color w:val="000000" w:themeColor="dark1"/>
                            <w:kern w:val="24"/>
                            <w:sz w:val="16"/>
                            <w:szCs w:val="16"/>
                          </w:rPr>
                          <w:t>да</w:t>
                        </w:r>
                      </w:p>
                    </w:txbxContent>
                  </v:textbox>
                </v:shape>
                <v:rect id="Прямоугольник 119" o:spid="_x0000_s1055" style="position:absolute;top:56452;width:24650;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" fillcolor="white [3201]" strokecolor="black [3200]" strokeweight="1pt">
                  <v:textbox>
                    <w:txbxContent>
                      <w:p w14:paraId="42ADED86" w14:textId="77777777" w:rsidR="001C46FD" w:rsidRPr="00C32A21" w:rsidRDefault="001C46FD" w:rsidP="003E3EAF">
                        <w:pPr>
                          <w:pStyle w:val="afd"/>
                          <w:spacing w:beforeAutospacing="0" w:afterAutospacing="0"/>
                          <w:jc w:val="center"/>
                          <w:rPr>
                            <w:sz w:val="16"/>
                            <w:szCs w:val="16"/>
                          </w:rPr>
                        </w:pPr>
                        <w:r w:rsidRPr="00C32A21">
                          <w:rPr>
                            <w:bCs/>
                            <w:color w:val="000000"/>
                            <w:kern w:val="24"/>
                            <w:sz w:val="16"/>
                            <w:szCs w:val="16"/>
                          </w:rPr>
                          <w:t>алло-ТГСК от неродственного донора</w:t>
                        </w:r>
                      </w:p>
                    </w:txbxContent>
                  </v:textbox>
                </v:rect>
                <v:shape id="Прямая со стрелкой 120" o:spid="_x0000_s1056" type="#_x0000_t32" style="position:absolute;left:56129;top:34164;width:12506;height: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" filled="t" fillcolor="white [3201]" strokecolor="black [3200]" strokeweight="1pt">
                  <v:stroke endarrow="open" joinstyle="miter"/>
                </v:shape>
                <v:shape id="_x0000_s1057" type="#_x0000_t202" style="position:absolute;left:19578;top:-13128;width:19525;height:3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" fillcolor="white [3201]" strokecolor="black [3200]" strokeweight="1pt">
                  <v:textbox>
                    <w:txbxContent>
                      <w:p w14:paraId="6DE7F703" w14:textId="77777777" w:rsidR="001C46FD" w:rsidRPr="00C32A21" w:rsidRDefault="001C46FD" w:rsidP="003E3EAF">
                        <w:pPr>
                          <w:pStyle w:val="afd"/>
                          <w:spacing w:beforeAutospacing="0" w:afterAutospacing="0"/>
                          <w:jc w:val="center"/>
                          <w:rPr>
                            <w:sz w:val="16"/>
                            <w:szCs w:val="16"/>
                          </w:rPr>
                        </w:pPr>
                        <w:r>
                          <w:rPr>
                            <w:bCs/>
                            <w:color w:val="000000"/>
                            <w:kern w:val="24"/>
                            <w:sz w:val="16"/>
                            <w:szCs w:val="16"/>
                          </w:rPr>
                          <w:t>Пациент с подозрением на</w:t>
                        </w:r>
                        <w:r w:rsidRPr="00C32A21">
                          <w:rPr>
                            <w:bCs/>
                            <w:color w:val="000000"/>
                            <w:kern w:val="24"/>
                            <w:sz w:val="16"/>
                            <w:szCs w:val="16"/>
                          </w:rPr>
                          <w:t xml:space="preserve"> АА </w:t>
                        </w:r>
                      </w:p>
                    </w:txbxContent>
                  </v:textbox>
                </v:shape>
                <v:shape id="Прямая со стрелкой 122" o:spid="_x0000_s1058" type="#_x0000_t32" style="position:absolute;left:29341;top:-9492;width:0;height:2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" filled="t" fillcolor="white [3201]" strokecolor="black [3200]" strokeweight="1pt">
                  <v:stroke endarrow="open" joinstyle="miter"/>
                </v:shape>
                <v:shapetype id="_x0000_t33" coordsize="21600,21600" o:spt="33" o:oned="t" path="m,l21600,r,21600e" filled="f">
                  <v:stroke joinstyle="miter"/>
                  <v:path arrowok="t" fillok="f" o:connecttype="none"/>
                  <o:lock v:ext="edit" shapetype="t"/>
                </v:shapetype>
                <v:shape id="Соединительная линия уступом 123" o:spid="_x0000_s1059" type="#_x0000_t33" style="position:absolute;left:22198;top:42415;width:5794;height:189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" filled="t" fillcolor="white [3201]" strokecolor="black [3200]" strokeweight="1pt">
                  <v:stroke endarrow="open"/>
                </v:shape>
                <v:shape id="TextBox 82" o:spid="_x0000_s1060" type="#_x0000_t202" style="position:absolute;left:59381;top:19655;width:4323;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" fillcolor="white [3201]" strokecolor="black [3200]" strokeweight="1pt">
                  <v:textbox>
                    <w:txbxContent>
                      <w:p w14:paraId="43692657" w14:textId="77777777" w:rsidR="001C46FD" w:rsidRPr="00C32A21" w:rsidRDefault="001C46FD" w:rsidP="003E3EAF">
                        <w:pPr>
                          <w:pStyle w:val="afd"/>
                          <w:spacing w:beforeAutospacing="0" w:afterAutospacing="0"/>
                          <w:rPr>
                            <w:sz w:val="16"/>
                            <w:szCs w:val="16"/>
                          </w:rPr>
                        </w:pPr>
                        <w:r w:rsidRPr="00C32A21">
                          <w:rPr>
                            <w:color w:val="000000" w:themeColor="dark1"/>
                            <w:kern w:val="24"/>
                            <w:sz w:val="16"/>
                            <w:szCs w:val="16"/>
                          </w:rPr>
                          <w:t>да</w:t>
                        </w:r>
                      </w:p>
                    </w:txbxContent>
                  </v:textbox>
                </v:shape>
                <v:shape id="TextBox 85" o:spid="_x0000_s1061" type="#_x0000_t202" style="position:absolute;left:27770;top:19658;width:4960;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" fillcolor="white [3201]" strokecolor="black [3200]" strokeweight="1pt">
                  <v:textbox>
                    <w:txbxContent>
                      <w:p w14:paraId="34D128B5" w14:textId="77777777" w:rsidR="001C46FD" w:rsidRPr="00C32A21" w:rsidRDefault="001C46FD" w:rsidP="003E3EAF">
                        <w:pPr>
                          <w:pStyle w:val="afd"/>
                          <w:spacing w:beforeAutospacing="0" w:afterAutospacing="0"/>
                          <w:jc w:val="center"/>
                          <w:rPr>
                            <w:sz w:val="16"/>
                            <w:szCs w:val="16"/>
                          </w:rPr>
                        </w:pPr>
                        <w:r w:rsidRPr="00C32A21">
                          <w:rPr>
                            <w:bCs/>
                            <w:color w:val="000000"/>
                            <w:kern w:val="24"/>
                            <w:sz w:val="16"/>
                            <w:szCs w:val="16"/>
                          </w:rPr>
                          <w:t>нет</w:t>
                        </w:r>
                      </w:p>
                    </w:txbxContent>
                  </v:textbox>
                </v:shape>
                <v:shape id="TextBox 86" o:spid="_x0000_s1062" type="#_x0000_t202" style="position:absolute;left:61263;top:32601;width:4577;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" fillcolor="white [3201]" strokecolor="black [3200]" strokeweight="1pt">
                  <v:textbox>
                    <w:txbxContent>
                      <w:p w14:paraId="1FB354AC" w14:textId="77777777" w:rsidR="001C46FD" w:rsidRPr="00C32A21" w:rsidRDefault="001C46FD" w:rsidP="003E3EAF">
                        <w:pPr>
                          <w:pStyle w:val="afd"/>
                          <w:spacing w:beforeAutospacing="0" w:afterAutospacing="0"/>
                          <w:rPr>
                            <w:sz w:val="16"/>
                            <w:szCs w:val="16"/>
                          </w:rPr>
                        </w:pPr>
                        <w:r w:rsidRPr="00C32A21">
                          <w:rPr>
                            <w:color w:val="000000" w:themeColor="dark1"/>
                            <w:kern w:val="24"/>
                            <w:sz w:val="16"/>
                            <w:szCs w:val="16"/>
                          </w:rPr>
                          <w:t>нет</w:t>
                        </w:r>
                      </w:p>
                    </w:txbxContent>
                  </v:textbox>
                </v:shape>
                <v:shape id="TextBox 87" o:spid="_x0000_s1063" type="#_x0000_t202" style="position:absolute;left:84916;top:35764;width:4168;height: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" fillcolor="white [3201]" strokecolor="black [3200]" strokeweight="1pt">
                  <v:textbox>
                    <w:txbxContent>
                      <w:p w14:paraId="2622F350" w14:textId="77777777" w:rsidR="001C46FD" w:rsidRPr="00C32A21" w:rsidRDefault="001C46FD" w:rsidP="003E3EAF">
                        <w:pPr>
                          <w:pStyle w:val="afd"/>
                          <w:spacing w:beforeAutospacing="0" w:afterAutospacing="0"/>
                          <w:rPr>
                            <w:sz w:val="16"/>
                            <w:szCs w:val="16"/>
                          </w:rPr>
                        </w:pPr>
                        <w:r w:rsidRPr="00C32A21">
                          <w:rPr>
                            <w:color w:val="000000" w:themeColor="dark1"/>
                            <w:kern w:val="24"/>
                            <w:sz w:val="16"/>
                            <w:szCs w:val="16"/>
                          </w:rPr>
                          <w:t>да</w:t>
                        </w:r>
                      </w:p>
                    </w:txbxContent>
                  </v:textbox>
                </v:shape>
                <v:shape id="TextBox 88" o:spid="_x0000_s1064" type="#_x0000_t202" style="position:absolute;left:43881;top:47779;width:5377;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" fillcolor="white [3201]" strokecolor="black [3200]" strokeweight="1pt">
                  <v:textbox>
                    <w:txbxContent>
                      <w:p w14:paraId="2BD45AFE" w14:textId="77777777" w:rsidR="001C46FD" w:rsidRPr="00C32A21" w:rsidRDefault="001C46FD" w:rsidP="003E3EAF">
                        <w:pPr>
                          <w:pStyle w:val="afd"/>
                          <w:spacing w:beforeAutospacing="0" w:afterAutospacing="0"/>
                          <w:rPr>
                            <w:sz w:val="16"/>
                            <w:szCs w:val="16"/>
                          </w:rPr>
                        </w:pPr>
                        <w:r w:rsidRPr="00C32A21">
                          <w:rPr>
                            <w:color w:val="000000" w:themeColor="dark1"/>
                            <w:kern w:val="24"/>
                            <w:sz w:val="16"/>
                            <w:szCs w:val="16"/>
                          </w:rPr>
                          <w:t>нет</w:t>
                        </w:r>
                      </w:p>
                    </w:txbxContent>
                  </v:textbox>
                </v:shape>
                <v:rect id="Прямоугольник 129" o:spid="_x0000_s1065" style="position:absolute;left:67673;top:2769;width:19865;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" fillcolor="white [3201]" strokecolor="black [3200]" strokeweight="1pt">
                  <v:textbox>
                    <w:txbxContent>
                      <w:p w14:paraId="5EF4F32D" w14:textId="77777777" w:rsidR="001C46FD" w:rsidRPr="00C32A21" w:rsidRDefault="001C46FD" w:rsidP="003E3EAF">
                        <w:pPr>
                          <w:pStyle w:val="afd"/>
                          <w:spacing w:beforeAutospacing="0" w:afterAutospacing="0"/>
                          <w:jc w:val="center"/>
                          <w:rPr>
                            <w:sz w:val="16"/>
                            <w:szCs w:val="16"/>
                          </w:rPr>
                        </w:pPr>
                        <w:r w:rsidRPr="00C32A21">
                          <w:rPr>
                            <w:bCs/>
                            <w:color w:val="000000"/>
                            <w:kern w:val="24"/>
                            <w:sz w:val="16"/>
                            <w:szCs w:val="16"/>
                          </w:rPr>
                          <w:t>Рецидив АА</w:t>
                        </w:r>
                      </w:p>
                    </w:txbxContent>
                  </v:textbox>
                </v:rect>
                <v:shape id="Соединительная линия уступом 130" o:spid="_x0000_s1066" type="#_x0000_t34" style="position:absolute;left:87544;top:4016;width:699;height:39581;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" adj="-74732" filled="t" fillcolor="white [3201]" strokecolor="black [3200]" strokeweight="1pt">
                  <v:stroke endarrow="open"/>
                </v:shape>
                <v:shape id="Прямая со стрелкой 131" o:spid="_x0000_s1067" type="#_x0000_t32" style="position:absolute;left:77606;top:5595;width:66;height:49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" filled="t" fillcolor="white [3201]" strokecolor="black [3200]" strokeweight="1pt">
                  <v:stroke endarrow="open" joinstyle="miter"/>
                </v:shape>
                <v:shape id="Соединительная линия уступом 132" o:spid="_x0000_s1068" type="#_x0000_t34" style="position:absolute;left:25461;top:41979;width:10531;height:589;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" filled="t" fillcolor="white [3201]" strokecolor="black [3200]" strokeweight="1pt">
                  <v:stroke endarrow="open"/>
                </v:shape>
                <v:shape id="TextBox 93" o:spid="_x0000_s1069" type="#_x0000_t202" style="position:absolute;left:28501;top:41371;width:4942;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" fillcolor="white [3201]" strokecolor="black [3200]" strokeweight="1pt">
                  <v:textbox>
                    <w:txbxContent>
                      <w:p w14:paraId="0CC6C2C0" w14:textId="77777777" w:rsidR="001C46FD" w:rsidRPr="00C32A21" w:rsidRDefault="001C46FD" w:rsidP="003E3EAF">
                        <w:pPr>
                          <w:pStyle w:val="afd"/>
                          <w:spacing w:beforeAutospacing="0" w:afterAutospacing="0"/>
                          <w:rPr>
                            <w:sz w:val="16"/>
                            <w:szCs w:val="16"/>
                          </w:rPr>
                        </w:pPr>
                        <w:r w:rsidRPr="00C32A21">
                          <w:rPr>
                            <w:color w:val="000000" w:themeColor="dark1"/>
                            <w:kern w:val="24"/>
                            <w:sz w:val="16"/>
                            <w:szCs w:val="16"/>
                          </w:rPr>
                          <w:t>нет</w:t>
                        </w:r>
                      </w:p>
                    </w:txbxContent>
                  </v:textbox>
                </v:shape>
                <v:shape id="TextBox 94" o:spid="_x0000_s1070" type="#_x0000_t202" style="position:absolute;left:13611;top:51468;width:5002;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" fillcolor="white [3201]" strokecolor="black [3200]" strokeweight="1pt">
                  <v:textbox>
                    <w:txbxContent>
                      <w:p w14:paraId="25843CD0" w14:textId="77777777" w:rsidR="001C46FD" w:rsidRPr="00C32A21" w:rsidRDefault="001C46FD" w:rsidP="003E3EAF">
                        <w:pPr>
                          <w:pStyle w:val="afd"/>
                          <w:spacing w:beforeAutospacing="0" w:afterAutospacing="0"/>
                          <w:rPr>
                            <w:sz w:val="16"/>
                            <w:szCs w:val="16"/>
                          </w:rPr>
                        </w:pPr>
                        <w:r w:rsidRPr="00C32A21">
                          <w:rPr>
                            <w:color w:val="000000" w:themeColor="dark1"/>
                            <w:kern w:val="24"/>
                            <w:sz w:val="16"/>
                            <w:szCs w:val="16"/>
                          </w:rPr>
                          <w:t>нет</w:t>
                        </w:r>
                      </w:p>
                    </w:txbxContent>
                  </v:textbox>
                </v:shape>
                <w10:wrap anchorx="margin"/>
              </v:group>
            </w:pict>
          </mc:Fallback>
        </mc:AlternateContent>
      </w:r>
    </w:p>
    <w:p w14:paraId="010B138A" w14:textId="77777777" w:rsidR="00B47C08" w:rsidRDefault="00B57077" w:rsidP="00F42A9A">
      <w:r>
        <w:rPr>
          <w:noProof/>
          <w:lang w:eastAsia="ru-RU"/>
        </w:rPr>
        <mc:AlternateContent>
          <mc:Choice Requires="wps">
            <w:drawing>
              <wp:anchor distT="0" distB="0" distL="114300" distR="114300" simplePos="0" relativeHeight="251663360" behindDoc="0" locked="0" layoutInCell="1" allowOverlap="1" wp14:anchorId="6397A77F" wp14:editId="3DF526BE">
                <wp:simplePos x="0" y="0"/>
                <wp:positionH relativeFrom="column">
                  <wp:posOffset>1532255</wp:posOffset>
                </wp:positionH>
                <wp:positionV relativeFrom="paragraph">
                  <wp:posOffset>664210</wp:posOffset>
                </wp:positionV>
                <wp:extent cx="0" cy="275590"/>
                <wp:effectExtent l="95250" t="0" r="76200" b="48260"/>
                <wp:wrapNone/>
                <wp:docPr id="139" name="Прямая со стрелкой 139"/>
                <wp:cNvGraphicFramePr/>
                <a:graphic xmlns:a="http://schemas.openxmlformats.org/drawingml/2006/main">
                  <a:graphicData uri="http://schemas.microsoft.com/office/word/2010/wordprocessingShape">
                    <wps:wsp>
                      <wps:cNvCnPr/>
                      <wps:spPr>
                        <a:xfrm flipH="1">
                          <a:off x="0" y="0"/>
                          <a:ext cx="0" cy="27559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916034" id="Прямая со стрелкой 139" o:spid="_x0000_s1026" type="#_x0000_t32" style="position:absolute;margin-left:120.65pt;margin-top:52.3pt;width:0;height:21.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" filled="t" fillcolor="white [3201]" strokecolor="black [3200]" strokeweight="1pt">
                <v:stroke endarrow="open" joinstyle="miter"/>
              </v:shape>
            </w:pict>
          </mc:Fallback>
        </mc:AlternateContent>
      </w:r>
      <w:r>
        <w:rPr>
          <w:noProof/>
          <w:lang w:eastAsia="ru-RU"/>
        </w:rPr>
        <mc:AlternateContent>
          <mc:Choice Requires="wps">
            <w:drawing>
              <wp:anchor distT="0" distB="0" distL="114300" distR="114300" simplePos="0" relativeHeight="251646976" behindDoc="0" locked="0" layoutInCell="1" allowOverlap="1" wp14:anchorId="76361A33" wp14:editId="00DC170D">
                <wp:simplePos x="0" y="0"/>
                <wp:positionH relativeFrom="column">
                  <wp:posOffset>760730</wp:posOffset>
                </wp:positionH>
                <wp:positionV relativeFrom="paragraph">
                  <wp:posOffset>422275</wp:posOffset>
                </wp:positionV>
                <wp:extent cx="1575435" cy="220345"/>
                <wp:effectExtent l="0" t="0" r="24765" b="27305"/>
                <wp:wrapNone/>
                <wp:docPr id="136" name="TextBox 78"/>
                <wp:cNvGraphicFramePr/>
                <a:graphic xmlns:a="http://schemas.openxmlformats.org/drawingml/2006/main">
                  <a:graphicData uri="http://schemas.microsoft.com/office/word/2010/wordprocessingShape">
                    <wps:wsp>
                      <wps:cNvSpPr txBox="1"/>
                      <wps:spPr>
                        <a:xfrm>
                          <a:off x="0" y="0"/>
                          <a:ext cx="1575435" cy="220345"/>
                        </a:xfrm>
                        <a:prstGeom prst="rect">
                          <a:avLst/>
                        </a:prstGeom>
                        <a:ln/>
                      </wps:spPr>
                      <wps:style>
                        <a:lnRef idx="2">
                          <a:schemeClr val="dk1"/>
                        </a:lnRef>
                        <a:fillRef idx="1">
                          <a:schemeClr val="lt1"/>
                        </a:fillRef>
                        <a:effectRef idx="0">
                          <a:schemeClr val="dk1"/>
                        </a:effectRef>
                        <a:fontRef idx="minor">
                          <a:schemeClr val="dk1"/>
                        </a:fontRef>
                      </wps:style>
                      <wps:txbx>
                        <w:txbxContent>
                          <w:p w14:paraId="57A1A002" w14:textId="77777777" w:rsidR="001C46FD" w:rsidRPr="00C32A21" w:rsidRDefault="001C46FD" w:rsidP="00C32A21">
                            <w:pPr>
                              <w:pStyle w:val="afd"/>
                              <w:spacing w:beforeAutospacing="0" w:afterAutospacing="0"/>
                              <w:jc w:val="center"/>
                              <w:rPr>
                                <w:sz w:val="16"/>
                                <w:szCs w:val="16"/>
                              </w:rPr>
                            </w:pPr>
                            <w:r>
                              <w:rPr>
                                <w:bCs/>
                                <w:color w:val="000000"/>
                                <w:kern w:val="24"/>
                                <w:sz w:val="16"/>
                                <w:szCs w:val="16"/>
                              </w:rPr>
                              <w:t>Диагностика</w:t>
                            </w:r>
                          </w:p>
                        </w:txbxContent>
                      </wps:txbx>
                      <wps:bodyPr wrap="square" rtlCol="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361A33" id="TextBox 78" o:spid="_x0000_s1071" type="#_x0000_t202" style="position:absolute;left:0;text-align:left;margin-left:59.9pt;margin-top:33.25pt;width:124.05pt;height:17.3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" fillcolor="white [3201]" strokecolor="black [3200]" strokeweight="1pt">
                <v:textbox>
                  <w:txbxContent>
                    <w:p w14:paraId="57A1A002" w14:textId="77777777" w:rsidR="001C46FD" w:rsidRPr="00C32A21" w:rsidRDefault="001C46FD" w:rsidP="00C32A21">
                      <w:pPr>
                        <w:pStyle w:val="afd"/>
                        <w:spacing w:beforeAutospacing="0" w:afterAutospacing="0"/>
                        <w:jc w:val="center"/>
                        <w:rPr>
                          <w:sz w:val="16"/>
                          <w:szCs w:val="16"/>
                        </w:rPr>
                      </w:pPr>
                      <w:r>
                        <w:rPr>
                          <w:bCs/>
                          <w:color w:val="000000"/>
                          <w:kern w:val="24"/>
                          <w:sz w:val="16"/>
                          <w:szCs w:val="16"/>
                        </w:rPr>
                        <w:t>Диагностика</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14:anchorId="28E0BECA" wp14:editId="166D00E7">
                <wp:simplePos x="0" y="0"/>
                <wp:positionH relativeFrom="column">
                  <wp:posOffset>2379980</wp:posOffset>
                </wp:positionH>
                <wp:positionV relativeFrom="paragraph">
                  <wp:posOffset>1279525</wp:posOffset>
                </wp:positionV>
                <wp:extent cx="454660" cy="306705"/>
                <wp:effectExtent l="0" t="0" r="97790" b="55245"/>
                <wp:wrapNone/>
                <wp:docPr id="2" name="Соединительная линия уступом 2"/>
                <wp:cNvGraphicFramePr/>
                <a:graphic xmlns:a="http://schemas.openxmlformats.org/drawingml/2006/main">
                  <a:graphicData uri="http://schemas.microsoft.com/office/word/2010/wordprocessingShape">
                    <wps:wsp>
                      <wps:cNvCnPr/>
                      <wps:spPr>
                        <a:xfrm>
                          <a:off x="0" y="0"/>
                          <a:ext cx="454660" cy="306705"/>
                        </a:xfrm>
                        <a:prstGeom prst="bentConnector3">
                          <a:avLst>
                            <a:gd name="adj1" fmla="val 100279"/>
                          </a:avLst>
                        </a:prstGeom>
                        <a:ln>
                          <a:tailEnd type="arrow"/>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534BA9" id="Соединительная линия уступом 2" o:spid="_x0000_s1026" type="#_x0000_t34" style="position:absolute;margin-left:187.4pt;margin-top:100.75pt;width:35.8pt;height:2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" adj="21660" filled="t" fillcolor="white [3201]" strokecolor="black [3200]" strokeweight="1pt">
                <v:stroke endarrow="open"/>
              </v:shape>
            </w:pict>
          </mc:Fallback>
        </mc:AlternateContent>
      </w:r>
      <w:r>
        <w:rPr>
          <w:noProof/>
          <w:lang w:eastAsia="ru-RU"/>
        </w:rPr>
        <mc:AlternateContent>
          <mc:Choice Requires="wps">
            <w:drawing>
              <wp:anchor distT="0" distB="0" distL="114300" distR="114300" simplePos="0" relativeHeight="251679744" behindDoc="0" locked="0" layoutInCell="1" allowOverlap="1" wp14:anchorId="24DE86DC" wp14:editId="6EC853B7">
                <wp:simplePos x="0" y="0"/>
                <wp:positionH relativeFrom="column">
                  <wp:posOffset>2499995</wp:posOffset>
                </wp:positionH>
                <wp:positionV relativeFrom="paragraph">
                  <wp:posOffset>1162685</wp:posOffset>
                </wp:positionV>
                <wp:extent cx="496570" cy="208915"/>
                <wp:effectExtent l="0" t="0" r="17780" b="19685"/>
                <wp:wrapNone/>
                <wp:docPr id="6" name="TextBox 56"/>
                <wp:cNvGraphicFramePr/>
                <a:graphic xmlns:a="http://schemas.openxmlformats.org/drawingml/2006/main">
                  <a:graphicData uri="http://schemas.microsoft.com/office/word/2010/wordprocessingShape">
                    <wps:wsp>
                      <wps:cNvSpPr txBox="1"/>
                      <wps:spPr>
                        <a:xfrm>
                          <a:off x="0" y="0"/>
                          <a:ext cx="496570" cy="208915"/>
                        </a:xfrm>
                        <a:prstGeom prst="rect">
                          <a:avLst/>
                        </a:prstGeom>
                      </wps:spPr>
                      <wps:style>
                        <a:lnRef idx="2">
                          <a:schemeClr val="dk1"/>
                        </a:lnRef>
                        <a:fillRef idx="1">
                          <a:schemeClr val="lt1"/>
                        </a:fillRef>
                        <a:effectRef idx="0">
                          <a:schemeClr val="dk1"/>
                        </a:effectRef>
                        <a:fontRef idx="minor">
                          <a:schemeClr val="dk1"/>
                        </a:fontRef>
                      </wps:style>
                      <wps:txbx>
                        <w:txbxContent>
                          <w:p w14:paraId="662EDC58" w14:textId="77777777" w:rsidR="001C46FD" w:rsidRPr="00C32A21" w:rsidRDefault="001C46FD" w:rsidP="00B57077">
                            <w:pPr>
                              <w:pStyle w:val="afd"/>
                              <w:spacing w:beforeAutospacing="0" w:afterAutospacing="0"/>
                              <w:jc w:val="center"/>
                              <w:rPr>
                                <w:sz w:val="16"/>
                                <w:szCs w:val="16"/>
                              </w:rPr>
                            </w:pPr>
                            <w:r w:rsidRPr="00C32A21">
                              <w:rPr>
                                <w:color w:val="000000" w:themeColor="dark1"/>
                                <w:kern w:val="24"/>
                                <w:sz w:val="16"/>
                                <w:szCs w:val="16"/>
                              </w:rPr>
                              <w:t>да</w:t>
                            </w:r>
                          </w:p>
                        </w:txbxContent>
                      </wps:txbx>
                      <wps:bodyPr wrap="square" rtlCol="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DE86DC" id="TextBox 56" o:spid="_x0000_s1072" type="#_x0000_t202" style="position:absolute;left:0;text-align:left;margin-left:196.85pt;margin-top:91.55pt;width:39.1pt;height:16.4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" fillcolor="white [3201]" strokecolor="black [3200]" strokeweight="1pt">
                <v:textbox>
                  <w:txbxContent>
                    <w:p w14:paraId="662EDC58" w14:textId="77777777" w:rsidR="001C46FD" w:rsidRPr="00C32A21" w:rsidRDefault="001C46FD" w:rsidP="00B57077">
                      <w:pPr>
                        <w:pStyle w:val="afd"/>
                        <w:spacing w:beforeAutospacing="0" w:afterAutospacing="0"/>
                        <w:jc w:val="center"/>
                        <w:rPr>
                          <w:sz w:val="16"/>
                          <w:szCs w:val="16"/>
                        </w:rPr>
                      </w:pPr>
                      <w:r w:rsidRPr="00C32A21">
                        <w:rPr>
                          <w:color w:val="000000" w:themeColor="dark1"/>
                          <w:kern w:val="24"/>
                          <w:sz w:val="16"/>
                          <w:szCs w:val="16"/>
                        </w:rPr>
                        <w:t>да</w:t>
                      </w:r>
                    </w:p>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14:anchorId="7897C5C4" wp14:editId="164088DC">
                <wp:simplePos x="0" y="0"/>
                <wp:positionH relativeFrom="column">
                  <wp:posOffset>328930</wp:posOffset>
                </wp:positionH>
                <wp:positionV relativeFrom="paragraph">
                  <wp:posOffset>1132840</wp:posOffset>
                </wp:positionV>
                <wp:extent cx="354330" cy="220345"/>
                <wp:effectExtent l="0" t="0" r="26670" b="27305"/>
                <wp:wrapNone/>
                <wp:docPr id="5" name="TextBox 69"/>
                <wp:cNvGraphicFramePr/>
                <a:graphic xmlns:a="http://schemas.openxmlformats.org/drawingml/2006/main">
                  <a:graphicData uri="http://schemas.microsoft.com/office/word/2010/wordprocessingShape">
                    <wps:wsp>
                      <wps:cNvSpPr txBox="1"/>
                      <wps:spPr>
                        <a:xfrm>
                          <a:off x="0" y="0"/>
                          <a:ext cx="354330" cy="220345"/>
                        </a:xfrm>
                        <a:prstGeom prst="rect">
                          <a:avLst/>
                        </a:prstGeom>
                      </wps:spPr>
                      <wps:style>
                        <a:lnRef idx="2">
                          <a:schemeClr val="dk1"/>
                        </a:lnRef>
                        <a:fillRef idx="1">
                          <a:schemeClr val="lt1"/>
                        </a:fillRef>
                        <a:effectRef idx="0">
                          <a:schemeClr val="dk1"/>
                        </a:effectRef>
                        <a:fontRef idx="minor">
                          <a:schemeClr val="dk1"/>
                        </a:fontRef>
                      </wps:style>
                      <wps:txbx>
                        <w:txbxContent>
                          <w:p w14:paraId="48955337" w14:textId="77777777" w:rsidR="001C46FD" w:rsidRPr="00C32A21" w:rsidRDefault="001C46FD" w:rsidP="00B57077">
                            <w:pPr>
                              <w:pStyle w:val="afd"/>
                              <w:spacing w:beforeAutospacing="0" w:afterAutospacing="0"/>
                              <w:rPr>
                                <w:sz w:val="16"/>
                                <w:szCs w:val="16"/>
                              </w:rPr>
                            </w:pPr>
                            <w:r w:rsidRPr="00C32A21">
                              <w:rPr>
                                <w:color w:val="000000" w:themeColor="dark1"/>
                                <w:kern w:val="24"/>
                                <w:sz w:val="16"/>
                                <w:szCs w:val="16"/>
                              </w:rPr>
                              <w:t>нет</w:t>
                            </w:r>
                          </w:p>
                        </w:txbxContent>
                      </wps:txbx>
                      <wps:bodyPr wrap="square" rtlCol="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97C5C4" id="TextBox 69" o:spid="_x0000_s1073" type="#_x0000_t202" style="position:absolute;left:0;text-align:left;margin-left:25.9pt;margin-top:89.2pt;width:27.9pt;height:17.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" fillcolor="white [3201]" strokecolor="black [3200]" strokeweight="1pt">
                <v:textbox>
                  <w:txbxContent>
                    <w:p w14:paraId="48955337" w14:textId="77777777" w:rsidR="001C46FD" w:rsidRPr="00C32A21" w:rsidRDefault="001C46FD" w:rsidP="00B57077">
                      <w:pPr>
                        <w:pStyle w:val="afd"/>
                        <w:spacing w:beforeAutospacing="0" w:afterAutospacing="0"/>
                        <w:rPr>
                          <w:sz w:val="16"/>
                          <w:szCs w:val="16"/>
                        </w:rPr>
                      </w:pPr>
                      <w:r w:rsidRPr="00C32A21">
                        <w:rPr>
                          <w:color w:val="000000" w:themeColor="dark1"/>
                          <w:kern w:val="24"/>
                          <w:sz w:val="16"/>
                          <w:szCs w:val="16"/>
                        </w:rPr>
                        <w:t>нет</w:t>
                      </w: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14:anchorId="7894CA5A" wp14:editId="44CF150C">
                <wp:simplePos x="0" y="0"/>
                <wp:positionH relativeFrom="column">
                  <wp:posOffset>724163</wp:posOffset>
                </wp:positionH>
                <wp:positionV relativeFrom="paragraph">
                  <wp:posOffset>925195</wp:posOffset>
                </wp:positionV>
                <wp:extent cx="1663065" cy="706755"/>
                <wp:effectExtent l="19050" t="19050" r="32385" b="36195"/>
                <wp:wrapNone/>
                <wp:docPr id="137" name="Ромб 137"/>
                <wp:cNvGraphicFramePr/>
                <a:graphic xmlns:a="http://schemas.openxmlformats.org/drawingml/2006/main">
                  <a:graphicData uri="http://schemas.microsoft.com/office/word/2010/wordprocessingShape">
                    <wps:wsp>
                      <wps:cNvSpPr/>
                      <wps:spPr>
                        <a:xfrm>
                          <a:off x="0" y="0"/>
                          <a:ext cx="1663065" cy="706755"/>
                        </a:xfrm>
                        <a:prstGeom prst="diamond">
                          <a:avLst/>
                        </a:prstGeom>
                        <a:ln/>
                      </wps:spPr>
                      <wps:style>
                        <a:lnRef idx="2">
                          <a:schemeClr val="dk1"/>
                        </a:lnRef>
                        <a:fillRef idx="1">
                          <a:schemeClr val="lt1"/>
                        </a:fillRef>
                        <a:effectRef idx="0">
                          <a:schemeClr val="dk1"/>
                        </a:effectRef>
                        <a:fontRef idx="minor">
                          <a:schemeClr val="dk1"/>
                        </a:fontRef>
                      </wps:style>
                      <wps:txbx>
                        <w:txbxContent>
                          <w:p w14:paraId="3C7707F1" w14:textId="77777777" w:rsidR="001C46FD" w:rsidRPr="00C32A21" w:rsidRDefault="001C46FD" w:rsidP="00C32A21">
                            <w:pPr>
                              <w:pStyle w:val="afd"/>
                              <w:spacing w:beforeAutospacing="0" w:afterAutospacing="0"/>
                              <w:jc w:val="center"/>
                              <w:rPr>
                                <w:sz w:val="16"/>
                                <w:szCs w:val="16"/>
                              </w:rPr>
                            </w:pPr>
                            <w:r>
                              <w:rPr>
                                <w:bCs/>
                                <w:color w:val="000000"/>
                                <w:kern w:val="24"/>
                                <w:sz w:val="16"/>
                                <w:szCs w:val="16"/>
                              </w:rPr>
                              <w:t>Диагноз подтвержден</w:t>
                            </w:r>
                            <w:r w:rsidRPr="00C32A21">
                              <w:rPr>
                                <w:bCs/>
                                <w:color w:val="000000"/>
                                <w:kern w:val="24"/>
                                <w:sz w:val="16"/>
                                <w:szCs w:val="16"/>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94CA5A" id="Ромб 137" o:spid="_x0000_s1074" type="#_x0000_t4" style="position:absolute;left:0;text-align:left;margin-left:57pt;margin-top:72.85pt;width:130.95pt;height:5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" fillcolor="white [3201]" strokecolor="black [3200]" strokeweight="1pt">
                <v:textbox>
                  <w:txbxContent>
                    <w:p w14:paraId="3C7707F1" w14:textId="77777777" w:rsidR="001C46FD" w:rsidRPr="00C32A21" w:rsidRDefault="001C46FD" w:rsidP="00C32A21">
                      <w:pPr>
                        <w:pStyle w:val="afd"/>
                        <w:spacing w:beforeAutospacing="0" w:afterAutospacing="0"/>
                        <w:jc w:val="center"/>
                        <w:rPr>
                          <w:sz w:val="16"/>
                          <w:szCs w:val="16"/>
                        </w:rPr>
                      </w:pPr>
                      <w:r>
                        <w:rPr>
                          <w:bCs/>
                          <w:color w:val="000000"/>
                          <w:kern w:val="24"/>
                          <w:sz w:val="16"/>
                          <w:szCs w:val="16"/>
                        </w:rPr>
                        <w:t>Диагноз подтвержден</w:t>
                      </w:r>
                      <w:r w:rsidRPr="00C32A21">
                        <w:rPr>
                          <w:bCs/>
                          <w:color w:val="000000"/>
                          <w:kern w:val="24"/>
                          <w:sz w:val="16"/>
                          <w:szCs w:val="16"/>
                        </w:rPr>
                        <w:t xml:space="preserve">?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1DC373F6" wp14:editId="57673EE1">
                <wp:simplePos x="0" y="0"/>
                <wp:positionH relativeFrom="page">
                  <wp:posOffset>1269124</wp:posOffset>
                </wp:positionH>
                <wp:positionV relativeFrom="paragraph">
                  <wp:posOffset>1233433</wp:posOffset>
                </wp:positionV>
                <wp:extent cx="352336" cy="0"/>
                <wp:effectExtent l="38100" t="76200" r="0" b="114300"/>
                <wp:wrapNone/>
                <wp:docPr id="138" name="Прямая со стрелкой 138"/>
                <wp:cNvGraphicFramePr/>
                <a:graphic xmlns:a="http://schemas.openxmlformats.org/drawingml/2006/main">
                  <a:graphicData uri="http://schemas.microsoft.com/office/word/2010/wordprocessingShape">
                    <wps:wsp>
                      <wps:cNvCnPr/>
                      <wps:spPr>
                        <a:xfrm flipH="1">
                          <a:off x="0" y="0"/>
                          <a:ext cx="352336" cy="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E87717" id="Прямая со стрелкой 138" o:spid="_x0000_s1026" type="#_x0000_t32" style="position:absolute;margin-left:99.95pt;margin-top:97.1pt;width:27.75pt;height: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" filled="t" fillcolor="white [3201]" strokecolor="black [3200]" strokeweight="1pt">
                <v:stroke endarrow="open" joinstyle="miter"/>
                <w10:wrap anchorx="page"/>
              </v:shape>
            </w:pict>
          </mc:Fallback>
        </mc:AlternateContent>
      </w:r>
      <w:r>
        <w:rPr>
          <w:noProof/>
          <w:lang w:eastAsia="ru-RU"/>
        </w:rPr>
        <mc:AlternateContent>
          <mc:Choice Requires="wps">
            <w:drawing>
              <wp:anchor distT="0" distB="0" distL="114300" distR="114300" simplePos="0" relativeHeight="251642880" behindDoc="0" locked="0" layoutInCell="1" allowOverlap="1" wp14:anchorId="4F24488E" wp14:editId="2EE42F8E">
                <wp:simplePos x="0" y="0"/>
                <wp:positionH relativeFrom="column">
                  <wp:posOffset>-986790</wp:posOffset>
                </wp:positionH>
                <wp:positionV relativeFrom="paragraph">
                  <wp:posOffset>853440</wp:posOffset>
                </wp:positionV>
                <wp:extent cx="1174115" cy="835025"/>
                <wp:effectExtent l="0" t="0" r="26035" b="22225"/>
                <wp:wrapNone/>
                <wp:docPr id="135" name="TextBox 78"/>
                <wp:cNvGraphicFramePr/>
                <a:graphic xmlns:a="http://schemas.openxmlformats.org/drawingml/2006/main">
                  <a:graphicData uri="http://schemas.microsoft.com/office/word/2010/wordprocessingShape">
                    <wps:wsp>
                      <wps:cNvSpPr txBox="1"/>
                      <wps:spPr>
                        <a:xfrm>
                          <a:off x="0" y="0"/>
                          <a:ext cx="1174115" cy="835025"/>
                        </a:xfrm>
                        <a:prstGeom prst="rect">
                          <a:avLst/>
                        </a:prstGeom>
                        <a:ln/>
                      </wps:spPr>
                      <wps:style>
                        <a:lnRef idx="2">
                          <a:schemeClr val="dk1"/>
                        </a:lnRef>
                        <a:fillRef idx="1">
                          <a:schemeClr val="lt1"/>
                        </a:fillRef>
                        <a:effectRef idx="0">
                          <a:schemeClr val="dk1"/>
                        </a:effectRef>
                        <a:fontRef idx="minor">
                          <a:schemeClr val="dk1"/>
                        </a:fontRef>
                      </wps:style>
                      <wps:txbx>
                        <w:txbxContent>
                          <w:p w14:paraId="5511F246" w14:textId="77777777" w:rsidR="001C46FD" w:rsidRPr="00C32A21" w:rsidRDefault="001C46FD" w:rsidP="00C32A21">
                            <w:pPr>
                              <w:pStyle w:val="afd"/>
                              <w:spacing w:beforeAutospacing="0" w:afterAutospacing="0"/>
                              <w:jc w:val="center"/>
                              <w:rPr>
                                <w:sz w:val="16"/>
                                <w:szCs w:val="16"/>
                              </w:rPr>
                            </w:pPr>
                            <w:r>
                              <w:rPr>
                                <w:bCs/>
                                <w:color w:val="000000"/>
                                <w:kern w:val="24"/>
                                <w:sz w:val="16"/>
                                <w:szCs w:val="16"/>
                              </w:rPr>
                              <w:t>Продолжение  диагностического поиска в рамках других возможных заболеваний</w:t>
                            </w:r>
                            <w:r w:rsidRPr="00C32A21">
                              <w:rPr>
                                <w:bCs/>
                                <w:color w:val="000000"/>
                                <w:kern w:val="24"/>
                                <w:sz w:val="16"/>
                                <w:szCs w:val="16"/>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24488E" id="_x0000_s1075" type="#_x0000_t202" style="position:absolute;left:0;text-align:left;margin-left:-77.7pt;margin-top:67.2pt;width:92.45pt;height:6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" fillcolor="white [3201]" strokecolor="black [3200]" strokeweight="1pt">
                <v:textbox>
                  <w:txbxContent>
                    <w:p w14:paraId="5511F246" w14:textId="77777777" w:rsidR="001C46FD" w:rsidRPr="00C32A21" w:rsidRDefault="001C46FD" w:rsidP="00C32A21">
                      <w:pPr>
                        <w:pStyle w:val="afd"/>
                        <w:spacing w:beforeAutospacing="0" w:afterAutospacing="0"/>
                        <w:jc w:val="center"/>
                        <w:rPr>
                          <w:sz w:val="16"/>
                          <w:szCs w:val="16"/>
                        </w:rPr>
                      </w:pPr>
                      <w:r>
                        <w:rPr>
                          <w:bCs/>
                          <w:color w:val="000000"/>
                          <w:kern w:val="24"/>
                          <w:sz w:val="16"/>
                          <w:szCs w:val="16"/>
                        </w:rPr>
                        <w:t>Продолжение  диагностического поиска в рамках других возможных заболеваний</w:t>
                      </w:r>
                      <w:r w:rsidRPr="00C32A21">
                        <w:rPr>
                          <w:bCs/>
                          <w:color w:val="000000"/>
                          <w:kern w:val="24"/>
                          <w:sz w:val="16"/>
                          <w:szCs w:val="16"/>
                        </w:rPr>
                        <w:t xml:space="preserve"> </w:t>
                      </w:r>
                    </w:p>
                  </w:txbxContent>
                </v:textbox>
              </v:shape>
            </w:pict>
          </mc:Fallback>
        </mc:AlternateContent>
      </w:r>
      <w:r w:rsidR="00031607">
        <w:br w:type="page"/>
      </w:r>
    </w:p>
    <w:p w14:paraId="20F94F5B" w14:textId="77777777" w:rsidR="00B47C08" w:rsidRDefault="00B47C08" w:rsidP="00F42A9A"/>
    <w:p w14:paraId="17660EB5" w14:textId="77777777" w:rsidR="002C3C32" w:rsidRPr="002C60E1" w:rsidRDefault="00031607" w:rsidP="002C60E1">
      <w:pPr>
        <w:pStyle w:val="11"/>
        <w:rPr>
          <w:u w:val="none"/>
        </w:rPr>
      </w:pPr>
      <w:bookmarkStart w:id="224" w:name="_Toc67522270"/>
      <w:r w:rsidRPr="002C60E1">
        <w:rPr>
          <w:szCs w:val="28"/>
          <w:u w:val="none"/>
        </w:rPr>
        <w:t>Приложение В. Информация для пациентов</w:t>
      </w:r>
      <w:bookmarkEnd w:id="224"/>
    </w:p>
    <w:p w14:paraId="414F0105" w14:textId="6A859D0C" w:rsidR="00D23199" w:rsidRDefault="009A230D" w:rsidP="002C60E1">
      <w:pPr>
        <w:pStyle w:val="afd"/>
        <w:spacing w:beforeAutospacing="0" w:afterAutospacing="0" w:line="360" w:lineRule="auto"/>
        <w:ind w:firstLine="709"/>
        <w:contextualSpacing/>
      </w:pPr>
      <w:r>
        <w:t>А</w:t>
      </w:r>
      <w:r w:rsidR="00972E46">
        <w:t>пластическая анемия (</w:t>
      </w:r>
      <w:r w:rsidR="00B065DC">
        <w:t>АА</w:t>
      </w:r>
      <w:r w:rsidR="00972E46">
        <w:t>)</w:t>
      </w:r>
      <w:r w:rsidR="00031607">
        <w:t xml:space="preserve"> — заболевание системы крови, характеризующееся глубокой панцитопенией, развивающейся в результате угнетения костномозгового кроветворения.</w:t>
      </w:r>
    </w:p>
    <w:p w14:paraId="0EE6F50C" w14:textId="122AD5DF" w:rsidR="00D23199" w:rsidRDefault="00031607" w:rsidP="002C60E1">
      <w:pPr>
        <w:pStyle w:val="afd"/>
        <w:spacing w:beforeAutospacing="0" w:afterAutospacing="0" w:line="360" w:lineRule="auto"/>
        <w:ind w:firstLine="709"/>
        <w:contextualSpacing/>
      </w:pPr>
      <w:r>
        <w:t xml:space="preserve">Одним из ведущих механизмов поражения кроветворения при </w:t>
      </w:r>
      <w:r w:rsidR="00B065DC">
        <w:t>АА</w:t>
      </w:r>
      <w:r>
        <w:t xml:space="preserve"> считается иммунная агрессия, направленная на клетки — предшественники гемопоэза.</w:t>
      </w:r>
    </w:p>
    <w:p w14:paraId="4D538F72" w14:textId="53C841B0" w:rsidR="00D23199" w:rsidRDefault="00031607" w:rsidP="002C60E1">
      <w:pPr>
        <w:pStyle w:val="afd"/>
        <w:spacing w:beforeAutospacing="0" w:afterAutospacing="0" w:line="360" w:lineRule="auto"/>
        <w:ind w:firstLine="709"/>
        <w:contextualSpacing/>
      </w:pPr>
      <w:r>
        <w:t xml:space="preserve">Доказано, что костномозговая недостаточность при </w:t>
      </w:r>
      <w:r w:rsidR="00B065DC">
        <w:t>АА</w:t>
      </w:r>
      <w:r>
        <w:t xml:space="preserve"> развивается в результате подавления пролиферации гемопоэтических клеток-предшественников активированными Т-лимфоцитами и естественными киллерами. Акт</w:t>
      </w:r>
      <w:r w:rsidR="009A230D">
        <w:t>ивация Т-</w:t>
      </w:r>
      <w:r>
        <w:t>лимфоцитов, экспансия цитотоксических Т-клонов и выброс медиаторов иммунной супрессии кроветворения или стимулирующих пролиферацию и активацию Т-лимфоцитов (интерлейкин 2) приводят к нарушению процессов пролиферации и к стимуляции апоптоза клеток-предшественников, вследствие чего происходит значительное уменьшение пула гемопоэтических клеток и развитие аплазии костного мозга.</w:t>
      </w:r>
    </w:p>
    <w:p w14:paraId="19B2EA33" w14:textId="58C6C714" w:rsidR="00D23199" w:rsidRDefault="00031607" w:rsidP="002C60E1">
      <w:pPr>
        <w:pStyle w:val="afd"/>
        <w:spacing w:beforeAutospacing="0" w:afterAutospacing="0" w:line="360" w:lineRule="auto"/>
        <w:ind w:firstLine="709"/>
        <w:contextualSpacing/>
      </w:pPr>
      <w:r>
        <w:t>Современная тактика лечения взросл</w:t>
      </w:r>
      <w:r w:rsidR="002C60E1">
        <w:t>ых пациентов</w:t>
      </w:r>
      <w:r>
        <w:t xml:space="preserve"> </w:t>
      </w:r>
      <w:r w:rsidR="002C60E1">
        <w:t>АА</w:t>
      </w:r>
      <w:r>
        <w:t xml:space="preserve"> — это трансплантация аллогенного костного мозга и/или комбинированная </w:t>
      </w:r>
      <w:r w:rsidR="00217B54">
        <w:t>иммуносупрессивная терапия (</w:t>
      </w:r>
      <w:r w:rsidR="00B065DC">
        <w:t>ИСТ</w:t>
      </w:r>
      <w:r w:rsidR="00217B54">
        <w:t>)</w:t>
      </w:r>
      <w:r w:rsidR="00B61522">
        <w:t>.</w:t>
      </w:r>
      <w:r w:rsidR="002C60E1">
        <w:t xml:space="preserve"> Программы лечения пациентов с АА</w:t>
      </w:r>
      <w:r>
        <w:t xml:space="preserve"> могут включать и другие терапевтические воздействия, в частности</w:t>
      </w:r>
      <w:r w:rsidR="00B065DC">
        <w:t>,</w:t>
      </w:r>
      <w:r>
        <w:t xml:space="preserve"> спленэктомию, использование современных иммуносупрессивных или иммунокорригирующих агентов.</w:t>
      </w:r>
    </w:p>
    <w:p w14:paraId="7FCF5B93" w14:textId="53963ACE" w:rsidR="00D23199" w:rsidRDefault="00031607" w:rsidP="002C60E1">
      <w:pPr>
        <w:pStyle w:val="afd"/>
        <w:spacing w:beforeAutospacing="0" w:afterAutospacing="0" w:line="360" w:lineRule="auto"/>
        <w:ind w:firstLine="709"/>
        <w:contextualSpacing/>
      </w:pPr>
      <w:r>
        <w:t>Трансплантации костного мозга (ТКМ) в рамках алгоритма лечен</w:t>
      </w:r>
      <w:r w:rsidR="002C60E1">
        <w:t>ия пациентов с АА</w:t>
      </w:r>
      <w:r>
        <w:t xml:space="preserve"> занимает определенное место: наличие гистосовместимого донора </w:t>
      </w:r>
      <w:r w:rsidR="003B06E2">
        <w:t>костного мозга (</w:t>
      </w:r>
      <w:r w:rsidR="00B065DC">
        <w:t>КМ</w:t>
      </w:r>
      <w:r w:rsidR="003B06E2">
        <w:t>)</w:t>
      </w:r>
      <w:r>
        <w:t xml:space="preserve">, молодой возраст, короткий гемотрансфузионный анамнез и тяжелая форма заболевания — условия, при которых ТКМ может рассматриваться как терапия выбора. Существенным недостатком этого метода является ограниченная возможность применения, связанная с отсутствием донора </w:t>
      </w:r>
      <w:r w:rsidR="00B065DC">
        <w:t>КМ</w:t>
      </w:r>
      <w:r>
        <w:t xml:space="preserve"> у большинства пациентов. Совершенствование </w:t>
      </w:r>
      <w:r w:rsidR="00B065DC">
        <w:t>ИСТ</w:t>
      </w:r>
      <w:r>
        <w:t xml:space="preserve">, использование различных комбинаций иммуносупрессивных препаратов позволили значительно повысить эффективность лечения </w:t>
      </w:r>
      <w:r w:rsidR="00B065DC">
        <w:t>АА</w:t>
      </w:r>
      <w:r>
        <w:t xml:space="preserve">. </w:t>
      </w:r>
      <w:r w:rsidR="00B065DC">
        <w:t>Однако</w:t>
      </w:r>
      <w:r w:rsidR="00014C82">
        <w:t>,</w:t>
      </w:r>
      <w:r w:rsidR="00B61522">
        <w:t xml:space="preserve"> длительная выживаемость пациентов с</w:t>
      </w:r>
      <w:r>
        <w:t xml:space="preserve"> тяжелой </w:t>
      </w:r>
      <w:r w:rsidR="00B065DC">
        <w:t>АА</w:t>
      </w:r>
      <w:r>
        <w:t xml:space="preserve"> остается невысокой: только 70—80% пациентов переживают 5 лет. Эффективность лечения в первую очередь зависит от тяжести заболевания и возможности реализации на ранних этапах течения болезни программы комбинированной </w:t>
      </w:r>
      <w:r w:rsidR="00B065DC">
        <w:t>ИСТ</w:t>
      </w:r>
      <w:r>
        <w:t xml:space="preserve"> или ТКМ. Однако далеко не всегда </w:t>
      </w:r>
      <w:r w:rsidR="00B065DC">
        <w:t>ИСТ</w:t>
      </w:r>
      <w:r>
        <w:t xml:space="preserve"> начинается в первые месяцы после установления диагноза. К </w:t>
      </w:r>
      <w:r w:rsidR="002C60E1">
        <w:t>сожалению, у большинства пациентов с АА</w:t>
      </w:r>
      <w:r>
        <w:t xml:space="preserve"> на первых этапах лече</w:t>
      </w:r>
      <w:r w:rsidR="003B5B81">
        <w:t>ния используются глюкокортико</w:t>
      </w:r>
      <w:r w:rsidR="005864C0">
        <w:t>стеро</w:t>
      </w:r>
      <w:r w:rsidR="003B5B81">
        <w:t>идные средства</w:t>
      </w:r>
      <w:r>
        <w:t>. Известно, что длител</w:t>
      </w:r>
      <w:r w:rsidR="003B5B81">
        <w:t>ьное применение глюкокортико</w:t>
      </w:r>
      <w:r w:rsidR="005864C0">
        <w:t>стеро</w:t>
      </w:r>
      <w:r w:rsidR="003B5B81">
        <w:t>идных средств</w:t>
      </w:r>
      <w:r>
        <w:t xml:space="preserve"> может сопровождаться развитием тяжелых осложнений (кушингоидный синдром, артериальная гипертония, стероидный диабет, остеопороз, асептический некроз костей, язвенное поражение слизистой желудочно-кишечного тракта и др.) в отсутствие стойкого терапевтического эффекта. Следует отметить, что нередко в современных программах лечения взрослых </w:t>
      </w:r>
      <w:r w:rsidR="00477355">
        <w:t xml:space="preserve">пациентов с АА </w:t>
      </w:r>
      <w:r>
        <w:t xml:space="preserve">необоснованно применяются </w:t>
      </w:r>
      <w:r w:rsidR="003B06E2">
        <w:t>колониестимулирующие факторы (</w:t>
      </w:r>
      <w:r w:rsidR="00B065DC">
        <w:t>КСФ</w:t>
      </w:r>
      <w:r w:rsidR="003B06E2">
        <w:t>)</w:t>
      </w:r>
      <w:r>
        <w:t>. Кроме того, недооценивается роль спленэктомии, эффективность которой при нетяжелой форме заболевания четко доказана.</w:t>
      </w:r>
    </w:p>
    <w:p w14:paraId="022D0FD5" w14:textId="77777777" w:rsidR="00B61522" w:rsidRDefault="00B61522" w:rsidP="004079B4">
      <w:pPr>
        <w:rPr>
          <w:sz w:val="28"/>
          <w:szCs w:val="28"/>
        </w:rPr>
      </w:pPr>
    </w:p>
    <w:p w14:paraId="5E37E059" w14:textId="031B2E9A" w:rsidR="003B5B81" w:rsidRDefault="003B5B81" w:rsidP="003B5B81">
      <w:pPr>
        <w:pStyle w:val="affd"/>
      </w:pPr>
      <w:bookmarkStart w:id="225" w:name="__RefHeading___doc_g"/>
      <w:bookmarkStart w:id="226" w:name="_Toc24362734"/>
      <w:bookmarkStart w:id="227" w:name="_Toc67522271"/>
      <w:r w:rsidRPr="005219AF">
        <w:t>Приложение</w:t>
      </w:r>
      <w:bookmarkEnd w:id="225"/>
      <w:r>
        <w:t xml:space="preserve"> Г</w:t>
      </w:r>
      <w:r w:rsidRPr="005219AF">
        <w:t>. Шкалы оценки, вопросники и другие оценочные инструменты состояния пациента, приведенные в клинических рекомендациях</w:t>
      </w:r>
      <w:bookmarkEnd w:id="226"/>
      <w:bookmarkEnd w:id="227"/>
    </w:p>
    <w:p w14:paraId="1FC099DB" w14:textId="77777777" w:rsidR="00321279" w:rsidRPr="000322E4" w:rsidRDefault="00321279" w:rsidP="00321279">
      <w:pPr>
        <w:pStyle w:val="2"/>
        <w:spacing w:before="0"/>
      </w:pPr>
      <w:bookmarkStart w:id="228" w:name="_Toc11747754"/>
      <w:bookmarkStart w:id="229" w:name="_Toc24572141"/>
      <w:bookmarkStart w:id="230" w:name="_Toc24964262"/>
      <w:bookmarkStart w:id="231" w:name="_Toc66096876"/>
      <w:bookmarkStart w:id="232" w:name="_Toc67522272"/>
      <w:r w:rsidRPr="000322E4">
        <w:t>Приложение Г</w:t>
      </w:r>
      <w:bookmarkStart w:id="233" w:name="_Toc19799875"/>
      <w:bookmarkStart w:id="234" w:name="_Toc16755716"/>
      <w:bookmarkEnd w:id="228"/>
      <w:r w:rsidRPr="000322E4">
        <w:t>1. Шкала оценки общего состояния пациента Восточной объединенной онкологической группы (ECOG</w:t>
      </w:r>
      <w:bookmarkEnd w:id="233"/>
      <w:r w:rsidRPr="000322E4">
        <w:t>)</w:t>
      </w:r>
      <w:bookmarkEnd w:id="229"/>
      <w:bookmarkEnd w:id="230"/>
      <w:bookmarkEnd w:id="231"/>
      <w:bookmarkEnd w:id="232"/>
    </w:p>
    <w:p w14:paraId="3ADB2F2A" w14:textId="77777777" w:rsidR="00321279" w:rsidRPr="000322E4" w:rsidRDefault="00321279" w:rsidP="00321279">
      <w:pPr>
        <w:rPr>
          <w:lang w:val="en-US"/>
        </w:rPr>
      </w:pPr>
      <w:r w:rsidRPr="000322E4">
        <w:t>Оригинальное</w:t>
      </w:r>
      <w:r w:rsidRPr="000322E4">
        <w:rPr>
          <w:lang w:val="en-US"/>
        </w:rPr>
        <w:t xml:space="preserve"> </w:t>
      </w:r>
      <w:r w:rsidRPr="000322E4">
        <w:t>название</w:t>
      </w:r>
      <w:r w:rsidRPr="000322E4">
        <w:rPr>
          <w:lang w:val="en-US"/>
        </w:rPr>
        <w:t>: The ECOG Scale of Performance Status</w:t>
      </w:r>
    </w:p>
    <w:p w14:paraId="05AD387A" w14:textId="75FEC802" w:rsidR="00321279" w:rsidRPr="000322E4" w:rsidRDefault="00321279" w:rsidP="00321279">
      <w:r w:rsidRPr="000322E4">
        <w:t>Источник</w:t>
      </w:r>
      <w:r w:rsidRPr="000322E4">
        <w:rPr>
          <w:lang w:val="en-US"/>
        </w:rPr>
        <w:t>: Oken M.M. et al. Toxicity and response criteria of the Eastern Cooperative Oncology Group. Am</w:t>
      </w:r>
      <w:r w:rsidRPr="0089207C">
        <w:t xml:space="preserve">. </w:t>
      </w:r>
      <w:r w:rsidRPr="000322E4">
        <w:rPr>
          <w:lang w:val="en-US"/>
        </w:rPr>
        <w:t>J</w:t>
      </w:r>
      <w:r w:rsidRPr="0089207C">
        <w:t xml:space="preserve">. </w:t>
      </w:r>
      <w:r w:rsidRPr="000322E4">
        <w:rPr>
          <w:lang w:val="en-US"/>
        </w:rPr>
        <w:t>Clin</w:t>
      </w:r>
      <w:r w:rsidRPr="0089207C">
        <w:t xml:space="preserve">. </w:t>
      </w:r>
      <w:r w:rsidRPr="000322E4">
        <w:rPr>
          <w:lang w:val="en-US"/>
        </w:rPr>
        <w:t>Oncol</w:t>
      </w:r>
      <w:r w:rsidRPr="000322E4">
        <w:t xml:space="preserve">. 1982;5(6):649–65 </w:t>
      </w:r>
      <w:r w:rsidRPr="000322E4">
        <w:fldChar w:fldCharType="begin" w:fldLock="1"/>
      </w:r>
      <w:r w:rsidR="008139EA">
        <w:rPr>
          <w:lang w:val="en-US"/>
        </w:rPr>
        <w:instrText>ADDIN CSL_CITATION {"citationItems":[{"id":"ITEM-1","itemData":{"DOI":"10.1097/00000421-198212000-00014","ISSN":"02773732","PMID":"7165009","abstract":"Standard criteria for toxicity and for response to treatment are important prerequisites to the conduct of cancer trials. The Eastern Cooperative Oncology Group criteria for toxicity and response are presented to facilitate future reference and to encourage further standardization among those conducting clinical trials.","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a75f02f1-b78b-458d-b3c4-9c8b402a67f0"]}],"mendeley":{"formattedCitation":"[157]","plainTextFormattedCitation":"[157]","previouslyFormattedCitation":"[155]"},"properties":{"noteIndex":0},"schema":"https://github.com/citation-style-language/schema/raw/master/csl-citation.json"}</w:instrText>
      </w:r>
      <w:r w:rsidRPr="000322E4">
        <w:fldChar w:fldCharType="separate"/>
      </w:r>
      <w:r w:rsidR="008139EA" w:rsidRPr="008139EA">
        <w:rPr>
          <w:noProof/>
        </w:rPr>
        <w:t>[157]</w:t>
      </w:r>
      <w:r w:rsidRPr="000322E4">
        <w:fldChar w:fldCharType="end"/>
      </w:r>
    </w:p>
    <w:p w14:paraId="615C481B" w14:textId="77777777" w:rsidR="00321279" w:rsidRPr="000322E4" w:rsidRDefault="00321279" w:rsidP="00321279">
      <w:r w:rsidRPr="000322E4">
        <w:t>Тип: шкала оценки</w:t>
      </w:r>
    </w:p>
    <w:p w14:paraId="2C471EF5" w14:textId="77777777" w:rsidR="00321279" w:rsidRPr="000322E4" w:rsidRDefault="00321279" w:rsidP="00321279">
      <w:r w:rsidRPr="000322E4">
        <w:t xml:space="preserve">Назначение: клиническая оценка общего состояния пациента </w:t>
      </w:r>
    </w:p>
    <w:p w14:paraId="3F7B6D1A" w14:textId="77777777" w:rsidR="00321279" w:rsidRPr="000322E4" w:rsidRDefault="00321279" w:rsidP="00321279">
      <w:pPr>
        <w:rPr>
          <w:bCs/>
        </w:rPr>
      </w:pPr>
      <w:r w:rsidRPr="000322E4">
        <w:rPr>
          <w:bCs/>
        </w:rPr>
        <w:t>Содержание и интерпретация: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859"/>
        <w:gridCol w:w="7062"/>
      </w:tblGrid>
      <w:tr w:rsidR="00321279" w:rsidRPr="000322E4" w14:paraId="6FB69388" w14:textId="77777777" w:rsidTr="009F7F8A">
        <w:tc>
          <w:tcPr>
            <w:tcW w:w="1950" w:type="dxa"/>
            <w:tcBorders>
              <w:top w:val="single" w:sz="4" w:space="0" w:color="auto"/>
              <w:left w:val="single" w:sz="4" w:space="0" w:color="auto"/>
              <w:bottom w:val="single" w:sz="4" w:space="0" w:color="auto"/>
              <w:right w:val="single" w:sz="4" w:space="0" w:color="auto"/>
            </w:tcBorders>
          </w:tcPr>
          <w:p w14:paraId="7D155EF3" w14:textId="77777777" w:rsidR="00321279" w:rsidRPr="000322E4" w:rsidRDefault="00321279" w:rsidP="009F7F8A">
            <w:pPr>
              <w:pStyle w:val="afd"/>
              <w:spacing w:beforeAutospacing="0" w:afterAutospacing="0" w:line="360" w:lineRule="auto"/>
              <w:rPr>
                <w:rStyle w:val="affa"/>
                <w:b w:val="0"/>
              </w:rPr>
            </w:pPr>
            <w:r w:rsidRPr="000322E4">
              <w:rPr>
                <w:rStyle w:val="affa"/>
                <w:b w:val="0"/>
              </w:rPr>
              <w:t>С</w:t>
            </w:r>
            <w:r w:rsidRPr="000322E4">
              <w:rPr>
                <w:rStyle w:val="affa"/>
              </w:rPr>
              <w:t>татус (баллы)</w:t>
            </w:r>
          </w:p>
        </w:tc>
        <w:tc>
          <w:tcPr>
            <w:tcW w:w="7615" w:type="dxa"/>
            <w:tcBorders>
              <w:top w:val="single" w:sz="4" w:space="0" w:color="auto"/>
              <w:left w:val="single" w:sz="4" w:space="0" w:color="auto"/>
              <w:bottom w:val="single" w:sz="4" w:space="0" w:color="auto"/>
              <w:right w:val="single" w:sz="4" w:space="0" w:color="auto"/>
            </w:tcBorders>
          </w:tcPr>
          <w:p w14:paraId="37E88EAF" w14:textId="77777777" w:rsidR="00321279" w:rsidRPr="000322E4" w:rsidRDefault="00321279" w:rsidP="009F7F8A">
            <w:pPr>
              <w:pStyle w:val="afd"/>
              <w:spacing w:beforeAutospacing="0" w:afterAutospacing="0" w:line="360" w:lineRule="auto"/>
              <w:ind w:firstLine="36"/>
              <w:rPr>
                <w:rStyle w:val="affa"/>
                <w:b w:val="0"/>
              </w:rPr>
            </w:pPr>
            <w:r w:rsidRPr="000322E4">
              <w:rPr>
                <w:rStyle w:val="affa"/>
                <w:b w:val="0"/>
              </w:rPr>
              <w:t>О</w:t>
            </w:r>
            <w:r w:rsidRPr="000322E4">
              <w:rPr>
                <w:rStyle w:val="affa"/>
              </w:rPr>
              <w:t>писание общего состояния пациента</w:t>
            </w:r>
          </w:p>
        </w:tc>
      </w:tr>
      <w:tr w:rsidR="00321279" w:rsidRPr="000322E4" w14:paraId="10719F35" w14:textId="77777777" w:rsidTr="009F7F8A">
        <w:tc>
          <w:tcPr>
            <w:tcW w:w="1950" w:type="dxa"/>
            <w:tcBorders>
              <w:top w:val="single" w:sz="4" w:space="0" w:color="auto"/>
              <w:left w:val="single" w:sz="4" w:space="0" w:color="auto"/>
              <w:bottom w:val="single" w:sz="4" w:space="0" w:color="auto"/>
              <w:right w:val="single" w:sz="4" w:space="0" w:color="auto"/>
            </w:tcBorders>
          </w:tcPr>
          <w:p w14:paraId="4A46BEF1" w14:textId="77777777" w:rsidR="00321279" w:rsidRPr="000322E4" w:rsidRDefault="00321279" w:rsidP="009F7F8A">
            <w:pPr>
              <w:pStyle w:val="afd"/>
              <w:spacing w:beforeAutospacing="0" w:afterAutospacing="0" w:line="360" w:lineRule="auto"/>
              <w:rPr>
                <w:rStyle w:val="affa"/>
                <w:b w:val="0"/>
                <w:lang w:val="en-US"/>
              </w:rPr>
            </w:pPr>
            <w:r w:rsidRPr="000322E4">
              <w:rPr>
                <w:rStyle w:val="affa"/>
                <w:b w:val="0"/>
                <w:lang w:val="en-US"/>
              </w:rPr>
              <w:t>0</w:t>
            </w:r>
          </w:p>
        </w:tc>
        <w:tc>
          <w:tcPr>
            <w:tcW w:w="7615" w:type="dxa"/>
            <w:tcBorders>
              <w:top w:val="single" w:sz="4" w:space="0" w:color="auto"/>
              <w:left w:val="single" w:sz="4" w:space="0" w:color="auto"/>
              <w:bottom w:val="single" w:sz="4" w:space="0" w:color="auto"/>
              <w:right w:val="single" w:sz="4" w:space="0" w:color="auto"/>
            </w:tcBorders>
          </w:tcPr>
          <w:p w14:paraId="17180B2E" w14:textId="77777777" w:rsidR="00321279" w:rsidRPr="000322E4" w:rsidRDefault="00321279" w:rsidP="009F7F8A">
            <w:pPr>
              <w:pStyle w:val="afd"/>
              <w:spacing w:beforeAutospacing="0" w:afterAutospacing="0" w:line="360" w:lineRule="auto"/>
              <w:rPr>
                <w:rStyle w:val="affa"/>
                <w:b w:val="0"/>
              </w:rPr>
            </w:pPr>
            <w:r w:rsidRPr="000322E4">
              <w:rPr>
                <w:rStyle w:val="affa"/>
                <w:b w:val="0"/>
              </w:rPr>
              <w:t>Пациент полностью активен, способен выполнять все, как и до заболевания.</w:t>
            </w:r>
          </w:p>
        </w:tc>
      </w:tr>
      <w:tr w:rsidR="00321279" w:rsidRPr="000322E4" w14:paraId="23F8353C" w14:textId="77777777" w:rsidTr="009F7F8A">
        <w:tc>
          <w:tcPr>
            <w:tcW w:w="1950" w:type="dxa"/>
            <w:tcBorders>
              <w:top w:val="single" w:sz="4" w:space="0" w:color="auto"/>
              <w:left w:val="single" w:sz="4" w:space="0" w:color="auto"/>
              <w:bottom w:val="single" w:sz="4" w:space="0" w:color="auto"/>
              <w:right w:val="single" w:sz="4" w:space="0" w:color="auto"/>
            </w:tcBorders>
          </w:tcPr>
          <w:p w14:paraId="71F57045" w14:textId="77777777" w:rsidR="00321279" w:rsidRPr="000322E4" w:rsidRDefault="00321279" w:rsidP="009F7F8A">
            <w:pPr>
              <w:pStyle w:val="afd"/>
              <w:spacing w:beforeAutospacing="0" w:afterAutospacing="0" w:line="360" w:lineRule="auto"/>
              <w:rPr>
                <w:rStyle w:val="affa"/>
                <w:b w:val="0"/>
              </w:rPr>
            </w:pPr>
            <w:r w:rsidRPr="000322E4">
              <w:rPr>
                <w:rStyle w:val="affa"/>
                <w:b w:val="0"/>
              </w:rPr>
              <w:t>1</w:t>
            </w:r>
          </w:p>
        </w:tc>
        <w:tc>
          <w:tcPr>
            <w:tcW w:w="7615" w:type="dxa"/>
            <w:tcBorders>
              <w:top w:val="single" w:sz="4" w:space="0" w:color="auto"/>
              <w:left w:val="single" w:sz="4" w:space="0" w:color="auto"/>
              <w:bottom w:val="single" w:sz="4" w:space="0" w:color="auto"/>
              <w:right w:val="single" w:sz="4" w:space="0" w:color="auto"/>
            </w:tcBorders>
          </w:tcPr>
          <w:p w14:paraId="6FE0F3DC" w14:textId="77777777" w:rsidR="00321279" w:rsidRPr="000322E4" w:rsidRDefault="00321279" w:rsidP="009F7F8A">
            <w:pPr>
              <w:pStyle w:val="afd"/>
              <w:spacing w:beforeAutospacing="0" w:afterAutospacing="0" w:line="360" w:lineRule="auto"/>
              <w:rPr>
                <w:rStyle w:val="affa"/>
                <w:b w:val="0"/>
              </w:rPr>
            </w:pPr>
            <w:r w:rsidRPr="000322E4">
              <w:rPr>
                <w:rStyle w:val="affa"/>
                <w:b w:val="0"/>
              </w:rPr>
              <w:t>Пациент неспособен выполнять тяжелую, но может выполнять легкую или сидячую работу (например, легкую домашнюю или канцелярскую работу).</w:t>
            </w:r>
          </w:p>
        </w:tc>
      </w:tr>
      <w:tr w:rsidR="00321279" w:rsidRPr="000322E4" w14:paraId="3DA4865A" w14:textId="77777777" w:rsidTr="009F7F8A">
        <w:tc>
          <w:tcPr>
            <w:tcW w:w="1950" w:type="dxa"/>
            <w:tcBorders>
              <w:top w:val="single" w:sz="4" w:space="0" w:color="auto"/>
              <w:left w:val="single" w:sz="4" w:space="0" w:color="auto"/>
              <w:bottom w:val="single" w:sz="4" w:space="0" w:color="auto"/>
              <w:right w:val="single" w:sz="4" w:space="0" w:color="auto"/>
            </w:tcBorders>
          </w:tcPr>
          <w:p w14:paraId="041F1172" w14:textId="77777777" w:rsidR="00321279" w:rsidRPr="000322E4" w:rsidRDefault="00321279" w:rsidP="009F7F8A">
            <w:pPr>
              <w:pStyle w:val="afd"/>
              <w:spacing w:beforeAutospacing="0" w:afterAutospacing="0" w:line="360" w:lineRule="auto"/>
              <w:rPr>
                <w:rStyle w:val="affa"/>
                <w:b w:val="0"/>
              </w:rPr>
            </w:pPr>
            <w:r w:rsidRPr="000322E4">
              <w:rPr>
                <w:rStyle w:val="affa"/>
                <w:b w:val="0"/>
              </w:rPr>
              <w:t>2</w:t>
            </w:r>
          </w:p>
        </w:tc>
        <w:tc>
          <w:tcPr>
            <w:tcW w:w="7615" w:type="dxa"/>
            <w:tcBorders>
              <w:top w:val="single" w:sz="4" w:space="0" w:color="auto"/>
              <w:left w:val="single" w:sz="4" w:space="0" w:color="auto"/>
              <w:bottom w:val="single" w:sz="4" w:space="0" w:color="auto"/>
              <w:right w:val="single" w:sz="4" w:space="0" w:color="auto"/>
            </w:tcBorders>
          </w:tcPr>
          <w:p w14:paraId="36ED034E" w14:textId="77777777" w:rsidR="00321279" w:rsidRPr="000322E4" w:rsidRDefault="00321279" w:rsidP="009F7F8A">
            <w:pPr>
              <w:pStyle w:val="afd"/>
              <w:spacing w:beforeAutospacing="0" w:afterAutospacing="0" w:line="360" w:lineRule="auto"/>
              <w:rPr>
                <w:rStyle w:val="affa"/>
                <w:b w:val="0"/>
              </w:rPr>
            </w:pPr>
            <w:r w:rsidRPr="000322E4">
              <w:rPr>
                <w:rStyle w:val="affa"/>
                <w:b w:val="0"/>
              </w:rPr>
              <w:t>Пациент лечится амбулаторно, способен к самообслуживанию, но не может выполнять работу. Более 50 % времени проводит активно – в вертикальном положении.</w:t>
            </w:r>
          </w:p>
        </w:tc>
      </w:tr>
      <w:tr w:rsidR="00321279" w:rsidRPr="000322E4" w14:paraId="7FAE60F6" w14:textId="77777777" w:rsidTr="009F7F8A">
        <w:tc>
          <w:tcPr>
            <w:tcW w:w="1950" w:type="dxa"/>
            <w:tcBorders>
              <w:top w:val="single" w:sz="4" w:space="0" w:color="auto"/>
              <w:left w:val="single" w:sz="4" w:space="0" w:color="auto"/>
              <w:bottom w:val="single" w:sz="4" w:space="0" w:color="auto"/>
              <w:right w:val="single" w:sz="4" w:space="0" w:color="auto"/>
            </w:tcBorders>
          </w:tcPr>
          <w:p w14:paraId="6BC2FB51" w14:textId="77777777" w:rsidR="00321279" w:rsidRPr="000322E4" w:rsidRDefault="00321279" w:rsidP="009F7F8A">
            <w:pPr>
              <w:pStyle w:val="afd"/>
              <w:spacing w:beforeAutospacing="0" w:afterAutospacing="0" w:line="360" w:lineRule="auto"/>
              <w:rPr>
                <w:rStyle w:val="affa"/>
                <w:b w:val="0"/>
              </w:rPr>
            </w:pPr>
            <w:r w:rsidRPr="000322E4">
              <w:rPr>
                <w:rStyle w:val="affa"/>
                <w:b w:val="0"/>
              </w:rPr>
              <w:t>3</w:t>
            </w:r>
          </w:p>
        </w:tc>
        <w:tc>
          <w:tcPr>
            <w:tcW w:w="7615" w:type="dxa"/>
            <w:tcBorders>
              <w:top w:val="single" w:sz="4" w:space="0" w:color="auto"/>
              <w:left w:val="single" w:sz="4" w:space="0" w:color="auto"/>
              <w:bottom w:val="single" w:sz="4" w:space="0" w:color="auto"/>
              <w:right w:val="single" w:sz="4" w:space="0" w:color="auto"/>
            </w:tcBorders>
          </w:tcPr>
          <w:p w14:paraId="32303D5A" w14:textId="77777777" w:rsidR="00321279" w:rsidRPr="000322E4" w:rsidRDefault="00321279" w:rsidP="009F7F8A">
            <w:pPr>
              <w:pStyle w:val="afd"/>
              <w:spacing w:beforeAutospacing="0" w:afterAutospacing="0" w:line="360" w:lineRule="auto"/>
              <w:rPr>
                <w:rStyle w:val="affa"/>
                <w:b w:val="0"/>
              </w:rPr>
            </w:pPr>
            <w:r w:rsidRPr="000322E4">
              <w:rPr>
                <w:rStyle w:val="affa"/>
                <w:b w:val="0"/>
              </w:rPr>
              <w:t>Пациент способен лишь к ограниченному самообслуживанию, проводит в кресле или постели более 50 % времени бодрствования.</w:t>
            </w:r>
          </w:p>
        </w:tc>
      </w:tr>
      <w:tr w:rsidR="00321279" w:rsidRPr="000322E4" w14:paraId="7089AE49" w14:textId="77777777" w:rsidTr="009F7F8A">
        <w:tc>
          <w:tcPr>
            <w:tcW w:w="1950" w:type="dxa"/>
            <w:tcBorders>
              <w:top w:val="single" w:sz="4" w:space="0" w:color="auto"/>
              <w:left w:val="single" w:sz="4" w:space="0" w:color="auto"/>
              <w:bottom w:val="single" w:sz="4" w:space="0" w:color="auto"/>
              <w:right w:val="single" w:sz="4" w:space="0" w:color="auto"/>
            </w:tcBorders>
          </w:tcPr>
          <w:p w14:paraId="5FCAB134" w14:textId="77777777" w:rsidR="00321279" w:rsidRPr="000322E4" w:rsidRDefault="00321279" w:rsidP="009F7F8A">
            <w:pPr>
              <w:pStyle w:val="afd"/>
              <w:spacing w:beforeAutospacing="0" w:afterAutospacing="0" w:line="360" w:lineRule="auto"/>
              <w:rPr>
                <w:rStyle w:val="affa"/>
                <w:b w:val="0"/>
              </w:rPr>
            </w:pPr>
            <w:r w:rsidRPr="000322E4">
              <w:rPr>
                <w:rStyle w:val="affa"/>
                <w:b w:val="0"/>
              </w:rPr>
              <w:t>4</w:t>
            </w:r>
          </w:p>
        </w:tc>
        <w:tc>
          <w:tcPr>
            <w:tcW w:w="7615" w:type="dxa"/>
            <w:tcBorders>
              <w:top w:val="single" w:sz="4" w:space="0" w:color="auto"/>
              <w:left w:val="single" w:sz="4" w:space="0" w:color="auto"/>
              <w:bottom w:val="single" w:sz="4" w:space="0" w:color="auto"/>
              <w:right w:val="single" w:sz="4" w:space="0" w:color="auto"/>
            </w:tcBorders>
          </w:tcPr>
          <w:p w14:paraId="7DFD1132" w14:textId="77777777" w:rsidR="00321279" w:rsidRPr="000322E4" w:rsidRDefault="00321279" w:rsidP="009F7F8A">
            <w:pPr>
              <w:pStyle w:val="afd"/>
              <w:spacing w:beforeAutospacing="0" w:afterAutospacing="0" w:line="360" w:lineRule="auto"/>
              <w:rPr>
                <w:rStyle w:val="affa"/>
                <w:b w:val="0"/>
              </w:rPr>
            </w:pPr>
            <w:r w:rsidRPr="000322E4">
              <w:rPr>
                <w:rStyle w:val="affa"/>
                <w:b w:val="0"/>
              </w:rPr>
              <w:t>Инвалид, совершенно не способен к самообслуживанию, прикован к креслу или постели.</w:t>
            </w:r>
          </w:p>
        </w:tc>
      </w:tr>
      <w:tr w:rsidR="00321279" w:rsidRPr="000322E4" w14:paraId="1A68F013" w14:textId="77777777" w:rsidTr="009F7F8A">
        <w:tc>
          <w:tcPr>
            <w:tcW w:w="1950" w:type="dxa"/>
            <w:tcBorders>
              <w:top w:val="single" w:sz="4" w:space="0" w:color="auto"/>
              <w:left w:val="single" w:sz="4" w:space="0" w:color="auto"/>
              <w:bottom w:val="single" w:sz="4" w:space="0" w:color="auto"/>
              <w:right w:val="single" w:sz="4" w:space="0" w:color="auto"/>
            </w:tcBorders>
          </w:tcPr>
          <w:p w14:paraId="6CF021ED" w14:textId="77777777" w:rsidR="00321279" w:rsidRPr="000322E4" w:rsidRDefault="00321279" w:rsidP="009F7F8A">
            <w:pPr>
              <w:pStyle w:val="afd"/>
              <w:spacing w:beforeAutospacing="0" w:afterAutospacing="0" w:line="360" w:lineRule="auto"/>
              <w:rPr>
                <w:rStyle w:val="affa"/>
                <w:b w:val="0"/>
              </w:rPr>
            </w:pPr>
            <w:r w:rsidRPr="000322E4">
              <w:rPr>
                <w:rStyle w:val="affa"/>
                <w:b w:val="0"/>
              </w:rPr>
              <w:t>5</w:t>
            </w:r>
          </w:p>
        </w:tc>
        <w:tc>
          <w:tcPr>
            <w:tcW w:w="7615" w:type="dxa"/>
            <w:tcBorders>
              <w:top w:val="single" w:sz="4" w:space="0" w:color="auto"/>
              <w:left w:val="single" w:sz="4" w:space="0" w:color="auto"/>
              <w:bottom w:val="single" w:sz="4" w:space="0" w:color="auto"/>
              <w:right w:val="single" w:sz="4" w:space="0" w:color="auto"/>
            </w:tcBorders>
          </w:tcPr>
          <w:p w14:paraId="5352613B" w14:textId="77777777" w:rsidR="00321279" w:rsidRPr="000322E4" w:rsidRDefault="00321279" w:rsidP="009F7F8A">
            <w:pPr>
              <w:pStyle w:val="afd"/>
              <w:spacing w:beforeAutospacing="0" w:afterAutospacing="0" w:line="360" w:lineRule="auto"/>
              <w:rPr>
                <w:rStyle w:val="affa"/>
                <w:b w:val="0"/>
              </w:rPr>
            </w:pPr>
            <w:r w:rsidRPr="000322E4">
              <w:rPr>
                <w:rStyle w:val="affa"/>
                <w:b w:val="0"/>
              </w:rPr>
              <w:t>Смерть пациента</w:t>
            </w:r>
          </w:p>
        </w:tc>
      </w:tr>
      <w:bookmarkEnd w:id="234"/>
    </w:tbl>
    <w:p w14:paraId="46CEC1FF" w14:textId="77777777" w:rsidR="00321279" w:rsidRPr="000322E4" w:rsidRDefault="00321279" w:rsidP="00321279">
      <w:pPr>
        <w:pStyle w:val="afff"/>
        <w:ind w:firstLine="0"/>
      </w:pPr>
    </w:p>
    <w:p w14:paraId="28EB0EF9" w14:textId="77777777" w:rsidR="00321279" w:rsidRDefault="00321279" w:rsidP="00321279">
      <w:pPr>
        <w:pStyle w:val="afff"/>
        <w:ind w:firstLine="0"/>
      </w:pPr>
    </w:p>
    <w:p w14:paraId="5CAA35E1" w14:textId="237A10BF" w:rsidR="00321279" w:rsidRPr="00306810" w:rsidRDefault="00321279" w:rsidP="00321279">
      <w:pPr>
        <w:pStyle w:val="2"/>
        <w:spacing w:before="0"/>
      </w:pPr>
      <w:bookmarkStart w:id="235" w:name="_Toc66096879"/>
      <w:bookmarkStart w:id="236" w:name="_Toc67522273"/>
      <w:r w:rsidRPr="000322E4">
        <w:t>Приложение Г</w:t>
      </w:r>
      <w:r>
        <w:t xml:space="preserve">2. </w:t>
      </w:r>
      <w:bookmarkStart w:id="237" w:name="_Toc44401120"/>
      <w:r w:rsidRPr="00777124">
        <w:rPr>
          <w:rFonts w:eastAsia="SimSun"/>
        </w:rPr>
        <w:t>Расчет трансплантационного риска по шкале EBMT</w:t>
      </w:r>
      <w:bookmarkEnd w:id="235"/>
      <w:bookmarkEnd w:id="236"/>
      <w:bookmarkEnd w:id="237"/>
    </w:p>
    <w:p w14:paraId="08E1E743" w14:textId="0C01D843" w:rsidR="00321279" w:rsidRPr="00777124" w:rsidRDefault="00321279" w:rsidP="00321279">
      <w:pPr>
        <w:ind w:firstLine="709"/>
        <w:rPr>
          <w:rFonts w:eastAsia="SimSun"/>
        </w:rPr>
      </w:pPr>
      <w:r w:rsidRPr="00777124">
        <w:rPr>
          <w:rFonts w:eastAsia="SimSun"/>
        </w:rPr>
        <w:t xml:space="preserve">Оценка трансплантационного риска проводится не более чем за 10 дней до начала предтрансплантационного кондиционирования </w:t>
      </w:r>
      <w:r w:rsidRPr="00777124">
        <w:rPr>
          <w:rFonts w:eastAsia="SimSun"/>
        </w:rPr>
        <w:fldChar w:fldCharType="begin" w:fldLock="1"/>
      </w:r>
      <w:r w:rsidR="008139EA">
        <w:rPr>
          <w:rFonts w:eastAsia="SimSun"/>
        </w:rPr>
        <w:instrText>ADDIN CSL_CITATION {"citationItems":[{"id":"ITEM-1","itemData":{"DOI":"10.1038/bmt.2011.110","ISSN":"02683369","PMID":"21643021","abstract":"The European Group for Blood and Marrow Transplantation (EBMT) risk score provides a simple tool to assess instantly chances and risks of hematopoietic SCT(HSCT) for an individual patient pre-transplant. Five factors, age of the patient, stage of the disease, time from diagnosis, donor type and donor recipient gender combination augment risk for an individual patient with increasing score from 0 as best to 7 as worst in an additive way. The score holds for all acquired hematological disorders, for allogeneic and autologous HSCT (score 0-5), is independent of the HSCT technology and is valid for standard or reduced intensity conditioning. Survival is uniformly worse for older patients, transplanted in advanced disease stage after a long-time interval and with a mismatched donor than for younger patients, transplanted soon in early stage with a well matched donor. Additional risk factors such as performance score, CMV serostatus or cytokine polymorphisms improve prediction but to different extents for low or high-risk patients. Comparative assessment of disease risk and global pre-transplant risk should guide decisions for each patient with his/her specific disease between HSCT and a non-transplant approach and replace the traditional 'donor vs no donor' with such a risk-adapted individualized strategy. © 2012 Macmillan Publishers Limited All rights reserved.","author":[{"dropping-particle":"","family":"Gratwohl","given":"A.","non-dropping-particle":"","parse-names":false,"suffix":""}],"container-title":"Bone Marrow Transplantation","id":"ITEM-1","issue":"6","issued":{"date-parts":[["2012","6","6"]]},"page":"749-756","publisher":"Nature Publishing Group","title":"The EBMT risk score","type":"article","volume":"47"},"uris":["http://www.mendeley.com/documents/?uuid=0e80be56-8f6f-3249-9016-dc0bcc819af7"]}],"mendeley":{"formattedCitation":"[158]","plainTextFormattedCitation":"[158]","previouslyFormattedCitation":"[156]"},"properties":{"noteIndex":0},"schema":"https://github.com/citation-style-language/schema/raw/master/csl-citation.json"}</w:instrText>
      </w:r>
      <w:r w:rsidRPr="00777124">
        <w:rPr>
          <w:rFonts w:eastAsia="SimSun"/>
        </w:rPr>
        <w:fldChar w:fldCharType="separate"/>
      </w:r>
      <w:r w:rsidR="008139EA" w:rsidRPr="008139EA">
        <w:rPr>
          <w:rFonts w:eastAsia="SimSun"/>
          <w:noProof/>
        </w:rPr>
        <w:t>[158]</w:t>
      </w:r>
      <w:r w:rsidRPr="00777124">
        <w:rPr>
          <w:rFonts w:eastAsia="SimSun"/>
        </w:rPr>
        <w:fldChar w:fldCharType="end"/>
      </w:r>
      <w:r w:rsidRPr="00777124">
        <w:rPr>
          <w:rFonts w:eastAsia="SimSun"/>
        </w:rPr>
        <w:t>.</w:t>
      </w:r>
    </w:p>
    <w:p w14:paraId="5D71A5BE" w14:textId="77777777" w:rsidR="00321279" w:rsidRPr="00777124" w:rsidRDefault="00321279" w:rsidP="00321279">
      <w:pPr>
        <w:tabs>
          <w:tab w:val="left" w:pos="567"/>
        </w:tabs>
        <w:spacing w:line="240" w:lineRule="auto"/>
        <w:rPr>
          <w:rFonts w:eastAsia="SimSun"/>
          <w:b/>
        </w:rPr>
      </w:pPr>
    </w:p>
    <w:tbl>
      <w:tblPr>
        <w:tblW w:w="1070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20"/>
        <w:gridCol w:w="4060"/>
        <w:gridCol w:w="1829"/>
      </w:tblGrid>
      <w:tr w:rsidR="00321279" w:rsidRPr="00306810" w14:paraId="2FE8BA46" w14:textId="77777777" w:rsidTr="009F7F8A">
        <w:trPr>
          <w:trHeight w:val="374"/>
        </w:trPr>
        <w:tc>
          <w:tcPr>
            <w:tcW w:w="4820" w:type="dxa"/>
          </w:tcPr>
          <w:p w14:paraId="6BF050E6" w14:textId="77777777" w:rsidR="00321279" w:rsidRPr="00306810" w:rsidRDefault="00321279" w:rsidP="009F7F8A">
            <w:pPr>
              <w:pStyle w:val="table-head-left"/>
              <w:spacing w:line="240" w:lineRule="auto"/>
              <w:ind w:firstLine="0"/>
              <w:rPr>
                <w:kern w:val="2"/>
                <w:sz w:val="24"/>
                <w:szCs w:val="24"/>
                <w:lang w:eastAsia="zh-CN" w:bidi="hi-IN"/>
              </w:rPr>
            </w:pPr>
            <w:r w:rsidRPr="00306810">
              <w:rPr>
                <w:kern w:val="2"/>
                <w:sz w:val="24"/>
                <w:szCs w:val="24"/>
                <w:lang w:eastAsia="zh-CN" w:bidi="hi-IN"/>
              </w:rPr>
              <w:t>Факторы риска</w:t>
            </w:r>
          </w:p>
        </w:tc>
        <w:tc>
          <w:tcPr>
            <w:tcW w:w="4060" w:type="dxa"/>
          </w:tcPr>
          <w:p w14:paraId="7D5C7073" w14:textId="77777777" w:rsidR="00321279" w:rsidRPr="00306810" w:rsidRDefault="00321279" w:rsidP="009F7F8A">
            <w:pPr>
              <w:pStyle w:val="table-head-left"/>
              <w:spacing w:line="240" w:lineRule="auto"/>
              <w:ind w:firstLine="0"/>
              <w:rPr>
                <w:kern w:val="2"/>
                <w:sz w:val="24"/>
                <w:szCs w:val="24"/>
                <w:lang w:eastAsia="zh-CN" w:bidi="hi-IN"/>
              </w:rPr>
            </w:pPr>
            <w:r w:rsidRPr="00306810">
              <w:rPr>
                <w:bCs/>
                <w:kern w:val="2"/>
                <w:sz w:val="24"/>
                <w:szCs w:val="24"/>
                <w:lang w:eastAsia="zh-CN" w:bidi="hi-IN"/>
              </w:rPr>
              <w:t>Характеристика факторов риска</w:t>
            </w:r>
          </w:p>
        </w:tc>
        <w:tc>
          <w:tcPr>
            <w:tcW w:w="1829" w:type="dxa"/>
          </w:tcPr>
          <w:p w14:paraId="5E52F75E" w14:textId="77777777" w:rsidR="00321279" w:rsidRPr="00306810" w:rsidRDefault="00321279" w:rsidP="009F7F8A">
            <w:pPr>
              <w:pStyle w:val="table-head-left"/>
              <w:spacing w:line="240" w:lineRule="auto"/>
              <w:ind w:firstLine="0"/>
              <w:rPr>
                <w:kern w:val="2"/>
                <w:sz w:val="24"/>
                <w:szCs w:val="24"/>
                <w:lang w:eastAsia="zh-CN" w:bidi="hi-IN"/>
              </w:rPr>
            </w:pPr>
            <w:r w:rsidRPr="00306810">
              <w:rPr>
                <w:bCs/>
                <w:kern w:val="2"/>
                <w:sz w:val="24"/>
                <w:szCs w:val="24"/>
                <w:lang w:eastAsia="zh-CN" w:bidi="hi-IN"/>
              </w:rPr>
              <w:t>Баллы</w:t>
            </w:r>
          </w:p>
        </w:tc>
      </w:tr>
      <w:tr w:rsidR="00321279" w:rsidRPr="00306810" w14:paraId="385F5186" w14:textId="77777777" w:rsidTr="009F7F8A">
        <w:trPr>
          <w:trHeight w:val="258"/>
        </w:trPr>
        <w:tc>
          <w:tcPr>
            <w:tcW w:w="4820" w:type="dxa"/>
            <w:vMerge w:val="restart"/>
          </w:tcPr>
          <w:p w14:paraId="0E3EE334"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Возраст</w:t>
            </w:r>
          </w:p>
        </w:tc>
        <w:tc>
          <w:tcPr>
            <w:tcW w:w="4060" w:type="dxa"/>
          </w:tcPr>
          <w:p w14:paraId="1D9EF837"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 xml:space="preserve">&lt; 20 лет </w:t>
            </w:r>
          </w:p>
        </w:tc>
        <w:tc>
          <w:tcPr>
            <w:tcW w:w="1829" w:type="dxa"/>
          </w:tcPr>
          <w:p w14:paraId="76A523E7"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0</w:t>
            </w:r>
          </w:p>
        </w:tc>
      </w:tr>
      <w:tr w:rsidR="00321279" w:rsidRPr="00306810" w14:paraId="61EC347F" w14:textId="77777777" w:rsidTr="009F7F8A">
        <w:trPr>
          <w:trHeight w:val="107"/>
        </w:trPr>
        <w:tc>
          <w:tcPr>
            <w:tcW w:w="4820" w:type="dxa"/>
            <w:vMerge/>
          </w:tcPr>
          <w:p w14:paraId="3BC75E37" w14:textId="77777777" w:rsidR="00321279" w:rsidRPr="00306810" w:rsidRDefault="00321279" w:rsidP="009F7F8A">
            <w:pPr>
              <w:pStyle w:val="table-text-0"/>
              <w:ind w:firstLine="0"/>
              <w:rPr>
                <w:kern w:val="2"/>
                <w:sz w:val="24"/>
                <w:szCs w:val="24"/>
                <w:lang w:eastAsia="zh-CN" w:bidi="hi-IN"/>
              </w:rPr>
            </w:pPr>
          </w:p>
        </w:tc>
        <w:tc>
          <w:tcPr>
            <w:tcW w:w="4060" w:type="dxa"/>
          </w:tcPr>
          <w:p w14:paraId="6A764A55"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20–40 лет</w:t>
            </w:r>
          </w:p>
        </w:tc>
        <w:tc>
          <w:tcPr>
            <w:tcW w:w="1829" w:type="dxa"/>
          </w:tcPr>
          <w:p w14:paraId="570E7D5D"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1</w:t>
            </w:r>
          </w:p>
        </w:tc>
      </w:tr>
      <w:tr w:rsidR="00321279" w:rsidRPr="00306810" w14:paraId="643D0B8C" w14:textId="77777777" w:rsidTr="009F7F8A">
        <w:trPr>
          <w:trHeight w:val="107"/>
        </w:trPr>
        <w:tc>
          <w:tcPr>
            <w:tcW w:w="4820" w:type="dxa"/>
            <w:vMerge/>
          </w:tcPr>
          <w:p w14:paraId="3DA6D290" w14:textId="77777777" w:rsidR="00321279" w:rsidRPr="00306810" w:rsidRDefault="00321279" w:rsidP="009F7F8A">
            <w:pPr>
              <w:pStyle w:val="table-text-0"/>
              <w:ind w:firstLine="0"/>
              <w:rPr>
                <w:kern w:val="2"/>
                <w:sz w:val="24"/>
                <w:szCs w:val="24"/>
                <w:lang w:eastAsia="zh-CN" w:bidi="hi-IN"/>
              </w:rPr>
            </w:pPr>
          </w:p>
        </w:tc>
        <w:tc>
          <w:tcPr>
            <w:tcW w:w="4060" w:type="dxa"/>
          </w:tcPr>
          <w:p w14:paraId="43E8C3C4"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&gt; 40 лет</w:t>
            </w:r>
          </w:p>
        </w:tc>
        <w:tc>
          <w:tcPr>
            <w:tcW w:w="1829" w:type="dxa"/>
          </w:tcPr>
          <w:p w14:paraId="53AB0DCB"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2</w:t>
            </w:r>
          </w:p>
        </w:tc>
      </w:tr>
      <w:tr w:rsidR="00321279" w:rsidRPr="00306810" w14:paraId="29000C12" w14:textId="77777777" w:rsidTr="009F7F8A">
        <w:trPr>
          <w:trHeight w:val="258"/>
        </w:trPr>
        <w:tc>
          <w:tcPr>
            <w:tcW w:w="4820" w:type="dxa"/>
            <w:vMerge w:val="restart"/>
          </w:tcPr>
          <w:p w14:paraId="14F0DBCB"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Статус заболевания</w:t>
            </w:r>
            <w:r w:rsidRPr="00306810">
              <w:rPr>
                <w:kern w:val="2"/>
                <w:sz w:val="24"/>
                <w:szCs w:val="24"/>
                <w:vertAlign w:val="superscript"/>
                <w:lang w:eastAsia="zh-CN" w:bidi="hi-IN"/>
              </w:rPr>
              <w:t>1</w:t>
            </w:r>
          </w:p>
        </w:tc>
        <w:tc>
          <w:tcPr>
            <w:tcW w:w="4060" w:type="dxa"/>
          </w:tcPr>
          <w:p w14:paraId="772CBDBB"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Ранний</w:t>
            </w:r>
          </w:p>
        </w:tc>
        <w:tc>
          <w:tcPr>
            <w:tcW w:w="1829" w:type="dxa"/>
          </w:tcPr>
          <w:p w14:paraId="0A77979D"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0</w:t>
            </w:r>
          </w:p>
        </w:tc>
      </w:tr>
      <w:tr w:rsidR="00321279" w:rsidRPr="00306810" w14:paraId="18C3AA3C" w14:textId="77777777" w:rsidTr="009F7F8A">
        <w:trPr>
          <w:trHeight w:val="107"/>
        </w:trPr>
        <w:tc>
          <w:tcPr>
            <w:tcW w:w="4820" w:type="dxa"/>
            <w:vMerge/>
          </w:tcPr>
          <w:p w14:paraId="01DBE490" w14:textId="77777777" w:rsidR="00321279" w:rsidRPr="00306810" w:rsidRDefault="00321279" w:rsidP="009F7F8A">
            <w:pPr>
              <w:pStyle w:val="table-text-0"/>
              <w:ind w:firstLine="0"/>
              <w:rPr>
                <w:kern w:val="2"/>
                <w:sz w:val="24"/>
                <w:szCs w:val="24"/>
                <w:lang w:eastAsia="zh-CN" w:bidi="hi-IN"/>
              </w:rPr>
            </w:pPr>
          </w:p>
        </w:tc>
        <w:tc>
          <w:tcPr>
            <w:tcW w:w="4060" w:type="dxa"/>
          </w:tcPr>
          <w:p w14:paraId="6BDC0981"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Промежуточный</w:t>
            </w:r>
          </w:p>
        </w:tc>
        <w:tc>
          <w:tcPr>
            <w:tcW w:w="1829" w:type="dxa"/>
          </w:tcPr>
          <w:p w14:paraId="7365859C"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1</w:t>
            </w:r>
          </w:p>
        </w:tc>
      </w:tr>
      <w:tr w:rsidR="00321279" w:rsidRPr="00306810" w14:paraId="1FE02724" w14:textId="77777777" w:rsidTr="009F7F8A">
        <w:trPr>
          <w:trHeight w:val="107"/>
        </w:trPr>
        <w:tc>
          <w:tcPr>
            <w:tcW w:w="4820" w:type="dxa"/>
            <w:vMerge/>
          </w:tcPr>
          <w:p w14:paraId="25667D51" w14:textId="77777777" w:rsidR="00321279" w:rsidRPr="00306810" w:rsidRDefault="00321279" w:rsidP="009F7F8A">
            <w:pPr>
              <w:pStyle w:val="table-text-0"/>
              <w:ind w:firstLine="0"/>
              <w:rPr>
                <w:kern w:val="2"/>
                <w:sz w:val="24"/>
                <w:szCs w:val="24"/>
                <w:lang w:eastAsia="zh-CN" w:bidi="hi-IN"/>
              </w:rPr>
            </w:pPr>
          </w:p>
        </w:tc>
        <w:tc>
          <w:tcPr>
            <w:tcW w:w="4060" w:type="dxa"/>
          </w:tcPr>
          <w:p w14:paraId="67E244C5"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Развернутый</w:t>
            </w:r>
          </w:p>
        </w:tc>
        <w:tc>
          <w:tcPr>
            <w:tcW w:w="1829" w:type="dxa"/>
          </w:tcPr>
          <w:p w14:paraId="6E752A2E"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2</w:t>
            </w:r>
          </w:p>
        </w:tc>
      </w:tr>
      <w:tr w:rsidR="00321279" w:rsidRPr="00306810" w14:paraId="32BD1FFE" w14:textId="77777777" w:rsidTr="009F7F8A">
        <w:trPr>
          <w:trHeight w:val="258"/>
        </w:trPr>
        <w:tc>
          <w:tcPr>
            <w:tcW w:w="4820" w:type="dxa"/>
            <w:vMerge w:val="restart"/>
          </w:tcPr>
          <w:p w14:paraId="754A5070" w14:textId="77777777" w:rsidR="00321279" w:rsidRPr="00306810" w:rsidRDefault="00321279" w:rsidP="009F7F8A">
            <w:pPr>
              <w:pStyle w:val="table-text-0"/>
              <w:ind w:firstLine="0"/>
              <w:rPr>
                <w:kern w:val="2"/>
                <w:sz w:val="24"/>
                <w:szCs w:val="24"/>
                <w:lang w:val="ru-RU" w:eastAsia="zh-CN" w:bidi="hi-IN"/>
              </w:rPr>
            </w:pPr>
            <w:r w:rsidRPr="00306810">
              <w:rPr>
                <w:kern w:val="2"/>
                <w:sz w:val="24"/>
                <w:szCs w:val="24"/>
                <w:lang w:val="ru-RU" w:eastAsia="zh-CN" w:bidi="hi-IN"/>
              </w:rPr>
              <w:t>Время от постановки диагноза до ТГСК</w:t>
            </w:r>
            <w:r w:rsidRPr="00306810">
              <w:rPr>
                <w:kern w:val="2"/>
                <w:sz w:val="24"/>
                <w:szCs w:val="24"/>
                <w:vertAlign w:val="superscript"/>
                <w:lang w:val="ru-RU" w:eastAsia="zh-CN" w:bidi="hi-IN"/>
              </w:rPr>
              <w:t>2</w:t>
            </w:r>
          </w:p>
        </w:tc>
        <w:tc>
          <w:tcPr>
            <w:tcW w:w="4060" w:type="dxa"/>
          </w:tcPr>
          <w:p w14:paraId="3EFCDA04"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&lt; 12 мес</w:t>
            </w:r>
          </w:p>
        </w:tc>
        <w:tc>
          <w:tcPr>
            <w:tcW w:w="1829" w:type="dxa"/>
          </w:tcPr>
          <w:p w14:paraId="054492B7"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0</w:t>
            </w:r>
          </w:p>
        </w:tc>
      </w:tr>
      <w:tr w:rsidR="00321279" w:rsidRPr="00306810" w14:paraId="68353EA4" w14:textId="77777777" w:rsidTr="009F7F8A">
        <w:trPr>
          <w:trHeight w:val="107"/>
        </w:trPr>
        <w:tc>
          <w:tcPr>
            <w:tcW w:w="4820" w:type="dxa"/>
            <w:vMerge/>
          </w:tcPr>
          <w:p w14:paraId="1C811EE1" w14:textId="77777777" w:rsidR="00321279" w:rsidRPr="00306810" w:rsidRDefault="00321279" w:rsidP="009F7F8A">
            <w:pPr>
              <w:pStyle w:val="table-text-0"/>
              <w:ind w:firstLine="0"/>
              <w:rPr>
                <w:kern w:val="2"/>
                <w:sz w:val="24"/>
                <w:szCs w:val="24"/>
                <w:lang w:eastAsia="zh-CN" w:bidi="hi-IN"/>
              </w:rPr>
            </w:pPr>
          </w:p>
        </w:tc>
        <w:tc>
          <w:tcPr>
            <w:tcW w:w="4060" w:type="dxa"/>
          </w:tcPr>
          <w:p w14:paraId="208A5BC8" w14:textId="77777777" w:rsidR="00321279" w:rsidRPr="00306810" w:rsidRDefault="00321279" w:rsidP="009F7F8A">
            <w:pPr>
              <w:pStyle w:val="table-text-0"/>
              <w:ind w:firstLine="0"/>
              <w:rPr>
                <w:kern w:val="2"/>
                <w:sz w:val="24"/>
                <w:szCs w:val="24"/>
                <w:lang w:eastAsia="zh-CN" w:bidi="hi-IN"/>
              </w:rPr>
            </w:pPr>
            <w:r w:rsidRPr="00306810">
              <w:rPr>
                <w:color w:val="222222"/>
                <w:kern w:val="2"/>
                <w:sz w:val="24"/>
                <w:szCs w:val="24"/>
                <w:lang w:eastAsia="zh-CN" w:bidi="hi-IN"/>
              </w:rPr>
              <w:t>≥ 12 мес</w:t>
            </w:r>
          </w:p>
        </w:tc>
        <w:tc>
          <w:tcPr>
            <w:tcW w:w="1829" w:type="dxa"/>
          </w:tcPr>
          <w:p w14:paraId="76EFCA6A"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1</w:t>
            </w:r>
          </w:p>
        </w:tc>
      </w:tr>
      <w:tr w:rsidR="00321279" w:rsidRPr="00306810" w14:paraId="11EB1CCE" w14:textId="77777777" w:rsidTr="009F7F8A">
        <w:trPr>
          <w:trHeight w:val="232"/>
        </w:trPr>
        <w:tc>
          <w:tcPr>
            <w:tcW w:w="4820" w:type="dxa"/>
            <w:vMerge w:val="restart"/>
          </w:tcPr>
          <w:p w14:paraId="5DB0F66A"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Донор</w:t>
            </w:r>
          </w:p>
        </w:tc>
        <w:tc>
          <w:tcPr>
            <w:tcW w:w="4060" w:type="dxa"/>
          </w:tcPr>
          <w:p w14:paraId="68EA1C5E"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HLA-идентичный сиблинг</w:t>
            </w:r>
          </w:p>
        </w:tc>
        <w:tc>
          <w:tcPr>
            <w:tcW w:w="1829" w:type="dxa"/>
          </w:tcPr>
          <w:p w14:paraId="784F3682"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0</w:t>
            </w:r>
          </w:p>
        </w:tc>
      </w:tr>
      <w:tr w:rsidR="00321279" w:rsidRPr="00306810" w14:paraId="37852F2F" w14:textId="77777777" w:rsidTr="009F7F8A">
        <w:trPr>
          <w:trHeight w:val="107"/>
        </w:trPr>
        <w:tc>
          <w:tcPr>
            <w:tcW w:w="4820" w:type="dxa"/>
            <w:vMerge/>
          </w:tcPr>
          <w:p w14:paraId="03BCBCD1" w14:textId="77777777" w:rsidR="00321279" w:rsidRPr="00306810" w:rsidRDefault="00321279" w:rsidP="009F7F8A">
            <w:pPr>
              <w:pStyle w:val="table-text-0"/>
              <w:ind w:firstLine="0"/>
              <w:rPr>
                <w:kern w:val="2"/>
                <w:sz w:val="24"/>
                <w:szCs w:val="24"/>
                <w:lang w:eastAsia="zh-CN" w:bidi="hi-IN"/>
              </w:rPr>
            </w:pPr>
          </w:p>
        </w:tc>
        <w:tc>
          <w:tcPr>
            <w:tcW w:w="4060" w:type="dxa"/>
          </w:tcPr>
          <w:p w14:paraId="7AA45751"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Неродственный донор</w:t>
            </w:r>
          </w:p>
        </w:tc>
        <w:tc>
          <w:tcPr>
            <w:tcW w:w="1829" w:type="dxa"/>
          </w:tcPr>
          <w:p w14:paraId="0DB6C3E0"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1</w:t>
            </w:r>
          </w:p>
        </w:tc>
      </w:tr>
      <w:tr w:rsidR="00321279" w:rsidRPr="00306810" w14:paraId="088DCEE1" w14:textId="77777777" w:rsidTr="009F7F8A">
        <w:trPr>
          <w:trHeight w:val="242"/>
        </w:trPr>
        <w:tc>
          <w:tcPr>
            <w:tcW w:w="4820" w:type="dxa"/>
            <w:vMerge w:val="restart"/>
          </w:tcPr>
          <w:p w14:paraId="0B6FEA81"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Пол донора и реципиента</w:t>
            </w:r>
          </w:p>
        </w:tc>
        <w:tc>
          <w:tcPr>
            <w:tcW w:w="4060" w:type="dxa"/>
          </w:tcPr>
          <w:p w14:paraId="5F8414D4"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Донор — женщина, реципиент —мужчина</w:t>
            </w:r>
          </w:p>
        </w:tc>
        <w:tc>
          <w:tcPr>
            <w:tcW w:w="1829" w:type="dxa"/>
          </w:tcPr>
          <w:p w14:paraId="691FEB2B"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1</w:t>
            </w:r>
          </w:p>
        </w:tc>
      </w:tr>
      <w:tr w:rsidR="00321279" w:rsidRPr="00306810" w14:paraId="4AAAD084" w14:textId="77777777" w:rsidTr="009F7F8A">
        <w:trPr>
          <w:trHeight w:val="107"/>
        </w:trPr>
        <w:tc>
          <w:tcPr>
            <w:tcW w:w="4820" w:type="dxa"/>
            <w:vMerge/>
          </w:tcPr>
          <w:p w14:paraId="434643B0" w14:textId="77777777" w:rsidR="00321279" w:rsidRPr="00306810" w:rsidRDefault="00321279" w:rsidP="009F7F8A">
            <w:pPr>
              <w:pStyle w:val="table-text-0"/>
              <w:ind w:firstLine="0"/>
              <w:rPr>
                <w:kern w:val="2"/>
                <w:sz w:val="24"/>
                <w:szCs w:val="24"/>
                <w:lang w:eastAsia="zh-CN" w:bidi="hi-IN"/>
              </w:rPr>
            </w:pPr>
          </w:p>
        </w:tc>
        <w:tc>
          <w:tcPr>
            <w:tcW w:w="4060" w:type="dxa"/>
          </w:tcPr>
          <w:p w14:paraId="799F8862"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Другие сочетания</w:t>
            </w:r>
          </w:p>
        </w:tc>
        <w:tc>
          <w:tcPr>
            <w:tcW w:w="1829" w:type="dxa"/>
          </w:tcPr>
          <w:p w14:paraId="78400272" w14:textId="77777777" w:rsidR="00321279" w:rsidRPr="00306810" w:rsidRDefault="00321279" w:rsidP="009F7F8A">
            <w:pPr>
              <w:pStyle w:val="table-text-0"/>
              <w:ind w:firstLine="0"/>
              <w:rPr>
                <w:kern w:val="2"/>
                <w:sz w:val="24"/>
                <w:szCs w:val="24"/>
                <w:lang w:eastAsia="zh-CN" w:bidi="hi-IN"/>
              </w:rPr>
            </w:pPr>
            <w:r w:rsidRPr="00306810">
              <w:rPr>
                <w:kern w:val="2"/>
                <w:sz w:val="24"/>
                <w:szCs w:val="24"/>
                <w:lang w:eastAsia="zh-CN" w:bidi="hi-IN"/>
              </w:rPr>
              <w:t>0</w:t>
            </w:r>
          </w:p>
        </w:tc>
      </w:tr>
      <w:tr w:rsidR="00321279" w:rsidRPr="00306810" w14:paraId="11A6F370" w14:textId="77777777" w:rsidTr="009F7F8A">
        <w:trPr>
          <w:trHeight w:val="107"/>
        </w:trPr>
        <w:tc>
          <w:tcPr>
            <w:tcW w:w="10709" w:type="dxa"/>
            <w:gridSpan w:val="3"/>
          </w:tcPr>
          <w:p w14:paraId="160E3099" w14:textId="77777777" w:rsidR="00321279" w:rsidRPr="00306810" w:rsidRDefault="00321279" w:rsidP="009F7F8A">
            <w:pPr>
              <w:pStyle w:val="table-ref"/>
              <w:spacing w:line="240" w:lineRule="auto"/>
              <w:ind w:firstLine="0"/>
              <w:rPr>
                <w:rFonts w:eastAsia="SimSun"/>
                <w:sz w:val="24"/>
                <w:szCs w:val="24"/>
              </w:rPr>
            </w:pPr>
            <w:r w:rsidRPr="00306810">
              <w:rPr>
                <w:rFonts w:eastAsia="SimSun"/>
                <w:sz w:val="24"/>
                <w:szCs w:val="24"/>
                <w:vertAlign w:val="superscript"/>
              </w:rPr>
              <w:t>1</w:t>
            </w:r>
            <w:r w:rsidRPr="00306810">
              <w:rPr>
                <w:rFonts w:eastAsia="SimSun"/>
                <w:sz w:val="24"/>
                <w:szCs w:val="24"/>
              </w:rPr>
              <w:t xml:space="preserve"> Не применяется у пациентов с АА. </w:t>
            </w:r>
          </w:p>
          <w:p w14:paraId="396B0C7D" w14:textId="77777777" w:rsidR="00321279" w:rsidRPr="00306810" w:rsidRDefault="00321279" w:rsidP="009F7F8A">
            <w:pPr>
              <w:pStyle w:val="table-ref"/>
              <w:spacing w:line="240" w:lineRule="auto"/>
              <w:ind w:firstLine="0"/>
              <w:rPr>
                <w:rFonts w:eastAsia="SimSun"/>
                <w:sz w:val="24"/>
                <w:szCs w:val="24"/>
              </w:rPr>
            </w:pPr>
            <w:r w:rsidRPr="00306810">
              <w:rPr>
                <w:rFonts w:eastAsia="SimSun"/>
                <w:sz w:val="24"/>
                <w:szCs w:val="24"/>
              </w:rPr>
              <w:t>Ранний — острый лейкоз в ПР1; МДС в ПР1 или без предшествующего лечения; ХМЛ в 1 хронической фазе; НХЛ нелеченная или в ПР1; ММ нелеченная или в ПР1.</w:t>
            </w:r>
          </w:p>
          <w:p w14:paraId="5ACAE602" w14:textId="77777777" w:rsidR="00321279" w:rsidRPr="00306810" w:rsidRDefault="00321279" w:rsidP="009F7F8A">
            <w:pPr>
              <w:pStyle w:val="table-ref"/>
              <w:spacing w:line="240" w:lineRule="auto"/>
              <w:ind w:firstLine="0"/>
              <w:rPr>
                <w:rFonts w:eastAsia="SimSun"/>
                <w:sz w:val="24"/>
                <w:szCs w:val="24"/>
              </w:rPr>
            </w:pPr>
            <w:r w:rsidRPr="00306810">
              <w:rPr>
                <w:rFonts w:eastAsia="SimSun"/>
                <w:sz w:val="24"/>
                <w:szCs w:val="24"/>
              </w:rPr>
              <w:t>Промежуточный — острый лейкоз в ПР2; ХМЛ за исключением хронической фазы 1 и БК; МДС в ПР2 или ЧР; НХЛ в ПР2, ЧР или стабилизация заболевания; ММ в ПР2, ЧР или стабилизация заболевания.</w:t>
            </w:r>
          </w:p>
          <w:p w14:paraId="34E6C952" w14:textId="77777777" w:rsidR="00321279" w:rsidRPr="00306810" w:rsidRDefault="00321279" w:rsidP="009F7F8A">
            <w:pPr>
              <w:pStyle w:val="table-ref"/>
              <w:spacing w:line="240" w:lineRule="auto"/>
              <w:ind w:firstLine="0"/>
              <w:rPr>
                <w:rFonts w:eastAsia="SimSun"/>
                <w:sz w:val="24"/>
                <w:szCs w:val="24"/>
              </w:rPr>
            </w:pPr>
            <w:r w:rsidRPr="00306810">
              <w:rPr>
                <w:rFonts w:eastAsia="SimSun"/>
                <w:sz w:val="24"/>
                <w:szCs w:val="24"/>
              </w:rPr>
              <w:t>Развернутый — острый лейкоз в других стадиях кроме ПР1 и ПР2; ХМЛ в БК; МДС во всех других стадиях; НХЛ во всех других стадиях; ММ во всех других стадиях.</w:t>
            </w:r>
          </w:p>
          <w:p w14:paraId="14C62C87" w14:textId="77777777" w:rsidR="00321279" w:rsidRPr="00306810" w:rsidRDefault="00321279" w:rsidP="009F7F8A">
            <w:pPr>
              <w:pStyle w:val="table-ref"/>
              <w:spacing w:line="240" w:lineRule="auto"/>
              <w:ind w:firstLine="0"/>
              <w:rPr>
                <w:rFonts w:eastAsia="SimSun"/>
                <w:sz w:val="24"/>
                <w:szCs w:val="24"/>
              </w:rPr>
            </w:pPr>
            <w:r w:rsidRPr="00306810">
              <w:rPr>
                <w:rFonts w:eastAsia="SimSun"/>
                <w:sz w:val="24"/>
                <w:szCs w:val="24"/>
                <w:vertAlign w:val="superscript"/>
              </w:rPr>
              <w:t>2</w:t>
            </w:r>
            <w:r w:rsidRPr="00306810">
              <w:rPr>
                <w:rFonts w:eastAsia="SimSun"/>
                <w:sz w:val="24"/>
                <w:szCs w:val="24"/>
              </w:rPr>
              <w:t xml:space="preserve"> Не применяется у пациентов в ПР1.</w:t>
            </w:r>
          </w:p>
        </w:tc>
      </w:tr>
    </w:tbl>
    <w:p w14:paraId="4CD5D299" w14:textId="77777777" w:rsidR="00321279" w:rsidRPr="00777124" w:rsidRDefault="00321279" w:rsidP="00321279">
      <w:pPr>
        <w:spacing w:line="240" w:lineRule="auto"/>
        <w:rPr>
          <w:rFonts w:eastAsia="SimSun"/>
        </w:rPr>
      </w:pPr>
    </w:p>
    <w:p w14:paraId="41FD194A" w14:textId="77777777" w:rsidR="00321279" w:rsidRPr="00D47FAA" w:rsidRDefault="00321279" w:rsidP="00321279">
      <w:pPr>
        <w:pStyle w:val="table-name"/>
        <w:spacing w:before="0" w:line="360" w:lineRule="auto"/>
        <w:ind w:firstLine="709"/>
        <w:rPr>
          <w:rFonts w:eastAsia="SimSun"/>
          <w:b w:val="0"/>
          <w:bCs w:val="0"/>
          <w:sz w:val="24"/>
          <w:szCs w:val="24"/>
          <w:lang w:val="ru-RU"/>
        </w:rPr>
      </w:pPr>
      <w:r w:rsidRPr="00D47FAA">
        <w:rPr>
          <w:rFonts w:eastAsia="SimSun"/>
          <w:b w:val="0"/>
          <w:bCs w:val="0"/>
          <w:sz w:val="24"/>
          <w:szCs w:val="24"/>
          <w:lang w:val="ru-RU"/>
        </w:rPr>
        <w:t xml:space="preserve">Пятилетняя летальность (%), связанная с трансплантацией, согласно шкале риска </w:t>
      </w:r>
      <w:r w:rsidRPr="00D47FAA">
        <w:rPr>
          <w:rFonts w:eastAsia="SimSun"/>
          <w:b w:val="0"/>
          <w:bCs w:val="0"/>
          <w:sz w:val="24"/>
          <w:szCs w:val="24"/>
        </w:rPr>
        <w:t>EBMT</w:t>
      </w:r>
    </w:p>
    <w:tbl>
      <w:tblPr>
        <w:tblW w:w="1072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1314"/>
        <w:gridCol w:w="1314"/>
        <w:gridCol w:w="1314"/>
        <w:gridCol w:w="1314"/>
        <w:gridCol w:w="1314"/>
        <w:gridCol w:w="1314"/>
        <w:gridCol w:w="1314"/>
      </w:tblGrid>
      <w:tr w:rsidR="00321279" w:rsidRPr="00D47FAA" w14:paraId="3AD2D454" w14:textId="77777777" w:rsidTr="009F7F8A">
        <w:trPr>
          <w:trHeight w:val="360"/>
        </w:trPr>
        <w:tc>
          <w:tcPr>
            <w:tcW w:w="1531" w:type="dxa"/>
          </w:tcPr>
          <w:p w14:paraId="25C00054" w14:textId="77777777" w:rsidR="00321279" w:rsidRPr="00D47FAA" w:rsidRDefault="00321279" w:rsidP="009F7F8A">
            <w:pPr>
              <w:pStyle w:val="table-head-left"/>
              <w:spacing w:before="0" w:line="240" w:lineRule="auto"/>
              <w:ind w:firstLine="0"/>
              <w:rPr>
                <w:kern w:val="2"/>
                <w:sz w:val="24"/>
                <w:szCs w:val="24"/>
                <w:lang w:eastAsia="zh-CN" w:bidi="hi-IN"/>
              </w:rPr>
            </w:pPr>
            <w:r w:rsidRPr="00D47FAA">
              <w:rPr>
                <w:kern w:val="2"/>
                <w:sz w:val="24"/>
                <w:szCs w:val="24"/>
                <w:lang w:eastAsia="zh-CN" w:bidi="hi-IN"/>
              </w:rPr>
              <w:t>Баллы</w:t>
            </w:r>
          </w:p>
        </w:tc>
        <w:tc>
          <w:tcPr>
            <w:tcW w:w="1314" w:type="dxa"/>
          </w:tcPr>
          <w:p w14:paraId="51D96531" w14:textId="77777777" w:rsidR="00321279" w:rsidRPr="00D47FAA" w:rsidRDefault="00321279" w:rsidP="009F7F8A">
            <w:pPr>
              <w:pStyle w:val="table-head-left"/>
              <w:spacing w:before="0" w:line="240" w:lineRule="auto"/>
              <w:ind w:firstLine="0"/>
              <w:rPr>
                <w:kern w:val="2"/>
                <w:sz w:val="24"/>
                <w:szCs w:val="24"/>
                <w:lang w:eastAsia="zh-CN" w:bidi="hi-IN"/>
              </w:rPr>
            </w:pPr>
            <w:r w:rsidRPr="00D47FAA">
              <w:rPr>
                <w:kern w:val="2"/>
                <w:sz w:val="24"/>
                <w:szCs w:val="24"/>
                <w:lang w:eastAsia="zh-CN" w:bidi="hi-IN"/>
              </w:rPr>
              <w:t>0</w:t>
            </w:r>
          </w:p>
        </w:tc>
        <w:tc>
          <w:tcPr>
            <w:tcW w:w="1314" w:type="dxa"/>
          </w:tcPr>
          <w:p w14:paraId="1C0BD801" w14:textId="77777777" w:rsidR="00321279" w:rsidRPr="00D47FAA" w:rsidRDefault="00321279" w:rsidP="009F7F8A">
            <w:pPr>
              <w:pStyle w:val="table-head-left"/>
              <w:spacing w:before="0" w:line="240" w:lineRule="auto"/>
              <w:ind w:firstLine="0"/>
              <w:rPr>
                <w:kern w:val="2"/>
                <w:sz w:val="24"/>
                <w:szCs w:val="24"/>
                <w:lang w:eastAsia="zh-CN" w:bidi="hi-IN"/>
              </w:rPr>
            </w:pPr>
            <w:r w:rsidRPr="00D47FAA">
              <w:rPr>
                <w:kern w:val="2"/>
                <w:sz w:val="24"/>
                <w:szCs w:val="24"/>
                <w:lang w:eastAsia="zh-CN" w:bidi="hi-IN"/>
              </w:rPr>
              <w:t>1</w:t>
            </w:r>
          </w:p>
        </w:tc>
        <w:tc>
          <w:tcPr>
            <w:tcW w:w="1314" w:type="dxa"/>
          </w:tcPr>
          <w:p w14:paraId="0D6A519E" w14:textId="77777777" w:rsidR="00321279" w:rsidRPr="00D47FAA" w:rsidRDefault="00321279" w:rsidP="009F7F8A">
            <w:pPr>
              <w:pStyle w:val="table-head-left"/>
              <w:spacing w:before="0" w:line="240" w:lineRule="auto"/>
              <w:ind w:firstLine="0"/>
              <w:rPr>
                <w:kern w:val="2"/>
                <w:sz w:val="24"/>
                <w:szCs w:val="24"/>
                <w:lang w:eastAsia="zh-CN" w:bidi="hi-IN"/>
              </w:rPr>
            </w:pPr>
            <w:r w:rsidRPr="00D47FAA">
              <w:rPr>
                <w:kern w:val="2"/>
                <w:sz w:val="24"/>
                <w:szCs w:val="24"/>
                <w:lang w:eastAsia="zh-CN" w:bidi="hi-IN"/>
              </w:rPr>
              <w:t>2</w:t>
            </w:r>
          </w:p>
        </w:tc>
        <w:tc>
          <w:tcPr>
            <w:tcW w:w="1314" w:type="dxa"/>
          </w:tcPr>
          <w:p w14:paraId="42C9D72A" w14:textId="77777777" w:rsidR="00321279" w:rsidRPr="00D47FAA" w:rsidRDefault="00321279" w:rsidP="009F7F8A">
            <w:pPr>
              <w:pStyle w:val="table-head-left"/>
              <w:spacing w:before="0" w:line="240" w:lineRule="auto"/>
              <w:ind w:firstLine="0"/>
              <w:rPr>
                <w:kern w:val="2"/>
                <w:sz w:val="24"/>
                <w:szCs w:val="24"/>
                <w:lang w:eastAsia="zh-CN" w:bidi="hi-IN"/>
              </w:rPr>
            </w:pPr>
            <w:r w:rsidRPr="00D47FAA">
              <w:rPr>
                <w:kern w:val="2"/>
                <w:sz w:val="24"/>
                <w:szCs w:val="24"/>
                <w:lang w:eastAsia="zh-CN" w:bidi="hi-IN"/>
              </w:rPr>
              <w:t>3</w:t>
            </w:r>
          </w:p>
        </w:tc>
        <w:tc>
          <w:tcPr>
            <w:tcW w:w="1314" w:type="dxa"/>
          </w:tcPr>
          <w:p w14:paraId="54504C02" w14:textId="77777777" w:rsidR="00321279" w:rsidRPr="00D47FAA" w:rsidRDefault="00321279" w:rsidP="009F7F8A">
            <w:pPr>
              <w:pStyle w:val="table-head-left"/>
              <w:spacing w:before="0" w:line="240" w:lineRule="auto"/>
              <w:ind w:firstLine="0"/>
              <w:rPr>
                <w:kern w:val="2"/>
                <w:sz w:val="24"/>
                <w:szCs w:val="24"/>
                <w:lang w:eastAsia="zh-CN" w:bidi="hi-IN"/>
              </w:rPr>
            </w:pPr>
            <w:r w:rsidRPr="00D47FAA">
              <w:rPr>
                <w:kern w:val="2"/>
                <w:sz w:val="24"/>
                <w:szCs w:val="24"/>
                <w:lang w:eastAsia="zh-CN" w:bidi="hi-IN"/>
              </w:rPr>
              <w:t>4</w:t>
            </w:r>
          </w:p>
        </w:tc>
        <w:tc>
          <w:tcPr>
            <w:tcW w:w="1314" w:type="dxa"/>
          </w:tcPr>
          <w:p w14:paraId="2780DC31" w14:textId="77777777" w:rsidR="00321279" w:rsidRPr="00D47FAA" w:rsidRDefault="00321279" w:rsidP="009F7F8A">
            <w:pPr>
              <w:pStyle w:val="table-head-left"/>
              <w:spacing w:before="0" w:line="240" w:lineRule="auto"/>
              <w:ind w:firstLine="0"/>
              <w:rPr>
                <w:kern w:val="2"/>
                <w:sz w:val="24"/>
                <w:szCs w:val="24"/>
                <w:lang w:eastAsia="zh-CN" w:bidi="hi-IN"/>
              </w:rPr>
            </w:pPr>
            <w:r w:rsidRPr="00D47FAA">
              <w:rPr>
                <w:kern w:val="2"/>
                <w:sz w:val="24"/>
                <w:szCs w:val="24"/>
                <w:lang w:eastAsia="zh-CN" w:bidi="hi-IN"/>
              </w:rPr>
              <w:t>5</w:t>
            </w:r>
          </w:p>
        </w:tc>
        <w:tc>
          <w:tcPr>
            <w:tcW w:w="1314" w:type="dxa"/>
          </w:tcPr>
          <w:p w14:paraId="158C1A1F" w14:textId="77777777" w:rsidR="00321279" w:rsidRPr="00D47FAA" w:rsidRDefault="00321279" w:rsidP="009F7F8A">
            <w:pPr>
              <w:pStyle w:val="table-head-left"/>
              <w:spacing w:before="0" w:line="240" w:lineRule="auto"/>
              <w:ind w:firstLine="0"/>
              <w:rPr>
                <w:kern w:val="2"/>
                <w:sz w:val="24"/>
                <w:szCs w:val="24"/>
                <w:lang w:eastAsia="zh-CN" w:bidi="hi-IN"/>
              </w:rPr>
            </w:pPr>
            <w:r w:rsidRPr="00D47FAA">
              <w:rPr>
                <w:kern w:val="2"/>
                <w:sz w:val="24"/>
                <w:szCs w:val="24"/>
                <w:lang w:eastAsia="zh-CN" w:bidi="hi-IN"/>
              </w:rPr>
              <w:t>6–7</w:t>
            </w:r>
          </w:p>
        </w:tc>
      </w:tr>
      <w:tr w:rsidR="00321279" w:rsidRPr="00D47FAA" w14:paraId="5630C7D0" w14:textId="77777777" w:rsidTr="009F7F8A">
        <w:trPr>
          <w:trHeight w:val="360"/>
        </w:trPr>
        <w:tc>
          <w:tcPr>
            <w:tcW w:w="1531" w:type="dxa"/>
          </w:tcPr>
          <w:p w14:paraId="452875C7"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eastAsia="zh-CN" w:bidi="hi-IN"/>
              </w:rPr>
              <w:t>ОМЛ</w:t>
            </w:r>
          </w:p>
        </w:tc>
        <w:tc>
          <w:tcPr>
            <w:tcW w:w="1314" w:type="dxa"/>
          </w:tcPr>
          <w:p w14:paraId="3C3B3646"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14</w:t>
            </w:r>
          </w:p>
        </w:tc>
        <w:tc>
          <w:tcPr>
            <w:tcW w:w="1314" w:type="dxa"/>
          </w:tcPr>
          <w:p w14:paraId="469DF33F"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20</w:t>
            </w:r>
          </w:p>
        </w:tc>
        <w:tc>
          <w:tcPr>
            <w:tcW w:w="1314" w:type="dxa"/>
          </w:tcPr>
          <w:p w14:paraId="34898D3B"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25</w:t>
            </w:r>
          </w:p>
        </w:tc>
        <w:tc>
          <w:tcPr>
            <w:tcW w:w="1314" w:type="dxa"/>
          </w:tcPr>
          <w:p w14:paraId="1BFBE601"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30</w:t>
            </w:r>
          </w:p>
        </w:tc>
        <w:tc>
          <w:tcPr>
            <w:tcW w:w="1314" w:type="dxa"/>
          </w:tcPr>
          <w:p w14:paraId="29B3787A"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36</w:t>
            </w:r>
          </w:p>
        </w:tc>
        <w:tc>
          <w:tcPr>
            <w:tcW w:w="1314" w:type="dxa"/>
          </w:tcPr>
          <w:p w14:paraId="65219811"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40</w:t>
            </w:r>
          </w:p>
        </w:tc>
        <w:tc>
          <w:tcPr>
            <w:tcW w:w="1314" w:type="dxa"/>
          </w:tcPr>
          <w:p w14:paraId="54D3A369"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41</w:t>
            </w:r>
          </w:p>
        </w:tc>
      </w:tr>
      <w:tr w:rsidR="00321279" w:rsidRPr="00D47FAA" w14:paraId="3B3DEEEC" w14:textId="77777777" w:rsidTr="009F7F8A">
        <w:trPr>
          <w:trHeight w:val="360"/>
        </w:trPr>
        <w:tc>
          <w:tcPr>
            <w:tcW w:w="1531" w:type="dxa"/>
          </w:tcPr>
          <w:p w14:paraId="286E5A25"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eastAsia="zh-CN" w:bidi="hi-IN"/>
              </w:rPr>
              <w:t>ОЛЛ</w:t>
            </w:r>
          </w:p>
        </w:tc>
        <w:tc>
          <w:tcPr>
            <w:tcW w:w="1314" w:type="dxa"/>
          </w:tcPr>
          <w:p w14:paraId="2C850047"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15</w:t>
            </w:r>
          </w:p>
        </w:tc>
        <w:tc>
          <w:tcPr>
            <w:tcW w:w="1314" w:type="dxa"/>
          </w:tcPr>
          <w:p w14:paraId="05687E89"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23</w:t>
            </w:r>
          </w:p>
        </w:tc>
        <w:tc>
          <w:tcPr>
            <w:tcW w:w="1314" w:type="dxa"/>
          </w:tcPr>
          <w:p w14:paraId="14CAFFF9"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24</w:t>
            </w:r>
          </w:p>
        </w:tc>
        <w:tc>
          <w:tcPr>
            <w:tcW w:w="1314" w:type="dxa"/>
          </w:tcPr>
          <w:p w14:paraId="4ACAC1C2"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30</w:t>
            </w:r>
          </w:p>
        </w:tc>
        <w:tc>
          <w:tcPr>
            <w:tcW w:w="1314" w:type="dxa"/>
          </w:tcPr>
          <w:p w14:paraId="5F780232"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40</w:t>
            </w:r>
          </w:p>
        </w:tc>
        <w:tc>
          <w:tcPr>
            <w:tcW w:w="1314" w:type="dxa"/>
          </w:tcPr>
          <w:p w14:paraId="19F92663"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47</w:t>
            </w:r>
          </w:p>
        </w:tc>
        <w:tc>
          <w:tcPr>
            <w:tcW w:w="1314" w:type="dxa"/>
          </w:tcPr>
          <w:p w14:paraId="06425EDD"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53</w:t>
            </w:r>
          </w:p>
        </w:tc>
      </w:tr>
      <w:tr w:rsidR="00321279" w:rsidRPr="00D47FAA" w14:paraId="0768C79E" w14:textId="77777777" w:rsidTr="009F7F8A">
        <w:trPr>
          <w:trHeight w:val="360"/>
        </w:trPr>
        <w:tc>
          <w:tcPr>
            <w:tcW w:w="1531" w:type="dxa"/>
          </w:tcPr>
          <w:p w14:paraId="520394C5"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eastAsia="zh-CN" w:bidi="hi-IN"/>
              </w:rPr>
              <w:t>ХМЛ</w:t>
            </w:r>
          </w:p>
        </w:tc>
        <w:tc>
          <w:tcPr>
            <w:tcW w:w="1314" w:type="dxa"/>
          </w:tcPr>
          <w:p w14:paraId="6E6F3CE1"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15</w:t>
            </w:r>
          </w:p>
        </w:tc>
        <w:tc>
          <w:tcPr>
            <w:tcW w:w="1314" w:type="dxa"/>
          </w:tcPr>
          <w:p w14:paraId="3C7F727C"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22</w:t>
            </w:r>
          </w:p>
        </w:tc>
        <w:tc>
          <w:tcPr>
            <w:tcW w:w="1314" w:type="dxa"/>
          </w:tcPr>
          <w:p w14:paraId="0057C482"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30</w:t>
            </w:r>
          </w:p>
        </w:tc>
        <w:tc>
          <w:tcPr>
            <w:tcW w:w="1314" w:type="dxa"/>
          </w:tcPr>
          <w:p w14:paraId="421A7150"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38</w:t>
            </w:r>
          </w:p>
        </w:tc>
        <w:tc>
          <w:tcPr>
            <w:tcW w:w="1314" w:type="dxa"/>
          </w:tcPr>
          <w:p w14:paraId="0B79EBD9"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45</w:t>
            </w:r>
          </w:p>
        </w:tc>
        <w:tc>
          <w:tcPr>
            <w:tcW w:w="1314" w:type="dxa"/>
          </w:tcPr>
          <w:p w14:paraId="5F59A744"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52</w:t>
            </w:r>
          </w:p>
        </w:tc>
        <w:tc>
          <w:tcPr>
            <w:tcW w:w="1314" w:type="dxa"/>
          </w:tcPr>
          <w:p w14:paraId="0D72C7D4"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55</w:t>
            </w:r>
          </w:p>
        </w:tc>
      </w:tr>
      <w:tr w:rsidR="00321279" w:rsidRPr="00D47FAA" w14:paraId="0295B28A" w14:textId="77777777" w:rsidTr="009F7F8A">
        <w:trPr>
          <w:trHeight w:val="360"/>
        </w:trPr>
        <w:tc>
          <w:tcPr>
            <w:tcW w:w="1531" w:type="dxa"/>
          </w:tcPr>
          <w:p w14:paraId="59BEA355"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eastAsia="zh-CN" w:bidi="hi-IN"/>
              </w:rPr>
              <w:t>АА</w:t>
            </w:r>
          </w:p>
        </w:tc>
        <w:tc>
          <w:tcPr>
            <w:tcW w:w="1314" w:type="dxa"/>
          </w:tcPr>
          <w:p w14:paraId="018CD0CB"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18</w:t>
            </w:r>
          </w:p>
        </w:tc>
        <w:tc>
          <w:tcPr>
            <w:tcW w:w="1314" w:type="dxa"/>
          </w:tcPr>
          <w:p w14:paraId="1232B837"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26</w:t>
            </w:r>
          </w:p>
        </w:tc>
        <w:tc>
          <w:tcPr>
            <w:tcW w:w="1314" w:type="dxa"/>
          </w:tcPr>
          <w:p w14:paraId="3ED1DFDD"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40</w:t>
            </w:r>
          </w:p>
        </w:tc>
        <w:tc>
          <w:tcPr>
            <w:tcW w:w="1314" w:type="dxa"/>
          </w:tcPr>
          <w:p w14:paraId="1485E403"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49</w:t>
            </w:r>
          </w:p>
        </w:tc>
        <w:tc>
          <w:tcPr>
            <w:tcW w:w="1314" w:type="dxa"/>
          </w:tcPr>
          <w:p w14:paraId="6F89043B"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52</w:t>
            </w:r>
          </w:p>
        </w:tc>
        <w:tc>
          <w:tcPr>
            <w:tcW w:w="1314" w:type="dxa"/>
          </w:tcPr>
          <w:p w14:paraId="76742DA9"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eastAsia="zh-CN" w:bidi="hi-IN"/>
              </w:rPr>
              <w:t>–</w:t>
            </w:r>
          </w:p>
        </w:tc>
        <w:tc>
          <w:tcPr>
            <w:tcW w:w="1314" w:type="dxa"/>
          </w:tcPr>
          <w:p w14:paraId="6208B1B1"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eastAsia="zh-CN" w:bidi="hi-IN"/>
              </w:rPr>
              <w:t>–</w:t>
            </w:r>
          </w:p>
        </w:tc>
      </w:tr>
      <w:tr w:rsidR="00321279" w:rsidRPr="00D47FAA" w14:paraId="528D811B" w14:textId="77777777" w:rsidTr="009F7F8A">
        <w:trPr>
          <w:trHeight w:val="360"/>
        </w:trPr>
        <w:tc>
          <w:tcPr>
            <w:tcW w:w="1531" w:type="dxa"/>
          </w:tcPr>
          <w:p w14:paraId="43EF0670"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eastAsia="zh-CN" w:bidi="hi-IN"/>
              </w:rPr>
              <w:t>МДС</w:t>
            </w:r>
          </w:p>
        </w:tc>
        <w:tc>
          <w:tcPr>
            <w:tcW w:w="1314" w:type="dxa"/>
          </w:tcPr>
          <w:p w14:paraId="43D6DA45"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25</w:t>
            </w:r>
          </w:p>
        </w:tc>
        <w:tc>
          <w:tcPr>
            <w:tcW w:w="1314" w:type="dxa"/>
          </w:tcPr>
          <w:p w14:paraId="248062E8"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28</w:t>
            </w:r>
          </w:p>
        </w:tc>
        <w:tc>
          <w:tcPr>
            <w:tcW w:w="1314" w:type="dxa"/>
          </w:tcPr>
          <w:p w14:paraId="6C5F2FF3"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30</w:t>
            </w:r>
          </w:p>
        </w:tc>
        <w:tc>
          <w:tcPr>
            <w:tcW w:w="1314" w:type="dxa"/>
          </w:tcPr>
          <w:p w14:paraId="1ABF7D08"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35</w:t>
            </w:r>
          </w:p>
        </w:tc>
        <w:tc>
          <w:tcPr>
            <w:tcW w:w="1314" w:type="dxa"/>
          </w:tcPr>
          <w:p w14:paraId="3F2C6A35"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38</w:t>
            </w:r>
          </w:p>
        </w:tc>
        <w:tc>
          <w:tcPr>
            <w:tcW w:w="1314" w:type="dxa"/>
          </w:tcPr>
          <w:p w14:paraId="25F345FA"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46</w:t>
            </w:r>
          </w:p>
        </w:tc>
        <w:tc>
          <w:tcPr>
            <w:tcW w:w="1314" w:type="dxa"/>
          </w:tcPr>
          <w:p w14:paraId="00D04FAE"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50</w:t>
            </w:r>
          </w:p>
        </w:tc>
      </w:tr>
      <w:tr w:rsidR="00321279" w:rsidRPr="00D47FAA" w14:paraId="6CFA4C51" w14:textId="77777777" w:rsidTr="009F7F8A">
        <w:trPr>
          <w:trHeight w:val="360"/>
        </w:trPr>
        <w:tc>
          <w:tcPr>
            <w:tcW w:w="1531" w:type="dxa"/>
          </w:tcPr>
          <w:p w14:paraId="199EB9CF"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eastAsia="zh-CN" w:bidi="hi-IN"/>
              </w:rPr>
              <w:t>ММ</w:t>
            </w:r>
          </w:p>
        </w:tc>
        <w:tc>
          <w:tcPr>
            <w:tcW w:w="1314" w:type="dxa"/>
          </w:tcPr>
          <w:p w14:paraId="794B06B3"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eastAsia="zh-CN" w:bidi="hi-IN"/>
              </w:rPr>
              <w:t>–</w:t>
            </w:r>
          </w:p>
        </w:tc>
        <w:tc>
          <w:tcPr>
            <w:tcW w:w="1314" w:type="dxa"/>
          </w:tcPr>
          <w:p w14:paraId="4E4CEC53"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eastAsia="zh-CN" w:bidi="hi-IN"/>
              </w:rPr>
              <w:t>–</w:t>
            </w:r>
          </w:p>
        </w:tc>
        <w:tc>
          <w:tcPr>
            <w:tcW w:w="1314" w:type="dxa"/>
          </w:tcPr>
          <w:p w14:paraId="78130A2F"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29</w:t>
            </w:r>
          </w:p>
        </w:tc>
        <w:tc>
          <w:tcPr>
            <w:tcW w:w="1314" w:type="dxa"/>
          </w:tcPr>
          <w:p w14:paraId="0D7AABB5"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35</w:t>
            </w:r>
          </w:p>
        </w:tc>
        <w:tc>
          <w:tcPr>
            <w:tcW w:w="1314" w:type="dxa"/>
          </w:tcPr>
          <w:p w14:paraId="3619F155"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40</w:t>
            </w:r>
          </w:p>
        </w:tc>
        <w:tc>
          <w:tcPr>
            <w:tcW w:w="1314" w:type="dxa"/>
          </w:tcPr>
          <w:p w14:paraId="1C4C14A9"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42</w:t>
            </w:r>
          </w:p>
        </w:tc>
        <w:tc>
          <w:tcPr>
            <w:tcW w:w="1314" w:type="dxa"/>
          </w:tcPr>
          <w:p w14:paraId="2DC15583"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52</w:t>
            </w:r>
          </w:p>
        </w:tc>
      </w:tr>
      <w:tr w:rsidR="00321279" w:rsidRPr="00D47FAA" w14:paraId="01EFB91A" w14:textId="77777777" w:rsidTr="009F7F8A">
        <w:trPr>
          <w:trHeight w:val="360"/>
        </w:trPr>
        <w:tc>
          <w:tcPr>
            <w:tcW w:w="1531" w:type="dxa"/>
          </w:tcPr>
          <w:p w14:paraId="594EB570"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eastAsia="zh-CN" w:bidi="hi-IN"/>
              </w:rPr>
              <w:t>НХЛ</w:t>
            </w:r>
          </w:p>
        </w:tc>
        <w:tc>
          <w:tcPr>
            <w:tcW w:w="1314" w:type="dxa"/>
          </w:tcPr>
          <w:p w14:paraId="3B9366D3"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15</w:t>
            </w:r>
          </w:p>
        </w:tc>
        <w:tc>
          <w:tcPr>
            <w:tcW w:w="1314" w:type="dxa"/>
          </w:tcPr>
          <w:p w14:paraId="20DC7E07"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24</w:t>
            </w:r>
          </w:p>
        </w:tc>
        <w:tc>
          <w:tcPr>
            <w:tcW w:w="1314" w:type="dxa"/>
          </w:tcPr>
          <w:p w14:paraId="45DB900F"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28</w:t>
            </w:r>
          </w:p>
        </w:tc>
        <w:tc>
          <w:tcPr>
            <w:tcW w:w="1314" w:type="dxa"/>
          </w:tcPr>
          <w:p w14:paraId="13326E29"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30</w:t>
            </w:r>
          </w:p>
        </w:tc>
        <w:tc>
          <w:tcPr>
            <w:tcW w:w="1314" w:type="dxa"/>
          </w:tcPr>
          <w:p w14:paraId="10B8E527"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34</w:t>
            </w:r>
          </w:p>
        </w:tc>
        <w:tc>
          <w:tcPr>
            <w:tcW w:w="1314" w:type="dxa"/>
          </w:tcPr>
          <w:p w14:paraId="203BBCDF"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36</w:t>
            </w:r>
          </w:p>
        </w:tc>
        <w:tc>
          <w:tcPr>
            <w:tcW w:w="1314" w:type="dxa"/>
          </w:tcPr>
          <w:p w14:paraId="2EC9773A" w14:textId="77777777" w:rsidR="00321279" w:rsidRPr="00D47FAA" w:rsidRDefault="00321279" w:rsidP="009F7F8A">
            <w:pPr>
              <w:pStyle w:val="table-text-0"/>
              <w:spacing w:before="0"/>
              <w:ind w:firstLine="0"/>
              <w:rPr>
                <w:kern w:val="2"/>
                <w:sz w:val="24"/>
                <w:szCs w:val="24"/>
                <w:lang w:eastAsia="zh-CN" w:bidi="hi-IN"/>
              </w:rPr>
            </w:pPr>
            <w:r w:rsidRPr="00D47FAA">
              <w:rPr>
                <w:kern w:val="2"/>
                <w:sz w:val="24"/>
                <w:szCs w:val="24"/>
                <w:lang w:val="x-none" w:eastAsia="zh-CN" w:bidi="hi-IN"/>
              </w:rPr>
              <w:t>38</w:t>
            </w:r>
          </w:p>
        </w:tc>
      </w:tr>
    </w:tbl>
    <w:p w14:paraId="649CC36E" w14:textId="77777777" w:rsidR="00321279" w:rsidRPr="00777124" w:rsidRDefault="00321279" w:rsidP="00321279">
      <w:pPr>
        <w:pStyle w:val="2"/>
        <w:rPr>
          <w:rFonts w:eastAsia="SimSun"/>
        </w:rPr>
      </w:pPr>
    </w:p>
    <w:p w14:paraId="6D023A83" w14:textId="06AC8B50" w:rsidR="00321279" w:rsidRPr="00DC0931" w:rsidRDefault="00321279" w:rsidP="00321279">
      <w:pPr>
        <w:pStyle w:val="2"/>
        <w:spacing w:before="0"/>
      </w:pPr>
      <w:bookmarkStart w:id="238" w:name="_Toc66096880"/>
      <w:bookmarkStart w:id="239" w:name="_Toc67522274"/>
      <w:r w:rsidRPr="000322E4">
        <w:t>Приложение Г</w:t>
      </w:r>
      <w:r>
        <w:t xml:space="preserve">3. </w:t>
      </w:r>
      <w:bookmarkStart w:id="240" w:name="_Toc44401121"/>
      <w:r w:rsidRPr="00C04462">
        <w:rPr>
          <w:rFonts w:eastAsia="SimSun"/>
        </w:rPr>
        <w:t>Расчет трансплантационного риска по шкале HCT-CI</w:t>
      </w:r>
      <w:bookmarkEnd w:id="238"/>
      <w:bookmarkEnd w:id="239"/>
      <w:bookmarkEnd w:id="240"/>
    </w:p>
    <w:p w14:paraId="098BA57C" w14:textId="75D1D389" w:rsidR="00321279" w:rsidRPr="00A74B56" w:rsidRDefault="00321279" w:rsidP="00321279">
      <w:pPr>
        <w:ind w:firstLine="709"/>
        <w:rPr>
          <w:rFonts w:eastAsia="SimSun"/>
        </w:rPr>
      </w:pPr>
      <w:r w:rsidRPr="00A74B56">
        <w:rPr>
          <w:rFonts w:eastAsia="SimSun"/>
        </w:rPr>
        <w:t xml:space="preserve">Оценка трансплантационного риска проводится при первичном рассмотрении пациента в качестве кандидата на проведение алло-ТГСК и повторно не более чем за 10 дней до начала предтрансплантационного кондиционирования </w:t>
      </w:r>
      <w:r w:rsidRPr="00A74B56">
        <w:rPr>
          <w:rFonts w:eastAsia="SimSun"/>
        </w:rPr>
        <w:fldChar w:fldCharType="begin" w:fldLock="1"/>
      </w:r>
      <w:r w:rsidR="008139EA">
        <w:rPr>
          <w:rFonts w:eastAsia="SimSun"/>
        </w:rPr>
        <w:instrText>ADDIN CSL_CITATION {"citationItems":[{"id":"ITEM-1","itemData":{"DOI":"10.1182/blood-2005-05-2004","ISSN":"0006-4971","PMID":"15994282","abstract":"We previously reported that the Charlson Comorbidity Index (CCI) was useful for predicting outcomes in patients undergoing allogeneic hematopoietic cell transplantation (HCT). However, the sample size of patients with scores of 1 or more, captured by the CCI, did not exceed 35%. Further, some comorbidities were rarely found among patients who underwent HCT. Therefore, the current study was designed to (1) better define previously identified comorbidities using pretransplant laboratory data, (2) investigate additional HCT-related comorbidities, and (3) establish comorbidity scores that were suited for HCT. Data were collected from 1055 patients, and then randomly divided into training and validation sets. Weights were assigned to individual comorbidities according to their prognostic significance in Cox proportional hazard models. The new index was then validated. The new index proved to be more sensitive than the CCI since it captured 62% of patients with scores more than 0 compared with 12%, respectively. Further, the new index showed better survival prediction than the CCI (likelihood ratio of 23.7 versus 7.1 and c statistics of 0.661 versus 0.561, respectively, P &lt; .001). In conclusion, the new simple index provided valid and reliable scoring of pretransplant comorbidities that predicted nonrelapse mortality and survival. This index will be useful for clinical trials and patient counseling before HCT.","author":[{"dropping-particle":"","family":"Sorror","given":"Mohamed L","non-dropping-particle":"","parse-names":false,"suffix":""},{"dropping-particle":"","family":"Maris","given":"Michael B","non-dropping-particle":"","parse-names":false,"suffix":""},{"dropping-particle":"","family":"Storb","given":"Rainer","non-dropping-particle":"","parse-names":false,"suffix":""},{"dropping-particle":"","family":"Baron","given":"Frederic","non-dropping-particle":"","parse-names":false,"suffix":""},{"dropping-particle":"","family":"Sandmaier","given":"Brenda M","non-dropping-particle":"","parse-names":false,"suffix":""},{"dropping-particle":"","family":"Maloney","given":"David G","non-dropping-particle":"","parse-names":false,"suffix":""},{"dropping-particle":"","family":"Storer","given":"Barry","non-dropping-particle":"","parse-names":false,"suffix":""}],"container-title":"Blood","id":"ITEM-1","issue":"8","issued":{"date-parts":[["2005","10","15"]]},"page":"2912-9","publisher":"The American Society of Hematology","title":"Hematopoietic cell transplantation (HCT)-specific comorbidity index: a new tool for risk assessment before allogeneic HCT.","type":"article-journal","volume":"106"},"uris":["http://www.mendeley.com/documents/?uuid=93f8ea95-5d4b-450a-a6fa-9a8772dd6e52"]},{"id":"ITEM-2","itemData":{"DOI":"10.1016/j.bbmt.2015.04.004","ISSN":"15236536","PMID":"25862591","abstract":"Prospective validation of the hematopoietic cell transplantation-comorbidity index (HCT-CI) using contemporary patients treated with hematopoietic cell transplantation (HCT) across the Unites States is necessary to confirm its widespread applicability. We performed a prospective observational study including all patients (8115 recipients of allogeneic and 11,652 recipients of autologous HCT) who underwent a first HCT that was reported to the Center for International Blood and Marrow Transplant Research between 2007 and 2009. In proportional hazards models, increased HCT-CI scores were independent</w:instrText>
      </w:r>
      <w:r w:rsidR="008139EA">
        <w:rPr>
          <w:rFonts w:eastAsia="SimSun" w:hint="eastAsia"/>
        </w:rPr>
        <w:instrText xml:space="preserve">ly associated with increases in hazard ratios for nonrelapse mortality (NRM) (P &lt;.0001) and overall mortality (P &lt;.0001) among recipients of allogeneic HCT. HCT-CI scores of </w:instrText>
      </w:r>
      <w:r w:rsidR="008139EA">
        <w:rPr>
          <w:rFonts w:eastAsia="SimSun" w:hint="eastAsia"/>
        </w:rPr>
        <w:instrText>≥</w:instrText>
      </w:r>
      <w:r w:rsidR="008139EA">
        <w:rPr>
          <w:rFonts w:eastAsia="SimSun" w:hint="eastAsia"/>
        </w:rPr>
        <w:instrText>3 were uniformly associated with higher risks for outcomes in both allogeneic an</w:instrText>
      </w:r>
      <w:r w:rsidR="008139EA">
        <w:rPr>
          <w:rFonts w:eastAsia="SimSun"/>
        </w:rPr>
        <w:instrText>d autologous HCT and in all subgroups, regardless of diagnoses, age, and conditioning intensity. Recipients of allogeneic HCT with scores of 1 and 2 who were ages &lt; 18 years or were treated with lower intensity conditioning regimens had similar outcomes compared with those with a score of 0. Higher risks for overall mortality, but not for NRM, were observed among recipients of autologous HCT with scores of 1 and 2 versus 0. Our results confirm the validity the HCT-CI in both allogeneic and autologous HCT. The index should be used as a valid standard-of-care health measure in counseling patients for HCT, in clinical trial design, and in adjusting outcome analyses.","author":[{"dropping-particle":"","family":"Sorror","given":"Mohamed L.","non-dropping-particle":"","parse-names":false,"suffix":""},{"dropping-particle":"","family":"Logan","given":"Brent R.","non-dropping-particle":"","parse-names":false,"suffix":""},{"dropping-particle":"","family":"Zhu","given":"Xiaochun","non-dropping-particle":"","parse-names":false,"suffix":""},{"dropping-particle":"","family":"Rizzo","given":"J. Douglas","non-dropping-particle":"","parse-names":false,"suffix":""},{"dropping-particle":"","family":"Cooke","given":"Kenneth R.","non-dropping-particle":"","parse-names":false,"suffix":""},{"dropping-particle":"","family":"McCarthy","given":"Philip L.","non-dropping-particle":"","parse-names":false,"suffix":""},{"dropping-particle":"","family":"Ho","given":"Vincent T.","non-dropping-particle":"","parse-names":false,"suffix":""},{"dropping-particle":"","family":"Horowitz","given":"Mary M.","non-dropping-particle":"","parse-names":false,"suffix":""},{"dropping-particle":"","family":"Pasquini","given":"Marcelo C.","non-dropping-particle":"","parse-names":false,"suffix":""}],"container-title":"Biology of Blood and Marrow Transplantation","id":"ITEM-2","issue":"8","issued":{"date-parts":[["2015","8","1"]]},"page":"1479-1487","publisher":"Elsevier Inc.","title":"Prospective Validation of the Predictive Power of the Hematopoietic Cell Transplantation Comorbidity Index: A Center for International Blood and Marrow Transplant Research Study","type":"article-journal","volume":"21"},"uris":["http://www.mendeley.com/documents/?uuid=1496af32-057f-32b7-b663-4fa3a7769799"]}],"mendeley":{"formattedCitation":"[159,160]","plainTextFormattedCitation":"[159,160]","previouslyFormattedCitation":"[157,158]"},"properties":{"noteIndex":0},"schema":"https://github.com/citation-style-language/schema/raw/master/csl-citation.json"}</w:instrText>
      </w:r>
      <w:r w:rsidRPr="00A74B56">
        <w:rPr>
          <w:rFonts w:eastAsia="SimSun"/>
        </w:rPr>
        <w:fldChar w:fldCharType="separate"/>
      </w:r>
      <w:r w:rsidR="008139EA" w:rsidRPr="008139EA">
        <w:rPr>
          <w:rFonts w:eastAsia="SimSun"/>
          <w:noProof/>
        </w:rPr>
        <w:t>[159,160]</w:t>
      </w:r>
      <w:r w:rsidRPr="00A74B56">
        <w:rPr>
          <w:rFonts w:eastAsia="SimSun"/>
        </w:rPr>
        <w:fldChar w:fldCharType="end"/>
      </w:r>
      <w:r w:rsidRPr="00A74B56">
        <w:rPr>
          <w:rFonts w:eastAsia="SimSun"/>
        </w:rPr>
        <w:t>.</w:t>
      </w:r>
    </w:p>
    <w:p w14:paraId="4D583D1E" w14:textId="77777777" w:rsidR="00321279" w:rsidRPr="00A74B56" w:rsidRDefault="00321279" w:rsidP="00321279">
      <w:pPr>
        <w:ind w:firstLine="709"/>
        <w:rPr>
          <w:rFonts w:eastAsia="SimSun"/>
        </w:rPr>
      </w:pPr>
    </w:p>
    <w:tbl>
      <w:tblPr>
        <w:tblW w:w="1009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0"/>
        <w:gridCol w:w="1195"/>
      </w:tblGrid>
      <w:tr w:rsidR="00321279" w:rsidRPr="00DC0931" w14:paraId="159814F4" w14:textId="77777777" w:rsidTr="009F7F8A">
        <w:tc>
          <w:tcPr>
            <w:tcW w:w="8900" w:type="dxa"/>
            <w:vAlign w:val="center"/>
          </w:tcPr>
          <w:p w14:paraId="4D2D9525" w14:textId="77777777" w:rsidR="00321279" w:rsidRPr="00DC0931" w:rsidRDefault="00321279" w:rsidP="009F7F8A">
            <w:pPr>
              <w:pStyle w:val="table-name"/>
              <w:spacing w:before="0" w:line="360" w:lineRule="auto"/>
              <w:ind w:firstLine="0"/>
              <w:rPr>
                <w:rFonts w:eastAsia="SimSun"/>
                <w:sz w:val="24"/>
                <w:szCs w:val="24"/>
              </w:rPr>
            </w:pPr>
            <w:r w:rsidRPr="00DC0931">
              <w:rPr>
                <w:rFonts w:eastAsia="SimSun"/>
                <w:sz w:val="24"/>
                <w:szCs w:val="24"/>
              </w:rPr>
              <w:t>Статус</w:t>
            </w:r>
          </w:p>
        </w:tc>
        <w:tc>
          <w:tcPr>
            <w:tcW w:w="1195" w:type="dxa"/>
            <w:vAlign w:val="center"/>
          </w:tcPr>
          <w:p w14:paraId="68BF7FD6" w14:textId="77777777" w:rsidR="00321279" w:rsidRPr="00DC0931" w:rsidRDefault="00321279" w:rsidP="009F7F8A">
            <w:pPr>
              <w:pStyle w:val="table-name"/>
              <w:spacing w:before="0" w:line="360" w:lineRule="auto"/>
              <w:ind w:firstLine="0"/>
              <w:rPr>
                <w:rFonts w:eastAsia="SimSun"/>
                <w:sz w:val="24"/>
                <w:szCs w:val="24"/>
              </w:rPr>
            </w:pPr>
            <w:r w:rsidRPr="00DC0931">
              <w:rPr>
                <w:rFonts w:eastAsia="SimSun"/>
                <w:sz w:val="24"/>
                <w:szCs w:val="24"/>
              </w:rPr>
              <w:t>Баллы</w:t>
            </w:r>
          </w:p>
        </w:tc>
      </w:tr>
      <w:tr w:rsidR="00321279" w:rsidRPr="00DC0931" w14:paraId="26AF8DBF" w14:textId="77777777" w:rsidTr="009F7F8A">
        <w:tc>
          <w:tcPr>
            <w:tcW w:w="8900" w:type="dxa"/>
            <w:vAlign w:val="center"/>
          </w:tcPr>
          <w:p w14:paraId="066890D0" w14:textId="77777777" w:rsidR="00321279" w:rsidRPr="00DC0931" w:rsidRDefault="00321279" w:rsidP="009F7F8A">
            <w:pPr>
              <w:pStyle w:val="table-head-left"/>
              <w:spacing w:before="0" w:after="0"/>
              <w:ind w:firstLine="0"/>
              <w:rPr>
                <w:rFonts w:eastAsia="SimSun"/>
                <w:sz w:val="24"/>
                <w:szCs w:val="24"/>
              </w:rPr>
            </w:pPr>
            <w:r w:rsidRPr="00DC0931">
              <w:rPr>
                <w:rFonts w:eastAsia="SimSun"/>
                <w:sz w:val="24"/>
                <w:szCs w:val="24"/>
              </w:rPr>
              <w:t>Дыхательная система</w:t>
            </w:r>
          </w:p>
        </w:tc>
        <w:tc>
          <w:tcPr>
            <w:tcW w:w="1195" w:type="dxa"/>
            <w:vAlign w:val="center"/>
          </w:tcPr>
          <w:p w14:paraId="74882991" w14:textId="77777777" w:rsidR="00321279" w:rsidRPr="00DC0931" w:rsidRDefault="00321279" w:rsidP="009F7F8A">
            <w:pPr>
              <w:pStyle w:val="table-head-left"/>
              <w:spacing w:before="0" w:after="0"/>
              <w:ind w:firstLine="0"/>
              <w:rPr>
                <w:rFonts w:eastAsia="SimSun"/>
                <w:sz w:val="24"/>
                <w:szCs w:val="24"/>
              </w:rPr>
            </w:pPr>
          </w:p>
        </w:tc>
      </w:tr>
      <w:tr w:rsidR="00321279" w:rsidRPr="00DC0931" w14:paraId="6F18BBD0" w14:textId="77777777" w:rsidTr="009F7F8A">
        <w:tc>
          <w:tcPr>
            <w:tcW w:w="8900" w:type="dxa"/>
            <w:vAlign w:val="center"/>
          </w:tcPr>
          <w:p w14:paraId="37DDABC8" w14:textId="77777777" w:rsidR="00321279" w:rsidRPr="00DC0931" w:rsidRDefault="00321279" w:rsidP="009F7F8A">
            <w:pPr>
              <w:pStyle w:val="table-text-0"/>
              <w:spacing w:before="0" w:line="360" w:lineRule="auto"/>
              <w:ind w:firstLine="0"/>
              <w:rPr>
                <w:rFonts w:eastAsia="SimSun"/>
                <w:sz w:val="24"/>
                <w:szCs w:val="24"/>
                <w:lang w:val="ru-RU"/>
              </w:rPr>
            </w:pPr>
            <w:r w:rsidRPr="00DC0931">
              <w:rPr>
                <w:sz w:val="24"/>
                <w:szCs w:val="24"/>
                <w:lang w:val="ru-RU"/>
              </w:rPr>
              <w:t>ОФВ1 66–80% или одышка при небольшой физической нагрузке</w:t>
            </w:r>
          </w:p>
        </w:tc>
        <w:tc>
          <w:tcPr>
            <w:tcW w:w="1195" w:type="dxa"/>
            <w:vAlign w:val="center"/>
          </w:tcPr>
          <w:p w14:paraId="4E13F7DD"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2</w:t>
            </w:r>
          </w:p>
        </w:tc>
      </w:tr>
      <w:tr w:rsidR="00321279" w:rsidRPr="00DC0931" w14:paraId="6F93D27C" w14:textId="77777777" w:rsidTr="009F7F8A">
        <w:tc>
          <w:tcPr>
            <w:tcW w:w="8900" w:type="dxa"/>
            <w:vAlign w:val="center"/>
          </w:tcPr>
          <w:p w14:paraId="22EA154C" w14:textId="77777777" w:rsidR="00321279" w:rsidRPr="00DC0931" w:rsidRDefault="00321279" w:rsidP="009F7F8A">
            <w:pPr>
              <w:pStyle w:val="table-text-0"/>
              <w:spacing w:before="0" w:line="360" w:lineRule="auto"/>
              <w:ind w:firstLine="0"/>
              <w:rPr>
                <w:sz w:val="24"/>
                <w:szCs w:val="24"/>
                <w:lang w:val="ru-RU"/>
              </w:rPr>
            </w:pPr>
            <w:r w:rsidRPr="00DC0931">
              <w:rPr>
                <w:sz w:val="24"/>
                <w:szCs w:val="24"/>
                <w:lang w:val="ru-RU"/>
              </w:rPr>
              <w:t xml:space="preserve">ОФВ1 </w:t>
            </w:r>
            <w:r w:rsidRPr="00DC0931">
              <w:rPr>
                <w:rFonts w:eastAsia="SimSun"/>
                <w:sz w:val="24"/>
                <w:szCs w:val="24"/>
                <w:lang w:val="ru-RU"/>
              </w:rPr>
              <w:t>≤</w:t>
            </w:r>
            <w:r w:rsidRPr="00DC0931">
              <w:rPr>
                <w:sz w:val="24"/>
                <w:szCs w:val="24"/>
                <w:lang w:val="ru-RU"/>
              </w:rPr>
              <w:t xml:space="preserve"> 65% или одышка в покое или потребность в кислородной поддержке</w:t>
            </w:r>
          </w:p>
        </w:tc>
        <w:tc>
          <w:tcPr>
            <w:tcW w:w="1195" w:type="dxa"/>
            <w:vAlign w:val="center"/>
          </w:tcPr>
          <w:p w14:paraId="093FCC78"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3</w:t>
            </w:r>
          </w:p>
        </w:tc>
      </w:tr>
      <w:tr w:rsidR="00321279" w:rsidRPr="00DC0931" w14:paraId="791226E5" w14:textId="77777777" w:rsidTr="009F7F8A">
        <w:tc>
          <w:tcPr>
            <w:tcW w:w="8900" w:type="dxa"/>
            <w:vAlign w:val="center"/>
          </w:tcPr>
          <w:p w14:paraId="14FED669" w14:textId="77777777" w:rsidR="00321279" w:rsidRPr="00DC0931" w:rsidRDefault="00321279" w:rsidP="009F7F8A">
            <w:pPr>
              <w:pStyle w:val="table-head-left"/>
              <w:spacing w:before="0" w:after="0"/>
              <w:ind w:firstLine="0"/>
              <w:rPr>
                <w:rFonts w:eastAsia="SimSun"/>
                <w:sz w:val="24"/>
                <w:szCs w:val="24"/>
              </w:rPr>
            </w:pPr>
            <w:r w:rsidRPr="00DC0931">
              <w:rPr>
                <w:rFonts w:eastAsia="SimSun"/>
                <w:sz w:val="24"/>
                <w:szCs w:val="24"/>
              </w:rPr>
              <w:t>Сердечно-сосудистая система</w:t>
            </w:r>
          </w:p>
        </w:tc>
        <w:tc>
          <w:tcPr>
            <w:tcW w:w="1195" w:type="dxa"/>
            <w:vAlign w:val="center"/>
          </w:tcPr>
          <w:p w14:paraId="0F743B43" w14:textId="77777777" w:rsidR="00321279" w:rsidRPr="00DC0931" w:rsidRDefault="00321279" w:rsidP="009F7F8A">
            <w:pPr>
              <w:tabs>
                <w:tab w:val="left" w:pos="567"/>
              </w:tabs>
              <w:jc w:val="center"/>
              <w:rPr>
                <w:rFonts w:eastAsia="SimSun"/>
              </w:rPr>
            </w:pPr>
          </w:p>
        </w:tc>
      </w:tr>
      <w:tr w:rsidR="00321279" w:rsidRPr="00DC0931" w14:paraId="1E448389" w14:textId="77777777" w:rsidTr="009F7F8A">
        <w:tc>
          <w:tcPr>
            <w:tcW w:w="8900" w:type="dxa"/>
            <w:vAlign w:val="center"/>
          </w:tcPr>
          <w:p w14:paraId="486B09D0" w14:textId="77777777" w:rsidR="00321279" w:rsidRPr="00DC0931" w:rsidRDefault="00321279" w:rsidP="009F7F8A">
            <w:pPr>
              <w:pStyle w:val="table-text-0"/>
              <w:spacing w:before="0" w:line="360" w:lineRule="auto"/>
              <w:ind w:firstLine="0"/>
              <w:rPr>
                <w:rFonts w:eastAsia="SimSun"/>
                <w:sz w:val="24"/>
                <w:szCs w:val="24"/>
                <w:lang w:val="ru-RU"/>
              </w:rPr>
            </w:pPr>
            <w:r w:rsidRPr="00DC0931">
              <w:rPr>
                <w:sz w:val="24"/>
                <w:szCs w:val="24"/>
                <w:lang w:val="ru-RU"/>
              </w:rPr>
              <w:t>Мерцательная аритмия или трепетание предсердий, синдром слабости синусового узла или желудочковые аритмии</w:t>
            </w:r>
          </w:p>
        </w:tc>
        <w:tc>
          <w:tcPr>
            <w:tcW w:w="1195" w:type="dxa"/>
            <w:vAlign w:val="center"/>
          </w:tcPr>
          <w:p w14:paraId="4D645CAF"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1</w:t>
            </w:r>
          </w:p>
        </w:tc>
      </w:tr>
      <w:tr w:rsidR="00321279" w:rsidRPr="00DC0931" w14:paraId="22D1C3D3" w14:textId="77777777" w:rsidTr="009F7F8A">
        <w:tc>
          <w:tcPr>
            <w:tcW w:w="8900" w:type="dxa"/>
            <w:vAlign w:val="center"/>
          </w:tcPr>
          <w:p w14:paraId="4576F011" w14:textId="77777777" w:rsidR="00321279" w:rsidRPr="00DC0931" w:rsidRDefault="00321279" w:rsidP="009F7F8A">
            <w:pPr>
              <w:pStyle w:val="table-text-0"/>
              <w:spacing w:before="0" w:line="360" w:lineRule="auto"/>
              <w:ind w:firstLine="0"/>
              <w:rPr>
                <w:rFonts w:eastAsia="SimSun"/>
                <w:sz w:val="24"/>
                <w:szCs w:val="24"/>
                <w:lang w:val="ru-RU"/>
              </w:rPr>
            </w:pPr>
            <w:r w:rsidRPr="00DC0931">
              <w:rPr>
                <w:sz w:val="24"/>
                <w:szCs w:val="24"/>
                <w:lang w:val="ru-RU"/>
              </w:rPr>
              <w:t>Ишемическая болезнь сердца, застойная сердечная недостаточность, инфаркт миокарда или фракция выброса менее 50%</w:t>
            </w:r>
          </w:p>
        </w:tc>
        <w:tc>
          <w:tcPr>
            <w:tcW w:w="1195" w:type="dxa"/>
            <w:vAlign w:val="center"/>
          </w:tcPr>
          <w:p w14:paraId="7EE49915"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1</w:t>
            </w:r>
          </w:p>
        </w:tc>
      </w:tr>
      <w:tr w:rsidR="00321279" w:rsidRPr="00DC0931" w14:paraId="51D74BFB" w14:textId="77777777" w:rsidTr="009F7F8A">
        <w:tc>
          <w:tcPr>
            <w:tcW w:w="8900" w:type="dxa"/>
            <w:vAlign w:val="center"/>
          </w:tcPr>
          <w:p w14:paraId="64523F9B" w14:textId="77777777" w:rsidR="00321279" w:rsidRPr="00DC0931" w:rsidRDefault="00321279" w:rsidP="009F7F8A">
            <w:pPr>
              <w:pStyle w:val="table-text-0"/>
              <w:spacing w:before="0" w:line="360" w:lineRule="auto"/>
              <w:ind w:firstLine="0"/>
              <w:rPr>
                <w:rFonts w:eastAsia="SimSun"/>
                <w:sz w:val="24"/>
                <w:szCs w:val="24"/>
                <w:lang w:val="ru-RU"/>
              </w:rPr>
            </w:pPr>
            <w:r w:rsidRPr="00DC0931">
              <w:rPr>
                <w:sz w:val="24"/>
                <w:szCs w:val="24"/>
                <w:lang w:val="ru-RU"/>
              </w:rPr>
              <w:t>Пороки сердца за исключением пролапса митрального клапана</w:t>
            </w:r>
          </w:p>
        </w:tc>
        <w:tc>
          <w:tcPr>
            <w:tcW w:w="1195" w:type="dxa"/>
            <w:vAlign w:val="center"/>
          </w:tcPr>
          <w:p w14:paraId="425F01DD"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1</w:t>
            </w:r>
          </w:p>
        </w:tc>
      </w:tr>
      <w:tr w:rsidR="00321279" w:rsidRPr="00DC0931" w14:paraId="40E4AC7D" w14:textId="77777777" w:rsidTr="009F7F8A">
        <w:tc>
          <w:tcPr>
            <w:tcW w:w="8900" w:type="dxa"/>
            <w:vAlign w:val="center"/>
          </w:tcPr>
          <w:p w14:paraId="4B8ACE13" w14:textId="77777777" w:rsidR="00321279" w:rsidRPr="00DC0931" w:rsidRDefault="00321279" w:rsidP="009F7F8A">
            <w:pPr>
              <w:pStyle w:val="table-head-left"/>
              <w:spacing w:before="0" w:after="0"/>
              <w:ind w:firstLine="0"/>
              <w:rPr>
                <w:rFonts w:eastAsia="SimSun"/>
                <w:sz w:val="24"/>
                <w:szCs w:val="24"/>
              </w:rPr>
            </w:pPr>
            <w:r w:rsidRPr="00DC0931">
              <w:rPr>
                <w:rFonts w:eastAsia="SimSun"/>
                <w:sz w:val="24"/>
                <w:szCs w:val="24"/>
              </w:rPr>
              <w:t>ЖКТ</w:t>
            </w:r>
          </w:p>
        </w:tc>
        <w:tc>
          <w:tcPr>
            <w:tcW w:w="1195" w:type="dxa"/>
            <w:vAlign w:val="center"/>
          </w:tcPr>
          <w:p w14:paraId="27108C57" w14:textId="77777777" w:rsidR="00321279" w:rsidRPr="00DC0931" w:rsidRDefault="00321279" w:rsidP="009F7F8A">
            <w:pPr>
              <w:pStyle w:val="table-head-left"/>
              <w:spacing w:before="0" w:after="0"/>
              <w:ind w:firstLine="0"/>
              <w:rPr>
                <w:rFonts w:eastAsia="SimSun"/>
                <w:sz w:val="24"/>
                <w:szCs w:val="24"/>
              </w:rPr>
            </w:pPr>
          </w:p>
        </w:tc>
      </w:tr>
      <w:tr w:rsidR="00321279" w:rsidRPr="00DC0931" w14:paraId="30C0C587" w14:textId="77777777" w:rsidTr="009F7F8A">
        <w:tc>
          <w:tcPr>
            <w:tcW w:w="8900" w:type="dxa"/>
            <w:vAlign w:val="center"/>
          </w:tcPr>
          <w:p w14:paraId="1FBA0ACF" w14:textId="77777777" w:rsidR="00321279" w:rsidRPr="00DC0931" w:rsidRDefault="00321279" w:rsidP="009F7F8A">
            <w:pPr>
              <w:pStyle w:val="table-text-0"/>
              <w:spacing w:before="0" w:line="360" w:lineRule="auto"/>
              <w:ind w:firstLine="0"/>
              <w:rPr>
                <w:rFonts w:eastAsia="SimSun"/>
                <w:sz w:val="24"/>
                <w:szCs w:val="24"/>
                <w:lang w:val="ru-RU"/>
              </w:rPr>
            </w:pPr>
            <w:r w:rsidRPr="00DC0931">
              <w:rPr>
                <w:sz w:val="24"/>
                <w:szCs w:val="24"/>
                <w:lang w:val="ru-RU"/>
              </w:rPr>
              <w:t>Хронический гепатит, билирубин до 1,5 норм или АЛТ либо АСТ до 2,5 норм</w:t>
            </w:r>
          </w:p>
        </w:tc>
        <w:tc>
          <w:tcPr>
            <w:tcW w:w="1195" w:type="dxa"/>
            <w:vAlign w:val="center"/>
          </w:tcPr>
          <w:p w14:paraId="3F3D610B"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1</w:t>
            </w:r>
          </w:p>
        </w:tc>
      </w:tr>
      <w:tr w:rsidR="00321279" w:rsidRPr="00DC0931" w14:paraId="086E7361" w14:textId="77777777" w:rsidTr="009F7F8A">
        <w:tc>
          <w:tcPr>
            <w:tcW w:w="8900" w:type="dxa"/>
            <w:vAlign w:val="center"/>
          </w:tcPr>
          <w:p w14:paraId="6E66A069" w14:textId="77777777" w:rsidR="00321279" w:rsidRPr="00DC0931" w:rsidRDefault="00321279" w:rsidP="009F7F8A">
            <w:pPr>
              <w:pStyle w:val="table-text-0"/>
              <w:spacing w:before="0" w:line="360" w:lineRule="auto"/>
              <w:ind w:firstLine="0"/>
              <w:rPr>
                <w:rFonts w:eastAsia="SimSun"/>
                <w:sz w:val="24"/>
                <w:szCs w:val="24"/>
                <w:lang w:val="ru-RU"/>
              </w:rPr>
            </w:pPr>
            <w:r w:rsidRPr="00DC0931">
              <w:rPr>
                <w:sz w:val="24"/>
                <w:szCs w:val="24"/>
                <w:lang w:val="ru-RU"/>
              </w:rPr>
              <w:t>Цирроз, билирубин более 1,5 норм или АЛТ либо АСТ более 2,5 норм</w:t>
            </w:r>
          </w:p>
        </w:tc>
        <w:tc>
          <w:tcPr>
            <w:tcW w:w="1195" w:type="dxa"/>
            <w:vAlign w:val="center"/>
          </w:tcPr>
          <w:p w14:paraId="7224CA36"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3</w:t>
            </w:r>
          </w:p>
        </w:tc>
      </w:tr>
      <w:tr w:rsidR="00321279" w:rsidRPr="00DC0931" w14:paraId="623B2527" w14:textId="77777777" w:rsidTr="009F7F8A">
        <w:tc>
          <w:tcPr>
            <w:tcW w:w="8900" w:type="dxa"/>
            <w:vAlign w:val="center"/>
          </w:tcPr>
          <w:p w14:paraId="104D0A29" w14:textId="77777777" w:rsidR="00321279" w:rsidRPr="00DC0931" w:rsidRDefault="00321279" w:rsidP="009F7F8A">
            <w:pPr>
              <w:pStyle w:val="table-text-0"/>
              <w:spacing w:before="0" w:line="360" w:lineRule="auto"/>
              <w:ind w:firstLine="0"/>
              <w:rPr>
                <w:sz w:val="24"/>
                <w:szCs w:val="24"/>
                <w:lang w:val="ru-RU"/>
              </w:rPr>
            </w:pPr>
            <w:r w:rsidRPr="00DC0931">
              <w:rPr>
                <w:sz w:val="24"/>
                <w:szCs w:val="24"/>
                <w:lang w:val="ru-RU"/>
              </w:rPr>
              <w:t>Болезнь Крона или язвенный колит</w:t>
            </w:r>
          </w:p>
        </w:tc>
        <w:tc>
          <w:tcPr>
            <w:tcW w:w="1195" w:type="dxa"/>
            <w:vAlign w:val="center"/>
          </w:tcPr>
          <w:p w14:paraId="768B8A07"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1</w:t>
            </w:r>
          </w:p>
        </w:tc>
      </w:tr>
      <w:tr w:rsidR="00321279" w:rsidRPr="00DC0931" w14:paraId="4165AD44" w14:textId="77777777" w:rsidTr="009F7F8A">
        <w:tc>
          <w:tcPr>
            <w:tcW w:w="8900" w:type="dxa"/>
          </w:tcPr>
          <w:p w14:paraId="120D37B1" w14:textId="77777777" w:rsidR="00321279" w:rsidRPr="00DC0931" w:rsidRDefault="00321279" w:rsidP="009F7F8A">
            <w:pPr>
              <w:pStyle w:val="table-text-0"/>
              <w:spacing w:before="0" w:line="360" w:lineRule="auto"/>
              <w:ind w:firstLine="0"/>
              <w:rPr>
                <w:sz w:val="24"/>
                <w:szCs w:val="24"/>
              </w:rPr>
            </w:pPr>
            <w:r w:rsidRPr="00DC0931">
              <w:rPr>
                <w:sz w:val="24"/>
                <w:szCs w:val="24"/>
              </w:rPr>
              <w:t>Язвенная болезнь, требующая лечения</w:t>
            </w:r>
          </w:p>
        </w:tc>
        <w:tc>
          <w:tcPr>
            <w:tcW w:w="1195" w:type="dxa"/>
          </w:tcPr>
          <w:p w14:paraId="201E31B5"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2</w:t>
            </w:r>
          </w:p>
        </w:tc>
      </w:tr>
      <w:tr w:rsidR="00321279" w:rsidRPr="00DC0931" w14:paraId="14D6F81D" w14:textId="77777777" w:rsidTr="009F7F8A">
        <w:tc>
          <w:tcPr>
            <w:tcW w:w="8900" w:type="dxa"/>
          </w:tcPr>
          <w:p w14:paraId="74B4F29A" w14:textId="77777777" w:rsidR="00321279" w:rsidRPr="00DC0931" w:rsidRDefault="00321279" w:rsidP="009F7F8A">
            <w:pPr>
              <w:pStyle w:val="table-head-left"/>
              <w:spacing w:before="0" w:after="0"/>
              <w:ind w:firstLine="0"/>
              <w:rPr>
                <w:sz w:val="24"/>
                <w:szCs w:val="24"/>
              </w:rPr>
            </w:pPr>
            <w:r w:rsidRPr="00DC0931">
              <w:rPr>
                <w:sz w:val="24"/>
                <w:szCs w:val="24"/>
              </w:rPr>
              <w:t>Нарушение обмена</w:t>
            </w:r>
          </w:p>
        </w:tc>
        <w:tc>
          <w:tcPr>
            <w:tcW w:w="1195" w:type="dxa"/>
          </w:tcPr>
          <w:p w14:paraId="5CCBE32C" w14:textId="77777777" w:rsidR="00321279" w:rsidRPr="00DC0931" w:rsidRDefault="00321279" w:rsidP="009F7F8A">
            <w:pPr>
              <w:pStyle w:val="table-head-left"/>
              <w:spacing w:before="0" w:after="0"/>
              <w:ind w:firstLine="0"/>
              <w:rPr>
                <w:rFonts w:eastAsia="SimSun"/>
                <w:sz w:val="24"/>
                <w:szCs w:val="24"/>
              </w:rPr>
            </w:pPr>
          </w:p>
        </w:tc>
      </w:tr>
      <w:tr w:rsidR="00321279" w:rsidRPr="00DC0931" w14:paraId="0EFD8917" w14:textId="77777777" w:rsidTr="009F7F8A">
        <w:tc>
          <w:tcPr>
            <w:tcW w:w="8900" w:type="dxa"/>
          </w:tcPr>
          <w:p w14:paraId="15F91DF2" w14:textId="77777777" w:rsidR="00321279" w:rsidRPr="00DC0931" w:rsidRDefault="00321279" w:rsidP="009F7F8A">
            <w:pPr>
              <w:pStyle w:val="table-text-0"/>
              <w:spacing w:before="0" w:line="360" w:lineRule="auto"/>
              <w:ind w:firstLine="0"/>
              <w:rPr>
                <w:sz w:val="24"/>
                <w:szCs w:val="24"/>
              </w:rPr>
            </w:pPr>
            <w:r w:rsidRPr="00DC0931">
              <w:rPr>
                <w:sz w:val="24"/>
                <w:szCs w:val="24"/>
              </w:rPr>
              <w:t>Сахарный диабет, требующий лечения</w:t>
            </w:r>
          </w:p>
        </w:tc>
        <w:tc>
          <w:tcPr>
            <w:tcW w:w="1195" w:type="dxa"/>
          </w:tcPr>
          <w:p w14:paraId="10FE833E"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1</w:t>
            </w:r>
          </w:p>
        </w:tc>
      </w:tr>
      <w:tr w:rsidR="00321279" w:rsidRPr="00DC0931" w14:paraId="0023545D" w14:textId="77777777" w:rsidTr="009F7F8A">
        <w:tc>
          <w:tcPr>
            <w:tcW w:w="8900" w:type="dxa"/>
          </w:tcPr>
          <w:p w14:paraId="2F80E73C" w14:textId="77777777" w:rsidR="00321279" w:rsidRPr="00DC0931" w:rsidRDefault="00321279" w:rsidP="009F7F8A">
            <w:pPr>
              <w:pStyle w:val="table-text-0"/>
              <w:spacing w:before="0" w:line="360" w:lineRule="auto"/>
              <w:ind w:firstLine="0"/>
              <w:rPr>
                <w:sz w:val="24"/>
                <w:szCs w:val="24"/>
                <w:lang w:val="ru-RU"/>
              </w:rPr>
            </w:pPr>
            <w:r w:rsidRPr="00DC0931">
              <w:rPr>
                <w:sz w:val="24"/>
                <w:szCs w:val="24"/>
                <w:lang w:val="ru-RU"/>
              </w:rPr>
              <w:t>Индекс массы тела &gt; 35 кг/м</w:t>
            </w:r>
            <w:r w:rsidRPr="00DC0931">
              <w:rPr>
                <w:sz w:val="24"/>
                <w:szCs w:val="24"/>
                <w:vertAlign w:val="superscript"/>
                <w:lang w:val="ru-RU"/>
              </w:rPr>
              <w:t>2</w:t>
            </w:r>
          </w:p>
        </w:tc>
        <w:tc>
          <w:tcPr>
            <w:tcW w:w="1195" w:type="dxa"/>
          </w:tcPr>
          <w:p w14:paraId="7F33C541"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1</w:t>
            </w:r>
          </w:p>
        </w:tc>
      </w:tr>
      <w:tr w:rsidR="00321279" w:rsidRPr="00DC0931" w14:paraId="1109B4F8" w14:textId="77777777" w:rsidTr="009F7F8A">
        <w:tc>
          <w:tcPr>
            <w:tcW w:w="8900" w:type="dxa"/>
          </w:tcPr>
          <w:p w14:paraId="6668301A" w14:textId="77777777" w:rsidR="00321279" w:rsidRPr="00DC0931" w:rsidRDefault="00321279" w:rsidP="009F7F8A">
            <w:pPr>
              <w:pStyle w:val="table-head-left"/>
              <w:spacing w:before="0" w:after="0"/>
              <w:ind w:firstLine="0"/>
              <w:rPr>
                <w:sz w:val="24"/>
                <w:szCs w:val="24"/>
              </w:rPr>
            </w:pPr>
            <w:r w:rsidRPr="00DC0931">
              <w:rPr>
                <w:sz w:val="24"/>
                <w:szCs w:val="24"/>
              </w:rPr>
              <w:t>Неврологический статус</w:t>
            </w:r>
          </w:p>
        </w:tc>
        <w:tc>
          <w:tcPr>
            <w:tcW w:w="1195" w:type="dxa"/>
          </w:tcPr>
          <w:p w14:paraId="460A37C1" w14:textId="77777777" w:rsidR="00321279" w:rsidRPr="00DC0931" w:rsidRDefault="00321279" w:rsidP="009F7F8A">
            <w:pPr>
              <w:pStyle w:val="table-head-left"/>
              <w:spacing w:before="0" w:after="0"/>
              <w:ind w:firstLine="0"/>
              <w:rPr>
                <w:rFonts w:eastAsia="SimSun"/>
                <w:sz w:val="24"/>
                <w:szCs w:val="24"/>
              </w:rPr>
            </w:pPr>
          </w:p>
        </w:tc>
      </w:tr>
      <w:tr w:rsidR="00321279" w:rsidRPr="00DC0931" w14:paraId="33867FED" w14:textId="77777777" w:rsidTr="009F7F8A">
        <w:tc>
          <w:tcPr>
            <w:tcW w:w="8900" w:type="dxa"/>
          </w:tcPr>
          <w:p w14:paraId="3C703701" w14:textId="77777777" w:rsidR="00321279" w:rsidRPr="00DC0931" w:rsidRDefault="00321279" w:rsidP="009F7F8A">
            <w:pPr>
              <w:pStyle w:val="table-text-0"/>
              <w:spacing w:before="0" w:line="360" w:lineRule="auto"/>
              <w:ind w:firstLine="0"/>
              <w:rPr>
                <w:sz w:val="24"/>
                <w:szCs w:val="24"/>
                <w:lang w:val="ru-RU"/>
              </w:rPr>
            </w:pPr>
            <w:r w:rsidRPr="00DC0931">
              <w:rPr>
                <w:sz w:val="24"/>
                <w:szCs w:val="24"/>
                <w:lang w:val="ru-RU"/>
              </w:rPr>
              <w:t>Транзиторная ишемическая атака или острое нарушение мозгового кровообращения в анамнезе</w:t>
            </w:r>
          </w:p>
        </w:tc>
        <w:tc>
          <w:tcPr>
            <w:tcW w:w="1195" w:type="dxa"/>
          </w:tcPr>
          <w:p w14:paraId="37FB01F2"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1</w:t>
            </w:r>
          </w:p>
        </w:tc>
      </w:tr>
      <w:tr w:rsidR="00321279" w:rsidRPr="00DC0931" w14:paraId="0459075D" w14:textId="77777777" w:rsidTr="009F7F8A">
        <w:tc>
          <w:tcPr>
            <w:tcW w:w="8900" w:type="dxa"/>
          </w:tcPr>
          <w:p w14:paraId="49E666DD" w14:textId="77777777" w:rsidR="00321279" w:rsidRPr="00DC0931" w:rsidRDefault="00321279" w:rsidP="009F7F8A">
            <w:pPr>
              <w:pStyle w:val="table-head-left"/>
              <w:spacing w:before="0" w:after="0"/>
              <w:ind w:firstLine="0"/>
              <w:rPr>
                <w:sz w:val="24"/>
                <w:szCs w:val="24"/>
              </w:rPr>
            </w:pPr>
            <w:r w:rsidRPr="00DC0931">
              <w:rPr>
                <w:sz w:val="24"/>
                <w:szCs w:val="24"/>
              </w:rPr>
              <w:t>Психический статус</w:t>
            </w:r>
          </w:p>
        </w:tc>
        <w:tc>
          <w:tcPr>
            <w:tcW w:w="1195" w:type="dxa"/>
          </w:tcPr>
          <w:p w14:paraId="2704F5DE" w14:textId="77777777" w:rsidR="00321279" w:rsidRPr="00DC0931" w:rsidRDefault="00321279" w:rsidP="009F7F8A">
            <w:pPr>
              <w:pStyle w:val="table-head-left"/>
              <w:spacing w:before="0" w:after="0"/>
              <w:ind w:firstLine="0"/>
              <w:rPr>
                <w:rFonts w:eastAsia="SimSun"/>
                <w:sz w:val="24"/>
                <w:szCs w:val="24"/>
              </w:rPr>
            </w:pPr>
          </w:p>
        </w:tc>
      </w:tr>
      <w:tr w:rsidR="00321279" w:rsidRPr="00DC0931" w14:paraId="368E9FC0" w14:textId="77777777" w:rsidTr="009F7F8A">
        <w:tc>
          <w:tcPr>
            <w:tcW w:w="8900" w:type="dxa"/>
          </w:tcPr>
          <w:p w14:paraId="667C39B9" w14:textId="77777777" w:rsidR="00321279" w:rsidRPr="00DC0931" w:rsidRDefault="00321279" w:rsidP="009F7F8A">
            <w:pPr>
              <w:pStyle w:val="table-text-0"/>
              <w:spacing w:before="0" w:line="360" w:lineRule="auto"/>
              <w:ind w:firstLine="0"/>
              <w:rPr>
                <w:sz w:val="24"/>
                <w:szCs w:val="24"/>
                <w:lang w:val="ru-RU"/>
              </w:rPr>
            </w:pPr>
            <w:r w:rsidRPr="00DC0931">
              <w:rPr>
                <w:sz w:val="24"/>
                <w:szCs w:val="24"/>
                <w:lang w:val="ru-RU"/>
              </w:rPr>
              <w:t>Депрессия или тревога, требующие консультации психиатра или лечения</w:t>
            </w:r>
          </w:p>
        </w:tc>
        <w:tc>
          <w:tcPr>
            <w:tcW w:w="1195" w:type="dxa"/>
          </w:tcPr>
          <w:p w14:paraId="46BF5E3A"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1</w:t>
            </w:r>
          </w:p>
        </w:tc>
      </w:tr>
      <w:tr w:rsidR="00321279" w:rsidRPr="00DC0931" w14:paraId="29F3F9B8" w14:textId="77777777" w:rsidTr="009F7F8A">
        <w:tc>
          <w:tcPr>
            <w:tcW w:w="8900" w:type="dxa"/>
          </w:tcPr>
          <w:p w14:paraId="189369EF" w14:textId="77777777" w:rsidR="00321279" w:rsidRPr="00DC0931" w:rsidRDefault="00321279" w:rsidP="009F7F8A">
            <w:pPr>
              <w:pStyle w:val="table-head-left"/>
              <w:spacing w:before="0" w:after="0"/>
              <w:ind w:firstLine="0"/>
              <w:rPr>
                <w:sz w:val="24"/>
                <w:szCs w:val="24"/>
              </w:rPr>
            </w:pPr>
            <w:r w:rsidRPr="00DC0931">
              <w:rPr>
                <w:sz w:val="24"/>
                <w:szCs w:val="24"/>
              </w:rPr>
              <w:t>Мочевыделительная система</w:t>
            </w:r>
          </w:p>
        </w:tc>
        <w:tc>
          <w:tcPr>
            <w:tcW w:w="1195" w:type="dxa"/>
          </w:tcPr>
          <w:p w14:paraId="6A53BFDA" w14:textId="77777777" w:rsidR="00321279" w:rsidRPr="00DC0931" w:rsidRDefault="00321279" w:rsidP="009F7F8A">
            <w:pPr>
              <w:pStyle w:val="table-head-left"/>
              <w:spacing w:before="0" w:after="0"/>
              <w:ind w:firstLine="0"/>
              <w:rPr>
                <w:rFonts w:eastAsia="SimSun"/>
                <w:sz w:val="24"/>
                <w:szCs w:val="24"/>
              </w:rPr>
            </w:pPr>
          </w:p>
        </w:tc>
      </w:tr>
      <w:tr w:rsidR="00321279" w:rsidRPr="00DC0931" w14:paraId="6AFCBBA0" w14:textId="77777777" w:rsidTr="009F7F8A">
        <w:trPr>
          <w:trHeight w:val="370"/>
        </w:trPr>
        <w:tc>
          <w:tcPr>
            <w:tcW w:w="8900" w:type="dxa"/>
          </w:tcPr>
          <w:p w14:paraId="0FBFD46C" w14:textId="77777777" w:rsidR="00321279" w:rsidRPr="00DC0931" w:rsidRDefault="00321279" w:rsidP="009F7F8A">
            <w:pPr>
              <w:pStyle w:val="table-text-0"/>
              <w:spacing w:before="0" w:line="360" w:lineRule="auto"/>
              <w:ind w:firstLine="0"/>
              <w:rPr>
                <w:sz w:val="24"/>
                <w:szCs w:val="24"/>
                <w:lang w:val="ru-RU"/>
              </w:rPr>
            </w:pPr>
            <w:r w:rsidRPr="00DC0931">
              <w:rPr>
                <w:sz w:val="24"/>
                <w:szCs w:val="24"/>
                <w:lang w:val="ru-RU"/>
              </w:rPr>
              <w:t>Концентрация креатинина сыворотки &gt; 176 мкмоль/л, диализ или почечный трансплантат</w:t>
            </w:r>
          </w:p>
        </w:tc>
        <w:tc>
          <w:tcPr>
            <w:tcW w:w="1195" w:type="dxa"/>
          </w:tcPr>
          <w:p w14:paraId="4D44FF23" w14:textId="77777777" w:rsidR="00321279" w:rsidRPr="00DC0931" w:rsidRDefault="00321279" w:rsidP="009F7F8A">
            <w:pPr>
              <w:pStyle w:val="table-text-0"/>
              <w:spacing w:before="0" w:line="360" w:lineRule="auto"/>
              <w:ind w:firstLine="0"/>
              <w:rPr>
                <w:rFonts w:eastAsia="SimSun"/>
                <w:sz w:val="24"/>
                <w:szCs w:val="24"/>
              </w:rPr>
            </w:pPr>
            <w:r w:rsidRPr="00DC0931">
              <w:rPr>
                <w:sz w:val="24"/>
                <w:szCs w:val="24"/>
              </w:rPr>
              <w:t>2</w:t>
            </w:r>
          </w:p>
        </w:tc>
      </w:tr>
      <w:tr w:rsidR="00321279" w:rsidRPr="00DC0931" w14:paraId="20FD0586" w14:textId="77777777" w:rsidTr="009F7F8A">
        <w:tc>
          <w:tcPr>
            <w:tcW w:w="8900" w:type="dxa"/>
          </w:tcPr>
          <w:p w14:paraId="7CB6E820" w14:textId="77777777" w:rsidR="00321279" w:rsidRPr="00DC0931" w:rsidRDefault="00321279" w:rsidP="009F7F8A">
            <w:pPr>
              <w:pStyle w:val="table-head-left"/>
              <w:spacing w:before="0" w:after="0"/>
              <w:ind w:firstLine="0"/>
              <w:rPr>
                <w:sz w:val="24"/>
                <w:szCs w:val="24"/>
              </w:rPr>
            </w:pPr>
            <w:r w:rsidRPr="00DC0931">
              <w:rPr>
                <w:sz w:val="24"/>
                <w:szCs w:val="24"/>
              </w:rPr>
              <w:t>Системные заболевания</w:t>
            </w:r>
          </w:p>
        </w:tc>
        <w:tc>
          <w:tcPr>
            <w:tcW w:w="1195" w:type="dxa"/>
          </w:tcPr>
          <w:p w14:paraId="0FF40F56" w14:textId="77777777" w:rsidR="00321279" w:rsidRPr="00DC0931" w:rsidRDefault="00321279" w:rsidP="009F7F8A">
            <w:pPr>
              <w:pStyle w:val="table-head-left"/>
              <w:spacing w:before="0" w:after="0"/>
              <w:ind w:firstLine="0"/>
              <w:rPr>
                <w:rFonts w:eastAsia="SimSun"/>
                <w:sz w:val="24"/>
                <w:szCs w:val="24"/>
              </w:rPr>
            </w:pPr>
          </w:p>
        </w:tc>
      </w:tr>
      <w:tr w:rsidR="00321279" w:rsidRPr="00DC0931" w14:paraId="14ACA0D8" w14:textId="77777777" w:rsidTr="009F7F8A">
        <w:tc>
          <w:tcPr>
            <w:tcW w:w="8900" w:type="dxa"/>
          </w:tcPr>
          <w:p w14:paraId="25C9B0C2" w14:textId="77777777" w:rsidR="00321279" w:rsidRPr="00DC0931" w:rsidRDefault="00321279" w:rsidP="009F7F8A">
            <w:pPr>
              <w:pStyle w:val="table-text-0"/>
              <w:spacing w:before="0" w:line="360" w:lineRule="auto"/>
              <w:ind w:firstLine="0"/>
              <w:rPr>
                <w:sz w:val="24"/>
                <w:szCs w:val="24"/>
                <w:lang w:val="ru-RU"/>
              </w:rPr>
            </w:pPr>
            <w:r w:rsidRPr="00DC0931">
              <w:rPr>
                <w:sz w:val="24"/>
                <w:szCs w:val="24"/>
                <w:lang w:val="ru-RU"/>
              </w:rPr>
              <w:t>Системная красная волчанка, ревматоидный артрит, полимиозит и другие болезни соединительной ткани, требующие лечения</w:t>
            </w:r>
          </w:p>
        </w:tc>
        <w:tc>
          <w:tcPr>
            <w:tcW w:w="1195" w:type="dxa"/>
          </w:tcPr>
          <w:p w14:paraId="458EDC77"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2</w:t>
            </w:r>
          </w:p>
        </w:tc>
      </w:tr>
      <w:tr w:rsidR="00321279" w:rsidRPr="00DC0931" w14:paraId="3C7C7291" w14:textId="77777777" w:rsidTr="009F7F8A">
        <w:tc>
          <w:tcPr>
            <w:tcW w:w="8900" w:type="dxa"/>
          </w:tcPr>
          <w:p w14:paraId="3DA32941" w14:textId="77777777" w:rsidR="00321279" w:rsidRPr="00DC0931" w:rsidRDefault="00321279" w:rsidP="009F7F8A">
            <w:pPr>
              <w:pStyle w:val="table-head-left"/>
              <w:spacing w:before="0" w:after="0"/>
              <w:ind w:firstLine="0"/>
              <w:rPr>
                <w:sz w:val="24"/>
                <w:szCs w:val="24"/>
              </w:rPr>
            </w:pPr>
            <w:r w:rsidRPr="00DC0931">
              <w:rPr>
                <w:sz w:val="24"/>
                <w:szCs w:val="24"/>
              </w:rPr>
              <w:t>Инфекции</w:t>
            </w:r>
          </w:p>
        </w:tc>
        <w:tc>
          <w:tcPr>
            <w:tcW w:w="1195" w:type="dxa"/>
          </w:tcPr>
          <w:p w14:paraId="37727197" w14:textId="77777777" w:rsidR="00321279" w:rsidRPr="00DC0931" w:rsidRDefault="00321279" w:rsidP="009F7F8A">
            <w:pPr>
              <w:pStyle w:val="table-head-left"/>
              <w:spacing w:before="0" w:after="0"/>
              <w:ind w:firstLine="0"/>
              <w:rPr>
                <w:rFonts w:eastAsia="SimSun"/>
                <w:sz w:val="24"/>
                <w:szCs w:val="24"/>
              </w:rPr>
            </w:pPr>
          </w:p>
        </w:tc>
      </w:tr>
      <w:tr w:rsidR="00321279" w:rsidRPr="00DC0931" w14:paraId="5C4498E5" w14:textId="77777777" w:rsidTr="009F7F8A">
        <w:tc>
          <w:tcPr>
            <w:tcW w:w="8900" w:type="dxa"/>
          </w:tcPr>
          <w:p w14:paraId="0D43EDCF" w14:textId="77777777" w:rsidR="00321279" w:rsidRPr="00DC0931" w:rsidRDefault="00321279" w:rsidP="009F7F8A">
            <w:pPr>
              <w:pStyle w:val="table-text-0"/>
              <w:spacing w:before="0" w:line="360" w:lineRule="auto"/>
              <w:ind w:firstLine="0"/>
              <w:rPr>
                <w:sz w:val="24"/>
                <w:szCs w:val="24"/>
                <w:lang w:val="ru-RU"/>
              </w:rPr>
            </w:pPr>
            <w:r w:rsidRPr="00DC0931">
              <w:rPr>
                <w:sz w:val="24"/>
                <w:szCs w:val="24"/>
                <w:lang w:val="ru-RU"/>
              </w:rPr>
              <w:t>Инфекционные осложнения, требующие терапии до и после трансплантации</w:t>
            </w:r>
          </w:p>
        </w:tc>
        <w:tc>
          <w:tcPr>
            <w:tcW w:w="1195" w:type="dxa"/>
          </w:tcPr>
          <w:p w14:paraId="0206DC78"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1</w:t>
            </w:r>
          </w:p>
        </w:tc>
      </w:tr>
      <w:tr w:rsidR="00321279" w:rsidRPr="00DC0931" w14:paraId="084DB55F" w14:textId="77777777" w:rsidTr="009F7F8A">
        <w:tc>
          <w:tcPr>
            <w:tcW w:w="8900" w:type="dxa"/>
          </w:tcPr>
          <w:p w14:paraId="4EAA76F7" w14:textId="77777777" w:rsidR="00321279" w:rsidRPr="00DC0931" w:rsidRDefault="00321279" w:rsidP="009F7F8A">
            <w:pPr>
              <w:pStyle w:val="table-head-left"/>
              <w:spacing w:before="0" w:after="0"/>
              <w:ind w:firstLine="0"/>
              <w:rPr>
                <w:sz w:val="24"/>
                <w:szCs w:val="24"/>
              </w:rPr>
            </w:pPr>
            <w:r w:rsidRPr="00DC0931">
              <w:rPr>
                <w:sz w:val="24"/>
                <w:szCs w:val="24"/>
              </w:rPr>
              <w:t>Онкологические заболевания</w:t>
            </w:r>
          </w:p>
        </w:tc>
        <w:tc>
          <w:tcPr>
            <w:tcW w:w="1195" w:type="dxa"/>
          </w:tcPr>
          <w:p w14:paraId="7CA2B02D" w14:textId="77777777" w:rsidR="00321279" w:rsidRPr="00DC0931" w:rsidRDefault="00321279" w:rsidP="009F7F8A">
            <w:pPr>
              <w:pStyle w:val="table-head-left"/>
              <w:spacing w:before="0" w:after="0"/>
              <w:ind w:firstLine="0"/>
              <w:rPr>
                <w:rFonts w:eastAsia="SimSun"/>
                <w:sz w:val="24"/>
                <w:szCs w:val="24"/>
              </w:rPr>
            </w:pPr>
          </w:p>
        </w:tc>
      </w:tr>
      <w:tr w:rsidR="00321279" w:rsidRPr="00DC0931" w14:paraId="32F42297" w14:textId="77777777" w:rsidTr="009F7F8A">
        <w:tc>
          <w:tcPr>
            <w:tcW w:w="8900" w:type="dxa"/>
          </w:tcPr>
          <w:p w14:paraId="2833BD47" w14:textId="77777777" w:rsidR="00321279" w:rsidRPr="00DC0931" w:rsidRDefault="00321279" w:rsidP="009F7F8A">
            <w:pPr>
              <w:pStyle w:val="table-text-0"/>
              <w:spacing w:before="0" w:line="360" w:lineRule="auto"/>
              <w:ind w:firstLine="0"/>
              <w:rPr>
                <w:sz w:val="24"/>
                <w:szCs w:val="24"/>
                <w:lang w:val="ru-RU"/>
              </w:rPr>
            </w:pPr>
            <w:r w:rsidRPr="00DC0931">
              <w:rPr>
                <w:sz w:val="24"/>
                <w:szCs w:val="24"/>
                <w:lang w:val="ru-RU"/>
              </w:rPr>
              <w:t>Любые опухоли в анамнезе, кроме рака кожи (исключая меланому)</w:t>
            </w:r>
          </w:p>
        </w:tc>
        <w:tc>
          <w:tcPr>
            <w:tcW w:w="1195" w:type="dxa"/>
          </w:tcPr>
          <w:p w14:paraId="63F1165F" w14:textId="77777777" w:rsidR="00321279" w:rsidRPr="00DC0931" w:rsidRDefault="00321279" w:rsidP="009F7F8A">
            <w:pPr>
              <w:pStyle w:val="table-text-0"/>
              <w:spacing w:before="0" w:line="360" w:lineRule="auto"/>
              <w:ind w:firstLine="0"/>
              <w:rPr>
                <w:rFonts w:eastAsia="SimSun"/>
                <w:sz w:val="24"/>
                <w:szCs w:val="24"/>
              </w:rPr>
            </w:pPr>
            <w:r w:rsidRPr="00DC0931">
              <w:rPr>
                <w:rFonts w:eastAsia="SimSun"/>
                <w:sz w:val="24"/>
                <w:szCs w:val="24"/>
              </w:rPr>
              <w:t>3</w:t>
            </w:r>
          </w:p>
        </w:tc>
      </w:tr>
    </w:tbl>
    <w:p w14:paraId="5ADFB9CB" w14:textId="77777777" w:rsidR="00321279" w:rsidRPr="00C07B2E" w:rsidRDefault="00321279" w:rsidP="00321279">
      <w:pPr>
        <w:rPr>
          <w:sz w:val="28"/>
          <w:szCs w:val="28"/>
          <w:lang w:val="en-US"/>
        </w:rPr>
      </w:pPr>
    </w:p>
    <w:p w14:paraId="53E790C3" w14:textId="77777777" w:rsidR="00321279" w:rsidRPr="00A74B56" w:rsidRDefault="00321279" w:rsidP="00321279">
      <w:pPr>
        <w:ind w:firstLine="709"/>
        <w:rPr>
          <w:rFonts w:eastAsia="SimSun"/>
        </w:rPr>
      </w:pPr>
      <w:r w:rsidRPr="00A74B56">
        <w:rPr>
          <w:rFonts w:eastAsia="SimSun"/>
        </w:rPr>
        <w:t>Низкий риск — 0 баллов.</w:t>
      </w:r>
    </w:p>
    <w:p w14:paraId="75A977E1" w14:textId="77777777" w:rsidR="00321279" w:rsidRPr="00A74B56" w:rsidRDefault="00321279" w:rsidP="00321279">
      <w:pPr>
        <w:ind w:firstLine="709"/>
        <w:rPr>
          <w:rFonts w:eastAsia="SimSun"/>
        </w:rPr>
      </w:pPr>
      <w:r w:rsidRPr="00A74B56">
        <w:rPr>
          <w:rFonts w:eastAsia="SimSun"/>
        </w:rPr>
        <w:t>Промежуточный риск — 1–2 балла.</w:t>
      </w:r>
    </w:p>
    <w:p w14:paraId="0168FA4A" w14:textId="77777777" w:rsidR="00321279" w:rsidRPr="00A74B56" w:rsidRDefault="00321279" w:rsidP="00321279">
      <w:pPr>
        <w:ind w:firstLine="709"/>
        <w:rPr>
          <w:rFonts w:eastAsia="SimSun"/>
        </w:rPr>
      </w:pPr>
      <w:r w:rsidRPr="00A74B56">
        <w:rPr>
          <w:rFonts w:eastAsia="SimSun"/>
        </w:rPr>
        <w:t>Высокий риск — 3–4 балла.</w:t>
      </w:r>
    </w:p>
    <w:p w14:paraId="33568CA0" w14:textId="77777777" w:rsidR="00321279" w:rsidRPr="00DC0931" w:rsidRDefault="00321279" w:rsidP="00321279">
      <w:pPr>
        <w:ind w:firstLine="709"/>
        <w:rPr>
          <w:rFonts w:eastAsia="SimSun"/>
        </w:rPr>
      </w:pPr>
      <w:r w:rsidRPr="00A74B56">
        <w:rPr>
          <w:rFonts w:eastAsia="SimSun"/>
        </w:rPr>
        <w:t>Крайне высокий — 5 и более баллов.</w:t>
      </w:r>
    </w:p>
    <w:p w14:paraId="1A5DA242" w14:textId="77777777" w:rsidR="00321279" w:rsidRPr="00C5293A" w:rsidRDefault="00321279" w:rsidP="00321279"/>
    <w:p w14:paraId="15266B93" w14:textId="77777777" w:rsidR="00321279" w:rsidRPr="000322E4" w:rsidRDefault="00321279" w:rsidP="00321279">
      <w:pPr>
        <w:pStyle w:val="2"/>
        <w:spacing w:before="0"/>
      </w:pPr>
    </w:p>
    <w:p w14:paraId="15C51262" w14:textId="1D7B56E0" w:rsidR="00B61522" w:rsidRDefault="00B61522" w:rsidP="00321279">
      <w:pPr>
        <w:rPr>
          <w:sz w:val="28"/>
          <w:szCs w:val="28"/>
        </w:rPr>
      </w:pPr>
    </w:p>
    <w:sectPr w:rsidR="00B61522" w:rsidSect="008139EA">
      <w:pgSz w:w="11906" w:h="16838"/>
      <w:pgMar w:top="1134" w:right="1274"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BDFD9" w14:textId="77777777" w:rsidR="00614DDF" w:rsidRDefault="00614DDF">
      <w:pPr>
        <w:spacing w:line="240" w:lineRule="auto"/>
      </w:pPr>
      <w:r>
        <w:separator/>
      </w:r>
    </w:p>
  </w:endnote>
  <w:endnote w:type="continuationSeparator" w:id="0">
    <w:p w14:paraId="0FD291E1" w14:textId="77777777" w:rsidR="00614DDF" w:rsidRDefault="00614D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w:altName w:val="﷽﷽﷽﷽﷽﷽﷽﷽s"/>
    <w:charset w:val="B1"/>
    <w:family w:val="swiss"/>
    <w:pitch w:val="variable"/>
    <w:sig w:usb0="80000A67" w:usb1="00000000" w:usb2="00000000" w:usb3="00000000" w:csb0="000001F7" w:csb1="00000000"/>
  </w:font>
  <w:font w:name="OpenSymbol">
    <w:altName w:val="Arial Unicode MS"/>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Helvetica Neue">
    <w:altName w:val="﷽﷽﷽﷽﷽﷽﷽﷽a Neue"/>
    <w:charset w:val="00"/>
    <w:family w:val="auto"/>
    <w:pitch w:val="variable"/>
    <w:sig w:usb0="E50002FF" w:usb1="500079DB" w:usb2="00000010" w:usb3="00000000" w:csb0="00000001" w:csb1="00000000"/>
  </w:font>
  <w:font w:name="TimesNewRomanPS-ItalicMT">
    <w:altName w:val="Times New Roman"/>
    <w:charset w:val="00"/>
    <w:family w:val="roman"/>
    <w:pitch w:val="variable"/>
    <w:sig w:usb0="E0000AFF" w:usb1="00007843" w:usb2="00000001" w:usb3="00000000" w:csb0="000001BF" w:csb1="00000000"/>
  </w:font>
  <w:font w:name="Liberation Serif">
    <w:altName w:val="Times New Roman"/>
    <w:charset w:val="01"/>
    <w:family w:val="roman"/>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font>
  <w:font w:name="+mj-ea">
    <w:panose1 w:val="00000000000000000000"/>
    <w:charset w:val="00"/>
    <w:family w:val="roman"/>
    <w:notTrueType/>
    <w:pitch w:val="default"/>
  </w:font>
  <w:font w:name="ＭＳ 明朝 (Основной текст темы (ази">
    <w:altName w:val="MS Mincho"/>
    <w:charset w:val="00"/>
    <w:family w:val="auto"/>
    <w:pitch w:val="default"/>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631649"/>
      <w:docPartObj>
        <w:docPartGallery w:val="Page Numbers (Bottom of Page)"/>
        <w:docPartUnique/>
      </w:docPartObj>
    </w:sdtPr>
    <w:sdtEndPr/>
    <w:sdtContent>
      <w:p w14:paraId="24F3D704" w14:textId="4E901D99" w:rsidR="001C46FD" w:rsidRDefault="001C46FD">
        <w:pPr>
          <w:pStyle w:val="afc"/>
          <w:jc w:val="center"/>
        </w:pPr>
        <w:r>
          <w:fldChar w:fldCharType="begin"/>
        </w:r>
        <w:r>
          <w:instrText>PAGE</w:instrText>
        </w:r>
        <w:r>
          <w:fldChar w:fldCharType="separate"/>
        </w:r>
        <w:r w:rsidR="004D35FC">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41AED" w14:textId="77777777" w:rsidR="001C46FD" w:rsidRDefault="001C46FD">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D54F3" w14:textId="77777777" w:rsidR="001C46FD" w:rsidRDefault="001C46FD">
    <w:pPr>
      <w:pStyle w:val="af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CC215" w14:textId="77777777" w:rsidR="001C46FD" w:rsidRDefault="001C46FD">
    <w:pPr>
      <w:pStyle w:val="af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0E16C" w14:textId="77777777" w:rsidR="001C46FD" w:rsidRDefault="001C46FD">
    <w:pPr>
      <w:pStyle w:val="af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AEE73" w14:textId="77777777" w:rsidR="001C46FD" w:rsidRDefault="001C46FD">
    <w:pPr>
      <w:pStyle w:val="af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9BECB" w14:textId="77777777" w:rsidR="001C46FD" w:rsidRDefault="001C46FD">
    <w:pPr>
      <w:pStyle w:val="afc"/>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2F0D2" w14:textId="77777777" w:rsidR="001C46FD" w:rsidRDefault="001C46FD">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93E30" w14:textId="77777777" w:rsidR="00614DDF" w:rsidRDefault="00614DDF">
      <w:pPr>
        <w:spacing w:line="240" w:lineRule="auto"/>
      </w:pPr>
      <w:r>
        <w:separator/>
      </w:r>
    </w:p>
  </w:footnote>
  <w:footnote w:type="continuationSeparator" w:id="0">
    <w:p w14:paraId="1B8968EF" w14:textId="77777777" w:rsidR="00614DDF" w:rsidRDefault="00614DDF">
      <w:pPr>
        <w:spacing w:line="240" w:lineRule="auto"/>
      </w:pPr>
      <w:r>
        <w:continuationSeparator/>
      </w:r>
    </w:p>
  </w:footnote>
  <w:footnote w:id="1">
    <w:p w14:paraId="209C2E5B" w14:textId="77777777" w:rsidR="001C46FD" w:rsidRPr="00611832" w:rsidRDefault="001C46FD" w:rsidP="009F7F8A">
      <w:pPr>
        <w:pStyle w:val="aff7"/>
      </w:pPr>
      <w:r w:rsidRPr="00AC75E2">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r>
        <w:rPr>
          <w:rFonts w:eastAsia="SimSun"/>
          <w:szCs w:val="24"/>
        </w:rPr>
        <w:t xml:space="preserve"> </w:t>
      </w:r>
    </w:p>
  </w:footnote>
  <w:footnote w:id="2">
    <w:p w14:paraId="22AB1DB2" w14:textId="77777777" w:rsidR="001C46FD" w:rsidRPr="00F2645D" w:rsidRDefault="001C46FD" w:rsidP="009F7F8A">
      <w:pPr>
        <w:pStyle w:val="aff7"/>
      </w:pPr>
      <w:r w:rsidRPr="00AC75E2">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 w:id="3">
    <w:p w14:paraId="199EF7D4" w14:textId="77777777" w:rsidR="001C46FD" w:rsidRPr="00F2645D" w:rsidRDefault="001C46FD" w:rsidP="009F7F8A">
      <w:pPr>
        <w:pStyle w:val="aff7"/>
      </w:pPr>
      <w:r w:rsidRPr="00AC75E2">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 w:id="4">
    <w:p w14:paraId="02964268" w14:textId="77777777" w:rsidR="001C46FD" w:rsidRPr="00F2645D" w:rsidRDefault="001C46FD" w:rsidP="009F7F8A">
      <w:pPr>
        <w:pStyle w:val="aff7"/>
      </w:pPr>
      <w:r w:rsidRPr="00AC75E2">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 w:id="5">
    <w:p w14:paraId="597E40B5" w14:textId="77777777" w:rsidR="001C46FD" w:rsidRPr="00611832" w:rsidRDefault="001C46FD" w:rsidP="009F7F8A">
      <w:pPr>
        <w:pStyle w:val="aff7"/>
      </w:pPr>
      <w:r w:rsidRPr="00AC75E2">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r>
        <w:rPr>
          <w:rFonts w:eastAsia="SimSun"/>
          <w:szCs w:val="24"/>
        </w:rPr>
        <w:t xml:space="preserve"> </w:t>
      </w:r>
    </w:p>
  </w:footnote>
  <w:footnote w:id="6">
    <w:p w14:paraId="5B85510C" w14:textId="77777777" w:rsidR="001C46FD" w:rsidRPr="006155FD" w:rsidRDefault="001C46FD" w:rsidP="009F7F8A">
      <w:pPr>
        <w:pStyle w:val="aff7"/>
      </w:pPr>
      <w:r w:rsidRPr="00AC75E2">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7">
    <w:p w14:paraId="24831C6B" w14:textId="77777777" w:rsidR="001C46FD" w:rsidRPr="006155FD" w:rsidRDefault="001C46FD" w:rsidP="009F7F8A">
      <w:pPr>
        <w:pStyle w:val="aff7"/>
      </w:pPr>
      <w:r w:rsidRPr="00AC75E2">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8">
    <w:p w14:paraId="54E5ED4B" w14:textId="77777777" w:rsidR="001C46FD" w:rsidRPr="00F2645D" w:rsidRDefault="001C46FD" w:rsidP="009F7F8A">
      <w:pPr>
        <w:pStyle w:val="aff7"/>
      </w:pPr>
      <w:r w:rsidRPr="00AC75E2">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 w:id="9">
    <w:p w14:paraId="13CD2779" w14:textId="77777777" w:rsidR="001C46FD" w:rsidRPr="006155FD" w:rsidRDefault="001C46FD" w:rsidP="009F7F8A">
      <w:pPr>
        <w:pStyle w:val="aff7"/>
      </w:pPr>
      <w:r w:rsidRPr="00AC75E2">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0">
    <w:p w14:paraId="406FFC89" w14:textId="77777777" w:rsidR="001C46FD" w:rsidRPr="006155FD" w:rsidRDefault="001C46FD" w:rsidP="009F7F8A">
      <w:pPr>
        <w:pStyle w:val="aff7"/>
      </w:pPr>
      <w:r w:rsidRPr="00AC75E2">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1">
    <w:p w14:paraId="2337FAB9" w14:textId="77777777" w:rsidR="001C46FD" w:rsidRPr="006155FD" w:rsidRDefault="001C46FD" w:rsidP="009F7F8A">
      <w:pPr>
        <w:pStyle w:val="aff7"/>
      </w:pPr>
      <w:r w:rsidRPr="00AC75E2">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2">
    <w:p w14:paraId="359A54B6" w14:textId="77777777" w:rsidR="001C46FD" w:rsidRPr="006155FD" w:rsidRDefault="001C46FD" w:rsidP="009F7F8A">
      <w:pPr>
        <w:pStyle w:val="aff7"/>
      </w:pPr>
      <w:r w:rsidRPr="00AC75E2">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3">
    <w:p w14:paraId="7CB0AB39" w14:textId="77777777" w:rsidR="001C46FD" w:rsidRPr="006155FD" w:rsidRDefault="001C46FD" w:rsidP="009F7F8A">
      <w:pPr>
        <w:pStyle w:val="aff7"/>
      </w:pPr>
      <w:r w:rsidRPr="00AC75E2">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4">
    <w:p w14:paraId="20A59322" w14:textId="77777777" w:rsidR="001C46FD" w:rsidRPr="00DE2136" w:rsidRDefault="001C46FD" w:rsidP="009F7F8A">
      <w:pPr>
        <w:pStyle w:val="aff7"/>
      </w:pPr>
      <w:r w:rsidRPr="00AC75E2">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r>
        <w:rPr>
          <w:rFonts w:eastAsia="SimSun"/>
          <w:szCs w:val="24"/>
        </w:rPr>
        <w:t xml:space="preserve"> </w:t>
      </w:r>
    </w:p>
  </w:footnote>
  <w:footnote w:id="15">
    <w:p w14:paraId="0B0A48B6" w14:textId="77777777" w:rsidR="001C46FD" w:rsidRPr="00F2645D" w:rsidRDefault="001C46FD" w:rsidP="009F7F8A">
      <w:pPr>
        <w:pStyle w:val="aff7"/>
      </w:pPr>
      <w:r w:rsidRPr="00AC75E2">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6134F" w14:textId="77777777" w:rsidR="001C46FD" w:rsidRDefault="001C46FD">
    <w:pPr>
      <w:pStyle w:val="afb"/>
      <w:jc w:val="right"/>
      <w:rPr>
        <w:i/>
      </w:rPr>
    </w:pPr>
    <w:r>
      <w:rPr>
        <w:i/>
      </w:rPr>
      <w:t>КР121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D03F4" w14:textId="77777777" w:rsidR="001C46FD" w:rsidRPr="00A97CBF" w:rsidRDefault="001C46FD" w:rsidP="009F7F8A">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CEB55" w14:textId="77777777" w:rsidR="001C46FD" w:rsidRDefault="001C46FD">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ECC8C" w14:textId="77777777" w:rsidR="001C46FD" w:rsidRDefault="001C46F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52E9C74"/>
    <w:lvl w:ilvl="0">
      <w:start w:val="1"/>
      <w:numFmt w:val="bullet"/>
      <w:lvlText w:val=""/>
      <w:lvlJc w:val="left"/>
      <w:pPr>
        <w:tabs>
          <w:tab w:val="num" w:pos="0"/>
        </w:tabs>
        <w:ind w:left="0" w:firstLine="0"/>
      </w:pPr>
      <w:rPr>
        <w:rFonts w:ascii="Symbol" w:hAnsi="Symbol" w:hint="default"/>
      </w:rPr>
    </w:lvl>
    <w:lvl w:ilvl="1">
      <w:start w:val="1"/>
      <w:numFmt w:val="bullet"/>
      <w:pStyle w:val="1-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9"/>
    <w:multiLevelType w:val="singleLevel"/>
    <w:tmpl w:val="00000019"/>
    <w:name w:val="WW8Num28"/>
    <w:lvl w:ilvl="0">
      <w:start w:val="1"/>
      <w:numFmt w:val="decimal"/>
      <w:lvlText w:val="%1."/>
      <w:lvlJc w:val="left"/>
      <w:pPr>
        <w:tabs>
          <w:tab w:val="num" w:pos="0"/>
        </w:tabs>
        <w:ind w:left="720" w:hanging="360"/>
      </w:pPr>
    </w:lvl>
  </w:abstractNum>
  <w:abstractNum w:abstractNumId="2" w15:restartNumberingAfterBreak="0">
    <w:nsid w:val="0000002C"/>
    <w:multiLevelType w:val="singleLevel"/>
    <w:tmpl w:val="0000002C"/>
    <w:name w:val="WW8Num47"/>
    <w:lvl w:ilvl="0">
      <w:numFmt w:val="bullet"/>
      <w:lvlText w:val="•"/>
      <w:lvlJc w:val="left"/>
      <w:pPr>
        <w:tabs>
          <w:tab w:val="num" w:pos="0"/>
        </w:tabs>
        <w:ind w:left="705" w:hanging="705"/>
      </w:pPr>
      <w:rPr>
        <w:rFonts w:ascii="Calibri" w:hAnsi="Calibri" w:cs="Calibri" w:hint="default"/>
      </w:rPr>
    </w:lvl>
  </w:abstractNum>
  <w:abstractNum w:abstractNumId="3" w15:restartNumberingAfterBreak="0">
    <w:nsid w:val="02B87A7F"/>
    <w:multiLevelType w:val="hybridMultilevel"/>
    <w:tmpl w:val="7C822F20"/>
    <w:lvl w:ilvl="0" w:tplc="FC4EE27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5A4236C"/>
    <w:multiLevelType w:val="hybridMultilevel"/>
    <w:tmpl w:val="3B14FE3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D62440"/>
    <w:multiLevelType w:val="hybridMultilevel"/>
    <w:tmpl w:val="E0A809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6615864"/>
    <w:multiLevelType w:val="hybridMultilevel"/>
    <w:tmpl w:val="8230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7372DE"/>
    <w:multiLevelType w:val="hybridMultilevel"/>
    <w:tmpl w:val="EE34D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926206C"/>
    <w:multiLevelType w:val="hybridMultilevel"/>
    <w:tmpl w:val="04F0CA94"/>
    <w:lvl w:ilvl="0" w:tplc="04190003">
      <w:start w:val="1"/>
      <w:numFmt w:val="bullet"/>
      <w:lvlText w:val="o"/>
      <w:lvlJc w:val="left"/>
      <w:pPr>
        <w:ind w:left="1425" w:hanging="360"/>
      </w:pPr>
      <w:rPr>
        <w:rFonts w:ascii="Courier New" w:hAnsi="Courier New" w:cs="Courier New"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0A6A3687"/>
    <w:multiLevelType w:val="hybridMultilevel"/>
    <w:tmpl w:val="31CA6D48"/>
    <w:styleLink w:val="1ai"/>
    <w:lvl w:ilvl="0" w:tplc="A75AA490">
      <w:start w:val="1"/>
      <w:numFmt w:val="bullet"/>
      <w:lvlText w:val=""/>
      <w:lvlJc w:val="left"/>
      <w:pPr>
        <w:ind w:left="720" w:hanging="360"/>
      </w:pPr>
      <w:rPr>
        <w:rFonts w:ascii="Symbol" w:hAnsi="Symbol" w:hint="default"/>
      </w:rPr>
    </w:lvl>
    <w:lvl w:ilvl="1" w:tplc="B406001A" w:tentative="1">
      <w:start w:val="1"/>
      <w:numFmt w:val="bullet"/>
      <w:lvlText w:val="o"/>
      <w:lvlJc w:val="left"/>
      <w:pPr>
        <w:ind w:left="1440" w:hanging="360"/>
      </w:pPr>
      <w:rPr>
        <w:rFonts w:ascii="Courier New" w:hAnsi="Courier New" w:cs="Courier New" w:hint="default"/>
      </w:rPr>
    </w:lvl>
    <w:lvl w:ilvl="2" w:tplc="577203BE" w:tentative="1">
      <w:start w:val="1"/>
      <w:numFmt w:val="bullet"/>
      <w:lvlText w:val=""/>
      <w:lvlJc w:val="left"/>
      <w:pPr>
        <w:ind w:left="2160" w:hanging="360"/>
      </w:pPr>
      <w:rPr>
        <w:rFonts w:ascii="Wingdings" w:hAnsi="Wingdings" w:hint="default"/>
      </w:rPr>
    </w:lvl>
    <w:lvl w:ilvl="3" w:tplc="12C8FB5A" w:tentative="1">
      <w:start w:val="1"/>
      <w:numFmt w:val="bullet"/>
      <w:lvlText w:val=""/>
      <w:lvlJc w:val="left"/>
      <w:pPr>
        <w:ind w:left="2880" w:hanging="360"/>
      </w:pPr>
      <w:rPr>
        <w:rFonts w:ascii="Symbol" w:hAnsi="Symbol" w:hint="default"/>
      </w:rPr>
    </w:lvl>
    <w:lvl w:ilvl="4" w:tplc="7374A596" w:tentative="1">
      <w:start w:val="1"/>
      <w:numFmt w:val="bullet"/>
      <w:lvlText w:val="o"/>
      <w:lvlJc w:val="left"/>
      <w:pPr>
        <w:ind w:left="3600" w:hanging="360"/>
      </w:pPr>
      <w:rPr>
        <w:rFonts w:ascii="Courier New" w:hAnsi="Courier New" w:cs="Courier New" w:hint="default"/>
      </w:rPr>
    </w:lvl>
    <w:lvl w:ilvl="5" w:tplc="E2044D6C" w:tentative="1">
      <w:start w:val="1"/>
      <w:numFmt w:val="bullet"/>
      <w:lvlText w:val=""/>
      <w:lvlJc w:val="left"/>
      <w:pPr>
        <w:ind w:left="4320" w:hanging="360"/>
      </w:pPr>
      <w:rPr>
        <w:rFonts w:ascii="Wingdings" w:hAnsi="Wingdings" w:hint="default"/>
      </w:rPr>
    </w:lvl>
    <w:lvl w:ilvl="6" w:tplc="7F9E63CE" w:tentative="1">
      <w:start w:val="1"/>
      <w:numFmt w:val="bullet"/>
      <w:lvlText w:val=""/>
      <w:lvlJc w:val="left"/>
      <w:pPr>
        <w:ind w:left="5040" w:hanging="360"/>
      </w:pPr>
      <w:rPr>
        <w:rFonts w:ascii="Symbol" w:hAnsi="Symbol" w:hint="default"/>
      </w:rPr>
    </w:lvl>
    <w:lvl w:ilvl="7" w:tplc="5A7A8954" w:tentative="1">
      <w:start w:val="1"/>
      <w:numFmt w:val="bullet"/>
      <w:lvlText w:val="o"/>
      <w:lvlJc w:val="left"/>
      <w:pPr>
        <w:ind w:left="5760" w:hanging="360"/>
      </w:pPr>
      <w:rPr>
        <w:rFonts w:ascii="Courier New" w:hAnsi="Courier New" w:cs="Courier New" w:hint="default"/>
      </w:rPr>
    </w:lvl>
    <w:lvl w:ilvl="8" w:tplc="EC48257A" w:tentative="1">
      <w:start w:val="1"/>
      <w:numFmt w:val="bullet"/>
      <w:lvlText w:val=""/>
      <w:lvlJc w:val="left"/>
      <w:pPr>
        <w:ind w:left="6480" w:hanging="360"/>
      </w:pPr>
      <w:rPr>
        <w:rFonts w:ascii="Wingdings" w:hAnsi="Wingdings" w:hint="default"/>
      </w:rPr>
    </w:lvl>
  </w:abstractNum>
  <w:abstractNum w:abstractNumId="10" w15:restartNumberingAfterBreak="0">
    <w:nsid w:val="0A7302E0"/>
    <w:multiLevelType w:val="multilevel"/>
    <w:tmpl w:val="F758790E"/>
    <w:lvl w:ilvl="0">
      <w:start w:val="1"/>
      <w:numFmt w:val="bullet"/>
      <w:lvlText w:val=""/>
      <w:lvlJc w:val="left"/>
      <w:pPr>
        <w:ind w:left="720" w:hanging="360"/>
      </w:pPr>
      <w:rPr>
        <w:rFonts w:ascii="Symbol" w:hAnsi="Symbol" w:cs="Symbol" w:hint="default"/>
        <w:b w:val="0"/>
        <w:sz w:val="24"/>
      </w:rPr>
    </w:lvl>
    <w:lvl w:ilvl="1">
      <w:start w:val="1"/>
      <w:numFmt w:val="decimal"/>
      <w:lvlText w:val="%2)"/>
      <w:lvlJc w:val="left"/>
      <w:pPr>
        <w:ind w:left="1440" w:hanging="360"/>
      </w:p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C392BAD"/>
    <w:multiLevelType w:val="hybridMultilevel"/>
    <w:tmpl w:val="E098D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0D5CFA"/>
    <w:multiLevelType w:val="hybridMultilevel"/>
    <w:tmpl w:val="501CD3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D16377A"/>
    <w:multiLevelType w:val="hybridMultilevel"/>
    <w:tmpl w:val="1BCEF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ED4B52"/>
    <w:multiLevelType w:val="hybridMultilevel"/>
    <w:tmpl w:val="8DFC94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D92B03"/>
    <w:multiLevelType w:val="hybridMultilevel"/>
    <w:tmpl w:val="BE6A865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105D60C4"/>
    <w:multiLevelType w:val="hybridMultilevel"/>
    <w:tmpl w:val="48C06D6C"/>
    <w:lvl w:ilvl="0" w:tplc="2AD23686">
      <w:start w:val="1"/>
      <w:numFmt w:val="bullet"/>
      <w:pStyle w:val="a"/>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13794F9A"/>
    <w:multiLevelType w:val="hybridMultilevel"/>
    <w:tmpl w:val="296EBB5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4E00608"/>
    <w:multiLevelType w:val="multilevel"/>
    <w:tmpl w:val="33FC9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3242F3"/>
    <w:multiLevelType w:val="hybridMultilevel"/>
    <w:tmpl w:val="4F6AE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563373B"/>
    <w:multiLevelType w:val="hybridMultilevel"/>
    <w:tmpl w:val="412C7EC0"/>
    <w:lvl w:ilvl="0" w:tplc="0120671C">
      <w:start w:val="1"/>
      <w:numFmt w:val="bullet"/>
      <w:lvlText w:val=""/>
      <w:lvlJc w:val="left"/>
      <w:pPr>
        <w:tabs>
          <w:tab w:val="num" w:pos="720"/>
        </w:tabs>
        <w:ind w:left="720" w:hanging="360"/>
      </w:pPr>
      <w:rPr>
        <w:rFonts w:ascii="Wingdings 2" w:hAnsi="Wingdings 2" w:hint="default"/>
      </w:rPr>
    </w:lvl>
    <w:lvl w:ilvl="1" w:tplc="F6CCB1E2" w:tentative="1">
      <w:start w:val="1"/>
      <w:numFmt w:val="bullet"/>
      <w:lvlText w:val=""/>
      <w:lvlJc w:val="left"/>
      <w:pPr>
        <w:tabs>
          <w:tab w:val="num" w:pos="1440"/>
        </w:tabs>
        <w:ind w:left="1440" w:hanging="360"/>
      </w:pPr>
      <w:rPr>
        <w:rFonts w:ascii="Wingdings 2" w:hAnsi="Wingdings 2" w:hint="default"/>
      </w:rPr>
    </w:lvl>
    <w:lvl w:ilvl="2" w:tplc="B0FC5F8A" w:tentative="1">
      <w:start w:val="1"/>
      <w:numFmt w:val="bullet"/>
      <w:lvlText w:val=""/>
      <w:lvlJc w:val="left"/>
      <w:pPr>
        <w:tabs>
          <w:tab w:val="num" w:pos="2160"/>
        </w:tabs>
        <w:ind w:left="2160" w:hanging="360"/>
      </w:pPr>
      <w:rPr>
        <w:rFonts w:ascii="Wingdings 2" w:hAnsi="Wingdings 2" w:hint="default"/>
      </w:rPr>
    </w:lvl>
    <w:lvl w:ilvl="3" w:tplc="A82E8348" w:tentative="1">
      <w:start w:val="1"/>
      <w:numFmt w:val="bullet"/>
      <w:lvlText w:val=""/>
      <w:lvlJc w:val="left"/>
      <w:pPr>
        <w:tabs>
          <w:tab w:val="num" w:pos="2880"/>
        </w:tabs>
        <w:ind w:left="2880" w:hanging="360"/>
      </w:pPr>
      <w:rPr>
        <w:rFonts w:ascii="Wingdings 2" w:hAnsi="Wingdings 2" w:hint="default"/>
      </w:rPr>
    </w:lvl>
    <w:lvl w:ilvl="4" w:tplc="D04EB8BE" w:tentative="1">
      <w:start w:val="1"/>
      <w:numFmt w:val="bullet"/>
      <w:lvlText w:val=""/>
      <w:lvlJc w:val="left"/>
      <w:pPr>
        <w:tabs>
          <w:tab w:val="num" w:pos="3600"/>
        </w:tabs>
        <w:ind w:left="3600" w:hanging="360"/>
      </w:pPr>
      <w:rPr>
        <w:rFonts w:ascii="Wingdings 2" w:hAnsi="Wingdings 2" w:hint="default"/>
      </w:rPr>
    </w:lvl>
    <w:lvl w:ilvl="5" w:tplc="DF9CE492" w:tentative="1">
      <w:start w:val="1"/>
      <w:numFmt w:val="bullet"/>
      <w:lvlText w:val=""/>
      <w:lvlJc w:val="left"/>
      <w:pPr>
        <w:tabs>
          <w:tab w:val="num" w:pos="4320"/>
        </w:tabs>
        <w:ind w:left="4320" w:hanging="360"/>
      </w:pPr>
      <w:rPr>
        <w:rFonts w:ascii="Wingdings 2" w:hAnsi="Wingdings 2" w:hint="default"/>
      </w:rPr>
    </w:lvl>
    <w:lvl w:ilvl="6" w:tplc="4F6C7C52" w:tentative="1">
      <w:start w:val="1"/>
      <w:numFmt w:val="bullet"/>
      <w:lvlText w:val=""/>
      <w:lvlJc w:val="left"/>
      <w:pPr>
        <w:tabs>
          <w:tab w:val="num" w:pos="5040"/>
        </w:tabs>
        <w:ind w:left="5040" w:hanging="360"/>
      </w:pPr>
      <w:rPr>
        <w:rFonts w:ascii="Wingdings 2" w:hAnsi="Wingdings 2" w:hint="default"/>
      </w:rPr>
    </w:lvl>
    <w:lvl w:ilvl="7" w:tplc="D7AEE092" w:tentative="1">
      <w:start w:val="1"/>
      <w:numFmt w:val="bullet"/>
      <w:lvlText w:val=""/>
      <w:lvlJc w:val="left"/>
      <w:pPr>
        <w:tabs>
          <w:tab w:val="num" w:pos="5760"/>
        </w:tabs>
        <w:ind w:left="5760" w:hanging="360"/>
      </w:pPr>
      <w:rPr>
        <w:rFonts w:ascii="Wingdings 2" w:hAnsi="Wingdings 2" w:hint="default"/>
      </w:rPr>
    </w:lvl>
    <w:lvl w:ilvl="8" w:tplc="EEF60CD2"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165F7D7D"/>
    <w:multiLevelType w:val="hybridMultilevel"/>
    <w:tmpl w:val="F4925034"/>
    <w:lvl w:ilvl="0" w:tplc="5D6EC054">
      <w:start w:val="1"/>
      <w:numFmt w:val="bullet"/>
      <w:lvlText w:val=""/>
      <w:lvlJc w:val="left"/>
      <w:pPr>
        <w:tabs>
          <w:tab w:val="num" w:pos="720"/>
        </w:tabs>
        <w:ind w:left="720" w:hanging="360"/>
      </w:pPr>
      <w:rPr>
        <w:rFonts w:ascii="Wingdings 2" w:hAnsi="Wingdings 2" w:hint="default"/>
      </w:rPr>
    </w:lvl>
    <w:lvl w:ilvl="1" w:tplc="F946A4BC" w:tentative="1">
      <w:start w:val="1"/>
      <w:numFmt w:val="bullet"/>
      <w:lvlText w:val=""/>
      <w:lvlJc w:val="left"/>
      <w:pPr>
        <w:tabs>
          <w:tab w:val="num" w:pos="1440"/>
        </w:tabs>
        <w:ind w:left="1440" w:hanging="360"/>
      </w:pPr>
      <w:rPr>
        <w:rFonts w:ascii="Wingdings 2" w:hAnsi="Wingdings 2" w:hint="default"/>
      </w:rPr>
    </w:lvl>
    <w:lvl w:ilvl="2" w:tplc="3D6E2908" w:tentative="1">
      <w:start w:val="1"/>
      <w:numFmt w:val="bullet"/>
      <w:lvlText w:val=""/>
      <w:lvlJc w:val="left"/>
      <w:pPr>
        <w:tabs>
          <w:tab w:val="num" w:pos="2160"/>
        </w:tabs>
        <w:ind w:left="2160" w:hanging="360"/>
      </w:pPr>
      <w:rPr>
        <w:rFonts w:ascii="Wingdings 2" w:hAnsi="Wingdings 2" w:hint="default"/>
      </w:rPr>
    </w:lvl>
    <w:lvl w:ilvl="3" w:tplc="A31E3046" w:tentative="1">
      <w:start w:val="1"/>
      <w:numFmt w:val="bullet"/>
      <w:lvlText w:val=""/>
      <w:lvlJc w:val="left"/>
      <w:pPr>
        <w:tabs>
          <w:tab w:val="num" w:pos="2880"/>
        </w:tabs>
        <w:ind w:left="2880" w:hanging="360"/>
      </w:pPr>
      <w:rPr>
        <w:rFonts w:ascii="Wingdings 2" w:hAnsi="Wingdings 2" w:hint="default"/>
      </w:rPr>
    </w:lvl>
    <w:lvl w:ilvl="4" w:tplc="6382FAD6" w:tentative="1">
      <w:start w:val="1"/>
      <w:numFmt w:val="bullet"/>
      <w:lvlText w:val=""/>
      <w:lvlJc w:val="left"/>
      <w:pPr>
        <w:tabs>
          <w:tab w:val="num" w:pos="3600"/>
        </w:tabs>
        <w:ind w:left="3600" w:hanging="360"/>
      </w:pPr>
      <w:rPr>
        <w:rFonts w:ascii="Wingdings 2" w:hAnsi="Wingdings 2" w:hint="default"/>
      </w:rPr>
    </w:lvl>
    <w:lvl w:ilvl="5" w:tplc="6CC89B82" w:tentative="1">
      <w:start w:val="1"/>
      <w:numFmt w:val="bullet"/>
      <w:lvlText w:val=""/>
      <w:lvlJc w:val="left"/>
      <w:pPr>
        <w:tabs>
          <w:tab w:val="num" w:pos="4320"/>
        </w:tabs>
        <w:ind w:left="4320" w:hanging="360"/>
      </w:pPr>
      <w:rPr>
        <w:rFonts w:ascii="Wingdings 2" w:hAnsi="Wingdings 2" w:hint="default"/>
      </w:rPr>
    </w:lvl>
    <w:lvl w:ilvl="6" w:tplc="7B144F0E" w:tentative="1">
      <w:start w:val="1"/>
      <w:numFmt w:val="bullet"/>
      <w:lvlText w:val=""/>
      <w:lvlJc w:val="left"/>
      <w:pPr>
        <w:tabs>
          <w:tab w:val="num" w:pos="5040"/>
        </w:tabs>
        <w:ind w:left="5040" w:hanging="360"/>
      </w:pPr>
      <w:rPr>
        <w:rFonts w:ascii="Wingdings 2" w:hAnsi="Wingdings 2" w:hint="default"/>
      </w:rPr>
    </w:lvl>
    <w:lvl w:ilvl="7" w:tplc="3BAEE872" w:tentative="1">
      <w:start w:val="1"/>
      <w:numFmt w:val="bullet"/>
      <w:lvlText w:val=""/>
      <w:lvlJc w:val="left"/>
      <w:pPr>
        <w:tabs>
          <w:tab w:val="num" w:pos="5760"/>
        </w:tabs>
        <w:ind w:left="5760" w:hanging="360"/>
      </w:pPr>
      <w:rPr>
        <w:rFonts w:ascii="Wingdings 2" w:hAnsi="Wingdings 2" w:hint="default"/>
      </w:rPr>
    </w:lvl>
    <w:lvl w:ilvl="8" w:tplc="E47CF9FE"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16F57D17"/>
    <w:multiLevelType w:val="hybridMultilevel"/>
    <w:tmpl w:val="91806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1C52BE"/>
    <w:multiLevelType w:val="hybridMultilevel"/>
    <w:tmpl w:val="E34ECE2C"/>
    <w:lvl w:ilvl="0" w:tplc="52FAB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178E4FB1"/>
    <w:multiLevelType w:val="hybridMultilevel"/>
    <w:tmpl w:val="F5509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7B2382E"/>
    <w:multiLevelType w:val="hybridMultilevel"/>
    <w:tmpl w:val="F3BCF4E4"/>
    <w:lvl w:ilvl="0" w:tplc="5B32E066">
      <w:start w:val="1"/>
      <w:numFmt w:val="bullet"/>
      <w:lvlText w:val=""/>
      <w:lvlJc w:val="left"/>
      <w:pPr>
        <w:ind w:left="720" w:hanging="360"/>
      </w:pPr>
      <w:rPr>
        <w:rFonts w:ascii="Symbol" w:hAnsi="Symbol" w:hint="default"/>
      </w:rPr>
    </w:lvl>
    <w:lvl w:ilvl="1" w:tplc="2D36D64E">
      <w:start w:val="1"/>
      <w:numFmt w:val="bullet"/>
      <w:lvlText w:val="o"/>
      <w:lvlJc w:val="left"/>
      <w:pPr>
        <w:ind w:left="1440" w:hanging="360"/>
      </w:pPr>
      <w:rPr>
        <w:rFonts w:ascii="Courier New" w:hAnsi="Courier New" w:cs="Courier New" w:hint="default"/>
      </w:rPr>
    </w:lvl>
    <w:lvl w:ilvl="2" w:tplc="2A8C8AA0">
      <w:start w:val="1"/>
      <w:numFmt w:val="bullet"/>
      <w:lvlText w:val=""/>
      <w:lvlJc w:val="left"/>
      <w:pPr>
        <w:ind w:left="2160" w:hanging="360"/>
      </w:pPr>
      <w:rPr>
        <w:rFonts w:ascii="Wingdings" w:hAnsi="Wingdings" w:hint="default"/>
      </w:rPr>
    </w:lvl>
    <w:lvl w:ilvl="3" w:tplc="A07669B2">
      <w:start w:val="1"/>
      <w:numFmt w:val="bullet"/>
      <w:lvlText w:val=""/>
      <w:lvlJc w:val="left"/>
      <w:pPr>
        <w:ind w:left="2880" w:hanging="360"/>
      </w:pPr>
      <w:rPr>
        <w:rFonts w:ascii="Symbol" w:hAnsi="Symbol" w:hint="default"/>
      </w:rPr>
    </w:lvl>
    <w:lvl w:ilvl="4" w:tplc="6FB296FA">
      <w:start w:val="1"/>
      <w:numFmt w:val="bullet"/>
      <w:lvlText w:val="o"/>
      <w:lvlJc w:val="left"/>
      <w:pPr>
        <w:ind w:left="3600" w:hanging="360"/>
      </w:pPr>
      <w:rPr>
        <w:rFonts w:ascii="Courier New" w:hAnsi="Courier New" w:cs="Courier New" w:hint="default"/>
      </w:rPr>
    </w:lvl>
    <w:lvl w:ilvl="5" w:tplc="95320816">
      <w:start w:val="1"/>
      <w:numFmt w:val="bullet"/>
      <w:lvlText w:val=""/>
      <w:lvlJc w:val="left"/>
      <w:pPr>
        <w:ind w:left="4320" w:hanging="360"/>
      </w:pPr>
      <w:rPr>
        <w:rFonts w:ascii="Wingdings" w:hAnsi="Wingdings" w:hint="default"/>
      </w:rPr>
    </w:lvl>
    <w:lvl w:ilvl="6" w:tplc="8744C6BA">
      <w:start w:val="1"/>
      <w:numFmt w:val="bullet"/>
      <w:lvlText w:val=""/>
      <w:lvlJc w:val="left"/>
      <w:pPr>
        <w:ind w:left="5040" w:hanging="360"/>
      </w:pPr>
      <w:rPr>
        <w:rFonts w:ascii="Symbol" w:hAnsi="Symbol" w:hint="default"/>
      </w:rPr>
    </w:lvl>
    <w:lvl w:ilvl="7" w:tplc="609219F8">
      <w:start w:val="1"/>
      <w:numFmt w:val="bullet"/>
      <w:lvlText w:val="o"/>
      <w:lvlJc w:val="left"/>
      <w:pPr>
        <w:ind w:left="5760" w:hanging="360"/>
      </w:pPr>
      <w:rPr>
        <w:rFonts w:ascii="Courier New" w:hAnsi="Courier New" w:cs="Courier New" w:hint="default"/>
      </w:rPr>
    </w:lvl>
    <w:lvl w:ilvl="8" w:tplc="803E5718">
      <w:start w:val="1"/>
      <w:numFmt w:val="bullet"/>
      <w:lvlText w:val=""/>
      <w:lvlJc w:val="left"/>
      <w:pPr>
        <w:ind w:left="6480" w:hanging="360"/>
      </w:pPr>
      <w:rPr>
        <w:rFonts w:ascii="Wingdings" w:hAnsi="Wingdings" w:hint="default"/>
      </w:rPr>
    </w:lvl>
  </w:abstractNum>
  <w:abstractNum w:abstractNumId="26" w15:restartNumberingAfterBreak="0">
    <w:nsid w:val="18082E01"/>
    <w:multiLevelType w:val="hybridMultilevel"/>
    <w:tmpl w:val="0B3A2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9255EDC"/>
    <w:multiLevelType w:val="hybridMultilevel"/>
    <w:tmpl w:val="F04889CA"/>
    <w:lvl w:ilvl="0" w:tplc="504CF1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E432273"/>
    <w:multiLevelType w:val="hybridMultilevel"/>
    <w:tmpl w:val="B0AC2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ED34941"/>
    <w:multiLevelType w:val="hybridMultilevel"/>
    <w:tmpl w:val="5FBC03FC"/>
    <w:lvl w:ilvl="0" w:tplc="C3E25982">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0E11FF9"/>
    <w:multiLevelType w:val="hybridMultilevel"/>
    <w:tmpl w:val="97D44F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0FA4456"/>
    <w:multiLevelType w:val="hybridMultilevel"/>
    <w:tmpl w:val="B8DA2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0FF163F"/>
    <w:multiLevelType w:val="hybridMultilevel"/>
    <w:tmpl w:val="685ABD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213D6439"/>
    <w:multiLevelType w:val="hybridMultilevel"/>
    <w:tmpl w:val="67FA64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166005B"/>
    <w:multiLevelType w:val="hybridMultilevel"/>
    <w:tmpl w:val="96EEC2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4DF4A85"/>
    <w:multiLevelType w:val="hybridMultilevel"/>
    <w:tmpl w:val="241A6172"/>
    <w:lvl w:ilvl="0" w:tplc="EED2B48E">
      <w:start w:val="1"/>
      <w:numFmt w:val="bullet"/>
      <w:lvlText w:val=""/>
      <w:lvlJc w:val="left"/>
      <w:pPr>
        <w:ind w:left="1428" w:hanging="360"/>
      </w:pPr>
      <w:rPr>
        <w:rFonts w:ascii="Symbol" w:hAnsi="Symbol" w:hint="default"/>
      </w:rPr>
    </w:lvl>
    <w:lvl w:ilvl="1" w:tplc="5B5C74E4">
      <w:start w:val="1"/>
      <w:numFmt w:val="bullet"/>
      <w:lvlText w:val="o"/>
      <w:lvlJc w:val="left"/>
      <w:pPr>
        <w:ind w:left="2148" w:hanging="360"/>
      </w:pPr>
      <w:rPr>
        <w:rFonts w:ascii="Courier New" w:hAnsi="Courier New" w:cs="Courier New" w:hint="default"/>
      </w:rPr>
    </w:lvl>
    <w:lvl w:ilvl="2" w:tplc="F1029CF8">
      <w:start w:val="1"/>
      <w:numFmt w:val="bullet"/>
      <w:lvlText w:val=""/>
      <w:lvlJc w:val="left"/>
      <w:pPr>
        <w:ind w:left="2868" w:hanging="360"/>
      </w:pPr>
      <w:rPr>
        <w:rFonts w:ascii="Wingdings" w:hAnsi="Wingdings" w:hint="default"/>
      </w:rPr>
    </w:lvl>
    <w:lvl w:ilvl="3" w:tplc="80B078AE">
      <w:start w:val="1"/>
      <w:numFmt w:val="bullet"/>
      <w:lvlText w:val=""/>
      <w:lvlJc w:val="left"/>
      <w:pPr>
        <w:ind w:left="3588" w:hanging="360"/>
      </w:pPr>
      <w:rPr>
        <w:rFonts w:ascii="Symbol" w:hAnsi="Symbol" w:hint="default"/>
      </w:rPr>
    </w:lvl>
    <w:lvl w:ilvl="4" w:tplc="472A882C">
      <w:start w:val="1"/>
      <w:numFmt w:val="bullet"/>
      <w:lvlText w:val="o"/>
      <w:lvlJc w:val="left"/>
      <w:pPr>
        <w:ind w:left="4308" w:hanging="360"/>
      </w:pPr>
      <w:rPr>
        <w:rFonts w:ascii="Courier New" w:hAnsi="Courier New" w:cs="Courier New" w:hint="default"/>
      </w:rPr>
    </w:lvl>
    <w:lvl w:ilvl="5" w:tplc="A692D73C">
      <w:start w:val="1"/>
      <w:numFmt w:val="bullet"/>
      <w:lvlText w:val=""/>
      <w:lvlJc w:val="left"/>
      <w:pPr>
        <w:ind w:left="5028" w:hanging="360"/>
      </w:pPr>
      <w:rPr>
        <w:rFonts w:ascii="Wingdings" w:hAnsi="Wingdings" w:hint="default"/>
      </w:rPr>
    </w:lvl>
    <w:lvl w:ilvl="6" w:tplc="952406C0">
      <w:start w:val="1"/>
      <w:numFmt w:val="bullet"/>
      <w:lvlText w:val=""/>
      <w:lvlJc w:val="left"/>
      <w:pPr>
        <w:ind w:left="5748" w:hanging="360"/>
      </w:pPr>
      <w:rPr>
        <w:rFonts w:ascii="Symbol" w:hAnsi="Symbol" w:hint="default"/>
      </w:rPr>
    </w:lvl>
    <w:lvl w:ilvl="7" w:tplc="77767F38">
      <w:start w:val="1"/>
      <w:numFmt w:val="bullet"/>
      <w:lvlText w:val="o"/>
      <w:lvlJc w:val="left"/>
      <w:pPr>
        <w:ind w:left="6468" w:hanging="360"/>
      </w:pPr>
      <w:rPr>
        <w:rFonts w:ascii="Courier New" w:hAnsi="Courier New" w:cs="Courier New" w:hint="default"/>
      </w:rPr>
    </w:lvl>
    <w:lvl w:ilvl="8" w:tplc="0E96D622">
      <w:start w:val="1"/>
      <w:numFmt w:val="bullet"/>
      <w:lvlText w:val=""/>
      <w:lvlJc w:val="left"/>
      <w:pPr>
        <w:ind w:left="7188" w:hanging="360"/>
      </w:pPr>
      <w:rPr>
        <w:rFonts w:ascii="Wingdings" w:hAnsi="Wingdings" w:hint="default"/>
      </w:rPr>
    </w:lvl>
  </w:abstractNum>
  <w:abstractNum w:abstractNumId="36" w15:restartNumberingAfterBreak="0">
    <w:nsid w:val="258E74BE"/>
    <w:multiLevelType w:val="hybridMultilevel"/>
    <w:tmpl w:val="0AA268D6"/>
    <w:lvl w:ilvl="0" w:tplc="29E6D5D0">
      <w:start w:val="1"/>
      <w:numFmt w:val="decimal"/>
      <w:lvlText w:val="%1."/>
      <w:lvlJc w:val="left"/>
      <w:pPr>
        <w:ind w:left="1109" w:hanging="4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25EC195C"/>
    <w:multiLevelType w:val="hybridMultilevel"/>
    <w:tmpl w:val="4D82F190"/>
    <w:styleLink w:val="1ai1"/>
    <w:lvl w:ilvl="0" w:tplc="29A64A5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15:restartNumberingAfterBreak="0">
    <w:nsid w:val="27274BBC"/>
    <w:multiLevelType w:val="hybridMultilevel"/>
    <w:tmpl w:val="AB6CD2E6"/>
    <w:lvl w:ilvl="0" w:tplc="1A5EEB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8E51F7D"/>
    <w:multiLevelType w:val="hybridMultilevel"/>
    <w:tmpl w:val="4FD89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94D23A3"/>
    <w:multiLevelType w:val="hybridMultilevel"/>
    <w:tmpl w:val="D7A8E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9845A96"/>
    <w:multiLevelType w:val="hybridMultilevel"/>
    <w:tmpl w:val="E0AE1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2AB52F31"/>
    <w:multiLevelType w:val="hybridMultilevel"/>
    <w:tmpl w:val="3B989FD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ACB6068"/>
    <w:multiLevelType w:val="hybridMultilevel"/>
    <w:tmpl w:val="186A0532"/>
    <w:lvl w:ilvl="0" w:tplc="38C65A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15:restartNumberingAfterBreak="0">
    <w:nsid w:val="2B230778"/>
    <w:multiLevelType w:val="hybridMultilevel"/>
    <w:tmpl w:val="7D104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B657FF0"/>
    <w:multiLevelType w:val="hybridMultilevel"/>
    <w:tmpl w:val="CDB2AB66"/>
    <w:styleLink w:val="1111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C9F7B5D"/>
    <w:multiLevelType w:val="hybridMultilevel"/>
    <w:tmpl w:val="F52C27E2"/>
    <w:lvl w:ilvl="0" w:tplc="04190001">
      <w:start w:val="1"/>
      <w:numFmt w:val="bullet"/>
      <w:lvlText w:val=""/>
      <w:lvlJc w:val="left"/>
      <w:pPr>
        <w:ind w:left="504" w:hanging="360"/>
      </w:pPr>
      <w:rPr>
        <w:rFonts w:ascii="Symbol" w:hAnsi="Symbol" w:hint="default"/>
      </w:rPr>
    </w:lvl>
    <w:lvl w:ilvl="1" w:tplc="04190003" w:tentative="1">
      <w:start w:val="1"/>
      <w:numFmt w:val="bullet"/>
      <w:lvlText w:val="o"/>
      <w:lvlJc w:val="left"/>
      <w:pPr>
        <w:ind w:left="1224" w:hanging="360"/>
      </w:pPr>
      <w:rPr>
        <w:rFonts w:ascii="Courier New" w:hAnsi="Courier New" w:cs="Courier New" w:hint="default"/>
      </w:rPr>
    </w:lvl>
    <w:lvl w:ilvl="2" w:tplc="04190005" w:tentative="1">
      <w:start w:val="1"/>
      <w:numFmt w:val="bullet"/>
      <w:lvlText w:val=""/>
      <w:lvlJc w:val="left"/>
      <w:pPr>
        <w:ind w:left="1944" w:hanging="360"/>
      </w:pPr>
      <w:rPr>
        <w:rFonts w:ascii="Wingdings" w:hAnsi="Wingdings" w:hint="default"/>
      </w:rPr>
    </w:lvl>
    <w:lvl w:ilvl="3" w:tplc="04190001" w:tentative="1">
      <w:start w:val="1"/>
      <w:numFmt w:val="bullet"/>
      <w:lvlText w:val=""/>
      <w:lvlJc w:val="left"/>
      <w:pPr>
        <w:ind w:left="2664" w:hanging="360"/>
      </w:pPr>
      <w:rPr>
        <w:rFonts w:ascii="Symbol" w:hAnsi="Symbol" w:hint="default"/>
      </w:rPr>
    </w:lvl>
    <w:lvl w:ilvl="4" w:tplc="04190003" w:tentative="1">
      <w:start w:val="1"/>
      <w:numFmt w:val="bullet"/>
      <w:lvlText w:val="o"/>
      <w:lvlJc w:val="left"/>
      <w:pPr>
        <w:ind w:left="3384" w:hanging="360"/>
      </w:pPr>
      <w:rPr>
        <w:rFonts w:ascii="Courier New" w:hAnsi="Courier New" w:cs="Courier New" w:hint="default"/>
      </w:rPr>
    </w:lvl>
    <w:lvl w:ilvl="5" w:tplc="04190005" w:tentative="1">
      <w:start w:val="1"/>
      <w:numFmt w:val="bullet"/>
      <w:lvlText w:val=""/>
      <w:lvlJc w:val="left"/>
      <w:pPr>
        <w:ind w:left="4104" w:hanging="360"/>
      </w:pPr>
      <w:rPr>
        <w:rFonts w:ascii="Wingdings" w:hAnsi="Wingdings" w:hint="default"/>
      </w:rPr>
    </w:lvl>
    <w:lvl w:ilvl="6" w:tplc="04190001" w:tentative="1">
      <w:start w:val="1"/>
      <w:numFmt w:val="bullet"/>
      <w:lvlText w:val=""/>
      <w:lvlJc w:val="left"/>
      <w:pPr>
        <w:ind w:left="4824" w:hanging="360"/>
      </w:pPr>
      <w:rPr>
        <w:rFonts w:ascii="Symbol" w:hAnsi="Symbol" w:hint="default"/>
      </w:rPr>
    </w:lvl>
    <w:lvl w:ilvl="7" w:tplc="04190003" w:tentative="1">
      <w:start w:val="1"/>
      <w:numFmt w:val="bullet"/>
      <w:lvlText w:val="o"/>
      <w:lvlJc w:val="left"/>
      <w:pPr>
        <w:ind w:left="5544" w:hanging="360"/>
      </w:pPr>
      <w:rPr>
        <w:rFonts w:ascii="Courier New" w:hAnsi="Courier New" w:cs="Courier New" w:hint="default"/>
      </w:rPr>
    </w:lvl>
    <w:lvl w:ilvl="8" w:tplc="04190005" w:tentative="1">
      <w:start w:val="1"/>
      <w:numFmt w:val="bullet"/>
      <w:lvlText w:val=""/>
      <w:lvlJc w:val="left"/>
      <w:pPr>
        <w:ind w:left="6264" w:hanging="360"/>
      </w:pPr>
      <w:rPr>
        <w:rFonts w:ascii="Wingdings" w:hAnsi="Wingdings" w:hint="default"/>
      </w:rPr>
    </w:lvl>
  </w:abstractNum>
  <w:abstractNum w:abstractNumId="47" w15:restartNumberingAfterBreak="0">
    <w:nsid w:val="2E99702F"/>
    <w:multiLevelType w:val="hybridMultilevel"/>
    <w:tmpl w:val="F462DD2C"/>
    <w:lvl w:ilvl="0" w:tplc="0BEA7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2F047352"/>
    <w:multiLevelType w:val="hybridMultilevel"/>
    <w:tmpl w:val="BCD4AE8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30393A78"/>
    <w:multiLevelType w:val="hybridMultilevel"/>
    <w:tmpl w:val="A468B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07F2DBF"/>
    <w:multiLevelType w:val="hybridMultilevel"/>
    <w:tmpl w:val="45C4F31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1" w15:restartNumberingAfterBreak="0">
    <w:nsid w:val="31635227"/>
    <w:multiLevelType w:val="hybridMultilevel"/>
    <w:tmpl w:val="C2D4C0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31CB7F2B"/>
    <w:multiLevelType w:val="multilevel"/>
    <w:tmpl w:val="AD6A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28A218F"/>
    <w:multiLevelType w:val="hybridMultilevel"/>
    <w:tmpl w:val="215072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15:restartNumberingAfterBreak="0">
    <w:nsid w:val="35BB0925"/>
    <w:multiLevelType w:val="hybridMultilevel"/>
    <w:tmpl w:val="270657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7C65635"/>
    <w:multiLevelType w:val="hybridMultilevel"/>
    <w:tmpl w:val="F4C848D0"/>
    <w:lvl w:ilvl="0" w:tplc="872C0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38A42892"/>
    <w:multiLevelType w:val="hybridMultilevel"/>
    <w:tmpl w:val="4CDAC1EE"/>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57" w15:restartNumberingAfterBreak="0">
    <w:nsid w:val="3A6455AA"/>
    <w:multiLevelType w:val="hybridMultilevel"/>
    <w:tmpl w:val="43D0E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AEE74B1"/>
    <w:multiLevelType w:val="hybridMultilevel"/>
    <w:tmpl w:val="D1702BF8"/>
    <w:lvl w:ilvl="0" w:tplc="2FC2A5E6">
      <w:start w:val="1"/>
      <w:numFmt w:val="bullet"/>
      <w:lvlText w:val="•"/>
      <w:lvlJc w:val="left"/>
      <w:pPr>
        <w:tabs>
          <w:tab w:val="num" w:pos="720"/>
        </w:tabs>
        <w:ind w:left="720" w:hanging="360"/>
      </w:pPr>
      <w:rPr>
        <w:rFonts w:ascii="Arial" w:hAnsi="Arial" w:hint="default"/>
      </w:rPr>
    </w:lvl>
    <w:lvl w:ilvl="1" w:tplc="00C842DC" w:tentative="1">
      <w:start w:val="1"/>
      <w:numFmt w:val="bullet"/>
      <w:lvlText w:val="•"/>
      <w:lvlJc w:val="left"/>
      <w:pPr>
        <w:tabs>
          <w:tab w:val="num" w:pos="1440"/>
        </w:tabs>
        <w:ind w:left="1440" w:hanging="360"/>
      </w:pPr>
      <w:rPr>
        <w:rFonts w:ascii="Arial" w:hAnsi="Arial" w:hint="default"/>
      </w:rPr>
    </w:lvl>
    <w:lvl w:ilvl="2" w:tplc="5106BF54" w:tentative="1">
      <w:start w:val="1"/>
      <w:numFmt w:val="bullet"/>
      <w:lvlText w:val="•"/>
      <w:lvlJc w:val="left"/>
      <w:pPr>
        <w:tabs>
          <w:tab w:val="num" w:pos="2160"/>
        </w:tabs>
        <w:ind w:left="2160" w:hanging="360"/>
      </w:pPr>
      <w:rPr>
        <w:rFonts w:ascii="Arial" w:hAnsi="Arial" w:hint="default"/>
      </w:rPr>
    </w:lvl>
    <w:lvl w:ilvl="3" w:tplc="80886C6E" w:tentative="1">
      <w:start w:val="1"/>
      <w:numFmt w:val="bullet"/>
      <w:lvlText w:val="•"/>
      <w:lvlJc w:val="left"/>
      <w:pPr>
        <w:tabs>
          <w:tab w:val="num" w:pos="2880"/>
        </w:tabs>
        <w:ind w:left="2880" w:hanging="360"/>
      </w:pPr>
      <w:rPr>
        <w:rFonts w:ascii="Arial" w:hAnsi="Arial" w:hint="default"/>
      </w:rPr>
    </w:lvl>
    <w:lvl w:ilvl="4" w:tplc="367A6298" w:tentative="1">
      <w:start w:val="1"/>
      <w:numFmt w:val="bullet"/>
      <w:lvlText w:val="•"/>
      <w:lvlJc w:val="left"/>
      <w:pPr>
        <w:tabs>
          <w:tab w:val="num" w:pos="3600"/>
        </w:tabs>
        <w:ind w:left="3600" w:hanging="360"/>
      </w:pPr>
      <w:rPr>
        <w:rFonts w:ascii="Arial" w:hAnsi="Arial" w:hint="default"/>
      </w:rPr>
    </w:lvl>
    <w:lvl w:ilvl="5" w:tplc="DD06D10C" w:tentative="1">
      <w:start w:val="1"/>
      <w:numFmt w:val="bullet"/>
      <w:lvlText w:val="•"/>
      <w:lvlJc w:val="left"/>
      <w:pPr>
        <w:tabs>
          <w:tab w:val="num" w:pos="4320"/>
        </w:tabs>
        <w:ind w:left="4320" w:hanging="360"/>
      </w:pPr>
      <w:rPr>
        <w:rFonts w:ascii="Arial" w:hAnsi="Arial" w:hint="default"/>
      </w:rPr>
    </w:lvl>
    <w:lvl w:ilvl="6" w:tplc="746E3562" w:tentative="1">
      <w:start w:val="1"/>
      <w:numFmt w:val="bullet"/>
      <w:lvlText w:val="•"/>
      <w:lvlJc w:val="left"/>
      <w:pPr>
        <w:tabs>
          <w:tab w:val="num" w:pos="5040"/>
        </w:tabs>
        <w:ind w:left="5040" w:hanging="360"/>
      </w:pPr>
      <w:rPr>
        <w:rFonts w:ascii="Arial" w:hAnsi="Arial" w:hint="default"/>
      </w:rPr>
    </w:lvl>
    <w:lvl w:ilvl="7" w:tplc="4F3AE39C" w:tentative="1">
      <w:start w:val="1"/>
      <w:numFmt w:val="bullet"/>
      <w:lvlText w:val="•"/>
      <w:lvlJc w:val="left"/>
      <w:pPr>
        <w:tabs>
          <w:tab w:val="num" w:pos="5760"/>
        </w:tabs>
        <w:ind w:left="5760" w:hanging="360"/>
      </w:pPr>
      <w:rPr>
        <w:rFonts w:ascii="Arial" w:hAnsi="Arial" w:hint="default"/>
      </w:rPr>
    </w:lvl>
    <w:lvl w:ilvl="8" w:tplc="7EC821FE"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3C5C4AAA"/>
    <w:multiLevelType w:val="hybridMultilevel"/>
    <w:tmpl w:val="BF06C0B0"/>
    <w:lvl w:ilvl="0" w:tplc="6AFCAB1E">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DE112F8"/>
    <w:multiLevelType w:val="hybridMultilevel"/>
    <w:tmpl w:val="C004DFF0"/>
    <w:lvl w:ilvl="0" w:tplc="A7CA7F60">
      <w:start w:val="1"/>
      <w:numFmt w:val="bullet"/>
      <w:lvlText w:val=""/>
      <w:lvlJc w:val="left"/>
      <w:pPr>
        <w:ind w:left="720" w:hanging="360"/>
      </w:pPr>
      <w:rPr>
        <w:rFonts w:ascii="Symbol" w:hAnsi="Symbol" w:hint="default"/>
      </w:rPr>
    </w:lvl>
    <w:lvl w:ilvl="1" w:tplc="2870B0D8">
      <w:start w:val="1"/>
      <w:numFmt w:val="bullet"/>
      <w:lvlText w:val="o"/>
      <w:lvlJc w:val="left"/>
      <w:pPr>
        <w:ind w:left="1440" w:hanging="360"/>
      </w:pPr>
      <w:rPr>
        <w:rFonts w:ascii="Courier New" w:hAnsi="Courier New" w:cs="Courier New" w:hint="default"/>
      </w:rPr>
    </w:lvl>
    <w:lvl w:ilvl="2" w:tplc="D506DEB8">
      <w:start w:val="1"/>
      <w:numFmt w:val="bullet"/>
      <w:lvlText w:val=""/>
      <w:lvlJc w:val="left"/>
      <w:pPr>
        <w:ind w:left="2160" w:hanging="360"/>
      </w:pPr>
      <w:rPr>
        <w:rFonts w:ascii="Wingdings" w:hAnsi="Wingdings" w:hint="default"/>
      </w:rPr>
    </w:lvl>
    <w:lvl w:ilvl="3" w:tplc="CE8A0E88">
      <w:start w:val="1"/>
      <w:numFmt w:val="bullet"/>
      <w:lvlText w:val=""/>
      <w:lvlJc w:val="left"/>
      <w:pPr>
        <w:ind w:left="2880" w:hanging="360"/>
      </w:pPr>
      <w:rPr>
        <w:rFonts w:ascii="Symbol" w:hAnsi="Symbol" w:hint="default"/>
      </w:rPr>
    </w:lvl>
    <w:lvl w:ilvl="4" w:tplc="C5806F16">
      <w:start w:val="1"/>
      <w:numFmt w:val="bullet"/>
      <w:lvlText w:val="o"/>
      <w:lvlJc w:val="left"/>
      <w:pPr>
        <w:ind w:left="3600" w:hanging="360"/>
      </w:pPr>
      <w:rPr>
        <w:rFonts w:ascii="Courier New" w:hAnsi="Courier New" w:cs="Courier New" w:hint="default"/>
      </w:rPr>
    </w:lvl>
    <w:lvl w:ilvl="5" w:tplc="1FC4FB46">
      <w:start w:val="1"/>
      <w:numFmt w:val="bullet"/>
      <w:lvlText w:val=""/>
      <w:lvlJc w:val="left"/>
      <w:pPr>
        <w:ind w:left="4320" w:hanging="360"/>
      </w:pPr>
      <w:rPr>
        <w:rFonts w:ascii="Wingdings" w:hAnsi="Wingdings" w:hint="default"/>
      </w:rPr>
    </w:lvl>
    <w:lvl w:ilvl="6" w:tplc="39D4DDAE">
      <w:start w:val="1"/>
      <w:numFmt w:val="bullet"/>
      <w:lvlText w:val=""/>
      <w:lvlJc w:val="left"/>
      <w:pPr>
        <w:ind w:left="5040" w:hanging="360"/>
      </w:pPr>
      <w:rPr>
        <w:rFonts w:ascii="Symbol" w:hAnsi="Symbol" w:hint="default"/>
      </w:rPr>
    </w:lvl>
    <w:lvl w:ilvl="7" w:tplc="00E0E3EE">
      <w:start w:val="1"/>
      <w:numFmt w:val="bullet"/>
      <w:lvlText w:val="o"/>
      <w:lvlJc w:val="left"/>
      <w:pPr>
        <w:ind w:left="5760" w:hanging="360"/>
      </w:pPr>
      <w:rPr>
        <w:rFonts w:ascii="Courier New" w:hAnsi="Courier New" w:cs="Courier New" w:hint="default"/>
      </w:rPr>
    </w:lvl>
    <w:lvl w:ilvl="8" w:tplc="CF64A60A">
      <w:start w:val="1"/>
      <w:numFmt w:val="bullet"/>
      <w:lvlText w:val=""/>
      <w:lvlJc w:val="left"/>
      <w:pPr>
        <w:ind w:left="6480" w:hanging="360"/>
      </w:pPr>
      <w:rPr>
        <w:rFonts w:ascii="Wingdings" w:hAnsi="Wingdings" w:hint="default"/>
      </w:rPr>
    </w:lvl>
  </w:abstractNum>
  <w:abstractNum w:abstractNumId="61" w15:restartNumberingAfterBreak="0">
    <w:nsid w:val="3EAB7338"/>
    <w:multiLevelType w:val="hybridMultilevel"/>
    <w:tmpl w:val="458A317A"/>
    <w:lvl w:ilvl="0" w:tplc="AA62F68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2" w15:restartNumberingAfterBreak="0">
    <w:nsid w:val="3EBB5F12"/>
    <w:multiLevelType w:val="hybridMultilevel"/>
    <w:tmpl w:val="F86E5E7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3" w15:restartNumberingAfterBreak="0">
    <w:nsid w:val="3EED3FF5"/>
    <w:multiLevelType w:val="multilevel"/>
    <w:tmpl w:val="420402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F01408C"/>
    <w:multiLevelType w:val="hybridMultilevel"/>
    <w:tmpl w:val="E02ED63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5" w15:restartNumberingAfterBreak="0">
    <w:nsid w:val="3F7D6042"/>
    <w:multiLevelType w:val="hybridMultilevel"/>
    <w:tmpl w:val="FF4234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6" w15:restartNumberingAfterBreak="0">
    <w:nsid w:val="403D17B0"/>
    <w:multiLevelType w:val="hybridMultilevel"/>
    <w:tmpl w:val="13D0519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0F00836"/>
    <w:multiLevelType w:val="hybridMultilevel"/>
    <w:tmpl w:val="488C873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15:restartNumberingAfterBreak="0">
    <w:nsid w:val="43265C3D"/>
    <w:multiLevelType w:val="hybridMultilevel"/>
    <w:tmpl w:val="A366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3752FBF"/>
    <w:multiLevelType w:val="hybridMultilevel"/>
    <w:tmpl w:val="DE0650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15:restartNumberingAfterBreak="0">
    <w:nsid w:val="440C4110"/>
    <w:multiLevelType w:val="hybridMultilevel"/>
    <w:tmpl w:val="A87AC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45C2F2B"/>
    <w:multiLevelType w:val="hybridMultilevel"/>
    <w:tmpl w:val="80B4DE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6F431F7"/>
    <w:multiLevelType w:val="hybridMultilevel"/>
    <w:tmpl w:val="11C03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74E3A23"/>
    <w:multiLevelType w:val="hybridMultilevel"/>
    <w:tmpl w:val="2CB0D6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7DB6062"/>
    <w:multiLevelType w:val="multilevel"/>
    <w:tmpl w:val="A762D9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A043115"/>
    <w:multiLevelType w:val="multilevel"/>
    <w:tmpl w:val="5060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AA610D1"/>
    <w:multiLevelType w:val="hybridMultilevel"/>
    <w:tmpl w:val="C75EF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AEF0A1E"/>
    <w:multiLevelType w:val="hybridMultilevel"/>
    <w:tmpl w:val="86C25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B912FC9"/>
    <w:multiLevelType w:val="hybridMultilevel"/>
    <w:tmpl w:val="F8BE31C4"/>
    <w:styleLink w:val="1"/>
    <w:lvl w:ilvl="0" w:tplc="B97EBB6A">
      <w:start w:val="1"/>
      <w:numFmt w:val="bullet"/>
      <w:lvlText w:val="·"/>
      <w:lvlJc w:val="left"/>
      <w:pPr>
        <w:ind w:left="967" w:hanging="57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182848">
      <w:start w:val="1"/>
      <w:numFmt w:val="bullet"/>
      <w:lvlText w:val="o"/>
      <w:lvlJc w:val="left"/>
      <w:pPr>
        <w:tabs>
          <w:tab w:val="num" w:pos="1761"/>
        </w:tabs>
        <w:ind w:left="1364" w:firstLine="15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ECE9D2">
      <w:start w:val="1"/>
      <w:numFmt w:val="bullet"/>
      <w:lvlText w:val="▪"/>
      <w:lvlJc w:val="left"/>
      <w:pPr>
        <w:ind w:left="219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745518">
      <w:start w:val="1"/>
      <w:numFmt w:val="bullet"/>
      <w:lvlText w:val="·"/>
      <w:lvlJc w:val="left"/>
      <w:pPr>
        <w:ind w:left="2914" w:hanging="57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B2730C">
      <w:start w:val="1"/>
      <w:numFmt w:val="bullet"/>
      <w:lvlText w:val="o"/>
      <w:lvlJc w:val="left"/>
      <w:pPr>
        <w:ind w:left="363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60F3CA">
      <w:start w:val="1"/>
      <w:numFmt w:val="bullet"/>
      <w:lvlText w:val="▪"/>
      <w:lvlJc w:val="left"/>
      <w:pPr>
        <w:ind w:left="435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3C1838">
      <w:start w:val="1"/>
      <w:numFmt w:val="bullet"/>
      <w:lvlText w:val="·"/>
      <w:lvlJc w:val="left"/>
      <w:pPr>
        <w:ind w:left="5074" w:hanging="57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12015A">
      <w:start w:val="1"/>
      <w:numFmt w:val="bullet"/>
      <w:lvlText w:val="o"/>
      <w:lvlJc w:val="left"/>
      <w:pPr>
        <w:ind w:left="579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CA0E84">
      <w:start w:val="1"/>
      <w:numFmt w:val="bullet"/>
      <w:lvlText w:val="▪"/>
      <w:lvlJc w:val="left"/>
      <w:pPr>
        <w:ind w:left="651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4C150BCE"/>
    <w:multiLevelType w:val="hybridMultilevel"/>
    <w:tmpl w:val="B57CFDE0"/>
    <w:lvl w:ilvl="0" w:tplc="234C89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C6E52F0"/>
    <w:multiLevelType w:val="hybridMultilevel"/>
    <w:tmpl w:val="00F27D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15:restartNumberingAfterBreak="0">
    <w:nsid w:val="4EA30340"/>
    <w:multiLevelType w:val="hybridMultilevel"/>
    <w:tmpl w:val="B6F0C3DC"/>
    <w:lvl w:ilvl="0" w:tplc="0419000F">
      <w:start w:val="1"/>
      <w:numFmt w:val="decimal"/>
      <w:lvlText w:val="%1."/>
      <w:lvlJc w:val="left"/>
      <w:pPr>
        <w:ind w:left="1068" w:hanging="360"/>
      </w:pPr>
      <w:rPr>
        <w:rFonts w:hint="default"/>
      </w:rPr>
    </w:lvl>
    <w:lvl w:ilvl="1" w:tplc="0CF6ACBC">
      <w:start w:val="1"/>
      <w:numFmt w:val="decimal"/>
      <w:lvlText w:val="%2."/>
      <w:lvlJc w:val="left"/>
      <w:pPr>
        <w:ind w:left="1440" w:hanging="360"/>
      </w:pPr>
      <w:rPr>
        <w:rFonts w:hint="default"/>
      </w:rPr>
    </w:lvl>
    <w:lvl w:ilvl="2" w:tplc="58704C1C">
      <w:start w:val="1"/>
      <w:numFmt w:val="lowerRoman"/>
      <w:lvlText w:val="%3."/>
      <w:lvlJc w:val="right"/>
      <w:pPr>
        <w:ind w:left="2160" w:hanging="180"/>
      </w:pPr>
    </w:lvl>
    <w:lvl w:ilvl="3" w:tplc="547EBF6C">
      <w:start w:val="1"/>
      <w:numFmt w:val="decimal"/>
      <w:lvlText w:val="%4."/>
      <w:lvlJc w:val="left"/>
      <w:pPr>
        <w:ind w:left="2880" w:hanging="360"/>
      </w:pPr>
    </w:lvl>
    <w:lvl w:ilvl="4" w:tplc="21F628DC">
      <w:start w:val="1"/>
      <w:numFmt w:val="lowerLetter"/>
      <w:lvlText w:val="%5."/>
      <w:lvlJc w:val="left"/>
      <w:pPr>
        <w:ind w:left="3600" w:hanging="360"/>
      </w:pPr>
    </w:lvl>
    <w:lvl w:ilvl="5" w:tplc="082CFF88">
      <w:start w:val="1"/>
      <w:numFmt w:val="lowerRoman"/>
      <w:lvlText w:val="%6."/>
      <w:lvlJc w:val="right"/>
      <w:pPr>
        <w:ind w:left="4320" w:hanging="180"/>
      </w:pPr>
    </w:lvl>
    <w:lvl w:ilvl="6" w:tplc="AD2E6324">
      <w:start w:val="1"/>
      <w:numFmt w:val="decimal"/>
      <w:lvlText w:val="%7."/>
      <w:lvlJc w:val="left"/>
      <w:pPr>
        <w:ind w:left="5040" w:hanging="360"/>
      </w:pPr>
    </w:lvl>
    <w:lvl w:ilvl="7" w:tplc="E494B0C4">
      <w:start w:val="1"/>
      <w:numFmt w:val="lowerLetter"/>
      <w:lvlText w:val="%8."/>
      <w:lvlJc w:val="left"/>
      <w:pPr>
        <w:ind w:left="5760" w:hanging="360"/>
      </w:pPr>
    </w:lvl>
    <w:lvl w:ilvl="8" w:tplc="BAA87298">
      <w:start w:val="1"/>
      <w:numFmt w:val="lowerRoman"/>
      <w:lvlText w:val="%9."/>
      <w:lvlJc w:val="right"/>
      <w:pPr>
        <w:ind w:left="6480" w:hanging="180"/>
      </w:pPr>
    </w:lvl>
  </w:abstractNum>
  <w:abstractNum w:abstractNumId="82" w15:restartNumberingAfterBreak="0">
    <w:nsid w:val="4EF30506"/>
    <w:multiLevelType w:val="multilevel"/>
    <w:tmpl w:val="E2FC6E58"/>
    <w:lvl w:ilvl="0">
      <w:start w:val="1"/>
      <w:numFmt w:val="bullet"/>
      <w:lvlText w:val=""/>
      <w:lvlJc w:val="left"/>
      <w:pPr>
        <w:ind w:left="720" w:hanging="360"/>
      </w:pPr>
      <w:rPr>
        <w:rFonts w:ascii="Symbol" w:hAnsi="Symbol" w:cs="Symbol" w:hint="default"/>
        <w:b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F413584"/>
    <w:multiLevelType w:val="hybridMultilevel"/>
    <w:tmpl w:val="9D82F3E8"/>
    <w:lvl w:ilvl="0" w:tplc="B65A457C">
      <w:start w:val="1"/>
      <w:numFmt w:val="bullet"/>
      <w:lvlText w:val=""/>
      <w:lvlJc w:val="left"/>
      <w:pPr>
        <w:ind w:left="1068" w:hanging="360"/>
      </w:pPr>
      <w:rPr>
        <w:rFonts w:ascii="Symbol" w:hAnsi="Symbol" w:hint="default"/>
      </w:rPr>
    </w:lvl>
    <w:lvl w:ilvl="1" w:tplc="0CF6ACBC">
      <w:start w:val="1"/>
      <w:numFmt w:val="decimal"/>
      <w:lvlText w:val="%2."/>
      <w:lvlJc w:val="left"/>
      <w:pPr>
        <w:ind w:left="1440" w:hanging="360"/>
      </w:pPr>
      <w:rPr>
        <w:rFonts w:hint="default"/>
      </w:rPr>
    </w:lvl>
    <w:lvl w:ilvl="2" w:tplc="58704C1C">
      <w:start w:val="1"/>
      <w:numFmt w:val="lowerRoman"/>
      <w:lvlText w:val="%3."/>
      <w:lvlJc w:val="right"/>
      <w:pPr>
        <w:ind w:left="2160" w:hanging="180"/>
      </w:pPr>
    </w:lvl>
    <w:lvl w:ilvl="3" w:tplc="547EBF6C">
      <w:start w:val="1"/>
      <w:numFmt w:val="decimal"/>
      <w:lvlText w:val="%4."/>
      <w:lvlJc w:val="left"/>
      <w:pPr>
        <w:ind w:left="2880" w:hanging="360"/>
      </w:pPr>
    </w:lvl>
    <w:lvl w:ilvl="4" w:tplc="21F628DC">
      <w:start w:val="1"/>
      <w:numFmt w:val="lowerLetter"/>
      <w:lvlText w:val="%5."/>
      <w:lvlJc w:val="left"/>
      <w:pPr>
        <w:ind w:left="3600" w:hanging="360"/>
      </w:pPr>
    </w:lvl>
    <w:lvl w:ilvl="5" w:tplc="082CFF88">
      <w:start w:val="1"/>
      <w:numFmt w:val="lowerRoman"/>
      <w:lvlText w:val="%6."/>
      <w:lvlJc w:val="right"/>
      <w:pPr>
        <w:ind w:left="4320" w:hanging="180"/>
      </w:pPr>
    </w:lvl>
    <w:lvl w:ilvl="6" w:tplc="AD2E6324">
      <w:start w:val="1"/>
      <w:numFmt w:val="decimal"/>
      <w:lvlText w:val="%7."/>
      <w:lvlJc w:val="left"/>
      <w:pPr>
        <w:ind w:left="5040" w:hanging="360"/>
      </w:pPr>
    </w:lvl>
    <w:lvl w:ilvl="7" w:tplc="E494B0C4">
      <w:start w:val="1"/>
      <w:numFmt w:val="lowerLetter"/>
      <w:lvlText w:val="%8."/>
      <w:lvlJc w:val="left"/>
      <w:pPr>
        <w:ind w:left="5760" w:hanging="360"/>
      </w:pPr>
    </w:lvl>
    <w:lvl w:ilvl="8" w:tplc="BAA87298">
      <w:start w:val="1"/>
      <w:numFmt w:val="lowerRoman"/>
      <w:lvlText w:val="%9."/>
      <w:lvlJc w:val="right"/>
      <w:pPr>
        <w:ind w:left="6480" w:hanging="180"/>
      </w:pPr>
    </w:lvl>
  </w:abstractNum>
  <w:abstractNum w:abstractNumId="84" w15:restartNumberingAfterBreak="0">
    <w:nsid w:val="4FE67E18"/>
    <w:multiLevelType w:val="hybridMultilevel"/>
    <w:tmpl w:val="50540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11A29C8"/>
    <w:multiLevelType w:val="multilevel"/>
    <w:tmpl w:val="531CB5F6"/>
    <w:lvl w:ilvl="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1557028"/>
    <w:multiLevelType w:val="hybridMultilevel"/>
    <w:tmpl w:val="E0A83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1E0408F"/>
    <w:multiLevelType w:val="hybridMultilevel"/>
    <w:tmpl w:val="C5F62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3C60F6D"/>
    <w:multiLevelType w:val="hybridMultilevel"/>
    <w:tmpl w:val="7634162C"/>
    <w:lvl w:ilvl="0" w:tplc="D48EC5BE">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5551501A"/>
    <w:multiLevelType w:val="hybridMultilevel"/>
    <w:tmpl w:val="9434F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5DD441C"/>
    <w:multiLevelType w:val="multilevel"/>
    <w:tmpl w:val="F758790E"/>
    <w:lvl w:ilvl="0">
      <w:start w:val="1"/>
      <w:numFmt w:val="bullet"/>
      <w:lvlText w:val=""/>
      <w:lvlJc w:val="left"/>
      <w:pPr>
        <w:ind w:left="720" w:hanging="360"/>
      </w:pPr>
      <w:rPr>
        <w:rFonts w:ascii="Symbol" w:hAnsi="Symbol" w:cs="Symbol" w:hint="default"/>
        <w:b w:val="0"/>
        <w:sz w:val="24"/>
      </w:rPr>
    </w:lvl>
    <w:lvl w:ilvl="1">
      <w:start w:val="1"/>
      <w:numFmt w:val="decimal"/>
      <w:lvlText w:val="%2)"/>
      <w:lvlJc w:val="left"/>
      <w:pPr>
        <w:ind w:left="1440" w:hanging="360"/>
      </w:pPr>
      <w:rPr>
        <w:rFonts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6D57828"/>
    <w:multiLevelType w:val="hybridMultilevel"/>
    <w:tmpl w:val="051A2E54"/>
    <w:lvl w:ilvl="0" w:tplc="9CFE2CFA">
      <w:start w:val="1"/>
      <w:numFmt w:val="bullet"/>
      <w:pStyle w:val="a0"/>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81B54C9"/>
    <w:multiLevelType w:val="hybridMultilevel"/>
    <w:tmpl w:val="D34240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8B42E4F"/>
    <w:multiLevelType w:val="hybridMultilevel"/>
    <w:tmpl w:val="9AC87A2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4" w15:restartNumberingAfterBreak="0">
    <w:nsid w:val="59C05CD2"/>
    <w:multiLevelType w:val="hybridMultilevel"/>
    <w:tmpl w:val="7C486182"/>
    <w:lvl w:ilvl="0" w:tplc="5E5A3708">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5" w15:restartNumberingAfterBreak="0">
    <w:nsid w:val="5A442300"/>
    <w:multiLevelType w:val="multilevel"/>
    <w:tmpl w:val="D6AC2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A8449EC"/>
    <w:multiLevelType w:val="hybridMultilevel"/>
    <w:tmpl w:val="4A2E42B2"/>
    <w:lvl w:ilvl="0" w:tplc="04190001">
      <w:start w:val="1"/>
      <w:numFmt w:val="bullet"/>
      <w:lvlText w:val=""/>
      <w:lvlJc w:val="left"/>
      <w:pPr>
        <w:ind w:left="1878" w:hanging="360"/>
      </w:pPr>
      <w:rPr>
        <w:rFonts w:ascii="Symbol" w:hAnsi="Symbol" w:hint="default"/>
      </w:rPr>
    </w:lvl>
    <w:lvl w:ilvl="1" w:tplc="04190003" w:tentative="1">
      <w:start w:val="1"/>
      <w:numFmt w:val="bullet"/>
      <w:lvlText w:val="o"/>
      <w:lvlJc w:val="left"/>
      <w:pPr>
        <w:ind w:left="2598" w:hanging="360"/>
      </w:pPr>
      <w:rPr>
        <w:rFonts w:ascii="Courier New" w:hAnsi="Courier New" w:cs="Courier New" w:hint="default"/>
      </w:rPr>
    </w:lvl>
    <w:lvl w:ilvl="2" w:tplc="04190005" w:tentative="1">
      <w:start w:val="1"/>
      <w:numFmt w:val="bullet"/>
      <w:lvlText w:val=""/>
      <w:lvlJc w:val="left"/>
      <w:pPr>
        <w:ind w:left="3318" w:hanging="360"/>
      </w:pPr>
      <w:rPr>
        <w:rFonts w:ascii="Wingdings" w:hAnsi="Wingdings" w:hint="default"/>
      </w:rPr>
    </w:lvl>
    <w:lvl w:ilvl="3" w:tplc="04190001" w:tentative="1">
      <w:start w:val="1"/>
      <w:numFmt w:val="bullet"/>
      <w:lvlText w:val=""/>
      <w:lvlJc w:val="left"/>
      <w:pPr>
        <w:ind w:left="4038" w:hanging="360"/>
      </w:pPr>
      <w:rPr>
        <w:rFonts w:ascii="Symbol" w:hAnsi="Symbol" w:hint="default"/>
      </w:rPr>
    </w:lvl>
    <w:lvl w:ilvl="4" w:tplc="04190003" w:tentative="1">
      <w:start w:val="1"/>
      <w:numFmt w:val="bullet"/>
      <w:lvlText w:val="o"/>
      <w:lvlJc w:val="left"/>
      <w:pPr>
        <w:ind w:left="4758" w:hanging="360"/>
      </w:pPr>
      <w:rPr>
        <w:rFonts w:ascii="Courier New" w:hAnsi="Courier New" w:cs="Courier New" w:hint="default"/>
      </w:rPr>
    </w:lvl>
    <w:lvl w:ilvl="5" w:tplc="04190005" w:tentative="1">
      <w:start w:val="1"/>
      <w:numFmt w:val="bullet"/>
      <w:lvlText w:val=""/>
      <w:lvlJc w:val="left"/>
      <w:pPr>
        <w:ind w:left="5478" w:hanging="360"/>
      </w:pPr>
      <w:rPr>
        <w:rFonts w:ascii="Wingdings" w:hAnsi="Wingdings" w:hint="default"/>
      </w:rPr>
    </w:lvl>
    <w:lvl w:ilvl="6" w:tplc="04190001" w:tentative="1">
      <w:start w:val="1"/>
      <w:numFmt w:val="bullet"/>
      <w:lvlText w:val=""/>
      <w:lvlJc w:val="left"/>
      <w:pPr>
        <w:ind w:left="6198" w:hanging="360"/>
      </w:pPr>
      <w:rPr>
        <w:rFonts w:ascii="Symbol" w:hAnsi="Symbol" w:hint="default"/>
      </w:rPr>
    </w:lvl>
    <w:lvl w:ilvl="7" w:tplc="04190003" w:tentative="1">
      <w:start w:val="1"/>
      <w:numFmt w:val="bullet"/>
      <w:lvlText w:val="o"/>
      <w:lvlJc w:val="left"/>
      <w:pPr>
        <w:ind w:left="6918" w:hanging="360"/>
      </w:pPr>
      <w:rPr>
        <w:rFonts w:ascii="Courier New" w:hAnsi="Courier New" w:cs="Courier New" w:hint="default"/>
      </w:rPr>
    </w:lvl>
    <w:lvl w:ilvl="8" w:tplc="04190005" w:tentative="1">
      <w:start w:val="1"/>
      <w:numFmt w:val="bullet"/>
      <w:lvlText w:val=""/>
      <w:lvlJc w:val="left"/>
      <w:pPr>
        <w:ind w:left="7638" w:hanging="360"/>
      </w:pPr>
      <w:rPr>
        <w:rFonts w:ascii="Wingdings" w:hAnsi="Wingdings" w:hint="default"/>
      </w:rPr>
    </w:lvl>
  </w:abstractNum>
  <w:abstractNum w:abstractNumId="97" w15:restartNumberingAfterBreak="0">
    <w:nsid w:val="5AB35D50"/>
    <w:multiLevelType w:val="hybridMultilevel"/>
    <w:tmpl w:val="1E9A5CB6"/>
    <w:lvl w:ilvl="0" w:tplc="26B40C38">
      <w:start w:val="1"/>
      <w:numFmt w:val="bullet"/>
      <w:lvlText w:val=""/>
      <w:lvlJc w:val="left"/>
      <w:pPr>
        <w:ind w:left="1428" w:hanging="360"/>
      </w:pPr>
      <w:rPr>
        <w:rFonts w:ascii="Symbol" w:hAnsi="Symbol" w:hint="default"/>
      </w:rPr>
    </w:lvl>
    <w:lvl w:ilvl="1" w:tplc="3B2EC85C">
      <w:start w:val="1"/>
      <w:numFmt w:val="bullet"/>
      <w:lvlText w:val="o"/>
      <w:lvlJc w:val="left"/>
      <w:pPr>
        <w:ind w:left="2148" w:hanging="360"/>
      </w:pPr>
      <w:rPr>
        <w:rFonts w:ascii="Courier New" w:hAnsi="Courier New" w:cs="Courier New" w:hint="default"/>
      </w:rPr>
    </w:lvl>
    <w:lvl w:ilvl="2" w:tplc="2F9E085C">
      <w:start w:val="1"/>
      <w:numFmt w:val="bullet"/>
      <w:lvlText w:val=""/>
      <w:lvlJc w:val="left"/>
      <w:pPr>
        <w:ind w:left="2868" w:hanging="360"/>
      </w:pPr>
      <w:rPr>
        <w:rFonts w:ascii="Wingdings" w:hAnsi="Wingdings" w:hint="default"/>
      </w:rPr>
    </w:lvl>
    <w:lvl w:ilvl="3" w:tplc="340E811E">
      <w:start w:val="1"/>
      <w:numFmt w:val="bullet"/>
      <w:lvlText w:val=""/>
      <w:lvlJc w:val="left"/>
      <w:pPr>
        <w:ind w:left="3588" w:hanging="360"/>
      </w:pPr>
      <w:rPr>
        <w:rFonts w:ascii="Symbol" w:hAnsi="Symbol" w:hint="default"/>
      </w:rPr>
    </w:lvl>
    <w:lvl w:ilvl="4" w:tplc="FC366D08">
      <w:start w:val="1"/>
      <w:numFmt w:val="bullet"/>
      <w:lvlText w:val="o"/>
      <w:lvlJc w:val="left"/>
      <w:pPr>
        <w:ind w:left="4308" w:hanging="360"/>
      </w:pPr>
      <w:rPr>
        <w:rFonts w:ascii="Courier New" w:hAnsi="Courier New" w:cs="Courier New" w:hint="default"/>
      </w:rPr>
    </w:lvl>
    <w:lvl w:ilvl="5" w:tplc="29B8DC22">
      <w:start w:val="1"/>
      <w:numFmt w:val="bullet"/>
      <w:lvlText w:val=""/>
      <w:lvlJc w:val="left"/>
      <w:pPr>
        <w:ind w:left="5028" w:hanging="360"/>
      </w:pPr>
      <w:rPr>
        <w:rFonts w:ascii="Wingdings" w:hAnsi="Wingdings" w:hint="default"/>
      </w:rPr>
    </w:lvl>
    <w:lvl w:ilvl="6" w:tplc="8E0A9A3A">
      <w:start w:val="1"/>
      <w:numFmt w:val="bullet"/>
      <w:lvlText w:val=""/>
      <w:lvlJc w:val="left"/>
      <w:pPr>
        <w:ind w:left="5748" w:hanging="360"/>
      </w:pPr>
      <w:rPr>
        <w:rFonts w:ascii="Symbol" w:hAnsi="Symbol" w:hint="default"/>
      </w:rPr>
    </w:lvl>
    <w:lvl w:ilvl="7" w:tplc="2004B7FC">
      <w:start w:val="1"/>
      <w:numFmt w:val="bullet"/>
      <w:lvlText w:val="o"/>
      <w:lvlJc w:val="left"/>
      <w:pPr>
        <w:ind w:left="6468" w:hanging="360"/>
      </w:pPr>
      <w:rPr>
        <w:rFonts w:ascii="Courier New" w:hAnsi="Courier New" w:cs="Courier New" w:hint="default"/>
      </w:rPr>
    </w:lvl>
    <w:lvl w:ilvl="8" w:tplc="D71025DE">
      <w:start w:val="1"/>
      <w:numFmt w:val="bullet"/>
      <w:lvlText w:val=""/>
      <w:lvlJc w:val="left"/>
      <w:pPr>
        <w:ind w:left="7188" w:hanging="360"/>
      </w:pPr>
      <w:rPr>
        <w:rFonts w:ascii="Wingdings" w:hAnsi="Wingdings" w:hint="default"/>
      </w:rPr>
    </w:lvl>
  </w:abstractNum>
  <w:abstractNum w:abstractNumId="98" w15:restartNumberingAfterBreak="0">
    <w:nsid w:val="5B0E6EBF"/>
    <w:multiLevelType w:val="hybridMultilevel"/>
    <w:tmpl w:val="ADD2C438"/>
    <w:lvl w:ilvl="0" w:tplc="8720752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9" w15:restartNumberingAfterBreak="0">
    <w:nsid w:val="5C8C22B6"/>
    <w:multiLevelType w:val="hybridMultilevel"/>
    <w:tmpl w:val="BB82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CBA206A"/>
    <w:multiLevelType w:val="hybridMultilevel"/>
    <w:tmpl w:val="927AE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CF55CB1"/>
    <w:multiLevelType w:val="hybridMultilevel"/>
    <w:tmpl w:val="61543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D0F5891"/>
    <w:multiLevelType w:val="hybridMultilevel"/>
    <w:tmpl w:val="0B7046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3" w15:restartNumberingAfterBreak="0">
    <w:nsid w:val="5E57728D"/>
    <w:multiLevelType w:val="hybridMultilevel"/>
    <w:tmpl w:val="57747EAE"/>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02776A7"/>
    <w:multiLevelType w:val="hybridMultilevel"/>
    <w:tmpl w:val="4EA80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60514436"/>
    <w:multiLevelType w:val="hybridMultilevel"/>
    <w:tmpl w:val="91806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122328E"/>
    <w:multiLevelType w:val="hybridMultilevel"/>
    <w:tmpl w:val="7F320E1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7" w15:restartNumberingAfterBreak="0">
    <w:nsid w:val="6228685B"/>
    <w:multiLevelType w:val="hybridMultilevel"/>
    <w:tmpl w:val="7264E0E6"/>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8FD68728">
      <w:start w:val="1"/>
      <w:numFmt w:val="decimal"/>
      <w:lvlText w:val="%4."/>
      <w:lvlJc w:val="left"/>
      <w:pPr>
        <w:ind w:left="3087" w:hanging="360"/>
      </w:pPr>
      <w:rPr>
        <w:rFonts w:ascii="Times New Roman" w:eastAsiaTheme="minorHAnsi" w:hAnsi="Times New Roman" w:cs="Times New Roman"/>
      </w:r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8" w15:restartNumberingAfterBreak="0">
    <w:nsid w:val="625359FA"/>
    <w:multiLevelType w:val="hybridMultilevel"/>
    <w:tmpl w:val="43F80E00"/>
    <w:lvl w:ilvl="0" w:tplc="7FBA88A6">
      <w:start w:val="1"/>
      <w:numFmt w:val="bullet"/>
      <w:lvlText w:val=""/>
      <w:lvlJc w:val="left"/>
      <w:pPr>
        <w:ind w:left="720" w:hanging="360"/>
      </w:pPr>
      <w:rPr>
        <w:rFonts w:ascii="Symbol" w:hAnsi="Symbol" w:hint="default"/>
      </w:rPr>
    </w:lvl>
    <w:lvl w:ilvl="1" w:tplc="B3149F3E">
      <w:start w:val="1"/>
      <w:numFmt w:val="bullet"/>
      <w:lvlText w:val="o"/>
      <w:lvlJc w:val="left"/>
      <w:pPr>
        <w:ind w:left="1440" w:hanging="360"/>
      </w:pPr>
      <w:rPr>
        <w:rFonts w:ascii="Courier New" w:hAnsi="Courier New" w:cs="Courier New" w:hint="default"/>
      </w:rPr>
    </w:lvl>
    <w:lvl w:ilvl="2" w:tplc="7B7CB654">
      <w:start w:val="1"/>
      <w:numFmt w:val="bullet"/>
      <w:lvlText w:val=""/>
      <w:lvlJc w:val="left"/>
      <w:pPr>
        <w:ind w:left="2160" w:hanging="360"/>
      </w:pPr>
      <w:rPr>
        <w:rFonts w:ascii="Wingdings" w:hAnsi="Wingdings" w:hint="default"/>
      </w:rPr>
    </w:lvl>
    <w:lvl w:ilvl="3" w:tplc="42449486">
      <w:start w:val="1"/>
      <w:numFmt w:val="bullet"/>
      <w:lvlText w:val=""/>
      <w:lvlJc w:val="left"/>
      <w:pPr>
        <w:ind w:left="2880" w:hanging="360"/>
      </w:pPr>
      <w:rPr>
        <w:rFonts w:ascii="Symbol" w:hAnsi="Symbol" w:hint="default"/>
      </w:rPr>
    </w:lvl>
    <w:lvl w:ilvl="4" w:tplc="5C1ACD50">
      <w:start w:val="1"/>
      <w:numFmt w:val="bullet"/>
      <w:lvlText w:val="o"/>
      <w:lvlJc w:val="left"/>
      <w:pPr>
        <w:ind w:left="3600" w:hanging="360"/>
      </w:pPr>
      <w:rPr>
        <w:rFonts w:ascii="Courier New" w:hAnsi="Courier New" w:cs="Courier New" w:hint="default"/>
      </w:rPr>
    </w:lvl>
    <w:lvl w:ilvl="5" w:tplc="01EAC460">
      <w:start w:val="1"/>
      <w:numFmt w:val="bullet"/>
      <w:lvlText w:val=""/>
      <w:lvlJc w:val="left"/>
      <w:pPr>
        <w:ind w:left="4320" w:hanging="360"/>
      </w:pPr>
      <w:rPr>
        <w:rFonts w:ascii="Wingdings" w:hAnsi="Wingdings" w:hint="default"/>
      </w:rPr>
    </w:lvl>
    <w:lvl w:ilvl="6" w:tplc="357E813A">
      <w:start w:val="1"/>
      <w:numFmt w:val="bullet"/>
      <w:lvlText w:val=""/>
      <w:lvlJc w:val="left"/>
      <w:pPr>
        <w:ind w:left="5040" w:hanging="360"/>
      </w:pPr>
      <w:rPr>
        <w:rFonts w:ascii="Symbol" w:hAnsi="Symbol" w:hint="default"/>
      </w:rPr>
    </w:lvl>
    <w:lvl w:ilvl="7" w:tplc="1B362762">
      <w:start w:val="1"/>
      <w:numFmt w:val="bullet"/>
      <w:lvlText w:val="o"/>
      <w:lvlJc w:val="left"/>
      <w:pPr>
        <w:ind w:left="5760" w:hanging="360"/>
      </w:pPr>
      <w:rPr>
        <w:rFonts w:ascii="Courier New" w:hAnsi="Courier New" w:cs="Courier New" w:hint="default"/>
      </w:rPr>
    </w:lvl>
    <w:lvl w:ilvl="8" w:tplc="585C4590">
      <w:start w:val="1"/>
      <w:numFmt w:val="bullet"/>
      <w:lvlText w:val=""/>
      <w:lvlJc w:val="left"/>
      <w:pPr>
        <w:ind w:left="6480" w:hanging="360"/>
      </w:pPr>
      <w:rPr>
        <w:rFonts w:ascii="Wingdings" w:hAnsi="Wingdings" w:hint="default"/>
      </w:rPr>
    </w:lvl>
  </w:abstractNum>
  <w:abstractNum w:abstractNumId="109" w15:restartNumberingAfterBreak="0">
    <w:nsid w:val="62675A40"/>
    <w:multiLevelType w:val="hybridMultilevel"/>
    <w:tmpl w:val="1528F354"/>
    <w:lvl w:ilvl="0" w:tplc="89E234D0">
      <w:start w:val="1"/>
      <w:numFmt w:val="bullet"/>
      <w:lvlText w:val=""/>
      <w:lvlJc w:val="left"/>
      <w:pPr>
        <w:tabs>
          <w:tab w:val="num" w:pos="720"/>
        </w:tabs>
        <w:ind w:left="720" w:hanging="360"/>
      </w:pPr>
      <w:rPr>
        <w:rFonts w:ascii="Wingdings" w:hAnsi="Wingdings" w:hint="default"/>
      </w:rPr>
    </w:lvl>
    <w:lvl w:ilvl="1" w:tplc="83CC9474" w:tentative="1">
      <w:start w:val="1"/>
      <w:numFmt w:val="bullet"/>
      <w:lvlText w:val=""/>
      <w:lvlJc w:val="left"/>
      <w:pPr>
        <w:tabs>
          <w:tab w:val="num" w:pos="1440"/>
        </w:tabs>
        <w:ind w:left="1440" w:hanging="360"/>
      </w:pPr>
      <w:rPr>
        <w:rFonts w:ascii="Wingdings" w:hAnsi="Wingdings" w:hint="default"/>
      </w:rPr>
    </w:lvl>
    <w:lvl w:ilvl="2" w:tplc="91E45A7C" w:tentative="1">
      <w:start w:val="1"/>
      <w:numFmt w:val="bullet"/>
      <w:lvlText w:val=""/>
      <w:lvlJc w:val="left"/>
      <w:pPr>
        <w:tabs>
          <w:tab w:val="num" w:pos="2160"/>
        </w:tabs>
        <w:ind w:left="2160" w:hanging="360"/>
      </w:pPr>
      <w:rPr>
        <w:rFonts w:ascii="Wingdings" w:hAnsi="Wingdings" w:hint="default"/>
      </w:rPr>
    </w:lvl>
    <w:lvl w:ilvl="3" w:tplc="9872CDFA" w:tentative="1">
      <w:start w:val="1"/>
      <w:numFmt w:val="bullet"/>
      <w:lvlText w:val=""/>
      <w:lvlJc w:val="left"/>
      <w:pPr>
        <w:tabs>
          <w:tab w:val="num" w:pos="2880"/>
        </w:tabs>
        <w:ind w:left="2880" w:hanging="360"/>
      </w:pPr>
      <w:rPr>
        <w:rFonts w:ascii="Wingdings" w:hAnsi="Wingdings" w:hint="default"/>
      </w:rPr>
    </w:lvl>
    <w:lvl w:ilvl="4" w:tplc="6DA85EEC" w:tentative="1">
      <w:start w:val="1"/>
      <w:numFmt w:val="bullet"/>
      <w:lvlText w:val=""/>
      <w:lvlJc w:val="left"/>
      <w:pPr>
        <w:tabs>
          <w:tab w:val="num" w:pos="3600"/>
        </w:tabs>
        <w:ind w:left="3600" w:hanging="360"/>
      </w:pPr>
      <w:rPr>
        <w:rFonts w:ascii="Wingdings" w:hAnsi="Wingdings" w:hint="default"/>
      </w:rPr>
    </w:lvl>
    <w:lvl w:ilvl="5" w:tplc="EDBAB3BE" w:tentative="1">
      <w:start w:val="1"/>
      <w:numFmt w:val="bullet"/>
      <w:lvlText w:val=""/>
      <w:lvlJc w:val="left"/>
      <w:pPr>
        <w:tabs>
          <w:tab w:val="num" w:pos="4320"/>
        </w:tabs>
        <w:ind w:left="4320" w:hanging="360"/>
      </w:pPr>
      <w:rPr>
        <w:rFonts w:ascii="Wingdings" w:hAnsi="Wingdings" w:hint="default"/>
      </w:rPr>
    </w:lvl>
    <w:lvl w:ilvl="6" w:tplc="3744B4A4" w:tentative="1">
      <w:start w:val="1"/>
      <w:numFmt w:val="bullet"/>
      <w:lvlText w:val=""/>
      <w:lvlJc w:val="left"/>
      <w:pPr>
        <w:tabs>
          <w:tab w:val="num" w:pos="5040"/>
        </w:tabs>
        <w:ind w:left="5040" w:hanging="360"/>
      </w:pPr>
      <w:rPr>
        <w:rFonts w:ascii="Wingdings" w:hAnsi="Wingdings" w:hint="default"/>
      </w:rPr>
    </w:lvl>
    <w:lvl w:ilvl="7" w:tplc="6ACEDAC8" w:tentative="1">
      <w:start w:val="1"/>
      <w:numFmt w:val="bullet"/>
      <w:lvlText w:val=""/>
      <w:lvlJc w:val="left"/>
      <w:pPr>
        <w:tabs>
          <w:tab w:val="num" w:pos="5760"/>
        </w:tabs>
        <w:ind w:left="5760" w:hanging="360"/>
      </w:pPr>
      <w:rPr>
        <w:rFonts w:ascii="Wingdings" w:hAnsi="Wingdings" w:hint="default"/>
      </w:rPr>
    </w:lvl>
    <w:lvl w:ilvl="8" w:tplc="CC18735C"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3AA35FD"/>
    <w:multiLevelType w:val="multilevel"/>
    <w:tmpl w:val="763432BC"/>
    <w:lvl w:ilvl="0">
      <w:start w:val="1"/>
      <w:numFmt w:val="bullet"/>
      <w:pStyle w:val="1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4E91059"/>
    <w:multiLevelType w:val="hybridMultilevel"/>
    <w:tmpl w:val="9864A21C"/>
    <w:lvl w:ilvl="0" w:tplc="AFFE1112">
      <w:start w:val="1"/>
      <w:numFmt w:val="bullet"/>
      <w:lvlText w:val=""/>
      <w:lvlJc w:val="left"/>
      <w:pPr>
        <w:ind w:left="1428" w:hanging="360"/>
      </w:pPr>
      <w:rPr>
        <w:rFonts w:ascii="Symbol" w:hAnsi="Symbol" w:hint="default"/>
      </w:rPr>
    </w:lvl>
    <w:lvl w:ilvl="1" w:tplc="575CE84C">
      <w:start w:val="1"/>
      <w:numFmt w:val="bullet"/>
      <w:lvlText w:val="o"/>
      <w:lvlJc w:val="left"/>
      <w:pPr>
        <w:ind w:left="2148" w:hanging="360"/>
      </w:pPr>
      <w:rPr>
        <w:rFonts w:ascii="Courier New" w:hAnsi="Courier New" w:cs="Courier New" w:hint="default"/>
      </w:rPr>
    </w:lvl>
    <w:lvl w:ilvl="2" w:tplc="27F43E68">
      <w:start w:val="1"/>
      <w:numFmt w:val="bullet"/>
      <w:lvlText w:val=""/>
      <w:lvlJc w:val="left"/>
      <w:pPr>
        <w:ind w:left="2868" w:hanging="360"/>
      </w:pPr>
      <w:rPr>
        <w:rFonts w:ascii="Wingdings" w:hAnsi="Wingdings" w:hint="default"/>
      </w:rPr>
    </w:lvl>
    <w:lvl w:ilvl="3" w:tplc="6BEA662E">
      <w:start w:val="1"/>
      <w:numFmt w:val="bullet"/>
      <w:lvlText w:val=""/>
      <w:lvlJc w:val="left"/>
      <w:pPr>
        <w:ind w:left="3588" w:hanging="360"/>
      </w:pPr>
      <w:rPr>
        <w:rFonts w:ascii="Symbol" w:hAnsi="Symbol" w:hint="default"/>
      </w:rPr>
    </w:lvl>
    <w:lvl w:ilvl="4" w:tplc="64A80DBE">
      <w:start w:val="1"/>
      <w:numFmt w:val="bullet"/>
      <w:lvlText w:val="o"/>
      <w:lvlJc w:val="left"/>
      <w:pPr>
        <w:ind w:left="4308" w:hanging="360"/>
      </w:pPr>
      <w:rPr>
        <w:rFonts w:ascii="Courier New" w:hAnsi="Courier New" w:cs="Courier New" w:hint="default"/>
      </w:rPr>
    </w:lvl>
    <w:lvl w:ilvl="5" w:tplc="AE58F438">
      <w:start w:val="1"/>
      <w:numFmt w:val="bullet"/>
      <w:lvlText w:val=""/>
      <w:lvlJc w:val="left"/>
      <w:pPr>
        <w:ind w:left="5028" w:hanging="360"/>
      </w:pPr>
      <w:rPr>
        <w:rFonts w:ascii="Wingdings" w:hAnsi="Wingdings" w:hint="default"/>
      </w:rPr>
    </w:lvl>
    <w:lvl w:ilvl="6" w:tplc="B234EC7A">
      <w:start w:val="1"/>
      <w:numFmt w:val="bullet"/>
      <w:lvlText w:val=""/>
      <w:lvlJc w:val="left"/>
      <w:pPr>
        <w:ind w:left="5748" w:hanging="360"/>
      </w:pPr>
      <w:rPr>
        <w:rFonts w:ascii="Symbol" w:hAnsi="Symbol" w:hint="default"/>
      </w:rPr>
    </w:lvl>
    <w:lvl w:ilvl="7" w:tplc="82B25206">
      <w:start w:val="1"/>
      <w:numFmt w:val="bullet"/>
      <w:lvlText w:val="o"/>
      <w:lvlJc w:val="left"/>
      <w:pPr>
        <w:ind w:left="6468" w:hanging="360"/>
      </w:pPr>
      <w:rPr>
        <w:rFonts w:ascii="Courier New" w:hAnsi="Courier New" w:cs="Courier New" w:hint="default"/>
      </w:rPr>
    </w:lvl>
    <w:lvl w:ilvl="8" w:tplc="28082C5C">
      <w:start w:val="1"/>
      <w:numFmt w:val="bullet"/>
      <w:lvlText w:val=""/>
      <w:lvlJc w:val="left"/>
      <w:pPr>
        <w:ind w:left="7188" w:hanging="360"/>
      </w:pPr>
      <w:rPr>
        <w:rFonts w:ascii="Wingdings" w:hAnsi="Wingdings" w:hint="default"/>
      </w:rPr>
    </w:lvl>
  </w:abstractNum>
  <w:abstractNum w:abstractNumId="112" w15:restartNumberingAfterBreak="0">
    <w:nsid w:val="65582988"/>
    <w:multiLevelType w:val="hybridMultilevel"/>
    <w:tmpl w:val="DF66F51E"/>
    <w:lvl w:ilvl="0" w:tplc="74FC6A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3" w15:restartNumberingAfterBreak="0">
    <w:nsid w:val="65FC491C"/>
    <w:multiLevelType w:val="hybridMultilevel"/>
    <w:tmpl w:val="F8BE31C4"/>
    <w:numStyleLink w:val="1"/>
  </w:abstractNum>
  <w:abstractNum w:abstractNumId="114" w15:restartNumberingAfterBreak="0">
    <w:nsid w:val="67B673E9"/>
    <w:multiLevelType w:val="hybridMultilevel"/>
    <w:tmpl w:val="EE26C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7BE2026"/>
    <w:multiLevelType w:val="hybridMultilevel"/>
    <w:tmpl w:val="F4C00982"/>
    <w:lvl w:ilvl="0" w:tplc="0419000F">
      <w:start w:val="1"/>
      <w:numFmt w:val="decimal"/>
      <w:lvlText w:val="%1."/>
      <w:lvlJc w:val="left"/>
      <w:pPr>
        <w:ind w:left="1068" w:hanging="360"/>
      </w:pPr>
      <w:rPr>
        <w:rFonts w:hint="default"/>
      </w:rPr>
    </w:lvl>
    <w:lvl w:ilvl="1" w:tplc="0CF6ACBC">
      <w:start w:val="1"/>
      <w:numFmt w:val="decimal"/>
      <w:lvlText w:val="%2."/>
      <w:lvlJc w:val="left"/>
      <w:pPr>
        <w:ind w:left="1440" w:hanging="360"/>
      </w:pPr>
      <w:rPr>
        <w:rFonts w:hint="default"/>
      </w:rPr>
    </w:lvl>
    <w:lvl w:ilvl="2" w:tplc="58704C1C">
      <w:start w:val="1"/>
      <w:numFmt w:val="lowerRoman"/>
      <w:lvlText w:val="%3."/>
      <w:lvlJc w:val="right"/>
      <w:pPr>
        <w:ind w:left="2160" w:hanging="180"/>
      </w:pPr>
    </w:lvl>
    <w:lvl w:ilvl="3" w:tplc="547EBF6C">
      <w:start w:val="1"/>
      <w:numFmt w:val="decimal"/>
      <w:lvlText w:val="%4."/>
      <w:lvlJc w:val="left"/>
      <w:pPr>
        <w:ind w:left="2880" w:hanging="360"/>
      </w:pPr>
    </w:lvl>
    <w:lvl w:ilvl="4" w:tplc="21F628DC">
      <w:start w:val="1"/>
      <w:numFmt w:val="lowerLetter"/>
      <w:lvlText w:val="%5."/>
      <w:lvlJc w:val="left"/>
      <w:pPr>
        <w:ind w:left="3600" w:hanging="360"/>
      </w:pPr>
    </w:lvl>
    <w:lvl w:ilvl="5" w:tplc="082CFF88">
      <w:start w:val="1"/>
      <w:numFmt w:val="lowerRoman"/>
      <w:lvlText w:val="%6."/>
      <w:lvlJc w:val="right"/>
      <w:pPr>
        <w:ind w:left="4320" w:hanging="180"/>
      </w:pPr>
    </w:lvl>
    <w:lvl w:ilvl="6" w:tplc="AD2E6324">
      <w:start w:val="1"/>
      <w:numFmt w:val="decimal"/>
      <w:lvlText w:val="%7."/>
      <w:lvlJc w:val="left"/>
      <w:pPr>
        <w:ind w:left="5040" w:hanging="360"/>
      </w:pPr>
    </w:lvl>
    <w:lvl w:ilvl="7" w:tplc="E494B0C4">
      <w:start w:val="1"/>
      <w:numFmt w:val="lowerLetter"/>
      <w:lvlText w:val="%8."/>
      <w:lvlJc w:val="left"/>
      <w:pPr>
        <w:ind w:left="5760" w:hanging="360"/>
      </w:pPr>
    </w:lvl>
    <w:lvl w:ilvl="8" w:tplc="BAA87298">
      <w:start w:val="1"/>
      <w:numFmt w:val="lowerRoman"/>
      <w:lvlText w:val="%9."/>
      <w:lvlJc w:val="right"/>
      <w:pPr>
        <w:ind w:left="6480" w:hanging="180"/>
      </w:pPr>
    </w:lvl>
  </w:abstractNum>
  <w:abstractNum w:abstractNumId="116" w15:restartNumberingAfterBreak="0">
    <w:nsid w:val="67D94134"/>
    <w:multiLevelType w:val="multilevel"/>
    <w:tmpl w:val="4B34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88468BB"/>
    <w:multiLevelType w:val="hybridMultilevel"/>
    <w:tmpl w:val="3F5AC3C2"/>
    <w:lvl w:ilvl="0" w:tplc="9F922CDA">
      <w:start w:val="1"/>
      <w:numFmt w:val="bullet"/>
      <w:lvlText w:val=""/>
      <w:lvlJc w:val="left"/>
      <w:pPr>
        <w:ind w:left="1428" w:hanging="360"/>
      </w:pPr>
      <w:rPr>
        <w:rFonts w:ascii="Symbol" w:hAnsi="Symbol" w:hint="default"/>
      </w:rPr>
    </w:lvl>
    <w:lvl w:ilvl="1" w:tplc="F2147832">
      <w:start w:val="1"/>
      <w:numFmt w:val="bullet"/>
      <w:lvlText w:val="o"/>
      <w:lvlJc w:val="left"/>
      <w:pPr>
        <w:ind w:left="2148" w:hanging="360"/>
      </w:pPr>
      <w:rPr>
        <w:rFonts w:ascii="Courier New" w:hAnsi="Courier New" w:cs="Courier New" w:hint="default"/>
      </w:rPr>
    </w:lvl>
    <w:lvl w:ilvl="2" w:tplc="83467EFA">
      <w:start w:val="1"/>
      <w:numFmt w:val="bullet"/>
      <w:lvlText w:val=""/>
      <w:lvlJc w:val="left"/>
      <w:pPr>
        <w:ind w:left="2868" w:hanging="360"/>
      </w:pPr>
      <w:rPr>
        <w:rFonts w:ascii="Wingdings" w:hAnsi="Wingdings" w:hint="default"/>
      </w:rPr>
    </w:lvl>
    <w:lvl w:ilvl="3" w:tplc="A89E58B0">
      <w:start w:val="1"/>
      <w:numFmt w:val="bullet"/>
      <w:lvlText w:val=""/>
      <w:lvlJc w:val="left"/>
      <w:pPr>
        <w:ind w:left="3588" w:hanging="360"/>
      </w:pPr>
      <w:rPr>
        <w:rFonts w:ascii="Symbol" w:hAnsi="Symbol" w:hint="default"/>
      </w:rPr>
    </w:lvl>
    <w:lvl w:ilvl="4" w:tplc="E58CD5B2">
      <w:start w:val="1"/>
      <w:numFmt w:val="bullet"/>
      <w:lvlText w:val="o"/>
      <w:lvlJc w:val="left"/>
      <w:pPr>
        <w:ind w:left="4308" w:hanging="360"/>
      </w:pPr>
      <w:rPr>
        <w:rFonts w:ascii="Courier New" w:hAnsi="Courier New" w:cs="Courier New" w:hint="default"/>
      </w:rPr>
    </w:lvl>
    <w:lvl w:ilvl="5" w:tplc="C14038A0">
      <w:start w:val="1"/>
      <w:numFmt w:val="bullet"/>
      <w:lvlText w:val=""/>
      <w:lvlJc w:val="left"/>
      <w:pPr>
        <w:ind w:left="5028" w:hanging="360"/>
      </w:pPr>
      <w:rPr>
        <w:rFonts w:ascii="Wingdings" w:hAnsi="Wingdings" w:hint="default"/>
      </w:rPr>
    </w:lvl>
    <w:lvl w:ilvl="6" w:tplc="E1A2B50A">
      <w:start w:val="1"/>
      <w:numFmt w:val="bullet"/>
      <w:lvlText w:val=""/>
      <w:lvlJc w:val="left"/>
      <w:pPr>
        <w:ind w:left="5748" w:hanging="360"/>
      </w:pPr>
      <w:rPr>
        <w:rFonts w:ascii="Symbol" w:hAnsi="Symbol" w:hint="default"/>
      </w:rPr>
    </w:lvl>
    <w:lvl w:ilvl="7" w:tplc="BDF62C10">
      <w:start w:val="1"/>
      <w:numFmt w:val="bullet"/>
      <w:lvlText w:val="o"/>
      <w:lvlJc w:val="left"/>
      <w:pPr>
        <w:ind w:left="6468" w:hanging="360"/>
      </w:pPr>
      <w:rPr>
        <w:rFonts w:ascii="Courier New" w:hAnsi="Courier New" w:cs="Courier New" w:hint="default"/>
      </w:rPr>
    </w:lvl>
    <w:lvl w:ilvl="8" w:tplc="A7804AAE">
      <w:start w:val="1"/>
      <w:numFmt w:val="bullet"/>
      <w:lvlText w:val=""/>
      <w:lvlJc w:val="left"/>
      <w:pPr>
        <w:ind w:left="7188" w:hanging="360"/>
      </w:pPr>
      <w:rPr>
        <w:rFonts w:ascii="Wingdings" w:hAnsi="Wingdings" w:hint="default"/>
      </w:rPr>
    </w:lvl>
  </w:abstractNum>
  <w:abstractNum w:abstractNumId="118" w15:restartNumberingAfterBreak="0">
    <w:nsid w:val="691764A1"/>
    <w:multiLevelType w:val="hybridMultilevel"/>
    <w:tmpl w:val="8F0429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9" w15:restartNumberingAfterBreak="0">
    <w:nsid w:val="698D0AC0"/>
    <w:multiLevelType w:val="hybridMultilevel"/>
    <w:tmpl w:val="11E85E7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0" w15:restartNumberingAfterBreak="0">
    <w:nsid w:val="69995AA4"/>
    <w:multiLevelType w:val="hybridMultilevel"/>
    <w:tmpl w:val="34E0D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A150589"/>
    <w:multiLevelType w:val="hybridMultilevel"/>
    <w:tmpl w:val="296EBB5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CE277CD"/>
    <w:multiLevelType w:val="hybridMultilevel"/>
    <w:tmpl w:val="F6E2D132"/>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CF711F5"/>
    <w:multiLevelType w:val="hybridMultilevel"/>
    <w:tmpl w:val="3FB8D84A"/>
    <w:lvl w:ilvl="0" w:tplc="0E60B5AE">
      <w:start w:val="1"/>
      <w:numFmt w:val="bullet"/>
      <w:lvlText w:val=""/>
      <w:lvlJc w:val="left"/>
      <w:pPr>
        <w:ind w:left="1080" w:hanging="360"/>
      </w:pPr>
      <w:rPr>
        <w:rFonts w:ascii="Symbol" w:hAnsi="Symbol" w:hint="default"/>
      </w:rPr>
    </w:lvl>
    <w:lvl w:ilvl="1" w:tplc="7A7E9E72">
      <w:start w:val="1"/>
      <w:numFmt w:val="bullet"/>
      <w:lvlText w:val="o"/>
      <w:lvlJc w:val="left"/>
      <w:pPr>
        <w:ind w:left="1800" w:hanging="360"/>
      </w:pPr>
      <w:rPr>
        <w:rFonts w:ascii="Courier New" w:hAnsi="Courier New" w:cs="Courier New" w:hint="default"/>
      </w:rPr>
    </w:lvl>
    <w:lvl w:ilvl="2" w:tplc="FD5696C2">
      <w:start w:val="1"/>
      <w:numFmt w:val="bullet"/>
      <w:lvlText w:val=""/>
      <w:lvlJc w:val="left"/>
      <w:pPr>
        <w:ind w:left="2520" w:hanging="360"/>
      </w:pPr>
      <w:rPr>
        <w:rFonts w:ascii="Wingdings" w:hAnsi="Wingdings" w:hint="default"/>
      </w:rPr>
    </w:lvl>
    <w:lvl w:ilvl="3" w:tplc="2F44A216">
      <w:start w:val="1"/>
      <w:numFmt w:val="bullet"/>
      <w:lvlText w:val=""/>
      <w:lvlJc w:val="left"/>
      <w:pPr>
        <w:ind w:left="3240" w:hanging="360"/>
      </w:pPr>
      <w:rPr>
        <w:rFonts w:ascii="Symbol" w:hAnsi="Symbol" w:hint="default"/>
      </w:rPr>
    </w:lvl>
    <w:lvl w:ilvl="4" w:tplc="9ECA2EA2">
      <w:start w:val="1"/>
      <w:numFmt w:val="bullet"/>
      <w:lvlText w:val="o"/>
      <w:lvlJc w:val="left"/>
      <w:pPr>
        <w:ind w:left="3960" w:hanging="360"/>
      </w:pPr>
      <w:rPr>
        <w:rFonts w:ascii="Courier New" w:hAnsi="Courier New" w:cs="Courier New" w:hint="default"/>
      </w:rPr>
    </w:lvl>
    <w:lvl w:ilvl="5" w:tplc="4A60B510">
      <w:start w:val="1"/>
      <w:numFmt w:val="bullet"/>
      <w:lvlText w:val=""/>
      <w:lvlJc w:val="left"/>
      <w:pPr>
        <w:ind w:left="4680" w:hanging="360"/>
      </w:pPr>
      <w:rPr>
        <w:rFonts w:ascii="Wingdings" w:hAnsi="Wingdings" w:hint="default"/>
      </w:rPr>
    </w:lvl>
    <w:lvl w:ilvl="6" w:tplc="9826769A">
      <w:start w:val="1"/>
      <w:numFmt w:val="bullet"/>
      <w:lvlText w:val=""/>
      <w:lvlJc w:val="left"/>
      <w:pPr>
        <w:ind w:left="5400" w:hanging="360"/>
      </w:pPr>
      <w:rPr>
        <w:rFonts w:ascii="Symbol" w:hAnsi="Symbol" w:hint="default"/>
      </w:rPr>
    </w:lvl>
    <w:lvl w:ilvl="7" w:tplc="6E52C570">
      <w:start w:val="1"/>
      <w:numFmt w:val="bullet"/>
      <w:lvlText w:val="o"/>
      <w:lvlJc w:val="left"/>
      <w:pPr>
        <w:ind w:left="6120" w:hanging="360"/>
      </w:pPr>
      <w:rPr>
        <w:rFonts w:ascii="Courier New" w:hAnsi="Courier New" w:cs="Courier New" w:hint="default"/>
      </w:rPr>
    </w:lvl>
    <w:lvl w:ilvl="8" w:tplc="DC286868">
      <w:start w:val="1"/>
      <w:numFmt w:val="bullet"/>
      <w:lvlText w:val=""/>
      <w:lvlJc w:val="left"/>
      <w:pPr>
        <w:ind w:left="6840" w:hanging="360"/>
      </w:pPr>
      <w:rPr>
        <w:rFonts w:ascii="Wingdings" w:hAnsi="Wingdings" w:hint="default"/>
      </w:rPr>
    </w:lvl>
  </w:abstractNum>
  <w:abstractNum w:abstractNumId="124" w15:restartNumberingAfterBreak="0">
    <w:nsid w:val="6EFA2964"/>
    <w:multiLevelType w:val="hybridMultilevel"/>
    <w:tmpl w:val="2EF24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F2B1C15"/>
    <w:multiLevelType w:val="hybridMultilevel"/>
    <w:tmpl w:val="34F63D40"/>
    <w:lvl w:ilvl="0" w:tplc="04190001">
      <w:start w:val="1"/>
      <w:numFmt w:val="bullet"/>
      <w:lvlText w:val=""/>
      <w:lvlJc w:val="left"/>
      <w:pPr>
        <w:ind w:left="1992" w:hanging="360"/>
      </w:pPr>
      <w:rPr>
        <w:rFonts w:ascii="Symbol" w:hAnsi="Symbol" w:hint="default"/>
      </w:rPr>
    </w:lvl>
    <w:lvl w:ilvl="1" w:tplc="04190003" w:tentative="1">
      <w:start w:val="1"/>
      <w:numFmt w:val="bullet"/>
      <w:lvlText w:val="o"/>
      <w:lvlJc w:val="left"/>
      <w:pPr>
        <w:ind w:left="2712" w:hanging="360"/>
      </w:pPr>
      <w:rPr>
        <w:rFonts w:ascii="Courier New" w:hAnsi="Courier New" w:cs="Courier New" w:hint="default"/>
      </w:rPr>
    </w:lvl>
    <w:lvl w:ilvl="2" w:tplc="04190005" w:tentative="1">
      <w:start w:val="1"/>
      <w:numFmt w:val="bullet"/>
      <w:lvlText w:val=""/>
      <w:lvlJc w:val="left"/>
      <w:pPr>
        <w:ind w:left="3432" w:hanging="360"/>
      </w:pPr>
      <w:rPr>
        <w:rFonts w:ascii="Wingdings" w:hAnsi="Wingdings" w:hint="default"/>
      </w:rPr>
    </w:lvl>
    <w:lvl w:ilvl="3" w:tplc="04190001" w:tentative="1">
      <w:start w:val="1"/>
      <w:numFmt w:val="bullet"/>
      <w:lvlText w:val=""/>
      <w:lvlJc w:val="left"/>
      <w:pPr>
        <w:ind w:left="4152" w:hanging="360"/>
      </w:pPr>
      <w:rPr>
        <w:rFonts w:ascii="Symbol" w:hAnsi="Symbol" w:hint="default"/>
      </w:rPr>
    </w:lvl>
    <w:lvl w:ilvl="4" w:tplc="04190003" w:tentative="1">
      <w:start w:val="1"/>
      <w:numFmt w:val="bullet"/>
      <w:lvlText w:val="o"/>
      <w:lvlJc w:val="left"/>
      <w:pPr>
        <w:ind w:left="4872" w:hanging="360"/>
      </w:pPr>
      <w:rPr>
        <w:rFonts w:ascii="Courier New" w:hAnsi="Courier New" w:cs="Courier New" w:hint="default"/>
      </w:rPr>
    </w:lvl>
    <w:lvl w:ilvl="5" w:tplc="04190005" w:tentative="1">
      <w:start w:val="1"/>
      <w:numFmt w:val="bullet"/>
      <w:lvlText w:val=""/>
      <w:lvlJc w:val="left"/>
      <w:pPr>
        <w:ind w:left="5592" w:hanging="360"/>
      </w:pPr>
      <w:rPr>
        <w:rFonts w:ascii="Wingdings" w:hAnsi="Wingdings" w:hint="default"/>
      </w:rPr>
    </w:lvl>
    <w:lvl w:ilvl="6" w:tplc="04190001" w:tentative="1">
      <w:start w:val="1"/>
      <w:numFmt w:val="bullet"/>
      <w:lvlText w:val=""/>
      <w:lvlJc w:val="left"/>
      <w:pPr>
        <w:ind w:left="6312" w:hanging="360"/>
      </w:pPr>
      <w:rPr>
        <w:rFonts w:ascii="Symbol" w:hAnsi="Symbol" w:hint="default"/>
      </w:rPr>
    </w:lvl>
    <w:lvl w:ilvl="7" w:tplc="04190003" w:tentative="1">
      <w:start w:val="1"/>
      <w:numFmt w:val="bullet"/>
      <w:lvlText w:val="o"/>
      <w:lvlJc w:val="left"/>
      <w:pPr>
        <w:ind w:left="7032" w:hanging="360"/>
      </w:pPr>
      <w:rPr>
        <w:rFonts w:ascii="Courier New" w:hAnsi="Courier New" w:cs="Courier New" w:hint="default"/>
      </w:rPr>
    </w:lvl>
    <w:lvl w:ilvl="8" w:tplc="04190005" w:tentative="1">
      <w:start w:val="1"/>
      <w:numFmt w:val="bullet"/>
      <w:lvlText w:val=""/>
      <w:lvlJc w:val="left"/>
      <w:pPr>
        <w:ind w:left="7752" w:hanging="360"/>
      </w:pPr>
      <w:rPr>
        <w:rFonts w:ascii="Wingdings" w:hAnsi="Wingdings" w:hint="default"/>
      </w:rPr>
    </w:lvl>
  </w:abstractNum>
  <w:abstractNum w:abstractNumId="126" w15:restartNumberingAfterBreak="0">
    <w:nsid w:val="700A7B43"/>
    <w:multiLevelType w:val="hybridMultilevel"/>
    <w:tmpl w:val="32F2F2D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7" w15:restartNumberingAfterBreak="0">
    <w:nsid w:val="728773B1"/>
    <w:multiLevelType w:val="hybridMultilevel"/>
    <w:tmpl w:val="98B4C9C0"/>
    <w:lvl w:ilvl="0" w:tplc="6E760F10">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2DF19A5"/>
    <w:multiLevelType w:val="hybridMultilevel"/>
    <w:tmpl w:val="29B8E4BE"/>
    <w:lvl w:ilvl="0" w:tplc="0419000F">
      <w:start w:val="1"/>
      <w:numFmt w:val="decimal"/>
      <w:lvlText w:val="%1."/>
      <w:lvlJc w:val="left"/>
      <w:pPr>
        <w:ind w:left="938" w:hanging="360"/>
      </w:pPr>
      <w:rPr>
        <w:rFonts w:hint="default"/>
        <w:b w:val="0"/>
      </w:rPr>
    </w:lvl>
    <w:lvl w:ilvl="1" w:tplc="04190019">
      <w:start w:val="1"/>
      <w:numFmt w:val="lowerLetter"/>
      <w:lvlText w:val="%2."/>
      <w:lvlJc w:val="left"/>
      <w:pPr>
        <w:ind w:left="5474"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129" w15:restartNumberingAfterBreak="0">
    <w:nsid w:val="73781A9D"/>
    <w:multiLevelType w:val="hybridMultilevel"/>
    <w:tmpl w:val="52888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45A7484"/>
    <w:multiLevelType w:val="hybridMultilevel"/>
    <w:tmpl w:val="59B87F6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2" w15:restartNumberingAfterBreak="0">
    <w:nsid w:val="767717B0"/>
    <w:multiLevelType w:val="hybridMultilevel"/>
    <w:tmpl w:val="E056D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67A098F"/>
    <w:multiLevelType w:val="hybridMultilevel"/>
    <w:tmpl w:val="CD04CE36"/>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4" w15:restartNumberingAfterBreak="0">
    <w:nsid w:val="76C81E5F"/>
    <w:multiLevelType w:val="hybridMultilevel"/>
    <w:tmpl w:val="A644E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6E4605F"/>
    <w:multiLevelType w:val="hybridMultilevel"/>
    <w:tmpl w:val="D99A684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6" w15:restartNumberingAfterBreak="0">
    <w:nsid w:val="78F23F89"/>
    <w:multiLevelType w:val="hybridMultilevel"/>
    <w:tmpl w:val="6D20048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7" w15:restartNumberingAfterBreak="0">
    <w:nsid w:val="796E5432"/>
    <w:multiLevelType w:val="hybridMultilevel"/>
    <w:tmpl w:val="91501A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8" w15:restartNumberingAfterBreak="0">
    <w:nsid w:val="79CC6B63"/>
    <w:multiLevelType w:val="hybridMultilevel"/>
    <w:tmpl w:val="9A760E64"/>
    <w:lvl w:ilvl="0" w:tplc="A7444C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9" w15:restartNumberingAfterBreak="0">
    <w:nsid w:val="79DD6991"/>
    <w:multiLevelType w:val="hybridMultilevel"/>
    <w:tmpl w:val="4B2E8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7B332143"/>
    <w:multiLevelType w:val="hybridMultilevel"/>
    <w:tmpl w:val="7FBA8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7D6F5A43"/>
    <w:multiLevelType w:val="hybridMultilevel"/>
    <w:tmpl w:val="EBDCF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DBA29FE"/>
    <w:multiLevelType w:val="hybridMultilevel"/>
    <w:tmpl w:val="CDDCE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7EAF518E"/>
    <w:multiLevelType w:val="hybridMultilevel"/>
    <w:tmpl w:val="D0BA0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7F547EB9"/>
    <w:multiLevelType w:val="hybridMultilevel"/>
    <w:tmpl w:val="975C1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FC164C6"/>
    <w:multiLevelType w:val="hybridMultilevel"/>
    <w:tmpl w:val="9F087242"/>
    <w:styleLink w:val="111111"/>
    <w:lvl w:ilvl="0" w:tplc="70B684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0"/>
  </w:num>
  <w:num w:numId="2">
    <w:abstractNumId w:val="131"/>
  </w:num>
  <w:num w:numId="3">
    <w:abstractNumId w:val="95"/>
  </w:num>
  <w:num w:numId="4">
    <w:abstractNumId w:val="74"/>
  </w:num>
  <w:num w:numId="5">
    <w:abstractNumId w:val="52"/>
  </w:num>
  <w:num w:numId="6">
    <w:abstractNumId w:val="116"/>
  </w:num>
  <w:num w:numId="7">
    <w:abstractNumId w:val="63"/>
  </w:num>
  <w:num w:numId="8">
    <w:abstractNumId w:val="75"/>
  </w:num>
  <w:num w:numId="9">
    <w:abstractNumId w:val="85"/>
  </w:num>
  <w:num w:numId="10">
    <w:abstractNumId w:val="11"/>
  </w:num>
  <w:num w:numId="11">
    <w:abstractNumId w:val="18"/>
  </w:num>
  <w:num w:numId="12">
    <w:abstractNumId w:val="40"/>
  </w:num>
  <w:num w:numId="13">
    <w:abstractNumId w:val="55"/>
  </w:num>
  <w:num w:numId="14">
    <w:abstractNumId w:val="91"/>
  </w:num>
  <w:num w:numId="15">
    <w:abstractNumId w:val="145"/>
  </w:num>
  <w:num w:numId="16">
    <w:abstractNumId w:val="9"/>
  </w:num>
  <w:num w:numId="17">
    <w:abstractNumId w:val="45"/>
  </w:num>
  <w:num w:numId="18">
    <w:abstractNumId w:val="37"/>
  </w:num>
  <w:num w:numId="19">
    <w:abstractNumId w:val="16"/>
  </w:num>
  <w:num w:numId="20">
    <w:abstractNumId w:val="78"/>
  </w:num>
  <w:num w:numId="21">
    <w:abstractNumId w:val="62"/>
  </w:num>
  <w:num w:numId="22">
    <w:abstractNumId w:val="133"/>
  </w:num>
  <w:num w:numId="23">
    <w:abstractNumId w:val="65"/>
  </w:num>
  <w:num w:numId="24">
    <w:abstractNumId w:val="106"/>
  </w:num>
  <w:num w:numId="25">
    <w:abstractNumId w:val="50"/>
  </w:num>
  <w:num w:numId="26">
    <w:abstractNumId w:val="136"/>
  </w:num>
  <w:num w:numId="27">
    <w:abstractNumId w:val="15"/>
  </w:num>
  <w:num w:numId="28">
    <w:abstractNumId w:val="126"/>
  </w:num>
  <w:num w:numId="29">
    <w:abstractNumId w:val="135"/>
  </w:num>
  <w:num w:numId="30">
    <w:abstractNumId w:val="102"/>
  </w:num>
  <w:num w:numId="31">
    <w:abstractNumId w:val="57"/>
  </w:num>
  <w:num w:numId="32">
    <w:abstractNumId w:val="90"/>
  </w:num>
  <w:num w:numId="33">
    <w:abstractNumId w:val="82"/>
  </w:num>
  <w:num w:numId="34">
    <w:abstractNumId w:val="10"/>
  </w:num>
  <w:num w:numId="35">
    <w:abstractNumId w:val="20"/>
  </w:num>
  <w:num w:numId="36">
    <w:abstractNumId w:val="21"/>
  </w:num>
  <w:num w:numId="37">
    <w:abstractNumId w:val="118"/>
  </w:num>
  <w:num w:numId="38">
    <w:abstractNumId w:val="127"/>
  </w:num>
  <w:num w:numId="39">
    <w:abstractNumId w:val="66"/>
  </w:num>
  <w:num w:numId="40">
    <w:abstractNumId w:val="94"/>
  </w:num>
  <w:num w:numId="41">
    <w:abstractNumId w:val="43"/>
  </w:num>
  <w:num w:numId="42">
    <w:abstractNumId w:val="32"/>
  </w:num>
  <w:num w:numId="43">
    <w:abstractNumId w:val="12"/>
  </w:num>
  <w:num w:numId="44">
    <w:abstractNumId w:val="101"/>
  </w:num>
  <w:num w:numId="45">
    <w:abstractNumId w:val="61"/>
  </w:num>
  <w:num w:numId="46">
    <w:abstractNumId w:val="36"/>
  </w:num>
  <w:num w:numId="47">
    <w:abstractNumId w:val="96"/>
  </w:num>
  <w:num w:numId="48">
    <w:abstractNumId w:val="0"/>
  </w:num>
  <w:num w:numId="49">
    <w:abstractNumId w:val="60"/>
  </w:num>
  <w:num w:numId="50">
    <w:abstractNumId w:val="25"/>
  </w:num>
  <w:num w:numId="51">
    <w:abstractNumId w:val="83"/>
  </w:num>
  <w:num w:numId="52">
    <w:abstractNumId w:val="117"/>
  </w:num>
  <w:num w:numId="53">
    <w:abstractNumId w:val="113"/>
  </w:num>
  <w:num w:numId="54">
    <w:abstractNumId w:val="121"/>
  </w:num>
  <w:num w:numId="55">
    <w:abstractNumId w:val="130"/>
  </w:num>
  <w:num w:numId="56">
    <w:abstractNumId w:val="17"/>
  </w:num>
  <w:num w:numId="57">
    <w:abstractNumId w:val="120"/>
  </w:num>
  <w:num w:numId="58">
    <w:abstractNumId w:val="19"/>
  </w:num>
  <w:num w:numId="59">
    <w:abstractNumId w:val="59"/>
  </w:num>
  <w:num w:numId="60">
    <w:abstractNumId w:val="38"/>
  </w:num>
  <w:num w:numId="61">
    <w:abstractNumId w:val="79"/>
  </w:num>
  <w:num w:numId="62">
    <w:abstractNumId w:val="122"/>
  </w:num>
  <w:num w:numId="63">
    <w:abstractNumId w:val="103"/>
  </w:num>
  <w:num w:numId="64">
    <w:abstractNumId w:val="137"/>
  </w:num>
  <w:num w:numId="65">
    <w:abstractNumId w:val="80"/>
  </w:num>
  <w:num w:numId="66">
    <w:abstractNumId w:val="107"/>
  </w:num>
  <w:num w:numId="67">
    <w:abstractNumId w:val="5"/>
  </w:num>
  <w:num w:numId="68">
    <w:abstractNumId w:val="31"/>
  </w:num>
  <w:num w:numId="69">
    <w:abstractNumId w:val="13"/>
  </w:num>
  <w:num w:numId="70">
    <w:abstractNumId w:val="124"/>
  </w:num>
  <w:num w:numId="71">
    <w:abstractNumId w:val="143"/>
  </w:num>
  <w:num w:numId="72">
    <w:abstractNumId w:val="56"/>
  </w:num>
  <w:num w:numId="73">
    <w:abstractNumId w:val="46"/>
  </w:num>
  <w:num w:numId="74">
    <w:abstractNumId w:val="41"/>
  </w:num>
  <w:num w:numId="75">
    <w:abstractNumId w:val="108"/>
  </w:num>
  <w:num w:numId="76">
    <w:abstractNumId w:val="123"/>
  </w:num>
  <w:num w:numId="77">
    <w:abstractNumId w:val="35"/>
  </w:num>
  <w:num w:numId="78">
    <w:abstractNumId w:val="97"/>
  </w:num>
  <w:num w:numId="79">
    <w:abstractNumId w:val="111"/>
  </w:num>
  <w:num w:numId="80">
    <w:abstractNumId w:val="88"/>
  </w:num>
  <w:num w:numId="81">
    <w:abstractNumId w:val="81"/>
  </w:num>
  <w:num w:numId="82">
    <w:abstractNumId w:val="115"/>
  </w:num>
  <w:num w:numId="83">
    <w:abstractNumId w:val="134"/>
  </w:num>
  <w:num w:numId="84">
    <w:abstractNumId w:val="48"/>
  </w:num>
  <w:num w:numId="85">
    <w:abstractNumId w:val="70"/>
  </w:num>
  <w:num w:numId="86">
    <w:abstractNumId w:val="104"/>
  </w:num>
  <w:num w:numId="87">
    <w:abstractNumId w:val="92"/>
  </w:num>
  <w:num w:numId="88">
    <w:abstractNumId w:val="24"/>
  </w:num>
  <w:num w:numId="89">
    <w:abstractNumId w:val="64"/>
  </w:num>
  <w:num w:numId="90">
    <w:abstractNumId w:val="7"/>
  </w:num>
  <w:num w:numId="91">
    <w:abstractNumId w:val="77"/>
  </w:num>
  <w:num w:numId="92">
    <w:abstractNumId w:val="119"/>
  </w:num>
  <w:num w:numId="93">
    <w:abstractNumId w:val="87"/>
  </w:num>
  <w:num w:numId="94">
    <w:abstractNumId w:val="112"/>
  </w:num>
  <w:num w:numId="95">
    <w:abstractNumId w:val="23"/>
  </w:num>
  <w:num w:numId="96">
    <w:abstractNumId w:val="6"/>
  </w:num>
  <w:num w:numId="97">
    <w:abstractNumId w:val="33"/>
  </w:num>
  <w:num w:numId="98">
    <w:abstractNumId w:val="44"/>
  </w:num>
  <w:num w:numId="99">
    <w:abstractNumId w:val="93"/>
  </w:num>
  <w:num w:numId="100">
    <w:abstractNumId w:val="8"/>
  </w:num>
  <w:num w:numId="101">
    <w:abstractNumId w:val="26"/>
  </w:num>
  <w:num w:numId="102">
    <w:abstractNumId w:val="109"/>
  </w:num>
  <w:num w:numId="103">
    <w:abstractNumId w:val="67"/>
  </w:num>
  <w:num w:numId="104">
    <w:abstractNumId w:val="138"/>
  </w:num>
  <w:num w:numId="105">
    <w:abstractNumId w:val="3"/>
  </w:num>
  <w:num w:numId="106">
    <w:abstractNumId w:val="98"/>
  </w:num>
  <w:num w:numId="107">
    <w:abstractNumId w:val="47"/>
  </w:num>
  <w:num w:numId="108">
    <w:abstractNumId w:val="54"/>
  </w:num>
  <w:num w:numId="109">
    <w:abstractNumId w:val="89"/>
  </w:num>
  <w:num w:numId="110">
    <w:abstractNumId w:val="141"/>
  </w:num>
  <w:num w:numId="111">
    <w:abstractNumId w:val="68"/>
  </w:num>
  <w:num w:numId="112">
    <w:abstractNumId w:val="69"/>
  </w:num>
  <w:num w:numId="113">
    <w:abstractNumId w:val="53"/>
  </w:num>
  <w:num w:numId="114">
    <w:abstractNumId w:val="84"/>
  </w:num>
  <w:num w:numId="115">
    <w:abstractNumId w:val="71"/>
  </w:num>
  <w:num w:numId="116">
    <w:abstractNumId w:val="128"/>
  </w:num>
  <w:num w:numId="117">
    <w:abstractNumId w:val="58"/>
  </w:num>
  <w:num w:numId="118">
    <w:abstractNumId w:val="14"/>
  </w:num>
  <w:num w:numId="119">
    <w:abstractNumId w:val="73"/>
  </w:num>
  <w:num w:numId="120">
    <w:abstractNumId w:val="129"/>
  </w:num>
  <w:num w:numId="121">
    <w:abstractNumId w:val="42"/>
  </w:num>
  <w:num w:numId="122">
    <w:abstractNumId w:val="132"/>
  </w:num>
  <w:num w:numId="123">
    <w:abstractNumId w:val="29"/>
  </w:num>
  <w:num w:numId="124">
    <w:abstractNumId w:val="76"/>
  </w:num>
  <w:num w:numId="125">
    <w:abstractNumId w:val="142"/>
  </w:num>
  <w:num w:numId="126">
    <w:abstractNumId w:val="27"/>
  </w:num>
  <w:num w:numId="127">
    <w:abstractNumId w:val="105"/>
  </w:num>
  <w:num w:numId="128">
    <w:abstractNumId w:val="22"/>
  </w:num>
  <w:num w:numId="129">
    <w:abstractNumId w:val="4"/>
  </w:num>
  <w:num w:numId="130">
    <w:abstractNumId w:val="51"/>
  </w:num>
  <w:num w:numId="131">
    <w:abstractNumId w:val="125"/>
  </w:num>
  <w:num w:numId="132">
    <w:abstractNumId w:val="34"/>
  </w:num>
  <w:num w:numId="133">
    <w:abstractNumId w:val="30"/>
  </w:num>
  <w:num w:numId="134">
    <w:abstractNumId w:val="72"/>
  </w:num>
  <w:num w:numId="135">
    <w:abstractNumId w:val="28"/>
  </w:num>
  <w:num w:numId="136">
    <w:abstractNumId w:val="139"/>
  </w:num>
  <w:num w:numId="137">
    <w:abstractNumId w:val="140"/>
  </w:num>
  <w:num w:numId="138">
    <w:abstractNumId w:val="99"/>
  </w:num>
  <w:num w:numId="139">
    <w:abstractNumId w:val="144"/>
  </w:num>
  <w:num w:numId="140">
    <w:abstractNumId w:val="49"/>
  </w:num>
  <w:num w:numId="141">
    <w:abstractNumId w:val="39"/>
  </w:num>
  <w:num w:numId="142">
    <w:abstractNumId w:val="114"/>
  </w:num>
  <w:num w:numId="143">
    <w:abstractNumId w:val="100"/>
  </w:num>
  <w:num w:numId="144">
    <w:abstractNumId w:val="86"/>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A3"/>
    <w:rsid w:val="0000369C"/>
    <w:rsid w:val="00005A69"/>
    <w:rsid w:val="00007339"/>
    <w:rsid w:val="00014C82"/>
    <w:rsid w:val="000155BF"/>
    <w:rsid w:val="00022158"/>
    <w:rsid w:val="00026558"/>
    <w:rsid w:val="000278C4"/>
    <w:rsid w:val="00031607"/>
    <w:rsid w:val="00045FA5"/>
    <w:rsid w:val="00056391"/>
    <w:rsid w:val="00060959"/>
    <w:rsid w:val="000644C5"/>
    <w:rsid w:val="00066A8C"/>
    <w:rsid w:val="00066BD5"/>
    <w:rsid w:val="00066E26"/>
    <w:rsid w:val="0007006A"/>
    <w:rsid w:val="00070E58"/>
    <w:rsid w:val="00073314"/>
    <w:rsid w:val="00082713"/>
    <w:rsid w:val="00083277"/>
    <w:rsid w:val="00094480"/>
    <w:rsid w:val="0009503E"/>
    <w:rsid w:val="000C16FA"/>
    <w:rsid w:val="000C54F6"/>
    <w:rsid w:val="000C6BDD"/>
    <w:rsid w:val="000E2FA4"/>
    <w:rsid w:val="000E3050"/>
    <w:rsid w:val="000F05E6"/>
    <w:rsid w:val="000F4F2F"/>
    <w:rsid w:val="001014D0"/>
    <w:rsid w:val="0010440B"/>
    <w:rsid w:val="00104568"/>
    <w:rsid w:val="00104B61"/>
    <w:rsid w:val="00117113"/>
    <w:rsid w:val="00117C9A"/>
    <w:rsid w:val="00124240"/>
    <w:rsid w:val="0012563C"/>
    <w:rsid w:val="00127D35"/>
    <w:rsid w:val="001331F2"/>
    <w:rsid w:val="00137B1D"/>
    <w:rsid w:val="00141D88"/>
    <w:rsid w:val="00142AA0"/>
    <w:rsid w:val="00146FA3"/>
    <w:rsid w:val="00147B50"/>
    <w:rsid w:val="00147C5B"/>
    <w:rsid w:val="00152484"/>
    <w:rsid w:val="00155B6E"/>
    <w:rsid w:val="0016083D"/>
    <w:rsid w:val="00163824"/>
    <w:rsid w:val="001644E6"/>
    <w:rsid w:val="001648C4"/>
    <w:rsid w:val="00165BC7"/>
    <w:rsid w:val="00165E2B"/>
    <w:rsid w:val="0017263E"/>
    <w:rsid w:val="00174A9C"/>
    <w:rsid w:val="0018711F"/>
    <w:rsid w:val="00187BA3"/>
    <w:rsid w:val="001902AB"/>
    <w:rsid w:val="00190673"/>
    <w:rsid w:val="00193FAA"/>
    <w:rsid w:val="001948BB"/>
    <w:rsid w:val="001A003F"/>
    <w:rsid w:val="001B0EAE"/>
    <w:rsid w:val="001B2DB7"/>
    <w:rsid w:val="001B5E55"/>
    <w:rsid w:val="001C46FD"/>
    <w:rsid w:val="001C4C3D"/>
    <w:rsid w:val="001C766E"/>
    <w:rsid w:val="001D5699"/>
    <w:rsid w:val="001D7504"/>
    <w:rsid w:val="001E0CF7"/>
    <w:rsid w:val="00200C54"/>
    <w:rsid w:val="002020D5"/>
    <w:rsid w:val="00204208"/>
    <w:rsid w:val="002042EA"/>
    <w:rsid w:val="0020454E"/>
    <w:rsid w:val="002135E1"/>
    <w:rsid w:val="00213A82"/>
    <w:rsid w:val="00213C63"/>
    <w:rsid w:val="002164AF"/>
    <w:rsid w:val="00217B54"/>
    <w:rsid w:val="00240605"/>
    <w:rsid w:val="002551C3"/>
    <w:rsid w:val="0027323B"/>
    <w:rsid w:val="0027757B"/>
    <w:rsid w:val="00280C0A"/>
    <w:rsid w:val="0028120A"/>
    <w:rsid w:val="002848DD"/>
    <w:rsid w:val="00286656"/>
    <w:rsid w:val="00293933"/>
    <w:rsid w:val="002A09FF"/>
    <w:rsid w:val="002A0C02"/>
    <w:rsid w:val="002A3261"/>
    <w:rsid w:val="002B4D7E"/>
    <w:rsid w:val="002B5693"/>
    <w:rsid w:val="002B588F"/>
    <w:rsid w:val="002B633F"/>
    <w:rsid w:val="002C3C32"/>
    <w:rsid w:val="002C4EE9"/>
    <w:rsid w:val="002C60E1"/>
    <w:rsid w:val="002D1723"/>
    <w:rsid w:val="002D32CA"/>
    <w:rsid w:val="002D54CB"/>
    <w:rsid w:val="002E2111"/>
    <w:rsid w:val="002E3046"/>
    <w:rsid w:val="002F5CD1"/>
    <w:rsid w:val="002F5D9E"/>
    <w:rsid w:val="002F7719"/>
    <w:rsid w:val="00310616"/>
    <w:rsid w:val="00310EDA"/>
    <w:rsid w:val="003115E7"/>
    <w:rsid w:val="003125DC"/>
    <w:rsid w:val="00313E31"/>
    <w:rsid w:val="00321279"/>
    <w:rsid w:val="0033353E"/>
    <w:rsid w:val="0033681E"/>
    <w:rsid w:val="003426C1"/>
    <w:rsid w:val="0034562D"/>
    <w:rsid w:val="00345C68"/>
    <w:rsid w:val="0036727F"/>
    <w:rsid w:val="00372B33"/>
    <w:rsid w:val="00373CF7"/>
    <w:rsid w:val="003766CC"/>
    <w:rsid w:val="00383CBF"/>
    <w:rsid w:val="003848AE"/>
    <w:rsid w:val="0038536D"/>
    <w:rsid w:val="003959BD"/>
    <w:rsid w:val="0039711E"/>
    <w:rsid w:val="003B06E2"/>
    <w:rsid w:val="003B115B"/>
    <w:rsid w:val="003B2251"/>
    <w:rsid w:val="003B414C"/>
    <w:rsid w:val="003B5B81"/>
    <w:rsid w:val="003C080B"/>
    <w:rsid w:val="003C3010"/>
    <w:rsid w:val="003C5912"/>
    <w:rsid w:val="003D1747"/>
    <w:rsid w:val="003D1B77"/>
    <w:rsid w:val="003D5E87"/>
    <w:rsid w:val="003E0CEA"/>
    <w:rsid w:val="003E105E"/>
    <w:rsid w:val="003E3EAF"/>
    <w:rsid w:val="003E42BD"/>
    <w:rsid w:val="003E4C3E"/>
    <w:rsid w:val="003E55A8"/>
    <w:rsid w:val="003F005E"/>
    <w:rsid w:val="003F1539"/>
    <w:rsid w:val="003F6803"/>
    <w:rsid w:val="00401119"/>
    <w:rsid w:val="00404E4C"/>
    <w:rsid w:val="004079B4"/>
    <w:rsid w:val="00407B27"/>
    <w:rsid w:val="004104D1"/>
    <w:rsid w:val="00422B8F"/>
    <w:rsid w:val="00423DFA"/>
    <w:rsid w:val="00455DE9"/>
    <w:rsid w:val="00463493"/>
    <w:rsid w:val="00464623"/>
    <w:rsid w:val="00471329"/>
    <w:rsid w:val="00475EAC"/>
    <w:rsid w:val="00477355"/>
    <w:rsid w:val="004774F3"/>
    <w:rsid w:val="004864D4"/>
    <w:rsid w:val="004A5061"/>
    <w:rsid w:val="004B1EA8"/>
    <w:rsid w:val="004B57CB"/>
    <w:rsid w:val="004C36F5"/>
    <w:rsid w:val="004C4A0F"/>
    <w:rsid w:val="004C5875"/>
    <w:rsid w:val="004C6DE4"/>
    <w:rsid w:val="004D3064"/>
    <w:rsid w:val="004D35FC"/>
    <w:rsid w:val="004D3679"/>
    <w:rsid w:val="004D53CC"/>
    <w:rsid w:val="004D571C"/>
    <w:rsid w:val="004E52B4"/>
    <w:rsid w:val="004F64DA"/>
    <w:rsid w:val="004F72A7"/>
    <w:rsid w:val="00502748"/>
    <w:rsid w:val="00503B51"/>
    <w:rsid w:val="00507470"/>
    <w:rsid w:val="00507755"/>
    <w:rsid w:val="005105A2"/>
    <w:rsid w:val="00510A44"/>
    <w:rsid w:val="005143EC"/>
    <w:rsid w:val="0052026B"/>
    <w:rsid w:val="005319F6"/>
    <w:rsid w:val="00531C4D"/>
    <w:rsid w:val="00536F64"/>
    <w:rsid w:val="00537DF1"/>
    <w:rsid w:val="005460EF"/>
    <w:rsid w:val="0055672B"/>
    <w:rsid w:val="00556C79"/>
    <w:rsid w:val="0056697B"/>
    <w:rsid w:val="00567974"/>
    <w:rsid w:val="00581261"/>
    <w:rsid w:val="00581D3C"/>
    <w:rsid w:val="005864C0"/>
    <w:rsid w:val="00586BF9"/>
    <w:rsid w:val="00595B9C"/>
    <w:rsid w:val="005A5B76"/>
    <w:rsid w:val="005B38CF"/>
    <w:rsid w:val="005C124F"/>
    <w:rsid w:val="005D3723"/>
    <w:rsid w:val="005E65AF"/>
    <w:rsid w:val="005F38BA"/>
    <w:rsid w:val="005F668D"/>
    <w:rsid w:val="005F7C37"/>
    <w:rsid w:val="00612B9D"/>
    <w:rsid w:val="00614DDF"/>
    <w:rsid w:val="0061553D"/>
    <w:rsid w:val="0061604C"/>
    <w:rsid w:val="00623078"/>
    <w:rsid w:val="00623763"/>
    <w:rsid w:val="00627465"/>
    <w:rsid w:val="006322A6"/>
    <w:rsid w:val="006365A8"/>
    <w:rsid w:val="006378EC"/>
    <w:rsid w:val="0066393B"/>
    <w:rsid w:val="0068306C"/>
    <w:rsid w:val="006831CF"/>
    <w:rsid w:val="00683F31"/>
    <w:rsid w:val="006A5BCA"/>
    <w:rsid w:val="006B2B71"/>
    <w:rsid w:val="006C4406"/>
    <w:rsid w:val="006C6066"/>
    <w:rsid w:val="006C65C2"/>
    <w:rsid w:val="006C6CF4"/>
    <w:rsid w:val="006D0BCB"/>
    <w:rsid w:val="006D15D3"/>
    <w:rsid w:val="006D3D80"/>
    <w:rsid w:val="006E084F"/>
    <w:rsid w:val="006E359E"/>
    <w:rsid w:val="006E4114"/>
    <w:rsid w:val="006F637E"/>
    <w:rsid w:val="006F7421"/>
    <w:rsid w:val="007005C7"/>
    <w:rsid w:val="0070185B"/>
    <w:rsid w:val="0070244E"/>
    <w:rsid w:val="007045F1"/>
    <w:rsid w:val="00705B68"/>
    <w:rsid w:val="00707A95"/>
    <w:rsid w:val="00713176"/>
    <w:rsid w:val="00716CA4"/>
    <w:rsid w:val="0071714D"/>
    <w:rsid w:val="00721A78"/>
    <w:rsid w:val="00732AB7"/>
    <w:rsid w:val="00736353"/>
    <w:rsid w:val="007419F5"/>
    <w:rsid w:val="0074382F"/>
    <w:rsid w:val="007448D8"/>
    <w:rsid w:val="007467D6"/>
    <w:rsid w:val="007475AD"/>
    <w:rsid w:val="0074788E"/>
    <w:rsid w:val="007532E4"/>
    <w:rsid w:val="00762371"/>
    <w:rsid w:val="007636E1"/>
    <w:rsid w:val="00763F2B"/>
    <w:rsid w:val="00764E6B"/>
    <w:rsid w:val="007654F7"/>
    <w:rsid w:val="00771049"/>
    <w:rsid w:val="00775E01"/>
    <w:rsid w:val="007761DF"/>
    <w:rsid w:val="00776F12"/>
    <w:rsid w:val="00776F49"/>
    <w:rsid w:val="0078224E"/>
    <w:rsid w:val="0078321F"/>
    <w:rsid w:val="00784FE6"/>
    <w:rsid w:val="00793A04"/>
    <w:rsid w:val="00797011"/>
    <w:rsid w:val="007A4B7E"/>
    <w:rsid w:val="007B2017"/>
    <w:rsid w:val="007B321A"/>
    <w:rsid w:val="007C4D18"/>
    <w:rsid w:val="007D2540"/>
    <w:rsid w:val="007D5F92"/>
    <w:rsid w:val="007E2D4A"/>
    <w:rsid w:val="007E348D"/>
    <w:rsid w:val="007E472F"/>
    <w:rsid w:val="007F0EDE"/>
    <w:rsid w:val="007F4687"/>
    <w:rsid w:val="007F478E"/>
    <w:rsid w:val="00800E17"/>
    <w:rsid w:val="00802EC6"/>
    <w:rsid w:val="008032FF"/>
    <w:rsid w:val="00805590"/>
    <w:rsid w:val="00810CF5"/>
    <w:rsid w:val="008139EA"/>
    <w:rsid w:val="00820BFD"/>
    <w:rsid w:val="00824631"/>
    <w:rsid w:val="00824BFE"/>
    <w:rsid w:val="00830F31"/>
    <w:rsid w:val="00832BA2"/>
    <w:rsid w:val="0083361B"/>
    <w:rsid w:val="00845E9A"/>
    <w:rsid w:val="00847319"/>
    <w:rsid w:val="00857DE4"/>
    <w:rsid w:val="008605F7"/>
    <w:rsid w:val="00860F2B"/>
    <w:rsid w:val="00864B56"/>
    <w:rsid w:val="00874032"/>
    <w:rsid w:val="0087511E"/>
    <w:rsid w:val="0087625C"/>
    <w:rsid w:val="00877E61"/>
    <w:rsid w:val="00883C51"/>
    <w:rsid w:val="00883F4F"/>
    <w:rsid w:val="00886E7D"/>
    <w:rsid w:val="008B494F"/>
    <w:rsid w:val="008C0E55"/>
    <w:rsid w:val="008C14FB"/>
    <w:rsid w:val="008C20F4"/>
    <w:rsid w:val="008C29DC"/>
    <w:rsid w:val="008C6BA4"/>
    <w:rsid w:val="008C7EB1"/>
    <w:rsid w:val="008D0526"/>
    <w:rsid w:val="008D0C70"/>
    <w:rsid w:val="008D51EC"/>
    <w:rsid w:val="008D6F8C"/>
    <w:rsid w:val="008E2004"/>
    <w:rsid w:val="008F0A50"/>
    <w:rsid w:val="008F19A1"/>
    <w:rsid w:val="008F4152"/>
    <w:rsid w:val="00902198"/>
    <w:rsid w:val="00906236"/>
    <w:rsid w:val="00911681"/>
    <w:rsid w:val="00955588"/>
    <w:rsid w:val="00956629"/>
    <w:rsid w:val="00960461"/>
    <w:rsid w:val="00971B82"/>
    <w:rsid w:val="00972E46"/>
    <w:rsid w:val="00974B28"/>
    <w:rsid w:val="00974C73"/>
    <w:rsid w:val="0098000C"/>
    <w:rsid w:val="00984D9B"/>
    <w:rsid w:val="00993636"/>
    <w:rsid w:val="009A1275"/>
    <w:rsid w:val="009A230D"/>
    <w:rsid w:val="009A7B19"/>
    <w:rsid w:val="009B289C"/>
    <w:rsid w:val="009B30E1"/>
    <w:rsid w:val="009B3AD9"/>
    <w:rsid w:val="009B780E"/>
    <w:rsid w:val="009C6B5A"/>
    <w:rsid w:val="009D260D"/>
    <w:rsid w:val="009D32E3"/>
    <w:rsid w:val="009E2966"/>
    <w:rsid w:val="009E685D"/>
    <w:rsid w:val="009E7B42"/>
    <w:rsid w:val="009E7EAB"/>
    <w:rsid w:val="009F48F8"/>
    <w:rsid w:val="009F7F8A"/>
    <w:rsid w:val="00A01726"/>
    <w:rsid w:val="00A0257E"/>
    <w:rsid w:val="00A03572"/>
    <w:rsid w:val="00A03BD7"/>
    <w:rsid w:val="00A162B7"/>
    <w:rsid w:val="00A17068"/>
    <w:rsid w:val="00A23C72"/>
    <w:rsid w:val="00A26557"/>
    <w:rsid w:val="00A33702"/>
    <w:rsid w:val="00A405D1"/>
    <w:rsid w:val="00A43B51"/>
    <w:rsid w:val="00A50583"/>
    <w:rsid w:val="00A53E3B"/>
    <w:rsid w:val="00A6084F"/>
    <w:rsid w:val="00A67918"/>
    <w:rsid w:val="00A70954"/>
    <w:rsid w:val="00A729EF"/>
    <w:rsid w:val="00A80508"/>
    <w:rsid w:val="00A829C3"/>
    <w:rsid w:val="00A82CEF"/>
    <w:rsid w:val="00A83456"/>
    <w:rsid w:val="00AA4381"/>
    <w:rsid w:val="00AB2CF1"/>
    <w:rsid w:val="00AB450A"/>
    <w:rsid w:val="00AB56EB"/>
    <w:rsid w:val="00AD12DA"/>
    <w:rsid w:val="00AD2B7C"/>
    <w:rsid w:val="00AD4C2D"/>
    <w:rsid w:val="00AD5C9F"/>
    <w:rsid w:val="00AE1F03"/>
    <w:rsid w:val="00AE3018"/>
    <w:rsid w:val="00AE677A"/>
    <w:rsid w:val="00AE7348"/>
    <w:rsid w:val="00AF6C24"/>
    <w:rsid w:val="00B03D3A"/>
    <w:rsid w:val="00B065DC"/>
    <w:rsid w:val="00B065F7"/>
    <w:rsid w:val="00B06759"/>
    <w:rsid w:val="00B210AD"/>
    <w:rsid w:val="00B212DE"/>
    <w:rsid w:val="00B24F28"/>
    <w:rsid w:val="00B258D9"/>
    <w:rsid w:val="00B32037"/>
    <w:rsid w:val="00B32FFA"/>
    <w:rsid w:val="00B35B8B"/>
    <w:rsid w:val="00B37AA6"/>
    <w:rsid w:val="00B43813"/>
    <w:rsid w:val="00B47C08"/>
    <w:rsid w:val="00B57077"/>
    <w:rsid w:val="00B61522"/>
    <w:rsid w:val="00B73062"/>
    <w:rsid w:val="00B74139"/>
    <w:rsid w:val="00B8507B"/>
    <w:rsid w:val="00B866ED"/>
    <w:rsid w:val="00B87A26"/>
    <w:rsid w:val="00B941F0"/>
    <w:rsid w:val="00B97284"/>
    <w:rsid w:val="00BC3045"/>
    <w:rsid w:val="00BC7A14"/>
    <w:rsid w:val="00BD0E44"/>
    <w:rsid w:val="00BD162E"/>
    <w:rsid w:val="00BD3716"/>
    <w:rsid w:val="00BE4C01"/>
    <w:rsid w:val="00BE63F6"/>
    <w:rsid w:val="00BF0587"/>
    <w:rsid w:val="00BF1162"/>
    <w:rsid w:val="00BF28E7"/>
    <w:rsid w:val="00BF457D"/>
    <w:rsid w:val="00BF4D82"/>
    <w:rsid w:val="00BF7EED"/>
    <w:rsid w:val="00C00AD2"/>
    <w:rsid w:val="00C06AB8"/>
    <w:rsid w:val="00C10162"/>
    <w:rsid w:val="00C113A3"/>
    <w:rsid w:val="00C11619"/>
    <w:rsid w:val="00C118FF"/>
    <w:rsid w:val="00C13481"/>
    <w:rsid w:val="00C145BD"/>
    <w:rsid w:val="00C15037"/>
    <w:rsid w:val="00C16400"/>
    <w:rsid w:val="00C201AD"/>
    <w:rsid w:val="00C20841"/>
    <w:rsid w:val="00C231F6"/>
    <w:rsid w:val="00C27878"/>
    <w:rsid w:val="00C30790"/>
    <w:rsid w:val="00C32A21"/>
    <w:rsid w:val="00C459C8"/>
    <w:rsid w:val="00C5293A"/>
    <w:rsid w:val="00C52AEC"/>
    <w:rsid w:val="00C5490F"/>
    <w:rsid w:val="00C57107"/>
    <w:rsid w:val="00C62A0F"/>
    <w:rsid w:val="00C653F7"/>
    <w:rsid w:val="00C72132"/>
    <w:rsid w:val="00C744E0"/>
    <w:rsid w:val="00C76650"/>
    <w:rsid w:val="00C847D0"/>
    <w:rsid w:val="00C85EB8"/>
    <w:rsid w:val="00C87279"/>
    <w:rsid w:val="00CA3186"/>
    <w:rsid w:val="00CA3765"/>
    <w:rsid w:val="00CA4A58"/>
    <w:rsid w:val="00CA5589"/>
    <w:rsid w:val="00CB2EED"/>
    <w:rsid w:val="00CB6FFD"/>
    <w:rsid w:val="00CC22C1"/>
    <w:rsid w:val="00CC3EE6"/>
    <w:rsid w:val="00CD3759"/>
    <w:rsid w:val="00CD44CA"/>
    <w:rsid w:val="00CD509A"/>
    <w:rsid w:val="00CE06C6"/>
    <w:rsid w:val="00CE0CDF"/>
    <w:rsid w:val="00CE69A2"/>
    <w:rsid w:val="00CF338E"/>
    <w:rsid w:val="00CF366F"/>
    <w:rsid w:val="00CF6A33"/>
    <w:rsid w:val="00D06A4B"/>
    <w:rsid w:val="00D07EAB"/>
    <w:rsid w:val="00D07EC1"/>
    <w:rsid w:val="00D1471B"/>
    <w:rsid w:val="00D174A7"/>
    <w:rsid w:val="00D2226B"/>
    <w:rsid w:val="00D23199"/>
    <w:rsid w:val="00D23226"/>
    <w:rsid w:val="00D23940"/>
    <w:rsid w:val="00D35DB0"/>
    <w:rsid w:val="00D42AC0"/>
    <w:rsid w:val="00D44BE0"/>
    <w:rsid w:val="00D62EDF"/>
    <w:rsid w:val="00D864DB"/>
    <w:rsid w:val="00D87298"/>
    <w:rsid w:val="00D97F2C"/>
    <w:rsid w:val="00DA0FB2"/>
    <w:rsid w:val="00DA1B00"/>
    <w:rsid w:val="00DA4A87"/>
    <w:rsid w:val="00DA7CAA"/>
    <w:rsid w:val="00DA7D45"/>
    <w:rsid w:val="00DC0326"/>
    <w:rsid w:val="00DC4A7A"/>
    <w:rsid w:val="00DD0523"/>
    <w:rsid w:val="00DD2420"/>
    <w:rsid w:val="00DD3CB3"/>
    <w:rsid w:val="00DE6A00"/>
    <w:rsid w:val="00DF354D"/>
    <w:rsid w:val="00DF5932"/>
    <w:rsid w:val="00E05500"/>
    <w:rsid w:val="00E175AD"/>
    <w:rsid w:val="00E20452"/>
    <w:rsid w:val="00E3361F"/>
    <w:rsid w:val="00E36B62"/>
    <w:rsid w:val="00E4137C"/>
    <w:rsid w:val="00E46DC6"/>
    <w:rsid w:val="00E51FAD"/>
    <w:rsid w:val="00E539F7"/>
    <w:rsid w:val="00E544B6"/>
    <w:rsid w:val="00E55CEB"/>
    <w:rsid w:val="00E572DC"/>
    <w:rsid w:val="00E6069D"/>
    <w:rsid w:val="00E731CF"/>
    <w:rsid w:val="00E74FA3"/>
    <w:rsid w:val="00E768D9"/>
    <w:rsid w:val="00E81D75"/>
    <w:rsid w:val="00E81EF4"/>
    <w:rsid w:val="00E81F86"/>
    <w:rsid w:val="00E92F56"/>
    <w:rsid w:val="00EA003A"/>
    <w:rsid w:val="00EA4AF7"/>
    <w:rsid w:val="00EA4D7A"/>
    <w:rsid w:val="00EA5A6E"/>
    <w:rsid w:val="00EB7B45"/>
    <w:rsid w:val="00EC3D22"/>
    <w:rsid w:val="00EC4E2F"/>
    <w:rsid w:val="00EC7BEE"/>
    <w:rsid w:val="00ED54B2"/>
    <w:rsid w:val="00ED6F07"/>
    <w:rsid w:val="00EE3940"/>
    <w:rsid w:val="00EE57D0"/>
    <w:rsid w:val="00EF0FAE"/>
    <w:rsid w:val="00EF6F94"/>
    <w:rsid w:val="00F00246"/>
    <w:rsid w:val="00F005C4"/>
    <w:rsid w:val="00F01BFA"/>
    <w:rsid w:val="00F06196"/>
    <w:rsid w:val="00F11F75"/>
    <w:rsid w:val="00F140D0"/>
    <w:rsid w:val="00F20E4A"/>
    <w:rsid w:val="00F235C1"/>
    <w:rsid w:val="00F326D1"/>
    <w:rsid w:val="00F33A9C"/>
    <w:rsid w:val="00F367D4"/>
    <w:rsid w:val="00F42A9A"/>
    <w:rsid w:val="00F44634"/>
    <w:rsid w:val="00F54ABC"/>
    <w:rsid w:val="00F60983"/>
    <w:rsid w:val="00F61A30"/>
    <w:rsid w:val="00F61E12"/>
    <w:rsid w:val="00F63B2B"/>
    <w:rsid w:val="00F70966"/>
    <w:rsid w:val="00F80E46"/>
    <w:rsid w:val="00F91552"/>
    <w:rsid w:val="00F9313B"/>
    <w:rsid w:val="00F96BE5"/>
    <w:rsid w:val="00FA2AE2"/>
    <w:rsid w:val="00FB67A7"/>
    <w:rsid w:val="00FC12AF"/>
    <w:rsid w:val="00FC5EE5"/>
    <w:rsid w:val="00FC715E"/>
    <w:rsid w:val="00FC76DD"/>
    <w:rsid w:val="00FD02E8"/>
    <w:rsid w:val="00FD79D6"/>
    <w:rsid w:val="00FE2F46"/>
    <w:rsid w:val="00FE5829"/>
    <w:rsid w:val="00FF0EAA"/>
    <w:rsid w:val="00FF1EC3"/>
    <w:rsid w:val="00FF46A3"/>
    <w:rsid w:val="00FF70B0"/>
    <w:rsid w:val="00FF7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C203DE"/>
  <w15:docId w15:val="{2D17BE16-1D83-FD48-91DA-4077D8B2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F7F8A"/>
    <w:pPr>
      <w:spacing w:line="360" w:lineRule="auto"/>
      <w:jc w:val="both"/>
    </w:pPr>
    <w:rPr>
      <w:rFonts w:ascii="Times New Roman" w:hAnsi="Times New Roman"/>
      <w:sz w:val="24"/>
    </w:rPr>
  </w:style>
  <w:style w:type="paragraph" w:styleId="11">
    <w:name w:val="heading 1"/>
    <w:basedOn w:val="2"/>
    <w:link w:val="12"/>
    <w:qFormat/>
    <w:rsid w:val="00083277"/>
    <w:pPr>
      <w:ind w:firstLine="0"/>
      <w:jc w:val="center"/>
      <w:outlineLvl w:val="0"/>
    </w:pPr>
    <w:rPr>
      <w:sz w:val="28"/>
    </w:rPr>
  </w:style>
  <w:style w:type="paragraph" w:styleId="2">
    <w:name w:val="heading 2"/>
    <w:aliases w:val="Наим. подраздела"/>
    <w:basedOn w:val="a2"/>
    <w:link w:val="20"/>
    <w:unhideWhenUsed/>
    <w:qFormat/>
    <w:rsid w:val="002F7719"/>
    <w:pPr>
      <w:ind w:firstLine="709"/>
      <w:outlineLvl w:val="1"/>
    </w:pPr>
  </w:style>
  <w:style w:type="paragraph" w:styleId="3">
    <w:name w:val="heading 3"/>
    <w:basedOn w:val="a1"/>
    <w:next w:val="a1"/>
    <w:link w:val="30"/>
    <w:unhideWhenUsed/>
    <w:qFormat/>
    <w:rsid w:val="00321279"/>
    <w:pPr>
      <w:keepNext/>
      <w:keepLines/>
      <w:spacing w:before="40"/>
      <w:ind w:firstLine="709"/>
      <w:outlineLvl w:val="2"/>
    </w:pPr>
    <w:rPr>
      <w:rFonts w:asciiTheme="majorHAnsi" w:eastAsiaTheme="majorEastAsia" w:hAnsiTheme="majorHAnsi" w:cstheme="majorBidi"/>
      <w:color w:val="1F4D78" w:themeColor="accent1" w:themeShade="7F"/>
      <w:szCs w:val="24"/>
    </w:rPr>
  </w:style>
  <w:style w:type="paragraph" w:styleId="4">
    <w:name w:val="heading 4"/>
    <w:basedOn w:val="a1"/>
    <w:next w:val="a1"/>
    <w:link w:val="40"/>
    <w:uiPriority w:val="99"/>
    <w:qFormat/>
    <w:rsid w:val="00321279"/>
    <w:pPr>
      <w:keepNext/>
      <w:shd w:val="clear" w:color="auto" w:fill="FFFFFF"/>
      <w:tabs>
        <w:tab w:val="num" w:pos="0"/>
      </w:tabs>
      <w:suppressAutoHyphens/>
      <w:spacing w:line="348" w:lineRule="atLeast"/>
      <w:outlineLvl w:val="3"/>
    </w:pPr>
    <w:rPr>
      <w:rFonts w:eastAsia="Calibri" w:cs="Times New Roman"/>
      <w:b/>
      <w:sz w:val="20"/>
      <w:szCs w:val="20"/>
      <w:lang w:val="en-US" w:eastAsia="zh-CN"/>
    </w:rPr>
  </w:style>
  <w:style w:type="paragraph" w:styleId="5">
    <w:name w:val="heading 5"/>
    <w:basedOn w:val="13"/>
    <w:next w:val="a3"/>
    <w:link w:val="50"/>
    <w:uiPriority w:val="99"/>
    <w:qFormat/>
    <w:rsid w:val="00321279"/>
    <w:pPr>
      <w:keepNext w:val="0"/>
      <w:tabs>
        <w:tab w:val="num" w:pos="0"/>
      </w:tabs>
      <w:suppressAutoHyphens/>
      <w:spacing w:before="120" w:after="60"/>
      <w:jc w:val="center"/>
      <w:outlineLvl w:val="4"/>
    </w:pPr>
    <w:rPr>
      <w:rFonts w:ascii="Calibri Light" w:eastAsia="Times New Roman" w:hAnsi="Calibri Light" w:cs="Calibri Light"/>
      <w:b/>
      <w:bCs/>
      <w:kern w:val="1"/>
      <w:sz w:val="24"/>
      <w:szCs w:val="24"/>
      <w:lang w:eastAsia="zh-CN"/>
    </w:rPr>
  </w:style>
  <w:style w:type="paragraph" w:styleId="6">
    <w:name w:val="heading 6"/>
    <w:basedOn w:val="13"/>
    <w:next w:val="a3"/>
    <w:link w:val="60"/>
    <w:uiPriority w:val="99"/>
    <w:qFormat/>
    <w:rsid w:val="00321279"/>
    <w:pPr>
      <w:keepNext w:val="0"/>
      <w:tabs>
        <w:tab w:val="num" w:pos="0"/>
      </w:tabs>
      <w:suppressAutoHyphens/>
      <w:spacing w:before="60" w:after="60"/>
      <w:jc w:val="center"/>
      <w:outlineLvl w:val="5"/>
    </w:pPr>
    <w:rPr>
      <w:rFonts w:ascii="Calibri Light" w:eastAsia="Times New Roman" w:hAnsi="Calibri Light" w:cs="Calibri Light"/>
      <w:b/>
      <w:bCs/>
      <w:i/>
      <w:iCs/>
      <w:kern w:val="1"/>
      <w:sz w:val="24"/>
      <w:szCs w:val="24"/>
      <w:lang w:eastAsia="zh-CN"/>
    </w:rPr>
  </w:style>
  <w:style w:type="paragraph" w:styleId="7">
    <w:name w:val="heading 7"/>
    <w:basedOn w:val="13"/>
    <w:next w:val="a3"/>
    <w:link w:val="70"/>
    <w:uiPriority w:val="99"/>
    <w:qFormat/>
    <w:rsid w:val="00321279"/>
    <w:pPr>
      <w:keepNext w:val="0"/>
      <w:tabs>
        <w:tab w:val="num" w:pos="0"/>
      </w:tabs>
      <w:suppressAutoHyphens/>
      <w:spacing w:before="60" w:after="60"/>
      <w:jc w:val="center"/>
      <w:outlineLvl w:val="6"/>
    </w:pPr>
    <w:rPr>
      <w:rFonts w:ascii="Calibri Light" w:eastAsia="Times New Roman" w:hAnsi="Calibri Light" w:cs="Calibri Light"/>
      <w:b/>
      <w:bCs/>
      <w:kern w:val="1"/>
      <w:sz w:val="22"/>
      <w:szCs w:val="22"/>
      <w:lang w:eastAsia="zh-CN"/>
    </w:rPr>
  </w:style>
  <w:style w:type="paragraph" w:styleId="8">
    <w:name w:val="heading 8"/>
    <w:basedOn w:val="13"/>
    <w:next w:val="a3"/>
    <w:link w:val="80"/>
    <w:qFormat/>
    <w:rsid w:val="00321279"/>
    <w:pPr>
      <w:keepNext w:val="0"/>
      <w:tabs>
        <w:tab w:val="num" w:pos="0"/>
      </w:tabs>
      <w:suppressAutoHyphens/>
      <w:spacing w:before="60" w:after="60"/>
      <w:jc w:val="center"/>
      <w:outlineLvl w:val="7"/>
    </w:pPr>
    <w:rPr>
      <w:rFonts w:ascii="Calibri Light" w:eastAsia="Times New Roman" w:hAnsi="Calibri Light" w:cs="Calibri Light"/>
      <w:b/>
      <w:bCs/>
      <w:i/>
      <w:iCs/>
      <w:kern w:val="1"/>
      <w:sz w:val="22"/>
      <w:szCs w:val="22"/>
      <w:lang w:eastAsia="zh-CN"/>
    </w:rPr>
  </w:style>
  <w:style w:type="paragraph" w:styleId="9">
    <w:name w:val="heading 9"/>
    <w:basedOn w:val="13"/>
    <w:next w:val="a3"/>
    <w:link w:val="90"/>
    <w:qFormat/>
    <w:rsid w:val="00321279"/>
    <w:pPr>
      <w:keepNext w:val="0"/>
      <w:tabs>
        <w:tab w:val="num" w:pos="0"/>
      </w:tabs>
      <w:suppressAutoHyphens/>
      <w:spacing w:before="60" w:after="60"/>
      <w:jc w:val="center"/>
      <w:outlineLvl w:val="8"/>
    </w:pPr>
    <w:rPr>
      <w:rFonts w:ascii="Calibri Light" w:eastAsia="Times New Roman" w:hAnsi="Calibri Light" w:cs="Calibri Light"/>
      <w:b/>
      <w:bCs/>
      <w:kern w:val="1"/>
      <w:sz w:val="21"/>
      <w:szCs w:val="21"/>
      <w:lang w:eastAsia="zh-C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Верхний колонтитул Знак"/>
    <w:basedOn w:val="a4"/>
    <w:uiPriority w:val="99"/>
    <w:qFormat/>
    <w:rsid w:val="00C15E9F"/>
  </w:style>
  <w:style w:type="character" w:customStyle="1" w:styleId="a8">
    <w:name w:val="Нижний колонтитул Знак"/>
    <w:basedOn w:val="a4"/>
    <w:uiPriority w:val="99"/>
    <w:qFormat/>
    <w:rsid w:val="00C15E9F"/>
  </w:style>
  <w:style w:type="character" w:customStyle="1" w:styleId="apple-converted-space">
    <w:name w:val="apple-converted-space"/>
    <w:basedOn w:val="a4"/>
    <w:qFormat/>
    <w:rsid w:val="004B3C53"/>
  </w:style>
  <w:style w:type="character" w:customStyle="1" w:styleId="-">
    <w:name w:val="Интернет-ссылка"/>
    <w:basedOn w:val="a4"/>
    <w:uiPriority w:val="99"/>
    <w:unhideWhenUsed/>
    <w:rsid w:val="004B3C53"/>
    <w:rPr>
      <w:color w:val="0000FF"/>
      <w:u w:val="single"/>
    </w:rPr>
  </w:style>
  <w:style w:type="character" w:customStyle="1" w:styleId="12">
    <w:name w:val="Заголовок 1 Знак"/>
    <w:basedOn w:val="a4"/>
    <w:link w:val="11"/>
    <w:uiPriority w:val="99"/>
    <w:qFormat/>
    <w:rsid w:val="00083277"/>
    <w:rPr>
      <w:rFonts w:ascii="Times New Roman" w:hAnsi="Times New Roman" w:cs="Times New Roman"/>
      <w:b/>
      <w:sz w:val="28"/>
      <w:szCs w:val="24"/>
      <w:u w:val="single"/>
    </w:rPr>
  </w:style>
  <w:style w:type="character" w:customStyle="1" w:styleId="a9">
    <w:name w:val="Текст выноски Знак"/>
    <w:basedOn w:val="a4"/>
    <w:uiPriority w:val="99"/>
    <w:qFormat/>
    <w:rsid w:val="00E9341B"/>
    <w:rPr>
      <w:rFonts w:ascii="Tahoma" w:hAnsi="Tahoma" w:cs="Tahoma"/>
      <w:sz w:val="16"/>
      <w:szCs w:val="16"/>
    </w:rPr>
  </w:style>
  <w:style w:type="character" w:customStyle="1" w:styleId="aa">
    <w:name w:val="Подзаголовок Знак"/>
    <w:basedOn w:val="a4"/>
    <w:uiPriority w:val="11"/>
    <w:qFormat/>
    <w:rsid w:val="00181EC4"/>
    <w:rPr>
      <w:rFonts w:ascii="Times New Roman" w:hAnsi="Times New Roman" w:cs="Times New Roman"/>
      <w:b/>
      <w:sz w:val="24"/>
      <w:szCs w:val="24"/>
      <w:u w:val="single"/>
    </w:rPr>
  </w:style>
  <w:style w:type="character" w:styleId="ab">
    <w:name w:val="Subtle Reference"/>
    <w:uiPriority w:val="31"/>
    <w:qFormat/>
    <w:rsid w:val="00181EC4"/>
    <w:rPr>
      <w:rFonts w:ascii="Times New Roman" w:hAnsi="Times New Roman" w:cs="Times New Roman"/>
      <w:b/>
      <w:sz w:val="24"/>
      <w:szCs w:val="24"/>
    </w:rPr>
  </w:style>
  <w:style w:type="character" w:customStyle="1" w:styleId="ac">
    <w:name w:val="Абзац списка Знак"/>
    <w:basedOn w:val="a4"/>
    <w:uiPriority w:val="34"/>
    <w:qFormat/>
    <w:rsid w:val="00300F50"/>
  </w:style>
  <w:style w:type="character" w:customStyle="1" w:styleId="ad">
    <w:name w:val="Без интервала Знак"/>
    <w:basedOn w:val="ac"/>
    <w:uiPriority w:val="1"/>
    <w:qFormat/>
    <w:rsid w:val="008B1499"/>
    <w:rPr>
      <w:rFonts w:ascii="Times New Roman" w:hAnsi="Times New Roman" w:cs="Times New Roman"/>
      <w:sz w:val="24"/>
      <w:szCs w:val="24"/>
    </w:rPr>
  </w:style>
  <w:style w:type="character" w:customStyle="1" w:styleId="ae">
    <w:name w:val="УД Знак"/>
    <w:basedOn w:val="ad"/>
    <w:qFormat/>
    <w:rsid w:val="00300F50"/>
    <w:rPr>
      <w:rFonts w:ascii="Times New Roman" w:hAnsi="Times New Roman" w:cs="Times New Roman"/>
      <w:b/>
      <w:sz w:val="24"/>
      <w:szCs w:val="24"/>
    </w:rPr>
  </w:style>
  <w:style w:type="character" w:customStyle="1" w:styleId="af">
    <w:name w:val="Ком Знак"/>
    <w:basedOn w:val="ac"/>
    <w:qFormat/>
    <w:rsid w:val="008B1499"/>
    <w:rPr>
      <w:rFonts w:ascii="Times New Roman" w:hAnsi="Times New Roman" w:cs="Times New Roman"/>
      <w:i/>
      <w:sz w:val="24"/>
      <w:szCs w:val="24"/>
    </w:rPr>
  </w:style>
  <w:style w:type="character" w:styleId="af0">
    <w:name w:val="annotation reference"/>
    <w:basedOn w:val="a4"/>
    <w:uiPriority w:val="99"/>
    <w:unhideWhenUsed/>
    <w:qFormat/>
    <w:rsid w:val="009C1F13"/>
    <w:rPr>
      <w:sz w:val="16"/>
      <w:szCs w:val="16"/>
    </w:rPr>
  </w:style>
  <w:style w:type="character" w:customStyle="1" w:styleId="af1">
    <w:name w:val="Текст примечания Знак"/>
    <w:basedOn w:val="a4"/>
    <w:uiPriority w:val="99"/>
    <w:qFormat/>
    <w:rsid w:val="009C1F13"/>
    <w:rPr>
      <w:rFonts w:ascii="Times New Roman" w:hAnsi="Times New Roman"/>
      <w:sz w:val="20"/>
      <w:szCs w:val="20"/>
    </w:rPr>
  </w:style>
  <w:style w:type="character" w:customStyle="1" w:styleId="af2">
    <w:name w:val="Тема примечания Знак"/>
    <w:basedOn w:val="af1"/>
    <w:uiPriority w:val="99"/>
    <w:qFormat/>
    <w:rsid w:val="009C1F13"/>
    <w:rPr>
      <w:rFonts w:ascii="Times New Roman" w:hAnsi="Times New Roman"/>
      <w:b/>
      <w:bCs/>
      <w:sz w:val="20"/>
      <w:szCs w:val="20"/>
    </w:rPr>
  </w:style>
  <w:style w:type="character" w:customStyle="1" w:styleId="af3">
    <w:name w:val="Название Знак"/>
    <w:basedOn w:val="a4"/>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4">
    <w:name w:val="Текст сноски Знак"/>
    <w:basedOn w:val="a4"/>
    <w:uiPriority w:val="99"/>
    <w:qFormat/>
    <w:rsid w:val="004008B9"/>
    <w:rPr>
      <w:rFonts w:ascii="Calibri" w:eastAsia="Calibri" w:hAnsi="Calibri" w:cs="Times New Roman"/>
      <w:sz w:val="20"/>
      <w:szCs w:val="20"/>
    </w:rPr>
  </w:style>
  <w:style w:type="character" w:styleId="af5">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4"/>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4"/>
    <w:uiPriority w:val="99"/>
    <w:qFormat/>
    <w:rsid w:val="003F4166"/>
    <w:rPr>
      <w:rFonts w:ascii="Times New Roman" w:eastAsia="Times New Roman" w:hAnsi="Times New Roman" w:cs="Times New Roman"/>
      <w:sz w:val="20"/>
      <w:szCs w:val="20"/>
      <w:lang w:eastAsia="ru-RU"/>
    </w:rPr>
  </w:style>
  <w:style w:type="character" w:customStyle="1" w:styleId="14">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b/>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af6">
    <w:name w:val="Ссылка указателя"/>
    <w:qFormat/>
  </w:style>
  <w:style w:type="paragraph" w:customStyle="1" w:styleId="13">
    <w:name w:val="Заголовок1"/>
    <w:basedOn w:val="a1"/>
    <w:next w:val="a3"/>
    <w:qFormat/>
    <w:pPr>
      <w:keepNext/>
      <w:spacing w:before="240" w:after="120"/>
    </w:pPr>
    <w:rPr>
      <w:rFonts w:ascii="Liberation Sans" w:eastAsia="Microsoft YaHei" w:hAnsi="Liberation Sans" w:cs="Mangal"/>
      <w:sz w:val="28"/>
      <w:szCs w:val="28"/>
    </w:rPr>
  </w:style>
  <w:style w:type="paragraph" w:styleId="a3">
    <w:name w:val="Body Text"/>
    <w:basedOn w:val="a1"/>
    <w:link w:val="af7"/>
    <w:pPr>
      <w:spacing w:after="140" w:line="288" w:lineRule="auto"/>
    </w:pPr>
  </w:style>
  <w:style w:type="paragraph" w:styleId="af8">
    <w:name w:val="List"/>
    <w:basedOn w:val="a3"/>
    <w:rPr>
      <w:rFonts w:cs="Mangal"/>
    </w:rPr>
  </w:style>
  <w:style w:type="paragraph" w:styleId="af9">
    <w:name w:val="caption"/>
    <w:basedOn w:val="a1"/>
    <w:qFormat/>
    <w:pPr>
      <w:suppressLineNumbers/>
      <w:spacing w:before="120" w:after="120"/>
    </w:pPr>
    <w:rPr>
      <w:rFonts w:cs="Mangal"/>
      <w:i/>
      <w:iCs/>
      <w:szCs w:val="24"/>
    </w:rPr>
  </w:style>
  <w:style w:type="paragraph" w:styleId="afa">
    <w:name w:val="index heading"/>
    <w:basedOn w:val="a1"/>
    <w:qFormat/>
    <w:pPr>
      <w:suppressLineNumbers/>
    </w:pPr>
    <w:rPr>
      <w:rFonts w:cs="Mangal"/>
    </w:rPr>
  </w:style>
  <w:style w:type="paragraph" w:styleId="afb">
    <w:name w:val="header"/>
    <w:basedOn w:val="a1"/>
    <w:link w:val="15"/>
    <w:uiPriority w:val="99"/>
    <w:unhideWhenUsed/>
    <w:qFormat/>
    <w:rsid w:val="00C15E9F"/>
    <w:pPr>
      <w:tabs>
        <w:tab w:val="center" w:pos="4677"/>
        <w:tab w:val="right" w:pos="9355"/>
      </w:tabs>
      <w:spacing w:line="240" w:lineRule="auto"/>
    </w:pPr>
  </w:style>
  <w:style w:type="paragraph" w:styleId="afc">
    <w:name w:val="footer"/>
    <w:basedOn w:val="a1"/>
    <w:link w:val="16"/>
    <w:uiPriority w:val="99"/>
    <w:unhideWhenUsed/>
    <w:qFormat/>
    <w:rsid w:val="00C15E9F"/>
    <w:pPr>
      <w:tabs>
        <w:tab w:val="center" w:pos="4677"/>
        <w:tab w:val="right" w:pos="9355"/>
      </w:tabs>
      <w:spacing w:line="240" w:lineRule="auto"/>
    </w:pPr>
  </w:style>
  <w:style w:type="paragraph" w:styleId="afd">
    <w:name w:val="Normal (Web)"/>
    <w:basedOn w:val="a1"/>
    <w:link w:val="17"/>
    <w:uiPriority w:val="99"/>
    <w:unhideWhenUsed/>
    <w:qFormat/>
    <w:rsid w:val="00990719"/>
    <w:pPr>
      <w:spacing w:beforeAutospacing="1" w:afterAutospacing="1" w:line="288" w:lineRule="auto"/>
    </w:pPr>
    <w:rPr>
      <w:rFonts w:eastAsia="Times New Roman" w:cs="Times New Roman"/>
      <w:szCs w:val="24"/>
      <w:lang w:eastAsia="ru-RU"/>
    </w:rPr>
  </w:style>
  <w:style w:type="paragraph" w:styleId="afe">
    <w:name w:val="List Paragraph"/>
    <w:basedOn w:val="a1"/>
    <w:link w:val="18"/>
    <w:uiPriority w:val="34"/>
    <w:qFormat/>
    <w:rsid w:val="006B7CAB"/>
    <w:pPr>
      <w:ind w:left="720"/>
      <w:contextualSpacing/>
    </w:pPr>
  </w:style>
  <w:style w:type="paragraph" w:customStyle="1" w:styleId="desc">
    <w:name w:val="desc"/>
    <w:basedOn w:val="a1"/>
    <w:qFormat/>
    <w:rsid w:val="006B7CAB"/>
    <w:pPr>
      <w:spacing w:beforeAutospacing="1" w:afterAutospacing="1" w:line="240" w:lineRule="auto"/>
    </w:pPr>
    <w:rPr>
      <w:rFonts w:eastAsia="Times New Roman" w:cs="Times New Roman"/>
      <w:szCs w:val="24"/>
      <w:lang w:eastAsia="ru-RU"/>
    </w:rPr>
  </w:style>
  <w:style w:type="paragraph" w:styleId="aff">
    <w:name w:val="TOC Heading"/>
    <w:basedOn w:val="11"/>
    <w:uiPriority w:val="39"/>
    <w:unhideWhenUsed/>
    <w:qFormat/>
    <w:rsid w:val="00E9341B"/>
    <w:pPr>
      <w:spacing w:line="276" w:lineRule="auto"/>
    </w:pPr>
  </w:style>
  <w:style w:type="paragraph" w:styleId="aff0">
    <w:name w:val="Balloon Text"/>
    <w:basedOn w:val="a1"/>
    <w:link w:val="19"/>
    <w:uiPriority w:val="99"/>
    <w:unhideWhenUsed/>
    <w:qFormat/>
    <w:rsid w:val="00E9341B"/>
    <w:pPr>
      <w:spacing w:line="240" w:lineRule="auto"/>
    </w:pPr>
    <w:rPr>
      <w:rFonts w:ascii="Tahoma" w:hAnsi="Tahoma" w:cs="Tahoma"/>
      <w:sz w:val="16"/>
      <w:szCs w:val="16"/>
    </w:rPr>
  </w:style>
  <w:style w:type="paragraph" w:styleId="1a">
    <w:name w:val="toc 1"/>
    <w:basedOn w:val="a1"/>
    <w:autoRedefine/>
    <w:uiPriority w:val="39"/>
    <w:unhideWhenUsed/>
    <w:qFormat/>
    <w:rsid w:val="008139EA"/>
    <w:pPr>
      <w:tabs>
        <w:tab w:val="right" w:leader="dot" w:pos="9345"/>
      </w:tabs>
      <w:spacing w:after="100"/>
    </w:pPr>
  </w:style>
  <w:style w:type="paragraph" w:styleId="a2">
    <w:name w:val="Subtitle"/>
    <w:basedOn w:val="a1"/>
    <w:link w:val="1b"/>
    <w:uiPriority w:val="11"/>
    <w:qFormat/>
    <w:rsid w:val="00181EC4"/>
    <w:pPr>
      <w:suppressAutoHyphens/>
      <w:spacing w:before="240"/>
    </w:pPr>
    <w:rPr>
      <w:rFonts w:cs="Times New Roman"/>
      <w:b/>
      <w:szCs w:val="24"/>
      <w:u w:val="single"/>
    </w:rPr>
  </w:style>
  <w:style w:type="paragraph" w:styleId="aff1">
    <w:name w:val="No Spacing"/>
    <w:basedOn w:val="afe"/>
    <w:uiPriority w:val="1"/>
    <w:qFormat/>
    <w:rsid w:val="008B1499"/>
    <w:pPr>
      <w:spacing w:before="240"/>
      <w:ind w:left="851" w:hanging="425"/>
    </w:pPr>
    <w:rPr>
      <w:rFonts w:cs="Times New Roman"/>
      <w:szCs w:val="24"/>
    </w:rPr>
  </w:style>
  <w:style w:type="paragraph" w:customStyle="1" w:styleId="aff2">
    <w:name w:val="УД"/>
    <w:basedOn w:val="aff1"/>
    <w:qFormat/>
    <w:rsid w:val="00300F50"/>
    <w:pPr>
      <w:spacing w:before="0"/>
    </w:pPr>
    <w:rPr>
      <w:b/>
    </w:rPr>
  </w:style>
  <w:style w:type="paragraph" w:customStyle="1" w:styleId="aff3">
    <w:name w:val="Ком"/>
    <w:basedOn w:val="aff2"/>
    <w:qFormat/>
    <w:rsid w:val="008B1499"/>
    <w:rPr>
      <w:b w:val="0"/>
      <w:i/>
    </w:rPr>
  </w:style>
  <w:style w:type="paragraph" w:styleId="aff4">
    <w:name w:val="annotation text"/>
    <w:basedOn w:val="a1"/>
    <w:link w:val="1c"/>
    <w:uiPriority w:val="99"/>
    <w:unhideWhenUsed/>
    <w:qFormat/>
    <w:rsid w:val="009C1F13"/>
    <w:pPr>
      <w:spacing w:line="240" w:lineRule="auto"/>
    </w:pPr>
    <w:rPr>
      <w:sz w:val="20"/>
      <w:szCs w:val="20"/>
    </w:rPr>
  </w:style>
  <w:style w:type="paragraph" w:styleId="aff5">
    <w:name w:val="annotation subject"/>
    <w:basedOn w:val="aff4"/>
    <w:link w:val="1d"/>
    <w:uiPriority w:val="99"/>
    <w:unhideWhenUsed/>
    <w:qFormat/>
    <w:rsid w:val="009C1F13"/>
    <w:rPr>
      <w:b/>
      <w:bCs/>
    </w:rPr>
  </w:style>
  <w:style w:type="paragraph" w:styleId="aff6">
    <w:name w:val="Title"/>
    <w:aliases w:val="Заголовок мой,Название1"/>
    <w:basedOn w:val="a1"/>
    <w:link w:val="1e"/>
    <w:qFormat/>
    <w:rsid w:val="00A43933"/>
    <w:pPr>
      <w:contextualSpacing/>
      <w:jc w:val="center"/>
    </w:pPr>
    <w:rPr>
      <w:rFonts w:eastAsiaTheme="majorEastAsia" w:cstheme="majorBidi"/>
      <w:spacing w:val="-10"/>
      <w:sz w:val="28"/>
      <w:szCs w:val="56"/>
      <w:u w:val="single"/>
    </w:rPr>
  </w:style>
  <w:style w:type="paragraph" w:styleId="21">
    <w:name w:val="toc 2"/>
    <w:basedOn w:val="a1"/>
    <w:autoRedefine/>
    <w:uiPriority w:val="39"/>
    <w:qFormat/>
    <w:rsid w:val="00152484"/>
    <w:pPr>
      <w:tabs>
        <w:tab w:val="right" w:leader="dot" w:pos="9345"/>
      </w:tabs>
      <w:spacing w:after="200" w:line="276" w:lineRule="auto"/>
      <w:ind w:left="220"/>
    </w:pPr>
    <w:rPr>
      <w:rFonts w:eastAsia="Calibri" w:cs="Times New Roman"/>
      <w:noProof/>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7">
    <w:name w:val="footnote text"/>
    <w:basedOn w:val="a1"/>
    <w:link w:val="1f"/>
    <w:uiPriority w:val="99"/>
    <w:unhideWhenUsed/>
    <w:qFormat/>
    <w:rsid w:val="004008B9"/>
    <w:pPr>
      <w:spacing w:after="200" w:line="276" w:lineRule="auto"/>
    </w:pPr>
    <w:rPr>
      <w:rFonts w:ascii="Calibri" w:eastAsia="Calibri" w:hAnsi="Calibri" w:cs="Times New Roman"/>
      <w:sz w:val="20"/>
      <w:szCs w:val="20"/>
    </w:rPr>
  </w:style>
  <w:style w:type="paragraph" w:customStyle="1" w:styleId="1f0">
    <w:name w:val="Оглавление 1 Знак"/>
    <w:basedOn w:val="Normal10"/>
    <w:qFormat/>
    <w:rsid w:val="003F4166"/>
    <w:pPr>
      <w:spacing w:line="360" w:lineRule="auto"/>
      <w:ind w:left="709" w:hanging="283"/>
    </w:pPr>
    <w:rPr>
      <w:rFonts w:eastAsiaTheme="majorEastAsia"/>
      <w:sz w:val="24"/>
      <w:szCs w:val="24"/>
    </w:rPr>
  </w:style>
  <w:style w:type="paragraph" w:customStyle="1" w:styleId="aff8">
    <w:name w:val="Содержимое врезки"/>
    <w:basedOn w:val="a1"/>
    <w:uiPriority w:val="99"/>
    <w:qFormat/>
  </w:style>
  <w:style w:type="table" w:styleId="aff9">
    <w:name w:val="Table Grid"/>
    <w:basedOn w:val="a5"/>
    <w:uiPriority w:val="39"/>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1"/>
    <w:qFormat/>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link w:val="CustomContentNormal0"/>
    <w:qFormat/>
    <w:rsid w:val="00D2226B"/>
    <w:pPr>
      <w:keepNext/>
      <w:keepLines/>
      <w:spacing w:before="240" w:line="360" w:lineRule="auto"/>
      <w:contextualSpacing/>
      <w:jc w:val="center"/>
      <w:outlineLvl w:val="0"/>
    </w:pPr>
    <w:rPr>
      <w:rFonts w:ascii="Times New Roman" w:eastAsia="Sans" w:hAnsi="Times New Roman"/>
      <w:b/>
      <w:sz w:val="28"/>
    </w:rPr>
  </w:style>
  <w:style w:type="character" w:styleId="affa">
    <w:name w:val="Strong"/>
    <w:basedOn w:val="a4"/>
    <w:uiPriority w:val="22"/>
    <w:qFormat/>
    <w:rsid w:val="009E685D"/>
    <w:rPr>
      <w:b/>
      <w:bCs/>
    </w:rPr>
  </w:style>
  <w:style w:type="character" w:styleId="affb">
    <w:name w:val="Emphasis"/>
    <w:basedOn w:val="a4"/>
    <w:uiPriority w:val="20"/>
    <w:qFormat/>
    <w:rsid w:val="002F7719"/>
    <w:rPr>
      <w:i/>
      <w:iCs/>
    </w:rPr>
  </w:style>
  <w:style w:type="character" w:styleId="affc">
    <w:name w:val="Hyperlink"/>
    <w:basedOn w:val="a4"/>
    <w:uiPriority w:val="99"/>
    <w:unhideWhenUsed/>
    <w:rPr>
      <w:color w:val="0000FF"/>
      <w:u w:val="single"/>
    </w:rPr>
  </w:style>
  <w:style w:type="paragraph" w:customStyle="1" w:styleId="10">
    <w:name w:val="Стиль1"/>
    <w:basedOn w:val="a1"/>
    <w:link w:val="110"/>
    <w:qFormat/>
    <w:rsid w:val="00D2226B"/>
    <w:pPr>
      <w:numPr>
        <w:numId w:val="1"/>
      </w:numPr>
      <w:tabs>
        <w:tab w:val="clear" w:pos="720"/>
      </w:tabs>
      <w:spacing w:before="240"/>
      <w:ind w:left="0"/>
    </w:pPr>
    <w:rPr>
      <w:rFonts w:eastAsia="Times New Roman"/>
    </w:rPr>
  </w:style>
  <w:style w:type="character" w:customStyle="1" w:styleId="110">
    <w:name w:val="Стиль1 Знак1"/>
    <w:basedOn w:val="a4"/>
    <w:link w:val="10"/>
    <w:rsid w:val="00D2226B"/>
    <w:rPr>
      <w:rFonts w:ascii="Times New Roman" w:eastAsia="Times New Roman" w:hAnsi="Times New Roman"/>
      <w:sz w:val="24"/>
    </w:rPr>
  </w:style>
  <w:style w:type="paragraph" w:customStyle="1" w:styleId="affd">
    <w:name w:val="Наим. раздела"/>
    <w:basedOn w:val="CustomContentNormal"/>
    <w:link w:val="affe"/>
    <w:qFormat/>
    <w:rsid w:val="009A7B19"/>
  </w:style>
  <w:style w:type="character" w:customStyle="1" w:styleId="affe">
    <w:name w:val="Наим. раздела Знак"/>
    <w:basedOn w:val="a4"/>
    <w:link w:val="affd"/>
    <w:rsid w:val="009A7B19"/>
    <w:rPr>
      <w:rFonts w:ascii="Times New Roman" w:eastAsia="Sans" w:hAnsi="Times New Roman"/>
      <w:b/>
      <w:sz w:val="28"/>
    </w:rPr>
  </w:style>
  <w:style w:type="paragraph" w:customStyle="1" w:styleId="afff">
    <w:name w:val="Памятки"/>
    <w:basedOn w:val="a1"/>
    <w:link w:val="afff0"/>
    <w:uiPriority w:val="99"/>
    <w:qFormat/>
    <w:rsid w:val="009A7B19"/>
    <w:pPr>
      <w:ind w:firstLine="709"/>
    </w:pPr>
    <w:rPr>
      <w:rFonts w:eastAsia="Times New Roman" w:cs="Times New Roman"/>
      <w:i/>
      <w:color w:val="FF0000"/>
      <w:sz w:val="18"/>
      <w:szCs w:val="24"/>
    </w:rPr>
  </w:style>
  <w:style w:type="character" w:customStyle="1" w:styleId="afff0">
    <w:name w:val="Памятки Знак"/>
    <w:basedOn w:val="a4"/>
    <w:link w:val="afff"/>
    <w:uiPriority w:val="99"/>
    <w:rsid w:val="009A7B19"/>
    <w:rPr>
      <w:rFonts w:ascii="Times New Roman" w:eastAsia="Times New Roman" w:hAnsi="Times New Roman" w:cs="Times New Roman"/>
      <w:i/>
      <w:color w:val="FF0000"/>
      <w:sz w:val="18"/>
      <w:szCs w:val="24"/>
    </w:rPr>
  </w:style>
  <w:style w:type="paragraph" w:customStyle="1" w:styleId="afff1">
    <w:name w:val="УДД;УУР"/>
    <w:basedOn w:val="aff1"/>
    <w:qFormat/>
    <w:rsid w:val="00D07EC1"/>
    <w:pPr>
      <w:spacing w:before="0"/>
      <w:ind w:left="709" w:firstLine="0"/>
    </w:pPr>
    <w:rPr>
      <w:b/>
    </w:rPr>
  </w:style>
  <w:style w:type="character" w:customStyle="1" w:styleId="CustomContentNormal0">
    <w:name w:val="Custom Content Normal Знак"/>
    <w:basedOn w:val="a4"/>
    <w:link w:val="CustomContentNormal"/>
    <w:rsid w:val="00764E6B"/>
    <w:rPr>
      <w:rFonts w:ascii="Times New Roman" w:eastAsia="Sans" w:hAnsi="Times New Roman"/>
      <w:b/>
      <w:sz w:val="28"/>
    </w:rPr>
  </w:style>
  <w:style w:type="character" w:customStyle="1" w:styleId="17">
    <w:name w:val="Обычный (веб) Знак1"/>
    <w:basedOn w:val="a4"/>
    <w:link w:val="afd"/>
    <w:rsid w:val="002C60E1"/>
    <w:rPr>
      <w:rFonts w:ascii="Times New Roman" w:eastAsia="Times New Roman" w:hAnsi="Times New Roman" w:cs="Times New Roman"/>
      <w:sz w:val="24"/>
      <w:szCs w:val="24"/>
      <w:lang w:eastAsia="ru-RU"/>
    </w:rPr>
  </w:style>
  <w:style w:type="table" w:customStyle="1" w:styleId="1f2">
    <w:name w:val="Сетка таблицы1"/>
    <w:basedOn w:val="a5"/>
    <w:next w:val="aff9"/>
    <w:uiPriority w:val="59"/>
    <w:rsid w:val="00BC7A14"/>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F44634"/>
    <w:pPr>
      <w:widowControl w:val="0"/>
      <w:autoSpaceDE w:val="0"/>
      <w:autoSpaceDN w:val="0"/>
    </w:pPr>
    <w:rPr>
      <w:rFonts w:ascii="Calibri" w:eastAsia="Times New Roman" w:hAnsi="Calibri" w:cs="Calibri"/>
      <w:sz w:val="22"/>
      <w:szCs w:val="20"/>
      <w:lang w:eastAsia="ru-RU"/>
    </w:rPr>
  </w:style>
  <w:style w:type="paragraph" w:styleId="afff2">
    <w:name w:val="Revision"/>
    <w:hidden/>
    <w:uiPriority w:val="99"/>
    <w:rsid w:val="00117C9A"/>
    <w:rPr>
      <w:rFonts w:ascii="Times New Roman" w:hAnsi="Times New Roman"/>
      <w:sz w:val="24"/>
    </w:rPr>
  </w:style>
  <w:style w:type="paragraph" w:customStyle="1" w:styleId="2-6">
    <w:name w:val="Вводный текст 2-6 разделы"/>
    <w:basedOn w:val="a1"/>
    <w:link w:val="2-60"/>
    <w:qFormat/>
    <w:rsid w:val="007419F5"/>
    <w:pPr>
      <w:ind w:firstLine="709"/>
    </w:pPr>
    <w:rPr>
      <w:szCs w:val="24"/>
    </w:rPr>
  </w:style>
  <w:style w:type="character" w:customStyle="1" w:styleId="2-60">
    <w:name w:val="Вводный текст 2-6 разделы Знак"/>
    <w:basedOn w:val="a4"/>
    <w:link w:val="2-6"/>
    <w:rsid w:val="007419F5"/>
    <w:rPr>
      <w:rFonts w:ascii="Times New Roman" w:hAnsi="Times New Roman"/>
      <w:sz w:val="24"/>
      <w:szCs w:val="24"/>
    </w:rPr>
  </w:style>
  <w:style w:type="paragraph" w:customStyle="1" w:styleId="ConsPlusTitle">
    <w:name w:val="ConsPlusTitle"/>
    <w:uiPriority w:val="99"/>
    <w:qFormat/>
    <w:rsid w:val="00581261"/>
    <w:pPr>
      <w:widowControl w:val="0"/>
    </w:pPr>
    <w:rPr>
      <w:rFonts w:ascii="Arial" w:eastAsiaTheme="minorEastAsia" w:hAnsi="Arial" w:cs="Arial"/>
      <w:b/>
      <w:bCs/>
      <w:szCs w:val="20"/>
      <w:lang w:eastAsia="ru-RU"/>
    </w:rPr>
  </w:style>
  <w:style w:type="character" w:customStyle="1" w:styleId="30">
    <w:name w:val="Заголовок 3 Знак"/>
    <w:basedOn w:val="a4"/>
    <w:link w:val="3"/>
    <w:uiPriority w:val="9"/>
    <w:rsid w:val="0032127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4"/>
    <w:link w:val="4"/>
    <w:uiPriority w:val="99"/>
    <w:rsid w:val="00321279"/>
    <w:rPr>
      <w:rFonts w:ascii="Times New Roman" w:eastAsia="Calibri" w:hAnsi="Times New Roman" w:cs="Times New Roman"/>
      <w:b/>
      <w:szCs w:val="20"/>
      <w:shd w:val="clear" w:color="auto" w:fill="FFFFFF"/>
      <w:lang w:val="en-US" w:eastAsia="zh-CN"/>
    </w:rPr>
  </w:style>
  <w:style w:type="character" w:customStyle="1" w:styleId="50">
    <w:name w:val="Заголовок 5 Знак"/>
    <w:basedOn w:val="a4"/>
    <w:link w:val="5"/>
    <w:uiPriority w:val="99"/>
    <w:rsid w:val="00321279"/>
    <w:rPr>
      <w:rFonts w:ascii="Calibri Light" w:eastAsia="Times New Roman" w:hAnsi="Calibri Light" w:cs="Calibri Light"/>
      <w:b/>
      <w:bCs/>
      <w:kern w:val="1"/>
      <w:sz w:val="24"/>
      <w:szCs w:val="24"/>
      <w:lang w:eastAsia="zh-CN"/>
    </w:rPr>
  </w:style>
  <w:style w:type="character" w:customStyle="1" w:styleId="60">
    <w:name w:val="Заголовок 6 Знак"/>
    <w:basedOn w:val="a4"/>
    <w:link w:val="6"/>
    <w:uiPriority w:val="99"/>
    <w:rsid w:val="00321279"/>
    <w:rPr>
      <w:rFonts w:ascii="Calibri Light" w:eastAsia="Times New Roman" w:hAnsi="Calibri Light" w:cs="Calibri Light"/>
      <w:b/>
      <w:bCs/>
      <w:i/>
      <w:iCs/>
      <w:kern w:val="1"/>
      <w:sz w:val="24"/>
      <w:szCs w:val="24"/>
      <w:lang w:eastAsia="zh-CN"/>
    </w:rPr>
  </w:style>
  <w:style w:type="character" w:customStyle="1" w:styleId="70">
    <w:name w:val="Заголовок 7 Знак"/>
    <w:basedOn w:val="a4"/>
    <w:link w:val="7"/>
    <w:uiPriority w:val="99"/>
    <w:rsid w:val="00321279"/>
    <w:rPr>
      <w:rFonts w:ascii="Calibri Light" w:eastAsia="Times New Roman" w:hAnsi="Calibri Light" w:cs="Calibri Light"/>
      <w:b/>
      <w:bCs/>
      <w:kern w:val="1"/>
      <w:sz w:val="22"/>
      <w:lang w:eastAsia="zh-CN"/>
    </w:rPr>
  </w:style>
  <w:style w:type="character" w:customStyle="1" w:styleId="80">
    <w:name w:val="Заголовок 8 Знак"/>
    <w:basedOn w:val="a4"/>
    <w:link w:val="8"/>
    <w:rsid w:val="00321279"/>
    <w:rPr>
      <w:rFonts w:ascii="Calibri Light" w:eastAsia="Times New Roman" w:hAnsi="Calibri Light" w:cs="Calibri Light"/>
      <w:b/>
      <w:bCs/>
      <w:i/>
      <w:iCs/>
      <w:kern w:val="1"/>
      <w:sz w:val="22"/>
      <w:lang w:eastAsia="zh-CN"/>
    </w:rPr>
  </w:style>
  <w:style w:type="character" w:customStyle="1" w:styleId="90">
    <w:name w:val="Заголовок 9 Знак"/>
    <w:basedOn w:val="a4"/>
    <w:link w:val="9"/>
    <w:rsid w:val="00321279"/>
    <w:rPr>
      <w:rFonts w:ascii="Calibri Light" w:eastAsia="Times New Roman" w:hAnsi="Calibri Light" w:cs="Calibri Light"/>
      <w:b/>
      <w:bCs/>
      <w:kern w:val="1"/>
      <w:sz w:val="21"/>
      <w:szCs w:val="21"/>
      <w:lang w:eastAsia="zh-CN"/>
    </w:rPr>
  </w:style>
  <w:style w:type="character" w:customStyle="1" w:styleId="apple-style-span">
    <w:name w:val="apple-style-span"/>
    <w:rsid w:val="00321279"/>
  </w:style>
  <w:style w:type="paragraph" w:customStyle="1" w:styleId="a0">
    <w:name w:val="Список ключевых слов"/>
    <w:basedOn w:val="afe"/>
    <w:link w:val="afff3"/>
    <w:qFormat/>
    <w:rsid w:val="00321279"/>
    <w:pPr>
      <w:numPr>
        <w:numId w:val="14"/>
      </w:numPr>
      <w:ind w:left="0" w:firstLine="709"/>
    </w:pPr>
    <w:rPr>
      <w:szCs w:val="28"/>
    </w:rPr>
  </w:style>
  <w:style w:type="paragraph" w:customStyle="1" w:styleId="afff4">
    <w:name w:val="Сокращения"/>
    <w:basedOn w:val="a1"/>
    <w:link w:val="afff5"/>
    <w:qFormat/>
    <w:rsid w:val="00321279"/>
    <w:pPr>
      <w:ind w:firstLine="709"/>
    </w:pPr>
  </w:style>
  <w:style w:type="character" w:customStyle="1" w:styleId="18">
    <w:name w:val="Абзац списка Знак1"/>
    <w:basedOn w:val="a4"/>
    <w:link w:val="afe"/>
    <w:uiPriority w:val="34"/>
    <w:rsid w:val="00321279"/>
    <w:rPr>
      <w:rFonts w:ascii="Times New Roman" w:hAnsi="Times New Roman"/>
      <w:sz w:val="24"/>
    </w:rPr>
  </w:style>
  <w:style w:type="character" w:customStyle="1" w:styleId="afff3">
    <w:name w:val="Список ключевых слов Знак"/>
    <w:basedOn w:val="18"/>
    <w:link w:val="a0"/>
    <w:rsid w:val="00321279"/>
    <w:rPr>
      <w:rFonts w:ascii="Times New Roman" w:hAnsi="Times New Roman"/>
      <w:sz w:val="24"/>
      <w:szCs w:val="28"/>
    </w:rPr>
  </w:style>
  <w:style w:type="character" w:customStyle="1" w:styleId="afff5">
    <w:name w:val="Сокращения Знак"/>
    <w:basedOn w:val="a4"/>
    <w:link w:val="afff4"/>
    <w:rsid w:val="00321279"/>
    <w:rPr>
      <w:rFonts w:ascii="Times New Roman" w:hAnsi="Times New Roman"/>
      <w:sz w:val="24"/>
    </w:rPr>
  </w:style>
  <w:style w:type="paragraph" w:customStyle="1" w:styleId="1f3">
    <w:name w:val="Текст в 1 разделе"/>
    <w:basedOn w:val="a1"/>
    <w:link w:val="1f4"/>
    <w:qFormat/>
    <w:rsid w:val="00321279"/>
    <w:pPr>
      <w:ind w:firstLine="709"/>
    </w:pPr>
    <w:rPr>
      <w:rFonts w:eastAsia="Times New Roman" w:cs="Times New Roman"/>
      <w:szCs w:val="24"/>
    </w:rPr>
  </w:style>
  <w:style w:type="paragraph" w:customStyle="1" w:styleId="afff6">
    <w:name w:val="Таблицы"/>
    <w:basedOn w:val="afd"/>
    <w:link w:val="afff7"/>
    <w:qFormat/>
    <w:rsid w:val="00321279"/>
    <w:pPr>
      <w:spacing w:line="240" w:lineRule="auto"/>
    </w:pPr>
  </w:style>
  <w:style w:type="character" w:customStyle="1" w:styleId="1f4">
    <w:name w:val="Текст в 1 разделе Знак"/>
    <w:basedOn w:val="a4"/>
    <w:link w:val="1f3"/>
    <w:rsid w:val="00321279"/>
    <w:rPr>
      <w:rFonts w:ascii="Times New Roman" w:eastAsia="Times New Roman" w:hAnsi="Times New Roman" w:cs="Times New Roman"/>
      <w:sz w:val="24"/>
      <w:szCs w:val="24"/>
    </w:rPr>
  </w:style>
  <w:style w:type="paragraph" w:customStyle="1" w:styleId="afff8">
    <w:name w:val="Наим. табл"/>
    <w:basedOn w:val="a1"/>
    <w:link w:val="afff9"/>
    <w:qFormat/>
    <w:rsid w:val="00321279"/>
    <w:pPr>
      <w:ind w:firstLine="709"/>
    </w:pPr>
  </w:style>
  <w:style w:type="character" w:customStyle="1" w:styleId="afff7">
    <w:name w:val="Таблицы Знак"/>
    <w:basedOn w:val="17"/>
    <w:link w:val="afff6"/>
    <w:rsid w:val="00321279"/>
    <w:rPr>
      <w:rFonts w:ascii="Times New Roman" w:eastAsia="Times New Roman" w:hAnsi="Times New Roman" w:cs="Times New Roman"/>
      <w:sz w:val="24"/>
      <w:szCs w:val="24"/>
      <w:lang w:eastAsia="ru-RU"/>
    </w:rPr>
  </w:style>
  <w:style w:type="character" w:customStyle="1" w:styleId="afff9">
    <w:name w:val="Наим. табл Знак"/>
    <w:basedOn w:val="a4"/>
    <w:link w:val="afff8"/>
    <w:rsid w:val="00321279"/>
    <w:rPr>
      <w:rFonts w:ascii="Times New Roman" w:hAnsi="Times New Roman"/>
      <w:sz w:val="24"/>
    </w:rPr>
  </w:style>
  <w:style w:type="paragraph" w:customStyle="1" w:styleId="afffa">
    <w:name w:val="Рекомендация"/>
    <w:basedOn w:val="10"/>
    <w:link w:val="afffb"/>
    <w:qFormat/>
    <w:rsid w:val="00321279"/>
    <w:pPr>
      <w:ind w:left="709" w:hanging="425"/>
    </w:pPr>
  </w:style>
  <w:style w:type="paragraph" w:customStyle="1" w:styleId="afffc">
    <w:name w:val="УДД"/>
    <w:aliases w:val="УУР"/>
    <w:basedOn w:val="afff1"/>
    <w:rsid w:val="00321279"/>
  </w:style>
  <w:style w:type="character" w:customStyle="1" w:styleId="afffb">
    <w:name w:val="Рекомендация Знак"/>
    <w:basedOn w:val="110"/>
    <w:link w:val="afffa"/>
    <w:rsid w:val="00321279"/>
    <w:rPr>
      <w:rFonts w:ascii="Times New Roman" w:eastAsia="Times New Roman" w:hAnsi="Times New Roman"/>
      <w:sz w:val="24"/>
    </w:rPr>
  </w:style>
  <w:style w:type="paragraph" w:customStyle="1" w:styleId="Default">
    <w:name w:val="Default"/>
    <w:rsid w:val="00321279"/>
    <w:pPr>
      <w:autoSpaceDE w:val="0"/>
      <w:autoSpaceDN w:val="0"/>
      <w:adjustRightInd w:val="0"/>
    </w:pPr>
    <w:rPr>
      <w:rFonts w:ascii="Times New Roman" w:hAnsi="Times New Roman" w:cs="Times New Roman"/>
      <w:color w:val="000000"/>
      <w:sz w:val="24"/>
      <w:szCs w:val="24"/>
    </w:rPr>
  </w:style>
  <w:style w:type="table" w:customStyle="1" w:styleId="71">
    <w:name w:val="Сетка таблицы7"/>
    <w:basedOn w:val="a5"/>
    <w:next w:val="aff9"/>
    <w:uiPriority w:val="59"/>
    <w:rsid w:val="0032127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ff9"/>
    <w:uiPriority w:val="59"/>
    <w:rsid w:val="0032127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ff9"/>
    <w:uiPriority w:val="59"/>
    <w:rsid w:val="0032127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5"/>
    <w:next w:val="aff9"/>
    <w:uiPriority w:val="59"/>
    <w:rsid w:val="0032127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5"/>
    <w:next w:val="aff9"/>
    <w:uiPriority w:val="59"/>
    <w:rsid w:val="0032127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f9"/>
    <w:uiPriority w:val="59"/>
    <w:rsid w:val="0032127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ссылка"/>
    <w:basedOn w:val="a1"/>
    <w:link w:val="afffe"/>
    <w:qFormat/>
    <w:rsid w:val="00321279"/>
    <w:pPr>
      <w:ind w:firstLine="709"/>
    </w:pPr>
    <w:rPr>
      <w:rFonts w:eastAsia="Times New Roman" w:cs="Times New Roman"/>
      <w:i/>
      <w:color w:val="0070C0"/>
      <w:szCs w:val="24"/>
      <w:u w:val="single"/>
    </w:rPr>
  </w:style>
  <w:style w:type="character" w:customStyle="1" w:styleId="afffe">
    <w:name w:val="ссылка Знак"/>
    <w:basedOn w:val="a4"/>
    <w:link w:val="afffd"/>
    <w:rsid w:val="00321279"/>
    <w:rPr>
      <w:rFonts w:ascii="Times New Roman" w:eastAsia="Times New Roman" w:hAnsi="Times New Roman" w:cs="Times New Roman"/>
      <w:i/>
      <w:color w:val="0070C0"/>
      <w:sz w:val="24"/>
      <w:szCs w:val="24"/>
      <w:u w:val="single"/>
    </w:rPr>
  </w:style>
  <w:style w:type="character" w:customStyle="1" w:styleId="affff">
    <w:name w:val="Основной текст_"/>
    <w:basedOn w:val="a4"/>
    <w:link w:val="1f5"/>
    <w:rsid w:val="00321279"/>
    <w:rPr>
      <w:rFonts w:ascii="Times New Roman" w:eastAsia="Times New Roman" w:hAnsi="Times New Roman" w:cs="Times New Roman"/>
      <w:sz w:val="28"/>
      <w:szCs w:val="28"/>
      <w:shd w:val="clear" w:color="auto" w:fill="FFFFFF"/>
    </w:rPr>
  </w:style>
  <w:style w:type="character" w:customStyle="1" w:styleId="22">
    <w:name w:val="Заголовок №2_"/>
    <w:basedOn w:val="a4"/>
    <w:link w:val="23"/>
    <w:rsid w:val="00321279"/>
    <w:rPr>
      <w:rFonts w:ascii="Times New Roman" w:eastAsia="Times New Roman" w:hAnsi="Times New Roman" w:cs="Times New Roman"/>
      <w:b/>
      <w:bCs/>
      <w:sz w:val="28"/>
      <w:szCs w:val="28"/>
      <w:shd w:val="clear" w:color="auto" w:fill="FFFFFF"/>
    </w:rPr>
  </w:style>
  <w:style w:type="paragraph" w:customStyle="1" w:styleId="1f5">
    <w:name w:val="Основной текст1"/>
    <w:basedOn w:val="a1"/>
    <w:link w:val="affff"/>
    <w:rsid w:val="00321279"/>
    <w:pPr>
      <w:widowControl w:val="0"/>
      <w:shd w:val="clear" w:color="auto" w:fill="FFFFFF"/>
      <w:ind w:firstLine="400"/>
    </w:pPr>
    <w:rPr>
      <w:rFonts w:eastAsia="Times New Roman" w:cs="Times New Roman"/>
      <w:sz w:val="28"/>
      <w:szCs w:val="28"/>
    </w:rPr>
  </w:style>
  <w:style w:type="paragraph" w:customStyle="1" w:styleId="23">
    <w:name w:val="Заголовок №2"/>
    <w:basedOn w:val="a1"/>
    <w:link w:val="22"/>
    <w:rsid w:val="00321279"/>
    <w:pPr>
      <w:widowControl w:val="0"/>
      <w:shd w:val="clear" w:color="auto" w:fill="FFFFFF"/>
      <w:spacing w:after="160"/>
      <w:ind w:right="100"/>
      <w:jc w:val="center"/>
      <w:outlineLvl w:val="1"/>
    </w:pPr>
    <w:rPr>
      <w:rFonts w:eastAsia="Times New Roman" w:cs="Times New Roman"/>
      <w:b/>
      <w:bCs/>
      <w:sz w:val="28"/>
      <w:szCs w:val="28"/>
    </w:rPr>
  </w:style>
  <w:style w:type="character" w:customStyle="1" w:styleId="affff0">
    <w:name w:val="Обычный (веб) Знак"/>
    <w:rsid w:val="00321279"/>
    <w:rPr>
      <w:rFonts w:ascii="Times New Roman" w:eastAsia="Times New Roman" w:hAnsi="Times New Roman"/>
      <w:sz w:val="24"/>
      <w:szCs w:val="24"/>
    </w:rPr>
  </w:style>
  <w:style w:type="table" w:customStyle="1" w:styleId="-131">
    <w:name w:val="Список-таблица 1 светлая — акцент 31"/>
    <w:basedOn w:val="a5"/>
    <w:uiPriority w:val="46"/>
    <w:rsid w:val="0032127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Paragraph">
    <w:name w:val="Table Paragraph"/>
    <w:basedOn w:val="a1"/>
    <w:qFormat/>
    <w:rsid w:val="00321279"/>
    <w:pPr>
      <w:widowControl w:val="0"/>
      <w:ind w:left="103"/>
    </w:pPr>
    <w:rPr>
      <w:rFonts w:ascii="Calibri" w:eastAsia="Times New Roman" w:hAnsi="Calibri" w:cs="Calibri"/>
      <w:sz w:val="22"/>
      <w:lang w:val="en-US"/>
    </w:rPr>
  </w:style>
  <w:style w:type="character" w:customStyle="1" w:styleId="1c">
    <w:name w:val="Текст примечания Знак1"/>
    <w:basedOn w:val="a4"/>
    <w:link w:val="aff4"/>
    <w:uiPriority w:val="99"/>
    <w:rsid w:val="00321279"/>
    <w:rPr>
      <w:rFonts w:ascii="Times New Roman" w:hAnsi="Times New Roman"/>
      <w:szCs w:val="20"/>
    </w:rPr>
  </w:style>
  <w:style w:type="character" w:customStyle="1" w:styleId="1e">
    <w:name w:val="Название Знак1"/>
    <w:aliases w:val="Заголовок мой Знак,Название1 Знак"/>
    <w:basedOn w:val="a4"/>
    <w:link w:val="aff6"/>
    <w:rsid w:val="00321279"/>
    <w:rPr>
      <w:rFonts w:ascii="Times New Roman" w:eastAsiaTheme="majorEastAsia" w:hAnsi="Times New Roman" w:cstheme="majorBidi"/>
      <w:spacing w:val="-10"/>
      <w:sz w:val="28"/>
      <w:szCs w:val="56"/>
      <w:u w:val="single"/>
    </w:rPr>
  </w:style>
  <w:style w:type="table" w:customStyle="1" w:styleId="-11">
    <w:name w:val="Таблица-сетка 1 светлая1"/>
    <w:basedOn w:val="a5"/>
    <w:uiPriority w:val="46"/>
    <w:rsid w:val="00321279"/>
    <w:rPr>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11111">
    <w:name w:val="1 / 1.1 / 1.1.11"/>
    <w:basedOn w:val="a6"/>
    <w:next w:val="111111"/>
    <w:rsid w:val="00321279"/>
    <w:pPr>
      <w:numPr>
        <w:numId w:val="17"/>
      </w:numPr>
    </w:pPr>
  </w:style>
  <w:style w:type="numbering" w:customStyle="1" w:styleId="1ai1">
    <w:name w:val="1 / a / i1"/>
    <w:basedOn w:val="a6"/>
    <w:next w:val="1ai"/>
    <w:rsid w:val="00321279"/>
    <w:pPr>
      <w:numPr>
        <w:numId w:val="18"/>
      </w:numPr>
    </w:pPr>
  </w:style>
  <w:style w:type="numbering" w:styleId="111111">
    <w:name w:val="Outline List 2"/>
    <w:basedOn w:val="a6"/>
    <w:uiPriority w:val="99"/>
    <w:semiHidden/>
    <w:unhideWhenUsed/>
    <w:rsid w:val="00321279"/>
    <w:pPr>
      <w:numPr>
        <w:numId w:val="15"/>
      </w:numPr>
    </w:pPr>
  </w:style>
  <w:style w:type="numbering" w:styleId="1ai">
    <w:name w:val="Outline List 1"/>
    <w:basedOn w:val="a6"/>
    <w:uiPriority w:val="99"/>
    <w:semiHidden/>
    <w:unhideWhenUsed/>
    <w:rsid w:val="00321279"/>
    <w:pPr>
      <w:numPr>
        <w:numId w:val="16"/>
      </w:numPr>
    </w:pPr>
  </w:style>
  <w:style w:type="character" w:styleId="affff1">
    <w:name w:val="FollowedHyperlink"/>
    <w:basedOn w:val="a4"/>
    <w:uiPriority w:val="99"/>
    <w:unhideWhenUsed/>
    <w:rsid w:val="00321279"/>
    <w:rPr>
      <w:color w:val="954F72" w:themeColor="followedHyperlink"/>
      <w:u w:val="single"/>
    </w:rPr>
  </w:style>
  <w:style w:type="paragraph" w:customStyle="1" w:styleId="msonormal0">
    <w:name w:val="msonormal"/>
    <w:basedOn w:val="a1"/>
    <w:qFormat/>
    <w:rsid w:val="00321279"/>
    <w:pPr>
      <w:spacing w:before="100" w:beforeAutospacing="1" w:after="100" w:afterAutospacing="1" w:line="288" w:lineRule="auto"/>
    </w:pPr>
    <w:rPr>
      <w:rFonts w:eastAsia="Times New Roman" w:cs="Times New Roman"/>
      <w:szCs w:val="24"/>
      <w:lang w:eastAsia="ru-RU"/>
    </w:rPr>
  </w:style>
  <w:style w:type="character" w:customStyle="1" w:styleId="1f6">
    <w:name w:val="Заголовок Знак1"/>
    <w:aliases w:val="Заголовок мой Знак1"/>
    <w:basedOn w:val="a4"/>
    <w:rsid w:val="00321279"/>
    <w:rPr>
      <w:rFonts w:asciiTheme="majorHAnsi" w:eastAsiaTheme="majorEastAsia" w:hAnsiTheme="majorHAnsi" w:cstheme="majorBidi"/>
      <w:spacing w:val="-10"/>
      <w:kern w:val="28"/>
      <w:sz w:val="56"/>
      <w:szCs w:val="56"/>
    </w:rPr>
  </w:style>
  <w:style w:type="paragraph" w:customStyle="1" w:styleId="a">
    <w:name w:val="рек"/>
    <w:basedOn w:val="afe"/>
    <w:link w:val="affff2"/>
    <w:qFormat/>
    <w:rsid w:val="00321279"/>
    <w:pPr>
      <w:numPr>
        <w:numId w:val="19"/>
      </w:numPr>
      <w:tabs>
        <w:tab w:val="left" w:pos="1134"/>
      </w:tabs>
      <w:spacing w:before="240"/>
      <w:ind w:left="709" w:hanging="425"/>
      <w:contextualSpacing w:val="0"/>
    </w:pPr>
    <w:rPr>
      <w:rFonts w:cs="Times New Roman"/>
      <w:szCs w:val="24"/>
    </w:rPr>
  </w:style>
  <w:style w:type="character" w:customStyle="1" w:styleId="affff2">
    <w:name w:val="рек Знак"/>
    <w:basedOn w:val="ac"/>
    <w:link w:val="a"/>
    <w:rsid w:val="00321279"/>
    <w:rPr>
      <w:rFonts w:ascii="Times New Roman" w:hAnsi="Times New Roman" w:cs="Times New Roman"/>
      <w:sz w:val="24"/>
      <w:szCs w:val="24"/>
    </w:rPr>
  </w:style>
  <w:style w:type="paragraph" w:customStyle="1" w:styleId="1f7">
    <w:name w:val="Обычный с отступом 1 см"/>
    <w:basedOn w:val="a1"/>
    <w:rsid w:val="00321279"/>
    <w:pPr>
      <w:widowControl w:val="0"/>
      <w:ind w:firstLine="680"/>
    </w:pPr>
    <w:rPr>
      <w:rFonts w:ascii="Arial" w:eastAsia="Times New Roman" w:hAnsi="Arial" w:cs="Times New Roman"/>
      <w:bCs/>
      <w:iCs/>
      <w:sz w:val="28"/>
      <w:szCs w:val="20"/>
      <w:lang w:eastAsia="ru-RU"/>
    </w:rPr>
  </w:style>
  <w:style w:type="character" w:styleId="affff3">
    <w:name w:val="endnote reference"/>
    <w:basedOn w:val="a4"/>
    <w:uiPriority w:val="99"/>
    <w:unhideWhenUsed/>
    <w:rsid w:val="00321279"/>
    <w:rPr>
      <w:vertAlign w:val="superscript"/>
    </w:rPr>
  </w:style>
  <w:style w:type="character" w:customStyle="1" w:styleId="ListLabel67">
    <w:name w:val="ListLabel 67"/>
    <w:qFormat/>
    <w:rsid w:val="00321279"/>
    <w:rPr>
      <w:sz w:val="20"/>
    </w:rPr>
  </w:style>
  <w:style w:type="paragraph" w:customStyle="1" w:styleId="affff4">
    <w:name w:val="Содержимое таблицы"/>
    <w:basedOn w:val="a1"/>
    <w:qFormat/>
    <w:rsid w:val="00321279"/>
    <w:pPr>
      <w:suppressLineNumbers/>
    </w:pPr>
    <w:rPr>
      <w:rFonts w:eastAsia="Calibri" w:cs="Tahoma"/>
    </w:rPr>
  </w:style>
  <w:style w:type="character" w:styleId="affff5">
    <w:name w:val="Placeholder Text"/>
    <w:basedOn w:val="a4"/>
    <w:uiPriority w:val="99"/>
    <w:rsid w:val="00321279"/>
    <w:rPr>
      <w:color w:val="808080"/>
    </w:rPr>
  </w:style>
  <w:style w:type="character" w:customStyle="1" w:styleId="WW8Num60z8">
    <w:name w:val="WW8Num60z8"/>
    <w:rsid w:val="00321279"/>
  </w:style>
  <w:style w:type="character" w:customStyle="1" w:styleId="1f8">
    <w:name w:val="Строгий1"/>
    <w:basedOn w:val="a4"/>
    <w:rsid w:val="00321279"/>
    <w:rPr>
      <w:b/>
      <w:bCs/>
    </w:rPr>
  </w:style>
  <w:style w:type="character" w:customStyle="1" w:styleId="WW8Num37z5">
    <w:name w:val="WW8Num37z5"/>
    <w:rsid w:val="00321279"/>
  </w:style>
  <w:style w:type="character" w:customStyle="1" w:styleId="WW8Num37z0">
    <w:name w:val="WW8Num37z0"/>
    <w:rsid w:val="00321279"/>
  </w:style>
  <w:style w:type="character" w:customStyle="1" w:styleId="highlight">
    <w:name w:val="highlight"/>
    <w:basedOn w:val="a4"/>
    <w:rsid w:val="00321279"/>
  </w:style>
  <w:style w:type="paragraph" w:customStyle="1" w:styleId="-51">
    <w:name w:val="Светлый список - Акцент 51"/>
    <w:basedOn w:val="a1"/>
    <w:uiPriority w:val="34"/>
    <w:qFormat/>
    <w:rsid w:val="00321279"/>
    <w:pPr>
      <w:suppressAutoHyphens/>
      <w:ind w:left="708"/>
    </w:pPr>
    <w:rPr>
      <w:rFonts w:eastAsia="Calibri" w:cs="Times New Roman"/>
      <w:lang w:eastAsia="zh-CN"/>
    </w:rPr>
  </w:style>
  <w:style w:type="paragraph" w:customStyle="1" w:styleId="1f9">
    <w:name w:val="Абзац списка1"/>
    <w:basedOn w:val="a1"/>
    <w:uiPriority w:val="34"/>
    <w:qFormat/>
    <w:rsid w:val="00321279"/>
    <w:pPr>
      <w:spacing w:after="160"/>
      <w:ind w:left="720" w:firstLine="709"/>
      <w:contextualSpacing/>
    </w:pPr>
    <w:rPr>
      <w:rFonts w:eastAsia="Times New Roman" w:cs="Times New Roman"/>
    </w:rPr>
  </w:style>
  <w:style w:type="character" w:customStyle="1" w:styleId="af7">
    <w:name w:val="Основной текст Знак"/>
    <w:basedOn w:val="a4"/>
    <w:link w:val="a3"/>
    <w:rsid w:val="00321279"/>
    <w:rPr>
      <w:rFonts w:ascii="Times New Roman" w:hAnsi="Times New Roman"/>
      <w:sz w:val="24"/>
    </w:rPr>
  </w:style>
  <w:style w:type="paragraph" w:styleId="1fa">
    <w:name w:val="index 1"/>
    <w:basedOn w:val="a1"/>
    <w:next w:val="a1"/>
    <w:autoRedefine/>
    <w:uiPriority w:val="99"/>
    <w:semiHidden/>
    <w:unhideWhenUsed/>
    <w:rsid w:val="00321279"/>
    <w:pPr>
      <w:ind w:left="240" w:hanging="240"/>
    </w:pPr>
  </w:style>
  <w:style w:type="character" w:customStyle="1" w:styleId="15">
    <w:name w:val="Верхний колонтитул Знак1"/>
    <w:basedOn w:val="a4"/>
    <w:link w:val="afb"/>
    <w:uiPriority w:val="99"/>
    <w:rsid w:val="00321279"/>
    <w:rPr>
      <w:rFonts w:ascii="Times New Roman" w:hAnsi="Times New Roman"/>
      <w:sz w:val="24"/>
    </w:rPr>
  </w:style>
  <w:style w:type="character" w:customStyle="1" w:styleId="16">
    <w:name w:val="Нижний колонтитул Знак1"/>
    <w:basedOn w:val="a4"/>
    <w:link w:val="afc"/>
    <w:uiPriority w:val="99"/>
    <w:rsid w:val="00321279"/>
    <w:rPr>
      <w:rFonts w:ascii="Times New Roman" w:hAnsi="Times New Roman"/>
      <w:sz w:val="24"/>
    </w:rPr>
  </w:style>
  <w:style w:type="character" w:customStyle="1" w:styleId="19">
    <w:name w:val="Текст выноски Знак1"/>
    <w:basedOn w:val="a4"/>
    <w:link w:val="aff0"/>
    <w:uiPriority w:val="99"/>
    <w:rsid w:val="00321279"/>
    <w:rPr>
      <w:rFonts w:ascii="Tahoma" w:hAnsi="Tahoma" w:cs="Tahoma"/>
      <w:sz w:val="16"/>
      <w:szCs w:val="16"/>
    </w:rPr>
  </w:style>
  <w:style w:type="character" w:customStyle="1" w:styleId="1b">
    <w:name w:val="Подзаголовок Знак1"/>
    <w:basedOn w:val="a4"/>
    <w:link w:val="a2"/>
    <w:uiPriority w:val="11"/>
    <w:rsid w:val="00321279"/>
    <w:rPr>
      <w:rFonts w:ascii="Times New Roman" w:hAnsi="Times New Roman" w:cs="Times New Roman"/>
      <w:b/>
      <w:sz w:val="24"/>
      <w:szCs w:val="24"/>
      <w:u w:val="single"/>
    </w:rPr>
  </w:style>
  <w:style w:type="character" w:customStyle="1" w:styleId="1d">
    <w:name w:val="Тема примечания Знак1"/>
    <w:basedOn w:val="1c"/>
    <w:link w:val="aff5"/>
    <w:uiPriority w:val="99"/>
    <w:rsid w:val="00321279"/>
    <w:rPr>
      <w:rFonts w:ascii="Times New Roman" w:hAnsi="Times New Roman"/>
      <w:b/>
      <w:bCs/>
      <w:szCs w:val="20"/>
    </w:rPr>
  </w:style>
  <w:style w:type="character" w:customStyle="1" w:styleId="1f">
    <w:name w:val="Текст сноски Знак1"/>
    <w:basedOn w:val="a4"/>
    <w:link w:val="aff7"/>
    <w:uiPriority w:val="99"/>
    <w:rsid w:val="00321279"/>
    <w:rPr>
      <w:rFonts w:ascii="Calibri" w:eastAsia="Calibri" w:hAnsi="Calibri" w:cs="Times New Roman"/>
      <w:szCs w:val="20"/>
    </w:rPr>
  </w:style>
  <w:style w:type="character" w:customStyle="1" w:styleId="1fb">
    <w:name w:val="Неразрешенное упоминание1"/>
    <w:basedOn w:val="a4"/>
    <w:uiPriority w:val="99"/>
    <w:semiHidden/>
    <w:unhideWhenUsed/>
    <w:rsid w:val="00321279"/>
    <w:rPr>
      <w:color w:val="605E5C"/>
      <w:shd w:val="clear" w:color="auto" w:fill="E1DFDD"/>
    </w:rPr>
  </w:style>
  <w:style w:type="paragraph" w:styleId="HTML">
    <w:name w:val="HTML Preformatted"/>
    <w:basedOn w:val="a1"/>
    <w:link w:val="HTML0"/>
    <w:unhideWhenUsed/>
    <w:rsid w:val="00321279"/>
    <w:pPr>
      <w:ind w:firstLine="709"/>
    </w:pPr>
    <w:rPr>
      <w:rFonts w:ascii="Consolas" w:hAnsi="Consolas" w:cs="Consolas"/>
      <w:sz w:val="20"/>
      <w:szCs w:val="20"/>
    </w:rPr>
  </w:style>
  <w:style w:type="character" w:customStyle="1" w:styleId="HTML0">
    <w:name w:val="Стандартный HTML Знак"/>
    <w:basedOn w:val="a4"/>
    <w:link w:val="HTML"/>
    <w:rsid w:val="00321279"/>
    <w:rPr>
      <w:rFonts w:ascii="Consolas" w:hAnsi="Consolas" w:cs="Consolas"/>
      <w:szCs w:val="20"/>
    </w:rPr>
  </w:style>
  <w:style w:type="character" w:customStyle="1" w:styleId="24">
    <w:name w:val="Неразрешенное упоминание2"/>
    <w:basedOn w:val="a4"/>
    <w:uiPriority w:val="99"/>
    <w:semiHidden/>
    <w:unhideWhenUsed/>
    <w:rsid w:val="00321279"/>
    <w:rPr>
      <w:color w:val="605E5C"/>
      <w:shd w:val="clear" w:color="auto" w:fill="E1DFDD"/>
    </w:rPr>
  </w:style>
  <w:style w:type="character" w:customStyle="1" w:styleId="32">
    <w:name w:val="Неразрешенное упоминание3"/>
    <w:basedOn w:val="a4"/>
    <w:uiPriority w:val="99"/>
    <w:semiHidden/>
    <w:unhideWhenUsed/>
    <w:rsid w:val="00321279"/>
    <w:rPr>
      <w:color w:val="605E5C"/>
      <w:shd w:val="clear" w:color="auto" w:fill="E1DFDD"/>
    </w:rPr>
  </w:style>
  <w:style w:type="paragraph" w:customStyle="1" w:styleId="Numlist">
    <w:name w:val="Num_list"/>
    <w:basedOn w:val="a1"/>
    <w:qFormat/>
    <w:rsid w:val="00321279"/>
    <w:pPr>
      <w:overflowPunct w:val="0"/>
      <w:spacing w:line="240" w:lineRule="auto"/>
      <w:ind w:firstLine="708"/>
      <w:textAlignment w:val="baseline"/>
    </w:pPr>
    <w:rPr>
      <w:rFonts w:eastAsia="Times New Roman" w:cs="Times New Roman"/>
      <w:szCs w:val="24"/>
      <w:lang w:eastAsia="ru-RU"/>
    </w:rPr>
  </w:style>
  <w:style w:type="table" w:customStyle="1" w:styleId="1fc">
    <w:name w:val="Сетка таблицы светлая1"/>
    <w:basedOn w:val="a5"/>
    <w:uiPriority w:val="40"/>
    <w:rsid w:val="00321279"/>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paragraph" w:customStyle="1" w:styleId="Normal11">
    <w:name w:val="Normal 1"/>
    <w:basedOn w:val="a1"/>
    <w:uiPriority w:val="99"/>
    <w:rsid w:val="00321279"/>
    <w:pPr>
      <w:shd w:val="clear" w:color="auto" w:fill="FFFFFF"/>
      <w:tabs>
        <w:tab w:val="left" w:pos="394"/>
      </w:tabs>
      <w:overflowPunct w:val="0"/>
      <w:autoSpaceDE w:val="0"/>
      <w:autoSpaceDN w:val="0"/>
      <w:adjustRightInd w:val="0"/>
      <w:spacing w:before="5" w:line="240" w:lineRule="auto"/>
      <w:ind w:left="10" w:hanging="10"/>
      <w:textAlignment w:val="baseline"/>
    </w:pPr>
    <w:rPr>
      <w:rFonts w:eastAsia="Times New Roman" w:cs="Times New Roman"/>
      <w:color w:val="000000"/>
      <w:spacing w:val="4"/>
      <w:szCs w:val="20"/>
      <w:lang w:eastAsia="ru-RU"/>
    </w:rPr>
  </w:style>
  <w:style w:type="paragraph" w:customStyle="1" w:styleId="Number1">
    <w:name w:val="Number1"/>
    <w:basedOn w:val="a1"/>
    <w:uiPriority w:val="99"/>
    <w:rsid w:val="00321279"/>
    <w:pPr>
      <w:shd w:val="clear" w:color="auto" w:fill="FFFFFF"/>
      <w:tabs>
        <w:tab w:val="left" w:pos="394"/>
      </w:tabs>
      <w:overflowPunct w:val="0"/>
      <w:autoSpaceDE w:val="0"/>
      <w:autoSpaceDN w:val="0"/>
      <w:adjustRightInd w:val="0"/>
      <w:spacing w:before="5" w:line="240" w:lineRule="auto"/>
      <w:ind w:left="284" w:hanging="284"/>
      <w:textAlignment w:val="baseline"/>
    </w:pPr>
    <w:rPr>
      <w:rFonts w:eastAsia="Times New Roman" w:cs="Times New Roman"/>
      <w:color w:val="000000"/>
      <w:spacing w:val="-1"/>
      <w:szCs w:val="20"/>
      <w:lang w:eastAsia="ru-RU"/>
    </w:rPr>
  </w:style>
  <w:style w:type="paragraph" w:customStyle="1" w:styleId="Author">
    <w:name w:val="Author"/>
    <w:basedOn w:val="a1"/>
    <w:uiPriority w:val="99"/>
    <w:rsid w:val="00321279"/>
    <w:pPr>
      <w:overflowPunct w:val="0"/>
      <w:autoSpaceDE w:val="0"/>
      <w:autoSpaceDN w:val="0"/>
      <w:adjustRightInd w:val="0"/>
      <w:spacing w:line="240" w:lineRule="auto"/>
      <w:ind w:firstLine="284"/>
      <w:jc w:val="center"/>
      <w:textAlignment w:val="baseline"/>
    </w:pPr>
    <w:rPr>
      <w:rFonts w:eastAsia="Times New Roman" w:cs="Times New Roman"/>
      <w:i/>
      <w:szCs w:val="20"/>
      <w:lang w:eastAsia="ru-RU"/>
    </w:rPr>
  </w:style>
  <w:style w:type="paragraph" w:customStyle="1" w:styleId="affff6">
    <w:name w:val="Стиль"/>
    <w:uiPriority w:val="99"/>
    <w:rsid w:val="00321279"/>
    <w:pPr>
      <w:keepNext/>
      <w:keepLines/>
      <w:spacing w:line="276" w:lineRule="auto"/>
      <w:outlineLvl w:val="0"/>
    </w:pPr>
    <w:rPr>
      <w:rFonts w:ascii="Times New Roman" w:eastAsia="Calibri" w:hAnsi="Times New Roman" w:cs="Times New Roman"/>
      <w:sz w:val="24"/>
    </w:rPr>
  </w:style>
  <w:style w:type="paragraph" w:customStyle="1" w:styleId="1fd">
    <w:name w:val="УДД1"/>
    <w:aliases w:val="УУР1"/>
    <w:basedOn w:val="afffc"/>
    <w:uiPriority w:val="99"/>
    <w:rsid w:val="00321279"/>
    <w:pPr>
      <w:contextualSpacing w:val="0"/>
    </w:pPr>
    <w:rPr>
      <w:rFonts w:eastAsia="Calibri"/>
    </w:rPr>
  </w:style>
  <w:style w:type="paragraph" w:styleId="33">
    <w:name w:val="toc 3"/>
    <w:basedOn w:val="a1"/>
    <w:next w:val="a1"/>
    <w:autoRedefine/>
    <w:uiPriority w:val="39"/>
    <w:unhideWhenUsed/>
    <w:qFormat/>
    <w:rsid w:val="00321279"/>
    <w:pPr>
      <w:ind w:left="480" w:firstLine="709"/>
    </w:pPr>
    <w:rPr>
      <w:rFonts w:asciiTheme="minorHAnsi" w:eastAsia="Calibri" w:hAnsiTheme="minorHAnsi" w:cs="Times New Roman"/>
      <w:sz w:val="20"/>
      <w:szCs w:val="20"/>
    </w:rPr>
  </w:style>
  <w:style w:type="numbering" w:customStyle="1" w:styleId="1fe">
    <w:name w:val="Нет списка1"/>
    <w:next w:val="a6"/>
    <w:uiPriority w:val="99"/>
    <w:semiHidden/>
    <w:unhideWhenUsed/>
    <w:rsid w:val="00321279"/>
  </w:style>
  <w:style w:type="numbering" w:customStyle="1" w:styleId="25">
    <w:name w:val="Нет списка2"/>
    <w:next w:val="a6"/>
    <w:uiPriority w:val="99"/>
    <w:semiHidden/>
    <w:unhideWhenUsed/>
    <w:rsid w:val="00321279"/>
  </w:style>
  <w:style w:type="numbering" w:customStyle="1" w:styleId="34">
    <w:name w:val="Нет списка3"/>
    <w:next w:val="a6"/>
    <w:uiPriority w:val="99"/>
    <w:semiHidden/>
    <w:unhideWhenUsed/>
    <w:rsid w:val="00321279"/>
  </w:style>
  <w:style w:type="paragraph" w:styleId="affff7">
    <w:name w:val="endnote text"/>
    <w:basedOn w:val="a1"/>
    <w:link w:val="affff8"/>
    <w:uiPriority w:val="99"/>
    <w:unhideWhenUsed/>
    <w:rsid w:val="00321279"/>
    <w:pPr>
      <w:spacing w:line="240" w:lineRule="auto"/>
      <w:ind w:firstLine="567"/>
    </w:pPr>
    <w:rPr>
      <w:rFonts w:ascii="Calibri" w:eastAsia="Calibri" w:hAnsi="Calibri" w:cs="Times New Roman"/>
      <w:sz w:val="20"/>
      <w:szCs w:val="20"/>
    </w:rPr>
  </w:style>
  <w:style w:type="character" w:customStyle="1" w:styleId="affff8">
    <w:name w:val="Текст концевой сноски Знак"/>
    <w:basedOn w:val="a4"/>
    <w:link w:val="affff7"/>
    <w:uiPriority w:val="99"/>
    <w:rsid w:val="00321279"/>
    <w:rPr>
      <w:rFonts w:ascii="Calibri" w:eastAsia="Calibri" w:hAnsi="Calibri" w:cs="Times New Roman"/>
      <w:szCs w:val="20"/>
    </w:rPr>
  </w:style>
  <w:style w:type="paragraph" w:customStyle="1" w:styleId="310">
    <w:name w:val="Основной текст с отступом 31"/>
    <w:basedOn w:val="a1"/>
    <w:rsid w:val="00321279"/>
    <w:pPr>
      <w:suppressAutoHyphens/>
      <w:spacing w:after="120" w:line="240" w:lineRule="auto"/>
      <w:ind w:left="283" w:firstLine="567"/>
    </w:pPr>
    <w:rPr>
      <w:rFonts w:eastAsia="Times New Roman" w:cs="Calibri"/>
      <w:sz w:val="16"/>
      <w:szCs w:val="16"/>
      <w:lang w:eastAsia="ar-SA"/>
    </w:rPr>
  </w:style>
  <w:style w:type="table" w:customStyle="1" w:styleId="26">
    <w:name w:val="Сетка таблицы2"/>
    <w:basedOn w:val="a5"/>
    <w:next w:val="aff9"/>
    <w:uiPriority w:val="59"/>
    <w:rsid w:val="00321279"/>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05pt">
    <w:name w:val="Основной текст + Arial;10;5 pt"/>
    <w:rsid w:val="00321279"/>
    <w:rPr>
      <w:rFonts w:ascii="Arial" w:eastAsia="Arial" w:hAnsi="Arial" w:cs="Arial"/>
      <w:b w:val="0"/>
      <w:bCs w:val="0"/>
      <w:i w:val="0"/>
      <w:iCs w:val="0"/>
      <w:smallCaps w:val="0"/>
      <w:strike w:val="0"/>
      <w:color w:val="000000"/>
      <w:spacing w:val="0"/>
      <w:w w:val="100"/>
      <w:position w:val="0"/>
      <w:sz w:val="21"/>
      <w:szCs w:val="21"/>
      <w:u w:val="none"/>
      <w:lang w:val="ru-RU"/>
    </w:rPr>
  </w:style>
  <w:style w:type="character" w:customStyle="1" w:styleId="src">
    <w:name w:val="src"/>
    <w:rsid w:val="00321279"/>
  </w:style>
  <w:style w:type="paragraph" w:customStyle="1" w:styleId="firstlast">
    <w:name w:val="first last"/>
    <w:basedOn w:val="a1"/>
    <w:uiPriority w:val="99"/>
    <w:rsid w:val="00321279"/>
    <w:pPr>
      <w:spacing w:before="100" w:beforeAutospacing="1" w:after="100" w:afterAutospacing="1" w:line="240" w:lineRule="auto"/>
      <w:ind w:firstLine="567"/>
    </w:pPr>
    <w:rPr>
      <w:rFonts w:eastAsia="Times New Roman" w:cs="Times New Roman"/>
      <w:szCs w:val="24"/>
      <w:lang w:eastAsia="ru-RU"/>
    </w:rPr>
  </w:style>
  <w:style w:type="paragraph" w:customStyle="1" w:styleId="last">
    <w:name w:val="last"/>
    <w:basedOn w:val="a1"/>
    <w:uiPriority w:val="99"/>
    <w:rsid w:val="00321279"/>
    <w:pPr>
      <w:spacing w:before="100" w:beforeAutospacing="1" w:after="100" w:afterAutospacing="1" w:line="240" w:lineRule="auto"/>
      <w:ind w:firstLine="567"/>
    </w:pPr>
    <w:rPr>
      <w:rFonts w:eastAsia="Times New Roman" w:cs="Times New Roman"/>
      <w:szCs w:val="24"/>
      <w:lang w:eastAsia="ru-RU"/>
    </w:rPr>
  </w:style>
  <w:style w:type="paragraph" w:customStyle="1" w:styleId="para">
    <w:name w:val="para"/>
    <w:basedOn w:val="a1"/>
    <w:uiPriority w:val="99"/>
    <w:rsid w:val="00321279"/>
    <w:pPr>
      <w:spacing w:before="100" w:beforeAutospacing="1" w:after="100" w:afterAutospacing="1" w:line="240" w:lineRule="auto"/>
      <w:ind w:firstLine="567"/>
    </w:pPr>
    <w:rPr>
      <w:rFonts w:ascii="Arial" w:eastAsia="Times New Roman" w:hAnsi="Arial" w:cs="Arial"/>
      <w:color w:val="000000"/>
      <w:sz w:val="26"/>
      <w:szCs w:val="26"/>
      <w:lang w:eastAsia="ru-RU"/>
    </w:rPr>
  </w:style>
  <w:style w:type="character" w:customStyle="1" w:styleId="selectbg">
    <w:name w:val="select_bg"/>
    <w:rsid w:val="00321279"/>
  </w:style>
  <w:style w:type="character" w:customStyle="1" w:styleId="postbody1">
    <w:name w:val="postbody1"/>
    <w:rsid w:val="00321279"/>
    <w:rPr>
      <w:sz w:val="18"/>
      <w:szCs w:val="18"/>
    </w:rPr>
  </w:style>
  <w:style w:type="character" w:customStyle="1" w:styleId="volume">
    <w:name w:val="volume"/>
    <w:rsid w:val="00321279"/>
  </w:style>
  <w:style w:type="character" w:customStyle="1" w:styleId="issue">
    <w:name w:val="issue"/>
    <w:rsid w:val="00321279"/>
  </w:style>
  <w:style w:type="character" w:customStyle="1" w:styleId="pages">
    <w:name w:val="pages"/>
    <w:rsid w:val="00321279"/>
  </w:style>
  <w:style w:type="paragraph" w:customStyle="1" w:styleId="210">
    <w:name w:val="Основной текст 21"/>
    <w:basedOn w:val="a1"/>
    <w:rsid w:val="00321279"/>
    <w:pPr>
      <w:suppressAutoHyphens/>
      <w:spacing w:line="240" w:lineRule="auto"/>
      <w:ind w:firstLine="567"/>
    </w:pPr>
    <w:rPr>
      <w:rFonts w:eastAsia="Times New Roman" w:cs="Calibri"/>
      <w:szCs w:val="20"/>
      <w:lang w:eastAsia="ar-SA"/>
    </w:rPr>
  </w:style>
  <w:style w:type="paragraph" w:customStyle="1" w:styleId="220">
    <w:name w:val="Основной текст 22"/>
    <w:basedOn w:val="a1"/>
    <w:rsid w:val="00321279"/>
    <w:pPr>
      <w:suppressAutoHyphens/>
      <w:spacing w:line="100" w:lineRule="atLeast"/>
      <w:ind w:firstLine="567"/>
    </w:pPr>
    <w:rPr>
      <w:rFonts w:eastAsia="Times New Roman" w:cs="Times New Roman"/>
      <w:kern w:val="1"/>
      <w:szCs w:val="24"/>
      <w:lang w:eastAsia="ar-SA"/>
    </w:rPr>
  </w:style>
  <w:style w:type="paragraph" w:styleId="affff9">
    <w:name w:val="Body Text Indent"/>
    <w:basedOn w:val="a1"/>
    <w:link w:val="affffa"/>
    <w:uiPriority w:val="99"/>
    <w:unhideWhenUsed/>
    <w:rsid w:val="00321279"/>
    <w:pPr>
      <w:spacing w:after="120" w:line="288" w:lineRule="auto"/>
      <w:ind w:left="283" w:firstLine="567"/>
    </w:pPr>
    <w:rPr>
      <w:rFonts w:ascii="Calibri" w:eastAsia="Calibri" w:hAnsi="Calibri" w:cs="Times New Roman"/>
      <w:sz w:val="22"/>
    </w:rPr>
  </w:style>
  <w:style w:type="character" w:customStyle="1" w:styleId="affffa">
    <w:name w:val="Основной текст с отступом Знак"/>
    <w:basedOn w:val="a4"/>
    <w:link w:val="affff9"/>
    <w:uiPriority w:val="99"/>
    <w:rsid w:val="00321279"/>
    <w:rPr>
      <w:rFonts w:ascii="Calibri" w:eastAsia="Calibri" w:hAnsi="Calibri" w:cs="Times New Roman"/>
      <w:sz w:val="22"/>
    </w:rPr>
  </w:style>
  <w:style w:type="paragraph" w:customStyle="1" w:styleId="TextDrugs">
    <w:name w:val="Text_Drugs"/>
    <w:basedOn w:val="a1"/>
    <w:rsid w:val="00321279"/>
    <w:pPr>
      <w:suppressAutoHyphens/>
      <w:spacing w:line="100" w:lineRule="atLeast"/>
      <w:ind w:firstLine="567"/>
    </w:pPr>
    <w:rPr>
      <w:rFonts w:ascii="Cambria" w:eastAsia="MS Mincho" w:hAnsi="Cambria" w:cs="Times New Roman"/>
      <w:kern w:val="1"/>
      <w:szCs w:val="24"/>
      <w:lang w:val="de-DE" w:eastAsia="ar-SA"/>
    </w:rPr>
  </w:style>
  <w:style w:type="character" w:customStyle="1" w:styleId="jrnl">
    <w:name w:val="jrnl"/>
    <w:rsid w:val="00321279"/>
  </w:style>
  <w:style w:type="character" w:customStyle="1" w:styleId="maintextbldleft">
    <w:name w:val="maintextbldleft"/>
    <w:rsid w:val="00321279"/>
  </w:style>
  <w:style w:type="character" w:customStyle="1" w:styleId="maintextleft">
    <w:name w:val="maintextleft"/>
    <w:rsid w:val="00321279"/>
  </w:style>
  <w:style w:type="paragraph" w:customStyle="1" w:styleId="27">
    <w:name w:val="Абзац списка2"/>
    <w:basedOn w:val="a1"/>
    <w:rsid w:val="00321279"/>
    <w:pPr>
      <w:suppressAutoHyphens/>
      <w:spacing w:after="200" w:line="276" w:lineRule="auto"/>
      <w:ind w:firstLine="567"/>
    </w:pPr>
    <w:rPr>
      <w:rFonts w:ascii="Calibri" w:eastAsia="Calibri" w:hAnsi="Calibri" w:cs="Calibri"/>
      <w:sz w:val="22"/>
      <w:lang w:val="nl-NL" w:eastAsia="ar-SA"/>
    </w:rPr>
  </w:style>
  <w:style w:type="paragraph" w:customStyle="1" w:styleId="230">
    <w:name w:val="Основной текст 23"/>
    <w:basedOn w:val="a1"/>
    <w:rsid w:val="00321279"/>
    <w:pPr>
      <w:suppressAutoHyphens/>
      <w:spacing w:line="100" w:lineRule="atLeast"/>
      <w:ind w:firstLine="567"/>
    </w:pPr>
    <w:rPr>
      <w:rFonts w:eastAsia="Times New Roman" w:cs="Times New Roman"/>
      <w:kern w:val="1"/>
      <w:szCs w:val="24"/>
      <w:lang w:eastAsia="ar-SA"/>
    </w:rPr>
  </w:style>
  <w:style w:type="character" w:customStyle="1" w:styleId="hps">
    <w:name w:val="hps"/>
    <w:rsid w:val="00321279"/>
  </w:style>
  <w:style w:type="paragraph" w:styleId="28">
    <w:name w:val="Body Text 2"/>
    <w:basedOn w:val="a1"/>
    <w:link w:val="29"/>
    <w:semiHidden/>
    <w:rsid w:val="00321279"/>
    <w:pPr>
      <w:spacing w:line="240" w:lineRule="auto"/>
      <w:ind w:firstLine="567"/>
    </w:pPr>
    <w:rPr>
      <w:rFonts w:eastAsia="Times New Roman" w:cs="Times New Roman"/>
      <w:szCs w:val="20"/>
      <w:lang w:eastAsia="ru-RU"/>
    </w:rPr>
  </w:style>
  <w:style w:type="character" w:customStyle="1" w:styleId="29">
    <w:name w:val="Основной текст 2 Знак"/>
    <w:basedOn w:val="a4"/>
    <w:link w:val="28"/>
    <w:semiHidden/>
    <w:rsid w:val="00321279"/>
    <w:rPr>
      <w:rFonts w:ascii="Times New Roman" w:eastAsia="Times New Roman" w:hAnsi="Times New Roman" w:cs="Times New Roman"/>
      <w:sz w:val="24"/>
      <w:szCs w:val="20"/>
      <w:lang w:eastAsia="ru-RU"/>
    </w:rPr>
  </w:style>
  <w:style w:type="paragraph" w:customStyle="1" w:styleId="Number">
    <w:name w:val="Number"/>
    <w:basedOn w:val="a1"/>
    <w:uiPriority w:val="99"/>
    <w:rsid w:val="00321279"/>
    <w:pPr>
      <w:autoSpaceDE w:val="0"/>
      <w:autoSpaceDN w:val="0"/>
      <w:adjustRightInd w:val="0"/>
      <w:spacing w:before="40"/>
      <w:ind w:left="715" w:hanging="6"/>
    </w:pPr>
    <w:rPr>
      <w:rFonts w:eastAsia="Times New Roman" w:cs="Times New Roman"/>
      <w:color w:val="000000"/>
      <w:szCs w:val="24"/>
      <w:lang w:eastAsia="ru-RU"/>
    </w:rPr>
  </w:style>
  <w:style w:type="character" w:customStyle="1" w:styleId="highwire-citation-authors">
    <w:name w:val="highwire-citation-authors"/>
    <w:rsid w:val="00321279"/>
  </w:style>
  <w:style w:type="character" w:customStyle="1" w:styleId="nlm-given-names">
    <w:name w:val="nlm-given-names"/>
    <w:rsid w:val="00321279"/>
  </w:style>
  <w:style w:type="character" w:customStyle="1" w:styleId="nlm-surname">
    <w:name w:val="nlm-surname"/>
    <w:rsid w:val="00321279"/>
  </w:style>
  <w:style w:type="character" w:customStyle="1" w:styleId="highwire-cite-metadata-journal">
    <w:name w:val="highwire-cite-metadata-journal"/>
    <w:rsid w:val="00321279"/>
  </w:style>
  <w:style w:type="character" w:customStyle="1" w:styleId="highwire-cite-metadata-date">
    <w:name w:val="highwire-cite-metadata-date"/>
    <w:rsid w:val="00321279"/>
  </w:style>
  <w:style w:type="character" w:customStyle="1" w:styleId="highwire-cite-metadata-volume-pages">
    <w:name w:val="highwire-cite-metadata-volume-pages"/>
    <w:rsid w:val="00321279"/>
  </w:style>
  <w:style w:type="character" w:customStyle="1" w:styleId="highwire-cite-metadata-doi">
    <w:name w:val="highwire-cite-metadata-doi"/>
    <w:rsid w:val="00321279"/>
  </w:style>
  <w:style w:type="character" w:customStyle="1" w:styleId="freeaccess">
    <w:name w:val="freeaccess"/>
    <w:rsid w:val="00321279"/>
  </w:style>
  <w:style w:type="character" w:styleId="affffb">
    <w:name w:val="page number"/>
    <w:uiPriority w:val="99"/>
    <w:rsid w:val="00321279"/>
  </w:style>
  <w:style w:type="paragraph" w:customStyle="1" w:styleId="35">
    <w:name w:val="Абзац списка3"/>
    <w:basedOn w:val="a1"/>
    <w:rsid w:val="00321279"/>
    <w:pPr>
      <w:spacing w:line="240" w:lineRule="auto"/>
      <w:ind w:left="720" w:firstLine="567"/>
    </w:pPr>
    <w:rPr>
      <w:rFonts w:eastAsia="Calibri" w:cs="Times New Roman"/>
      <w:szCs w:val="24"/>
      <w:lang w:eastAsia="ru-RU"/>
    </w:rPr>
  </w:style>
  <w:style w:type="character" w:customStyle="1" w:styleId="WW8Num3z0">
    <w:name w:val="WW8Num3z0"/>
    <w:rsid w:val="00321279"/>
    <w:rPr>
      <w:rFonts w:ascii="Symbol" w:hAnsi="Symbol" w:cs="Symbol"/>
    </w:rPr>
  </w:style>
  <w:style w:type="character" w:customStyle="1" w:styleId="WW8Num3z1">
    <w:name w:val="WW8Num3z1"/>
    <w:rsid w:val="00321279"/>
    <w:rPr>
      <w:rFonts w:ascii="Courier New" w:hAnsi="Courier New" w:cs="Courier New"/>
    </w:rPr>
  </w:style>
  <w:style w:type="character" w:customStyle="1" w:styleId="WW8Num3z2">
    <w:name w:val="WW8Num3z2"/>
    <w:rsid w:val="00321279"/>
    <w:rPr>
      <w:rFonts w:ascii="Wingdings" w:hAnsi="Wingdings" w:cs="Wingdings"/>
    </w:rPr>
  </w:style>
  <w:style w:type="character" w:customStyle="1" w:styleId="WW8Num3z4">
    <w:name w:val="WW8Num3z4"/>
    <w:rsid w:val="00321279"/>
    <w:rPr>
      <w:rFonts w:ascii="Courier New" w:hAnsi="Courier New" w:cs="Courier New"/>
    </w:rPr>
  </w:style>
  <w:style w:type="character" w:customStyle="1" w:styleId="WW8Num4z0">
    <w:name w:val="WW8Num4z0"/>
    <w:rsid w:val="00321279"/>
    <w:rPr>
      <w:rFonts w:ascii="Symbol" w:hAnsi="Symbol" w:cs="Symbol"/>
    </w:rPr>
  </w:style>
  <w:style w:type="character" w:customStyle="1" w:styleId="WW8Num5z0">
    <w:name w:val="WW8Num5z0"/>
    <w:rsid w:val="00321279"/>
    <w:rPr>
      <w:rFonts w:ascii="Calibri" w:hAnsi="Calibri" w:cs="Calibri"/>
    </w:rPr>
  </w:style>
  <w:style w:type="character" w:customStyle="1" w:styleId="WW8Num5z1">
    <w:name w:val="WW8Num5z1"/>
    <w:rsid w:val="00321279"/>
    <w:rPr>
      <w:rFonts w:ascii="Calibri" w:hAnsi="Calibri" w:cs="Calibri"/>
    </w:rPr>
  </w:style>
  <w:style w:type="character" w:customStyle="1" w:styleId="WW8Num5z2">
    <w:name w:val="WW8Num5z2"/>
    <w:rsid w:val="00321279"/>
    <w:rPr>
      <w:rFonts w:ascii="Wingdings" w:hAnsi="Wingdings" w:cs="Wingdings"/>
    </w:rPr>
  </w:style>
  <w:style w:type="character" w:customStyle="1" w:styleId="WW8Num5z4">
    <w:name w:val="WW8Num5z4"/>
    <w:rsid w:val="00321279"/>
    <w:rPr>
      <w:rFonts w:ascii="Courier New" w:hAnsi="Courier New" w:cs="Courier New"/>
    </w:rPr>
  </w:style>
  <w:style w:type="character" w:customStyle="1" w:styleId="WW8Num6z0">
    <w:name w:val="WW8Num6z0"/>
    <w:rsid w:val="00321279"/>
    <w:rPr>
      <w:rFonts w:ascii="Gill Sans" w:hAnsi="Gill Sans" w:cs="Gill Sans"/>
      <w:sz w:val="28"/>
      <w:szCs w:val="22"/>
    </w:rPr>
  </w:style>
  <w:style w:type="character" w:customStyle="1" w:styleId="WW8Num6z1">
    <w:name w:val="WW8Num6z1"/>
    <w:rsid w:val="00321279"/>
    <w:rPr>
      <w:rFonts w:ascii="Courier New" w:hAnsi="Courier New" w:cs="Courier New"/>
    </w:rPr>
  </w:style>
  <w:style w:type="character" w:customStyle="1" w:styleId="WW8Num6z2">
    <w:name w:val="WW8Num6z2"/>
    <w:rsid w:val="00321279"/>
    <w:rPr>
      <w:rFonts w:ascii="Wingdings" w:hAnsi="Wingdings" w:cs="Wingdings"/>
    </w:rPr>
  </w:style>
  <w:style w:type="character" w:customStyle="1" w:styleId="WW8Num7z0">
    <w:name w:val="WW8Num7z0"/>
    <w:rsid w:val="00321279"/>
    <w:rPr>
      <w:rFonts w:ascii="Symbol" w:hAnsi="Symbol" w:cs="Symbol"/>
    </w:rPr>
  </w:style>
  <w:style w:type="character" w:customStyle="1" w:styleId="WW8Num7z1">
    <w:name w:val="WW8Num7z1"/>
    <w:rsid w:val="00321279"/>
    <w:rPr>
      <w:rFonts w:ascii="Calibri" w:hAnsi="Calibri" w:cs="Calibri"/>
    </w:rPr>
  </w:style>
  <w:style w:type="character" w:customStyle="1" w:styleId="WW8Num8z0">
    <w:name w:val="WW8Num8z0"/>
    <w:rsid w:val="00321279"/>
    <w:rPr>
      <w:rFonts w:ascii="Symbol" w:hAnsi="Symbol" w:cs="Symbol"/>
    </w:rPr>
  </w:style>
  <w:style w:type="character" w:customStyle="1" w:styleId="WW8Num9z0">
    <w:name w:val="WW8Num9z0"/>
    <w:rsid w:val="00321279"/>
    <w:rPr>
      <w:rFonts w:ascii="Calibri" w:eastAsia="Times New Roman" w:hAnsi="Calibri" w:cs="Times New Roman"/>
    </w:rPr>
  </w:style>
  <w:style w:type="character" w:customStyle="1" w:styleId="WW8Num10z0">
    <w:name w:val="WW8Num10z0"/>
    <w:rsid w:val="00321279"/>
    <w:rPr>
      <w:b w:val="0"/>
      <w:i w:val="0"/>
    </w:rPr>
  </w:style>
  <w:style w:type="character" w:customStyle="1" w:styleId="WW8Num11z0">
    <w:name w:val="WW8Num11z0"/>
    <w:rsid w:val="00321279"/>
    <w:rPr>
      <w:rFonts w:ascii="Symbol" w:hAnsi="Symbol" w:cs="Symbol"/>
    </w:rPr>
  </w:style>
  <w:style w:type="character" w:customStyle="1" w:styleId="WW8Num12z0">
    <w:name w:val="WW8Num12z0"/>
    <w:rsid w:val="00321279"/>
    <w:rPr>
      <w:rFonts w:ascii="Symbol" w:hAnsi="Symbol" w:cs="Symbol"/>
    </w:rPr>
  </w:style>
  <w:style w:type="character" w:customStyle="1" w:styleId="WW8Num13z0">
    <w:name w:val="WW8Num13z0"/>
    <w:rsid w:val="00321279"/>
    <w:rPr>
      <w:rFonts w:ascii="Symbol" w:hAnsi="Symbol" w:cs="Symbol"/>
    </w:rPr>
  </w:style>
  <w:style w:type="character" w:customStyle="1" w:styleId="WW8Num14z0">
    <w:name w:val="WW8Num14z0"/>
    <w:rsid w:val="00321279"/>
    <w:rPr>
      <w:rFonts w:ascii="Calibri" w:hAnsi="Calibri" w:cs="Calibri"/>
    </w:rPr>
  </w:style>
  <w:style w:type="character" w:customStyle="1" w:styleId="WW8Num15z0">
    <w:name w:val="WW8Num15z0"/>
    <w:rsid w:val="00321279"/>
    <w:rPr>
      <w:rFonts w:ascii="Symbol" w:hAnsi="Symbol" w:cs="Symbol"/>
    </w:rPr>
  </w:style>
  <w:style w:type="character" w:customStyle="1" w:styleId="WW8Num16z0">
    <w:name w:val="WW8Num16z0"/>
    <w:rsid w:val="00321279"/>
    <w:rPr>
      <w:rFonts w:ascii="Symbol" w:hAnsi="Symbol" w:cs="Symbol"/>
    </w:rPr>
  </w:style>
  <w:style w:type="character" w:customStyle="1" w:styleId="WW8Num17z0">
    <w:name w:val="WW8Num17z0"/>
    <w:rsid w:val="00321279"/>
    <w:rPr>
      <w:rFonts w:ascii="Calibri" w:hAnsi="Calibri" w:cs="Calibri"/>
    </w:rPr>
  </w:style>
  <w:style w:type="character" w:customStyle="1" w:styleId="WW8Num18z0">
    <w:name w:val="WW8Num18z0"/>
    <w:rsid w:val="00321279"/>
    <w:rPr>
      <w:rFonts w:ascii="Symbol" w:hAnsi="Symbol" w:cs="Symbol"/>
    </w:rPr>
  </w:style>
  <w:style w:type="character" w:customStyle="1" w:styleId="WW8Num19z0">
    <w:name w:val="WW8Num19z0"/>
    <w:rsid w:val="00321279"/>
    <w:rPr>
      <w:rFonts w:ascii="Symbol" w:hAnsi="Symbol" w:cs="Symbol"/>
    </w:rPr>
  </w:style>
  <w:style w:type="character" w:customStyle="1" w:styleId="WW8Num20z0">
    <w:name w:val="WW8Num20z0"/>
    <w:rsid w:val="00321279"/>
    <w:rPr>
      <w:rFonts w:ascii="Symbol" w:hAnsi="Symbol" w:cs="Symbol"/>
    </w:rPr>
  </w:style>
  <w:style w:type="character" w:customStyle="1" w:styleId="WW8Num21z0">
    <w:name w:val="WW8Num21z0"/>
    <w:rsid w:val="00321279"/>
    <w:rPr>
      <w:rFonts w:ascii="Symbol" w:hAnsi="Symbol" w:cs="Symbol"/>
    </w:rPr>
  </w:style>
  <w:style w:type="character" w:customStyle="1" w:styleId="WW8Num22z0">
    <w:name w:val="WW8Num22z0"/>
    <w:rsid w:val="00321279"/>
    <w:rPr>
      <w:rFonts w:ascii="Symbol" w:hAnsi="Symbol" w:cs="Symbol"/>
    </w:rPr>
  </w:style>
  <w:style w:type="character" w:customStyle="1" w:styleId="WW8Num23z0">
    <w:name w:val="WW8Num23z0"/>
    <w:rsid w:val="00321279"/>
    <w:rPr>
      <w:rFonts w:ascii="Symbol" w:hAnsi="Symbol" w:cs="Symbol"/>
    </w:rPr>
  </w:style>
  <w:style w:type="character" w:customStyle="1" w:styleId="WW8Num24z0">
    <w:name w:val="WW8Num24z0"/>
    <w:rsid w:val="00321279"/>
    <w:rPr>
      <w:rFonts w:ascii="Symbol" w:hAnsi="Symbol" w:cs="Symbol"/>
    </w:rPr>
  </w:style>
  <w:style w:type="character" w:customStyle="1" w:styleId="WW8Num25z0">
    <w:name w:val="WW8Num25z0"/>
    <w:rsid w:val="00321279"/>
    <w:rPr>
      <w:rFonts w:ascii="Symbol" w:hAnsi="Symbol" w:cs="Symbol"/>
    </w:rPr>
  </w:style>
  <w:style w:type="character" w:customStyle="1" w:styleId="WW8Num26z0">
    <w:name w:val="WW8Num26z0"/>
    <w:rsid w:val="00321279"/>
    <w:rPr>
      <w:rFonts w:ascii="Symbol" w:hAnsi="Symbol" w:cs="Symbol"/>
    </w:rPr>
  </w:style>
  <w:style w:type="character" w:customStyle="1" w:styleId="WW8Num27z0">
    <w:name w:val="WW8Num27z0"/>
    <w:rsid w:val="00321279"/>
    <w:rPr>
      <w:rFonts w:ascii="Calibri" w:hAnsi="Calibri" w:cs="Calibri"/>
    </w:rPr>
  </w:style>
  <w:style w:type="character" w:customStyle="1" w:styleId="WW8Num27z1">
    <w:name w:val="WW8Num27z1"/>
    <w:rsid w:val="00321279"/>
    <w:rPr>
      <w:rFonts w:ascii="Courier New" w:hAnsi="Courier New" w:cs="Courier New"/>
    </w:rPr>
  </w:style>
  <w:style w:type="character" w:customStyle="1" w:styleId="WW8Num27z2">
    <w:name w:val="WW8Num27z2"/>
    <w:rsid w:val="00321279"/>
    <w:rPr>
      <w:rFonts w:ascii="Wingdings" w:hAnsi="Wingdings" w:cs="Wingdings"/>
    </w:rPr>
  </w:style>
  <w:style w:type="character" w:customStyle="1" w:styleId="WW8Num27z4">
    <w:name w:val="WW8Num27z4"/>
    <w:rsid w:val="00321279"/>
    <w:rPr>
      <w:rFonts w:ascii="Courier New" w:hAnsi="Courier New" w:cs="Courier New"/>
    </w:rPr>
  </w:style>
  <w:style w:type="character" w:customStyle="1" w:styleId="WW8Num28z0">
    <w:name w:val="WW8Num28z0"/>
    <w:rsid w:val="00321279"/>
    <w:rPr>
      <w:rFonts w:ascii="Symbol" w:hAnsi="Symbol" w:cs="Symbol"/>
    </w:rPr>
  </w:style>
  <w:style w:type="character" w:customStyle="1" w:styleId="WW8Num29z0">
    <w:name w:val="WW8Num29z0"/>
    <w:rsid w:val="00321279"/>
    <w:rPr>
      <w:rFonts w:ascii="Symbol" w:hAnsi="Symbol" w:cs="Symbol"/>
    </w:rPr>
  </w:style>
  <w:style w:type="character" w:customStyle="1" w:styleId="WW8Num30z0">
    <w:name w:val="WW8Num30z0"/>
    <w:rsid w:val="00321279"/>
    <w:rPr>
      <w:rFonts w:ascii="Symbol" w:hAnsi="Symbol" w:cs="Symbol"/>
    </w:rPr>
  </w:style>
  <w:style w:type="character" w:customStyle="1" w:styleId="WW8Num31z0">
    <w:name w:val="WW8Num31z0"/>
    <w:rsid w:val="00321279"/>
    <w:rPr>
      <w:b w:val="0"/>
      <w:i w:val="0"/>
      <w:kern w:val="1"/>
    </w:rPr>
  </w:style>
  <w:style w:type="character" w:customStyle="1" w:styleId="WW8Num32z0">
    <w:name w:val="WW8Num32z0"/>
    <w:rsid w:val="00321279"/>
    <w:rPr>
      <w:rFonts w:ascii="Symbol" w:hAnsi="Symbol" w:cs="Symbol"/>
    </w:rPr>
  </w:style>
  <w:style w:type="character" w:customStyle="1" w:styleId="WW8Num34z0">
    <w:name w:val="WW8Num34z0"/>
    <w:rsid w:val="00321279"/>
    <w:rPr>
      <w:rFonts w:ascii="Symbol" w:hAnsi="Symbol" w:cs="Symbol"/>
    </w:rPr>
  </w:style>
  <w:style w:type="character" w:customStyle="1" w:styleId="WW8Num34z1">
    <w:name w:val="WW8Num34z1"/>
    <w:rsid w:val="00321279"/>
    <w:rPr>
      <w:rFonts w:ascii="Courier New" w:hAnsi="Courier New" w:cs="Courier New"/>
    </w:rPr>
  </w:style>
  <w:style w:type="character" w:customStyle="1" w:styleId="WW8Num34z2">
    <w:name w:val="WW8Num34z2"/>
    <w:rsid w:val="00321279"/>
    <w:rPr>
      <w:rFonts w:ascii="Wingdings" w:hAnsi="Wingdings" w:cs="Wingdings"/>
    </w:rPr>
  </w:style>
  <w:style w:type="character" w:customStyle="1" w:styleId="WW8Num34z4">
    <w:name w:val="WW8Num34z4"/>
    <w:rsid w:val="00321279"/>
    <w:rPr>
      <w:rFonts w:ascii="Courier New" w:hAnsi="Courier New" w:cs="Courier New"/>
    </w:rPr>
  </w:style>
  <w:style w:type="character" w:customStyle="1" w:styleId="WW8Num35z0">
    <w:name w:val="WW8Num35z0"/>
    <w:rsid w:val="00321279"/>
    <w:rPr>
      <w:rFonts w:ascii="Calibri" w:hAnsi="Calibri" w:cs="Calibri"/>
    </w:rPr>
  </w:style>
  <w:style w:type="character" w:customStyle="1" w:styleId="WW8Num36z0">
    <w:name w:val="WW8Num36z0"/>
    <w:rsid w:val="00321279"/>
    <w:rPr>
      <w:rFonts w:ascii="Symbol" w:hAnsi="Symbol" w:cs="Symbol"/>
    </w:rPr>
  </w:style>
  <w:style w:type="character" w:customStyle="1" w:styleId="WW8Num38z0">
    <w:name w:val="WW8Num38z0"/>
    <w:rsid w:val="00321279"/>
    <w:rPr>
      <w:rFonts w:ascii="Symbol" w:hAnsi="Symbol" w:cs="Symbol"/>
    </w:rPr>
  </w:style>
  <w:style w:type="character" w:customStyle="1" w:styleId="WW8Num39z0">
    <w:name w:val="WW8Num39z0"/>
    <w:rsid w:val="00321279"/>
    <w:rPr>
      <w:rFonts w:ascii="Symbol" w:hAnsi="Symbol" w:cs="Symbol"/>
    </w:rPr>
  </w:style>
  <w:style w:type="character" w:customStyle="1" w:styleId="WW8Num40z0">
    <w:name w:val="WW8Num40z0"/>
    <w:rsid w:val="00321279"/>
    <w:rPr>
      <w:rFonts w:ascii="Symbol" w:hAnsi="Symbol" w:cs="Symbol"/>
    </w:rPr>
  </w:style>
  <w:style w:type="character" w:customStyle="1" w:styleId="WW8Num41z0">
    <w:name w:val="WW8Num41z0"/>
    <w:rsid w:val="00321279"/>
    <w:rPr>
      <w:rFonts w:ascii="Calibri" w:hAnsi="Calibri" w:cs="Calibri"/>
    </w:rPr>
  </w:style>
  <w:style w:type="character" w:customStyle="1" w:styleId="WW8Num42z0">
    <w:name w:val="WW8Num42z0"/>
    <w:rsid w:val="00321279"/>
    <w:rPr>
      <w:rFonts w:ascii="Symbol" w:hAnsi="Symbol" w:cs="Symbol"/>
    </w:rPr>
  </w:style>
  <w:style w:type="character" w:customStyle="1" w:styleId="WW8Num43z0">
    <w:name w:val="WW8Num43z0"/>
    <w:rsid w:val="00321279"/>
    <w:rPr>
      <w:rFonts w:ascii="Symbol" w:hAnsi="Symbol" w:cs="Symbol"/>
    </w:rPr>
  </w:style>
  <w:style w:type="character" w:customStyle="1" w:styleId="WW8Num44z0">
    <w:name w:val="WW8Num44z0"/>
    <w:rsid w:val="00321279"/>
    <w:rPr>
      <w:rFonts w:ascii="Symbol" w:hAnsi="Symbol" w:cs="Symbol"/>
    </w:rPr>
  </w:style>
  <w:style w:type="character" w:customStyle="1" w:styleId="WW8Num45z0">
    <w:name w:val="WW8Num45z0"/>
    <w:rsid w:val="00321279"/>
    <w:rPr>
      <w:rFonts w:ascii="Symbol" w:hAnsi="Symbol" w:cs="Symbol"/>
    </w:rPr>
  </w:style>
  <w:style w:type="character" w:customStyle="1" w:styleId="WW8Num46z0">
    <w:name w:val="WW8Num46z0"/>
    <w:rsid w:val="00321279"/>
    <w:rPr>
      <w:rFonts w:ascii="Symbol" w:hAnsi="Symbol" w:cs="Symbol"/>
    </w:rPr>
  </w:style>
  <w:style w:type="character" w:customStyle="1" w:styleId="WW8Num47z0">
    <w:name w:val="WW8Num47z0"/>
    <w:rsid w:val="00321279"/>
    <w:rPr>
      <w:rFonts w:ascii="Calibri" w:hAnsi="Calibri" w:cs="Calibri"/>
    </w:rPr>
  </w:style>
  <w:style w:type="character" w:customStyle="1" w:styleId="WW8Num48z0">
    <w:name w:val="WW8Num48z0"/>
    <w:rsid w:val="00321279"/>
    <w:rPr>
      <w:rFonts w:ascii="Symbol" w:hAnsi="Symbol" w:cs="Symbol"/>
    </w:rPr>
  </w:style>
  <w:style w:type="character" w:customStyle="1" w:styleId="WW8Num49z0">
    <w:name w:val="WW8Num49z0"/>
    <w:rsid w:val="00321279"/>
    <w:rPr>
      <w:rFonts w:ascii="Symbol" w:hAnsi="Symbol" w:cs="Symbol"/>
    </w:rPr>
  </w:style>
  <w:style w:type="character" w:customStyle="1" w:styleId="WW8Num49z1">
    <w:name w:val="WW8Num49z1"/>
    <w:rsid w:val="00321279"/>
    <w:rPr>
      <w:rFonts w:ascii="Courier New" w:hAnsi="Courier New" w:cs="Courier New"/>
    </w:rPr>
  </w:style>
  <w:style w:type="character" w:customStyle="1" w:styleId="WW8Num49z2">
    <w:name w:val="WW8Num49z2"/>
    <w:rsid w:val="00321279"/>
    <w:rPr>
      <w:rFonts w:ascii="Wingdings" w:hAnsi="Wingdings" w:cs="Wingdings"/>
    </w:rPr>
  </w:style>
  <w:style w:type="character" w:customStyle="1" w:styleId="WW8Num50z0">
    <w:name w:val="WW8Num50z0"/>
    <w:rsid w:val="00321279"/>
    <w:rPr>
      <w:rFonts w:ascii="Symbol" w:hAnsi="Symbol" w:cs="Symbol"/>
    </w:rPr>
  </w:style>
  <w:style w:type="character" w:customStyle="1" w:styleId="2a">
    <w:name w:val="Основной шрифт абзаца2"/>
    <w:rsid w:val="00321279"/>
  </w:style>
  <w:style w:type="character" w:customStyle="1" w:styleId="WW8Num4z1">
    <w:name w:val="WW8Num4z1"/>
    <w:rsid w:val="00321279"/>
    <w:rPr>
      <w:rFonts w:ascii="Courier New" w:hAnsi="Courier New" w:cs="Courier New"/>
      <w:color w:val="000000"/>
    </w:rPr>
  </w:style>
  <w:style w:type="character" w:customStyle="1" w:styleId="WW8Num4z2">
    <w:name w:val="WW8Num4z2"/>
    <w:rsid w:val="00321279"/>
    <w:rPr>
      <w:rFonts w:ascii="Wingdings" w:hAnsi="Wingdings" w:cs="Wingdings"/>
    </w:rPr>
  </w:style>
  <w:style w:type="character" w:customStyle="1" w:styleId="WW8Num4z4">
    <w:name w:val="WW8Num4z4"/>
    <w:rsid w:val="00321279"/>
    <w:rPr>
      <w:rFonts w:ascii="Courier New" w:hAnsi="Courier New" w:cs="Courier New"/>
    </w:rPr>
  </w:style>
  <w:style w:type="character" w:customStyle="1" w:styleId="WW8Num7z2">
    <w:name w:val="WW8Num7z2"/>
    <w:rsid w:val="00321279"/>
    <w:rPr>
      <w:rFonts w:ascii="Wingdings" w:hAnsi="Wingdings" w:cs="Wingdings"/>
    </w:rPr>
  </w:style>
  <w:style w:type="character" w:customStyle="1" w:styleId="WW8Num7z4">
    <w:name w:val="WW8Num7z4"/>
    <w:rsid w:val="00321279"/>
    <w:rPr>
      <w:rFonts w:ascii="Courier New" w:hAnsi="Courier New" w:cs="Courier New"/>
    </w:rPr>
  </w:style>
  <w:style w:type="character" w:customStyle="1" w:styleId="WW8Num8z1">
    <w:name w:val="WW8Num8z1"/>
    <w:rsid w:val="00321279"/>
    <w:rPr>
      <w:rFonts w:ascii="Courier New" w:hAnsi="Courier New" w:cs="Courier New"/>
    </w:rPr>
  </w:style>
  <w:style w:type="character" w:customStyle="1" w:styleId="WW8Num8z2">
    <w:name w:val="WW8Num8z2"/>
    <w:rsid w:val="00321279"/>
    <w:rPr>
      <w:rFonts w:ascii="Wingdings" w:hAnsi="Wingdings" w:cs="Wingdings"/>
    </w:rPr>
  </w:style>
  <w:style w:type="character" w:customStyle="1" w:styleId="WW8Num9z1">
    <w:name w:val="WW8Num9z1"/>
    <w:rsid w:val="00321279"/>
    <w:rPr>
      <w:rFonts w:ascii="Symbol" w:hAnsi="Symbol" w:cs="Courier New"/>
    </w:rPr>
  </w:style>
  <w:style w:type="character" w:customStyle="1" w:styleId="WW8Num15z1">
    <w:name w:val="WW8Num15z1"/>
    <w:rsid w:val="00321279"/>
    <w:rPr>
      <w:rFonts w:ascii="Courier New" w:hAnsi="Courier New" w:cs="Courier New"/>
    </w:rPr>
  </w:style>
  <w:style w:type="character" w:customStyle="1" w:styleId="WW8Num15z2">
    <w:name w:val="WW8Num15z2"/>
    <w:rsid w:val="00321279"/>
    <w:rPr>
      <w:rFonts w:ascii="Wingdings" w:hAnsi="Wingdings" w:cs="Wingdings"/>
    </w:rPr>
  </w:style>
  <w:style w:type="character" w:customStyle="1" w:styleId="WW8Num16z1">
    <w:name w:val="WW8Num16z1"/>
    <w:rsid w:val="00321279"/>
    <w:rPr>
      <w:rFonts w:ascii="Courier New" w:hAnsi="Courier New" w:cs="Courier New"/>
    </w:rPr>
  </w:style>
  <w:style w:type="character" w:customStyle="1" w:styleId="WW8Num16z2">
    <w:name w:val="WW8Num16z2"/>
    <w:rsid w:val="00321279"/>
    <w:rPr>
      <w:rFonts w:ascii="Wingdings" w:hAnsi="Wingdings" w:cs="Wingdings"/>
    </w:rPr>
  </w:style>
  <w:style w:type="character" w:customStyle="1" w:styleId="WW8Num17z1">
    <w:name w:val="WW8Num17z1"/>
    <w:rsid w:val="00321279"/>
    <w:rPr>
      <w:rFonts w:ascii="Courier New" w:hAnsi="Courier New" w:cs="Courier New"/>
    </w:rPr>
  </w:style>
  <w:style w:type="character" w:customStyle="1" w:styleId="WW8Num17z2">
    <w:name w:val="WW8Num17z2"/>
    <w:rsid w:val="00321279"/>
    <w:rPr>
      <w:rFonts w:ascii="Wingdings" w:hAnsi="Wingdings" w:cs="Wingdings"/>
    </w:rPr>
  </w:style>
  <w:style w:type="character" w:customStyle="1" w:styleId="WW8Num17z3">
    <w:name w:val="WW8Num17z3"/>
    <w:rsid w:val="00321279"/>
    <w:rPr>
      <w:rFonts w:ascii="Symbol" w:hAnsi="Symbol" w:cs="Symbol"/>
    </w:rPr>
  </w:style>
  <w:style w:type="character" w:customStyle="1" w:styleId="WW8Num18z1">
    <w:name w:val="WW8Num18z1"/>
    <w:rsid w:val="00321279"/>
    <w:rPr>
      <w:rFonts w:ascii="Courier New" w:hAnsi="Courier New" w:cs="Courier New"/>
    </w:rPr>
  </w:style>
  <w:style w:type="character" w:customStyle="1" w:styleId="WW8Num18z2">
    <w:name w:val="WW8Num18z2"/>
    <w:rsid w:val="00321279"/>
    <w:rPr>
      <w:rFonts w:ascii="Wingdings" w:hAnsi="Wingdings" w:cs="Wingdings"/>
    </w:rPr>
  </w:style>
  <w:style w:type="character" w:customStyle="1" w:styleId="WW8Num19z1">
    <w:name w:val="WW8Num19z1"/>
    <w:rsid w:val="00321279"/>
    <w:rPr>
      <w:rFonts w:ascii="Courier New" w:hAnsi="Courier New" w:cs="Courier New"/>
    </w:rPr>
  </w:style>
  <w:style w:type="character" w:customStyle="1" w:styleId="WW8Num19z2">
    <w:name w:val="WW8Num19z2"/>
    <w:rsid w:val="00321279"/>
    <w:rPr>
      <w:rFonts w:ascii="Wingdings" w:hAnsi="Wingdings" w:cs="Wingdings"/>
    </w:rPr>
  </w:style>
  <w:style w:type="character" w:customStyle="1" w:styleId="WW8Num20z1">
    <w:name w:val="WW8Num20z1"/>
    <w:rsid w:val="00321279"/>
    <w:rPr>
      <w:rFonts w:ascii="Courier New" w:hAnsi="Courier New" w:cs="Courier New"/>
    </w:rPr>
  </w:style>
  <w:style w:type="character" w:customStyle="1" w:styleId="WW8Num20z2">
    <w:name w:val="WW8Num20z2"/>
    <w:rsid w:val="00321279"/>
    <w:rPr>
      <w:rFonts w:ascii="Wingdings" w:hAnsi="Wingdings" w:cs="Wingdings"/>
    </w:rPr>
  </w:style>
  <w:style w:type="character" w:customStyle="1" w:styleId="WW8Num21z1">
    <w:name w:val="WW8Num21z1"/>
    <w:rsid w:val="00321279"/>
    <w:rPr>
      <w:rFonts w:ascii="Courier New" w:hAnsi="Courier New" w:cs="Courier New"/>
    </w:rPr>
  </w:style>
  <w:style w:type="character" w:customStyle="1" w:styleId="WW8Num21z2">
    <w:name w:val="WW8Num21z2"/>
    <w:rsid w:val="00321279"/>
    <w:rPr>
      <w:rFonts w:ascii="Wingdings" w:hAnsi="Wingdings" w:cs="Wingdings"/>
    </w:rPr>
  </w:style>
  <w:style w:type="character" w:customStyle="1" w:styleId="WW8Num22z1">
    <w:name w:val="WW8Num22z1"/>
    <w:rsid w:val="00321279"/>
    <w:rPr>
      <w:rFonts w:ascii="Courier New" w:hAnsi="Courier New" w:cs="Courier New"/>
    </w:rPr>
  </w:style>
  <w:style w:type="character" w:customStyle="1" w:styleId="WW8Num22z2">
    <w:name w:val="WW8Num22z2"/>
    <w:rsid w:val="00321279"/>
    <w:rPr>
      <w:rFonts w:ascii="Wingdings" w:hAnsi="Wingdings" w:cs="Wingdings"/>
    </w:rPr>
  </w:style>
  <w:style w:type="character" w:customStyle="1" w:styleId="WW8Num23z1">
    <w:name w:val="WW8Num23z1"/>
    <w:rsid w:val="00321279"/>
    <w:rPr>
      <w:rFonts w:ascii="Courier New" w:hAnsi="Courier New" w:cs="Courier New"/>
    </w:rPr>
  </w:style>
  <w:style w:type="character" w:customStyle="1" w:styleId="WW8Num23z2">
    <w:name w:val="WW8Num23z2"/>
    <w:rsid w:val="00321279"/>
    <w:rPr>
      <w:rFonts w:ascii="Wingdings" w:hAnsi="Wingdings" w:cs="Wingdings"/>
    </w:rPr>
  </w:style>
  <w:style w:type="character" w:customStyle="1" w:styleId="WW8Num24z1">
    <w:name w:val="WW8Num24z1"/>
    <w:rsid w:val="00321279"/>
    <w:rPr>
      <w:rFonts w:ascii="Courier New" w:hAnsi="Courier New" w:cs="Courier New"/>
    </w:rPr>
  </w:style>
  <w:style w:type="character" w:customStyle="1" w:styleId="WW8Num24z2">
    <w:name w:val="WW8Num24z2"/>
    <w:rsid w:val="00321279"/>
    <w:rPr>
      <w:rFonts w:ascii="Wingdings" w:hAnsi="Wingdings" w:cs="Wingdings"/>
    </w:rPr>
  </w:style>
  <w:style w:type="character" w:customStyle="1" w:styleId="WW8Num25z1">
    <w:name w:val="WW8Num25z1"/>
    <w:rsid w:val="00321279"/>
    <w:rPr>
      <w:rFonts w:ascii="Courier New" w:hAnsi="Courier New" w:cs="Courier New"/>
    </w:rPr>
  </w:style>
  <w:style w:type="character" w:customStyle="1" w:styleId="WW8Num25z2">
    <w:name w:val="WW8Num25z2"/>
    <w:rsid w:val="00321279"/>
    <w:rPr>
      <w:rFonts w:ascii="Wingdings" w:hAnsi="Wingdings" w:cs="Wingdings"/>
    </w:rPr>
  </w:style>
  <w:style w:type="character" w:customStyle="1" w:styleId="WW8Num26z1">
    <w:name w:val="WW8Num26z1"/>
    <w:rsid w:val="00321279"/>
    <w:rPr>
      <w:rFonts w:ascii="Courier New" w:hAnsi="Courier New" w:cs="Courier New"/>
    </w:rPr>
  </w:style>
  <w:style w:type="character" w:customStyle="1" w:styleId="WW8Num26z2">
    <w:name w:val="WW8Num26z2"/>
    <w:rsid w:val="00321279"/>
    <w:rPr>
      <w:rFonts w:ascii="Wingdings" w:hAnsi="Wingdings" w:cs="Wingdings"/>
    </w:rPr>
  </w:style>
  <w:style w:type="character" w:customStyle="1" w:styleId="WW8Num27z3">
    <w:name w:val="WW8Num27z3"/>
    <w:rsid w:val="00321279"/>
    <w:rPr>
      <w:rFonts w:ascii="Symbol" w:hAnsi="Symbol" w:cs="Symbol"/>
    </w:rPr>
  </w:style>
  <w:style w:type="character" w:customStyle="1" w:styleId="WW8Num28z1">
    <w:name w:val="WW8Num28z1"/>
    <w:rsid w:val="00321279"/>
    <w:rPr>
      <w:rFonts w:ascii="Courier New" w:hAnsi="Courier New" w:cs="Courier New"/>
    </w:rPr>
  </w:style>
  <w:style w:type="character" w:customStyle="1" w:styleId="WW8Num28z2">
    <w:name w:val="WW8Num28z2"/>
    <w:rsid w:val="00321279"/>
    <w:rPr>
      <w:rFonts w:ascii="Wingdings" w:hAnsi="Wingdings" w:cs="Wingdings"/>
    </w:rPr>
  </w:style>
  <w:style w:type="character" w:customStyle="1" w:styleId="WW8Num29z1">
    <w:name w:val="WW8Num29z1"/>
    <w:rsid w:val="00321279"/>
    <w:rPr>
      <w:rFonts w:ascii="Courier New" w:hAnsi="Courier New" w:cs="Courier New"/>
    </w:rPr>
  </w:style>
  <w:style w:type="character" w:customStyle="1" w:styleId="WW8Num29z2">
    <w:name w:val="WW8Num29z2"/>
    <w:rsid w:val="00321279"/>
    <w:rPr>
      <w:rFonts w:ascii="Wingdings" w:hAnsi="Wingdings" w:cs="Wingdings"/>
    </w:rPr>
  </w:style>
  <w:style w:type="character" w:customStyle="1" w:styleId="WW8Num32z1">
    <w:name w:val="WW8Num32z1"/>
    <w:rsid w:val="00321279"/>
    <w:rPr>
      <w:rFonts w:ascii="Calibri" w:hAnsi="Calibri" w:cs="Calibri"/>
    </w:rPr>
  </w:style>
  <w:style w:type="character" w:customStyle="1" w:styleId="WW8Num32z2">
    <w:name w:val="WW8Num32z2"/>
    <w:rsid w:val="00321279"/>
    <w:rPr>
      <w:rFonts w:ascii="Wingdings" w:hAnsi="Wingdings" w:cs="Wingdings"/>
    </w:rPr>
  </w:style>
  <w:style w:type="character" w:customStyle="1" w:styleId="WW8Num32z4">
    <w:name w:val="WW8Num32z4"/>
    <w:rsid w:val="00321279"/>
    <w:rPr>
      <w:rFonts w:ascii="Courier New" w:hAnsi="Courier New" w:cs="Courier New"/>
    </w:rPr>
  </w:style>
  <w:style w:type="character" w:customStyle="1" w:styleId="WW8Num33z0">
    <w:name w:val="WW8Num33z0"/>
    <w:rsid w:val="00321279"/>
    <w:rPr>
      <w:rFonts w:ascii="Symbol" w:hAnsi="Symbol" w:cs="Symbol"/>
    </w:rPr>
  </w:style>
  <w:style w:type="character" w:customStyle="1" w:styleId="WW8Num35z1">
    <w:name w:val="WW8Num35z1"/>
    <w:rsid w:val="00321279"/>
    <w:rPr>
      <w:rFonts w:ascii="Courier New" w:hAnsi="Courier New" w:cs="Courier New"/>
    </w:rPr>
  </w:style>
  <w:style w:type="character" w:customStyle="1" w:styleId="WW8Num35z2">
    <w:name w:val="WW8Num35z2"/>
    <w:rsid w:val="00321279"/>
    <w:rPr>
      <w:rFonts w:ascii="Wingdings" w:hAnsi="Wingdings" w:cs="Wingdings"/>
    </w:rPr>
  </w:style>
  <w:style w:type="character" w:customStyle="1" w:styleId="WW8Num35z3">
    <w:name w:val="WW8Num35z3"/>
    <w:rsid w:val="00321279"/>
    <w:rPr>
      <w:rFonts w:ascii="Symbol" w:hAnsi="Symbol" w:cs="Symbol"/>
    </w:rPr>
  </w:style>
  <w:style w:type="character" w:customStyle="1" w:styleId="WW8Num36z1">
    <w:name w:val="WW8Num36z1"/>
    <w:rsid w:val="00321279"/>
    <w:rPr>
      <w:rFonts w:ascii="Courier New" w:hAnsi="Courier New" w:cs="Courier New"/>
    </w:rPr>
  </w:style>
  <w:style w:type="character" w:customStyle="1" w:styleId="WW8Num36z2">
    <w:name w:val="WW8Num36z2"/>
    <w:rsid w:val="00321279"/>
    <w:rPr>
      <w:rFonts w:ascii="Wingdings" w:hAnsi="Wingdings" w:cs="Wingdings"/>
    </w:rPr>
  </w:style>
  <w:style w:type="character" w:customStyle="1" w:styleId="WW8Num37z1">
    <w:name w:val="WW8Num37z1"/>
    <w:rsid w:val="00321279"/>
    <w:rPr>
      <w:rFonts w:ascii="Courier New" w:hAnsi="Courier New" w:cs="Courier New"/>
    </w:rPr>
  </w:style>
  <w:style w:type="character" w:customStyle="1" w:styleId="WW8Num37z2">
    <w:name w:val="WW8Num37z2"/>
    <w:rsid w:val="00321279"/>
    <w:rPr>
      <w:rFonts w:ascii="Wingdings" w:hAnsi="Wingdings" w:cs="Wingdings"/>
    </w:rPr>
  </w:style>
  <w:style w:type="character" w:customStyle="1" w:styleId="WW8Num39z1">
    <w:name w:val="WW8Num39z1"/>
    <w:rsid w:val="00321279"/>
    <w:rPr>
      <w:rFonts w:ascii="Calibri" w:hAnsi="Calibri" w:cs="Calibri"/>
    </w:rPr>
  </w:style>
  <w:style w:type="character" w:customStyle="1" w:styleId="WW8Num39z2">
    <w:name w:val="WW8Num39z2"/>
    <w:rsid w:val="00321279"/>
    <w:rPr>
      <w:rFonts w:ascii="Wingdings" w:hAnsi="Wingdings" w:cs="Wingdings"/>
    </w:rPr>
  </w:style>
  <w:style w:type="character" w:customStyle="1" w:styleId="WW8Num39z4">
    <w:name w:val="WW8Num39z4"/>
    <w:rsid w:val="00321279"/>
    <w:rPr>
      <w:rFonts w:ascii="Courier New" w:hAnsi="Courier New" w:cs="Courier New"/>
    </w:rPr>
  </w:style>
  <w:style w:type="character" w:customStyle="1" w:styleId="WW8Num40z1">
    <w:name w:val="WW8Num40z1"/>
    <w:rsid w:val="00321279"/>
    <w:rPr>
      <w:rFonts w:ascii="Courier New" w:hAnsi="Courier New" w:cs="Courier New"/>
    </w:rPr>
  </w:style>
  <w:style w:type="character" w:customStyle="1" w:styleId="WW8Num40z2">
    <w:name w:val="WW8Num40z2"/>
    <w:rsid w:val="00321279"/>
    <w:rPr>
      <w:rFonts w:ascii="Wingdings" w:hAnsi="Wingdings" w:cs="Wingdings"/>
    </w:rPr>
  </w:style>
  <w:style w:type="character" w:customStyle="1" w:styleId="WW8Num41z1">
    <w:name w:val="WW8Num41z1"/>
    <w:rsid w:val="00321279"/>
    <w:rPr>
      <w:rFonts w:ascii="Courier New" w:hAnsi="Courier New" w:cs="Courier New"/>
    </w:rPr>
  </w:style>
  <w:style w:type="character" w:customStyle="1" w:styleId="WW8Num41z2">
    <w:name w:val="WW8Num41z2"/>
    <w:rsid w:val="00321279"/>
    <w:rPr>
      <w:rFonts w:ascii="Wingdings" w:hAnsi="Wingdings" w:cs="Wingdings"/>
    </w:rPr>
  </w:style>
  <w:style w:type="character" w:customStyle="1" w:styleId="WW8Num41z3">
    <w:name w:val="WW8Num41z3"/>
    <w:rsid w:val="00321279"/>
    <w:rPr>
      <w:rFonts w:ascii="Symbol" w:hAnsi="Symbol" w:cs="Symbol"/>
    </w:rPr>
  </w:style>
  <w:style w:type="character" w:customStyle="1" w:styleId="WW8Num42z1">
    <w:name w:val="WW8Num42z1"/>
    <w:rsid w:val="00321279"/>
    <w:rPr>
      <w:rFonts w:ascii="Courier New" w:hAnsi="Courier New" w:cs="Courier New"/>
    </w:rPr>
  </w:style>
  <w:style w:type="character" w:customStyle="1" w:styleId="WW8Num42z2">
    <w:name w:val="WW8Num42z2"/>
    <w:rsid w:val="00321279"/>
    <w:rPr>
      <w:rFonts w:ascii="Wingdings" w:hAnsi="Wingdings" w:cs="Wingdings"/>
    </w:rPr>
  </w:style>
  <w:style w:type="character" w:customStyle="1" w:styleId="WW8Num43z1">
    <w:name w:val="WW8Num43z1"/>
    <w:rsid w:val="00321279"/>
    <w:rPr>
      <w:rFonts w:ascii="Courier New" w:hAnsi="Courier New" w:cs="Courier New"/>
    </w:rPr>
  </w:style>
  <w:style w:type="character" w:customStyle="1" w:styleId="WW8Num43z2">
    <w:name w:val="WW8Num43z2"/>
    <w:rsid w:val="00321279"/>
    <w:rPr>
      <w:rFonts w:ascii="Wingdings" w:hAnsi="Wingdings" w:cs="Wingdings"/>
    </w:rPr>
  </w:style>
  <w:style w:type="character" w:customStyle="1" w:styleId="WW8Num44z1">
    <w:name w:val="WW8Num44z1"/>
    <w:rsid w:val="00321279"/>
    <w:rPr>
      <w:rFonts w:ascii="Courier New" w:hAnsi="Courier New" w:cs="Courier New"/>
    </w:rPr>
  </w:style>
  <w:style w:type="character" w:customStyle="1" w:styleId="WW8Num44z2">
    <w:name w:val="WW8Num44z2"/>
    <w:rsid w:val="00321279"/>
    <w:rPr>
      <w:rFonts w:ascii="Wingdings" w:hAnsi="Wingdings" w:cs="Wingdings"/>
    </w:rPr>
  </w:style>
  <w:style w:type="character" w:customStyle="1" w:styleId="WW8Num45z1">
    <w:name w:val="WW8Num45z1"/>
    <w:rsid w:val="00321279"/>
    <w:rPr>
      <w:rFonts w:ascii="Courier New" w:hAnsi="Courier New" w:cs="Courier New"/>
    </w:rPr>
  </w:style>
  <w:style w:type="character" w:customStyle="1" w:styleId="WW8Num45z2">
    <w:name w:val="WW8Num45z2"/>
    <w:rsid w:val="00321279"/>
    <w:rPr>
      <w:rFonts w:ascii="Wingdings" w:hAnsi="Wingdings" w:cs="Wingdings"/>
    </w:rPr>
  </w:style>
  <w:style w:type="character" w:customStyle="1" w:styleId="WW8Num46z1">
    <w:name w:val="WW8Num46z1"/>
    <w:rsid w:val="00321279"/>
    <w:rPr>
      <w:rFonts w:ascii="Courier New" w:hAnsi="Courier New" w:cs="Courier New"/>
    </w:rPr>
  </w:style>
  <w:style w:type="character" w:customStyle="1" w:styleId="WW8Num46z2">
    <w:name w:val="WW8Num46z2"/>
    <w:rsid w:val="00321279"/>
    <w:rPr>
      <w:rFonts w:ascii="Wingdings" w:hAnsi="Wingdings" w:cs="Wingdings"/>
    </w:rPr>
  </w:style>
  <w:style w:type="character" w:customStyle="1" w:styleId="WW8Num47z1">
    <w:name w:val="WW8Num47z1"/>
    <w:rsid w:val="00321279"/>
    <w:rPr>
      <w:rFonts w:ascii="Courier New" w:hAnsi="Courier New" w:cs="Courier New"/>
    </w:rPr>
  </w:style>
  <w:style w:type="character" w:customStyle="1" w:styleId="WW8Num47z2">
    <w:name w:val="WW8Num47z2"/>
    <w:rsid w:val="00321279"/>
    <w:rPr>
      <w:rFonts w:ascii="Wingdings" w:hAnsi="Wingdings" w:cs="Wingdings"/>
    </w:rPr>
  </w:style>
  <w:style w:type="character" w:customStyle="1" w:styleId="WW8Num47z3">
    <w:name w:val="WW8Num47z3"/>
    <w:rsid w:val="00321279"/>
    <w:rPr>
      <w:rFonts w:ascii="Symbol" w:hAnsi="Symbol" w:cs="Symbol"/>
    </w:rPr>
  </w:style>
  <w:style w:type="character" w:customStyle="1" w:styleId="WW8Num48z1">
    <w:name w:val="WW8Num48z1"/>
    <w:rsid w:val="00321279"/>
    <w:rPr>
      <w:rFonts w:ascii="Courier New" w:hAnsi="Courier New" w:cs="Courier New"/>
    </w:rPr>
  </w:style>
  <w:style w:type="character" w:customStyle="1" w:styleId="WW8Num48z2">
    <w:name w:val="WW8Num48z2"/>
    <w:rsid w:val="00321279"/>
    <w:rPr>
      <w:rFonts w:ascii="Wingdings" w:hAnsi="Wingdings" w:cs="Wingdings"/>
    </w:rPr>
  </w:style>
  <w:style w:type="character" w:customStyle="1" w:styleId="WW8Num50z1">
    <w:name w:val="WW8Num50z1"/>
    <w:rsid w:val="00321279"/>
    <w:rPr>
      <w:rFonts w:ascii="Courier New" w:hAnsi="Courier New" w:cs="Courier New"/>
    </w:rPr>
  </w:style>
  <w:style w:type="character" w:customStyle="1" w:styleId="WW8Num50z2">
    <w:name w:val="WW8Num50z2"/>
    <w:rsid w:val="00321279"/>
    <w:rPr>
      <w:rFonts w:ascii="Wingdings" w:hAnsi="Wingdings" w:cs="Wingdings"/>
    </w:rPr>
  </w:style>
  <w:style w:type="character" w:customStyle="1" w:styleId="WW8Num51z0">
    <w:name w:val="WW8Num51z0"/>
    <w:rsid w:val="00321279"/>
    <w:rPr>
      <w:rFonts w:ascii="Symbol" w:hAnsi="Symbol" w:cs="Symbol"/>
    </w:rPr>
  </w:style>
  <w:style w:type="character" w:customStyle="1" w:styleId="WW8Num51z1">
    <w:name w:val="WW8Num51z1"/>
    <w:rsid w:val="00321279"/>
    <w:rPr>
      <w:rFonts w:ascii="Courier New" w:hAnsi="Courier New" w:cs="Courier New"/>
    </w:rPr>
  </w:style>
  <w:style w:type="character" w:customStyle="1" w:styleId="WW8Num51z2">
    <w:name w:val="WW8Num51z2"/>
    <w:rsid w:val="00321279"/>
    <w:rPr>
      <w:rFonts w:ascii="Wingdings" w:hAnsi="Wingdings" w:cs="Wingdings"/>
    </w:rPr>
  </w:style>
  <w:style w:type="character" w:customStyle="1" w:styleId="WW8Num52z0">
    <w:name w:val="WW8Num52z0"/>
    <w:rsid w:val="00321279"/>
    <w:rPr>
      <w:rFonts w:ascii="Symbol" w:hAnsi="Symbol" w:cs="Symbol"/>
    </w:rPr>
  </w:style>
  <w:style w:type="character" w:customStyle="1" w:styleId="WW8Num52z1">
    <w:name w:val="WW8Num52z1"/>
    <w:rsid w:val="00321279"/>
    <w:rPr>
      <w:rFonts w:ascii="Courier New" w:hAnsi="Courier New" w:cs="Courier New"/>
    </w:rPr>
  </w:style>
  <w:style w:type="character" w:customStyle="1" w:styleId="WW8Num52z2">
    <w:name w:val="WW8Num52z2"/>
    <w:rsid w:val="00321279"/>
    <w:rPr>
      <w:rFonts w:ascii="Wingdings" w:hAnsi="Wingdings" w:cs="Wingdings"/>
    </w:rPr>
  </w:style>
  <w:style w:type="character" w:customStyle="1" w:styleId="WW8Num53z0">
    <w:name w:val="WW8Num53z0"/>
    <w:rsid w:val="00321279"/>
    <w:rPr>
      <w:rFonts w:ascii="Symbol" w:hAnsi="Symbol" w:cs="Symbol"/>
    </w:rPr>
  </w:style>
  <w:style w:type="character" w:customStyle="1" w:styleId="WW8Num53z1">
    <w:name w:val="WW8Num53z1"/>
    <w:rsid w:val="00321279"/>
    <w:rPr>
      <w:rFonts w:ascii="Courier New" w:hAnsi="Courier New" w:cs="Courier New"/>
    </w:rPr>
  </w:style>
  <w:style w:type="character" w:customStyle="1" w:styleId="WW8Num53z2">
    <w:name w:val="WW8Num53z2"/>
    <w:rsid w:val="00321279"/>
    <w:rPr>
      <w:rFonts w:ascii="Wingdings" w:hAnsi="Wingdings" w:cs="Wingdings"/>
    </w:rPr>
  </w:style>
  <w:style w:type="character" w:customStyle="1" w:styleId="WW8Num54z0">
    <w:name w:val="WW8Num54z0"/>
    <w:rsid w:val="00321279"/>
    <w:rPr>
      <w:rFonts w:ascii="Symbol" w:hAnsi="Symbol" w:cs="Symbol"/>
    </w:rPr>
  </w:style>
  <w:style w:type="character" w:customStyle="1" w:styleId="WW8Num54z1">
    <w:name w:val="WW8Num54z1"/>
    <w:rsid w:val="00321279"/>
    <w:rPr>
      <w:rFonts w:ascii="Courier New" w:hAnsi="Courier New" w:cs="Courier New"/>
    </w:rPr>
  </w:style>
  <w:style w:type="character" w:customStyle="1" w:styleId="WW8Num54z2">
    <w:name w:val="WW8Num54z2"/>
    <w:rsid w:val="00321279"/>
    <w:rPr>
      <w:rFonts w:ascii="Wingdings" w:hAnsi="Wingdings" w:cs="Wingdings"/>
    </w:rPr>
  </w:style>
  <w:style w:type="character" w:customStyle="1" w:styleId="1ff">
    <w:name w:val="Основной шрифт абзаца1"/>
    <w:rsid w:val="00321279"/>
  </w:style>
  <w:style w:type="character" w:customStyle="1" w:styleId="affffc">
    <w:name w:val="Символ сноски"/>
    <w:rsid w:val="00321279"/>
    <w:rPr>
      <w:rFonts w:cs="Times New Roman"/>
      <w:vertAlign w:val="superscript"/>
    </w:rPr>
  </w:style>
  <w:style w:type="character" w:customStyle="1" w:styleId="affffd">
    <w:name w:val="Символы концевой сноски"/>
    <w:rsid w:val="00321279"/>
    <w:rPr>
      <w:vertAlign w:val="superscript"/>
    </w:rPr>
  </w:style>
  <w:style w:type="character" w:customStyle="1" w:styleId="affffe">
    <w:name w:val="Маркеры списка"/>
    <w:rsid w:val="00321279"/>
    <w:rPr>
      <w:rFonts w:ascii="OpenSymbol" w:eastAsia="OpenSymbol" w:hAnsi="OpenSymbol" w:cs="OpenSymbol"/>
    </w:rPr>
  </w:style>
  <w:style w:type="paragraph" w:customStyle="1" w:styleId="2b">
    <w:name w:val="Название2"/>
    <w:basedOn w:val="a1"/>
    <w:rsid w:val="00321279"/>
    <w:pPr>
      <w:suppressLineNumbers/>
      <w:suppressAutoHyphens/>
      <w:spacing w:before="120" w:after="120" w:line="288" w:lineRule="auto"/>
      <w:ind w:firstLine="567"/>
    </w:pPr>
    <w:rPr>
      <w:rFonts w:ascii="Calibri" w:eastAsia="Calibri" w:hAnsi="Calibri" w:cs="Mangal"/>
      <w:i/>
      <w:iCs/>
      <w:szCs w:val="24"/>
      <w:lang w:eastAsia="ar-SA"/>
    </w:rPr>
  </w:style>
  <w:style w:type="paragraph" w:customStyle="1" w:styleId="2c">
    <w:name w:val="Указатель2"/>
    <w:basedOn w:val="a1"/>
    <w:rsid w:val="00321279"/>
    <w:pPr>
      <w:suppressLineNumbers/>
      <w:suppressAutoHyphens/>
      <w:spacing w:line="288" w:lineRule="auto"/>
      <w:ind w:firstLine="567"/>
    </w:pPr>
    <w:rPr>
      <w:rFonts w:ascii="Calibri" w:eastAsia="Calibri" w:hAnsi="Calibri" w:cs="Mangal"/>
      <w:sz w:val="22"/>
      <w:lang w:eastAsia="ar-SA"/>
    </w:rPr>
  </w:style>
  <w:style w:type="paragraph" w:customStyle="1" w:styleId="1ff0">
    <w:name w:val="Указатель1"/>
    <w:basedOn w:val="a1"/>
    <w:rsid w:val="00321279"/>
    <w:pPr>
      <w:suppressLineNumbers/>
      <w:suppressAutoHyphens/>
      <w:spacing w:line="288" w:lineRule="auto"/>
      <w:ind w:firstLine="567"/>
    </w:pPr>
    <w:rPr>
      <w:rFonts w:ascii="Calibri" w:eastAsia="Calibri" w:hAnsi="Calibri" w:cs="Mangal"/>
      <w:sz w:val="22"/>
      <w:lang w:eastAsia="ar-SA"/>
    </w:rPr>
  </w:style>
  <w:style w:type="paragraph" w:customStyle="1" w:styleId="afffff">
    <w:name w:val="Заголовок таблицы"/>
    <w:basedOn w:val="affff4"/>
    <w:rsid w:val="00321279"/>
    <w:pPr>
      <w:widowControl w:val="0"/>
      <w:suppressAutoHyphens/>
      <w:spacing w:line="240" w:lineRule="auto"/>
      <w:ind w:firstLine="567"/>
      <w:jc w:val="center"/>
    </w:pPr>
    <w:rPr>
      <w:rFonts w:ascii="Arial" w:eastAsia="Arial Unicode MS" w:hAnsi="Arial" w:cs="Times New Roman"/>
      <w:b/>
      <w:bCs/>
      <w:kern w:val="1"/>
      <w:sz w:val="20"/>
      <w:szCs w:val="24"/>
      <w:lang w:eastAsia="ar-SA"/>
    </w:rPr>
  </w:style>
  <w:style w:type="character" w:customStyle="1" w:styleId="slug-pub-date3">
    <w:name w:val="slug-pub-date3"/>
    <w:rsid w:val="00321279"/>
    <w:rPr>
      <w:b/>
      <w:bCs/>
    </w:rPr>
  </w:style>
  <w:style w:type="character" w:customStyle="1" w:styleId="slug-vol">
    <w:name w:val="slug-vol"/>
    <w:rsid w:val="00321279"/>
  </w:style>
  <w:style w:type="character" w:customStyle="1" w:styleId="slug-issue">
    <w:name w:val="slug-issue"/>
    <w:rsid w:val="00321279"/>
  </w:style>
  <w:style w:type="character" w:customStyle="1" w:styleId="slug-pages3">
    <w:name w:val="slug-pages3"/>
    <w:rsid w:val="00321279"/>
    <w:rPr>
      <w:b/>
      <w:bCs/>
    </w:rPr>
  </w:style>
  <w:style w:type="paragraph" w:customStyle="1" w:styleId="LTGliederung1">
    <w:name w:val="???????~LT~Gliederung 1"/>
    <w:rsid w:val="0032127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eastAsia="hi-IN" w:bidi="hi-IN"/>
    </w:rPr>
  </w:style>
  <w:style w:type="character" w:customStyle="1" w:styleId="9PalatinoLinotype">
    <w:name w:val="Основной текст (9) + Palatino Linotype"/>
    <w:aliases w:val="7,5 pt"/>
    <w:uiPriority w:val="99"/>
    <w:rsid w:val="00321279"/>
    <w:rPr>
      <w:rFonts w:ascii="Palatino Linotype" w:hAnsi="Palatino Linotype" w:cs="Palatino Linotype"/>
      <w:spacing w:val="0"/>
      <w:sz w:val="15"/>
      <w:szCs w:val="15"/>
    </w:rPr>
  </w:style>
  <w:style w:type="table" w:customStyle="1" w:styleId="510">
    <w:name w:val="Таблица простая 51"/>
    <w:basedOn w:val="a5"/>
    <w:uiPriority w:val="45"/>
    <w:rsid w:val="00321279"/>
    <w:rPr>
      <w:rFonts w:ascii="Calibri" w:eastAsia="Calibri" w:hAnsi="Calibri" w:cs="Times New Roman"/>
      <w:szCs w:val="20"/>
      <w:lang w:eastAsia="ru-RU"/>
    </w:rPr>
    <w:tblPr>
      <w:tblStyleRowBandSize w:val="1"/>
      <w:tblStyleColBandSize w:val="1"/>
    </w:tblPr>
    <w:tblStylePr w:type="firstRow">
      <w:rPr>
        <w:rFonts w:ascii="Arial Unicode MS" w:eastAsia="Times New Roman" w:hAnsi="Arial Unicode MS" w:cs="Times New Roman"/>
        <w:i/>
        <w:iCs/>
        <w:sz w:val="26"/>
      </w:rPr>
      <w:tblPr/>
      <w:tcPr>
        <w:tcBorders>
          <w:bottom w:val="single" w:sz="4" w:space="0" w:color="7F7F7F"/>
        </w:tcBorders>
        <w:shd w:val="clear" w:color="auto" w:fill="FFFFFF"/>
      </w:tcPr>
    </w:tblStylePr>
    <w:tblStylePr w:type="lastRow">
      <w:rPr>
        <w:rFonts w:ascii="Arial Unicode MS" w:eastAsia="Times New Roman" w:hAnsi="Arial Unicode MS" w:cs="Times New Roman"/>
        <w:i/>
        <w:iCs/>
        <w:sz w:val="26"/>
      </w:rPr>
      <w:tblPr/>
      <w:tcPr>
        <w:tcBorders>
          <w:top w:val="single" w:sz="4" w:space="0" w:color="7F7F7F"/>
        </w:tcBorders>
        <w:shd w:val="clear" w:color="auto" w:fill="FFFFFF"/>
      </w:tcPr>
    </w:tblStylePr>
    <w:tblStylePr w:type="firstCol">
      <w:pPr>
        <w:jc w:val="right"/>
      </w:pPr>
      <w:rPr>
        <w:rFonts w:ascii="Arial Unicode MS" w:eastAsia="Times New Roman" w:hAnsi="Arial Unicode MS" w:cs="Times New Roman"/>
        <w:i/>
        <w:iCs/>
        <w:sz w:val="26"/>
      </w:rPr>
      <w:tblPr/>
      <w:tcPr>
        <w:tcBorders>
          <w:right w:val="single" w:sz="4" w:space="0" w:color="7F7F7F"/>
        </w:tcBorders>
        <w:shd w:val="clear" w:color="auto" w:fill="FFFFFF"/>
      </w:tcPr>
    </w:tblStylePr>
    <w:tblStylePr w:type="lastCol">
      <w:rPr>
        <w:rFonts w:ascii="Arial Unicode MS" w:eastAsia="Times New Roman" w:hAnsi="Arial Unicode M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bsatz-Standardschriftart">
    <w:name w:val="Absatz-Standardschriftart"/>
    <w:rsid w:val="00321279"/>
  </w:style>
  <w:style w:type="character" w:customStyle="1" w:styleId="WW-Absatz-Standardschriftart">
    <w:name w:val="WW-Absatz-Standardschriftart"/>
    <w:rsid w:val="00321279"/>
  </w:style>
  <w:style w:type="paragraph" w:customStyle="1" w:styleId="p1">
    <w:name w:val="p1"/>
    <w:basedOn w:val="a1"/>
    <w:rsid w:val="00321279"/>
    <w:pPr>
      <w:spacing w:line="240" w:lineRule="auto"/>
    </w:pPr>
    <w:rPr>
      <w:rFonts w:ascii="Helvetica Neue" w:eastAsia="Calibri" w:hAnsi="Helvetica Neue" w:cs="Times New Roman"/>
      <w:color w:val="000000"/>
      <w:sz w:val="20"/>
      <w:szCs w:val="20"/>
      <w:lang w:eastAsia="ru-RU"/>
    </w:rPr>
  </w:style>
  <w:style w:type="paragraph" w:customStyle="1" w:styleId="ListParagraph1">
    <w:name w:val="List Paragraph1"/>
    <w:basedOn w:val="a1"/>
    <w:rsid w:val="00321279"/>
    <w:pPr>
      <w:suppressAutoHyphens/>
      <w:spacing w:after="200" w:line="276" w:lineRule="auto"/>
    </w:pPr>
    <w:rPr>
      <w:rFonts w:ascii="Calibri" w:eastAsia="Calibri" w:hAnsi="Calibri" w:cs="Calibri"/>
      <w:sz w:val="22"/>
      <w:lang w:val="nl-NL" w:eastAsia="ar-SA"/>
    </w:rPr>
  </w:style>
  <w:style w:type="character" w:customStyle="1" w:styleId="Caaieiaie1Ciae">
    <w:name w:val="Caaieiaie 1 Ciae"/>
    <w:uiPriority w:val="99"/>
    <w:rsid w:val="00321279"/>
    <w:rPr>
      <w:rFonts w:ascii="Cambria" w:hAnsi="Cambria" w:cs="Cambria"/>
      <w:b/>
      <w:bCs/>
      <w:kern w:val="32"/>
      <w:sz w:val="32"/>
      <w:szCs w:val="32"/>
    </w:rPr>
  </w:style>
  <w:style w:type="character" w:customStyle="1" w:styleId="Caaieiaie2Ciae">
    <w:name w:val="Caaieiaie 2 Ciae"/>
    <w:uiPriority w:val="99"/>
    <w:rsid w:val="00321279"/>
    <w:rPr>
      <w:rFonts w:ascii="Cambria" w:hAnsi="Cambria" w:cs="Cambria"/>
      <w:b/>
      <w:bCs/>
      <w:i/>
      <w:iCs/>
      <w:sz w:val="28"/>
      <w:szCs w:val="28"/>
    </w:rPr>
  </w:style>
  <w:style w:type="character" w:customStyle="1" w:styleId="Caaieiaie3Ciae">
    <w:name w:val="Caaieiaie 3 Ciae"/>
    <w:uiPriority w:val="99"/>
    <w:rsid w:val="00321279"/>
    <w:rPr>
      <w:rFonts w:ascii="Cambria" w:hAnsi="Cambria" w:cs="Cambria"/>
      <w:b/>
      <w:bCs/>
      <w:sz w:val="26"/>
      <w:szCs w:val="26"/>
    </w:rPr>
  </w:style>
  <w:style w:type="character" w:customStyle="1" w:styleId="Caaieiaie4Ciae">
    <w:name w:val="Caaieiaie 4 Ciae"/>
    <w:uiPriority w:val="99"/>
    <w:rsid w:val="00321279"/>
    <w:rPr>
      <w:rFonts w:ascii="Times New Roman" w:hAnsi="Times New Roman" w:cs="Times New Roman"/>
      <w:b/>
      <w:bCs/>
      <w:sz w:val="28"/>
      <w:szCs w:val="28"/>
    </w:rPr>
  </w:style>
  <w:style w:type="character" w:customStyle="1" w:styleId="Caaieiaie5Ciae">
    <w:name w:val="Caaieiaie 5 Ciae"/>
    <w:uiPriority w:val="99"/>
    <w:rsid w:val="00321279"/>
    <w:rPr>
      <w:rFonts w:cs="Times New Roman"/>
      <w:b/>
      <w:bCs/>
      <w:i/>
      <w:iCs/>
      <w:sz w:val="26"/>
      <w:szCs w:val="26"/>
    </w:rPr>
  </w:style>
  <w:style w:type="character" w:customStyle="1" w:styleId="Caaieiaie6Ciae">
    <w:name w:val="Caaieiaie 6 Ciae"/>
    <w:uiPriority w:val="99"/>
    <w:rsid w:val="00321279"/>
    <w:rPr>
      <w:rFonts w:cs="Times New Roman"/>
      <w:b/>
      <w:bCs/>
    </w:rPr>
  </w:style>
  <w:style w:type="character" w:customStyle="1" w:styleId="Caaieiaie7Ciae">
    <w:name w:val="Caaieiaie 7 Ciae"/>
    <w:uiPriority w:val="99"/>
    <w:rsid w:val="00321279"/>
    <w:rPr>
      <w:rFonts w:cs="Times New Roman"/>
      <w:sz w:val="24"/>
      <w:szCs w:val="24"/>
    </w:rPr>
  </w:style>
  <w:style w:type="character" w:customStyle="1" w:styleId="Caaieiaie1Ciae1">
    <w:name w:val="Caaieiaie 1 Ciae1"/>
    <w:uiPriority w:val="99"/>
    <w:rsid w:val="00321279"/>
    <w:rPr>
      <w:rFonts w:ascii="Cambria" w:hAnsi="Cambria" w:cs="Cambria"/>
      <w:b/>
      <w:bCs/>
      <w:kern w:val="32"/>
      <w:sz w:val="32"/>
      <w:szCs w:val="32"/>
    </w:rPr>
  </w:style>
  <w:style w:type="character" w:customStyle="1" w:styleId="Caaieiaie2Ciae1">
    <w:name w:val="Caaieiaie 2 Ciae1"/>
    <w:uiPriority w:val="99"/>
    <w:rsid w:val="00321279"/>
    <w:rPr>
      <w:rFonts w:ascii="Cambria" w:hAnsi="Cambria" w:cs="Cambria"/>
      <w:b/>
      <w:bCs/>
      <w:i/>
      <w:iCs/>
      <w:sz w:val="28"/>
      <w:szCs w:val="28"/>
    </w:rPr>
  </w:style>
  <w:style w:type="character" w:customStyle="1" w:styleId="Caaieiaie3Ciae1">
    <w:name w:val="Caaieiaie 3 Ciae1"/>
    <w:uiPriority w:val="99"/>
    <w:rsid w:val="00321279"/>
    <w:rPr>
      <w:rFonts w:ascii="Cambria" w:hAnsi="Cambria" w:cs="Cambria"/>
      <w:b/>
      <w:bCs/>
      <w:sz w:val="26"/>
      <w:szCs w:val="26"/>
    </w:rPr>
  </w:style>
  <w:style w:type="character" w:customStyle="1" w:styleId="Caaieiaie4Ciae1">
    <w:name w:val="Caaieiaie 4 Ciae1"/>
    <w:uiPriority w:val="99"/>
    <w:rsid w:val="00321279"/>
    <w:rPr>
      <w:rFonts w:ascii="Times New Roman" w:hAnsi="Times New Roman" w:cs="Times New Roman"/>
      <w:b/>
      <w:bCs/>
      <w:sz w:val="28"/>
      <w:szCs w:val="28"/>
    </w:rPr>
  </w:style>
  <w:style w:type="character" w:customStyle="1" w:styleId="Caaieiaie5Ciae1">
    <w:name w:val="Caaieiaie 5 Ciae1"/>
    <w:uiPriority w:val="99"/>
    <w:rsid w:val="00321279"/>
    <w:rPr>
      <w:rFonts w:cs="Times New Roman"/>
      <w:b/>
      <w:bCs/>
      <w:i/>
      <w:iCs/>
      <w:sz w:val="26"/>
      <w:szCs w:val="26"/>
    </w:rPr>
  </w:style>
  <w:style w:type="character" w:customStyle="1" w:styleId="Caaieiaie6Ciae1">
    <w:name w:val="Caaieiaie 6 Ciae1"/>
    <w:uiPriority w:val="99"/>
    <w:rsid w:val="00321279"/>
    <w:rPr>
      <w:rFonts w:cs="Times New Roman"/>
      <w:b/>
      <w:bCs/>
    </w:rPr>
  </w:style>
  <w:style w:type="character" w:customStyle="1" w:styleId="Caaieiaie7Ciae1">
    <w:name w:val="Caaieiaie 7 Ciae1"/>
    <w:uiPriority w:val="99"/>
    <w:rsid w:val="00321279"/>
    <w:rPr>
      <w:rFonts w:cs="Times New Roman"/>
      <w:sz w:val="24"/>
      <w:szCs w:val="24"/>
    </w:rPr>
  </w:style>
  <w:style w:type="paragraph" w:customStyle="1" w:styleId="Heading5">
    <w:name w:val="Heading5"/>
    <w:basedOn w:val="a1"/>
    <w:uiPriority w:val="99"/>
    <w:rsid w:val="00321279"/>
    <w:pPr>
      <w:autoSpaceDE w:val="0"/>
      <w:autoSpaceDN w:val="0"/>
      <w:adjustRightInd w:val="0"/>
      <w:spacing w:before="100" w:after="100" w:line="240" w:lineRule="auto"/>
    </w:pPr>
    <w:rPr>
      <w:rFonts w:eastAsia="Times New Roman" w:cs="Times New Roman"/>
      <w:b/>
      <w:bCs/>
      <w:i/>
      <w:iCs/>
      <w:szCs w:val="24"/>
      <w:lang w:eastAsia="ru-RU"/>
    </w:rPr>
  </w:style>
  <w:style w:type="paragraph" w:customStyle="1" w:styleId="FitzBullet">
    <w:name w:val="FitzBullet"/>
    <w:basedOn w:val="a1"/>
    <w:rsid w:val="00321279"/>
    <w:pPr>
      <w:shd w:val="clear" w:color="auto" w:fill="FFFFFF"/>
      <w:tabs>
        <w:tab w:val="left" w:pos="317"/>
      </w:tabs>
      <w:autoSpaceDE w:val="0"/>
      <w:autoSpaceDN w:val="0"/>
      <w:adjustRightInd w:val="0"/>
      <w:spacing w:before="60" w:after="60" w:line="240" w:lineRule="auto"/>
      <w:ind w:left="283" w:hanging="283"/>
    </w:pPr>
    <w:rPr>
      <w:rFonts w:eastAsia="Times New Roman" w:cs="Times New Roman"/>
      <w:color w:val="000000"/>
      <w:szCs w:val="24"/>
      <w:lang w:eastAsia="ru-RU"/>
    </w:rPr>
  </w:style>
  <w:style w:type="paragraph" w:customStyle="1" w:styleId="author0">
    <w:name w:val="author"/>
    <w:basedOn w:val="3"/>
    <w:uiPriority w:val="99"/>
    <w:rsid w:val="00321279"/>
    <w:pPr>
      <w:widowControl w:val="0"/>
      <w:shd w:val="clear" w:color="auto" w:fill="FFFFFF"/>
      <w:autoSpaceDE w:val="0"/>
      <w:autoSpaceDN w:val="0"/>
      <w:adjustRightInd w:val="0"/>
      <w:spacing w:after="40" w:line="240" w:lineRule="auto"/>
      <w:jc w:val="left"/>
      <w:outlineLvl w:val="9"/>
    </w:pPr>
    <w:rPr>
      <w:rFonts w:ascii="Arial" w:eastAsia="Times New Roman" w:hAnsi="Arial" w:cs="Arial"/>
      <w:color w:val="auto"/>
      <w:sz w:val="26"/>
      <w:szCs w:val="26"/>
      <w:lang w:val="en-US" w:eastAsia="ru-RU"/>
    </w:rPr>
  </w:style>
  <w:style w:type="paragraph" w:customStyle="1" w:styleId="Bullet-2">
    <w:name w:val="Bullet-2"/>
    <w:basedOn w:val="FitzBullet"/>
    <w:uiPriority w:val="99"/>
    <w:rsid w:val="00321279"/>
    <w:pPr>
      <w:tabs>
        <w:tab w:val="clear" w:pos="317"/>
        <w:tab w:val="left" w:pos="1134"/>
      </w:tabs>
      <w:ind w:left="1417"/>
    </w:pPr>
    <w:rPr>
      <w:lang w:val="en-US"/>
    </w:rPr>
  </w:style>
  <w:style w:type="character" w:customStyle="1" w:styleId="sokr">
    <w:name w:val="sokr"/>
    <w:rsid w:val="00321279"/>
  </w:style>
  <w:style w:type="paragraph" w:customStyle="1" w:styleId="opisdvfld">
    <w:name w:val="opis_dvfld"/>
    <w:basedOn w:val="a1"/>
    <w:rsid w:val="00321279"/>
    <w:pPr>
      <w:spacing w:before="100" w:beforeAutospacing="1" w:after="100" w:afterAutospacing="1" w:line="240" w:lineRule="auto"/>
    </w:pPr>
    <w:rPr>
      <w:rFonts w:eastAsia="Times New Roman" w:cs="Times New Roman"/>
      <w:szCs w:val="24"/>
      <w:lang w:eastAsia="ru-RU"/>
    </w:rPr>
  </w:style>
  <w:style w:type="paragraph" w:customStyle="1" w:styleId="afffff0">
    <w:name w:val="Литература"/>
    <w:basedOn w:val="a1"/>
    <w:qFormat/>
    <w:rsid w:val="00321279"/>
    <w:pPr>
      <w:suppressAutoHyphens/>
      <w:spacing w:after="120" w:line="240" w:lineRule="auto"/>
    </w:pPr>
    <w:rPr>
      <w:rFonts w:eastAsia="Calibri" w:cs="Times New Roman"/>
      <w:i/>
      <w:kern w:val="2"/>
      <w:szCs w:val="24"/>
      <w:lang w:val="en-US"/>
    </w:rPr>
  </w:style>
  <w:style w:type="character" w:customStyle="1" w:styleId="cit">
    <w:name w:val="cit"/>
    <w:basedOn w:val="a4"/>
    <w:rsid w:val="00321279"/>
  </w:style>
  <w:style w:type="character" w:customStyle="1" w:styleId="al-author-delim">
    <w:name w:val="al-author-delim"/>
    <w:basedOn w:val="a4"/>
    <w:rsid w:val="00321279"/>
  </w:style>
  <w:style w:type="character" w:styleId="afffff1">
    <w:name w:val="line number"/>
    <w:basedOn w:val="a4"/>
    <w:uiPriority w:val="99"/>
    <w:semiHidden/>
    <w:unhideWhenUsed/>
    <w:rsid w:val="00321279"/>
  </w:style>
  <w:style w:type="character" w:customStyle="1" w:styleId="author-sup-separator">
    <w:name w:val="author-sup-separator"/>
    <w:rsid w:val="00321279"/>
  </w:style>
  <w:style w:type="character" w:customStyle="1" w:styleId="comma">
    <w:name w:val="comma"/>
    <w:rsid w:val="00321279"/>
  </w:style>
  <w:style w:type="character" w:customStyle="1" w:styleId="citation-doi">
    <w:name w:val="citation-doi"/>
    <w:rsid w:val="00321279"/>
  </w:style>
  <w:style w:type="character" w:customStyle="1" w:styleId="st">
    <w:name w:val="st"/>
    <w:rsid w:val="00321279"/>
  </w:style>
  <w:style w:type="character" w:customStyle="1" w:styleId="2d">
    <w:name w:val="Строгий2"/>
    <w:rsid w:val="00321279"/>
  </w:style>
  <w:style w:type="character" w:customStyle="1" w:styleId="pagelast">
    <w:name w:val="pagelast"/>
    <w:uiPriority w:val="99"/>
    <w:rsid w:val="00321279"/>
    <w:rPr>
      <w:rFonts w:cs="Times New Roman"/>
    </w:rPr>
  </w:style>
  <w:style w:type="paragraph" w:customStyle="1" w:styleId="Autor">
    <w:name w:val="Autor"/>
    <w:basedOn w:val="a1"/>
    <w:rsid w:val="00321279"/>
    <w:pPr>
      <w:widowControl w:val="0"/>
      <w:shd w:val="clear" w:color="auto" w:fill="FFFFFF"/>
      <w:overflowPunct w:val="0"/>
      <w:autoSpaceDE w:val="0"/>
      <w:autoSpaceDN w:val="0"/>
      <w:adjustRightInd w:val="0"/>
      <w:spacing w:before="120" w:line="240" w:lineRule="atLeast"/>
      <w:textAlignment w:val="baseline"/>
    </w:pPr>
    <w:rPr>
      <w:rFonts w:eastAsia="Calibri" w:cs="Times New Roman"/>
      <w:i/>
      <w:iCs/>
      <w:sz w:val="22"/>
      <w:lang w:val="en-US" w:eastAsia="ru-RU"/>
    </w:rPr>
  </w:style>
  <w:style w:type="paragraph" w:customStyle="1" w:styleId="table-name">
    <w:name w:val="table-name"/>
    <w:basedOn w:val="a1"/>
    <w:rsid w:val="00321279"/>
    <w:pPr>
      <w:autoSpaceDE w:val="0"/>
      <w:autoSpaceDN w:val="0"/>
      <w:adjustRightInd w:val="0"/>
      <w:spacing w:before="40" w:line="240" w:lineRule="auto"/>
      <w:ind w:firstLine="425"/>
    </w:pPr>
    <w:rPr>
      <w:rFonts w:eastAsia="Times New Roman" w:cs="Times New Roman"/>
      <w:b/>
      <w:bCs/>
      <w:color w:val="000000"/>
      <w:sz w:val="20"/>
      <w:szCs w:val="20"/>
      <w:lang w:val="en-US" w:eastAsia="ru-RU"/>
    </w:rPr>
  </w:style>
  <w:style w:type="paragraph" w:customStyle="1" w:styleId="Table-head-italic">
    <w:name w:val="Table-head-italic"/>
    <w:basedOn w:val="a1"/>
    <w:rsid w:val="00321279"/>
    <w:pPr>
      <w:widowControl w:val="0"/>
      <w:shd w:val="clear" w:color="auto" w:fill="FFFFFF"/>
      <w:autoSpaceDE w:val="0"/>
      <w:autoSpaceDN w:val="0"/>
      <w:adjustRightInd w:val="0"/>
      <w:spacing w:line="240" w:lineRule="auto"/>
    </w:pPr>
    <w:rPr>
      <w:rFonts w:eastAsia="Times New Roman" w:cs="Times New Roman"/>
      <w:i/>
      <w:iCs/>
      <w:sz w:val="18"/>
      <w:szCs w:val="18"/>
      <w:lang w:val="en-US" w:eastAsia="ru-RU"/>
    </w:rPr>
  </w:style>
  <w:style w:type="paragraph" w:customStyle="1" w:styleId="table-text-0">
    <w:name w:val="table-text-0"/>
    <w:basedOn w:val="a1"/>
    <w:rsid w:val="00321279"/>
    <w:pPr>
      <w:autoSpaceDE w:val="0"/>
      <w:autoSpaceDN w:val="0"/>
      <w:adjustRightInd w:val="0"/>
      <w:spacing w:before="40" w:line="240" w:lineRule="auto"/>
      <w:ind w:left="113" w:firstLine="425"/>
    </w:pPr>
    <w:rPr>
      <w:rFonts w:eastAsia="Times New Roman" w:cs="Times New Roman"/>
      <w:sz w:val="20"/>
      <w:szCs w:val="20"/>
      <w:lang w:val="en-US" w:eastAsia="ru-RU"/>
    </w:rPr>
  </w:style>
  <w:style w:type="paragraph" w:customStyle="1" w:styleId="FitzFootnote">
    <w:name w:val="FitzFootnote"/>
    <w:basedOn w:val="a1"/>
    <w:rsid w:val="00321279"/>
    <w:pPr>
      <w:shd w:val="clear" w:color="auto" w:fill="FFFFFF"/>
      <w:autoSpaceDE w:val="0"/>
      <w:autoSpaceDN w:val="0"/>
      <w:adjustRightInd w:val="0"/>
      <w:spacing w:before="60" w:after="60" w:line="240" w:lineRule="auto"/>
    </w:pPr>
    <w:rPr>
      <w:rFonts w:eastAsia="Times New Roman" w:cs="Times New Roman"/>
      <w:color w:val="000000"/>
      <w:sz w:val="18"/>
      <w:szCs w:val="18"/>
      <w:lang w:val="en-US" w:eastAsia="ru-RU"/>
    </w:rPr>
  </w:style>
  <w:style w:type="paragraph" w:customStyle="1" w:styleId="table-text-1">
    <w:name w:val="table-text-1"/>
    <w:basedOn w:val="a1"/>
    <w:rsid w:val="00321279"/>
    <w:pPr>
      <w:overflowPunct w:val="0"/>
      <w:autoSpaceDE w:val="0"/>
      <w:autoSpaceDN w:val="0"/>
      <w:adjustRightInd w:val="0"/>
      <w:spacing w:before="40" w:after="40" w:line="240" w:lineRule="auto"/>
      <w:ind w:left="340" w:hanging="170"/>
      <w:textAlignment w:val="baseline"/>
    </w:pPr>
    <w:rPr>
      <w:rFonts w:eastAsia="Times New Roman" w:cs="Times New Roman"/>
      <w:color w:val="000000"/>
      <w:sz w:val="17"/>
      <w:szCs w:val="20"/>
      <w:lang w:eastAsia="ru-RU"/>
    </w:rPr>
  </w:style>
  <w:style w:type="paragraph" w:customStyle="1" w:styleId="formula">
    <w:name w:val="formula"/>
    <w:basedOn w:val="a1"/>
    <w:rsid w:val="00321279"/>
    <w:pPr>
      <w:shd w:val="clear" w:color="auto" w:fill="FFFFFF"/>
      <w:tabs>
        <w:tab w:val="left" w:pos="394"/>
      </w:tabs>
      <w:overflowPunct w:val="0"/>
      <w:autoSpaceDE w:val="0"/>
      <w:autoSpaceDN w:val="0"/>
      <w:adjustRightInd w:val="0"/>
      <w:spacing w:before="60" w:after="60" w:line="240" w:lineRule="auto"/>
      <w:ind w:firstLine="227"/>
      <w:textAlignment w:val="baseline"/>
    </w:pPr>
    <w:rPr>
      <w:rFonts w:eastAsia="Times New Roman" w:cs="Times New Roman"/>
      <w:sz w:val="20"/>
      <w:szCs w:val="20"/>
      <w:lang w:eastAsia="ru-RU"/>
    </w:rPr>
  </w:style>
  <w:style w:type="paragraph" w:customStyle="1" w:styleId="1ff1">
    <w:name w:val="Обычный (веб)1"/>
    <w:basedOn w:val="a1"/>
    <w:uiPriority w:val="99"/>
    <w:unhideWhenUsed/>
    <w:qFormat/>
    <w:rsid w:val="00321279"/>
    <w:pPr>
      <w:spacing w:beforeAutospacing="1" w:afterAutospacing="1" w:line="288" w:lineRule="auto"/>
    </w:pPr>
    <w:rPr>
      <w:rFonts w:eastAsia="Times New Roman" w:cs="Times New Roman"/>
      <w:szCs w:val="24"/>
      <w:lang w:eastAsia="ru-RU"/>
    </w:rPr>
  </w:style>
  <w:style w:type="character" w:customStyle="1" w:styleId="highlight1">
    <w:name w:val="highlight1"/>
    <w:basedOn w:val="a4"/>
    <w:rsid w:val="00321279"/>
  </w:style>
  <w:style w:type="character" w:customStyle="1" w:styleId="element-citation">
    <w:name w:val="element-citation"/>
    <w:basedOn w:val="a4"/>
    <w:rsid w:val="00321279"/>
  </w:style>
  <w:style w:type="character" w:customStyle="1" w:styleId="ref-journal">
    <w:name w:val="ref-journal"/>
    <w:basedOn w:val="a4"/>
    <w:rsid w:val="00321279"/>
  </w:style>
  <w:style w:type="character" w:customStyle="1" w:styleId="ref-vol">
    <w:name w:val="ref-vol"/>
    <w:basedOn w:val="a4"/>
    <w:rsid w:val="00321279"/>
  </w:style>
  <w:style w:type="character" w:customStyle="1" w:styleId="nowrap">
    <w:name w:val="nowrap"/>
    <w:basedOn w:val="a4"/>
    <w:rsid w:val="00321279"/>
  </w:style>
  <w:style w:type="paragraph" w:customStyle="1" w:styleId="1ff2">
    <w:name w:val="Заголовок оглавления1"/>
    <w:basedOn w:val="11"/>
    <w:qFormat/>
    <w:rsid w:val="00321279"/>
    <w:pPr>
      <w:suppressAutoHyphens w:val="0"/>
      <w:spacing w:after="120" w:line="276" w:lineRule="auto"/>
    </w:pPr>
    <w:rPr>
      <w:rFonts w:eastAsia="Times New Roman"/>
      <w:sz w:val="22"/>
      <w:szCs w:val="20"/>
      <w:u w:val="none"/>
    </w:rPr>
  </w:style>
  <w:style w:type="paragraph" w:customStyle="1" w:styleId="36">
    <w:name w:val="3"/>
    <w:basedOn w:val="a1"/>
    <w:link w:val="37"/>
    <w:qFormat/>
    <w:rsid w:val="00321279"/>
    <w:pPr>
      <w:ind w:left="142"/>
      <w:contextualSpacing/>
    </w:pPr>
    <w:rPr>
      <w:rFonts w:eastAsia="Calibri" w:cs="Times New Roman"/>
    </w:rPr>
  </w:style>
  <w:style w:type="character" w:customStyle="1" w:styleId="37">
    <w:name w:val="3 Знак"/>
    <w:basedOn w:val="a4"/>
    <w:link w:val="36"/>
    <w:rsid w:val="00321279"/>
    <w:rPr>
      <w:rFonts w:ascii="Times New Roman" w:eastAsia="Calibri" w:hAnsi="Times New Roman" w:cs="Times New Roman"/>
      <w:sz w:val="24"/>
    </w:rPr>
  </w:style>
  <w:style w:type="paragraph" w:styleId="42">
    <w:name w:val="toc 4"/>
    <w:basedOn w:val="a1"/>
    <w:next w:val="a1"/>
    <w:autoRedefine/>
    <w:unhideWhenUsed/>
    <w:rsid w:val="00321279"/>
    <w:pPr>
      <w:ind w:left="720" w:firstLine="709"/>
    </w:pPr>
    <w:rPr>
      <w:rFonts w:asciiTheme="minorHAnsi" w:eastAsia="Calibri" w:hAnsiTheme="minorHAnsi" w:cs="Times New Roman"/>
      <w:sz w:val="20"/>
      <w:szCs w:val="20"/>
    </w:rPr>
  </w:style>
  <w:style w:type="paragraph" w:styleId="52">
    <w:name w:val="toc 5"/>
    <w:basedOn w:val="a1"/>
    <w:next w:val="a1"/>
    <w:autoRedefine/>
    <w:unhideWhenUsed/>
    <w:rsid w:val="00321279"/>
    <w:pPr>
      <w:ind w:left="960" w:firstLine="709"/>
    </w:pPr>
    <w:rPr>
      <w:rFonts w:asciiTheme="minorHAnsi" w:eastAsia="Calibri" w:hAnsiTheme="minorHAnsi" w:cs="Times New Roman"/>
      <w:sz w:val="20"/>
      <w:szCs w:val="20"/>
    </w:rPr>
  </w:style>
  <w:style w:type="paragraph" w:styleId="61">
    <w:name w:val="toc 6"/>
    <w:basedOn w:val="a1"/>
    <w:next w:val="a1"/>
    <w:autoRedefine/>
    <w:unhideWhenUsed/>
    <w:rsid w:val="00321279"/>
    <w:pPr>
      <w:ind w:left="1200" w:firstLine="709"/>
    </w:pPr>
    <w:rPr>
      <w:rFonts w:asciiTheme="minorHAnsi" w:eastAsia="Calibri" w:hAnsiTheme="minorHAnsi" w:cs="Times New Roman"/>
      <w:sz w:val="20"/>
      <w:szCs w:val="20"/>
    </w:rPr>
  </w:style>
  <w:style w:type="paragraph" w:styleId="72">
    <w:name w:val="toc 7"/>
    <w:basedOn w:val="a1"/>
    <w:next w:val="a1"/>
    <w:autoRedefine/>
    <w:unhideWhenUsed/>
    <w:rsid w:val="00321279"/>
    <w:pPr>
      <w:ind w:left="1440" w:firstLine="709"/>
    </w:pPr>
    <w:rPr>
      <w:rFonts w:asciiTheme="minorHAnsi" w:eastAsia="Calibri" w:hAnsiTheme="minorHAnsi" w:cs="Times New Roman"/>
      <w:sz w:val="20"/>
      <w:szCs w:val="20"/>
    </w:rPr>
  </w:style>
  <w:style w:type="paragraph" w:styleId="82">
    <w:name w:val="toc 8"/>
    <w:basedOn w:val="a1"/>
    <w:next w:val="a1"/>
    <w:autoRedefine/>
    <w:unhideWhenUsed/>
    <w:rsid w:val="00321279"/>
    <w:pPr>
      <w:ind w:left="1680" w:firstLine="709"/>
    </w:pPr>
    <w:rPr>
      <w:rFonts w:asciiTheme="minorHAnsi" w:eastAsia="Calibri" w:hAnsiTheme="minorHAnsi" w:cs="Times New Roman"/>
      <w:sz w:val="20"/>
      <w:szCs w:val="20"/>
    </w:rPr>
  </w:style>
  <w:style w:type="paragraph" w:styleId="92">
    <w:name w:val="toc 9"/>
    <w:basedOn w:val="a1"/>
    <w:next w:val="a1"/>
    <w:autoRedefine/>
    <w:unhideWhenUsed/>
    <w:rsid w:val="00321279"/>
    <w:pPr>
      <w:ind w:left="1920" w:firstLine="709"/>
    </w:pPr>
    <w:rPr>
      <w:rFonts w:asciiTheme="minorHAnsi" w:eastAsia="Calibri" w:hAnsiTheme="minorHAnsi" w:cs="Times New Roman"/>
      <w:sz w:val="20"/>
      <w:szCs w:val="20"/>
    </w:rPr>
  </w:style>
  <w:style w:type="paragraph" w:customStyle="1" w:styleId="table-head-bold">
    <w:name w:val="table-head-bold"/>
    <w:basedOn w:val="a1"/>
    <w:uiPriority w:val="99"/>
    <w:rsid w:val="00321279"/>
    <w:pPr>
      <w:autoSpaceDE w:val="0"/>
      <w:autoSpaceDN w:val="0"/>
      <w:adjustRightInd w:val="0"/>
      <w:spacing w:before="40"/>
    </w:pPr>
    <w:rPr>
      <w:rFonts w:eastAsia="Calibri" w:cs="Times New Roman"/>
      <w:b/>
      <w:bCs/>
      <w:sz w:val="20"/>
      <w:szCs w:val="20"/>
      <w:lang w:eastAsia="ru-RU"/>
    </w:rPr>
  </w:style>
  <w:style w:type="paragraph" w:customStyle="1" w:styleId="table-ref">
    <w:name w:val="table-ref"/>
    <w:basedOn w:val="a1"/>
    <w:uiPriority w:val="99"/>
    <w:rsid w:val="00321279"/>
    <w:pPr>
      <w:shd w:val="clear" w:color="auto" w:fill="FFFFFF"/>
      <w:tabs>
        <w:tab w:val="left" w:pos="394"/>
      </w:tabs>
      <w:overflowPunct w:val="0"/>
      <w:autoSpaceDE w:val="0"/>
      <w:autoSpaceDN w:val="0"/>
      <w:adjustRightInd w:val="0"/>
      <w:spacing w:before="40" w:after="40"/>
      <w:ind w:left="10" w:firstLine="284"/>
      <w:textAlignment w:val="baseline"/>
    </w:pPr>
    <w:rPr>
      <w:rFonts w:eastAsia="Calibri" w:cs="Times New Roman"/>
      <w:color w:val="000000"/>
      <w:spacing w:val="-5"/>
      <w:sz w:val="15"/>
      <w:szCs w:val="20"/>
      <w:lang w:eastAsia="ru-RU"/>
    </w:rPr>
  </w:style>
  <w:style w:type="paragraph" w:customStyle="1" w:styleId="1ff3">
    <w:name w:val="Обычный1"/>
    <w:rsid w:val="00321279"/>
    <w:pPr>
      <w:widowControl w:val="0"/>
      <w:overflowPunct w:val="0"/>
      <w:autoSpaceDE w:val="0"/>
      <w:autoSpaceDN w:val="0"/>
      <w:adjustRightInd w:val="0"/>
      <w:textAlignment w:val="baseline"/>
    </w:pPr>
    <w:rPr>
      <w:rFonts w:ascii="Times New Roman" w:eastAsia="Times New Roman" w:hAnsi="Times New Roman" w:cs="Times New Roman"/>
      <w:szCs w:val="20"/>
      <w:lang w:eastAsia="ru-RU"/>
    </w:rPr>
  </w:style>
  <w:style w:type="paragraph" w:customStyle="1" w:styleId="bullet">
    <w:name w:val="bullet"/>
    <w:uiPriority w:val="99"/>
    <w:rsid w:val="00321279"/>
    <w:pPr>
      <w:shd w:val="clear" w:color="auto" w:fill="FFFFFF"/>
      <w:tabs>
        <w:tab w:val="left" w:pos="360"/>
        <w:tab w:val="left" w:pos="394"/>
        <w:tab w:val="left" w:pos="1364"/>
      </w:tabs>
      <w:ind w:firstLine="397"/>
    </w:pPr>
    <w:rPr>
      <w:rFonts w:ascii="Times New Roman" w:eastAsia="Arial Unicode MS" w:hAnsi="Times New Roman" w:cs="Arial Unicode MS"/>
      <w:color w:val="000000"/>
      <w:spacing w:val="-7"/>
      <w:sz w:val="24"/>
      <w:szCs w:val="24"/>
      <w:u w:color="000000"/>
      <w:lang w:eastAsia="ru-RU"/>
    </w:rPr>
  </w:style>
  <w:style w:type="paragraph" w:customStyle="1" w:styleId="Literature">
    <w:name w:val="Literature"/>
    <w:uiPriority w:val="99"/>
    <w:rsid w:val="00321279"/>
    <w:pPr>
      <w:shd w:val="clear" w:color="auto" w:fill="FFFFFF"/>
      <w:tabs>
        <w:tab w:val="left" w:pos="1068"/>
      </w:tabs>
      <w:spacing w:before="5"/>
      <w:ind w:left="720" w:hanging="360"/>
    </w:pPr>
    <w:rPr>
      <w:rFonts w:ascii="Times New Roman" w:eastAsia="Arial Unicode MS" w:hAnsi="Times New Roman" w:cs="Arial Unicode MS"/>
      <w:color w:val="000000"/>
      <w:spacing w:val="-1"/>
      <w:sz w:val="24"/>
      <w:szCs w:val="24"/>
      <w:u w:color="000000"/>
      <w:lang w:eastAsia="ru-RU"/>
    </w:rPr>
  </w:style>
  <w:style w:type="numbering" w:customStyle="1" w:styleId="1">
    <w:name w:val="Импортированный стиль 1"/>
    <w:rsid w:val="00321279"/>
    <w:pPr>
      <w:numPr>
        <w:numId w:val="20"/>
      </w:numPr>
    </w:pPr>
  </w:style>
  <w:style w:type="character" w:customStyle="1" w:styleId="html-italic">
    <w:name w:val="html-italic"/>
    <w:basedOn w:val="a4"/>
    <w:rsid w:val="00321279"/>
  </w:style>
  <w:style w:type="character" w:customStyle="1" w:styleId="highwire-cite-metadata-volume">
    <w:name w:val="highwire-cite-metadata-volume"/>
    <w:basedOn w:val="a4"/>
    <w:rsid w:val="00321279"/>
  </w:style>
  <w:style w:type="character" w:customStyle="1" w:styleId="infolabel">
    <w:name w:val="info_label"/>
    <w:basedOn w:val="a4"/>
    <w:rsid w:val="00321279"/>
  </w:style>
  <w:style w:type="character" w:customStyle="1" w:styleId="infovalue">
    <w:name w:val="info_value"/>
    <w:basedOn w:val="a4"/>
    <w:rsid w:val="00321279"/>
  </w:style>
  <w:style w:type="paragraph" w:customStyle="1" w:styleId="table-head-left">
    <w:name w:val="table-head-left"/>
    <w:basedOn w:val="a1"/>
    <w:uiPriority w:val="99"/>
    <w:rsid w:val="00321279"/>
    <w:pPr>
      <w:widowControl w:val="0"/>
      <w:shd w:val="clear" w:color="auto" w:fill="FFFFFF"/>
      <w:tabs>
        <w:tab w:val="left" w:pos="394"/>
      </w:tabs>
      <w:overflowPunct w:val="0"/>
      <w:autoSpaceDE w:val="0"/>
      <w:autoSpaceDN w:val="0"/>
      <w:adjustRightInd w:val="0"/>
      <w:spacing w:before="40" w:after="40"/>
      <w:ind w:left="57" w:hanging="57"/>
      <w:textAlignment w:val="baseline"/>
    </w:pPr>
    <w:rPr>
      <w:rFonts w:eastAsia="Arial Unicode MS" w:cs="Times New Roman"/>
      <w:color w:val="000000"/>
      <w:spacing w:val="-5"/>
      <w:sz w:val="17"/>
      <w:szCs w:val="20"/>
      <w:lang w:eastAsia="ru-RU"/>
    </w:rPr>
  </w:style>
  <w:style w:type="paragraph" w:customStyle="1" w:styleId="Insert">
    <w:name w:val="Insert"/>
    <w:basedOn w:val="a1"/>
    <w:autoRedefine/>
    <w:rsid w:val="00321279"/>
    <w:pPr>
      <w:widowControl w:val="0"/>
      <w:overflowPunct w:val="0"/>
      <w:autoSpaceDE w:val="0"/>
      <w:autoSpaceDN w:val="0"/>
      <w:adjustRightInd w:val="0"/>
      <w:spacing w:line="264" w:lineRule="auto"/>
      <w:ind w:left="397" w:firstLine="425"/>
      <w:textAlignment w:val="baseline"/>
    </w:pPr>
    <w:rPr>
      <w:rFonts w:eastAsia="Times New Roman" w:cs="Times New Roman"/>
      <w:color w:val="000000"/>
      <w:szCs w:val="20"/>
      <w:lang w:val="en-US" w:eastAsia="ru-RU"/>
    </w:rPr>
  </w:style>
  <w:style w:type="paragraph" w:customStyle="1" w:styleId="Number2">
    <w:name w:val="Number2"/>
    <w:basedOn w:val="Number1"/>
    <w:rsid w:val="00321279"/>
    <w:pPr>
      <w:spacing w:line="264" w:lineRule="auto"/>
      <w:ind w:left="426" w:hanging="142"/>
    </w:pPr>
  </w:style>
  <w:style w:type="paragraph" w:customStyle="1" w:styleId="figure">
    <w:name w:val="figure"/>
    <w:basedOn w:val="a1"/>
    <w:rsid w:val="00321279"/>
    <w:pPr>
      <w:overflowPunct w:val="0"/>
      <w:autoSpaceDE w:val="0"/>
      <w:autoSpaceDN w:val="0"/>
      <w:adjustRightInd w:val="0"/>
      <w:spacing w:before="240" w:after="40" w:line="264" w:lineRule="auto"/>
      <w:ind w:firstLine="425"/>
      <w:textAlignment w:val="baseline"/>
    </w:pPr>
    <w:rPr>
      <w:rFonts w:eastAsia="Times New Roman" w:cs="Times New Roman"/>
      <w:szCs w:val="20"/>
      <w:lang w:eastAsia="ru-RU"/>
    </w:rPr>
  </w:style>
  <w:style w:type="paragraph" w:customStyle="1" w:styleId="author-1">
    <w:name w:val="author-1"/>
    <w:basedOn w:val="Author"/>
    <w:rsid w:val="00321279"/>
    <w:pPr>
      <w:keepNext/>
      <w:keepLines/>
      <w:overflowPunct/>
      <w:spacing w:before="60" w:after="120" w:line="264" w:lineRule="auto"/>
      <w:ind w:firstLine="425"/>
      <w:jc w:val="right"/>
      <w:textAlignment w:val="auto"/>
    </w:pPr>
    <w:rPr>
      <w:b/>
      <w:iCs/>
      <w:noProof/>
      <w:color w:val="000000"/>
      <w:sz w:val="20"/>
      <w:lang w:val="en-US"/>
    </w:rPr>
  </w:style>
  <w:style w:type="paragraph" w:customStyle="1" w:styleId="Insert1">
    <w:name w:val="Insert 1"/>
    <w:basedOn w:val="Insert"/>
    <w:rsid w:val="00321279"/>
    <w:pPr>
      <w:ind w:left="0"/>
    </w:pPr>
    <w:rPr>
      <w:sz w:val="20"/>
      <w:lang w:val="ru-RU"/>
    </w:rPr>
  </w:style>
  <w:style w:type="paragraph" w:customStyle="1" w:styleId="Bullit-2">
    <w:name w:val="Bullit-2"/>
    <w:basedOn w:val="a1"/>
    <w:rsid w:val="00321279"/>
    <w:pPr>
      <w:tabs>
        <w:tab w:val="left" w:pos="0"/>
        <w:tab w:val="left" w:pos="1160"/>
      </w:tabs>
      <w:autoSpaceDE w:val="0"/>
      <w:autoSpaceDN w:val="0"/>
      <w:adjustRightInd w:val="0"/>
      <w:spacing w:line="264" w:lineRule="auto"/>
      <w:ind w:left="754" w:hanging="357"/>
    </w:pPr>
    <w:rPr>
      <w:rFonts w:eastAsia="MS Mincho" w:cs="Times New Roman"/>
      <w:color w:val="000000"/>
      <w:lang w:val="en-US" w:eastAsia="ja-JP"/>
    </w:rPr>
  </w:style>
  <w:style w:type="character" w:customStyle="1" w:styleId="extended-textshort">
    <w:name w:val="extended-text__short"/>
    <w:basedOn w:val="a4"/>
    <w:rsid w:val="00321279"/>
  </w:style>
  <w:style w:type="paragraph" w:customStyle="1" w:styleId="Normalfirst">
    <w:name w:val="Normalfirst"/>
    <w:basedOn w:val="a1"/>
    <w:rsid w:val="00321279"/>
    <w:pPr>
      <w:autoSpaceDE w:val="0"/>
      <w:autoSpaceDN w:val="0"/>
      <w:adjustRightInd w:val="0"/>
      <w:spacing w:line="240" w:lineRule="auto"/>
    </w:pPr>
    <w:rPr>
      <w:rFonts w:eastAsia="MS Mincho" w:cs="Times New Roman"/>
      <w:szCs w:val="24"/>
      <w:lang w:eastAsia="ja-JP"/>
    </w:rPr>
  </w:style>
  <w:style w:type="paragraph" w:customStyle="1" w:styleId="xl68">
    <w:name w:val="xl68"/>
    <w:basedOn w:val="a1"/>
    <w:rsid w:val="00321279"/>
    <w:pPr>
      <w:spacing w:before="100" w:beforeAutospacing="1" w:after="100" w:afterAutospacing="1" w:line="240" w:lineRule="auto"/>
    </w:pPr>
    <w:rPr>
      <w:rFonts w:eastAsia="Times New Roman" w:cs="Times New Roman"/>
      <w:szCs w:val="24"/>
      <w:lang w:eastAsia="ru-RU"/>
    </w:rPr>
  </w:style>
  <w:style w:type="paragraph" w:customStyle="1" w:styleId="xl69">
    <w:name w:val="xl69"/>
    <w:basedOn w:val="a1"/>
    <w:rsid w:val="0032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0">
    <w:name w:val="xl70"/>
    <w:basedOn w:val="a1"/>
    <w:rsid w:val="0032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1">
    <w:name w:val="xl71"/>
    <w:basedOn w:val="a1"/>
    <w:rsid w:val="003212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1"/>
    <w:rsid w:val="0032127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66">
    <w:name w:val="xl66"/>
    <w:basedOn w:val="a1"/>
    <w:rsid w:val="0032127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67">
    <w:name w:val="xl67"/>
    <w:basedOn w:val="a1"/>
    <w:rsid w:val="00321279"/>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ru-RU"/>
    </w:rPr>
  </w:style>
  <w:style w:type="paragraph" w:customStyle="1" w:styleId="Standard">
    <w:name w:val="Standard"/>
    <w:rsid w:val="00321279"/>
    <w:pPr>
      <w:suppressAutoHyphens/>
      <w:autoSpaceDN w:val="0"/>
      <w:spacing w:line="264" w:lineRule="auto"/>
      <w:ind w:firstLine="425"/>
      <w:textAlignment w:val="baseline"/>
    </w:pPr>
    <w:rPr>
      <w:rFonts w:ascii="Times New Roman" w:eastAsia="Times New Roman" w:hAnsi="Times New Roman" w:cs="Times New Roman"/>
      <w:kern w:val="3"/>
      <w:sz w:val="24"/>
      <w:szCs w:val="20"/>
      <w:lang w:val="en-GB" w:eastAsia="ru-RU"/>
    </w:rPr>
  </w:style>
  <w:style w:type="character" w:customStyle="1" w:styleId="fontstyle01">
    <w:name w:val="fontstyle01"/>
    <w:rsid w:val="00321279"/>
    <w:rPr>
      <w:rFonts w:ascii="TimesNewRomanPS-ItalicMT" w:hAnsi="TimesNewRomanPS-ItalicMT" w:hint="default"/>
      <w:b w:val="0"/>
      <w:bCs w:val="0"/>
      <w:i/>
      <w:iCs/>
      <w:color w:val="FFFFFF"/>
      <w:sz w:val="32"/>
      <w:szCs w:val="32"/>
    </w:rPr>
  </w:style>
  <w:style w:type="character" w:customStyle="1" w:styleId="UnresolvedMention">
    <w:name w:val="Unresolved Mention"/>
    <w:uiPriority w:val="99"/>
    <w:semiHidden/>
    <w:unhideWhenUsed/>
    <w:rsid w:val="00321279"/>
    <w:rPr>
      <w:color w:val="605E5C"/>
      <w:shd w:val="clear" w:color="auto" w:fill="E1DFDD"/>
    </w:rPr>
  </w:style>
  <w:style w:type="paragraph" w:customStyle="1" w:styleId="afffff2">
    <w:basedOn w:val="a1"/>
    <w:next w:val="afd"/>
    <w:uiPriority w:val="99"/>
    <w:unhideWhenUsed/>
    <w:rsid w:val="002B4D7E"/>
    <w:pPr>
      <w:spacing w:before="100" w:beforeAutospacing="1" w:after="100" w:afterAutospacing="1" w:line="240" w:lineRule="auto"/>
    </w:pPr>
    <w:rPr>
      <w:rFonts w:eastAsia="Times New Roman" w:cs="Times New Roman"/>
      <w:szCs w:val="24"/>
      <w:lang w:eastAsia="ru-RU"/>
    </w:rPr>
  </w:style>
  <w:style w:type="character" w:customStyle="1" w:styleId="tw4winMark">
    <w:name w:val="tw4winMark"/>
    <w:uiPriority w:val="99"/>
    <w:rsid w:val="00824BFE"/>
    <w:rPr>
      <w:rFonts w:ascii="Courier New" w:hAnsi="Courier New"/>
      <w:vanish/>
      <w:color w:val="800080"/>
      <w:sz w:val="24"/>
      <w:vertAlign w:val="subscript"/>
    </w:rPr>
  </w:style>
  <w:style w:type="character" w:customStyle="1" w:styleId="tw4winError">
    <w:name w:val="tw4winError"/>
    <w:uiPriority w:val="99"/>
    <w:rsid w:val="00824BFE"/>
    <w:rPr>
      <w:rFonts w:ascii="Courier New" w:hAnsi="Courier New"/>
      <w:color w:val="00FF00"/>
      <w:sz w:val="40"/>
    </w:rPr>
  </w:style>
  <w:style w:type="character" w:customStyle="1" w:styleId="tw4winTerm">
    <w:name w:val="tw4winTerm"/>
    <w:uiPriority w:val="99"/>
    <w:rsid w:val="00824BFE"/>
    <w:rPr>
      <w:color w:val="0000FF"/>
    </w:rPr>
  </w:style>
  <w:style w:type="character" w:customStyle="1" w:styleId="tw4winPopup">
    <w:name w:val="tw4winPopup"/>
    <w:uiPriority w:val="99"/>
    <w:rsid w:val="00824BFE"/>
    <w:rPr>
      <w:rFonts w:ascii="Courier New" w:hAnsi="Courier New"/>
      <w:noProof/>
      <w:color w:val="008000"/>
    </w:rPr>
  </w:style>
  <w:style w:type="character" w:customStyle="1" w:styleId="tw4winJump">
    <w:name w:val="tw4winJump"/>
    <w:uiPriority w:val="99"/>
    <w:rsid w:val="00824BFE"/>
    <w:rPr>
      <w:rFonts w:ascii="Courier New" w:hAnsi="Courier New"/>
      <w:noProof/>
      <w:color w:val="008080"/>
    </w:rPr>
  </w:style>
  <w:style w:type="character" w:customStyle="1" w:styleId="tw4winExternal">
    <w:name w:val="tw4winExternal"/>
    <w:uiPriority w:val="99"/>
    <w:rsid w:val="00824BFE"/>
    <w:rPr>
      <w:rFonts w:ascii="Courier New" w:hAnsi="Courier New"/>
      <w:noProof/>
      <w:color w:val="808080"/>
    </w:rPr>
  </w:style>
  <w:style w:type="character" w:customStyle="1" w:styleId="tw4winInternal">
    <w:name w:val="tw4winInternal"/>
    <w:uiPriority w:val="99"/>
    <w:rsid w:val="00824BFE"/>
    <w:rPr>
      <w:rFonts w:ascii="Courier New" w:hAnsi="Courier New"/>
      <w:noProof/>
      <w:color w:val="FF0000"/>
    </w:rPr>
  </w:style>
  <w:style w:type="character" w:customStyle="1" w:styleId="DONOTTRANSLATE">
    <w:name w:val="DO_NOT_TRANSLATE"/>
    <w:uiPriority w:val="99"/>
    <w:rsid w:val="00824BFE"/>
    <w:rPr>
      <w:rFonts w:ascii="Courier New" w:hAnsi="Courier New"/>
      <w:noProof/>
      <w:color w:val="800000"/>
    </w:rPr>
  </w:style>
  <w:style w:type="character" w:customStyle="1" w:styleId="WW8Num1z0">
    <w:name w:val="WW8Num1z0"/>
    <w:rsid w:val="00824BFE"/>
  </w:style>
  <w:style w:type="character" w:customStyle="1" w:styleId="WW8Num1z1">
    <w:name w:val="WW8Num1z1"/>
    <w:rsid w:val="00824BFE"/>
  </w:style>
  <w:style w:type="character" w:customStyle="1" w:styleId="WW8Num1z2">
    <w:name w:val="WW8Num1z2"/>
    <w:rsid w:val="00824BFE"/>
  </w:style>
  <w:style w:type="character" w:customStyle="1" w:styleId="WW8Num1z3">
    <w:name w:val="WW8Num1z3"/>
    <w:rsid w:val="00824BFE"/>
  </w:style>
  <w:style w:type="character" w:customStyle="1" w:styleId="WW8Num1z4">
    <w:name w:val="WW8Num1z4"/>
    <w:rsid w:val="00824BFE"/>
  </w:style>
  <w:style w:type="character" w:customStyle="1" w:styleId="WW8Num1z5">
    <w:name w:val="WW8Num1z5"/>
    <w:rsid w:val="00824BFE"/>
  </w:style>
  <w:style w:type="character" w:customStyle="1" w:styleId="WW8Num1z6">
    <w:name w:val="WW8Num1z6"/>
    <w:rsid w:val="00824BFE"/>
  </w:style>
  <w:style w:type="character" w:customStyle="1" w:styleId="WW8Num1z7">
    <w:name w:val="WW8Num1z7"/>
    <w:rsid w:val="00824BFE"/>
  </w:style>
  <w:style w:type="character" w:customStyle="1" w:styleId="WW8Num1z8">
    <w:name w:val="WW8Num1z8"/>
    <w:rsid w:val="00824BFE"/>
  </w:style>
  <w:style w:type="character" w:customStyle="1" w:styleId="WW8Num2z0">
    <w:name w:val="WW8Num2z0"/>
    <w:rsid w:val="00824BFE"/>
    <w:rPr>
      <w:rFonts w:ascii="Liberation Serif" w:hAnsi="Liberation Serif" w:cs="Liberation Serif" w:hint="default"/>
      <w:szCs w:val="24"/>
      <w:lang w:val="en-US"/>
    </w:rPr>
  </w:style>
  <w:style w:type="character" w:customStyle="1" w:styleId="WW8NumSt1z0">
    <w:name w:val="WW8NumSt1z0"/>
    <w:rsid w:val="00824BFE"/>
    <w:rPr>
      <w:rFonts w:hint="default"/>
      <w:szCs w:val="24"/>
      <w:lang w:val="en-US"/>
    </w:rPr>
  </w:style>
  <w:style w:type="character" w:customStyle="1" w:styleId="WW8NumSt2z0">
    <w:name w:val="WW8NumSt2z0"/>
    <w:rsid w:val="00824BFE"/>
    <w:rPr>
      <w:rFonts w:hint="default"/>
    </w:rPr>
  </w:style>
  <w:style w:type="character" w:customStyle="1" w:styleId="WW8NumSt3z0">
    <w:name w:val="WW8NumSt3z0"/>
    <w:rsid w:val="00824BFE"/>
    <w:rPr>
      <w:rFonts w:hint="default"/>
      <w:szCs w:val="24"/>
      <w:lang w:val="en-US"/>
    </w:rPr>
  </w:style>
  <w:style w:type="character" w:customStyle="1" w:styleId="WW8NumSt4z0">
    <w:name w:val="WW8NumSt4z0"/>
    <w:rsid w:val="00824BFE"/>
    <w:rPr>
      <w:rFonts w:hint="default"/>
      <w:szCs w:val="24"/>
      <w:lang w:val="en-US"/>
    </w:rPr>
  </w:style>
  <w:style w:type="character" w:customStyle="1" w:styleId="WW8NumSt10z0">
    <w:name w:val="WW8NumSt10z0"/>
    <w:rsid w:val="00824BFE"/>
    <w:rPr>
      <w:rFonts w:hint="default"/>
    </w:rPr>
  </w:style>
  <w:style w:type="character" w:customStyle="1" w:styleId="WW8NumSt11z0">
    <w:name w:val="WW8NumSt11z0"/>
    <w:rsid w:val="00824BFE"/>
    <w:rPr>
      <w:rFonts w:hint="default"/>
    </w:rPr>
  </w:style>
  <w:style w:type="character" w:customStyle="1" w:styleId="WW8NumSt12z0">
    <w:name w:val="WW8NumSt12z0"/>
    <w:rsid w:val="00824BFE"/>
    <w:rPr>
      <w:rFonts w:hint="default"/>
    </w:rPr>
  </w:style>
  <w:style w:type="character" w:customStyle="1" w:styleId="WW8NumSt13z0">
    <w:name w:val="WW8NumSt13z0"/>
    <w:rsid w:val="00824BFE"/>
    <w:rPr>
      <w:rFonts w:hint="default"/>
    </w:rPr>
  </w:style>
  <w:style w:type="paragraph" w:customStyle="1" w:styleId="afffff3">
    <w:name w:val="Таблица"/>
    <w:basedOn w:val="a1"/>
    <w:qFormat/>
    <w:rsid w:val="00824BFE"/>
    <w:pPr>
      <w:suppressAutoHyphens/>
      <w:jc w:val="center"/>
    </w:pPr>
    <w:rPr>
      <w:rFonts w:eastAsia="Calibri" w:cs="Times New Roman"/>
      <w:b/>
      <w:szCs w:val="24"/>
      <w:lang w:eastAsia="zh-CN"/>
    </w:rPr>
  </w:style>
  <w:style w:type="paragraph" w:styleId="afffff4">
    <w:name w:val="table of figures"/>
    <w:basedOn w:val="a1"/>
    <w:rsid w:val="00824BFE"/>
    <w:pPr>
      <w:widowControl w:val="0"/>
      <w:shd w:val="clear" w:color="auto" w:fill="FFFFFF"/>
      <w:suppressAutoHyphens/>
      <w:autoSpaceDE w:val="0"/>
      <w:jc w:val="center"/>
    </w:pPr>
    <w:rPr>
      <w:rFonts w:eastAsia="Times New Roman" w:cs="Times New Roman"/>
      <w:b/>
      <w:szCs w:val="24"/>
      <w:lang w:val="en-US" w:eastAsia="zh-CN"/>
    </w:rPr>
  </w:style>
  <w:style w:type="paragraph" w:customStyle="1" w:styleId="afffff5">
    <w:name w:val="Приложение"/>
    <w:basedOn w:val="a1"/>
    <w:qFormat/>
    <w:rsid w:val="00824BFE"/>
    <w:pPr>
      <w:widowControl w:val="0"/>
      <w:shd w:val="clear" w:color="auto" w:fill="FFFFFF"/>
      <w:suppressAutoHyphens/>
      <w:autoSpaceDE w:val="0"/>
    </w:pPr>
    <w:rPr>
      <w:rFonts w:eastAsia="Times New Roman" w:cs="Times New Roman"/>
      <w:b/>
      <w:szCs w:val="24"/>
      <w:lang w:val="en-US" w:eastAsia="zh-CN"/>
    </w:rPr>
  </w:style>
  <w:style w:type="paragraph" w:customStyle="1" w:styleId="afffff6">
    <w:name w:val="Рисунок"/>
    <w:basedOn w:val="a1"/>
    <w:qFormat/>
    <w:rsid w:val="00824BFE"/>
    <w:pPr>
      <w:widowControl w:val="0"/>
      <w:shd w:val="clear" w:color="auto" w:fill="FFFFFF"/>
      <w:autoSpaceDE w:val="0"/>
      <w:autoSpaceDN w:val="0"/>
      <w:adjustRightInd w:val="0"/>
      <w:jc w:val="center"/>
    </w:pPr>
    <w:rPr>
      <w:rFonts w:eastAsia="Times New Roman" w:cs="Times New Roman"/>
      <w:b/>
      <w:szCs w:val="24"/>
      <w:lang w:val="en-US" w:eastAsia="ru-RU"/>
    </w:rPr>
  </w:style>
  <w:style w:type="character" w:customStyle="1" w:styleId="highlight2">
    <w:name w:val="highlight2"/>
    <w:rsid w:val="00824BFE"/>
    <w:rPr>
      <w:sz w:val="31"/>
      <w:szCs w:val="31"/>
    </w:rPr>
  </w:style>
  <w:style w:type="paragraph" w:customStyle="1" w:styleId="1ff4">
    <w:name w:val="Обычный (Интернет)1"/>
    <w:basedOn w:val="a1"/>
    <w:uiPriority w:val="99"/>
    <w:unhideWhenUsed/>
    <w:qFormat/>
    <w:rsid w:val="00824BFE"/>
    <w:pPr>
      <w:spacing w:before="100" w:beforeAutospacing="1" w:after="100" w:afterAutospacing="1"/>
      <w:jc w:val="left"/>
    </w:pPr>
    <w:rPr>
      <w:rFonts w:eastAsia="Times New Roman" w:cs="Times New Roman"/>
      <w:szCs w:val="24"/>
      <w:lang w:eastAsia="ru-RU"/>
    </w:rPr>
  </w:style>
  <w:style w:type="paragraph" w:customStyle="1" w:styleId="afffff7">
    <w:name w:val="Базовый"/>
    <w:rsid w:val="00824BFE"/>
    <w:pPr>
      <w:suppressAutoHyphens/>
      <w:spacing w:line="100" w:lineRule="atLeast"/>
    </w:pPr>
    <w:rPr>
      <w:rFonts w:ascii="Times New Roman" w:eastAsia="Calibri" w:hAnsi="Times New Roman" w:cs="Times New Roman"/>
      <w:sz w:val="24"/>
      <w:szCs w:val="24"/>
      <w:lang w:eastAsia="ar-SA"/>
    </w:rPr>
  </w:style>
  <w:style w:type="character" w:customStyle="1" w:styleId="name">
    <w:name w:val="name"/>
    <w:rsid w:val="00824BFE"/>
    <w:rPr>
      <w:sz w:val="24"/>
      <w:szCs w:val="24"/>
      <w:bdr w:val="none" w:sz="0" w:space="0" w:color="auto" w:frame="1"/>
      <w:vertAlign w:val="baseline"/>
    </w:rPr>
  </w:style>
  <w:style w:type="paragraph" w:customStyle="1" w:styleId="1-21">
    <w:name w:val="Средняя заливка 1 - Акцент 21"/>
    <w:basedOn w:val="a1"/>
    <w:uiPriority w:val="1"/>
    <w:qFormat/>
    <w:rsid w:val="00824BFE"/>
    <w:pPr>
      <w:keepNext/>
      <w:widowControl w:val="0"/>
      <w:numPr>
        <w:ilvl w:val="1"/>
        <w:numId w:val="48"/>
      </w:numPr>
      <w:autoSpaceDE w:val="0"/>
      <w:autoSpaceDN w:val="0"/>
      <w:adjustRightInd w:val="0"/>
      <w:contextualSpacing/>
      <w:outlineLvl w:val="1"/>
    </w:pPr>
    <w:rPr>
      <w:rFonts w:ascii="Verdana" w:eastAsia="Times New Roman" w:hAnsi="Verdana" w:cs="Times New Roman"/>
      <w:szCs w:val="20"/>
      <w:lang w:eastAsia="ru-RU"/>
    </w:rPr>
  </w:style>
  <w:style w:type="paragraph" w:customStyle="1" w:styleId="-31">
    <w:name w:val="Цветная заливка - Акцент 31"/>
    <w:basedOn w:val="a1"/>
    <w:uiPriority w:val="34"/>
    <w:qFormat/>
    <w:rsid w:val="00824BFE"/>
    <w:pPr>
      <w:widowControl w:val="0"/>
      <w:autoSpaceDE w:val="0"/>
      <w:autoSpaceDN w:val="0"/>
      <w:adjustRightInd w:val="0"/>
      <w:ind w:left="720"/>
      <w:contextualSpacing/>
    </w:pPr>
    <w:rPr>
      <w:rFonts w:eastAsia="Times New Roman" w:cs="Times New Roman"/>
      <w:szCs w:val="20"/>
      <w:lang w:eastAsia="ru-RU"/>
    </w:rPr>
  </w:style>
  <w:style w:type="paragraph" w:styleId="38">
    <w:name w:val="Body Text 3"/>
    <w:basedOn w:val="a1"/>
    <w:link w:val="39"/>
    <w:uiPriority w:val="99"/>
    <w:semiHidden/>
    <w:unhideWhenUsed/>
    <w:rsid w:val="00824BFE"/>
    <w:pPr>
      <w:widowControl w:val="0"/>
      <w:autoSpaceDE w:val="0"/>
      <w:autoSpaceDN w:val="0"/>
      <w:adjustRightInd w:val="0"/>
      <w:spacing w:after="120"/>
    </w:pPr>
    <w:rPr>
      <w:rFonts w:eastAsia="Times New Roman" w:cs="Times New Roman"/>
      <w:sz w:val="16"/>
      <w:szCs w:val="16"/>
      <w:lang w:eastAsia="ru-RU"/>
    </w:rPr>
  </w:style>
  <w:style w:type="character" w:customStyle="1" w:styleId="39">
    <w:name w:val="Основной текст 3 Знак"/>
    <w:basedOn w:val="a4"/>
    <w:link w:val="38"/>
    <w:uiPriority w:val="99"/>
    <w:semiHidden/>
    <w:rsid w:val="00824BFE"/>
    <w:rPr>
      <w:rFonts w:ascii="Times New Roman" w:eastAsia="Times New Roman" w:hAnsi="Times New Roman" w:cs="Times New Roman"/>
      <w:sz w:val="16"/>
      <w:szCs w:val="16"/>
      <w:lang w:eastAsia="ru-RU"/>
    </w:rPr>
  </w:style>
  <w:style w:type="paragraph" w:customStyle="1" w:styleId="-310">
    <w:name w:val="Темный список - Акцент 31"/>
    <w:hidden/>
    <w:uiPriority w:val="99"/>
    <w:semiHidden/>
    <w:rsid w:val="00824BFE"/>
    <w:rPr>
      <w:rFonts w:ascii="Times New Roman" w:eastAsia="Times New Roman" w:hAnsi="Times New Roman" w:cs="Times New Roman"/>
      <w:sz w:val="24"/>
      <w:szCs w:val="20"/>
      <w:lang w:eastAsia="ru-RU"/>
    </w:rPr>
  </w:style>
  <w:style w:type="paragraph" w:customStyle="1" w:styleId="-311">
    <w:name w:val="Таблица-сетка 31"/>
    <w:basedOn w:val="11"/>
    <w:next w:val="a1"/>
    <w:uiPriority w:val="39"/>
    <w:unhideWhenUsed/>
    <w:qFormat/>
    <w:rsid w:val="00824BFE"/>
    <w:pPr>
      <w:pageBreakBefore/>
      <w:widowControl w:val="0"/>
      <w:shd w:val="clear" w:color="auto" w:fill="FFFFFF"/>
      <w:tabs>
        <w:tab w:val="left" w:pos="709"/>
      </w:tabs>
      <w:suppressAutoHyphens w:val="0"/>
      <w:spacing w:before="480" w:after="120" w:line="276" w:lineRule="auto"/>
      <w:outlineLvl w:val="9"/>
    </w:pPr>
    <w:rPr>
      <w:rFonts w:ascii="Cambria" w:eastAsia="Times New Roman" w:hAnsi="Cambria"/>
      <w:bCs/>
      <w:caps/>
      <w:color w:val="365F91"/>
      <w:szCs w:val="28"/>
      <w:u w:val="none"/>
      <w:lang w:eastAsia="ru-RU"/>
    </w:rPr>
  </w:style>
  <w:style w:type="character" w:customStyle="1" w:styleId="moterm">
    <w:name w:val="mo_term"/>
    <w:rsid w:val="00824BFE"/>
  </w:style>
  <w:style w:type="paragraph" w:customStyle="1" w:styleId="2-41">
    <w:name w:val="Средний список 2 - Акцент 41"/>
    <w:basedOn w:val="a1"/>
    <w:uiPriority w:val="34"/>
    <w:qFormat/>
    <w:rsid w:val="00824BFE"/>
    <w:pPr>
      <w:suppressAutoHyphens/>
      <w:ind w:left="708"/>
      <w:jc w:val="left"/>
    </w:pPr>
    <w:rPr>
      <w:rFonts w:eastAsia="Calibri" w:cs="Times New Roman"/>
      <w:lang w:eastAsia="zh-CN"/>
    </w:rPr>
  </w:style>
  <w:style w:type="paragraph" w:customStyle="1" w:styleId="2-11">
    <w:name w:val="Средняя сетка 2 - Акцент 11"/>
    <w:basedOn w:val="a1"/>
    <w:uiPriority w:val="1"/>
    <w:qFormat/>
    <w:rsid w:val="00824BFE"/>
    <w:pPr>
      <w:keepNext/>
      <w:tabs>
        <w:tab w:val="num" w:pos="720"/>
      </w:tabs>
      <w:ind w:left="1080" w:hanging="360"/>
      <w:contextualSpacing/>
      <w:jc w:val="left"/>
      <w:outlineLvl w:val="1"/>
    </w:pPr>
    <w:rPr>
      <w:rFonts w:ascii="Verdana" w:eastAsia="Times New Roman" w:hAnsi="Verdana" w:cs="Times New Roman"/>
      <w:szCs w:val="24"/>
      <w:lang w:eastAsia="ru-RU"/>
    </w:rPr>
  </w:style>
  <w:style w:type="paragraph" w:customStyle="1" w:styleId="-312">
    <w:name w:val="Светлая сетка - Акцент 31"/>
    <w:basedOn w:val="a1"/>
    <w:uiPriority w:val="34"/>
    <w:qFormat/>
    <w:rsid w:val="00824BFE"/>
    <w:pPr>
      <w:ind w:left="720"/>
      <w:contextualSpacing/>
      <w:jc w:val="left"/>
    </w:pPr>
    <w:rPr>
      <w:rFonts w:eastAsia="Times New Roman" w:cs="Times New Roman"/>
      <w:szCs w:val="24"/>
      <w:lang w:eastAsia="ru-RU"/>
    </w:rPr>
  </w:style>
  <w:style w:type="character" w:customStyle="1" w:styleId="cit-source">
    <w:name w:val="cit-source"/>
    <w:rsid w:val="00824BFE"/>
  </w:style>
  <w:style w:type="character" w:customStyle="1" w:styleId="cit-pub-date">
    <w:name w:val="cit-pub-date"/>
    <w:rsid w:val="00824BFE"/>
  </w:style>
  <w:style w:type="character" w:customStyle="1" w:styleId="cit-vol">
    <w:name w:val="cit-vol"/>
    <w:rsid w:val="00824BFE"/>
  </w:style>
  <w:style w:type="character" w:customStyle="1" w:styleId="cit-fpage">
    <w:name w:val="cit-fpage"/>
    <w:rsid w:val="00824BFE"/>
  </w:style>
  <w:style w:type="character" w:customStyle="1" w:styleId="citation">
    <w:name w:val="citation"/>
    <w:rsid w:val="00824BFE"/>
  </w:style>
  <w:style w:type="character" w:customStyle="1" w:styleId="highwire-citation-author">
    <w:name w:val="highwire-citation-author"/>
    <w:rsid w:val="00824BFE"/>
  </w:style>
  <w:style w:type="paragraph" w:customStyle="1" w:styleId="details">
    <w:name w:val="details"/>
    <w:basedOn w:val="a1"/>
    <w:rsid w:val="00824BFE"/>
    <w:pPr>
      <w:spacing w:before="100" w:beforeAutospacing="1" w:after="100" w:afterAutospacing="1"/>
      <w:jc w:val="left"/>
    </w:pPr>
    <w:rPr>
      <w:rFonts w:eastAsia="Times New Roman" w:cs="Times New Roman"/>
      <w:szCs w:val="24"/>
      <w:lang w:eastAsia="ru-RU"/>
    </w:rPr>
  </w:style>
  <w:style w:type="character" w:customStyle="1" w:styleId="ref-title">
    <w:name w:val="ref-title"/>
    <w:rsid w:val="00824BFE"/>
  </w:style>
  <w:style w:type="character" w:customStyle="1" w:styleId="title-text">
    <w:name w:val="title-text"/>
    <w:rsid w:val="00824BFE"/>
  </w:style>
  <w:style w:type="character" w:customStyle="1" w:styleId="doi">
    <w:name w:val="doi"/>
    <w:rsid w:val="00824BFE"/>
  </w:style>
  <w:style w:type="character" w:customStyle="1" w:styleId="ref-iss">
    <w:name w:val="ref-iss"/>
    <w:rsid w:val="00824BFE"/>
  </w:style>
  <w:style w:type="character" w:customStyle="1" w:styleId="text">
    <w:name w:val="text"/>
    <w:rsid w:val="00824BFE"/>
  </w:style>
  <w:style w:type="character" w:customStyle="1" w:styleId="author-ref">
    <w:name w:val="author-ref"/>
    <w:rsid w:val="00824BFE"/>
  </w:style>
  <w:style w:type="character" w:customStyle="1" w:styleId="fm-vol-iss-date">
    <w:name w:val="fm-vol-iss-date"/>
    <w:rsid w:val="00824BFE"/>
  </w:style>
  <w:style w:type="character" w:customStyle="1" w:styleId="cit-auth">
    <w:name w:val="cit-auth"/>
    <w:rsid w:val="00824BFE"/>
  </w:style>
  <w:style w:type="character" w:customStyle="1" w:styleId="cit-name-surname">
    <w:name w:val="cit-name-surname"/>
    <w:rsid w:val="00824BFE"/>
  </w:style>
  <w:style w:type="character" w:customStyle="1" w:styleId="cit-name-given-names">
    <w:name w:val="cit-name-given-names"/>
    <w:rsid w:val="00824BFE"/>
  </w:style>
  <w:style w:type="character" w:customStyle="1" w:styleId="cit-etal">
    <w:name w:val="cit-etal"/>
    <w:rsid w:val="00824BFE"/>
  </w:style>
  <w:style w:type="character" w:customStyle="1" w:styleId="cit-article-title">
    <w:name w:val="cit-article-title"/>
    <w:rsid w:val="00824BFE"/>
  </w:style>
  <w:style w:type="character" w:customStyle="1" w:styleId="cit-issue">
    <w:name w:val="cit-issue"/>
    <w:rsid w:val="00824BFE"/>
  </w:style>
  <w:style w:type="character" w:customStyle="1" w:styleId="cit-lpage">
    <w:name w:val="cit-lpage"/>
    <w:rsid w:val="00824BFE"/>
  </w:style>
  <w:style w:type="character" w:customStyle="1" w:styleId="articletitle">
    <w:name w:val="articletitle"/>
    <w:rsid w:val="00824BFE"/>
  </w:style>
  <w:style w:type="character" w:customStyle="1" w:styleId="pubyear">
    <w:name w:val="pubyear"/>
    <w:rsid w:val="00824BFE"/>
  </w:style>
  <w:style w:type="character" w:customStyle="1" w:styleId="vol">
    <w:name w:val="vol"/>
    <w:rsid w:val="00824BFE"/>
  </w:style>
  <w:style w:type="character" w:customStyle="1" w:styleId="citedissue">
    <w:name w:val="citedissue"/>
    <w:rsid w:val="00824BFE"/>
  </w:style>
  <w:style w:type="character" w:customStyle="1" w:styleId="pagefirst">
    <w:name w:val="pagefirst"/>
    <w:rsid w:val="00824BFE"/>
  </w:style>
  <w:style w:type="character" w:customStyle="1" w:styleId="titledefault">
    <w:name w:val="title_default"/>
    <w:rsid w:val="00824BFE"/>
  </w:style>
  <w:style w:type="character" w:customStyle="1" w:styleId="authorsname">
    <w:name w:val="authors__name"/>
    <w:rsid w:val="00824BFE"/>
  </w:style>
  <w:style w:type="character" w:customStyle="1" w:styleId="sr-only">
    <w:name w:val="sr-only"/>
    <w:rsid w:val="00824BFE"/>
  </w:style>
  <w:style w:type="paragraph" w:customStyle="1" w:styleId="-110">
    <w:name w:val="Цветной список - Акцент 11"/>
    <w:basedOn w:val="a1"/>
    <w:uiPriority w:val="34"/>
    <w:qFormat/>
    <w:rsid w:val="00824BFE"/>
    <w:pPr>
      <w:ind w:left="720"/>
      <w:contextualSpacing/>
      <w:jc w:val="left"/>
    </w:pPr>
    <w:rPr>
      <w:rFonts w:ascii="Calibri" w:eastAsia="Calibri" w:hAnsi="Calibri" w:cs="Times New Roman"/>
      <w:szCs w:val="24"/>
    </w:rPr>
  </w:style>
  <w:style w:type="paragraph" w:styleId="afffff8">
    <w:name w:val="Document Map"/>
    <w:basedOn w:val="a1"/>
    <w:link w:val="afffff9"/>
    <w:uiPriority w:val="99"/>
    <w:semiHidden/>
    <w:unhideWhenUsed/>
    <w:rsid w:val="00824BFE"/>
    <w:pPr>
      <w:jc w:val="left"/>
    </w:pPr>
    <w:rPr>
      <w:rFonts w:eastAsia="Calibri" w:cs="Times New Roman"/>
      <w:szCs w:val="24"/>
    </w:rPr>
  </w:style>
  <w:style w:type="character" w:customStyle="1" w:styleId="afffff9">
    <w:name w:val="Схема документа Знак"/>
    <w:basedOn w:val="a4"/>
    <w:link w:val="afffff8"/>
    <w:uiPriority w:val="99"/>
    <w:semiHidden/>
    <w:rsid w:val="00824BFE"/>
    <w:rPr>
      <w:rFonts w:ascii="Times New Roman" w:eastAsia="Calibri" w:hAnsi="Times New Roman" w:cs="Times New Roman"/>
      <w:sz w:val="24"/>
      <w:szCs w:val="24"/>
    </w:rPr>
  </w:style>
  <w:style w:type="character" w:styleId="HTML1">
    <w:name w:val="HTML Cite"/>
    <w:uiPriority w:val="99"/>
    <w:semiHidden/>
    <w:unhideWhenUsed/>
    <w:rsid w:val="00824BFE"/>
    <w:rPr>
      <w:i/>
      <w:iCs/>
    </w:rPr>
  </w:style>
  <w:style w:type="character" w:customStyle="1" w:styleId="hgkelc">
    <w:name w:val="hgkelc"/>
    <w:basedOn w:val="a4"/>
    <w:rsid w:val="00824BFE"/>
  </w:style>
  <w:style w:type="character" w:customStyle="1" w:styleId="1ff5">
    <w:name w:val="Обычный (Интернет) Знак1"/>
    <w:uiPriority w:val="99"/>
    <w:rsid w:val="00824BFE"/>
    <w:rPr>
      <w:rFonts w:ascii="Times New Roman" w:hAnsi="Times New Roman" w:cs="Times New Roman"/>
      <w:sz w:val="24"/>
      <w:szCs w:val="24"/>
    </w:rPr>
  </w:style>
  <w:style w:type="paragraph" w:customStyle="1" w:styleId="3a">
    <w:name w:val="Стиль3"/>
    <w:basedOn w:val="a1"/>
    <w:link w:val="3b"/>
    <w:qFormat/>
    <w:rsid w:val="00824BFE"/>
    <w:pPr>
      <w:tabs>
        <w:tab w:val="num" w:pos="720"/>
      </w:tabs>
      <w:spacing w:before="240"/>
      <w:ind w:left="720" w:hanging="360"/>
    </w:pPr>
    <w:rPr>
      <w:rFonts w:eastAsia="Times New Roman" w:cs="Times New Roman"/>
      <w:szCs w:val="20"/>
      <w:lang w:val="x-none" w:eastAsia="x-none"/>
    </w:rPr>
  </w:style>
  <w:style w:type="character" w:customStyle="1" w:styleId="3b">
    <w:name w:val="Стиль3 Знак"/>
    <w:basedOn w:val="a4"/>
    <w:link w:val="3a"/>
    <w:rsid w:val="00824BFE"/>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D58CF-682E-404F-87A7-C5E424C7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231220</Words>
  <Characters>1317957</Characters>
  <Application>Microsoft Office Word</Application>
  <DocSecurity>0</DocSecurity>
  <Lines>10982</Lines>
  <Paragraphs>3092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Compile</dc:creator>
  <cp:lastModifiedBy>Аль-Ради Любовь Саттаровна</cp:lastModifiedBy>
  <cp:revision>3</cp:revision>
  <cp:lastPrinted>2019-08-12T12:52:00Z</cp:lastPrinted>
  <dcterms:created xsi:type="dcterms:W3CDTF">2021-03-25T06:18:00Z</dcterms:created>
  <dcterms:modified xsi:type="dcterms:W3CDTF">2021-03-25T06:18:00Z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http://www.zotero.org/styles/american-sociological-association</vt:lpwstr>
  </property>
  <property fmtid="{D5CDD505-2E9C-101B-9397-08002B2CF9AE}" pid="12" name="Mendeley Recent Style Name 1_1">
    <vt:lpwstr>American Sociological Association</vt:lpwstr>
  </property>
  <property fmtid="{D5CDD505-2E9C-101B-9397-08002B2CF9AE}" pid="13" name="Mendeley Recent Style Id 2_1">
    <vt:lpwstr>http://www.zotero.org/styles/chicago-author-date</vt:lpwstr>
  </property>
  <property fmtid="{D5CDD505-2E9C-101B-9397-08002B2CF9AE}" pid="14" name="Mendeley Recent Style Name 2_1">
    <vt:lpwstr>Chicago Manual of Style 17th edition (author-date)</vt:lpwstr>
  </property>
  <property fmtid="{D5CDD505-2E9C-101B-9397-08002B2CF9AE}" pid="15" name="Mendeley Recent Style Id 3_1">
    <vt:lpwstr>http://www.zotero.org/styles/harvard-cite-them-right</vt:lpwstr>
  </property>
  <property fmtid="{D5CDD505-2E9C-101B-9397-08002B2CF9AE}" pid="16" name="Mendeley Recent Style Name 3_1">
    <vt:lpwstr>Cite Them Right 10th edition - Harvard</vt:lpwstr>
  </property>
  <property fmtid="{D5CDD505-2E9C-101B-9397-08002B2CF9AE}" pid="17" name="Mendeley Recent Style Id 4_1">
    <vt:lpwstr>http://www.zotero.org/styles/elsevier-vancouver</vt:lpwstr>
  </property>
  <property fmtid="{D5CDD505-2E9C-101B-9397-08002B2CF9AE}" pid="18" name="Mendeley Recent Style Name 4_1">
    <vt:lpwstr>Elsevier - Vancouver</vt:lpwstr>
  </property>
  <property fmtid="{D5CDD505-2E9C-101B-9397-08002B2CF9AE}" pid="19" name="Mendeley Recent Style Id 5_1">
    <vt:lpwstr>http://csl.mendeley.com/styles/466348871/elsevier-vancouver</vt:lpwstr>
  </property>
  <property fmtid="{D5CDD505-2E9C-101B-9397-08002B2CF9AE}" pid="20" name="Mendeley Recent Style Name 5_1">
    <vt:lpwstr>Elsevier - Vancouver - Vitaly Latyshev</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http://www.zotero.org/styles/gost-r-7-0-5-2008-numeric</vt:lpwstr>
  </property>
  <property fmtid="{D5CDD505-2E9C-101B-9397-08002B2CF9AE}" pid="28" name="Mendeley Recent Style Name 9_1">
    <vt:lpwstr>Russian GOST R 7.0.5-2008 (numeric)</vt:lpwstr>
  </property>
  <property fmtid="{D5CDD505-2E9C-101B-9397-08002B2CF9AE}" pid="29" name="Mendeley Document_1">
    <vt:lpwstr>True</vt:lpwstr>
  </property>
  <property fmtid="{D5CDD505-2E9C-101B-9397-08002B2CF9AE}" pid="30" name="Mendeley Unique User Id_1">
    <vt:lpwstr>557ca738-a0c4-3a69-aff2-aa601aaa397d</vt:lpwstr>
  </property>
  <property fmtid="{D5CDD505-2E9C-101B-9397-08002B2CF9AE}" pid="31" name="Mendeley Citation Style_1">
    <vt:lpwstr>http://www.zotero.org/styles/gost-r-7-0-5-2008-numeric</vt:lpwstr>
  </property>
</Properties>
</file>